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2863E">
      <w:pPr>
        <w:jc w:val="center"/>
        <w:rPr>
          <w:rFonts w:hint="eastAsia" w:cs="宋体"/>
          <w:b/>
          <w:color w:val="auto"/>
          <w:sz w:val="84"/>
          <w:szCs w:val="84"/>
        </w:rPr>
      </w:pPr>
      <w:r>
        <w:drawing>
          <wp:inline distT="0" distB="0" distL="114300" distR="114300">
            <wp:extent cx="6068060" cy="8406765"/>
            <wp:effectExtent l="0" t="0" r="8890" b="1333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1"/>
                    <a:stretch>
                      <a:fillRect/>
                    </a:stretch>
                  </pic:blipFill>
                  <pic:spPr>
                    <a:xfrm>
                      <a:off x="0" y="0"/>
                      <a:ext cx="6068060" cy="8406765"/>
                    </a:xfrm>
                    <a:prstGeom prst="rect">
                      <a:avLst/>
                    </a:prstGeom>
                    <a:noFill/>
                    <a:ln>
                      <a:noFill/>
                    </a:ln>
                  </pic:spPr>
                </pic:pic>
              </a:graphicData>
            </a:graphic>
          </wp:inline>
        </w:drawing>
      </w:r>
    </w:p>
    <w:p w14:paraId="2362C6D7">
      <w:pPr>
        <w:jc w:val="center"/>
        <w:rPr>
          <w:rFonts w:hint="eastAsia" w:cs="宋体"/>
          <w:b/>
          <w:color w:val="auto"/>
          <w:sz w:val="84"/>
          <w:szCs w:val="84"/>
        </w:rPr>
      </w:pPr>
    </w:p>
    <w:p w14:paraId="46D34433">
      <w:pPr>
        <w:jc w:val="center"/>
        <w:rPr>
          <w:rFonts w:cs="宋体"/>
          <w:b/>
          <w:bCs/>
          <w:color w:val="auto"/>
          <w:sz w:val="84"/>
          <w:szCs w:val="84"/>
        </w:rPr>
      </w:pPr>
      <w:r>
        <w:rPr>
          <w:rFonts w:hint="eastAsia" w:cs="宋体"/>
          <w:b/>
          <w:color w:val="auto"/>
          <w:sz w:val="84"/>
          <w:szCs w:val="84"/>
        </w:rPr>
        <w:t>政府采购</w:t>
      </w:r>
    </w:p>
    <w:p w14:paraId="3A9D89BA">
      <w:pPr>
        <w:jc w:val="center"/>
        <w:outlineLvl w:val="9"/>
        <w:rPr>
          <w:rFonts w:cs="宋体"/>
          <w:b/>
          <w:bCs/>
          <w:color w:val="auto"/>
          <w:sz w:val="44"/>
          <w:szCs w:val="44"/>
        </w:rPr>
      </w:pPr>
      <w:bookmarkStart w:id="0" w:name="_Toc9710"/>
      <w:bookmarkStart w:id="1" w:name="_Toc1103"/>
      <w:bookmarkStart w:id="2" w:name="_Toc12256"/>
      <w:r>
        <w:rPr>
          <w:rFonts w:hint="eastAsia" w:cs="宋体"/>
          <w:b/>
          <w:color w:val="auto"/>
          <w:sz w:val="84"/>
          <w:szCs w:val="84"/>
        </w:rPr>
        <w:t>竞争性磋商文件</w:t>
      </w:r>
      <w:bookmarkEnd w:id="0"/>
      <w:bookmarkEnd w:id="1"/>
      <w:bookmarkEnd w:id="2"/>
    </w:p>
    <w:p w14:paraId="212E9C52">
      <w:pPr>
        <w:tabs>
          <w:tab w:val="left" w:pos="900"/>
        </w:tabs>
        <w:ind w:firstLine="1440"/>
        <w:rPr>
          <w:rFonts w:ascii="宋体" w:hAnsi="宋体" w:cs="宋体"/>
          <w:b/>
          <w:bCs/>
          <w:color w:val="auto"/>
          <w:sz w:val="30"/>
        </w:rPr>
      </w:pPr>
    </w:p>
    <w:p w14:paraId="3E428871">
      <w:pPr>
        <w:jc w:val="center"/>
        <w:outlineLvl w:val="9"/>
        <w:rPr>
          <w:rFonts w:hint="eastAsia" w:cs="宋体"/>
          <w:b/>
          <w:color w:val="auto"/>
          <w:sz w:val="84"/>
          <w:szCs w:val="84"/>
          <w:lang w:eastAsia="zh-CN"/>
        </w:rPr>
      </w:pPr>
      <w:r>
        <w:rPr>
          <w:rFonts w:hint="eastAsia" w:cs="宋体"/>
          <w:b/>
          <w:color w:val="auto"/>
          <w:sz w:val="84"/>
          <w:szCs w:val="84"/>
          <w:lang w:eastAsia="zh-CN"/>
        </w:rPr>
        <w:t>（</w:t>
      </w:r>
      <w:r>
        <w:rPr>
          <w:rFonts w:hint="eastAsia" w:cs="宋体"/>
          <w:b/>
          <w:color w:val="auto"/>
          <w:sz w:val="84"/>
          <w:szCs w:val="84"/>
          <w:lang w:val="en-US" w:eastAsia="zh-CN"/>
        </w:rPr>
        <w:t>货物类</w:t>
      </w:r>
      <w:r>
        <w:rPr>
          <w:rFonts w:hint="eastAsia" w:cs="宋体"/>
          <w:b/>
          <w:color w:val="auto"/>
          <w:sz w:val="84"/>
          <w:szCs w:val="84"/>
          <w:lang w:eastAsia="zh-CN"/>
        </w:rPr>
        <w:t>）</w:t>
      </w:r>
    </w:p>
    <w:p w14:paraId="671C38E2">
      <w:pPr>
        <w:tabs>
          <w:tab w:val="left" w:pos="900"/>
        </w:tabs>
        <w:rPr>
          <w:rFonts w:ascii="宋体" w:hAnsi="宋体" w:cs="宋体"/>
          <w:b/>
          <w:bCs/>
          <w:color w:val="auto"/>
          <w:sz w:val="30"/>
        </w:rPr>
      </w:pPr>
    </w:p>
    <w:p w14:paraId="0B085054">
      <w:pPr>
        <w:tabs>
          <w:tab w:val="left" w:pos="900"/>
        </w:tabs>
        <w:spacing w:line="360" w:lineRule="auto"/>
        <w:jc w:val="left"/>
        <w:rPr>
          <w:rFonts w:hint="eastAsia" w:ascii="宋体" w:hAnsi="宋体" w:cs="宋体"/>
          <w:b/>
          <w:bCs/>
          <w:color w:val="auto"/>
          <w:sz w:val="30"/>
          <w:highlight w:val="none"/>
          <w:lang w:val="en-US" w:eastAsia="zh-CN"/>
        </w:rPr>
      </w:pPr>
      <w:bookmarkStart w:id="3" w:name="_Toc18927"/>
      <w:r>
        <w:rPr>
          <w:rFonts w:hint="eastAsia" w:ascii="宋体" w:hAnsi="宋体" w:cs="宋体"/>
          <w:b/>
          <w:bCs/>
          <w:color w:val="auto"/>
          <w:sz w:val="30"/>
          <w:highlight w:val="none"/>
        </w:rPr>
        <w:t>采购项目名称</w:t>
      </w:r>
      <w:r>
        <w:rPr>
          <w:rFonts w:hint="eastAsia" w:ascii="宋体" w:hAnsi="宋体" w:cs="宋体"/>
          <w:b/>
          <w:bCs/>
          <w:color w:val="auto"/>
          <w:sz w:val="30"/>
          <w:highlight w:val="none"/>
          <w:lang w:val="en-US" w:eastAsia="zh-CN"/>
        </w:rPr>
        <w:t>：</w:t>
      </w:r>
      <w:bookmarkEnd w:id="3"/>
      <w:bookmarkStart w:id="4" w:name="_Toc7964"/>
      <w:bookmarkStart w:id="5" w:name="_Toc27304"/>
      <w:bookmarkStart w:id="6" w:name="_Toc23153"/>
      <w:r>
        <w:rPr>
          <w:rFonts w:hint="eastAsia" w:ascii="宋体" w:hAnsi="宋体" w:cs="宋体"/>
          <w:b/>
          <w:bCs/>
          <w:color w:val="auto"/>
          <w:sz w:val="30"/>
          <w:highlight w:val="none"/>
          <w:lang w:val="en-US" w:eastAsia="zh-CN"/>
        </w:rPr>
        <w:t>衡山县2026年城乡饮用水水质监测能力提升项目</w:t>
      </w:r>
    </w:p>
    <w:p w14:paraId="15E1F475">
      <w:pPr>
        <w:tabs>
          <w:tab w:val="left" w:pos="900"/>
        </w:tabs>
        <w:spacing w:line="600" w:lineRule="auto"/>
        <w:rPr>
          <w:rFonts w:hint="eastAsia" w:ascii="宋体" w:hAnsi="宋体" w:cs="宋体"/>
          <w:b/>
          <w:bCs/>
          <w:color w:val="auto"/>
          <w:sz w:val="30"/>
          <w:highlight w:val="none"/>
          <w:lang w:val="en-US" w:eastAsia="zh-CN"/>
        </w:rPr>
      </w:pPr>
      <w:r>
        <w:rPr>
          <w:rFonts w:hint="eastAsia" w:ascii="宋体" w:hAnsi="宋体" w:cs="宋体"/>
          <w:b/>
          <w:bCs/>
          <w:color w:val="auto"/>
          <w:sz w:val="30"/>
          <w:highlight w:val="none"/>
        </w:rPr>
        <w:t>采购单位</w:t>
      </w:r>
      <w:r>
        <w:rPr>
          <w:rFonts w:hint="eastAsia" w:ascii="宋体" w:hAnsi="宋体" w:cs="宋体"/>
          <w:b/>
          <w:bCs/>
          <w:color w:val="auto"/>
          <w:sz w:val="30"/>
          <w:highlight w:val="none"/>
          <w:lang w:val="en-US" w:eastAsia="zh-CN"/>
        </w:rPr>
        <w:t>名称</w:t>
      </w:r>
      <w:r>
        <w:rPr>
          <w:rFonts w:hint="eastAsia" w:ascii="宋体" w:hAnsi="宋体" w:cs="宋体"/>
          <w:b/>
          <w:bCs/>
          <w:color w:val="auto"/>
          <w:sz w:val="30"/>
          <w:highlight w:val="none"/>
        </w:rPr>
        <w:t>：</w:t>
      </w:r>
      <w:bookmarkEnd w:id="4"/>
      <w:bookmarkEnd w:id="5"/>
      <w:bookmarkEnd w:id="6"/>
      <w:r>
        <w:rPr>
          <w:rFonts w:hint="eastAsia" w:ascii="宋体" w:hAnsi="宋体" w:cs="宋体"/>
          <w:b/>
          <w:bCs/>
          <w:color w:val="auto"/>
          <w:sz w:val="30"/>
          <w:highlight w:val="none"/>
          <w:lang w:val="en-US" w:eastAsia="zh-CN"/>
        </w:rPr>
        <w:t>衡山县疾病预防控制中心（衡山县卫生综合监督执法局）</w:t>
      </w:r>
    </w:p>
    <w:p w14:paraId="72A50CDD">
      <w:pPr>
        <w:tabs>
          <w:tab w:val="left" w:pos="900"/>
        </w:tabs>
        <w:spacing w:line="600" w:lineRule="auto"/>
        <w:rPr>
          <w:rFonts w:hint="default" w:ascii="宋体" w:hAnsi="宋体" w:cs="宋体"/>
          <w:b/>
          <w:bCs/>
          <w:color w:val="auto"/>
          <w:sz w:val="30"/>
          <w:highlight w:val="none"/>
          <w:lang w:val="en-US" w:eastAsia="zh-CN"/>
        </w:rPr>
      </w:pPr>
      <w:r>
        <w:rPr>
          <w:rFonts w:hint="eastAsia" w:ascii="宋体" w:hAnsi="宋体" w:cs="宋体"/>
          <w:b/>
          <w:bCs/>
          <w:color w:val="auto"/>
          <w:sz w:val="30"/>
          <w:highlight w:val="none"/>
          <w:lang w:val="en-US" w:eastAsia="zh-CN"/>
        </w:rPr>
        <w:t>采购计划编号：(2026)430423000005-1</w:t>
      </w:r>
    </w:p>
    <w:p w14:paraId="4AF0315C">
      <w:pPr>
        <w:tabs>
          <w:tab w:val="left" w:pos="900"/>
        </w:tabs>
        <w:spacing w:line="600" w:lineRule="auto"/>
        <w:rPr>
          <w:rFonts w:hint="eastAsia" w:ascii="宋体" w:hAnsi="宋体" w:cs="宋体"/>
          <w:b/>
          <w:bCs/>
          <w:color w:val="auto"/>
          <w:sz w:val="30"/>
          <w:highlight w:val="none"/>
          <w:lang w:val="en-US" w:eastAsia="zh-CN"/>
        </w:rPr>
      </w:pPr>
      <w:r>
        <w:rPr>
          <w:rFonts w:hint="eastAsia" w:ascii="宋体" w:hAnsi="宋体" w:cs="宋体"/>
          <w:b/>
          <w:bCs/>
          <w:color w:val="auto"/>
          <w:sz w:val="30"/>
          <w:highlight w:val="none"/>
          <w:lang w:val="en-US" w:eastAsia="zh-CN"/>
        </w:rPr>
        <w:t>采购项目编号：CGXM2026430423000005</w:t>
      </w:r>
    </w:p>
    <w:p w14:paraId="04DC280C">
      <w:pPr>
        <w:tabs>
          <w:tab w:val="left" w:pos="900"/>
        </w:tabs>
        <w:spacing w:line="600" w:lineRule="auto"/>
        <w:rPr>
          <w:rFonts w:hint="eastAsia" w:ascii="宋体" w:hAnsi="宋体" w:cs="宋体" w:eastAsiaTheme="minorEastAsia"/>
          <w:b/>
          <w:bCs/>
          <w:color w:val="auto"/>
          <w:sz w:val="30"/>
          <w:highlight w:val="none"/>
          <w:lang w:val="en-US" w:eastAsia="zh-CN"/>
        </w:rPr>
      </w:pPr>
      <w:r>
        <w:rPr>
          <w:rFonts w:hint="eastAsia" w:ascii="宋体" w:hAnsi="宋体" w:cs="宋体"/>
          <w:b/>
          <w:bCs/>
          <w:color w:val="auto"/>
          <w:sz w:val="30"/>
          <w:highlight w:val="none"/>
        </w:rPr>
        <w:t>委托代理编号:TCZY-HS-2621A</w:t>
      </w:r>
    </w:p>
    <w:p w14:paraId="633E0109">
      <w:pPr>
        <w:spacing w:line="480" w:lineRule="auto"/>
        <w:jc w:val="both"/>
        <w:rPr>
          <w:rFonts w:hint="eastAsia" w:ascii="宋体" w:hAnsi="宋体" w:cs="宋体" w:eastAsiaTheme="minorEastAsia"/>
          <w:b/>
          <w:bCs/>
          <w:color w:val="auto"/>
          <w:sz w:val="30"/>
          <w:szCs w:val="30"/>
          <w:lang w:eastAsia="zh-CN"/>
        </w:rPr>
      </w:pPr>
      <w:r>
        <w:rPr>
          <w:rFonts w:hint="eastAsia" w:ascii="宋体" w:hAnsi="宋体" w:cs="宋体"/>
          <w:b/>
          <w:bCs/>
          <w:color w:val="auto"/>
          <w:sz w:val="30"/>
        </w:rPr>
        <w:t>采购代理机构：天策致远工程咨询管理有限公司</w:t>
      </w:r>
    </w:p>
    <w:p w14:paraId="78704EFF">
      <w:pPr>
        <w:jc w:val="center"/>
        <w:rPr>
          <w:rFonts w:cs="宋体"/>
          <w:bCs/>
          <w:color w:val="auto"/>
          <w:sz w:val="30"/>
          <w:szCs w:val="30"/>
        </w:rPr>
      </w:pPr>
    </w:p>
    <w:p w14:paraId="710CDB52">
      <w:pPr>
        <w:jc w:val="center"/>
        <w:rPr>
          <w:rFonts w:cs="宋体"/>
          <w:bCs/>
          <w:color w:val="auto"/>
          <w:sz w:val="30"/>
          <w:szCs w:val="30"/>
        </w:rPr>
      </w:pPr>
    </w:p>
    <w:p w14:paraId="116EEF96">
      <w:pPr>
        <w:jc w:val="center"/>
        <w:rPr>
          <w:rFonts w:cs="宋体"/>
          <w:bCs/>
          <w:color w:val="auto"/>
          <w:sz w:val="30"/>
          <w:szCs w:val="30"/>
        </w:rPr>
      </w:pPr>
    </w:p>
    <w:p w14:paraId="0273BB14">
      <w:pPr>
        <w:spacing w:line="360" w:lineRule="auto"/>
        <w:jc w:val="center"/>
        <w:outlineLvl w:val="9"/>
        <w:rPr>
          <w:rFonts w:hint="eastAsia" w:ascii="宋体" w:hAnsi="宋体" w:cs="宋体"/>
          <w:b/>
          <w:bCs/>
          <w:color w:val="auto"/>
          <w:sz w:val="32"/>
          <w:szCs w:val="32"/>
        </w:rPr>
        <w:sectPr>
          <w:headerReference r:id="rId3" w:type="default"/>
          <w:pgSz w:w="11906" w:h="16838"/>
          <w:pgMar w:top="1474" w:right="1474" w:bottom="232" w:left="1588" w:header="851" w:footer="992" w:gutter="0"/>
          <w:pgNumType w:fmt="decimal"/>
          <w:cols w:space="720" w:num="1"/>
          <w:docGrid w:type="lines" w:linePitch="312" w:charSpace="0"/>
        </w:sectPr>
      </w:pPr>
      <w:bookmarkStart w:id="7" w:name="_Toc31466"/>
      <w:bookmarkStart w:id="8" w:name="_Toc16820"/>
      <w:bookmarkStart w:id="9" w:name="_Toc19932"/>
      <w:r>
        <w:rPr>
          <w:rFonts w:hint="eastAsia" w:ascii="宋体" w:hAnsi="宋体" w:cs="宋体"/>
          <w:b/>
          <w:bCs/>
          <w:color w:val="auto"/>
          <w:sz w:val="32"/>
          <w:szCs w:val="32"/>
        </w:rPr>
        <w:t>二零</w:t>
      </w:r>
      <w:r>
        <w:rPr>
          <w:rFonts w:hint="eastAsia" w:ascii="宋体" w:hAnsi="宋体" w:cs="宋体"/>
          <w:b/>
          <w:bCs/>
          <w:color w:val="auto"/>
          <w:sz w:val="32"/>
          <w:szCs w:val="32"/>
          <w:lang w:eastAsia="zh-CN"/>
        </w:rPr>
        <w:t>二</w:t>
      </w:r>
      <w:r>
        <w:rPr>
          <w:rFonts w:hint="eastAsia" w:ascii="宋体" w:hAnsi="宋体" w:cs="宋体"/>
          <w:b/>
          <w:bCs/>
          <w:color w:val="auto"/>
          <w:sz w:val="32"/>
          <w:szCs w:val="32"/>
          <w:lang w:val="en-US" w:eastAsia="zh-CN"/>
        </w:rPr>
        <w:t>六</w:t>
      </w:r>
      <w:r>
        <w:rPr>
          <w:rFonts w:hint="eastAsia" w:ascii="宋体" w:hAnsi="宋体" w:cs="宋体"/>
          <w:b/>
          <w:bCs/>
          <w:color w:val="auto"/>
          <w:sz w:val="32"/>
          <w:szCs w:val="32"/>
        </w:rPr>
        <w:t>年</w:t>
      </w:r>
      <w:r>
        <w:rPr>
          <w:rFonts w:hint="eastAsia" w:ascii="宋体" w:hAnsi="宋体" w:cs="宋体"/>
          <w:b/>
          <w:bCs/>
          <w:color w:val="auto"/>
          <w:sz w:val="32"/>
          <w:szCs w:val="32"/>
          <w:lang w:val="en-US" w:eastAsia="zh-CN"/>
        </w:rPr>
        <w:t>八</w:t>
      </w:r>
      <w:r>
        <w:rPr>
          <w:rFonts w:hint="eastAsia" w:ascii="宋体" w:hAnsi="宋体" w:cs="宋体"/>
          <w:b/>
          <w:bCs/>
          <w:color w:val="auto"/>
          <w:sz w:val="32"/>
          <w:szCs w:val="32"/>
        </w:rPr>
        <w:t>月</w:t>
      </w:r>
      <w:bookmarkEnd w:id="7"/>
      <w:bookmarkEnd w:id="8"/>
      <w:bookmarkEnd w:id="9"/>
    </w:p>
    <w:sdt>
      <w:sdtPr>
        <w:rPr>
          <w:rFonts w:ascii="宋体" w:hAnsi="宋体" w:eastAsia="宋体" w:cs="Times New Roman"/>
          <w:b/>
          <w:bCs/>
          <w:kern w:val="1"/>
          <w:sz w:val="32"/>
          <w:szCs w:val="32"/>
          <w:lang w:val="en-US" w:eastAsia="zh-CN" w:bidi="ar-SA"/>
        </w:rPr>
        <w:id w:val="147455461"/>
        <w15:color w:val="DBDBDB"/>
        <w:docPartObj>
          <w:docPartGallery w:val="Table of Contents"/>
          <w:docPartUnique/>
        </w:docPartObj>
      </w:sdtPr>
      <w:sdtEndPr>
        <w:rPr>
          <w:rFonts w:ascii="宋体" w:hAnsi="宋体" w:eastAsia="宋体" w:cs="Times New Roman"/>
          <w:b/>
          <w:bCs/>
          <w:kern w:val="1"/>
          <w:sz w:val="32"/>
          <w:szCs w:val="32"/>
          <w:lang w:val="en-US" w:eastAsia="zh-CN" w:bidi="ar-SA"/>
        </w:rPr>
      </w:sdtEndPr>
      <w:sdtContent>
        <w:p w14:paraId="546BBE94">
          <w:pPr>
            <w:spacing w:before="0" w:beforeLines="0" w:after="0" w:afterLines="0" w:line="240" w:lineRule="auto"/>
            <w:ind w:left="0" w:leftChars="0" w:right="0" w:rightChars="0" w:firstLine="0" w:firstLineChars="0"/>
            <w:jc w:val="center"/>
            <w:rPr>
              <w:b/>
              <w:bCs/>
              <w:sz w:val="32"/>
              <w:szCs w:val="32"/>
            </w:rPr>
          </w:pPr>
          <w:bookmarkStart w:id="10" w:name="_Toc19699"/>
          <w:r>
            <w:rPr>
              <w:rFonts w:ascii="宋体" w:hAnsi="宋体" w:eastAsia="宋体"/>
              <w:b/>
              <w:bCs/>
              <w:sz w:val="32"/>
              <w:szCs w:val="32"/>
            </w:rPr>
            <w:t>目</w:t>
          </w:r>
          <w:r>
            <w:rPr>
              <w:rFonts w:hint="eastAsia" w:ascii="宋体" w:hAnsi="宋体" w:eastAsia="宋体"/>
              <w:b/>
              <w:bCs/>
              <w:sz w:val="32"/>
              <w:szCs w:val="32"/>
              <w:lang w:val="en-US" w:eastAsia="zh-CN"/>
            </w:rPr>
            <w:t xml:space="preserve">   </w:t>
          </w:r>
          <w:r>
            <w:rPr>
              <w:rFonts w:ascii="宋体" w:hAnsi="宋体" w:eastAsia="宋体"/>
              <w:b/>
              <w:bCs/>
              <w:sz w:val="32"/>
              <w:szCs w:val="32"/>
            </w:rPr>
            <w:t>录</w:t>
          </w:r>
        </w:p>
        <w:p w14:paraId="68740F42">
          <w:pPr>
            <w:pStyle w:val="19"/>
            <w:tabs>
              <w:tab w:val="right" w:leader="dot" w:pos="8844"/>
              <w:tab w:val="clear" w:pos="8296"/>
            </w:tabs>
            <w:spacing w:line="720" w:lineRule="auto"/>
            <w:rPr>
              <w:color w:val="auto"/>
              <w:highlight w:val="none"/>
            </w:rPr>
          </w:pPr>
          <w:r>
            <w:rPr>
              <w:sz w:val="28"/>
              <w:szCs w:val="28"/>
            </w:rPr>
            <w:fldChar w:fldCharType="begin"/>
          </w:r>
          <w:r>
            <w:rPr>
              <w:sz w:val="28"/>
              <w:szCs w:val="28"/>
            </w:rPr>
            <w:instrText xml:space="preserve">TOC \o "1-1" \h \u </w:instrText>
          </w:r>
          <w:r>
            <w:rPr>
              <w:sz w:val="28"/>
              <w:szCs w:val="28"/>
            </w:rPr>
            <w:fldChar w:fldCharType="separate"/>
          </w:r>
          <w:r>
            <w:rPr>
              <w:color w:val="auto"/>
              <w:szCs w:val="28"/>
              <w:highlight w:val="none"/>
            </w:rPr>
            <w:fldChar w:fldCharType="begin"/>
          </w:r>
          <w:r>
            <w:rPr>
              <w:color w:val="auto"/>
              <w:szCs w:val="28"/>
              <w:highlight w:val="none"/>
            </w:rPr>
            <w:instrText xml:space="preserve"> HYPERLINK \l _Toc22225 </w:instrText>
          </w:r>
          <w:r>
            <w:rPr>
              <w:color w:val="auto"/>
              <w:szCs w:val="28"/>
              <w:highlight w:val="none"/>
            </w:rPr>
            <w:fldChar w:fldCharType="separate"/>
          </w:r>
          <w:r>
            <w:rPr>
              <w:rFonts w:hint="eastAsia"/>
              <w:color w:val="auto"/>
              <w:szCs w:val="30"/>
              <w:highlight w:val="none"/>
            </w:rPr>
            <w:t>第一章磋商邀请公告</w:t>
          </w:r>
          <w:r>
            <w:rPr>
              <w:color w:val="auto"/>
              <w:highlight w:val="none"/>
            </w:rPr>
            <w:tab/>
          </w:r>
          <w:r>
            <w:rPr>
              <w:color w:val="auto"/>
              <w:highlight w:val="none"/>
            </w:rPr>
            <w:fldChar w:fldCharType="begin"/>
          </w:r>
          <w:r>
            <w:rPr>
              <w:color w:val="auto"/>
              <w:highlight w:val="none"/>
            </w:rPr>
            <w:instrText xml:space="preserve"> PAGEREF _Toc22225 \h </w:instrText>
          </w:r>
          <w:r>
            <w:rPr>
              <w:color w:val="auto"/>
              <w:highlight w:val="none"/>
            </w:rPr>
            <w:fldChar w:fldCharType="separate"/>
          </w:r>
          <w:r>
            <w:rPr>
              <w:color w:val="auto"/>
              <w:highlight w:val="none"/>
            </w:rPr>
            <w:t>- 1 -</w:t>
          </w:r>
          <w:r>
            <w:rPr>
              <w:color w:val="auto"/>
              <w:highlight w:val="none"/>
            </w:rPr>
            <w:fldChar w:fldCharType="end"/>
          </w:r>
          <w:r>
            <w:rPr>
              <w:color w:val="auto"/>
              <w:szCs w:val="28"/>
              <w:highlight w:val="none"/>
            </w:rPr>
            <w:fldChar w:fldCharType="end"/>
          </w:r>
        </w:p>
        <w:p w14:paraId="4B56892B">
          <w:pPr>
            <w:pStyle w:val="19"/>
            <w:tabs>
              <w:tab w:val="right" w:leader="dot" w:pos="8844"/>
              <w:tab w:val="clear" w:pos="8296"/>
            </w:tabs>
            <w:spacing w:line="720" w:lineRule="auto"/>
            <w:rPr>
              <w:color w:val="auto"/>
              <w:highlight w:val="none"/>
            </w:rPr>
          </w:pPr>
          <w:r>
            <w:rPr>
              <w:color w:val="auto"/>
              <w:szCs w:val="28"/>
              <w:highlight w:val="none"/>
            </w:rPr>
            <w:fldChar w:fldCharType="begin"/>
          </w:r>
          <w:r>
            <w:rPr>
              <w:color w:val="auto"/>
              <w:szCs w:val="28"/>
              <w:highlight w:val="none"/>
            </w:rPr>
            <w:instrText xml:space="preserve"> HYPERLINK \l _Toc22074 </w:instrText>
          </w:r>
          <w:r>
            <w:rPr>
              <w:color w:val="auto"/>
              <w:szCs w:val="28"/>
              <w:highlight w:val="none"/>
            </w:rPr>
            <w:fldChar w:fldCharType="separate"/>
          </w:r>
          <w:r>
            <w:rPr>
              <w:rFonts w:hint="eastAsia" w:cs="Times New Roman"/>
              <w:color w:val="auto"/>
              <w:szCs w:val="30"/>
              <w:highlight w:val="none"/>
            </w:rPr>
            <w:t>第二章磋商须知</w:t>
          </w:r>
          <w:r>
            <w:rPr>
              <w:color w:val="auto"/>
              <w:highlight w:val="none"/>
            </w:rPr>
            <w:tab/>
          </w:r>
          <w:r>
            <w:rPr>
              <w:color w:val="auto"/>
              <w:highlight w:val="none"/>
            </w:rPr>
            <w:fldChar w:fldCharType="begin"/>
          </w:r>
          <w:r>
            <w:rPr>
              <w:color w:val="auto"/>
              <w:highlight w:val="none"/>
            </w:rPr>
            <w:instrText xml:space="preserve"> PAGEREF _Toc22074 \h </w:instrText>
          </w:r>
          <w:r>
            <w:rPr>
              <w:color w:val="auto"/>
              <w:highlight w:val="none"/>
            </w:rPr>
            <w:fldChar w:fldCharType="separate"/>
          </w:r>
          <w:r>
            <w:rPr>
              <w:color w:val="auto"/>
              <w:highlight w:val="none"/>
            </w:rPr>
            <w:t>- 4 -</w:t>
          </w:r>
          <w:r>
            <w:rPr>
              <w:color w:val="auto"/>
              <w:highlight w:val="none"/>
            </w:rPr>
            <w:fldChar w:fldCharType="end"/>
          </w:r>
          <w:r>
            <w:rPr>
              <w:color w:val="auto"/>
              <w:szCs w:val="28"/>
              <w:highlight w:val="none"/>
            </w:rPr>
            <w:fldChar w:fldCharType="end"/>
          </w:r>
        </w:p>
        <w:p w14:paraId="4644A6A5">
          <w:pPr>
            <w:pStyle w:val="19"/>
            <w:tabs>
              <w:tab w:val="right" w:leader="dot" w:pos="8844"/>
              <w:tab w:val="clear" w:pos="8296"/>
            </w:tabs>
            <w:spacing w:line="720" w:lineRule="auto"/>
            <w:rPr>
              <w:color w:val="auto"/>
              <w:highlight w:val="none"/>
            </w:rPr>
          </w:pPr>
          <w:r>
            <w:rPr>
              <w:color w:val="auto"/>
              <w:szCs w:val="28"/>
              <w:highlight w:val="none"/>
            </w:rPr>
            <w:fldChar w:fldCharType="begin"/>
          </w:r>
          <w:r>
            <w:rPr>
              <w:color w:val="auto"/>
              <w:szCs w:val="28"/>
              <w:highlight w:val="none"/>
            </w:rPr>
            <w:instrText xml:space="preserve"> HYPERLINK \l _Toc31375 </w:instrText>
          </w:r>
          <w:r>
            <w:rPr>
              <w:color w:val="auto"/>
              <w:szCs w:val="28"/>
              <w:highlight w:val="none"/>
            </w:rPr>
            <w:fldChar w:fldCharType="separate"/>
          </w:r>
          <w:r>
            <w:rPr>
              <w:rFonts w:hint="eastAsia" w:ascii="宋体" w:hAnsi="宋体" w:eastAsia="宋体" w:cs="Times New Roman"/>
              <w:color w:val="auto"/>
              <w:kern w:val="2"/>
              <w:szCs w:val="32"/>
              <w:highlight w:val="none"/>
            </w:rPr>
            <w:t>第三章磋商办法</w:t>
          </w:r>
          <w:r>
            <w:rPr>
              <w:color w:val="auto"/>
              <w:highlight w:val="none"/>
            </w:rPr>
            <w:tab/>
          </w:r>
          <w:r>
            <w:rPr>
              <w:color w:val="auto"/>
              <w:highlight w:val="none"/>
            </w:rPr>
            <w:fldChar w:fldCharType="begin"/>
          </w:r>
          <w:r>
            <w:rPr>
              <w:color w:val="auto"/>
              <w:highlight w:val="none"/>
            </w:rPr>
            <w:instrText xml:space="preserve"> PAGEREF _Toc31375 \h </w:instrText>
          </w:r>
          <w:r>
            <w:rPr>
              <w:color w:val="auto"/>
              <w:highlight w:val="none"/>
            </w:rPr>
            <w:fldChar w:fldCharType="separate"/>
          </w:r>
          <w:r>
            <w:rPr>
              <w:color w:val="auto"/>
              <w:highlight w:val="none"/>
            </w:rPr>
            <w:t>- 25 -</w:t>
          </w:r>
          <w:r>
            <w:rPr>
              <w:color w:val="auto"/>
              <w:highlight w:val="none"/>
            </w:rPr>
            <w:fldChar w:fldCharType="end"/>
          </w:r>
          <w:r>
            <w:rPr>
              <w:color w:val="auto"/>
              <w:szCs w:val="28"/>
              <w:highlight w:val="none"/>
            </w:rPr>
            <w:fldChar w:fldCharType="end"/>
          </w:r>
        </w:p>
        <w:p w14:paraId="5C764D24">
          <w:pPr>
            <w:pStyle w:val="19"/>
            <w:tabs>
              <w:tab w:val="right" w:leader="dot" w:pos="8844"/>
              <w:tab w:val="clear" w:pos="8296"/>
            </w:tabs>
            <w:spacing w:line="720" w:lineRule="auto"/>
            <w:rPr>
              <w:color w:val="auto"/>
              <w:highlight w:val="none"/>
            </w:rPr>
          </w:pPr>
          <w:r>
            <w:rPr>
              <w:color w:val="auto"/>
              <w:szCs w:val="28"/>
              <w:highlight w:val="none"/>
            </w:rPr>
            <w:fldChar w:fldCharType="begin"/>
          </w:r>
          <w:r>
            <w:rPr>
              <w:color w:val="auto"/>
              <w:szCs w:val="28"/>
              <w:highlight w:val="none"/>
            </w:rPr>
            <w:instrText xml:space="preserve"> HYPERLINK \l _Toc18757 </w:instrText>
          </w:r>
          <w:r>
            <w:rPr>
              <w:color w:val="auto"/>
              <w:szCs w:val="28"/>
              <w:highlight w:val="none"/>
            </w:rPr>
            <w:fldChar w:fldCharType="separate"/>
          </w:r>
          <w:r>
            <w:rPr>
              <w:rFonts w:hint="eastAsia" w:ascii="宋体" w:hAnsi="宋体" w:cs="宋体"/>
              <w:bCs/>
              <w:color w:val="auto"/>
              <w:szCs w:val="21"/>
              <w:highlight w:val="none"/>
            </w:rPr>
            <w:t>附页4</w:t>
          </w:r>
          <w:r>
            <w:rPr>
              <w:rFonts w:hint="eastAsia" w:ascii="宋体" w:hAnsi="宋体" w:cs="宋体"/>
              <w:color w:val="auto"/>
              <w:szCs w:val="28"/>
              <w:highlight w:val="none"/>
            </w:rPr>
            <w:t>权值表</w:t>
          </w:r>
          <w:r>
            <w:rPr>
              <w:color w:val="auto"/>
              <w:highlight w:val="none"/>
            </w:rPr>
            <w:tab/>
          </w:r>
          <w:r>
            <w:rPr>
              <w:color w:val="auto"/>
              <w:highlight w:val="none"/>
            </w:rPr>
            <w:fldChar w:fldCharType="begin"/>
          </w:r>
          <w:r>
            <w:rPr>
              <w:color w:val="auto"/>
              <w:highlight w:val="none"/>
            </w:rPr>
            <w:instrText xml:space="preserve"> PAGEREF _Toc18757 \h </w:instrText>
          </w:r>
          <w:r>
            <w:rPr>
              <w:color w:val="auto"/>
              <w:highlight w:val="none"/>
            </w:rPr>
            <w:fldChar w:fldCharType="separate"/>
          </w:r>
          <w:r>
            <w:rPr>
              <w:color w:val="auto"/>
              <w:highlight w:val="none"/>
            </w:rPr>
            <w:t>- 27 -</w:t>
          </w:r>
          <w:r>
            <w:rPr>
              <w:color w:val="auto"/>
              <w:highlight w:val="none"/>
            </w:rPr>
            <w:fldChar w:fldCharType="end"/>
          </w:r>
          <w:r>
            <w:rPr>
              <w:color w:val="auto"/>
              <w:szCs w:val="28"/>
              <w:highlight w:val="none"/>
            </w:rPr>
            <w:fldChar w:fldCharType="end"/>
          </w:r>
        </w:p>
        <w:p w14:paraId="27EC497C">
          <w:pPr>
            <w:pStyle w:val="19"/>
            <w:tabs>
              <w:tab w:val="right" w:leader="dot" w:pos="8844"/>
              <w:tab w:val="clear" w:pos="8296"/>
            </w:tabs>
            <w:spacing w:line="720" w:lineRule="auto"/>
            <w:rPr>
              <w:color w:val="auto"/>
              <w:highlight w:val="none"/>
            </w:rPr>
          </w:pPr>
          <w:r>
            <w:rPr>
              <w:color w:val="auto"/>
              <w:szCs w:val="28"/>
              <w:highlight w:val="none"/>
            </w:rPr>
            <w:fldChar w:fldCharType="begin"/>
          </w:r>
          <w:r>
            <w:rPr>
              <w:color w:val="auto"/>
              <w:szCs w:val="28"/>
              <w:highlight w:val="none"/>
            </w:rPr>
            <w:instrText xml:space="preserve"> HYPERLINK \l _Toc19892 </w:instrText>
          </w:r>
          <w:r>
            <w:rPr>
              <w:color w:val="auto"/>
              <w:szCs w:val="28"/>
              <w:highlight w:val="none"/>
            </w:rPr>
            <w:fldChar w:fldCharType="separate"/>
          </w:r>
          <w:r>
            <w:rPr>
              <w:rFonts w:hint="eastAsia" w:cs="Times New Roman"/>
              <w:color w:val="auto"/>
              <w:szCs w:val="30"/>
              <w:highlight w:val="none"/>
            </w:rPr>
            <w:t>第</w:t>
          </w:r>
          <w:r>
            <w:rPr>
              <w:rFonts w:hint="eastAsia" w:cs="Times New Roman"/>
              <w:color w:val="auto"/>
              <w:szCs w:val="30"/>
              <w:highlight w:val="none"/>
              <w:lang w:val="en-US" w:eastAsia="zh-CN"/>
            </w:rPr>
            <w:t>四</w:t>
          </w:r>
          <w:r>
            <w:rPr>
              <w:rFonts w:hint="eastAsia" w:cs="Times New Roman"/>
              <w:color w:val="auto"/>
              <w:szCs w:val="30"/>
              <w:highlight w:val="none"/>
            </w:rPr>
            <w:t>章政府采购合同格式</w:t>
          </w:r>
          <w:r>
            <w:rPr>
              <w:color w:val="auto"/>
              <w:highlight w:val="none"/>
            </w:rPr>
            <w:tab/>
          </w:r>
          <w:r>
            <w:rPr>
              <w:color w:val="auto"/>
              <w:highlight w:val="none"/>
            </w:rPr>
            <w:fldChar w:fldCharType="begin"/>
          </w:r>
          <w:r>
            <w:rPr>
              <w:color w:val="auto"/>
              <w:highlight w:val="none"/>
            </w:rPr>
            <w:instrText xml:space="preserve"> PAGEREF _Toc19892 \h </w:instrText>
          </w:r>
          <w:r>
            <w:rPr>
              <w:color w:val="auto"/>
              <w:highlight w:val="none"/>
            </w:rPr>
            <w:fldChar w:fldCharType="separate"/>
          </w:r>
          <w:r>
            <w:rPr>
              <w:color w:val="auto"/>
              <w:highlight w:val="none"/>
            </w:rPr>
            <w:t>- 29 -</w:t>
          </w:r>
          <w:r>
            <w:rPr>
              <w:color w:val="auto"/>
              <w:highlight w:val="none"/>
            </w:rPr>
            <w:fldChar w:fldCharType="end"/>
          </w:r>
          <w:r>
            <w:rPr>
              <w:color w:val="auto"/>
              <w:szCs w:val="28"/>
              <w:highlight w:val="none"/>
            </w:rPr>
            <w:fldChar w:fldCharType="end"/>
          </w:r>
        </w:p>
        <w:p w14:paraId="22DFDC79">
          <w:pPr>
            <w:pStyle w:val="19"/>
            <w:tabs>
              <w:tab w:val="right" w:leader="dot" w:pos="8844"/>
              <w:tab w:val="clear" w:pos="8296"/>
            </w:tabs>
            <w:spacing w:line="720" w:lineRule="auto"/>
            <w:rPr>
              <w:color w:val="auto"/>
              <w:highlight w:val="none"/>
            </w:rPr>
          </w:pPr>
          <w:r>
            <w:rPr>
              <w:color w:val="auto"/>
              <w:szCs w:val="28"/>
              <w:highlight w:val="none"/>
            </w:rPr>
            <w:fldChar w:fldCharType="begin"/>
          </w:r>
          <w:r>
            <w:rPr>
              <w:color w:val="auto"/>
              <w:szCs w:val="28"/>
              <w:highlight w:val="none"/>
            </w:rPr>
            <w:instrText xml:space="preserve"> HYPERLINK \l _Toc17316 </w:instrText>
          </w:r>
          <w:r>
            <w:rPr>
              <w:color w:val="auto"/>
              <w:szCs w:val="28"/>
              <w:highlight w:val="none"/>
            </w:rPr>
            <w:fldChar w:fldCharType="separate"/>
          </w:r>
          <w:r>
            <w:rPr>
              <w:rFonts w:hint="eastAsia" w:cs="Times New Roman"/>
              <w:color w:val="auto"/>
              <w:szCs w:val="30"/>
              <w:highlight w:val="none"/>
              <w:lang w:val="en-US" w:eastAsia="zh-CN"/>
            </w:rPr>
            <w:t>第五章</w:t>
          </w:r>
          <w:r>
            <w:rPr>
              <w:rFonts w:hint="eastAsia" w:cs="Times New Roman"/>
              <w:color w:val="auto"/>
              <w:szCs w:val="30"/>
              <w:highlight w:val="none"/>
            </w:rPr>
            <w:t>采购需求</w:t>
          </w:r>
          <w:r>
            <w:rPr>
              <w:color w:val="auto"/>
              <w:highlight w:val="none"/>
            </w:rPr>
            <w:tab/>
          </w:r>
          <w:r>
            <w:rPr>
              <w:color w:val="auto"/>
              <w:highlight w:val="none"/>
            </w:rPr>
            <w:fldChar w:fldCharType="begin"/>
          </w:r>
          <w:r>
            <w:rPr>
              <w:color w:val="auto"/>
              <w:highlight w:val="none"/>
            </w:rPr>
            <w:instrText xml:space="preserve"> PAGEREF _Toc17316 \h </w:instrText>
          </w:r>
          <w:r>
            <w:rPr>
              <w:color w:val="auto"/>
              <w:highlight w:val="none"/>
            </w:rPr>
            <w:fldChar w:fldCharType="separate"/>
          </w:r>
          <w:r>
            <w:rPr>
              <w:color w:val="auto"/>
              <w:highlight w:val="none"/>
            </w:rPr>
            <w:t>- 38 -</w:t>
          </w:r>
          <w:r>
            <w:rPr>
              <w:color w:val="auto"/>
              <w:highlight w:val="none"/>
            </w:rPr>
            <w:fldChar w:fldCharType="end"/>
          </w:r>
          <w:r>
            <w:rPr>
              <w:color w:val="auto"/>
              <w:szCs w:val="28"/>
              <w:highlight w:val="none"/>
            </w:rPr>
            <w:fldChar w:fldCharType="end"/>
          </w:r>
        </w:p>
        <w:p w14:paraId="5792BAFE">
          <w:pPr>
            <w:pStyle w:val="19"/>
            <w:tabs>
              <w:tab w:val="right" w:leader="dot" w:pos="8844"/>
              <w:tab w:val="clear" w:pos="8296"/>
            </w:tabs>
            <w:spacing w:line="720" w:lineRule="auto"/>
            <w:rPr>
              <w:color w:val="auto"/>
              <w:highlight w:val="none"/>
            </w:rPr>
          </w:pPr>
          <w:r>
            <w:rPr>
              <w:color w:val="auto"/>
              <w:szCs w:val="28"/>
              <w:highlight w:val="none"/>
            </w:rPr>
            <w:fldChar w:fldCharType="begin"/>
          </w:r>
          <w:r>
            <w:rPr>
              <w:color w:val="auto"/>
              <w:szCs w:val="28"/>
              <w:highlight w:val="none"/>
            </w:rPr>
            <w:instrText xml:space="preserve"> HYPERLINK \l _Toc25306 </w:instrText>
          </w:r>
          <w:r>
            <w:rPr>
              <w:color w:val="auto"/>
              <w:szCs w:val="28"/>
              <w:highlight w:val="none"/>
            </w:rPr>
            <w:fldChar w:fldCharType="separate"/>
          </w:r>
          <w:r>
            <w:rPr>
              <w:rFonts w:hint="eastAsia"/>
              <w:color w:val="auto"/>
              <w:szCs w:val="30"/>
              <w:highlight w:val="none"/>
            </w:rPr>
            <w:t>第六章响应文件组成</w:t>
          </w:r>
          <w:r>
            <w:rPr>
              <w:color w:val="auto"/>
              <w:highlight w:val="none"/>
            </w:rPr>
            <w:tab/>
          </w:r>
          <w:r>
            <w:rPr>
              <w:color w:val="auto"/>
              <w:highlight w:val="none"/>
            </w:rPr>
            <w:fldChar w:fldCharType="begin"/>
          </w:r>
          <w:r>
            <w:rPr>
              <w:color w:val="auto"/>
              <w:highlight w:val="none"/>
            </w:rPr>
            <w:instrText xml:space="preserve"> PAGEREF _Toc25306 \h </w:instrText>
          </w:r>
          <w:r>
            <w:rPr>
              <w:color w:val="auto"/>
              <w:highlight w:val="none"/>
            </w:rPr>
            <w:fldChar w:fldCharType="separate"/>
          </w:r>
          <w:r>
            <w:rPr>
              <w:color w:val="auto"/>
              <w:highlight w:val="none"/>
            </w:rPr>
            <w:t>- 53 -</w:t>
          </w:r>
          <w:r>
            <w:rPr>
              <w:color w:val="auto"/>
              <w:highlight w:val="none"/>
            </w:rPr>
            <w:fldChar w:fldCharType="end"/>
          </w:r>
          <w:r>
            <w:rPr>
              <w:color w:val="auto"/>
              <w:szCs w:val="28"/>
              <w:highlight w:val="none"/>
            </w:rPr>
            <w:fldChar w:fldCharType="end"/>
          </w:r>
        </w:p>
        <w:p w14:paraId="1833975A">
          <w:pPr>
            <w:pStyle w:val="19"/>
            <w:tabs>
              <w:tab w:val="right" w:leader="dot" w:pos="8844"/>
              <w:tab w:val="clear" w:pos="8296"/>
            </w:tabs>
          </w:pPr>
        </w:p>
        <w:p w14:paraId="0039C197"/>
        <w:p w14:paraId="611A218F"/>
        <w:p w14:paraId="42687D3F"/>
        <w:p w14:paraId="5FBF0EA9"/>
        <w:p w14:paraId="028B707A"/>
        <w:p w14:paraId="3BEDAA67"/>
        <w:p w14:paraId="26BFFA04"/>
        <w:p w14:paraId="2C0456D6"/>
        <w:p w14:paraId="2B9716F0"/>
        <w:p w14:paraId="3A2CAD1D"/>
        <w:p w14:paraId="521D8AC8"/>
        <w:p w14:paraId="385C9CAF"/>
        <w:p w14:paraId="48EC9709"/>
        <w:p w14:paraId="30443E3F"/>
        <w:p w14:paraId="3B1F0B1D"/>
        <w:p w14:paraId="2E9EED16"/>
        <w:p w14:paraId="64EF0A4F"/>
        <w:p w14:paraId="0A69EEF6"/>
        <w:p w14:paraId="28704BC4"/>
        <w:p w14:paraId="61D6D4E9"/>
        <w:p w14:paraId="5B80D950">
          <w:pPr>
            <w:sectPr>
              <w:footerReference r:id="rId4" w:type="default"/>
              <w:pgSz w:w="11906" w:h="16838"/>
              <w:pgMar w:top="1474" w:right="1474" w:bottom="969" w:left="1588" w:header="851" w:footer="992" w:gutter="0"/>
              <w:pgNumType w:fmt="decimal" w:start="1"/>
              <w:cols w:space="720" w:num="1"/>
              <w:docGrid w:type="lines" w:linePitch="312" w:charSpace="0"/>
            </w:sectPr>
          </w:pPr>
        </w:p>
        <w:p w14:paraId="6264B9EB">
          <w:pPr>
            <w:spacing w:line="480" w:lineRule="auto"/>
          </w:pPr>
          <w:r>
            <w:rPr>
              <w:szCs w:val="28"/>
            </w:rPr>
            <w:fldChar w:fldCharType="end"/>
          </w:r>
        </w:p>
      </w:sdtContent>
    </w:sdt>
    <w:p w14:paraId="67B80FB2">
      <w:pPr>
        <w:pStyle w:val="2"/>
        <w:bidi w:val="0"/>
        <w:rPr>
          <w:sz w:val="30"/>
          <w:szCs w:val="30"/>
        </w:rPr>
      </w:pPr>
      <w:bookmarkStart w:id="11" w:name="_Toc22225"/>
      <w:r>
        <w:rPr>
          <w:rFonts w:hint="eastAsia"/>
          <w:sz w:val="30"/>
          <w:szCs w:val="30"/>
        </w:rPr>
        <w:t>第一章磋商邀请公告</w:t>
      </w:r>
      <w:bookmarkEnd w:id="10"/>
      <w:bookmarkEnd w:id="11"/>
    </w:p>
    <w:p w14:paraId="6E3FDE62">
      <w:pPr>
        <w:keepNext w:val="0"/>
        <w:keepLines w:val="0"/>
        <w:pageBreakBefore w:val="0"/>
        <w:kinsoku/>
        <w:wordWrap/>
        <w:overflowPunct/>
        <w:topLinePunct w:val="0"/>
        <w:autoSpaceDE/>
        <w:autoSpaceDN/>
        <w:bidi w:val="0"/>
        <w:adjustRightInd w:val="0"/>
        <w:snapToGrid w:val="0"/>
        <w:spacing w:beforeAutospacing="0" w:afterAutospacing="0" w:line="440" w:lineRule="exact"/>
        <w:ind w:firstLine="420" w:firstLineChars="200"/>
        <w:textAlignment w:val="auto"/>
        <w:rPr>
          <w:rFonts w:hint="eastAsia" w:ascii="宋体" w:hAnsi="宋体" w:eastAsia="宋体" w:cs="宋体"/>
          <w:color w:val="auto"/>
          <w:kern w:val="1"/>
          <w:szCs w:val="21"/>
          <w:highlight w:val="none"/>
          <w:lang w:val="en-US" w:eastAsia="zh-CN"/>
        </w:rPr>
      </w:pPr>
      <w:bookmarkStart w:id="12" w:name="_Toc13715"/>
      <w:r>
        <w:rPr>
          <w:rFonts w:hint="eastAsia" w:ascii="宋体" w:hAnsi="宋体" w:eastAsia="宋体" w:cs="宋体"/>
          <w:color w:val="auto"/>
          <w:kern w:val="1"/>
          <w:szCs w:val="21"/>
          <w:highlight w:val="none"/>
          <w:lang w:val="en-US" w:eastAsia="zh-CN"/>
        </w:rPr>
        <w:t>衡山县疾病预防控制中心（衡山县卫生综合监督执法局）的衡山县2026年城乡饮用水水质监测能力提升项目进行采购，现邀请合格投标人参加投标。</w:t>
      </w:r>
    </w:p>
    <w:p w14:paraId="1E17C93A">
      <w:pPr>
        <w:keepNext/>
        <w:keepLines/>
        <w:adjustRightInd w:val="0"/>
        <w:snapToGrid w:val="0"/>
        <w:spacing w:before="156" w:beforeLines="50" w:line="360" w:lineRule="auto"/>
        <w:outlineLvl w:val="0"/>
        <w:rPr>
          <w:rFonts w:hint="eastAsia" w:ascii="黑体" w:hAnsi="黑体" w:eastAsia="黑体" w:cs="Times New Roman"/>
          <w:b/>
          <w:bCs/>
          <w:color w:val="auto"/>
          <w:kern w:val="1"/>
          <w:sz w:val="24"/>
          <w:szCs w:val="32"/>
        </w:rPr>
      </w:pPr>
      <w:bookmarkStart w:id="13" w:name="_Toc14798"/>
      <w:bookmarkStart w:id="14" w:name="_Toc27118"/>
      <w:bookmarkStart w:id="15" w:name="_Toc26388"/>
      <w:bookmarkStart w:id="16" w:name="_Toc16501"/>
      <w:bookmarkStart w:id="17" w:name="_Toc14565"/>
      <w:bookmarkStart w:id="18" w:name="_Toc25845"/>
      <w:r>
        <w:rPr>
          <w:rFonts w:hint="eastAsia" w:ascii="黑体" w:hAnsi="黑体" w:eastAsia="黑体" w:cs="Times New Roman"/>
          <w:b/>
          <w:bCs/>
          <w:color w:val="auto"/>
          <w:kern w:val="1"/>
          <w:sz w:val="24"/>
          <w:szCs w:val="32"/>
          <w:lang w:eastAsia="zh-CN"/>
        </w:rPr>
        <w:t>一、</w:t>
      </w:r>
      <w:r>
        <w:rPr>
          <w:rFonts w:hint="eastAsia" w:ascii="黑体" w:hAnsi="黑体" w:eastAsia="黑体" w:cs="Times New Roman"/>
          <w:b/>
          <w:bCs/>
          <w:color w:val="auto"/>
          <w:kern w:val="1"/>
          <w:sz w:val="24"/>
          <w:szCs w:val="32"/>
        </w:rPr>
        <w:t>采购项目</w:t>
      </w:r>
      <w:r>
        <w:rPr>
          <w:rFonts w:hint="eastAsia" w:ascii="黑体" w:hAnsi="黑体" w:eastAsia="黑体" w:cs="Times New Roman"/>
          <w:b/>
          <w:bCs/>
          <w:color w:val="auto"/>
          <w:kern w:val="1"/>
          <w:sz w:val="24"/>
          <w:szCs w:val="32"/>
          <w:lang w:eastAsia="zh-CN"/>
        </w:rPr>
        <w:t>基本情况</w:t>
      </w:r>
      <w:r>
        <w:rPr>
          <w:rFonts w:hint="eastAsia" w:ascii="黑体" w:hAnsi="黑体" w:eastAsia="黑体" w:cs="Times New Roman"/>
          <w:b/>
          <w:bCs/>
          <w:color w:val="auto"/>
          <w:kern w:val="1"/>
          <w:sz w:val="24"/>
          <w:szCs w:val="32"/>
        </w:rPr>
        <w:t>：</w:t>
      </w:r>
      <w:bookmarkEnd w:id="13"/>
      <w:bookmarkEnd w:id="14"/>
      <w:bookmarkEnd w:id="15"/>
      <w:bookmarkEnd w:id="16"/>
      <w:bookmarkEnd w:id="17"/>
      <w:bookmarkEnd w:id="18"/>
    </w:p>
    <w:p w14:paraId="55D344E8">
      <w:pPr>
        <w:adjustRightInd w:val="0"/>
        <w:snapToGrid w:val="0"/>
        <w:spacing w:line="360" w:lineRule="auto"/>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1、采购项目编号：CGXM2026430423000005</w:t>
      </w:r>
    </w:p>
    <w:p w14:paraId="7D8720C3">
      <w:pPr>
        <w:adjustRightInd w:val="0"/>
        <w:snapToGrid w:val="0"/>
        <w:spacing w:line="360" w:lineRule="auto"/>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2、采购项目名称：衡山县2026年城乡饮用水水质监测能力提升项目</w:t>
      </w:r>
    </w:p>
    <w:p w14:paraId="71CD3B8C">
      <w:pPr>
        <w:adjustRightInd w:val="0"/>
        <w:snapToGrid w:val="0"/>
        <w:spacing w:line="360" w:lineRule="auto"/>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3、政府采购采购计划编号：(2026)430423000005-1</w:t>
      </w:r>
    </w:p>
    <w:p w14:paraId="13DC11AC">
      <w:pPr>
        <w:adjustRightInd w:val="0"/>
        <w:snapToGrid w:val="0"/>
        <w:spacing w:line="360" w:lineRule="auto"/>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4、采购项目预算：850525.00元</w:t>
      </w:r>
    </w:p>
    <w:p w14:paraId="6AE17BDD">
      <w:pPr>
        <w:adjustRightInd w:val="0"/>
        <w:snapToGrid w:val="0"/>
        <w:spacing w:line="360" w:lineRule="auto"/>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sym w:font="Wingdings" w:char="00A8"/>
      </w:r>
      <w:r>
        <w:rPr>
          <w:rFonts w:hint="eastAsia" w:ascii="宋体" w:hAnsi="宋体" w:eastAsia="宋体" w:cs="宋体"/>
          <w:color w:val="auto"/>
          <w:kern w:val="1"/>
          <w:szCs w:val="21"/>
          <w:highlight w:val="none"/>
          <w:lang w:val="en-US" w:eastAsia="zh-CN"/>
        </w:rPr>
        <w:t>支持预付款，预付比例：</w:t>
      </w:r>
      <w:r>
        <w:rPr>
          <w:rFonts w:hint="eastAsia" w:ascii="宋体" w:hAnsi="宋体" w:eastAsia="宋体" w:cs="宋体"/>
          <w:color w:val="auto"/>
          <w:kern w:val="1"/>
          <w:szCs w:val="21"/>
          <w:highlight w:val="none"/>
          <w:u w:val="single"/>
          <w:lang w:val="en-US" w:eastAsia="zh-CN"/>
        </w:rPr>
        <w:t>/%</w:t>
      </w:r>
    </w:p>
    <w:p w14:paraId="1426D9FF">
      <w:pPr>
        <w:adjustRightInd w:val="0"/>
        <w:snapToGrid w:val="0"/>
        <w:spacing w:line="360" w:lineRule="auto"/>
        <w:ind w:firstLine="420" w:firstLineChars="200"/>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5、本项目对应的中小企业划分标准所属行业：工业</w:t>
      </w:r>
    </w:p>
    <w:p w14:paraId="2D2687B6">
      <w:pPr>
        <w:adjustRightInd w:val="0"/>
        <w:snapToGrid w:val="0"/>
        <w:spacing w:line="360" w:lineRule="auto"/>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6、评标方法：□最低价法☑综合评分法</w:t>
      </w:r>
    </w:p>
    <w:p w14:paraId="32D54CFB">
      <w:pPr>
        <w:adjustRightInd w:val="0"/>
        <w:snapToGrid w:val="0"/>
        <w:spacing w:line="360" w:lineRule="auto"/>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7、合同定价方式：</w:t>
      </w:r>
      <w:r>
        <w:rPr>
          <w:rFonts w:hint="eastAsia" w:ascii="宋体" w:hAnsi="宋体" w:eastAsia="宋体" w:cs="宋体"/>
          <w:color w:val="auto"/>
          <w:kern w:val="1"/>
          <w:szCs w:val="21"/>
          <w:highlight w:val="none"/>
          <w:lang w:val="en-US" w:eastAsia="zh-CN"/>
        </w:rPr>
        <w:sym w:font="Wingdings" w:char="00FE"/>
      </w:r>
      <w:r>
        <w:rPr>
          <w:rFonts w:hint="eastAsia" w:ascii="宋体" w:hAnsi="宋体" w:eastAsia="宋体" w:cs="宋体"/>
          <w:color w:val="auto"/>
          <w:kern w:val="1"/>
          <w:szCs w:val="21"/>
          <w:highlight w:val="none"/>
          <w:lang w:val="en-US" w:eastAsia="zh-CN"/>
        </w:rPr>
        <w:t>固定总价</w:t>
      </w:r>
      <w:r>
        <w:rPr>
          <w:rFonts w:hint="eastAsia" w:ascii="宋体" w:hAnsi="宋体" w:eastAsia="宋体" w:cs="宋体"/>
          <w:color w:val="auto"/>
          <w:kern w:val="1"/>
          <w:szCs w:val="21"/>
          <w:highlight w:val="none"/>
          <w:lang w:val="en-US" w:eastAsia="zh-CN"/>
        </w:rPr>
        <w:sym w:font="Wingdings" w:char="00A8"/>
      </w:r>
      <w:r>
        <w:rPr>
          <w:rFonts w:hint="eastAsia" w:ascii="宋体" w:hAnsi="宋体" w:eastAsia="宋体" w:cs="宋体"/>
          <w:color w:val="auto"/>
          <w:kern w:val="1"/>
          <w:szCs w:val="21"/>
          <w:highlight w:val="none"/>
          <w:lang w:val="en-US" w:eastAsia="zh-CN"/>
        </w:rPr>
        <w:t>固定单价</w:t>
      </w:r>
      <w:r>
        <w:rPr>
          <w:rFonts w:hint="eastAsia" w:ascii="宋体" w:hAnsi="宋体" w:eastAsia="宋体" w:cs="宋体"/>
          <w:color w:val="auto"/>
          <w:kern w:val="1"/>
          <w:szCs w:val="21"/>
          <w:highlight w:val="none"/>
          <w:lang w:val="en-US" w:eastAsia="zh-CN"/>
        </w:rPr>
        <w:sym w:font="Wingdings" w:char="00A8"/>
      </w:r>
      <w:r>
        <w:rPr>
          <w:rFonts w:hint="eastAsia" w:ascii="宋体" w:hAnsi="宋体" w:eastAsia="宋体" w:cs="宋体"/>
          <w:color w:val="auto"/>
          <w:kern w:val="1"/>
          <w:szCs w:val="21"/>
          <w:highlight w:val="none"/>
          <w:lang w:val="en-US" w:eastAsia="zh-CN"/>
        </w:rPr>
        <w:t>成本补偿</w:t>
      </w:r>
      <w:r>
        <w:rPr>
          <w:rFonts w:hint="eastAsia" w:ascii="宋体" w:hAnsi="宋体" w:eastAsia="宋体" w:cs="宋体"/>
          <w:color w:val="auto"/>
          <w:kern w:val="1"/>
          <w:szCs w:val="21"/>
          <w:highlight w:val="none"/>
          <w:lang w:val="en-US" w:eastAsia="zh-CN"/>
        </w:rPr>
        <w:sym w:font="Wingdings" w:char="00A8"/>
      </w:r>
      <w:r>
        <w:rPr>
          <w:rFonts w:hint="eastAsia" w:ascii="宋体" w:hAnsi="宋体" w:eastAsia="宋体" w:cs="宋体"/>
          <w:color w:val="auto"/>
          <w:kern w:val="1"/>
          <w:szCs w:val="21"/>
          <w:highlight w:val="none"/>
          <w:lang w:val="en-US" w:eastAsia="zh-CN"/>
        </w:rPr>
        <w:t>绩效激励</w:t>
      </w:r>
    </w:p>
    <w:p w14:paraId="152C7DA2">
      <w:pPr>
        <w:adjustRightInd w:val="0"/>
        <w:snapToGrid w:val="0"/>
        <w:spacing w:line="360" w:lineRule="auto"/>
        <w:ind w:firstLine="420" w:firstLineChars="200"/>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8、合同履行期限：详见采购需求</w:t>
      </w:r>
    </w:p>
    <w:p w14:paraId="6FB4AE3A">
      <w:pPr>
        <w:widowControl w:val="0"/>
        <w:spacing w:line="360" w:lineRule="auto"/>
        <w:ind w:firstLine="420"/>
        <w:jc w:val="both"/>
        <w:rPr>
          <w:rFonts w:hint="default" w:ascii="Calibri" w:hAnsi="Calibri" w:eastAsia="宋体" w:cs="Calibri"/>
          <w:color w:val="auto"/>
          <w:kern w:val="1"/>
          <w:sz w:val="21"/>
          <w:szCs w:val="21"/>
          <w:lang w:val="en-US" w:eastAsia="zh-CN" w:bidi="ar-SA"/>
        </w:rPr>
      </w:pPr>
      <w:r>
        <w:rPr>
          <w:rFonts w:hint="eastAsia" w:ascii="宋体" w:hAnsi="宋体" w:eastAsia="宋体" w:cs="Calibri"/>
          <w:bCs/>
          <w:color w:val="auto"/>
          <w:kern w:val="1"/>
          <w:sz w:val="21"/>
          <w:szCs w:val="21"/>
          <w:lang w:val="en-US" w:eastAsia="zh-CN" w:bidi="ar-SA"/>
        </w:rPr>
        <w:t>9、</w:t>
      </w:r>
      <w:r>
        <w:rPr>
          <w:rFonts w:hint="eastAsia" w:ascii="Calibri" w:hAnsi="Calibri" w:eastAsia="宋体" w:cs="Calibri"/>
          <w:color w:val="auto"/>
          <w:kern w:val="1"/>
          <w:sz w:val="21"/>
          <w:szCs w:val="21"/>
          <w:lang w:val="en-US" w:eastAsia="zh-CN" w:bidi="ar-SA"/>
        </w:rPr>
        <w:t>本项目分阶段要求供应商提供以下保证：</w:t>
      </w:r>
    </w:p>
    <w:p w14:paraId="48302ACE">
      <w:pPr>
        <w:widowControl w:val="0"/>
        <w:spacing w:line="360" w:lineRule="auto"/>
        <w:ind w:firstLine="420"/>
        <w:jc w:val="both"/>
        <w:rPr>
          <w:rFonts w:hint="default" w:ascii="Calibri" w:hAnsi="Calibri" w:eastAsia="宋体" w:cs="Calibri"/>
          <w:color w:val="auto"/>
          <w:kern w:val="1"/>
          <w:sz w:val="21"/>
          <w:szCs w:val="21"/>
          <w:lang w:val="en-US" w:eastAsia="zh-CN" w:bidi="ar-SA"/>
        </w:rPr>
      </w:pPr>
      <w:bookmarkStart w:id="19" w:name="_Toc19756"/>
      <w:bookmarkStart w:id="20" w:name="_Toc9256"/>
      <w:bookmarkStart w:id="21" w:name="_Toc4715"/>
      <w:bookmarkStart w:id="22" w:name="_Toc20894"/>
      <w:r>
        <w:rPr>
          <w:rFonts w:hint="eastAsia" w:ascii="Calibri" w:hAnsi="Calibri" w:eastAsia="宋体" w:cs="Calibri"/>
          <w:color w:val="auto"/>
          <w:kern w:val="1"/>
          <w:sz w:val="21"/>
          <w:szCs w:val="21"/>
          <w:lang w:val="en-US" w:eastAsia="zh-CN" w:bidi="ar-SA"/>
        </w:rPr>
        <w:sym w:font="Wingdings" w:char="00A8"/>
      </w:r>
      <w:r>
        <w:rPr>
          <w:rFonts w:hint="default" w:ascii="Calibri" w:hAnsi="Calibri" w:eastAsia="宋体" w:cs="Calibri"/>
          <w:color w:val="auto"/>
          <w:kern w:val="1"/>
          <w:sz w:val="21"/>
          <w:szCs w:val="21"/>
          <w:lang w:val="en-US" w:eastAsia="zh-CN" w:bidi="ar-SA"/>
        </w:rPr>
        <w:t>投标保证金：采购项目预算的</w:t>
      </w:r>
      <w:r>
        <w:rPr>
          <w:rFonts w:hint="eastAsia" w:eastAsia="宋体" w:cs="Calibri"/>
          <w:color w:val="auto"/>
          <w:kern w:val="1"/>
          <w:sz w:val="21"/>
          <w:szCs w:val="21"/>
          <w:u w:val="single"/>
          <w:lang w:val="en-US" w:eastAsia="zh-CN" w:bidi="ar-SA"/>
        </w:rPr>
        <w:t>/</w:t>
      </w:r>
      <w:r>
        <w:rPr>
          <w:rFonts w:hint="default" w:ascii="Calibri" w:hAnsi="Calibri" w:eastAsia="宋体" w:cs="Calibri"/>
          <w:color w:val="auto"/>
          <w:kern w:val="1"/>
          <w:sz w:val="21"/>
          <w:szCs w:val="21"/>
          <w:lang w:val="en-US" w:eastAsia="zh-CN" w:bidi="ar-SA"/>
        </w:rPr>
        <w:t>%；</w:t>
      </w:r>
    </w:p>
    <w:p w14:paraId="538F7A8C">
      <w:pPr>
        <w:widowControl w:val="0"/>
        <w:spacing w:line="360" w:lineRule="auto"/>
        <w:ind w:firstLine="420"/>
        <w:jc w:val="both"/>
        <w:rPr>
          <w:rFonts w:hint="default" w:ascii="Calibri" w:hAnsi="Calibri" w:eastAsia="宋体" w:cs="Calibri"/>
          <w:color w:val="auto"/>
          <w:kern w:val="1"/>
          <w:sz w:val="21"/>
          <w:szCs w:val="21"/>
          <w:lang w:val="en-US" w:eastAsia="zh-CN" w:bidi="ar-SA"/>
        </w:rPr>
      </w:pPr>
      <w:r>
        <w:rPr>
          <w:rFonts w:hint="eastAsia" w:ascii="Calibri" w:hAnsi="Calibri" w:eastAsia="宋体" w:cs="Calibri"/>
          <w:color w:val="auto"/>
          <w:kern w:val="1"/>
          <w:sz w:val="21"/>
          <w:szCs w:val="21"/>
          <w:lang w:val="en-US" w:eastAsia="zh-CN" w:bidi="ar-SA"/>
        </w:rPr>
        <w:sym w:font="Wingdings" w:char="00A8"/>
      </w:r>
      <w:r>
        <w:rPr>
          <w:rFonts w:hint="default" w:ascii="Calibri" w:hAnsi="Calibri" w:eastAsia="宋体" w:cs="Calibri"/>
          <w:color w:val="auto"/>
          <w:kern w:val="1"/>
          <w:sz w:val="21"/>
          <w:szCs w:val="21"/>
          <w:lang w:val="en-US" w:eastAsia="zh-CN" w:bidi="ar-SA"/>
        </w:rPr>
        <w:t>履约保证金：中标金额的</w:t>
      </w:r>
      <w:r>
        <w:rPr>
          <w:rFonts w:hint="eastAsia" w:eastAsia="宋体" w:cs="Calibri"/>
          <w:color w:val="auto"/>
          <w:kern w:val="1"/>
          <w:sz w:val="21"/>
          <w:szCs w:val="21"/>
          <w:u w:val="single"/>
          <w:lang w:val="en-US" w:eastAsia="zh-CN" w:bidi="ar-SA"/>
        </w:rPr>
        <w:t>/</w:t>
      </w:r>
      <w:r>
        <w:rPr>
          <w:rFonts w:hint="default" w:ascii="Calibri" w:hAnsi="Calibri" w:eastAsia="宋体" w:cs="Calibri"/>
          <w:color w:val="auto"/>
          <w:kern w:val="1"/>
          <w:sz w:val="21"/>
          <w:szCs w:val="21"/>
          <w:lang w:val="en-US" w:eastAsia="zh-CN" w:bidi="ar-SA"/>
        </w:rPr>
        <w:t>%；</w:t>
      </w:r>
    </w:p>
    <w:p w14:paraId="2C41DB8F">
      <w:pPr>
        <w:widowControl w:val="0"/>
        <w:spacing w:line="360" w:lineRule="auto"/>
        <w:ind w:firstLine="420"/>
        <w:jc w:val="both"/>
        <w:rPr>
          <w:rFonts w:hint="eastAsia" w:ascii="Calibri" w:hAnsi="Calibri" w:eastAsia="宋体" w:cs="Calibri"/>
          <w:color w:val="auto"/>
          <w:kern w:val="1"/>
          <w:sz w:val="21"/>
          <w:szCs w:val="21"/>
          <w:lang w:val="en-US" w:eastAsia="zh-CN" w:bidi="ar-SA"/>
        </w:rPr>
      </w:pPr>
      <w:r>
        <w:rPr>
          <w:rFonts w:hint="eastAsia" w:ascii="Calibri" w:hAnsi="Calibri" w:eastAsia="宋体" w:cs="Calibri"/>
          <w:color w:val="auto"/>
          <w:kern w:val="1"/>
          <w:sz w:val="21"/>
          <w:szCs w:val="21"/>
          <w:lang w:val="en-US" w:eastAsia="zh-CN" w:bidi="ar-SA"/>
        </w:rPr>
        <w:sym w:font="Wingdings" w:char="00A8"/>
      </w:r>
      <w:r>
        <w:rPr>
          <w:rFonts w:hint="default" w:ascii="Calibri" w:hAnsi="Calibri" w:eastAsia="宋体" w:cs="Calibri"/>
          <w:color w:val="auto"/>
          <w:kern w:val="1"/>
          <w:sz w:val="21"/>
          <w:szCs w:val="21"/>
          <w:lang w:val="en-US" w:eastAsia="zh-CN" w:bidi="ar-SA"/>
        </w:rPr>
        <w:t>质量保证金：合同金额的</w:t>
      </w:r>
      <w:r>
        <w:rPr>
          <w:rFonts w:hint="eastAsia" w:eastAsia="宋体" w:cs="Calibri"/>
          <w:color w:val="auto"/>
          <w:kern w:val="1"/>
          <w:sz w:val="21"/>
          <w:szCs w:val="21"/>
          <w:u w:val="single"/>
          <w:lang w:val="en-US" w:eastAsia="zh-CN" w:bidi="ar-SA"/>
        </w:rPr>
        <w:t>/</w:t>
      </w:r>
      <w:r>
        <w:rPr>
          <w:rFonts w:hint="default" w:ascii="Calibri" w:hAnsi="Calibri" w:eastAsia="宋体" w:cs="Calibri"/>
          <w:color w:val="auto"/>
          <w:kern w:val="1"/>
          <w:sz w:val="21"/>
          <w:szCs w:val="21"/>
          <w:lang w:val="en-US" w:eastAsia="zh-CN" w:bidi="ar-SA"/>
        </w:rPr>
        <w:t>%；</w:t>
      </w:r>
    </w:p>
    <w:p w14:paraId="6BBCB509">
      <w:pPr>
        <w:keepNext/>
        <w:keepLines/>
        <w:adjustRightInd w:val="0"/>
        <w:snapToGrid w:val="0"/>
        <w:spacing w:before="156" w:beforeLines="50" w:line="360" w:lineRule="auto"/>
        <w:outlineLvl w:val="0"/>
        <w:rPr>
          <w:rFonts w:hint="eastAsia" w:ascii="黑体" w:hAnsi="黑体" w:eastAsia="黑体" w:cs="Times New Roman"/>
          <w:b/>
          <w:bCs/>
          <w:color w:val="auto"/>
          <w:kern w:val="1"/>
          <w:sz w:val="24"/>
          <w:szCs w:val="32"/>
          <w:lang w:eastAsia="zh-CN"/>
        </w:rPr>
      </w:pPr>
      <w:bookmarkStart w:id="23" w:name="_Toc6374"/>
      <w:bookmarkStart w:id="24" w:name="_Toc25953"/>
      <w:bookmarkStart w:id="25" w:name="_Toc20198"/>
      <w:r>
        <w:rPr>
          <w:rFonts w:hint="eastAsia" w:ascii="黑体" w:hAnsi="黑体" w:eastAsia="黑体" w:cs="Times New Roman"/>
          <w:b/>
          <w:bCs/>
          <w:color w:val="auto"/>
          <w:kern w:val="1"/>
          <w:sz w:val="24"/>
          <w:szCs w:val="32"/>
          <w:lang w:val="en-US" w:eastAsia="zh-CN"/>
        </w:rPr>
        <w:t>二、</w:t>
      </w:r>
      <w:bookmarkEnd w:id="19"/>
      <w:bookmarkEnd w:id="20"/>
      <w:bookmarkEnd w:id="21"/>
      <w:bookmarkEnd w:id="22"/>
      <w:bookmarkEnd w:id="23"/>
      <w:bookmarkEnd w:id="24"/>
      <w:bookmarkEnd w:id="25"/>
      <w:r>
        <w:rPr>
          <w:rFonts w:hint="eastAsia" w:ascii="黑体" w:hAnsi="黑体" w:eastAsia="黑体" w:cs="Times New Roman"/>
          <w:b/>
          <w:bCs/>
          <w:color w:val="auto"/>
          <w:kern w:val="1"/>
          <w:sz w:val="24"/>
          <w:szCs w:val="32"/>
          <w:lang w:eastAsia="zh-CN"/>
        </w:rPr>
        <w:t>采购人的采购需求</w:t>
      </w:r>
    </w:p>
    <w:tbl>
      <w:tblPr>
        <w:tblStyle w:val="28"/>
        <w:tblW w:w="959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30"/>
        <w:gridCol w:w="2308"/>
        <w:gridCol w:w="1630"/>
        <w:gridCol w:w="598"/>
        <w:gridCol w:w="1207"/>
        <w:gridCol w:w="1381"/>
        <w:gridCol w:w="812"/>
        <w:gridCol w:w="831"/>
      </w:tblGrid>
      <w:tr w14:paraId="2B840B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4" w:hRule="atLeast"/>
        </w:trPr>
        <w:tc>
          <w:tcPr>
            <w:tcW w:w="830" w:type="dxa"/>
            <w:noWrap w:val="0"/>
            <w:vAlign w:val="center"/>
          </w:tcPr>
          <w:p w14:paraId="2C42D1ED">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包名称</w:t>
            </w:r>
          </w:p>
        </w:tc>
        <w:tc>
          <w:tcPr>
            <w:tcW w:w="2308" w:type="dxa"/>
            <w:tcBorders>
              <w:left w:val="single" w:color="auto" w:sz="4" w:space="0"/>
            </w:tcBorders>
            <w:noWrap w:val="0"/>
            <w:vAlign w:val="center"/>
          </w:tcPr>
          <w:p w14:paraId="179E7727">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标的名称</w:t>
            </w:r>
          </w:p>
        </w:tc>
        <w:tc>
          <w:tcPr>
            <w:tcW w:w="1630" w:type="dxa"/>
            <w:tcBorders>
              <w:left w:val="single" w:color="auto" w:sz="4" w:space="0"/>
            </w:tcBorders>
            <w:noWrap w:val="0"/>
            <w:vAlign w:val="center"/>
          </w:tcPr>
          <w:p w14:paraId="295BA9A7">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简要技术要求</w:t>
            </w:r>
          </w:p>
        </w:tc>
        <w:tc>
          <w:tcPr>
            <w:tcW w:w="598" w:type="dxa"/>
            <w:tcBorders>
              <w:left w:val="single" w:color="auto" w:sz="4" w:space="0"/>
            </w:tcBorders>
            <w:noWrap w:val="0"/>
            <w:vAlign w:val="center"/>
          </w:tcPr>
          <w:p w14:paraId="66BB2207">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数量</w:t>
            </w:r>
          </w:p>
        </w:tc>
        <w:tc>
          <w:tcPr>
            <w:tcW w:w="1207" w:type="dxa"/>
            <w:noWrap w:val="0"/>
            <w:vAlign w:val="center"/>
          </w:tcPr>
          <w:p w14:paraId="208C462A">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标的预算</w:t>
            </w:r>
          </w:p>
          <w:p w14:paraId="1FE5CDD1">
            <w:pPr>
              <w:keepNext w:val="0"/>
              <w:keepLines w:val="0"/>
              <w:widowControl/>
              <w:suppressLineNumbers w:val="0"/>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(元）</w:t>
            </w:r>
          </w:p>
        </w:tc>
        <w:tc>
          <w:tcPr>
            <w:tcW w:w="1381" w:type="dxa"/>
            <w:noWrap w:val="0"/>
            <w:vAlign w:val="center"/>
          </w:tcPr>
          <w:p w14:paraId="7BF9BBF2">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最高限价（元）</w:t>
            </w:r>
          </w:p>
        </w:tc>
        <w:tc>
          <w:tcPr>
            <w:tcW w:w="812" w:type="dxa"/>
            <w:noWrap w:val="0"/>
            <w:vAlign w:val="center"/>
          </w:tcPr>
          <w:p w14:paraId="17A55C16">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节能产品</w:t>
            </w:r>
          </w:p>
        </w:tc>
        <w:tc>
          <w:tcPr>
            <w:tcW w:w="831" w:type="dxa"/>
            <w:noWrap w:val="0"/>
            <w:vAlign w:val="center"/>
          </w:tcPr>
          <w:p w14:paraId="049E6FAD">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进口产品</w:t>
            </w:r>
          </w:p>
        </w:tc>
      </w:tr>
      <w:tr w14:paraId="743803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61" w:hRule="atLeast"/>
        </w:trPr>
        <w:tc>
          <w:tcPr>
            <w:tcW w:w="830" w:type="dxa"/>
            <w:noWrap w:val="0"/>
            <w:vAlign w:val="center"/>
          </w:tcPr>
          <w:p w14:paraId="4BE3458B">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包1</w:t>
            </w:r>
          </w:p>
        </w:tc>
        <w:tc>
          <w:tcPr>
            <w:tcW w:w="2308" w:type="dxa"/>
            <w:tcBorders>
              <w:left w:val="single" w:color="auto" w:sz="4" w:space="0"/>
            </w:tcBorders>
            <w:noWrap w:val="0"/>
            <w:vAlign w:val="center"/>
          </w:tcPr>
          <w:p w14:paraId="43B27AC4">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衡山县2026年城乡饮用水水质监测能力提升项目</w:t>
            </w:r>
          </w:p>
        </w:tc>
        <w:tc>
          <w:tcPr>
            <w:tcW w:w="1630" w:type="dxa"/>
            <w:tcBorders>
              <w:left w:val="single" w:color="auto" w:sz="4" w:space="0"/>
            </w:tcBorders>
            <w:noWrap w:val="0"/>
            <w:vAlign w:val="center"/>
          </w:tcPr>
          <w:p w14:paraId="678A30F9">
            <w:pPr>
              <w:keepNext w:val="0"/>
              <w:keepLines w:val="0"/>
              <w:widowControl/>
              <w:suppressLineNumbers w:val="0"/>
              <w:jc w:val="center"/>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详见磋商文件采购需求</w:t>
            </w:r>
          </w:p>
        </w:tc>
        <w:tc>
          <w:tcPr>
            <w:tcW w:w="598" w:type="dxa"/>
            <w:tcBorders>
              <w:left w:val="single" w:color="auto" w:sz="4" w:space="0"/>
            </w:tcBorders>
            <w:noWrap w:val="0"/>
            <w:vAlign w:val="center"/>
          </w:tcPr>
          <w:p w14:paraId="308C279B">
            <w:pPr>
              <w:keepNext w:val="0"/>
              <w:keepLines w:val="0"/>
              <w:widowControl/>
              <w:suppressLineNumbers w:val="0"/>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1</w:t>
            </w:r>
          </w:p>
        </w:tc>
        <w:tc>
          <w:tcPr>
            <w:tcW w:w="1207" w:type="dxa"/>
            <w:noWrap w:val="0"/>
            <w:vAlign w:val="center"/>
          </w:tcPr>
          <w:p w14:paraId="140E5F32">
            <w:pPr>
              <w:keepNext w:val="0"/>
              <w:keepLines w:val="0"/>
              <w:widowControl/>
              <w:suppressLineNumbers w:val="0"/>
              <w:jc w:val="center"/>
              <w:rPr>
                <w:rFonts w:hint="default" w:ascii="宋体" w:hAnsi="宋体" w:eastAsia="宋体" w:cs="宋体"/>
                <w:color w:val="auto"/>
                <w:kern w:val="1"/>
                <w:szCs w:val="21"/>
                <w:highlight w:val="none"/>
                <w:lang w:val="en-US" w:eastAsia="zh-CN"/>
              </w:rPr>
            </w:pPr>
            <w:r>
              <w:rPr>
                <w:rFonts w:hint="default" w:ascii="宋体" w:hAnsi="宋体" w:eastAsia="宋体" w:cs="宋体"/>
                <w:color w:val="auto"/>
                <w:kern w:val="1"/>
                <w:szCs w:val="21"/>
                <w:highlight w:val="none"/>
                <w:lang w:val="en-US" w:eastAsia="zh-CN"/>
              </w:rPr>
              <w:t>850525</w:t>
            </w:r>
            <w:r>
              <w:rPr>
                <w:rFonts w:hint="eastAsia" w:ascii="宋体" w:hAnsi="宋体" w:eastAsia="宋体" w:cs="宋体"/>
                <w:color w:val="auto"/>
                <w:kern w:val="1"/>
                <w:szCs w:val="21"/>
                <w:highlight w:val="none"/>
                <w:lang w:val="en-US" w:eastAsia="zh-CN"/>
              </w:rPr>
              <w:t>.00</w:t>
            </w:r>
          </w:p>
        </w:tc>
        <w:tc>
          <w:tcPr>
            <w:tcW w:w="1381" w:type="dxa"/>
            <w:noWrap w:val="0"/>
            <w:vAlign w:val="center"/>
          </w:tcPr>
          <w:p w14:paraId="5155D2AE">
            <w:pPr>
              <w:keepNext w:val="0"/>
              <w:keepLines w:val="0"/>
              <w:widowControl/>
              <w:suppressLineNumbers w:val="0"/>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850525.00</w:t>
            </w:r>
          </w:p>
        </w:tc>
        <w:tc>
          <w:tcPr>
            <w:tcW w:w="812" w:type="dxa"/>
            <w:noWrap w:val="0"/>
            <w:vAlign w:val="center"/>
          </w:tcPr>
          <w:p w14:paraId="09BE86A2">
            <w:pPr>
              <w:keepNext w:val="0"/>
              <w:keepLines w:val="0"/>
              <w:widowControl/>
              <w:suppressLineNumbers w:val="0"/>
              <w:jc w:val="center"/>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sym w:font="Wingdings" w:char="00A8"/>
            </w:r>
          </w:p>
        </w:tc>
        <w:tc>
          <w:tcPr>
            <w:tcW w:w="831" w:type="dxa"/>
            <w:noWrap w:val="0"/>
            <w:vAlign w:val="center"/>
          </w:tcPr>
          <w:p w14:paraId="74E59596">
            <w:pPr>
              <w:keepNext w:val="0"/>
              <w:keepLines w:val="0"/>
              <w:widowControl/>
              <w:suppressLineNumbers w:val="0"/>
              <w:jc w:val="center"/>
              <w:rPr>
                <w:rFonts w:hint="default" w:ascii="宋体" w:hAnsi="宋体" w:eastAsia="宋体" w:cs="宋体"/>
                <w:color w:val="auto"/>
                <w:kern w:val="1"/>
                <w:szCs w:val="21"/>
                <w:highlight w:val="none"/>
                <w:lang w:val="en-US" w:eastAsia="zh-CN"/>
              </w:rPr>
            </w:pPr>
            <w:r>
              <w:rPr>
                <w:rFonts w:hint="default" w:ascii="宋体" w:hAnsi="宋体" w:eastAsia="宋体" w:cs="宋体"/>
                <w:color w:val="auto"/>
                <w:kern w:val="1"/>
                <w:szCs w:val="21"/>
                <w:highlight w:val="none"/>
                <w:lang w:val="en-US" w:eastAsia="zh-CN"/>
              </w:rPr>
              <w:sym w:font="Wingdings" w:char="00A8"/>
            </w:r>
          </w:p>
        </w:tc>
      </w:tr>
    </w:tbl>
    <w:p w14:paraId="67CBE2C0">
      <w:pPr>
        <w:adjustRightInd w:val="0"/>
        <w:snapToGrid w:val="0"/>
        <w:spacing w:line="360" w:lineRule="auto"/>
        <w:ind w:firstLine="420" w:firstLineChars="200"/>
        <w:rPr>
          <w:rFonts w:ascii="宋体" w:hAnsi="宋体" w:eastAsia="宋体" w:cs="Times New Roman"/>
          <w:color w:val="auto"/>
          <w:kern w:val="1"/>
          <w:szCs w:val="21"/>
        </w:rPr>
      </w:pPr>
      <w:r>
        <w:rPr>
          <w:rFonts w:hint="eastAsia" w:ascii="宋体" w:hAnsi="宋体" w:eastAsia="宋体" w:cs="Times New Roman"/>
          <w:color w:val="auto"/>
          <w:kern w:val="1"/>
          <w:szCs w:val="21"/>
        </w:rPr>
        <w:t>说明</w:t>
      </w:r>
    </w:p>
    <w:p w14:paraId="519F49E8">
      <w:pPr>
        <w:adjustRightInd w:val="0"/>
        <w:snapToGrid w:val="0"/>
        <w:spacing w:line="360" w:lineRule="auto"/>
        <w:ind w:firstLine="420" w:firstLineChars="200"/>
        <w:rPr>
          <w:rFonts w:ascii="宋体" w:hAnsi="宋体" w:eastAsia="宋体" w:cs="Times New Roman"/>
          <w:color w:val="auto"/>
          <w:kern w:val="1"/>
          <w:szCs w:val="21"/>
        </w:rPr>
      </w:pPr>
      <w:r>
        <w:rPr>
          <w:rFonts w:hint="eastAsia" w:ascii="宋体" w:hAnsi="宋体" w:eastAsia="宋体" w:cs="Times New Roman"/>
          <w:color w:val="auto"/>
          <w:kern w:val="1"/>
          <w:szCs w:val="21"/>
        </w:rPr>
        <w:t>1.节能产品实行强制采购的，需提供国家认证机构出具的、处于有效期内的节能产品证书。</w:t>
      </w:r>
    </w:p>
    <w:p w14:paraId="20619765">
      <w:pPr>
        <w:adjustRightInd w:val="0"/>
        <w:snapToGrid w:val="0"/>
        <w:spacing w:line="360" w:lineRule="auto"/>
        <w:ind w:firstLine="420" w:firstLineChars="200"/>
        <w:rPr>
          <w:rFonts w:ascii="宋体" w:hAnsi="宋体" w:eastAsia="宋体" w:cs="Times New Roman"/>
          <w:b/>
          <w:color w:val="auto"/>
          <w:kern w:val="1"/>
          <w:szCs w:val="21"/>
        </w:rPr>
      </w:pPr>
      <w:r>
        <w:rPr>
          <w:rFonts w:hint="eastAsia" w:ascii="宋体" w:hAnsi="宋体" w:eastAsia="宋体" w:cs="Times New Roman"/>
          <w:color w:val="auto"/>
          <w:kern w:val="1"/>
          <w:szCs w:val="21"/>
        </w:rPr>
        <w:t>2.同意购买进口产品的，不限制满足采购需求的国内产品参与</w:t>
      </w:r>
      <w:r>
        <w:rPr>
          <w:rFonts w:hint="eastAsia" w:ascii="宋体" w:hAnsi="宋体" w:eastAsia="宋体" w:cs="Times New Roman"/>
          <w:color w:val="auto"/>
          <w:kern w:val="1"/>
          <w:szCs w:val="21"/>
          <w:lang w:eastAsia="zh-CN"/>
        </w:rPr>
        <w:t>磋商</w:t>
      </w:r>
      <w:r>
        <w:rPr>
          <w:rFonts w:hint="eastAsia" w:ascii="宋体" w:hAnsi="宋体" w:eastAsia="宋体" w:cs="Times New Roman"/>
          <w:color w:val="auto"/>
          <w:kern w:val="1"/>
          <w:szCs w:val="21"/>
        </w:rPr>
        <w:t>。</w:t>
      </w:r>
    </w:p>
    <w:p w14:paraId="0CD4A5CD">
      <w:pPr>
        <w:keepNext/>
        <w:keepLines/>
        <w:adjustRightInd w:val="0"/>
        <w:snapToGrid w:val="0"/>
        <w:spacing w:line="360" w:lineRule="auto"/>
        <w:outlineLvl w:val="0"/>
        <w:rPr>
          <w:rFonts w:ascii="黑体" w:hAnsi="黑体" w:eastAsia="黑体" w:cs="Times New Roman"/>
          <w:b/>
          <w:bCs/>
          <w:color w:val="auto"/>
          <w:kern w:val="1"/>
          <w:sz w:val="24"/>
          <w:szCs w:val="32"/>
        </w:rPr>
      </w:pPr>
      <w:bookmarkStart w:id="26" w:name="_Toc11913"/>
      <w:bookmarkStart w:id="27" w:name="_Toc19815"/>
      <w:bookmarkStart w:id="28" w:name="_Toc8578"/>
      <w:bookmarkStart w:id="29" w:name="_Toc2617"/>
      <w:bookmarkStart w:id="30" w:name="_Toc12837"/>
      <w:bookmarkStart w:id="31" w:name="_Toc15317"/>
      <w:bookmarkStart w:id="32" w:name="_Toc8874"/>
      <w:r>
        <w:rPr>
          <w:rFonts w:hint="eastAsia" w:ascii="黑体" w:hAnsi="黑体" w:eastAsia="黑体" w:cs="Times New Roman"/>
          <w:b/>
          <w:bCs/>
          <w:color w:val="auto"/>
          <w:kern w:val="1"/>
          <w:sz w:val="24"/>
          <w:szCs w:val="32"/>
        </w:rPr>
        <w:t>三、采购项目需落实的政府采购政策</w:t>
      </w:r>
      <w:bookmarkEnd w:id="26"/>
      <w:bookmarkEnd w:id="27"/>
      <w:bookmarkEnd w:id="28"/>
      <w:bookmarkEnd w:id="29"/>
      <w:bookmarkEnd w:id="30"/>
      <w:bookmarkEnd w:id="31"/>
      <w:bookmarkEnd w:id="32"/>
    </w:p>
    <w:p w14:paraId="4F0A4407">
      <w:pPr>
        <w:keepNext/>
        <w:keepLines/>
        <w:adjustRightInd w:val="0"/>
        <w:snapToGrid w:val="0"/>
        <w:spacing w:line="360" w:lineRule="auto"/>
        <w:ind w:firstLine="630" w:firstLineChars="300"/>
        <w:outlineLvl w:val="9"/>
        <w:rPr>
          <w:rFonts w:hint="eastAsia" w:ascii="Times New Roman" w:hAnsi="Times New Roman" w:eastAsia="宋体" w:cs="Times New Roman"/>
          <w:color w:val="auto"/>
          <w:kern w:val="2"/>
          <w:sz w:val="21"/>
          <w:szCs w:val="21"/>
          <w:lang w:val="en-US" w:eastAsia="zh-CN" w:bidi="ar-SA"/>
        </w:rPr>
      </w:pPr>
      <w:bookmarkStart w:id="33" w:name="_Toc107997941"/>
      <w:bookmarkStart w:id="34" w:name="_Toc16460"/>
      <w:bookmarkStart w:id="35" w:name="_Toc3710"/>
      <w:bookmarkStart w:id="36" w:name="_Toc29182"/>
      <w:bookmarkStart w:id="37" w:name="_Toc62225405"/>
      <w:bookmarkStart w:id="38" w:name="_Toc28359013"/>
      <w:bookmarkStart w:id="39" w:name="_Toc28359090"/>
      <w:bookmarkStart w:id="40" w:name="_Toc35393799"/>
      <w:bookmarkStart w:id="41" w:name="_Toc35393630"/>
      <w:bookmarkStart w:id="42" w:name="_Toc10977"/>
      <w:r>
        <w:rPr>
          <w:rFonts w:hint="eastAsia" w:ascii="Times New Roman" w:hAnsi="Times New Roman" w:eastAsia="宋体" w:cs="Times New Roman"/>
          <w:color w:val="auto"/>
          <w:kern w:val="2"/>
          <w:sz w:val="21"/>
          <w:szCs w:val="21"/>
          <w:lang w:val="en-US" w:eastAsia="zh-CN" w:bidi="ar-SA"/>
        </w:rPr>
        <w:t>1、优先采购：节能产品、环境标志产品、两型产品享受加分或价格折扣。</w:t>
      </w:r>
    </w:p>
    <w:p w14:paraId="34292279">
      <w:pPr>
        <w:keepNext/>
        <w:keepLines/>
        <w:adjustRightInd w:val="0"/>
        <w:snapToGrid w:val="0"/>
        <w:spacing w:line="360" w:lineRule="auto"/>
        <w:ind w:firstLine="630" w:firstLineChars="300"/>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2、支持中小企业：中小企业享受预留采购份额或价格折扣。</w:t>
      </w:r>
    </w:p>
    <w:p w14:paraId="2A582493">
      <w:pPr>
        <w:keepNext/>
        <w:keepLines/>
        <w:adjustRightInd w:val="0"/>
        <w:snapToGrid w:val="0"/>
        <w:spacing w:line="360" w:lineRule="auto"/>
        <w:outlineLvl w:val="0"/>
        <w:rPr>
          <w:rFonts w:ascii="黑体" w:hAnsi="黑体" w:eastAsia="黑体" w:cs="Times New Roman"/>
          <w:b/>
          <w:bCs/>
          <w:color w:val="auto"/>
          <w:kern w:val="1"/>
          <w:sz w:val="24"/>
          <w:szCs w:val="32"/>
        </w:rPr>
      </w:pPr>
      <w:bookmarkStart w:id="43" w:name="_Toc19307"/>
      <w:bookmarkStart w:id="44" w:name="_Toc15139"/>
      <w:bookmarkStart w:id="45" w:name="_Toc17043"/>
      <w:r>
        <w:rPr>
          <w:rFonts w:hint="eastAsia" w:ascii="黑体" w:hAnsi="黑体" w:eastAsia="黑体" w:cs="Times New Roman"/>
          <w:b/>
          <w:bCs/>
          <w:color w:val="auto"/>
          <w:kern w:val="1"/>
          <w:sz w:val="24"/>
          <w:szCs w:val="32"/>
        </w:rPr>
        <w:t>四、</w:t>
      </w:r>
      <w:r>
        <w:rPr>
          <w:rFonts w:hint="eastAsia" w:ascii="黑体" w:hAnsi="黑体" w:eastAsia="黑体" w:cs="Times New Roman"/>
          <w:b/>
          <w:bCs/>
          <w:color w:val="auto"/>
          <w:kern w:val="1"/>
          <w:sz w:val="24"/>
          <w:szCs w:val="32"/>
          <w:lang w:val="en-US" w:eastAsia="zh-CN"/>
        </w:rPr>
        <w:t>投标人</w:t>
      </w:r>
      <w:r>
        <w:rPr>
          <w:rFonts w:hint="eastAsia" w:ascii="黑体" w:hAnsi="黑体" w:eastAsia="黑体" w:cs="Times New Roman"/>
          <w:b/>
          <w:bCs/>
          <w:color w:val="auto"/>
          <w:kern w:val="1"/>
          <w:sz w:val="24"/>
          <w:szCs w:val="32"/>
        </w:rPr>
        <w:t>的资格要求</w:t>
      </w:r>
      <w:bookmarkEnd w:id="33"/>
      <w:bookmarkEnd w:id="34"/>
      <w:bookmarkEnd w:id="35"/>
      <w:bookmarkEnd w:id="36"/>
      <w:bookmarkEnd w:id="37"/>
      <w:bookmarkEnd w:id="38"/>
      <w:bookmarkEnd w:id="39"/>
      <w:bookmarkEnd w:id="40"/>
      <w:bookmarkEnd w:id="41"/>
      <w:bookmarkEnd w:id="42"/>
      <w:bookmarkEnd w:id="43"/>
      <w:bookmarkEnd w:id="44"/>
      <w:bookmarkEnd w:id="45"/>
    </w:p>
    <w:p w14:paraId="102BFEDC">
      <w:pPr>
        <w:widowControl w:val="0"/>
        <w:spacing w:after="120"/>
        <w:ind w:firstLine="630" w:firstLineChars="300"/>
        <w:jc w:val="both"/>
        <w:rPr>
          <w:rFonts w:hint="eastAsia" w:ascii="Times New Roman" w:hAnsi="Times New Roman" w:eastAsia="宋体" w:cs="Times New Roman"/>
          <w:color w:val="auto"/>
          <w:kern w:val="2"/>
          <w:sz w:val="21"/>
          <w:szCs w:val="21"/>
          <w:lang w:val="en-US" w:eastAsia="zh-CN" w:bidi="ar-SA"/>
        </w:rPr>
      </w:pPr>
      <w:bookmarkStart w:id="46" w:name="_Toc22244"/>
      <w:bookmarkStart w:id="47" w:name="_Toc7753"/>
      <w:bookmarkStart w:id="48" w:name="_Toc27684"/>
      <w:r>
        <w:rPr>
          <w:rFonts w:hint="eastAsia" w:ascii="Times New Roman" w:hAnsi="Times New Roman" w:eastAsia="宋体" w:cs="Times New Roman"/>
          <w:color w:val="auto"/>
          <w:kern w:val="2"/>
          <w:sz w:val="21"/>
          <w:szCs w:val="21"/>
          <w:lang w:val="en-US" w:eastAsia="zh-CN" w:bidi="ar-SA"/>
        </w:rPr>
        <w:t>1、投标人的基本资格条件：投标人必须是在中华人民共和国境内注册登记的法人、其他组织或者自然人，且应当符合《政府采购法》第二十二条第一款的规定。</w:t>
      </w:r>
    </w:p>
    <w:p w14:paraId="3C54AA88">
      <w:pPr>
        <w:widowControl w:val="0"/>
        <w:spacing w:after="120"/>
        <w:ind w:firstLine="630" w:firstLineChars="30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2、落实政府采购政策需满足的资格要求：</w:t>
      </w:r>
    </w:p>
    <w:p w14:paraId="0F7C7695">
      <w:pPr>
        <w:widowControl w:val="0"/>
        <w:spacing w:after="120"/>
        <w:ind w:firstLine="630" w:firstLineChars="30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□专门面向：</w:t>
      </w:r>
      <w:r>
        <w:rPr>
          <w:rFonts w:hint="eastAsia" w:ascii="Times New Roman" w:hAnsi="Times New Roman" w:eastAsia="宋体" w:cs="Times New Roman"/>
          <w:color w:val="auto"/>
          <w:kern w:val="2"/>
          <w:sz w:val="21"/>
          <w:szCs w:val="21"/>
          <w:lang w:val="en-US" w:eastAsia="zh-CN" w:bidi="ar-SA"/>
        </w:rPr>
        <mc:AlternateContent>
          <mc:Choice Requires="wps">
            <w:drawing>
              <wp:inline distT="0" distB="0" distL="114300" distR="114300">
                <wp:extent cx="9525" cy="9525"/>
                <wp:effectExtent l="0" t="0" r="0" b="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25" cy="9525"/>
                        </a:xfrm>
                        <a:prstGeom prst="rect">
                          <a:avLst/>
                        </a:prstGeom>
                        <a:noFill/>
                        <a:ln>
                          <a:noFill/>
                        </a:ln>
                        <a:effectLst/>
                      </wps:spPr>
                      <wps:bodyPr upright="1"/>
                    </wps:wsp>
                  </a:graphicData>
                </a:graphic>
              </wp:inline>
            </w:drawing>
          </mc:Choice>
          <mc:Fallback>
            <w:pict>
              <v:rect id="_x0000_s1026" o:spid="_x0000_s1026" o:spt="1" style="height:0.75pt;width:0.75pt;" filled="f" stroked="f" coordsize="21600,21600" o:gfxdata="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SnY9oNAAAAABAQAA&#10;DwAAAAAAAAABACAAAAAiAAAAZHJzL2Rvd25yZXYueG1sUEsBAhQAFAAAAAgAh07iQBRlhX6vAQAA&#10;awMAAA4AAAAAAAAAAQAgAAAAHwEAAGRycy9lMm9Eb2MueG1sUEsFBgAAAAAGAAYAWQEAAEAFAAAA&#10;AA==&#10;">
                <v:fill on="f" focussize="0,0"/>
                <v:stroke on="f"/>
                <v:imagedata o:title=""/>
                <o:lock v:ext="edit" aspectratio="t"/>
                <w10:wrap type="none"/>
                <w10:anchorlock/>
              </v:rect>
            </w:pict>
          </mc:Fallback>
        </mc:AlternateContent>
      </w:r>
      <w:r>
        <w:rPr>
          <w:rFonts w:hint="eastAsia" w:ascii="Times New Roman" w:hAnsi="Times New Roman" w:eastAsia="宋体" w:cs="Times New Roman"/>
          <w:color w:val="auto"/>
          <w:kern w:val="2"/>
          <w:sz w:val="21"/>
          <w:szCs w:val="21"/>
          <w:lang w:val="en-US" w:eastAsia="zh-CN" w:bidi="ar-SA"/>
        </w:rPr>
        <w:t>□中小企业</w:t>
      </w:r>
      <w:r>
        <w:rPr>
          <w:rFonts w:hint="eastAsia" w:ascii="Times New Roman" w:hAnsi="Times New Roman" w:eastAsia="宋体" w:cs="Times New Roman"/>
          <w:color w:val="auto"/>
          <w:kern w:val="2"/>
          <w:sz w:val="21"/>
          <w:szCs w:val="21"/>
          <w:lang w:val="en-US" w:eastAsia="zh-CN" w:bidi="ar-SA"/>
        </w:rPr>
        <mc:AlternateContent>
          <mc:Choice Requires="wps">
            <w:drawing>
              <wp:inline distT="0" distB="0" distL="114300" distR="114300">
                <wp:extent cx="9525" cy="9525"/>
                <wp:effectExtent l="0" t="0" r="0" b="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25" cy="9525"/>
                        </a:xfrm>
                        <a:prstGeom prst="rect">
                          <a:avLst/>
                        </a:prstGeom>
                        <a:noFill/>
                        <a:ln>
                          <a:noFill/>
                        </a:ln>
                        <a:effectLst/>
                      </wps:spPr>
                      <wps:bodyPr upright="1"/>
                    </wps:wsp>
                  </a:graphicData>
                </a:graphic>
              </wp:inline>
            </w:drawing>
          </mc:Choice>
          <mc:Fallback>
            <w:pict>
              <v:rect id="_x0000_s1026" o:spid="_x0000_s1026" o:spt="1" style="height:0.75pt;width:0.75pt;" filled="f" stroked="f" coordsize="21600,21600" o:gfxdata="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Kdj2g0AAAAAEBAAAP&#10;AAAAAAAAAAEAIAAAACIAAABkcnMvZG93bnJldi54bWxQSwECFAAUAAAACACHTuJAaZsBwa4BAABr&#10;AwAADgAAAAAAAAABACAAAAAfAQAAZHJzL2Uyb0RvYy54bWxQSwUGAAAAAAYABgBZAQAAPwUAAAAA&#10;">
                <v:fill on="f" focussize="0,0"/>
                <v:stroke on="f"/>
                <v:imagedata o:title=""/>
                <o:lock v:ext="edit" aspectratio="t"/>
                <w10:wrap type="none"/>
                <w10:anchorlock/>
              </v:rect>
            </w:pict>
          </mc:Fallback>
        </mc:AlternateContent>
      </w:r>
      <w:bookmarkStart w:id="49" w:name="EB7ab25f9fac4c4b65b75a63852056531a"/>
      <w:r>
        <w:rPr>
          <w:rFonts w:hint="eastAsia" w:ascii="Times New Roman" w:hAnsi="Times New Roman" w:eastAsia="宋体" w:cs="Times New Roman"/>
          <w:color w:val="auto"/>
          <w:kern w:val="2"/>
          <w:sz w:val="21"/>
          <w:szCs w:val="21"/>
          <w:lang w:val="en-US" w:eastAsia="zh-CN" w:bidi="ar-SA"/>
        </w:rPr>
        <w:t>□</w:t>
      </w:r>
      <w:bookmarkEnd w:id="49"/>
      <w:r>
        <w:rPr>
          <w:rFonts w:hint="eastAsia" w:ascii="Times New Roman" w:hAnsi="Times New Roman" w:eastAsia="宋体" w:cs="Times New Roman"/>
          <w:color w:val="auto"/>
          <w:kern w:val="2"/>
          <w:sz w:val="21"/>
          <w:szCs w:val="21"/>
          <w:lang w:val="en-US" w:eastAsia="zh-CN" w:bidi="ar-SA"/>
        </w:rPr>
        <w:t>小微企业</w:t>
      </w:r>
      <w:r>
        <w:rPr>
          <w:rFonts w:hint="eastAsia" w:ascii="Times New Roman" w:hAnsi="Times New Roman" w:eastAsia="宋体" w:cs="Times New Roman"/>
          <w:color w:val="auto"/>
          <w:kern w:val="2"/>
          <w:sz w:val="21"/>
          <w:szCs w:val="21"/>
          <w:lang w:val="en-US" w:eastAsia="zh-CN" w:bidi="ar-SA"/>
        </w:rPr>
        <mc:AlternateContent>
          <mc:Choice Requires="wps">
            <w:drawing>
              <wp:inline distT="0" distB="0" distL="114300" distR="114300">
                <wp:extent cx="9525" cy="9525"/>
                <wp:effectExtent l="0" t="0" r="0" b="0"/>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25" cy="9525"/>
                        </a:xfrm>
                        <a:prstGeom prst="rect">
                          <a:avLst/>
                        </a:prstGeom>
                        <a:noFill/>
                        <a:ln>
                          <a:noFill/>
                        </a:ln>
                        <a:effectLst/>
                      </wps:spPr>
                      <wps:bodyPr upright="1"/>
                    </wps:wsp>
                  </a:graphicData>
                </a:graphic>
              </wp:inline>
            </w:drawing>
          </mc:Choice>
          <mc:Fallback>
            <w:pict>
              <v:rect id="_x0000_s1026" o:spid="_x0000_s1026" o:spt="1" style="height:0.75pt;width:0.75pt;" filled="f" stroked="f" coordsize="21600,21600" o:gfxdata="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Kdj2g0AAAAAEBAAAP&#10;AAAAAAAAAAEAIAAAACIAAABkcnMvZG93bnJldi54bWxQSwECFAAUAAAACACHTuJAMgEr7q4BAABr&#10;AwAADgAAAAAAAAABACAAAAAfAQAAZHJzL2Uyb0RvYy54bWxQSwUGAAAAAAYABgBZAQAAPwUAAAAA&#10;">
                <v:fill on="f" focussize="0,0"/>
                <v:stroke on="f"/>
                <v:imagedata o:title=""/>
                <o:lock v:ext="edit" aspectratio="t"/>
                <w10:wrap type="none"/>
                <w10:anchorlock/>
              </v:rect>
            </w:pict>
          </mc:Fallback>
        </mc:AlternateContent>
      </w:r>
      <w:bookmarkStart w:id="50" w:name="EB4d4b9e94d876453fa1a09a6166f050d7"/>
      <w:r>
        <w:rPr>
          <w:rFonts w:hint="eastAsia" w:ascii="Times New Roman" w:hAnsi="Times New Roman" w:eastAsia="宋体" w:cs="Times New Roman"/>
          <w:color w:val="auto"/>
          <w:kern w:val="2"/>
          <w:sz w:val="21"/>
          <w:szCs w:val="21"/>
          <w:lang w:val="en-US" w:eastAsia="zh-CN" w:bidi="ar-SA"/>
        </w:rPr>
        <w:t>□</w:t>
      </w:r>
      <w:bookmarkEnd w:id="50"/>
      <w:r>
        <w:rPr>
          <w:rFonts w:hint="eastAsia" w:ascii="Times New Roman" w:hAnsi="Times New Roman" w:eastAsia="宋体" w:cs="Times New Roman"/>
          <w:color w:val="auto"/>
          <w:kern w:val="2"/>
          <w:sz w:val="21"/>
          <w:szCs w:val="21"/>
          <w:lang w:val="en-US" w:eastAsia="zh-CN" w:bidi="ar-SA"/>
        </w:rPr>
        <w:t>监狱企业</w:t>
      </w:r>
      <w:r>
        <w:rPr>
          <w:rFonts w:hint="eastAsia" w:ascii="Times New Roman" w:hAnsi="Times New Roman" w:eastAsia="宋体" w:cs="Times New Roman"/>
          <w:color w:val="auto"/>
          <w:kern w:val="2"/>
          <w:sz w:val="21"/>
          <w:szCs w:val="21"/>
          <w:lang w:val="en-US" w:eastAsia="zh-CN" w:bidi="ar-SA"/>
        </w:rPr>
        <mc:AlternateContent>
          <mc:Choice Requires="wps">
            <w:drawing>
              <wp:inline distT="0" distB="0" distL="114300" distR="114300">
                <wp:extent cx="9525" cy="9525"/>
                <wp:effectExtent l="0" t="0" r="0" b="0"/>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25" cy="9525"/>
                        </a:xfrm>
                        <a:prstGeom prst="rect">
                          <a:avLst/>
                        </a:prstGeom>
                        <a:noFill/>
                        <a:ln>
                          <a:noFill/>
                        </a:ln>
                        <a:effectLst/>
                      </wps:spPr>
                      <wps:bodyPr upright="1"/>
                    </wps:wsp>
                  </a:graphicData>
                </a:graphic>
              </wp:inline>
            </w:drawing>
          </mc:Choice>
          <mc:Fallback>
            <w:pict>
              <v:rect id="_x0000_s1026" o:spid="_x0000_s1026" o:spt="1" style="height:0.75pt;width:0.75pt;" filled="f" stroked="f" coordsize="21600,21600" o:gfxdata="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SnY9oNAAAAABAQAA&#10;DwAAAAAAAAABACAAAAAiAAAAZHJzL2Rvd25yZXYueG1sUEsBAhQAFAAAAAgAh07iQEIxgquvAQAA&#10;awMAAA4AAAAAAAAAAQAgAAAAHwEAAGRycy9lMm9Eb2MueG1sUEsFBgAAAAAGAAYAWQEAAEAFAAAA&#10;AA==&#10;">
                <v:fill on="f" focussize="0,0"/>
                <v:stroke on="f"/>
                <v:imagedata o:title=""/>
                <o:lock v:ext="edit" aspectratio="t"/>
                <w10:wrap type="none"/>
                <w10:anchorlock/>
              </v:rect>
            </w:pict>
          </mc:Fallback>
        </mc:AlternateContent>
      </w:r>
      <w:bookmarkStart w:id="51" w:name="EB9290ff7bcb34489ba1bbacd0fd6fb824"/>
      <w:r>
        <w:rPr>
          <w:rFonts w:hint="eastAsia" w:ascii="Times New Roman" w:hAnsi="Times New Roman" w:eastAsia="宋体" w:cs="Times New Roman"/>
          <w:color w:val="auto"/>
          <w:kern w:val="2"/>
          <w:sz w:val="21"/>
          <w:szCs w:val="21"/>
          <w:lang w:val="en-US" w:eastAsia="zh-CN" w:bidi="ar-SA"/>
        </w:rPr>
        <w:t>□</w:t>
      </w:r>
      <w:bookmarkEnd w:id="51"/>
      <w:r>
        <w:rPr>
          <w:rFonts w:hint="eastAsia" w:ascii="Times New Roman" w:hAnsi="Times New Roman" w:eastAsia="宋体" w:cs="Times New Roman"/>
          <w:color w:val="auto"/>
          <w:kern w:val="2"/>
          <w:sz w:val="21"/>
          <w:szCs w:val="21"/>
          <w:lang w:val="en-US" w:eastAsia="zh-CN" w:bidi="ar-SA"/>
        </w:rPr>
        <w:t>福利性单位</w:t>
      </w:r>
    </w:p>
    <w:p w14:paraId="74F5A3A5">
      <w:pPr>
        <w:widowControl w:val="0"/>
        <w:spacing w:after="120"/>
        <w:ind w:firstLine="630" w:firstLineChars="300"/>
        <w:jc w:val="both"/>
        <w:rPr>
          <w:rFonts w:hint="eastAsia" w:ascii="Times New Roman" w:hAnsi="Times New Roman" w:eastAsia="宋体" w:cs="Times New Roman"/>
          <w:color w:val="auto"/>
          <w:kern w:val="2"/>
          <w:sz w:val="21"/>
          <w:szCs w:val="21"/>
          <w:lang w:val="en-US" w:eastAsia="zh-CN" w:bidi="ar-SA"/>
        </w:rPr>
      </w:pPr>
      <w:bookmarkStart w:id="52" w:name="EB6699f62efe174542b91d1c59cd9d17d7"/>
      <w:r>
        <w:rPr>
          <w:rFonts w:hint="eastAsia" w:ascii="Times New Roman" w:hAnsi="Times New Roman" w:eastAsia="宋体" w:cs="Times New Roman"/>
          <w:color w:val="auto"/>
          <w:kern w:val="2"/>
          <w:sz w:val="21"/>
          <w:szCs w:val="21"/>
          <w:lang w:val="en-US" w:eastAsia="zh-CN" w:bidi="ar-SA"/>
        </w:rPr>
        <w:t>□</w:t>
      </w:r>
      <w:bookmarkEnd w:id="52"/>
      <w:r>
        <w:rPr>
          <w:rFonts w:hint="eastAsia" w:ascii="Times New Roman" w:hAnsi="Times New Roman" w:eastAsia="宋体" w:cs="Times New Roman"/>
          <w:color w:val="auto"/>
          <w:kern w:val="2"/>
          <w:sz w:val="21"/>
          <w:szCs w:val="21"/>
          <w:lang w:val="en-US" w:eastAsia="zh-CN" w:bidi="ar-SA"/>
        </w:rPr>
        <mc:AlternateContent>
          <mc:Choice Requires="wps">
            <w:drawing>
              <wp:inline distT="0" distB="0" distL="114300" distR="114300">
                <wp:extent cx="9525" cy="9525"/>
                <wp:effectExtent l="0" t="0" r="0" b="0"/>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25" cy="9525"/>
                        </a:xfrm>
                        <a:prstGeom prst="rect">
                          <a:avLst/>
                        </a:prstGeom>
                        <a:noFill/>
                        <a:ln>
                          <a:noFill/>
                        </a:ln>
                        <a:effectLst/>
                      </wps:spPr>
                      <wps:bodyPr upright="1"/>
                    </wps:wsp>
                  </a:graphicData>
                </a:graphic>
              </wp:inline>
            </w:drawing>
          </mc:Choice>
          <mc:Fallback>
            <w:pict>
              <v:rect id="_x0000_s1026" o:spid="_x0000_s1026" o:spt="1" style="height:0.75pt;width:0.75pt;" filled="f" stroked="f" coordsize="21600,21600" o:gfxdata="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SnY9oNAAAAABAQAA&#10;DwAAAAAAAAABACAAAAAiAAAAZHJzL2Rvd25yZXYueG1sUEsBAhQAFAAAAAgAh07iQBmrqISvAQAA&#10;awMAAA4AAAAAAAAAAQAgAAAAHwEAAGRycy9lMm9Eb2MueG1sUEsFBgAAAAAGAAYAWQEAAEAFAAAA&#10;AA==&#10;">
                <v:fill on="f" focussize="0,0"/>
                <v:stroke on="f"/>
                <v:imagedata o:title=""/>
                <o:lock v:ext="edit" aspectratio="t"/>
                <w10:wrap type="none"/>
                <w10:anchorlock/>
              </v:rect>
            </w:pict>
          </mc:Fallback>
        </mc:AlternateContent>
      </w:r>
      <w:r>
        <w:rPr>
          <w:rFonts w:hint="eastAsia" w:ascii="Times New Roman" w:hAnsi="Times New Roman" w:eastAsia="宋体" w:cs="Times New Roman"/>
          <w:color w:val="auto"/>
          <w:kern w:val="2"/>
          <w:sz w:val="21"/>
          <w:szCs w:val="21"/>
          <w:lang w:val="en-US" w:eastAsia="zh-CN" w:bidi="ar-SA"/>
        </w:rPr>
        <w:t>强制分包（非专门面向）：大型企业应将采购份额的</w:t>
      </w:r>
      <w:r>
        <w:rPr>
          <w:rFonts w:hint="eastAsia" w:ascii="Times New Roman" w:hAnsi="Times New Roman" w:eastAsia="宋体" w:cs="Times New Roman"/>
          <w:color w:val="auto"/>
          <w:kern w:val="2"/>
          <w:sz w:val="21"/>
          <w:szCs w:val="21"/>
          <w:u w:val="single"/>
          <w:lang w:val="en-US" w:eastAsia="zh-CN" w:bidi="ar-SA"/>
        </w:rPr>
        <w:t>/</w:t>
      </w:r>
      <w:r>
        <w:rPr>
          <w:rFonts w:hint="eastAsia" w:ascii="Times New Roman" w:hAnsi="Times New Roman" w:eastAsia="宋体" w:cs="Times New Roman"/>
          <w:color w:val="auto"/>
          <w:kern w:val="2"/>
          <w:sz w:val="21"/>
          <w:szCs w:val="21"/>
          <w:lang w:val="en-US" w:eastAsia="zh-CN" w:bidi="ar-SA"/>
        </w:rPr>
        <w:t>%分包给中小企业。</w:t>
      </w:r>
    </w:p>
    <w:p w14:paraId="7A7BC244">
      <w:pPr>
        <w:widowControl w:val="0"/>
        <w:spacing w:after="120"/>
        <w:ind w:firstLine="630" w:firstLineChars="300"/>
        <w:jc w:val="both"/>
        <w:rPr>
          <w:rFonts w:hint="eastAsia" w:ascii="Times New Roman" w:hAnsi="Times New Roman" w:eastAsia="宋体" w:cs="Times New Roman"/>
          <w:color w:val="auto"/>
          <w:kern w:val="2"/>
          <w:sz w:val="21"/>
          <w:szCs w:val="21"/>
          <w:highlight w:val="yellow"/>
          <w:lang w:val="en-US" w:eastAsia="zh-CN" w:bidi="ar-SA"/>
        </w:rPr>
      </w:pPr>
      <w:r>
        <w:rPr>
          <w:rFonts w:hint="eastAsia" w:ascii="Times New Roman" w:hAnsi="Times New Roman" w:eastAsia="宋体" w:cs="Times New Roman"/>
          <w:color w:val="auto"/>
          <w:kern w:val="2"/>
          <w:sz w:val="21"/>
          <w:szCs w:val="21"/>
          <w:lang w:val="en-US" w:eastAsia="zh-CN" w:bidi="ar-SA"/>
        </w:rPr>
        <w:t>3、供应商特定资格条件：</w:t>
      </w:r>
      <w:r>
        <w:rPr>
          <w:rFonts w:hint="eastAsia" w:eastAsia="宋体" w:cs="Times New Roman"/>
          <w:color w:val="auto"/>
          <w:highlight w:val="none"/>
          <w:lang w:val="en-US" w:eastAsia="zh-CN"/>
        </w:rPr>
        <w:t>无</w:t>
      </w:r>
      <w:r>
        <w:rPr>
          <w:rFonts w:hint="eastAsia" w:eastAsia="宋体" w:cs="Times New Roman"/>
          <w:color w:val="auto"/>
          <w:highlight w:val="none"/>
          <w:lang w:eastAsia="zh-CN"/>
        </w:rPr>
        <w:t>。</w:t>
      </w:r>
    </w:p>
    <w:p w14:paraId="1C712C5B">
      <w:pPr>
        <w:widowControl w:val="0"/>
        <w:spacing w:after="120"/>
        <w:ind w:firstLine="630" w:firstLineChars="30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4、单位负责人为同一人或者存在直接控股、管理关系的不同供应商，不得参加同一合同项下的政府采购活动。</w:t>
      </w:r>
    </w:p>
    <w:p w14:paraId="7FE3853F">
      <w:pPr>
        <w:widowControl w:val="0"/>
        <w:spacing w:after="120"/>
        <w:ind w:firstLine="630" w:firstLineChars="30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5、为本采购项目提供整体设计、规范编制或者项目管理、监理、检测等服务的，不得再参加此项目的其他采购活动。</w:t>
      </w:r>
    </w:p>
    <w:p w14:paraId="6F5EE737">
      <w:pPr>
        <w:widowControl w:val="0"/>
        <w:spacing w:after="120"/>
        <w:ind w:firstLine="630" w:firstLineChars="30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6、列入失信被执行人、重大税收违法案件当事人名单，列入政府采购严重违法失信行为记录名单的，拒绝其参与政府采购活动。</w:t>
      </w:r>
    </w:p>
    <w:p w14:paraId="79719DB9">
      <w:pPr>
        <w:widowControl w:val="0"/>
        <w:spacing w:after="120"/>
        <w:ind w:firstLine="630" w:firstLineChars="30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7、本次招标</w:t>
      </w:r>
      <w:r>
        <w:rPr>
          <w:rFonts w:hint="eastAsia" w:ascii="Times New Roman" w:hAnsi="Times New Roman" w:eastAsia="宋体" w:cs="Times New Roman"/>
          <w:color w:val="auto"/>
          <w:kern w:val="2"/>
          <w:sz w:val="21"/>
          <w:szCs w:val="21"/>
          <w:u w:val="single"/>
          <w:lang w:val="en-US" w:eastAsia="zh-CN" w:bidi="ar-SA"/>
        </w:rPr>
        <w:t>不接受</w:t>
      </w:r>
      <w:r>
        <w:rPr>
          <w:rFonts w:hint="eastAsia" w:ascii="Times New Roman" w:hAnsi="Times New Roman" w:eastAsia="宋体" w:cs="Times New Roman"/>
          <w:color w:val="auto"/>
          <w:kern w:val="2"/>
          <w:sz w:val="21"/>
          <w:szCs w:val="21"/>
          <w:lang w:val="en-US" w:eastAsia="zh-CN" w:bidi="ar-SA"/>
        </w:rPr>
        <w:t>联合体投标。</w:t>
      </w:r>
    </w:p>
    <w:p w14:paraId="32641034">
      <w:pPr>
        <w:keepNext/>
        <w:keepLines/>
        <w:adjustRightInd w:val="0"/>
        <w:snapToGrid w:val="0"/>
        <w:spacing w:line="360" w:lineRule="auto"/>
        <w:outlineLvl w:val="0"/>
        <w:rPr>
          <w:rFonts w:hint="eastAsia" w:ascii="黑体" w:hAnsi="黑体" w:eastAsia="黑体" w:cs="Times New Roman"/>
          <w:b/>
          <w:bCs/>
          <w:color w:val="auto"/>
          <w:kern w:val="1"/>
          <w:sz w:val="24"/>
          <w:szCs w:val="32"/>
          <w:lang w:val="en-US" w:eastAsia="zh-CN"/>
        </w:rPr>
      </w:pPr>
      <w:bookmarkStart w:id="53" w:name="_Toc22562"/>
      <w:bookmarkStart w:id="54" w:name="_Toc9462"/>
      <w:bookmarkStart w:id="55" w:name="_Toc17623"/>
      <w:r>
        <w:rPr>
          <w:rFonts w:hint="eastAsia" w:ascii="黑体" w:hAnsi="黑体" w:eastAsia="黑体" w:cs="Times New Roman"/>
          <w:b/>
          <w:bCs/>
          <w:color w:val="auto"/>
          <w:kern w:val="1"/>
          <w:sz w:val="24"/>
          <w:szCs w:val="32"/>
          <w:lang w:eastAsia="zh-CN"/>
        </w:rPr>
        <w:t>五</w:t>
      </w:r>
      <w:r>
        <w:rPr>
          <w:rFonts w:hint="eastAsia" w:ascii="黑体" w:hAnsi="黑体" w:eastAsia="黑体" w:cs="Times New Roman"/>
          <w:b/>
          <w:bCs/>
          <w:color w:val="auto"/>
          <w:kern w:val="1"/>
          <w:sz w:val="24"/>
          <w:szCs w:val="32"/>
        </w:rPr>
        <w:t>、获取</w:t>
      </w:r>
      <w:bookmarkEnd w:id="46"/>
      <w:bookmarkEnd w:id="47"/>
      <w:bookmarkEnd w:id="48"/>
      <w:bookmarkEnd w:id="53"/>
      <w:bookmarkEnd w:id="54"/>
      <w:bookmarkEnd w:id="55"/>
      <w:r>
        <w:rPr>
          <w:rFonts w:hint="eastAsia" w:ascii="黑体" w:hAnsi="黑体" w:eastAsia="黑体" w:cs="Times New Roman"/>
          <w:b/>
          <w:bCs/>
          <w:color w:val="auto"/>
          <w:kern w:val="1"/>
          <w:sz w:val="24"/>
          <w:szCs w:val="32"/>
          <w:lang w:val="en-US" w:eastAsia="zh-CN"/>
        </w:rPr>
        <w:t>磋商文件的时间、地点及方式</w:t>
      </w:r>
    </w:p>
    <w:p w14:paraId="0B30518D">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bookmarkStart w:id="56" w:name="_Toc14757"/>
      <w:bookmarkStart w:id="57" w:name="_Toc11073"/>
      <w:bookmarkStart w:id="58" w:name="_Toc10429"/>
      <w:r>
        <w:rPr>
          <w:rFonts w:hint="eastAsia" w:ascii="宋体" w:hAnsi="宋体" w:eastAsia="宋体" w:cs="宋体"/>
          <w:color w:val="auto"/>
          <w:kern w:val="2"/>
          <w:sz w:val="21"/>
          <w:szCs w:val="21"/>
          <w:lang w:val="en-US" w:eastAsia="zh-CN" w:bidi="ar-SA"/>
        </w:rPr>
        <w:t>1、有意参加投标</w:t>
      </w:r>
      <w:r>
        <w:rPr>
          <w:rFonts w:hint="eastAsia" w:ascii="宋体" w:hAnsi="宋体" w:eastAsia="宋体" w:cs="宋体"/>
          <w:color w:val="auto"/>
          <w:kern w:val="2"/>
          <w:sz w:val="21"/>
          <w:szCs w:val="21"/>
          <w:highlight w:val="none"/>
          <w:lang w:val="en-US" w:eastAsia="zh-CN" w:bidi="ar-SA"/>
        </w:rPr>
        <w:t>者，于2026年08月21日起至2026年08月28日，上午8：30-12：00，下午15：00-17:30（节假日除外）在</w:t>
      </w:r>
      <w:r>
        <w:rPr>
          <w:rFonts w:hint="eastAsia" w:ascii="宋体" w:hAnsi="宋体" w:eastAsia="宋体" w:cs="宋体"/>
          <w:color w:val="auto"/>
          <w:kern w:val="2"/>
          <w:sz w:val="21"/>
          <w:szCs w:val="21"/>
          <w:highlight w:val="none"/>
          <w:u w:val="single"/>
          <w:lang w:val="en-US" w:eastAsia="zh-CN" w:bidi="ar-SA"/>
        </w:rPr>
        <w:t>天策致远工程咨询管理有限公司（湖南省衡阳市衡山县开云镇两路口社区黄金园街33-2号）</w:t>
      </w:r>
      <w:r>
        <w:rPr>
          <w:rFonts w:hint="eastAsia" w:ascii="宋体" w:hAnsi="宋体" w:eastAsia="宋体" w:cs="宋体"/>
          <w:color w:val="auto"/>
          <w:kern w:val="0"/>
          <w:sz w:val="21"/>
          <w:szCs w:val="21"/>
          <w:highlight w:val="none"/>
          <w:lang w:val="en-US" w:eastAsia="zh-CN" w:bidi="ar"/>
        </w:rPr>
        <w:t>(指定地址)携带个人身份证、法定代表人身份证明(或者授权委托书并附法定代表人身份证明)、营业执照副本复印件加盖公章获取磋商文件。</w:t>
      </w:r>
    </w:p>
    <w:p w14:paraId="3F6E09AC">
      <w:pPr>
        <w:keepNext w:val="0"/>
        <w:keepLines w:val="0"/>
        <w:pageBreakBefore w:val="0"/>
        <w:widowControl/>
        <w:suppressLineNumbers w:val="0"/>
        <w:kinsoku/>
        <w:wordWrap/>
        <w:overflowPunct/>
        <w:topLinePunct w:val="0"/>
        <w:autoSpaceDE/>
        <w:autoSpaceDN/>
        <w:bidi w:val="0"/>
        <w:spacing w:before="0" w:after="0" w:afterAutospacing="0" w:line="360" w:lineRule="auto"/>
        <w:ind w:left="0" w:leftChars="0" w:firstLine="0" w:firstLineChars="0"/>
        <w:jc w:val="both"/>
        <w:textAlignment w:val="auto"/>
        <w:outlineLvl w:val="0"/>
        <w:rPr>
          <w:rFonts w:hint="eastAsia" w:ascii="黑体" w:hAnsi="黑体" w:eastAsia="黑体" w:cs="黑体"/>
          <w:b/>
          <w:bCs/>
          <w:color w:val="auto"/>
          <w:kern w:val="1"/>
          <w:sz w:val="24"/>
          <w:szCs w:val="24"/>
          <w:highlight w:val="none"/>
          <w:lang w:val="en-US" w:eastAsia="zh-CN" w:bidi="ar-SA"/>
        </w:rPr>
      </w:pPr>
      <w:bookmarkStart w:id="59" w:name="_Toc7692"/>
      <w:bookmarkStart w:id="60" w:name="_Toc2619"/>
      <w:bookmarkStart w:id="61" w:name="_Toc1965"/>
      <w:r>
        <w:rPr>
          <w:rFonts w:hint="eastAsia" w:ascii="黑体" w:hAnsi="黑体" w:eastAsia="黑体" w:cs="黑体"/>
          <w:b/>
          <w:bCs/>
          <w:color w:val="auto"/>
          <w:kern w:val="1"/>
          <w:sz w:val="24"/>
          <w:szCs w:val="24"/>
          <w:highlight w:val="none"/>
          <w:lang w:val="en-US" w:eastAsia="zh-CN" w:bidi="ar-SA"/>
        </w:rPr>
        <w:t>六、</w:t>
      </w:r>
      <w:bookmarkEnd w:id="56"/>
      <w:bookmarkEnd w:id="57"/>
      <w:bookmarkEnd w:id="58"/>
      <w:bookmarkEnd w:id="59"/>
      <w:bookmarkEnd w:id="60"/>
      <w:bookmarkEnd w:id="61"/>
      <w:r>
        <w:rPr>
          <w:rFonts w:hint="eastAsia" w:ascii="黑体" w:hAnsi="黑体" w:eastAsia="黑体" w:cs="黑体"/>
          <w:b/>
          <w:bCs/>
          <w:color w:val="auto"/>
          <w:kern w:val="1"/>
          <w:sz w:val="24"/>
          <w:szCs w:val="24"/>
          <w:highlight w:val="none"/>
          <w:lang w:val="en-US" w:eastAsia="zh-CN" w:bidi="ar-SA"/>
        </w:rPr>
        <w:t>响应文件提交的截止时间、开启时间及地点</w:t>
      </w:r>
    </w:p>
    <w:p w14:paraId="5A4BBFDC">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1、首次响应文件的提交截止时间：2026年09月03日10时00分（北京时间）；</w:t>
      </w:r>
    </w:p>
    <w:p w14:paraId="5486CE32">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2、提交响应文件地点：衡山县疾病预防控制中心（衡山县卫生综合监督执法局）三楼会议室；</w:t>
      </w:r>
    </w:p>
    <w:p w14:paraId="7B5CEA1C">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3、首次响应文件的开启时间：2026年09月03日10时00分（北京时间）；</w:t>
      </w:r>
    </w:p>
    <w:p w14:paraId="01DF7C11">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4、首次响应文件的开启地点：衡山县疾病预防控制中心（衡山县卫生综合监督执法局）三楼会议室；</w:t>
      </w:r>
    </w:p>
    <w:p w14:paraId="585EF584">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注：逾期送达或者不按磋商文件要求密封的投标文件采购人、采购代理机构应当拒收。</w:t>
      </w:r>
      <w:bookmarkStart w:id="62" w:name="_Toc29552"/>
      <w:bookmarkStart w:id="63" w:name="_Toc26060"/>
    </w:p>
    <w:p w14:paraId="11E80A7B">
      <w:pPr>
        <w:keepNext w:val="0"/>
        <w:keepLines w:val="0"/>
        <w:pageBreakBefore w:val="0"/>
        <w:widowControl/>
        <w:suppressLineNumbers w:val="0"/>
        <w:kinsoku/>
        <w:wordWrap/>
        <w:overflowPunct/>
        <w:topLinePunct w:val="0"/>
        <w:autoSpaceDE/>
        <w:autoSpaceDN/>
        <w:bidi w:val="0"/>
        <w:spacing w:before="0" w:after="0" w:afterAutospacing="0" w:line="360" w:lineRule="auto"/>
        <w:ind w:left="0" w:leftChars="0" w:firstLine="0" w:firstLineChars="0"/>
        <w:jc w:val="both"/>
        <w:textAlignment w:val="auto"/>
        <w:outlineLvl w:val="0"/>
        <w:rPr>
          <w:rFonts w:hint="eastAsia" w:ascii="黑体" w:hAnsi="黑体" w:eastAsia="黑体" w:cs="黑体"/>
          <w:b/>
          <w:bCs/>
          <w:color w:val="auto"/>
          <w:kern w:val="1"/>
          <w:sz w:val="24"/>
          <w:szCs w:val="24"/>
          <w:highlight w:val="none"/>
          <w:lang w:val="en-US" w:eastAsia="zh-CN" w:bidi="ar-SA"/>
        </w:rPr>
      </w:pPr>
      <w:bookmarkStart w:id="64" w:name="_Toc2039"/>
      <w:bookmarkStart w:id="65" w:name="_Toc24813"/>
      <w:bookmarkStart w:id="66" w:name="_Toc7887"/>
      <w:bookmarkStart w:id="67" w:name="_Toc22761"/>
      <w:r>
        <w:rPr>
          <w:rFonts w:hint="eastAsia" w:ascii="黑体" w:hAnsi="黑体" w:eastAsia="黑体" w:cs="黑体"/>
          <w:b/>
          <w:bCs/>
          <w:color w:val="auto"/>
          <w:kern w:val="1"/>
          <w:sz w:val="24"/>
          <w:szCs w:val="24"/>
          <w:highlight w:val="none"/>
          <w:lang w:val="en-US" w:eastAsia="zh-CN" w:bidi="ar-SA"/>
        </w:rPr>
        <w:t>七、公告期限</w:t>
      </w:r>
      <w:bookmarkEnd w:id="62"/>
      <w:bookmarkEnd w:id="63"/>
      <w:bookmarkEnd w:id="64"/>
      <w:bookmarkEnd w:id="65"/>
      <w:bookmarkEnd w:id="66"/>
      <w:bookmarkEnd w:id="67"/>
    </w:p>
    <w:p w14:paraId="0C420127">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bookmarkStart w:id="68" w:name="_Toc19478"/>
      <w:bookmarkStart w:id="69" w:name="_Toc8126"/>
      <w:r>
        <w:rPr>
          <w:rFonts w:hint="eastAsia" w:ascii="宋体" w:hAnsi="宋体" w:eastAsia="宋体" w:cs="宋体"/>
          <w:color w:val="auto"/>
          <w:kern w:val="0"/>
          <w:sz w:val="21"/>
          <w:szCs w:val="21"/>
          <w:highlight w:val="none"/>
          <w:lang w:val="en-US" w:eastAsia="zh-CN" w:bidi="ar"/>
        </w:rPr>
        <w:t>1、本招标公告在中国湖南政府采购网（http://www.ccgp-hunan.gov.cn/）发布。公告期限从本磋商公告发布之日起5个工作日。</w:t>
      </w:r>
    </w:p>
    <w:p w14:paraId="31FB9688">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2、在其他媒体发布的磋商公告，公告内容以本磋商公告指定媒体发布的公告为准；公告期限自本磋商公告指定媒体最先发布公告之日起算。</w:t>
      </w:r>
    </w:p>
    <w:p w14:paraId="141C21D9">
      <w:pPr>
        <w:keepNext w:val="0"/>
        <w:keepLines w:val="0"/>
        <w:pageBreakBefore w:val="0"/>
        <w:widowControl/>
        <w:suppressLineNumbers w:val="0"/>
        <w:kinsoku/>
        <w:wordWrap/>
        <w:overflowPunct/>
        <w:topLinePunct w:val="0"/>
        <w:autoSpaceDE/>
        <w:autoSpaceDN/>
        <w:bidi w:val="0"/>
        <w:spacing w:before="0" w:after="0" w:afterAutospacing="0" w:line="360" w:lineRule="auto"/>
        <w:ind w:left="0" w:leftChars="0" w:firstLine="0" w:firstLineChars="0"/>
        <w:jc w:val="both"/>
        <w:textAlignment w:val="auto"/>
        <w:outlineLvl w:val="0"/>
        <w:rPr>
          <w:rFonts w:hint="eastAsia" w:ascii="黑体" w:hAnsi="黑体" w:eastAsia="黑体" w:cs="黑体"/>
          <w:b/>
          <w:bCs/>
          <w:color w:val="auto"/>
          <w:kern w:val="1"/>
          <w:sz w:val="24"/>
          <w:szCs w:val="24"/>
          <w:highlight w:val="none"/>
          <w:lang w:val="en-US" w:eastAsia="zh-CN" w:bidi="ar-SA"/>
        </w:rPr>
      </w:pPr>
      <w:bookmarkStart w:id="70" w:name="_Toc5848"/>
      <w:bookmarkStart w:id="71" w:name="_Toc4092"/>
      <w:bookmarkStart w:id="72" w:name="_Toc11083"/>
      <w:bookmarkStart w:id="73" w:name="_Toc10403"/>
      <w:r>
        <w:rPr>
          <w:rFonts w:hint="eastAsia" w:ascii="黑体" w:hAnsi="黑体" w:eastAsia="黑体" w:cs="黑体"/>
          <w:b/>
          <w:bCs/>
          <w:color w:val="auto"/>
          <w:kern w:val="1"/>
          <w:sz w:val="24"/>
          <w:szCs w:val="24"/>
          <w:highlight w:val="none"/>
          <w:lang w:val="en-US" w:eastAsia="zh-CN" w:bidi="ar-SA"/>
        </w:rPr>
        <w:t>八、疑问及质疑</w:t>
      </w:r>
      <w:bookmarkEnd w:id="68"/>
      <w:bookmarkEnd w:id="69"/>
      <w:bookmarkEnd w:id="70"/>
      <w:bookmarkEnd w:id="71"/>
      <w:bookmarkEnd w:id="72"/>
      <w:bookmarkEnd w:id="73"/>
    </w:p>
    <w:p w14:paraId="1F48CF3C">
      <w:pPr>
        <w:keepNext w:val="0"/>
        <w:keepLines w:val="0"/>
        <w:widowControl/>
        <w:suppressLineNumbers w:val="0"/>
        <w:spacing w:line="360" w:lineRule="auto"/>
        <w:ind w:firstLine="210" w:firstLineChars="100"/>
        <w:jc w:val="left"/>
        <w:rPr>
          <w:rFonts w:hint="eastAsia" w:ascii="宋体" w:hAnsi="宋体" w:eastAsia="宋体" w:cs="宋体"/>
          <w:color w:val="auto"/>
          <w:kern w:val="0"/>
          <w:sz w:val="21"/>
          <w:szCs w:val="21"/>
          <w:highlight w:val="none"/>
          <w:lang w:val="en-US" w:eastAsia="zh-CN" w:bidi="ar"/>
        </w:rPr>
      </w:pPr>
      <w:bookmarkStart w:id="74" w:name="_Toc3055"/>
      <w:r>
        <w:rPr>
          <w:rFonts w:hint="eastAsia" w:ascii="宋体" w:hAnsi="宋体" w:eastAsia="宋体" w:cs="宋体"/>
          <w:color w:val="auto"/>
          <w:kern w:val="0"/>
          <w:sz w:val="21"/>
          <w:szCs w:val="21"/>
          <w:highlight w:val="none"/>
          <w:lang w:val="en-US" w:eastAsia="zh-CN" w:bidi="ar"/>
        </w:rPr>
        <w:t>1、投标人对政府采购活动事项如有疑问的，可以向采购人、采购代理机构提出询问。采购人、采购代理机构将在3个工作日内作出答复。</w:t>
      </w:r>
    </w:p>
    <w:p w14:paraId="727C0083">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潜在投标人认为招标文件或招标公告使自己的合法权益受到损害的，可以在收到招标文件之日或招标公告期限届满之日起7个工作日内，按《湖南省财政厅关于印发＜政府采购质疑答复和投诉处理操作规程＞的通知》(湘财购〔2024〕67号)规定，以纸质书面形式向采购人、采购代理机构提出质疑。</w:t>
      </w:r>
    </w:p>
    <w:p w14:paraId="1502C9B2">
      <w:pPr>
        <w:keepNext w:val="0"/>
        <w:keepLines w:val="0"/>
        <w:pageBreakBefore w:val="0"/>
        <w:widowControl/>
        <w:suppressLineNumbers w:val="0"/>
        <w:kinsoku/>
        <w:wordWrap/>
        <w:overflowPunct/>
        <w:topLinePunct w:val="0"/>
        <w:autoSpaceDE/>
        <w:autoSpaceDN/>
        <w:bidi w:val="0"/>
        <w:spacing w:before="0" w:after="0" w:afterAutospacing="0" w:line="360" w:lineRule="auto"/>
        <w:ind w:left="0" w:leftChars="0" w:firstLine="0" w:firstLineChars="0"/>
        <w:jc w:val="both"/>
        <w:textAlignment w:val="auto"/>
        <w:outlineLvl w:val="0"/>
        <w:rPr>
          <w:rFonts w:hint="eastAsia" w:ascii="黑体" w:hAnsi="黑体" w:eastAsia="黑体" w:cs="黑体"/>
          <w:b/>
          <w:bCs/>
          <w:color w:val="auto"/>
          <w:kern w:val="1"/>
          <w:sz w:val="24"/>
          <w:szCs w:val="24"/>
          <w:lang w:val="en-US" w:eastAsia="zh-CN" w:bidi="ar-SA"/>
        </w:rPr>
      </w:pPr>
      <w:bookmarkStart w:id="75" w:name="_Toc26792"/>
      <w:bookmarkStart w:id="76" w:name="_Toc17569"/>
      <w:bookmarkStart w:id="77" w:name="_Toc12838"/>
      <w:bookmarkStart w:id="78" w:name="_Toc28880"/>
      <w:bookmarkStart w:id="79" w:name="_Toc5506"/>
      <w:r>
        <w:rPr>
          <w:rFonts w:hint="eastAsia" w:ascii="黑体" w:hAnsi="黑体" w:eastAsia="黑体" w:cs="黑体"/>
          <w:b/>
          <w:bCs/>
          <w:color w:val="auto"/>
          <w:kern w:val="1"/>
          <w:sz w:val="24"/>
          <w:szCs w:val="24"/>
          <w:lang w:val="en-US" w:eastAsia="zh-CN" w:bidi="ar-SA"/>
        </w:rPr>
        <w:t>九、采购项目联系人姓名和电话</w:t>
      </w:r>
      <w:bookmarkEnd w:id="74"/>
      <w:bookmarkEnd w:id="75"/>
      <w:bookmarkEnd w:id="76"/>
      <w:bookmarkEnd w:id="77"/>
      <w:bookmarkEnd w:id="78"/>
      <w:bookmarkEnd w:id="79"/>
    </w:p>
    <w:p w14:paraId="44085D1C">
      <w:pPr>
        <w:tabs>
          <w:tab w:val="left" w:pos="900"/>
        </w:tabs>
        <w:spacing w:line="360" w:lineRule="auto"/>
        <w:ind w:firstLine="211" w:firstLineChars="100"/>
        <w:jc w:val="left"/>
        <w:outlineLvl w:val="0"/>
        <w:rPr>
          <w:rFonts w:hint="eastAsia" w:ascii="宋体" w:hAnsi="宋体" w:eastAsia="宋体" w:cs="宋体"/>
          <w:b/>
          <w:bCs/>
          <w:color w:val="auto"/>
          <w:kern w:val="1"/>
          <w:sz w:val="21"/>
          <w:szCs w:val="21"/>
        </w:rPr>
      </w:pPr>
      <w:bookmarkStart w:id="80" w:name="_Toc32113"/>
      <w:bookmarkStart w:id="81" w:name="_Toc14931"/>
      <w:bookmarkStart w:id="82" w:name="_Toc5131"/>
      <w:r>
        <w:rPr>
          <w:rFonts w:hint="eastAsia" w:ascii="宋体" w:hAnsi="宋体" w:eastAsia="宋体" w:cs="宋体"/>
          <w:b/>
          <w:bCs/>
          <w:color w:val="auto"/>
          <w:kern w:val="1"/>
          <w:sz w:val="21"/>
          <w:szCs w:val="21"/>
          <w:lang w:val="en-US" w:eastAsia="zh-CN"/>
        </w:rPr>
        <w:t>1、采购项目</w:t>
      </w:r>
      <w:bookmarkEnd w:id="80"/>
      <w:bookmarkEnd w:id="81"/>
      <w:bookmarkEnd w:id="82"/>
    </w:p>
    <w:p w14:paraId="04E43365">
      <w:pPr>
        <w:keepNext w:val="0"/>
        <w:keepLines w:val="0"/>
        <w:widowControl/>
        <w:suppressLineNumbers w:val="0"/>
        <w:spacing w:line="360" w:lineRule="auto"/>
        <w:ind w:firstLine="210" w:firstLineChars="100"/>
        <w:jc w:val="left"/>
        <w:rPr>
          <w:rFonts w:hint="eastAsia" w:ascii="宋体" w:hAnsi="宋体" w:eastAsia="宋体" w:cs="宋体"/>
          <w:b w:val="0"/>
          <w:bCs w:val="0"/>
          <w:color w:val="auto"/>
          <w:kern w:val="1"/>
          <w:sz w:val="21"/>
          <w:szCs w:val="21"/>
          <w:lang w:val="en-US" w:eastAsia="zh-CN" w:bidi="ar-SA"/>
        </w:rPr>
      </w:pPr>
      <w:r>
        <w:rPr>
          <w:rFonts w:hint="eastAsia" w:ascii="宋体" w:hAnsi="宋体" w:eastAsia="宋体" w:cs="宋体"/>
          <w:b w:val="0"/>
          <w:bCs w:val="0"/>
          <w:color w:val="auto"/>
          <w:kern w:val="1"/>
          <w:sz w:val="21"/>
          <w:szCs w:val="21"/>
          <w:lang w:val="en-US" w:eastAsia="zh-CN" w:bidi="ar-SA"/>
        </w:rPr>
        <w:t>联系人姓名：</w:t>
      </w:r>
      <w:r>
        <w:rPr>
          <w:rFonts w:hint="eastAsia" w:ascii="宋体" w:hAnsi="宋体" w:eastAsia="宋体" w:cs="宋体"/>
          <w:color w:val="000000"/>
          <w:kern w:val="0"/>
          <w:sz w:val="21"/>
          <w:szCs w:val="21"/>
          <w:lang w:val="en-US" w:eastAsia="zh-CN" w:bidi="ar"/>
        </w:rPr>
        <w:t xml:space="preserve">赵志敏  </w:t>
      </w:r>
      <w:r>
        <w:rPr>
          <w:rFonts w:hint="eastAsia" w:ascii="宋体" w:hAnsi="宋体" w:eastAsia="宋体" w:cs="宋体"/>
          <w:b w:val="0"/>
          <w:bCs w:val="0"/>
          <w:color w:val="auto"/>
          <w:kern w:val="1"/>
          <w:sz w:val="21"/>
          <w:szCs w:val="21"/>
          <w:lang w:val="en-US" w:eastAsia="zh-CN" w:bidi="ar-SA"/>
        </w:rPr>
        <w:t>电话：</w:t>
      </w:r>
      <w:r>
        <w:rPr>
          <w:rFonts w:hint="eastAsia" w:ascii="宋体" w:hAnsi="宋体" w:eastAsia="宋体" w:cs="宋体"/>
          <w:color w:val="000000"/>
          <w:kern w:val="0"/>
          <w:sz w:val="21"/>
          <w:szCs w:val="21"/>
          <w:lang w:val="en-US" w:eastAsia="zh-CN" w:bidi="ar"/>
        </w:rPr>
        <w:t>18397427553</w:t>
      </w:r>
    </w:p>
    <w:p w14:paraId="3BE5237E">
      <w:pPr>
        <w:keepNext w:val="0"/>
        <w:keepLines w:val="0"/>
        <w:widowControl/>
        <w:suppressLineNumbers w:val="0"/>
        <w:spacing w:line="360" w:lineRule="auto"/>
        <w:ind w:firstLine="211" w:firstLineChars="100"/>
        <w:jc w:val="left"/>
        <w:rPr>
          <w:rFonts w:hint="eastAsia" w:ascii="宋体" w:hAnsi="宋体" w:eastAsia="宋体" w:cs="宋体"/>
          <w:b/>
          <w:bCs/>
          <w:color w:val="auto"/>
          <w:kern w:val="1"/>
          <w:sz w:val="21"/>
          <w:szCs w:val="21"/>
          <w:highlight w:val="none"/>
          <w:lang w:val="en-US" w:eastAsia="zh-CN" w:bidi="ar-SA"/>
        </w:rPr>
      </w:pPr>
      <w:bookmarkStart w:id="83" w:name="_Toc3119"/>
      <w:bookmarkStart w:id="84" w:name="_Toc18032"/>
      <w:bookmarkStart w:id="85" w:name="_Toc8128"/>
      <w:r>
        <w:rPr>
          <w:rFonts w:hint="eastAsia" w:ascii="宋体" w:hAnsi="宋体" w:eastAsia="宋体" w:cs="宋体"/>
          <w:b/>
          <w:bCs/>
          <w:color w:val="auto"/>
          <w:kern w:val="1"/>
          <w:sz w:val="21"/>
          <w:szCs w:val="21"/>
          <w:highlight w:val="none"/>
          <w:lang w:val="en-US" w:eastAsia="zh-CN" w:bidi="ar-SA"/>
        </w:rPr>
        <w:t>2、采购人：</w:t>
      </w:r>
      <w:bookmarkEnd w:id="83"/>
      <w:bookmarkEnd w:id="84"/>
      <w:bookmarkEnd w:id="85"/>
    </w:p>
    <w:p w14:paraId="4EB89C21">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（1）名称：衡山县疾病预防控制中心（衡山县卫生综合监督执法局）</w:t>
      </w:r>
    </w:p>
    <w:p w14:paraId="26AD6454">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auto"/>
          <w:kern w:val="0"/>
          <w:sz w:val="21"/>
          <w:szCs w:val="21"/>
          <w:highlight w:val="none"/>
          <w:lang w:val="en-US" w:eastAsia="zh-CN" w:bidi="ar"/>
        </w:rPr>
        <w:t>（2）地址：</w:t>
      </w:r>
      <w:r>
        <w:rPr>
          <w:rFonts w:hint="eastAsia" w:ascii="宋体" w:hAnsi="宋体" w:eastAsia="宋体" w:cs="宋体"/>
          <w:color w:val="000000"/>
          <w:kern w:val="0"/>
          <w:sz w:val="21"/>
          <w:szCs w:val="21"/>
          <w:lang w:val="en-US" w:eastAsia="zh-CN" w:bidi="ar"/>
        </w:rPr>
        <w:t>衡山县开云新城九龙大道</w:t>
      </w:r>
    </w:p>
    <w:p w14:paraId="18C1488B">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（3）联系人：张涛</w:t>
      </w:r>
    </w:p>
    <w:p w14:paraId="581E7FFF">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（4）邮编：</w:t>
      </w:r>
      <w:r>
        <w:rPr>
          <w:rFonts w:hint="default" w:ascii="宋体" w:hAnsi="宋体" w:eastAsia="宋体" w:cs="宋体"/>
          <w:color w:val="000000"/>
          <w:kern w:val="0"/>
          <w:sz w:val="21"/>
          <w:szCs w:val="21"/>
          <w:lang w:val="en-US" w:eastAsia="zh-CN" w:bidi="ar"/>
        </w:rPr>
        <w:t>421</w:t>
      </w:r>
      <w:r>
        <w:rPr>
          <w:rFonts w:hint="eastAsia" w:ascii="宋体" w:hAnsi="宋体" w:eastAsia="宋体" w:cs="宋体"/>
          <w:color w:val="000000"/>
          <w:kern w:val="0"/>
          <w:sz w:val="21"/>
          <w:szCs w:val="21"/>
          <w:lang w:val="en-US" w:eastAsia="zh-CN" w:bidi="ar"/>
        </w:rPr>
        <w:t>3</w:t>
      </w:r>
      <w:r>
        <w:rPr>
          <w:rFonts w:hint="default" w:ascii="宋体" w:hAnsi="宋体" w:eastAsia="宋体" w:cs="宋体"/>
          <w:color w:val="000000"/>
          <w:kern w:val="0"/>
          <w:sz w:val="21"/>
          <w:szCs w:val="21"/>
          <w:lang w:val="en-US" w:eastAsia="zh-CN" w:bidi="ar"/>
        </w:rPr>
        <w:t>00</w:t>
      </w:r>
    </w:p>
    <w:p w14:paraId="3C8DEC19">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（5）电话：13975457312</w:t>
      </w:r>
    </w:p>
    <w:p w14:paraId="5FE3F982">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（6）电子邮箱：/</w:t>
      </w:r>
    </w:p>
    <w:p w14:paraId="5BBFEBB4">
      <w:pPr>
        <w:keepNext w:val="0"/>
        <w:keepLines w:val="0"/>
        <w:pageBreakBefore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color w:val="auto"/>
          <w:kern w:val="1"/>
          <w:szCs w:val="21"/>
          <w:highlight w:val="none"/>
        </w:rPr>
      </w:pPr>
      <w:bookmarkStart w:id="86" w:name="_Toc19322"/>
      <w:bookmarkStart w:id="87" w:name="_Toc22479"/>
      <w:bookmarkStart w:id="88" w:name="_Toc24204"/>
      <w:r>
        <w:rPr>
          <w:rFonts w:hint="eastAsia" w:ascii="宋体" w:hAnsi="宋体" w:eastAsia="宋体" w:cs="宋体"/>
          <w:b/>
          <w:bCs/>
          <w:color w:val="auto"/>
          <w:kern w:val="1"/>
          <w:szCs w:val="21"/>
          <w:highlight w:val="none"/>
          <w:lang w:val="en-US" w:eastAsia="zh-CN"/>
        </w:rPr>
        <w:t>3、</w:t>
      </w:r>
      <w:r>
        <w:rPr>
          <w:rFonts w:hint="eastAsia" w:ascii="宋体" w:hAnsi="宋体" w:eastAsia="宋体" w:cs="宋体"/>
          <w:b/>
          <w:bCs/>
          <w:color w:val="auto"/>
          <w:kern w:val="1"/>
          <w:szCs w:val="21"/>
          <w:highlight w:val="none"/>
        </w:rPr>
        <w:t>采购代理机构：</w:t>
      </w:r>
      <w:bookmarkEnd w:id="86"/>
      <w:bookmarkEnd w:id="87"/>
      <w:bookmarkEnd w:id="88"/>
    </w:p>
    <w:p w14:paraId="19A7140D">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（1）名称：天策致远工程咨询管理有限公司</w:t>
      </w:r>
    </w:p>
    <w:p w14:paraId="46F5ABA4">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（2）地址：湖南省衡阳市衡山县开云镇两路口社区黄金园街33-2号</w:t>
      </w:r>
    </w:p>
    <w:p w14:paraId="49CC4F67">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（3）联系人：赵志敏</w:t>
      </w:r>
    </w:p>
    <w:p w14:paraId="389E448F">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（4）邮编：</w:t>
      </w:r>
      <w:r>
        <w:rPr>
          <w:rFonts w:hint="default" w:ascii="宋体" w:hAnsi="宋体" w:eastAsia="宋体" w:cs="宋体"/>
          <w:color w:val="000000"/>
          <w:kern w:val="0"/>
          <w:sz w:val="21"/>
          <w:szCs w:val="21"/>
          <w:lang w:val="en-US" w:eastAsia="zh-CN" w:bidi="ar"/>
        </w:rPr>
        <w:t>421300</w:t>
      </w:r>
    </w:p>
    <w:p w14:paraId="414C72D1">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（5）电话：18397427553</w:t>
      </w:r>
    </w:p>
    <w:p w14:paraId="7766A7C4">
      <w:pPr>
        <w:keepNext w:val="0"/>
        <w:keepLines w:val="0"/>
        <w:widowControl/>
        <w:suppressLineNumbers w:val="0"/>
        <w:spacing w:line="360" w:lineRule="auto"/>
        <w:ind w:firstLine="210" w:firstLine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（6）</w:t>
      </w:r>
      <w:r>
        <w:rPr>
          <w:rFonts w:hint="default" w:ascii="宋体" w:hAnsi="宋体" w:eastAsia="宋体" w:cs="宋体"/>
          <w:color w:val="000000"/>
          <w:kern w:val="0"/>
          <w:sz w:val="21"/>
          <w:szCs w:val="21"/>
          <w:lang w:val="en-US" w:eastAsia="zh-CN" w:bidi="ar"/>
        </w:rPr>
        <w:t>电子邮箱：/</w:t>
      </w:r>
    </w:p>
    <w:p w14:paraId="55247C34">
      <w:pPr>
        <w:widowControl w:val="0"/>
        <w:ind w:firstLine="720"/>
        <w:jc w:val="left"/>
        <w:rPr>
          <w:rFonts w:hint="eastAsia" w:ascii="Calibri" w:hAnsi="Calibri" w:eastAsia="宋体" w:cs="Times New Roman"/>
          <w:color w:val="auto"/>
          <w:kern w:val="1"/>
          <w:sz w:val="24"/>
          <w:szCs w:val="24"/>
          <w:lang w:val="en-US" w:eastAsia="zh-CN" w:bidi="ar-SA"/>
        </w:rPr>
      </w:pPr>
    </w:p>
    <w:p w14:paraId="6D569D1A">
      <w:pPr>
        <w:spacing w:line="360" w:lineRule="auto"/>
        <w:jc w:val="both"/>
        <w:outlineLvl w:val="9"/>
        <w:rPr>
          <w:rFonts w:hint="eastAsia" w:ascii="宋体" w:hAnsi="宋体" w:eastAsia="宋体" w:cs="宋体"/>
          <w:b/>
          <w:color w:val="auto"/>
          <w:sz w:val="32"/>
          <w:szCs w:val="32"/>
        </w:rPr>
      </w:pPr>
    </w:p>
    <w:p w14:paraId="2A8B632D">
      <w:pPr>
        <w:rPr>
          <w:rFonts w:eastAsia="宋体"/>
          <w:color w:val="auto"/>
        </w:rPr>
      </w:pPr>
    </w:p>
    <w:p w14:paraId="154BF214">
      <w:pPr>
        <w:rPr>
          <w:rFonts w:eastAsia="宋体"/>
          <w:color w:val="auto"/>
        </w:rPr>
      </w:pPr>
    </w:p>
    <w:p w14:paraId="50E5C167">
      <w:pPr>
        <w:rPr>
          <w:rFonts w:eastAsia="宋体"/>
          <w:color w:val="auto"/>
        </w:rPr>
      </w:pPr>
    </w:p>
    <w:p w14:paraId="790A3A6B">
      <w:pPr>
        <w:rPr>
          <w:rFonts w:eastAsia="宋体"/>
          <w:color w:val="auto"/>
        </w:rPr>
      </w:pPr>
    </w:p>
    <w:p w14:paraId="0E3F04C8">
      <w:pPr>
        <w:rPr>
          <w:rFonts w:eastAsia="宋体"/>
          <w:color w:val="auto"/>
        </w:rPr>
      </w:pPr>
    </w:p>
    <w:p w14:paraId="28DC053F">
      <w:pPr>
        <w:rPr>
          <w:rFonts w:eastAsia="宋体"/>
          <w:color w:val="auto"/>
        </w:rPr>
      </w:pPr>
    </w:p>
    <w:p w14:paraId="3A1DCE72">
      <w:pPr>
        <w:rPr>
          <w:rFonts w:eastAsia="宋体"/>
          <w:color w:val="auto"/>
        </w:rPr>
      </w:pPr>
    </w:p>
    <w:p w14:paraId="54F117FC">
      <w:pPr>
        <w:rPr>
          <w:rFonts w:eastAsia="宋体"/>
          <w:color w:val="auto"/>
        </w:rPr>
      </w:pPr>
    </w:p>
    <w:p w14:paraId="309BE7F8">
      <w:pPr>
        <w:rPr>
          <w:rFonts w:eastAsia="宋体"/>
          <w:color w:val="auto"/>
        </w:rPr>
      </w:pPr>
    </w:p>
    <w:p w14:paraId="092BA2B6">
      <w:pPr>
        <w:rPr>
          <w:rFonts w:eastAsia="宋体"/>
          <w:color w:val="auto"/>
        </w:rPr>
      </w:pPr>
    </w:p>
    <w:p w14:paraId="7749A6AE">
      <w:pPr>
        <w:widowControl w:val="0"/>
        <w:ind w:firstLine="720"/>
        <w:jc w:val="left"/>
        <w:rPr>
          <w:rFonts w:hint="eastAsia" w:ascii="Calibri" w:hAnsi="Calibri" w:eastAsia="宋体" w:cs="Times New Roman"/>
          <w:color w:val="auto"/>
          <w:kern w:val="1"/>
          <w:sz w:val="24"/>
          <w:szCs w:val="24"/>
          <w:lang w:val="en-US" w:eastAsia="zh-CN" w:bidi="ar-SA"/>
        </w:rPr>
      </w:pPr>
    </w:p>
    <w:p w14:paraId="2859719F">
      <w:pPr>
        <w:pStyle w:val="2"/>
        <w:bidi w:val="0"/>
        <w:rPr>
          <w:rFonts w:hint="eastAsia" w:cs="Times New Roman"/>
          <w:sz w:val="30"/>
          <w:szCs w:val="30"/>
        </w:rPr>
      </w:pPr>
      <w:bookmarkStart w:id="89" w:name="_Toc22074"/>
      <w:r>
        <w:rPr>
          <w:rFonts w:hint="eastAsia" w:cs="Times New Roman"/>
          <w:sz w:val="30"/>
          <w:szCs w:val="30"/>
        </w:rPr>
        <w:t>第二章磋商须知</w:t>
      </w:r>
      <w:bookmarkEnd w:id="12"/>
      <w:bookmarkEnd w:id="89"/>
    </w:p>
    <w:p w14:paraId="17D80924">
      <w:pPr>
        <w:pStyle w:val="3"/>
        <w:bidi w:val="0"/>
        <w:jc w:val="center"/>
        <w:outlineLvl w:val="9"/>
        <w:rPr>
          <w:rFonts w:hint="eastAsia"/>
        </w:rPr>
      </w:pPr>
      <w:bookmarkStart w:id="90" w:name="_Toc13698"/>
      <w:r>
        <w:rPr>
          <w:rFonts w:hint="eastAsia"/>
        </w:rPr>
        <w:t>磋商须知前附表</w:t>
      </w:r>
      <w:bookmarkEnd w:id="90"/>
    </w:p>
    <w:p w14:paraId="1E06F9B8">
      <w:r>
        <w:rPr>
          <w:rFonts w:hint="eastAsia" w:ascii="宋体" w:hAnsi="宋体" w:eastAsia="宋体" w:cs="宋体"/>
          <w:color w:val="auto"/>
        </w:rPr>
        <w:t>注：请在方框□内划√选择，在“条款号”内限选一项。</w:t>
      </w:r>
    </w:p>
    <w:tbl>
      <w:tblPr>
        <w:tblStyle w:val="28"/>
        <w:tblW w:w="9719" w:type="dxa"/>
        <w:jc w:val="center"/>
        <w:tblLayout w:type="fixed"/>
        <w:tblCellMar>
          <w:top w:w="0" w:type="dxa"/>
          <w:left w:w="10" w:type="dxa"/>
          <w:bottom w:w="0" w:type="dxa"/>
          <w:right w:w="10" w:type="dxa"/>
        </w:tblCellMar>
      </w:tblPr>
      <w:tblGrid>
        <w:gridCol w:w="1846"/>
        <w:gridCol w:w="1970"/>
        <w:gridCol w:w="5903"/>
      </w:tblGrid>
      <w:tr w14:paraId="39EA5061">
        <w:tblPrEx>
          <w:tblCellMar>
            <w:top w:w="0" w:type="dxa"/>
            <w:left w:w="10" w:type="dxa"/>
            <w:bottom w:w="0" w:type="dxa"/>
            <w:right w:w="10" w:type="dxa"/>
          </w:tblCellMar>
        </w:tblPrEx>
        <w:trPr>
          <w:trHeight w:val="434" w:hRule="atLeast"/>
          <w:tblHeader/>
          <w:jc w:val="center"/>
        </w:trPr>
        <w:tc>
          <w:tcPr>
            <w:tcW w:w="1846" w:type="dxa"/>
            <w:tcBorders>
              <w:top w:val="double" w:color="000000" w:sz="4"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48F49012">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条款号</w:t>
            </w:r>
          </w:p>
        </w:tc>
        <w:tc>
          <w:tcPr>
            <w:tcW w:w="1970" w:type="dxa"/>
            <w:tcBorders>
              <w:top w:val="doub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4E0C84E">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条款名称</w:t>
            </w:r>
          </w:p>
        </w:tc>
        <w:tc>
          <w:tcPr>
            <w:tcW w:w="5903" w:type="dxa"/>
            <w:tcBorders>
              <w:top w:val="double" w:color="000000" w:sz="4"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406883E1">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编列内容规定</w:t>
            </w:r>
          </w:p>
        </w:tc>
      </w:tr>
      <w:tr w14:paraId="72D648A8">
        <w:tblPrEx>
          <w:tblCellMar>
            <w:top w:w="0" w:type="dxa"/>
            <w:left w:w="10" w:type="dxa"/>
            <w:bottom w:w="0" w:type="dxa"/>
            <w:right w:w="10" w:type="dxa"/>
          </w:tblCellMar>
        </w:tblPrEx>
        <w:trPr>
          <w:trHeight w:val="420" w:hRule="atLeast"/>
          <w:jc w:val="center"/>
        </w:trPr>
        <w:tc>
          <w:tcPr>
            <w:tcW w:w="9719" w:type="dxa"/>
            <w:gridSpan w:val="3"/>
            <w:tcBorders>
              <w:top w:val="single" w:color="000000" w:sz="6" w:space="0"/>
              <w:left w:val="double" w:color="000000" w:sz="4" w:space="0"/>
              <w:bottom w:val="single" w:color="000000" w:sz="6" w:space="0"/>
              <w:right w:val="double" w:color="000000" w:sz="4" w:space="0"/>
            </w:tcBorders>
            <w:tcMar>
              <w:top w:w="0" w:type="dxa"/>
              <w:left w:w="108" w:type="dxa"/>
              <w:bottom w:w="0" w:type="dxa"/>
              <w:right w:w="108" w:type="dxa"/>
            </w:tcMar>
            <w:vAlign w:val="center"/>
          </w:tcPr>
          <w:p w14:paraId="4BB52C2E">
            <w:pPr>
              <w:spacing w:line="360" w:lineRule="auto"/>
              <w:rPr>
                <w:rFonts w:ascii="宋体" w:hAnsi="宋体" w:eastAsia="宋体" w:cs="宋体"/>
                <w:color w:val="auto"/>
                <w:szCs w:val="21"/>
              </w:rPr>
            </w:pPr>
            <w:r>
              <w:rPr>
                <w:rFonts w:hint="eastAsia" w:ascii="宋体" w:hAnsi="宋体" w:eastAsia="宋体" w:cs="宋体"/>
                <w:b/>
                <w:color w:val="auto"/>
                <w:szCs w:val="21"/>
              </w:rPr>
              <w:t>一、说明</w:t>
            </w:r>
          </w:p>
        </w:tc>
      </w:tr>
      <w:tr w14:paraId="681448EF">
        <w:tblPrEx>
          <w:tblCellMar>
            <w:top w:w="0" w:type="dxa"/>
            <w:left w:w="10" w:type="dxa"/>
            <w:bottom w:w="0" w:type="dxa"/>
            <w:right w:w="10" w:type="dxa"/>
          </w:tblCellMar>
        </w:tblPrEx>
        <w:trPr>
          <w:trHeight w:val="420"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2467E38E">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第二章第1.1款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55A5E01">
            <w:pPr>
              <w:spacing w:line="360" w:lineRule="auto"/>
              <w:rPr>
                <w:rFonts w:ascii="宋体" w:hAnsi="宋体" w:eastAsia="宋体" w:cs="宋体"/>
                <w:color w:val="auto"/>
                <w:szCs w:val="21"/>
              </w:rPr>
            </w:pPr>
            <w:r>
              <w:rPr>
                <w:rFonts w:hint="eastAsia" w:ascii="宋体" w:hAnsi="宋体" w:eastAsia="宋体" w:cs="宋体"/>
                <w:color w:val="auto"/>
                <w:szCs w:val="21"/>
              </w:rPr>
              <w:t>采购项目</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362BD018">
            <w:pPr>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衡山县2026年城乡饮用水水质监测能力提升项目</w:t>
            </w:r>
          </w:p>
        </w:tc>
      </w:tr>
      <w:tr w14:paraId="3CEA071E">
        <w:tblPrEx>
          <w:tblCellMar>
            <w:top w:w="0" w:type="dxa"/>
            <w:left w:w="10" w:type="dxa"/>
            <w:bottom w:w="0" w:type="dxa"/>
            <w:right w:w="10" w:type="dxa"/>
          </w:tblCellMar>
        </w:tblPrEx>
        <w:trPr>
          <w:trHeight w:val="1549"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5797CBC4">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第二章第2.1款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1095C54">
            <w:pPr>
              <w:spacing w:line="360" w:lineRule="auto"/>
              <w:rPr>
                <w:rFonts w:ascii="宋体" w:hAnsi="宋体" w:eastAsia="宋体" w:cs="宋体"/>
                <w:color w:val="auto"/>
                <w:szCs w:val="21"/>
              </w:rPr>
            </w:pPr>
            <w:r>
              <w:rPr>
                <w:rFonts w:hint="eastAsia" w:ascii="宋体" w:hAnsi="宋体" w:eastAsia="宋体" w:cs="宋体"/>
                <w:color w:val="auto"/>
                <w:szCs w:val="21"/>
              </w:rPr>
              <w:t>采购人</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6A9CB406">
            <w:pPr>
              <w:pStyle w:val="85"/>
              <w:spacing w:before="50" w:line="219" w:lineRule="auto"/>
              <w:rPr>
                <w:rFonts w:hint="eastAsia"/>
                <w:spacing w:val="1"/>
                <w:sz w:val="21"/>
                <w:szCs w:val="21"/>
                <w:lang w:eastAsia="zh-CN"/>
              </w:rPr>
            </w:pPr>
            <w:r>
              <w:rPr>
                <w:rFonts w:hint="eastAsia"/>
                <w:spacing w:val="1"/>
                <w:sz w:val="21"/>
                <w:szCs w:val="21"/>
                <w:lang w:val="en-US" w:eastAsia="zh-CN"/>
              </w:rPr>
              <w:t>名称：</w:t>
            </w:r>
            <w:r>
              <w:rPr>
                <w:rFonts w:hint="eastAsia"/>
                <w:spacing w:val="1"/>
                <w:sz w:val="21"/>
                <w:szCs w:val="21"/>
                <w:lang w:eastAsia="zh-CN"/>
              </w:rPr>
              <w:t>衡山县疾病预防控制中心（衡山县卫生综合监督执法局）</w:t>
            </w:r>
          </w:p>
          <w:p w14:paraId="2BC95E3D">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auto"/>
                <w:kern w:val="0"/>
                <w:sz w:val="21"/>
                <w:szCs w:val="21"/>
                <w:highlight w:val="none"/>
                <w:lang w:val="en-US" w:eastAsia="zh-CN" w:bidi="ar"/>
              </w:rPr>
              <w:t>地址：</w:t>
            </w:r>
            <w:r>
              <w:rPr>
                <w:rFonts w:hint="eastAsia" w:ascii="宋体" w:hAnsi="宋体" w:eastAsia="宋体" w:cs="宋体"/>
                <w:color w:val="000000"/>
                <w:kern w:val="0"/>
                <w:sz w:val="21"/>
                <w:szCs w:val="21"/>
                <w:lang w:val="en-US" w:eastAsia="zh-CN" w:bidi="ar"/>
              </w:rPr>
              <w:t>衡山县开云新城九龙大道</w:t>
            </w:r>
          </w:p>
          <w:p w14:paraId="11CFFB68">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联系人：张涛</w:t>
            </w:r>
          </w:p>
          <w:p w14:paraId="63C538D1">
            <w:pPr>
              <w:keepNext w:val="0"/>
              <w:keepLines w:val="0"/>
              <w:widowControl/>
              <w:suppressLineNumbers w:val="0"/>
              <w:spacing w:line="360" w:lineRule="auto"/>
              <w:jc w:val="left"/>
              <w:rPr>
                <w:rFonts w:hint="eastAsia"/>
                <w:spacing w:val="1"/>
                <w:sz w:val="21"/>
                <w:szCs w:val="21"/>
                <w:lang w:eastAsia="zh-CN"/>
              </w:rPr>
            </w:pPr>
            <w:r>
              <w:rPr>
                <w:rFonts w:hint="eastAsia" w:ascii="宋体" w:hAnsi="宋体" w:eastAsia="宋体" w:cs="宋体"/>
                <w:color w:val="000000"/>
                <w:kern w:val="0"/>
                <w:sz w:val="21"/>
                <w:szCs w:val="21"/>
                <w:lang w:val="en-US" w:eastAsia="zh-CN" w:bidi="ar"/>
              </w:rPr>
              <w:t>电话：13975457312</w:t>
            </w:r>
          </w:p>
        </w:tc>
      </w:tr>
      <w:tr w14:paraId="03D65173">
        <w:tblPrEx>
          <w:tblCellMar>
            <w:top w:w="0" w:type="dxa"/>
            <w:left w:w="10" w:type="dxa"/>
            <w:bottom w:w="0" w:type="dxa"/>
            <w:right w:w="10" w:type="dxa"/>
          </w:tblCellMar>
        </w:tblPrEx>
        <w:trPr>
          <w:trHeight w:val="2048"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489336E0">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第二章第2.2款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ED765F0">
            <w:pPr>
              <w:spacing w:line="360" w:lineRule="auto"/>
              <w:rPr>
                <w:rFonts w:ascii="宋体" w:hAnsi="宋体" w:eastAsia="宋体" w:cs="宋体"/>
                <w:color w:val="auto"/>
                <w:szCs w:val="21"/>
              </w:rPr>
            </w:pPr>
            <w:r>
              <w:rPr>
                <w:rFonts w:hint="eastAsia" w:ascii="宋体" w:hAnsi="宋体" w:eastAsia="宋体" w:cs="宋体"/>
                <w:color w:val="auto"/>
                <w:szCs w:val="21"/>
              </w:rPr>
              <w:t>采购代理机构</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D113BDE">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名称：天策致远工程咨询管理有限公司</w:t>
            </w:r>
          </w:p>
          <w:p w14:paraId="7852C112">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地址：湖南省衡阳市衡山县开云镇两路口社区黄金园街33-2号</w:t>
            </w:r>
          </w:p>
          <w:p w14:paraId="32EA616E">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联系人：赵志敏</w:t>
            </w:r>
          </w:p>
          <w:p w14:paraId="23F31AFB">
            <w:pPr>
              <w:keepNext w:val="0"/>
              <w:keepLines w:val="0"/>
              <w:widowControl/>
              <w:suppressLineNumbers w:val="0"/>
              <w:spacing w:line="360" w:lineRule="auto"/>
              <w:jc w:val="left"/>
              <w:rPr>
                <w:rFonts w:hint="default" w:ascii="宋体" w:hAnsi="宋体" w:eastAsia="宋体" w:cs="宋体"/>
                <w:color w:val="auto"/>
                <w:szCs w:val="21"/>
                <w:lang w:val="en-US"/>
              </w:rPr>
            </w:pPr>
            <w:r>
              <w:rPr>
                <w:rFonts w:hint="eastAsia" w:ascii="宋体" w:hAnsi="宋体" w:eastAsia="宋体" w:cs="宋体"/>
                <w:color w:val="000000"/>
                <w:kern w:val="0"/>
                <w:sz w:val="21"/>
                <w:szCs w:val="21"/>
                <w:lang w:val="en-US" w:eastAsia="zh-CN" w:bidi="ar"/>
              </w:rPr>
              <w:t>电话：18397427553</w:t>
            </w:r>
          </w:p>
        </w:tc>
      </w:tr>
      <w:tr w14:paraId="1E8B3888">
        <w:tblPrEx>
          <w:tblCellMar>
            <w:top w:w="0" w:type="dxa"/>
            <w:left w:w="10" w:type="dxa"/>
            <w:bottom w:w="0" w:type="dxa"/>
            <w:right w:w="10" w:type="dxa"/>
          </w:tblCellMar>
        </w:tblPrEx>
        <w:trPr>
          <w:trHeight w:val="894"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6516AF39">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第二章第2.3款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F66541D">
            <w:pPr>
              <w:spacing w:line="360" w:lineRule="auto"/>
              <w:rPr>
                <w:rFonts w:ascii="宋体" w:hAnsi="宋体" w:eastAsia="宋体" w:cs="宋体"/>
                <w:bCs/>
                <w:color w:val="auto"/>
                <w:szCs w:val="21"/>
              </w:rPr>
            </w:pPr>
            <w:r>
              <w:rPr>
                <w:rFonts w:hint="eastAsia" w:ascii="宋体" w:hAnsi="宋体" w:eastAsia="宋体" w:cs="宋体"/>
                <w:color w:val="auto"/>
                <w:szCs w:val="21"/>
              </w:rPr>
              <w:t>供应商的邀请方式</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82B3AAB">
            <w:pPr>
              <w:adjustRightInd w:val="0"/>
              <w:snapToGrid w:val="0"/>
              <w:spacing w:line="240" w:lineRule="auto"/>
              <w:rPr>
                <w:rFonts w:hint="eastAsia" w:ascii="宋体" w:hAnsi="宋体" w:cs="宋体"/>
                <w:szCs w:val="21"/>
              </w:rPr>
            </w:pPr>
            <w:r>
              <w:rPr>
                <w:rFonts w:hint="eastAsia" w:ascii="宋体" w:hAnsi="宋体" w:cs="宋体"/>
                <w:szCs w:val="21"/>
              </w:rPr>
              <w:sym w:font="Wingdings" w:char="00FE"/>
            </w:r>
            <w:r>
              <w:rPr>
                <w:rFonts w:hint="eastAsia" w:ascii="宋体" w:hAnsi="宋体" w:cs="宋体"/>
                <w:szCs w:val="21"/>
              </w:rPr>
              <w:t>发布公告</w:t>
            </w:r>
          </w:p>
          <w:p w14:paraId="50AE68A2">
            <w:pPr>
              <w:adjustRightInd w:val="0"/>
              <w:snapToGrid w:val="0"/>
              <w:spacing w:line="240" w:lineRule="auto"/>
              <w:rPr>
                <w:rFonts w:hint="eastAsia" w:ascii="宋体" w:hAnsi="宋体" w:cs="宋体"/>
                <w:szCs w:val="21"/>
              </w:rPr>
            </w:pPr>
            <w:r>
              <w:rPr>
                <w:rFonts w:hint="eastAsia" w:ascii="宋体" w:hAnsi="宋体" w:cs="宋体"/>
                <w:szCs w:val="21"/>
              </w:rPr>
              <w:t>□从省级以上财政部门建立的供应商库中随机抽取</w:t>
            </w:r>
          </w:p>
          <w:p w14:paraId="4BF53D33">
            <w:pPr>
              <w:spacing w:line="360" w:lineRule="auto"/>
              <w:rPr>
                <w:rFonts w:ascii="宋体" w:hAnsi="宋体" w:eastAsia="宋体" w:cs="宋体"/>
                <w:color w:val="auto"/>
                <w:szCs w:val="21"/>
              </w:rPr>
            </w:pPr>
            <w:r>
              <w:rPr>
                <w:rFonts w:hint="eastAsia" w:ascii="宋体" w:hAnsi="宋体" w:cs="宋体"/>
                <w:szCs w:val="21"/>
              </w:rPr>
              <w:t>□采购人和评审专家分别书面推荐的方式</w:t>
            </w:r>
          </w:p>
        </w:tc>
      </w:tr>
      <w:tr w14:paraId="23355204">
        <w:tblPrEx>
          <w:tblCellMar>
            <w:top w:w="0" w:type="dxa"/>
            <w:left w:w="10" w:type="dxa"/>
            <w:bottom w:w="0" w:type="dxa"/>
            <w:right w:w="10" w:type="dxa"/>
          </w:tblCellMar>
        </w:tblPrEx>
        <w:trPr>
          <w:trHeight w:val="90"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270CA0D5">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第二章第3.1款</w:t>
            </w:r>
          </w:p>
          <w:p w14:paraId="33A7AAFF">
            <w:pPr>
              <w:spacing w:line="360" w:lineRule="auto"/>
              <w:jc w:val="center"/>
              <w:rPr>
                <w:rFonts w:ascii="宋体" w:hAnsi="宋体" w:eastAsia="宋体" w:cs="宋体"/>
                <w:color w:val="auto"/>
                <w:szCs w:val="21"/>
              </w:rPr>
            </w:pP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E0CF639">
            <w:pPr>
              <w:spacing w:line="360" w:lineRule="auto"/>
              <w:rPr>
                <w:rFonts w:ascii="宋体" w:hAnsi="宋体" w:eastAsia="宋体" w:cs="宋体"/>
                <w:color w:val="auto"/>
                <w:szCs w:val="21"/>
              </w:rPr>
            </w:pPr>
            <w:r>
              <w:rPr>
                <w:rFonts w:hint="eastAsia" w:ascii="宋体" w:hAnsi="宋体" w:eastAsia="宋体" w:cs="宋体"/>
                <w:bCs/>
                <w:color w:val="auto"/>
                <w:szCs w:val="21"/>
              </w:rPr>
              <w:t>供应商</w:t>
            </w:r>
            <w:r>
              <w:rPr>
                <w:rFonts w:hint="eastAsia" w:ascii="宋体" w:hAnsi="宋体" w:eastAsia="宋体" w:cs="宋体"/>
                <w:color w:val="auto"/>
                <w:szCs w:val="21"/>
              </w:rPr>
              <w:t>资格条件</w:t>
            </w:r>
          </w:p>
          <w:p w14:paraId="63AA207F">
            <w:pPr>
              <w:spacing w:line="360" w:lineRule="auto"/>
              <w:rPr>
                <w:rFonts w:ascii="宋体" w:hAnsi="宋体" w:eastAsia="宋体" w:cs="宋体"/>
                <w:color w:val="auto"/>
                <w:szCs w:val="21"/>
              </w:rPr>
            </w:pP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41FCD660">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1、投标人的基本资格条件：投标人必须是在中华人民共和国境内注册登记的法人、其他组织或者自然人，且应当符合《政府采购法》第二十二条第一款的规定，即：</w:t>
            </w:r>
          </w:p>
          <w:p w14:paraId="3FE8736E">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（1）具有独立承担民事责任的能力；</w:t>
            </w:r>
          </w:p>
          <w:p w14:paraId="10769BA0">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（2）具有良好的商业信誉和健全的财务会计制度；</w:t>
            </w:r>
          </w:p>
          <w:p w14:paraId="0A3FCF83">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（3）具有履行合同所必需的设备和专业技术能力；</w:t>
            </w:r>
          </w:p>
          <w:p w14:paraId="5233FDD3">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（4）有依法缴纳税收和社会保障资金的良好记录；</w:t>
            </w:r>
          </w:p>
          <w:p w14:paraId="281C6634">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（5）参加政府采购活动前三年内，在经营活动中没有重大违法记录；</w:t>
            </w:r>
          </w:p>
          <w:p w14:paraId="2CDDB0F7">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（6）法律、行政法规规定的其他条件。</w:t>
            </w:r>
          </w:p>
          <w:p w14:paraId="4E296E20">
            <w:pPr>
              <w:spacing w:line="360" w:lineRule="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2、本项目的特定资格要求：</w:t>
            </w:r>
            <w:r>
              <w:rPr>
                <w:rFonts w:hint="eastAsia" w:eastAsia="宋体"/>
                <w:color w:val="auto"/>
                <w:highlight w:val="none"/>
                <w:lang w:val="en-US" w:eastAsia="zh-CN"/>
              </w:rPr>
              <w:t>无</w:t>
            </w:r>
            <w:r>
              <w:rPr>
                <w:rFonts w:hint="eastAsia" w:eastAsia="宋体"/>
                <w:color w:val="auto"/>
                <w:highlight w:val="none"/>
                <w:lang w:eastAsia="zh-CN"/>
              </w:rPr>
              <w:t>。</w:t>
            </w:r>
          </w:p>
          <w:p w14:paraId="60F8223C">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3、单位负责人为同一人或者存在直接控股、管理关系的不同供应商，不得参加同一合同项下的政府采购活动。</w:t>
            </w:r>
          </w:p>
          <w:p w14:paraId="38A0EC02">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4、为本采购项目提供整体设计、规范编制或者项目管理、监理、检测等服务的，不得再参加此项目的其他采购活动。</w:t>
            </w:r>
          </w:p>
          <w:p w14:paraId="26F1F019">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5、列入失信被执行人、重大税收违法失信主体名单、政府采购严重违法失信行为记录名单的，拒绝其参与政府采购活动。</w:t>
            </w:r>
          </w:p>
          <w:p w14:paraId="5C2996DD">
            <w:pPr>
              <w:pStyle w:val="11"/>
              <w:ind w:left="0" w:leftChars="0" w:firstLine="0" w:firstLineChars="0"/>
              <w:rPr>
                <w:rFonts w:hint="eastAsia"/>
                <w:color w:val="auto"/>
                <w:lang w:val="en-US" w:eastAsia="zh-CN"/>
              </w:rPr>
            </w:pPr>
            <w:r>
              <w:rPr>
                <w:rFonts w:hint="eastAsia" w:ascii="宋体" w:hAnsi="宋体" w:eastAsia="宋体" w:cs="宋体"/>
                <w:color w:val="auto"/>
                <w:szCs w:val="21"/>
                <w:lang w:val="en-US" w:eastAsia="zh-CN"/>
              </w:rPr>
              <w:t>备注：根据湘财购〔2022〕17号《湖南省财政厅关于政府采购促进中小企业发展有关措施的通知》要求，供应商可提供湘财购〔2022〕17号《湖南省财政厅关于政府采购促进中小企业发展有关措施的通知》的湖南省政府采购供应商资格承诺函加盖供应商公章，提供了《湖南省政府采购供应商资格承诺函》的可不提供财务状况、缴纳税收和社会保障资金等证明材料。经采购人或监管部门查实，提供虚假承诺的供应商将以虚假资料谋取中标（成交）的违法行为，被列入不良记录名单，采购人有权取消其中标资格。</w:t>
            </w:r>
          </w:p>
        </w:tc>
      </w:tr>
      <w:tr w14:paraId="6CD72EF2">
        <w:tblPrEx>
          <w:tblCellMar>
            <w:top w:w="0" w:type="dxa"/>
            <w:left w:w="10" w:type="dxa"/>
            <w:bottom w:w="0" w:type="dxa"/>
            <w:right w:w="10" w:type="dxa"/>
          </w:tblCellMar>
        </w:tblPrEx>
        <w:trPr>
          <w:trHeight w:val="2873"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68E8F6A0">
            <w:pPr>
              <w:keepNext w:val="0"/>
              <w:keepLines w:val="0"/>
              <w:pageBreakBefore w:val="0"/>
              <w:kinsoku/>
              <w:wordWrap/>
              <w:overflowPunct/>
              <w:topLinePunct w:val="0"/>
              <w:autoSpaceDE/>
              <w:bidi w:val="0"/>
              <w:adjustRightInd w:val="0"/>
              <w:snapToGrid w:val="0"/>
              <w:spacing w:beforeLines="50" w:line="312" w:lineRule="auto"/>
              <w:jc w:val="center"/>
              <w:rPr>
                <w:rFonts w:ascii="宋体" w:hAnsi="宋体" w:eastAsia="宋体" w:cs="宋体"/>
                <w:color w:val="auto"/>
                <w:szCs w:val="21"/>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章第</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kern w:val="0"/>
                <w:sz w:val="21"/>
                <w:szCs w:val="21"/>
                <w:highlight w:val="none"/>
                <w:lang w:val="zh-CN"/>
              </w:rPr>
              <w:t>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B71AC7D">
            <w:pPr>
              <w:keepNext w:val="0"/>
              <w:keepLines w:val="0"/>
              <w:pageBreakBefore w:val="0"/>
              <w:kinsoku/>
              <w:wordWrap/>
              <w:overflowPunct/>
              <w:topLinePunct w:val="0"/>
              <w:autoSpaceDE/>
              <w:bidi w:val="0"/>
              <w:adjustRightInd w:val="0"/>
              <w:snapToGrid w:val="0"/>
              <w:spacing w:beforeLines="50" w:line="312" w:lineRule="auto"/>
              <w:jc w:val="center"/>
              <w:rPr>
                <w:rFonts w:ascii="宋体" w:hAnsi="宋体" w:eastAsia="宋体" w:cs="宋体"/>
                <w:color w:val="auto"/>
                <w:szCs w:val="21"/>
              </w:rPr>
            </w:pPr>
            <w:r>
              <w:rPr>
                <w:rFonts w:hint="eastAsia" w:ascii="宋体" w:hAnsi="宋体" w:eastAsia="宋体" w:cs="宋体"/>
                <w:color w:val="auto"/>
                <w:sz w:val="21"/>
                <w:szCs w:val="21"/>
                <w:highlight w:val="none"/>
                <w:lang w:eastAsia="zh-CN"/>
              </w:rPr>
              <w:t>身份验证</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2D918976">
            <w:pPr>
              <w:keepNext w:val="0"/>
              <w:keepLines w:val="0"/>
              <w:pageBreakBefore w:val="0"/>
              <w:widowControl w:val="0"/>
              <w:numPr>
                <w:ilvl w:val="0"/>
                <w:numId w:val="0"/>
              </w:numPr>
              <w:kinsoku/>
              <w:wordWrap/>
              <w:overflowPunct/>
              <w:topLinePunct w:val="0"/>
              <w:autoSpaceDE/>
              <w:autoSpaceDN/>
              <w:bidi w:val="0"/>
              <w:spacing w:line="240" w:lineRule="auto"/>
              <w:textAlignment w:val="baseline"/>
              <w:rPr>
                <w:rFonts w:hint="eastAsia" w:ascii="宋体" w:hAnsi="宋体" w:eastAsia="宋体" w:cs="宋体"/>
                <w:snapToGrid w:val="0"/>
                <w:color w:val="auto"/>
                <w:sz w:val="21"/>
                <w:szCs w:val="21"/>
                <w:highlight w:val="none"/>
                <w:lang w:eastAsia="zh-CN"/>
              </w:rPr>
            </w:pPr>
            <w:r>
              <w:rPr>
                <w:rFonts w:hint="eastAsia" w:ascii="宋体" w:hAnsi="宋体" w:eastAsia="宋体" w:cs="宋体"/>
                <w:color w:val="auto"/>
                <w:sz w:val="21"/>
                <w:szCs w:val="21"/>
                <w:highlight w:val="none"/>
                <w:lang w:eastAsia="zh-CN"/>
              </w:rPr>
              <w:t>开标会议可以由</w:t>
            </w:r>
            <w:r>
              <w:rPr>
                <w:rFonts w:hint="eastAsia" w:ascii="宋体" w:hAnsi="宋体" w:eastAsia="宋体" w:cs="宋体"/>
                <w:color w:val="auto"/>
                <w:sz w:val="21"/>
                <w:szCs w:val="21"/>
                <w:highlight w:val="none"/>
              </w:rPr>
              <w:t>投标人法定代表人或其授权的代理人参加</w:t>
            </w:r>
            <w:r>
              <w:rPr>
                <w:rFonts w:hint="eastAsia" w:ascii="宋体" w:hAnsi="宋体" w:eastAsia="宋体" w:cs="宋体"/>
                <w:color w:val="auto"/>
                <w:sz w:val="21"/>
                <w:szCs w:val="21"/>
                <w:highlight w:val="none"/>
                <w:lang w:eastAsia="zh-CN"/>
              </w:rPr>
              <w:t>，</w:t>
            </w:r>
            <w:r>
              <w:rPr>
                <w:rFonts w:hint="eastAsia" w:ascii="宋体" w:hAnsi="宋体" w:eastAsia="宋体" w:cs="宋体"/>
                <w:snapToGrid w:val="0"/>
                <w:color w:val="auto"/>
                <w:sz w:val="21"/>
                <w:szCs w:val="21"/>
                <w:highlight w:val="none"/>
              </w:rPr>
              <w:t>开标现场验证以</w:t>
            </w:r>
            <w:r>
              <w:rPr>
                <w:rFonts w:hint="eastAsia" w:ascii="宋体" w:hAnsi="宋体" w:eastAsia="宋体" w:cs="宋体"/>
                <w:snapToGrid w:val="0"/>
                <w:color w:val="auto"/>
                <w:sz w:val="21"/>
                <w:szCs w:val="21"/>
                <w:highlight w:val="none"/>
                <w:lang w:eastAsia="zh-CN"/>
              </w:rPr>
              <w:t>下</w:t>
            </w:r>
            <w:r>
              <w:rPr>
                <w:rFonts w:hint="eastAsia" w:ascii="宋体" w:hAnsi="宋体" w:eastAsia="宋体" w:cs="宋体"/>
                <w:snapToGrid w:val="0"/>
                <w:color w:val="auto"/>
                <w:sz w:val="21"/>
                <w:szCs w:val="21"/>
                <w:highlight w:val="none"/>
              </w:rPr>
              <w:t>资料</w:t>
            </w:r>
            <w:r>
              <w:rPr>
                <w:rFonts w:hint="eastAsia" w:ascii="宋体" w:hAnsi="宋体" w:eastAsia="宋体" w:cs="宋体"/>
                <w:color w:val="auto"/>
                <w:sz w:val="21"/>
                <w:szCs w:val="21"/>
                <w:highlight w:val="none"/>
                <w:lang w:eastAsia="zh-CN"/>
              </w:rPr>
              <w:t>，若身份核实未通过，</w:t>
            </w:r>
            <w:r>
              <w:rPr>
                <w:rFonts w:hint="eastAsia" w:ascii="宋体" w:hAnsi="宋体" w:eastAsia="宋体" w:cs="宋体"/>
                <w:snapToGrid w:val="0"/>
                <w:color w:val="auto"/>
                <w:sz w:val="21"/>
                <w:szCs w:val="21"/>
                <w:highlight w:val="none"/>
                <w:lang w:eastAsia="zh-CN"/>
              </w:rPr>
              <w:t>采购人拒绝</w:t>
            </w:r>
            <w:r>
              <w:rPr>
                <w:rFonts w:hint="eastAsia" w:ascii="宋体" w:hAnsi="宋体" w:eastAsia="宋体" w:cs="宋体"/>
                <w:snapToGrid w:val="0"/>
                <w:color w:val="auto"/>
                <w:sz w:val="21"/>
                <w:szCs w:val="21"/>
                <w:highlight w:val="none"/>
              </w:rPr>
              <w:t>受理</w:t>
            </w:r>
            <w:r>
              <w:rPr>
                <w:rFonts w:hint="eastAsia" w:ascii="宋体" w:hAnsi="宋体" w:eastAsia="宋体" w:cs="宋体"/>
                <w:snapToGrid w:val="0"/>
                <w:color w:val="auto"/>
                <w:sz w:val="21"/>
                <w:szCs w:val="21"/>
                <w:highlight w:val="none"/>
                <w:lang w:eastAsia="zh-CN"/>
              </w:rPr>
              <w:t>。</w:t>
            </w:r>
          </w:p>
          <w:p w14:paraId="2BE69664">
            <w:pPr>
              <w:keepNext w:val="0"/>
              <w:keepLines w:val="0"/>
              <w:pageBreakBefore w:val="0"/>
              <w:widowControl w:val="0"/>
              <w:numPr>
                <w:ilvl w:val="0"/>
                <w:numId w:val="0"/>
              </w:numPr>
              <w:kinsoku/>
              <w:wordWrap/>
              <w:overflowPunct/>
              <w:topLinePunct w:val="0"/>
              <w:autoSpaceDE/>
              <w:autoSpaceDN/>
              <w:bidi w:val="0"/>
              <w:spacing w:line="240" w:lineRule="auto"/>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z w:val="21"/>
                <w:szCs w:val="21"/>
                <w:highlight w:val="none"/>
                <w:lang w:val="zh-CN" w:eastAsia="zh-CN"/>
              </w:rPr>
              <w:t>如投标人法定代表人（单位负责人）到场参加：</w:t>
            </w:r>
            <w:r>
              <w:rPr>
                <w:rFonts w:hint="eastAsia" w:ascii="宋体" w:hAnsi="宋体" w:eastAsia="宋体" w:cs="宋体"/>
                <w:snapToGrid w:val="0"/>
                <w:color w:val="auto"/>
                <w:kern w:val="0"/>
                <w:sz w:val="21"/>
                <w:szCs w:val="21"/>
                <w:highlight w:val="none"/>
                <w:lang w:val="zh-CN"/>
              </w:rPr>
              <w:t>要求由</w:t>
            </w:r>
            <w:r>
              <w:rPr>
                <w:rFonts w:hint="eastAsia" w:ascii="宋体" w:hAnsi="宋体" w:eastAsia="宋体" w:cs="宋体"/>
                <w:snapToGrid w:val="0"/>
                <w:color w:val="auto"/>
                <w:sz w:val="21"/>
                <w:szCs w:val="21"/>
                <w:highlight w:val="none"/>
              </w:rPr>
              <w:t>投标人的法定代表人（单位负责人）持本人身份证</w:t>
            </w:r>
            <w:r>
              <w:rPr>
                <w:rFonts w:hint="eastAsia" w:ascii="宋体" w:hAnsi="宋体" w:eastAsia="宋体" w:cs="宋体"/>
                <w:snapToGrid w:val="0"/>
                <w:color w:val="auto"/>
                <w:sz w:val="21"/>
                <w:szCs w:val="21"/>
                <w:highlight w:val="none"/>
                <w:lang w:eastAsia="zh-CN"/>
              </w:rPr>
              <w:t>（原件）携带</w:t>
            </w:r>
            <w:r>
              <w:rPr>
                <w:rFonts w:hint="eastAsia" w:ascii="宋体" w:hAnsi="宋体" w:eastAsia="宋体" w:cs="宋体"/>
                <w:snapToGrid w:val="0"/>
                <w:color w:val="auto"/>
                <w:sz w:val="21"/>
                <w:szCs w:val="21"/>
                <w:highlight w:val="none"/>
              </w:rPr>
              <w:t>法定代表人（单位负责人）身份证明</w:t>
            </w:r>
            <w:r>
              <w:rPr>
                <w:rFonts w:hint="eastAsia" w:ascii="宋体" w:hAnsi="宋体" w:eastAsia="宋体" w:cs="宋体"/>
                <w:snapToGrid w:val="0"/>
                <w:color w:val="auto"/>
                <w:sz w:val="21"/>
                <w:szCs w:val="21"/>
                <w:highlight w:val="none"/>
                <w:lang w:eastAsia="zh-CN"/>
              </w:rPr>
              <w:t>（单独打印的原件）</w:t>
            </w:r>
            <w:r>
              <w:rPr>
                <w:rFonts w:hint="eastAsia" w:ascii="宋体" w:hAnsi="宋体" w:eastAsia="宋体" w:cs="宋体"/>
                <w:snapToGrid w:val="0"/>
                <w:color w:val="auto"/>
                <w:sz w:val="21"/>
                <w:szCs w:val="21"/>
                <w:highlight w:val="none"/>
              </w:rPr>
              <w:t>准时</w:t>
            </w:r>
            <w:r>
              <w:rPr>
                <w:rFonts w:hint="eastAsia" w:ascii="宋体" w:hAnsi="宋体" w:eastAsia="宋体" w:cs="宋体"/>
                <w:snapToGrid w:val="0"/>
                <w:color w:val="auto"/>
                <w:sz w:val="21"/>
                <w:szCs w:val="21"/>
                <w:highlight w:val="none"/>
                <w:lang w:eastAsia="zh-CN"/>
              </w:rPr>
              <w:t>到场</w:t>
            </w:r>
            <w:r>
              <w:rPr>
                <w:rFonts w:hint="eastAsia" w:ascii="宋体" w:hAnsi="宋体" w:eastAsia="宋体" w:cs="宋体"/>
                <w:snapToGrid w:val="0"/>
                <w:color w:val="auto"/>
                <w:sz w:val="21"/>
                <w:szCs w:val="21"/>
                <w:highlight w:val="none"/>
              </w:rPr>
              <w:t>参加</w:t>
            </w:r>
            <w:r>
              <w:rPr>
                <w:rFonts w:hint="eastAsia" w:ascii="宋体" w:hAnsi="宋体" w:eastAsia="宋体" w:cs="宋体"/>
                <w:snapToGrid w:val="0"/>
                <w:color w:val="auto"/>
                <w:sz w:val="21"/>
                <w:szCs w:val="21"/>
                <w:highlight w:val="none"/>
                <w:lang w:eastAsia="zh-CN"/>
              </w:rPr>
              <w:t>；</w:t>
            </w:r>
          </w:p>
          <w:p w14:paraId="1EC7FDF3">
            <w:pPr>
              <w:keepNext w:val="0"/>
              <w:keepLines w:val="0"/>
              <w:pageBreakBefore w:val="0"/>
              <w:widowControl w:val="0"/>
              <w:kinsoku/>
              <w:wordWrap/>
              <w:overflowPunct/>
              <w:topLinePunct w:val="0"/>
              <w:autoSpaceDE/>
              <w:autoSpaceDN/>
              <w:bidi w:val="0"/>
              <w:adjustRightInd w:val="0"/>
              <w:snapToGrid w:val="0"/>
              <w:spacing w:line="312" w:lineRule="auto"/>
              <w:rPr>
                <w:rFonts w:hint="eastAsia" w:ascii="宋体" w:hAnsi="宋体" w:eastAsia="宋体" w:cs="宋体"/>
                <w:color w:val="auto"/>
                <w:sz w:val="21"/>
                <w:szCs w:val="21"/>
                <w:highlight w:val="none"/>
                <w:lang w:val="en-US" w:eastAsia="zh-CN" w:bidi="ar"/>
              </w:rPr>
            </w:pPr>
            <w:r>
              <w:rPr>
                <w:rFonts w:hint="eastAsia" w:ascii="宋体" w:hAnsi="宋体" w:eastAsia="宋体" w:cs="宋体"/>
                <w:b/>
                <w:bCs/>
                <w:snapToGrid w:val="0"/>
                <w:color w:val="auto"/>
                <w:sz w:val="21"/>
                <w:szCs w:val="21"/>
                <w:highlight w:val="none"/>
                <w:lang w:eastAsia="zh-CN"/>
              </w:rPr>
              <w:t>如委托代理人到场参加：</w:t>
            </w:r>
            <w:r>
              <w:rPr>
                <w:rFonts w:hint="eastAsia" w:ascii="宋体" w:hAnsi="宋体" w:eastAsia="宋体" w:cs="宋体"/>
                <w:b w:val="0"/>
                <w:bCs w:val="0"/>
                <w:snapToGrid w:val="0"/>
                <w:color w:val="auto"/>
                <w:sz w:val="21"/>
                <w:szCs w:val="21"/>
                <w:highlight w:val="none"/>
                <w:lang w:eastAsia="zh-CN"/>
              </w:rPr>
              <w:t>要求由投标人的</w:t>
            </w:r>
            <w:r>
              <w:rPr>
                <w:rFonts w:hint="eastAsia" w:ascii="宋体" w:hAnsi="宋体" w:eastAsia="宋体" w:cs="宋体"/>
                <w:b w:val="0"/>
                <w:bCs w:val="0"/>
                <w:snapToGrid w:val="0"/>
                <w:color w:val="auto"/>
                <w:sz w:val="21"/>
                <w:szCs w:val="21"/>
                <w:highlight w:val="none"/>
              </w:rPr>
              <w:t>委托代理人</w:t>
            </w:r>
            <w:r>
              <w:rPr>
                <w:rFonts w:hint="eastAsia" w:ascii="宋体" w:hAnsi="宋体" w:eastAsia="宋体" w:cs="宋体"/>
                <w:b w:val="0"/>
                <w:bCs w:val="0"/>
                <w:snapToGrid w:val="0"/>
                <w:color w:val="auto"/>
                <w:kern w:val="0"/>
                <w:sz w:val="21"/>
                <w:szCs w:val="21"/>
                <w:highlight w:val="none"/>
                <w:lang w:val="zh-CN"/>
              </w:rPr>
              <w:t>持本人身份证</w:t>
            </w:r>
            <w:r>
              <w:rPr>
                <w:rFonts w:hint="eastAsia" w:ascii="宋体" w:hAnsi="宋体" w:eastAsia="宋体" w:cs="宋体"/>
                <w:b w:val="0"/>
                <w:bCs w:val="0"/>
                <w:snapToGrid w:val="0"/>
                <w:color w:val="auto"/>
                <w:sz w:val="21"/>
                <w:szCs w:val="21"/>
                <w:highlight w:val="none"/>
                <w:lang w:eastAsia="zh-CN"/>
              </w:rPr>
              <w:t>（原件）</w:t>
            </w:r>
            <w:r>
              <w:rPr>
                <w:rFonts w:hint="eastAsia" w:ascii="宋体" w:hAnsi="宋体" w:eastAsia="宋体" w:cs="宋体"/>
                <w:b w:val="0"/>
                <w:bCs w:val="0"/>
                <w:snapToGrid w:val="0"/>
                <w:color w:val="auto"/>
                <w:kern w:val="0"/>
                <w:sz w:val="21"/>
                <w:szCs w:val="21"/>
                <w:highlight w:val="none"/>
                <w:lang w:val="zh-CN"/>
              </w:rPr>
              <w:t>携带授权委托</w:t>
            </w:r>
            <w:r>
              <w:rPr>
                <w:rFonts w:hint="eastAsia" w:ascii="宋体" w:hAnsi="宋体" w:eastAsia="宋体" w:cs="宋体"/>
                <w:snapToGrid w:val="0"/>
                <w:color w:val="auto"/>
                <w:kern w:val="0"/>
                <w:sz w:val="21"/>
                <w:szCs w:val="21"/>
                <w:highlight w:val="none"/>
                <w:lang w:val="zh-CN"/>
              </w:rPr>
              <w:t>书</w:t>
            </w:r>
            <w:r>
              <w:rPr>
                <w:rFonts w:hint="eastAsia" w:ascii="宋体" w:hAnsi="宋体" w:eastAsia="宋体" w:cs="宋体"/>
                <w:snapToGrid w:val="0"/>
                <w:color w:val="auto"/>
                <w:sz w:val="21"/>
                <w:szCs w:val="21"/>
                <w:highlight w:val="none"/>
                <w:lang w:eastAsia="zh-CN"/>
              </w:rPr>
              <w:t>（单独打印的原件）</w:t>
            </w:r>
            <w:r>
              <w:rPr>
                <w:rFonts w:hint="eastAsia" w:ascii="宋体" w:hAnsi="宋体" w:eastAsia="宋体" w:cs="宋体"/>
                <w:snapToGrid w:val="0"/>
                <w:color w:val="auto"/>
                <w:kern w:val="0"/>
                <w:sz w:val="21"/>
                <w:szCs w:val="21"/>
                <w:highlight w:val="none"/>
                <w:lang w:val="zh-CN"/>
              </w:rPr>
              <w:t>并附法定代表人（单位负责人）身份证明</w:t>
            </w:r>
            <w:r>
              <w:rPr>
                <w:rFonts w:hint="eastAsia" w:ascii="宋体" w:hAnsi="宋体" w:eastAsia="宋体" w:cs="宋体"/>
                <w:snapToGrid w:val="0"/>
                <w:color w:val="auto"/>
                <w:sz w:val="21"/>
                <w:szCs w:val="21"/>
                <w:highlight w:val="none"/>
                <w:lang w:eastAsia="zh-CN"/>
              </w:rPr>
              <w:t>（单独打印的原件）</w:t>
            </w:r>
            <w:r>
              <w:rPr>
                <w:rFonts w:hint="eastAsia" w:ascii="宋体" w:hAnsi="宋体" w:eastAsia="宋体" w:cs="宋体"/>
                <w:snapToGrid w:val="0"/>
                <w:color w:val="auto"/>
                <w:sz w:val="21"/>
                <w:szCs w:val="21"/>
                <w:highlight w:val="none"/>
              </w:rPr>
              <w:t>准时</w:t>
            </w:r>
            <w:r>
              <w:rPr>
                <w:rFonts w:hint="eastAsia" w:ascii="宋体" w:hAnsi="宋体" w:eastAsia="宋体" w:cs="宋体"/>
                <w:snapToGrid w:val="0"/>
                <w:color w:val="auto"/>
                <w:sz w:val="21"/>
                <w:szCs w:val="21"/>
                <w:highlight w:val="none"/>
                <w:lang w:eastAsia="zh-CN"/>
              </w:rPr>
              <w:t>到场</w:t>
            </w:r>
            <w:r>
              <w:rPr>
                <w:rFonts w:hint="eastAsia" w:ascii="宋体" w:hAnsi="宋体" w:eastAsia="宋体" w:cs="宋体"/>
                <w:snapToGrid w:val="0"/>
                <w:color w:val="auto"/>
                <w:sz w:val="21"/>
                <w:szCs w:val="21"/>
                <w:highlight w:val="none"/>
              </w:rPr>
              <w:t>参加</w:t>
            </w:r>
            <w:r>
              <w:rPr>
                <w:rFonts w:hint="eastAsia" w:ascii="宋体" w:hAnsi="宋体" w:eastAsia="宋体" w:cs="宋体"/>
                <w:snapToGrid w:val="0"/>
                <w:color w:val="auto"/>
                <w:sz w:val="21"/>
                <w:szCs w:val="21"/>
                <w:highlight w:val="none"/>
                <w:lang w:eastAsia="zh-CN"/>
              </w:rPr>
              <w:t>。</w:t>
            </w:r>
          </w:p>
        </w:tc>
      </w:tr>
      <w:tr w14:paraId="4D93B7B7">
        <w:tblPrEx>
          <w:tblCellMar>
            <w:top w:w="0" w:type="dxa"/>
            <w:left w:w="10" w:type="dxa"/>
            <w:bottom w:w="0" w:type="dxa"/>
            <w:right w:w="10" w:type="dxa"/>
          </w:tblCellMar>
        </w:tblPrEx>
        <w:trPr>
          <w:trHeight w:val="827"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2009002D">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第二章第6.1款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7831C49">
            <w:pPr>
              <w:spacing w:line="360" w:lineRule="auto"/>
              <w:rPr>
                <w:rFonts w:ascii="宋体" w:hAnsi="宋体" w:eastAsia="宋体" w:cs="宋体"/>
                <w:color w:val="auto"/>
                <w:szCs w:val="21"/>
              </w:rPr>
            </w:pPr>
            <w:r>
              <w:rPr>
                <w:rFonts w:hint="eastAsia" w:ascii="宋体" w:hAnsi="宋体" w:eastAsia="宋体" w:cs="宋体"/>
                <w:color w:val="auto"/>
                <w:szCs w:val="21"/>
              </w:rPr>
              <w:t>联合体形式</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15D692CD">
            <w:pPr>
              <w:spacing w:line="360" w:lineRule="auto"/>
              <w:rPr>
                <w:rFonts w:hint="eastAsia" w:ascii="宋体" w:hAnsi="宋体" w:eastAsia="宋体" w:cs="宋体"/>
                <w:color w:val="auto"/>
                <w:szCs w:val="21"/>
              </w:rPr>
            </w:pPr>
            <w:r>
              <w:rPr>
                <w:rFonts w:hint="eastAsia" w:ascii="宋体" w:hAnsi="宋体" w:eastAsia="宋体" w:cs="宋体"/>
                <w:color w:val="auto"/>
                <w:szCs w:val="21"/>
              </w:rPr>
              <w:sym w:font="Wingdings" w:char="00FE"/>
            </w:r>
            <w:r>
              <w:rPr>
                <w:rFonts w:hint="eastAsia" w:ascii="宋体" w:hAnsi="宋体" w:eastAsia="宋体" w:cs="宋体"/>
                <w:color w:val="auto"/>
                <w:szCs w:val="21"/>
              </w:rPr>
              <w:t>不接受</w:t>
            </w:r>
          </w:p>
          <w:p w14:paraId="6C971898">
            <w:pPr>
              <w:spacing w:line="360" w:lineRule="auto"/>
              <w:rPr>
                <w:rFonts w:ascii="宋体" w:hAnsi="宋体" w:eastAsia="宋体" w:cs="宋体"/>
                <w:color w:val="auto"/>
                <w:szCs w:val="21"/>
              </w:rPr>
            </w:pPr>
            <w:r>
              <w:rPr>
                <w:rFonts w:hint="eastAsia" w:ascii="宋体" w:hAnsi="宋体" w:eastAsia="宋体" w:cs="宋体"/>
                <w:color w:val="auto"/>
                <w:szCs w:val="21"/>
              </w:rPr>
              <w:sym w:font="Wingdings" w:char="00A8"/>
            </w:r>
            <w:r>
              <w:rPr>
                <w:rFonts w:hint="eastAsia" w:ascii="宋体" w:hAnsi="宋体" w:eastAsia="宋体" w:cs="宋体"/>
                <w:color w:val="auto"/>
                <w:szCs w:val="21"/>
              </w:rPr>
              <w:t>接受</w:t>
            </w:r>
          </w:p>
        </w:tc>
      </w:tr>
      <w:tr w14:paraId="39526422">
        <w:tblPrEx>
          <w:tblCellMar>
            <w:top w:w="0" w:type="dxa"/>
            <w:left w:w="10" w:type="dxa"/>
            <w:bottom w:w="0" w:type="dxa"/>
            <w:right w:w="10" w:type="dxa"/>
          </w:tblCellMar>
        </w:tblPrEx>
        <w:trPr>
          <w:trHeight w:val="827"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7852DBA8">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第二章第6.2款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24576B8">
            <w:pPr>
              <w:spacing w:line="360" w:lineRule="auto"/>
              <w:rPr>
                <w:rFonts w:ascii="宋体" w:hAnsi="宋体" w:eastAsia="宋体" w:cs="宋体"/>
                <w:color w:val="auto"/>
                <w:szCs w:val="21"/>
              </w:rPr>
            </w:pPr>
            <w:r>
              <w:rPr>
                <w:rFonts w:hint="eastAsia" w:ascii="宋体" w:hAnsi="宋体" w:eastAsia="宋体" w:cs="宋体"/>
                <w:color w:val="auto"/>
                <w:szCs w:val="21"/>
              </w:rPr>
              <w:t>对联合体各方的要求</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3F0AFE1F">
            <w:pPr>
              <w:spacing w:line="360" w:lineRule="auto"/>
              <w:rPr>
                <w:rFonts w:ascii="宋体" w:hAnsi="宋体" w:eastAsia="宋体" w:cs="宋体"/>
                <w:color w:val="auto"/>
                <w:szCs w:val="21"/>
              </w:rPr>
            </w:pPr>
            <w:r>
              <w:rPr>
                <w:rFonts w:hint="eastAsia" w:ascii="宋体" w:hAnsi="宋体" w:eastAsia="宋体" w:cs="宋体"/>
                <w:color w:val="auto"/>
                <w:szCs w:val="21"/>
              </w:rPr>
              <w:t>/</w:t>
            </w:r>
          </w:p>
        </w:tc>
      </w:tr>
      <w:tr w14:paraId="0CA8F32C">
        <w:tblPrEx>
          <w:tblCellMar>
            <w:top w:w="0" w:type="dxa"/>
            <w:left w:w="10" w:type="dxa"/>
            <w:bottom w:w="0" w:type="dxa"/>
            <w:right w:w="10" w:type="dxa"/>
          </w:tblCellMar>
        </w:tblPrEx>
        <w:trPr>
          <w:trHeight w:val="524"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75B9AC9D">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w:t>
            </w:r>
            <w:r>
              <w:rPr>
                <w:rFonts w:hint="eastAsia" w:ascii="宋体" w:hAnsi="宋体" w:eastAsia="宋体" w:cs="宋体"/>
                <w:color w:val="auto"/>
                <w:szCs w:val="21"/>
                <w:lang w:val="en-US" w:eastAsia="zh-CN"/>
              </w:rPr>
              <w:t>7</w:t>
            </w:r>
            <w:r>
              <w:rPr>
                <w:rFonts w:hint="eastAsia" w:ascii="宋体" w:hAnsi="宋体" w:eastAsia="宋体" w:cs="宋体"/>
                <w:color w:val="auto"/>
                <w:szCs w:val="21"/>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rPr>
              <w:t>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57B6ED9">
            <w:pPr>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现场勘察</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16D9BE43">
            <w:pPr>
              <w:spacing w:line="360" w:lineRule="auto"/>
              <w:rPr>
                <w:rFonts w:hint="default" w:ascii="宋体" w:hAnsi="宋体" w:eastAsia="宋体" w:cs="宋体"/>
                <w:color w:val="auto"/>
                <w:szCs w:val="21"/>
                <w:lang w:val="en-US" w:eastAsia="zh-CN"/>
              </w:rPr>
            </w:pPr>
            <w:r>
              <w:rPr>
                <w:rFonts w:hint="eastAsia" w:ascii="宋体" w:hAnsi="宋体" w:eastAsia="宋体" w:cs="宋体"/>
                <w:color w:val="auto"/>
                <w:szCs w:val="21"/>
              </w:rPr>
              <w:t>不组织</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请供应商自行勘察</w:t>
            </w:r>
          </w:p>
        </w:tc>
      </w:tr>
      <w:tr w14:paraId="7BC51D8B">
        <w:tblPrEx>
          <w:tblCellMar>
            <w:top w:w="0" w:type="dxa"/>
            <w:left w:w="10" w:type="dxa"/>
            <w:bottom w:w="0" w:type="dxa"/>
            <w:right w:w="10" w:type="dxa"/>
          </w:tblCellMar>
        </w:tblPrEx>
        <w:trPr>
          <w:trHeight w:val="1047"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15C0704A">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w:t>
            </w:r>
            <w:r>
              <w:rPr>
                <w:rFonts w:hint="eastAsia" w:ascii="宋体" w:hAnsi="宋体" w:eastAsia="宋体" w:cs="宋体"/>
                <w:color w:val="auto"/>
                <w:szCs w:val="21"/>
                <w:lang w:val="en-US" w:eastAsia="zh-CN"/>
              </w:rPr>
              <w:t>8</w:t>
            </w:r>
            <w:r>
              <w:rPr>
                <w:rFonts w:hint="eastAsia" w:ascii="宋体" w:hAnsi="宋体" w:eastAsia="宋体" w:cs="宋体"/>
                <w:color w:val="auto"/>
                <w:szCs w:val="21"/>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rPr>
              <w:t>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C50E7E7">
            <w:pPr>
              <w:spacing w:before="156" w:line="360" w:lineRule="auto"/>
              <w:jc w:val="both"/>
              <w:rPr>
                <w:rFonts w:hint="eastAsia" w:ascii="宋体" w:hAnsi="宋体" w:eastAsia="宋体" w:cs="宋体"/>
                <w:color w:val="auto"/>
                <w:szCs w:val="21"/>
              </w:rPr>
            </w:pPr>
            <w:r>
              <w:rPr>
                <w:rFonts w:ascii="宋体" w:hAnsi="宋体" w:eastAsia="宋体" w:cs="宋体"/>
                <w:color w:val="auto"/>
                <w:kern w:val="1"/>
                <w:szCs w:val="21"/>
              </w:rPr>
              <w:t>采购进口产品</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2493B97F">
            <w:pPr>
              <w:adjustRightInd w:val="0"/>
              <w:snapToGrid w:val="0"/>
              <w:spacing w:before="120" w:beforeLines="50" w:line="360" w:lineRule="auto"/>
              <w:rPr>
                <w:rFonts w:hint="eastAsia" w:ascii="宋体" w:hAnsi="宋体"/>
                <w:color w:val="auto"/>
                <w:szCs w:val="21"/>
              </w:rPr>
            </w:pPr>
            <w:r>
              <w:rPr>
                <w:rFonts w:hint="eastAsia" w:ascii="宋体" w:hAnsi="宋体"/>
                <w:color w:val="auto"/>
                <w:szCs w:val="21"/>
              </w:rPr>
              <w:sym w:font="Wingdings" w:char="00FE"/>
            </w:r>
            <w:r>
              <w:rPr>
                <w:rFonts w:hint="eastAsia" w:ascii="宋体" w:hAnsi="宋体"/>
                <w:color w:val="auto"/>
                <w:szCs w:val="21"/>
              </w:rPr>
              <w:t>本采购项目</w:t>
            </w:r>
            <w:r>
              <w:rPr>
                <w:rFonts w:hint="eastAsia" w:ascii="宋体" w:hAnsi="宋体" w:cs="宋体"/>
                <w:color w:val="auto"/>
                <w:szCs w:val="21"/>
              </w:rPr>
              <w:t>拒绝进口产品参加投标</w:t>
            </w:r>
          </w:p>
          <w:p w14:paraId="67EC8E23">
            <w:pPr>
              <w:spacing w:before="156" w:line="360" w:lineRule="auto"/>
              <w:rPr>
                <w:rFonts w:hint="eastAsia" w:ascii="宋体" w:hAnsi="宋体" w:eastAsia="宋体" w:cs="宋体"/>
                <w:color w:val="auto"/>
                <w:szCs w:val="21"/>
              </w:rPr>
            </w:pPr>
            <w:r>
              <w:rPr>
                <w:rFonts w:hint="eastAsia" w:ascii="宋体" w:hAnsi="宋体"/>
                <w:color w:val="auto"/>
                <w:szCs w:val="21"/>
              </w:rPr>
              <w:t>□本采购项目已经</w:t>
            </w:r>
            <w:r>
              <w:rPr>
                <w:rFonts w:hint="eastAsia" w:ascii="宋体" w:hAnsi="宋体" w:cs="宋体"/>
                <w:color w:val="auto"/>
                <w:szCs w:val="21"/>
              </w:rPr>
              <w:t>财政部门审核同意购买进口产品</w:t>
            </w:r>
          </w:p>
        </w:tc>
      </w:tr>
      <w:tr w14:paraId="1A7253A5">
        <w:tblPrEx>
          <w:tblCellMar>
            <w:top w:w="0" w:type="dxa"/>
            <w:left w:w="10" w:type="dxa"/>
            <w:bottom w:w="0" w:type="dxa"/>
            <w:right w:w="10" w:type="dxa"/>
          </w:tblCellMar>
        </w:tblPrEx>
        <w:trPr>
          <w:trHeight w:val="1131" w:hRule="atLeast"/>
          <w:jc w:val="center"/>
        </w:trPr>
        <w:tc>
          <w:tcPr>
            <w:tcW w:w="1846" w:type="dxa"/>
            <w:vMerge w:val="restart"/>
            <w:tcBorders>
              <w:top w:val="single" w:color="000000" w:sz="6" w:space="0"/>
              <w:left w:val="double" w:color="000000" w:sz="4" w:space="0"/>
              <w:right w:val="single" w:color="000000" w:sz="6" w:space="0"/>
            </w:tcBorders>
            <w:tcMar>
              <w:top w:w="0" w:type="dxa"/>
              <w:left w:w="108" w:type="dxa"/>
              <w:bottom w:w="0" w:type="dxa"/>
              <w:right w:w="108" w:type="dxa"/>
            </w:tcMar>
            <w:vAlign w:val="center"/>
          </w:tcPr>
          <w:p w14:paraId="1E33F9FD">
            <w:pPr>
              <w:spacing w:line="240" w:lineRule="auto"/>
              <w:rPr>
                <w:rFonts w:hint="eastAsia" w:ascii="宋体" w:hAnsi="宋体" w:eastAsia="宋体" w:cs="宋体"/>
                <w:color w:val="auto"/>
                <w:sz w:val="22"/>
                <w:szCs w:val="22"/>
                <w:highlight w:val="none"/>
              </w:rPr>
            </w:pPr>
          </w:p>
          <w:p w14:paraId="1FE3B2FB">
            <w:pPr>
              <w:spacing w:line="240" w:lineRule="auto"/>
              <w:rPr>
                <w:rFonts w:hint="eastAsia" w:ascii="宋体" w:hAnsi="宋体" w:eastAsia="宋体" w:cs="宋体"/>
                <w:color w:val="auto"/>
                <w:sz w:val="22"/>
                <w:szCs w:val="22"/>
                <w:highlight w:val="none"/>
              </w:rPr>
            </w:pPr>
          </w:p>
          <w:p w14:paraId="16C9169F">
            <w:pPr>
              <w:spacing w:line="240" w:lineRule="auto"/>
              <w:rPr>
                <w:rFonts w:hint="eastAsia" w:ascii="宋体" w:hAnsi="宋体" w:eastAsia="宋体" w:cs="宋体"/>
                <w:color w:val="auto"/>
                <w:sz w:val="22"/>
                <w:szCs w:val="22"/>
                <w:highlight w:val="none"/>
              </w:rPr>
            </w:pPr>
          </w:p>
          <w:p w14:paraId="65EBD530">
            <w:pPr>
              <w:spacing w:line="240" w:lineRule="auto"/>
              <w:rPr>
                <w:rFonts w:hint="eastAsia" w:ascii="宋体" w:hAnsi="宋体" w:eastAsia="宋体" w:cs="宋体"/>
                <w:color w:val="auto"/>
                <w:sz w:val="22"/>
                <w:szCs w:val="22"/>
                <w:highlight w:val="none"/>
              </w:rPr>
            </w:pPr>
          </w:p>
          <w:p w14:paraId="77FFE675">
            <w:pPr>
              <w:spacing w:line="240" w:lineRule="auto"/>
              <w:rPr>
                <w:rFonts w:hint="eastAsia" w:ascii="宋体" w:hAnsi="宋体" w:eastAsia="宋体" w:cs="宋体"/>
                <w:color w:val="auto"/>
                <w:sz w:val="22"/>
                <w:szCs w:val="22"/>
                <w:highlight w:val="none"/>
              </w:rPr>
            </w:pPr>
          </w:p>
          <w:p w14:paraId="5E319161">
            <w:pPr>
              <w:spacing w:line="240" w:lineRule="auto"/>
              <w:rPr>
                <w:rFonts w:hint="eastAsia" w:ascii="宋体" w:hAnsi="宋体" w:eastAsia="宋体" w:cs="宋体"/>
                <w:color w:val="auto"/>
                <w:sz w:val="22"/>
                <w:szCs w:val="22"/>
                <w:highlight w:val="none"/>
              </w:rPr>
            </w:pPr>
          </w:p>
          <w:p w14:paraId="24860416">
            <w:pPr>
              <w:spacing w:line="240" w:lineRule="auto"/>
              <w:rPr>
                <w:rFonts w:hint="eastAsia" w:ascii="宋体" w:hAnsi="宋体" w:eastAsia="宋体" w:cs="宋体"/>
                <w:color w:val="auto"/>
                <w:sz w:val="22"/>
                <w:szCs w:val="22"/>
                <w:highlight w:val="none"/>
              </w:rPr>
            </w:pPr>
          </w:p>
          <w:p w14:paraId="1741967D">
            <w:pPr>
              <w:spacing w:line="240" w:lineRule="auto"/>
              <w:rPr>
                <w:rFonts w:hint="eastAsia" w:ascii="宋体" w:hAnsi="宋体" w:eastAsia="宋体" w:cs="宋体"/>
                <w:color w:val="auto"/>
                <w:sz w:val="22"/>
                <w:szCs w:val="22"/>
                <w:highlight w:val="none"/>
              </w:rPr>
            </w:pPr>
          </w:p>
          <w:p w14:paraId="71DB92DC">
            <w:pPr>
              <w:spacing w:line="240" w:lineRule="auto"/>
              <w:rPr>
                <w:color w:val="auto"/>
              </w:rPr>
            </w:pPr>
            <w:r>
              <w:rPr>
                <w:rFonts w:hint="eastAsia" w:ascii="宋体" w:hAnsi="宋体" w:eastAsia="宋体" w:cs="宋体"/>
                <w:color w:val="auto"/>
                <w:sz w:val="22"/>
                <w:szCs w:val="22"/>
                <w:highlight w:val="none"/>
              </w:rPr>
              <w:t>第二章第9.</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款</w:t>
            </w:r>
          </w:p>
        </w:tc>
        <w:tc>
          <w:tcPr>
            <w:tcW w:w="1970" w:type="dxa"/>
            <w:tcBorders>
              <w:top w:val="single" w:color="000000" w:sz="6" w:space="0"/>
              <w:left w:val="single" w:color="000000" w:sz="6" w:space="0"/>
              <w:bottom w:val="single" w:color="auto" w:sz="4" w:space="0"/>
              <w:right w:val="single" w:color="000000" w:sz="6" w:space="0"/>
            </w:tcBorders>
            <w:tcMar>
              <w:top w:w="0" w:type="dxa"/>
              <w:left w:w="108" w:type="dxa"/>
              <w:bottom w:w="0" w:type="dxa"/>
              <w:right w:w="108" w:type="dxa"/>
            </w:tcMar>
            <w:vAlign w:val="center"/>
          </w:tcPr>
          <w:p w14:paraId="59EE709F">
            <w:pPr>
              <w:spacing w:line="360" w:lineRule="auto"/>
              <w:jc w:val="both"/>
              <w:rPr>
                <w:rFonts w:ascii="宋体" w:hAnsi="宋体" w:eastAsia="宋体" w:cs="宋体"/>
                <w:color w:val="auto"/>
                <w:kern w:val="1"/>
                <w:szCs w:val="21"/>
              </w:rPr>
            </w:pPr>
            <w:r>
              <w:rPr>
                <w:rFonts w:hint="eastAsia" w:ascii="宋体" w:hAnsi="宋体" w:cs="宋体"/>
                <w:color w:val="auto"/>
                <w:sz w:val="21"/>
                <w:szCs w:val="21"/>
              </w:rPr>
              <w:t>政府采购强制采购</w:t>
            </w:r>
          </w:p>
        </w:tc>
        <w:tc>
          <w:tcPr>
            <w:tcW w:w="5903" w:type="dxa"/>
            <w:tcBorders>
              <w:top w:val="single" w:color="000000" w:sz="6" w:space="0"/>
              <w:left w:val="single" w:color="000000" w:sz="6" w:space="0"/>
              <w:bottom w:val="single" w:color="auto" w:sz="4" w:space="0"/>
              <w:right w:val="double" w:color="000000" w:sz="4" w:space="0"/>
            </w:tcBorders>
            <w:tcMar>
              <w:top w:w="0" w:type="dxa"/>
              <w:left w:w="108" w:type="dxa"/>
              <w:bottom w:w="0" w:type="dxa"/>
              <w:right w:w="108" w:type="dxa"/>
            </w:tcMar>
            <w:vAlign w:val="center"/>
          </w:tcPr>
          <w:p w14:paraId="2700CBFA">
            <w:pPr>
              <w:spacing w:line="360" w:lineRule="auto"/>
              <w:rPr>
                <w:rFonts w:hint="eastAsia" w:ascii="宋体" w:hAnsi="宋体" w:cs="宋体"/>
                <w:color w:val="auto"/>
                <w:sz w:val="21"/>
                <w:szCs w:val="21"/>
              </w:rPr>
            </w:pPr>
            <w:r>
              <w:rPr>
                <w:rFonts w:hint="eastAsia" w:ascii="宋体" w:hAnsi="宋体" w:cs="宋体"/>
                <w:color w:val="auto"/>
                <w:sz w:val="21"/>
                <w:szCs w:val="21"/>
              </w:rPr>
              <w:t>☑否</w:t>
            </w:r>
          </w:p>
          <w:p w14:paraId="7756B091">
            <w:pPr>
              <w:adjustRightInd w:val="0"/>
              <w:snapToGrid w:val="0"/>
              <w:spacing w:line="360" w:lineRule="auto"/>
              <w:rPr>
                <w:rFonts w:hint="eastAsia" w:ascii="宋体" w:hAnsi="宋体"/>
                <w:color w:val="auto"/>
                <w:szCs w:val="21"/>
              </w:rPr>
            </w:pPr>
            <w:r>
              <w:rPr>
                <w:rFonts w:hint="eastAsia" w:ascii="宋体" w:hAnsi="宋体" w:cs="宋体"/>
                <w:color w:val="auto"/>
                <w:sz w:val="21"/>
                <w:szCs w:val="21"/>
              </w:rPr>
              <w:t>□是，采购《节能产品政府采购品目清单》内标记★符号的节能产品。</w:t>
            </w:r>
          </w:p>
        </w:tc>
      </w:tr>
      <w:tr w14:paraId="2E5BE261">
        <w:tblPrEx>
          <w:tblCellMar>
            <w:top w:w="0" w:type="dxa"/>
            <w:left w:w="10" w:type="dxa"/>
            <w:bottom w:w="0" w:type="dxa"/>
            <w:right w:w="10" w:type="dxa"/>
          </w:tblCellMar>
        </w:tblPrEx>
        <w:trPr>
          <w:trHeight w:val="500" w:hRule="atLeast"/>
          <w:jc w:val="center"/>
        </w:trPr>
        <w:tc>
          <w:tcPr>
            <w:tcW w:w="1846" w:type="dxa"/>
            <w:vMerge w:val="continue"/>
            <w:tcBorders>
              <w:left w:val="double" w:color="000000" w:sz="4" w:space="0"/>
              <w:right w:val="single" w:color="000000" w:sz="6" w:space="0"/>
            </w:tcBorders>
            <w:tcMar>
              <w:top w:w="0" w:type="dxa"/>
              <w:left w:w="108" w:type="dxa"/>
              <w:bottom w:w="0" w:type="dxa"/>
              <w:right w:w="108" w:type="dxa"/>
            </w:tcMar>
            <w:vAlign w:val="center"/>
          </w:tcPr>
          <w:p w14:paraId="7B9768E3">
            <w:pPr>
              <w:spacing w:line="240" w:lineRule="auto"/>
              <w:rPr>
                <w:rFonts w:hint="eastAsia" w:ascii="宋体" w:hAnsi="宋体" w:eastAsia="宋体" w:cs="宋体"/>
                <w:color w:val="auto"/>
                <w:sz w:val="22"/>
                <w:szCs w:val="22"/>
                <w:highlight w:val="none"/>
              </w:rPr>
            </w:pPr>
          </w:p>
        </w:tc>
        <w:tc>
          <w:tcPr>
            <w:tcW w:w="1970" w:type="dxa"/>
            <w:tcBorders>
              <w:top w:val="single" w:color="auto" w:sz="4" w:space="0"/>
              <w:left w:val="single" w:color="000000" w:sz="6" w:space="0"/>
              <w:bottom w:val="single" w:color="auto" w:sz="4" w:space="0"/>
              <w:right w:val="single" w:color="000000" w:sz="6" w:space="0"/>
            </w:tcBorders>
            <w:tcMar>
              <w:top w:w="0" w:type="dxa"/>
              <w:left w:w="108" w:type="dxa"/>
              <w:bottom w:w="0" w:type="dxa"/>
              <w:right w:w="108" w:type="dxa"/>
            </w:tcMar>
            <w:vAlign w:val="center"/>
          </w:tcPr>
          <w:p w14:paraId="62711E83">
            <w:pPr>
              <w:adjustRightInd w:val="0"/>
              <w:snapToGrid w:val="0"/>
              <w:spacing w:line="360" w:lineRule="auto"/>
              <w:jc w:val="center"/>
              <w:rPr>
                <w:rFonts w:hint="eastAsia" w:ascii="宋体" w:hAnsi="宋体" w:cs="宋体"/>
                <w:color w:val="auto"/>
                <w:sz w:val="21"/>
                <w:szCs w:val="21"/>
              </w:rPr>
            </w:pPr>
            <w:r>
              <w:rPr>
                <w:rFonts w:hint="eastAsia" w:ascii="宋体" w:hAnsi="宋体"/>
                <w:color w:val="auto"/>
                <w:szCs w:val="21"/>
              </w:rPr>
              <w:t>政府采购优先采购非标记★符号的节能产品</w:t>
            </w:r>
          </w:p>
        </w:tc>
        <w:tc>
          <w:tcPr>
            <w:tcW w:w="5903" w:type="dxa"/>
            <w:tcBorders>
              <w:top w:val="single" w:color="auto" w:sz="4" w:space="0"/>
              <w:left w:val="single" w:color="000000" w:sz="6" w:space="0"/>
              <w:bottom w:val="single" w:color="auto" w:sz="4" w:space="0"/>
              <w:right w:val="double" w:color="000000" w:sz="4" w:space="0"/>
            </w:tcBorders>
            <w:tcMar>
              <w:top w:w="0" w:type="dxa"/>
              <w:left w:w="108" w:type="dxa"/>
              <w:bottom w:w="0" w:type="dxa"/>
              <w:right w:w="108" w:type="dxa"/>
            </w:tcMar>
            <w:vAlign w:val="center"/>
          </w:tcPr>
          <w:p w14:paraId="5D3A3CD8">
            <w:pPr>
              <w:adjustRightInd w:val="0"/>
              <w:snapToGrid w:val="0"/>
              <w:spacing w:before="120" w:beforeLines="50" w:line="360" w:lineRule="auto"/>
              <w:rPr>
                <w:rFonts w:ascii="宋体" w:hAnsi="宋体"/>
                <w:color w:val="auto"/>
                <w:szCs w:val="21"/>
              </w:rPr>
            </w:pPr>
            <w:r>
              <w:rPr>
                <w:rFonts w:hint="eastAsia" w:ascii="宋体" w:hAnsi="宋体" w:cs="宋体"/>
                <w:color w:val="auto"/>
                <w:sz w:val="21"/>
                <w:szCs w:val="21"/>
              </w:rPr>
              <w:t>☑</w:t>
            </w:r>
            <w:r>
              <w:rPr>
                <w:rFonts w:hint="eastAsia" w:ascii="宋体" w:hAnsi="宋体"/>
                <w:color w:val="auto"/>
                <w:szCs w:val="21"/>
              </w:rPr>
              <w:t>是，采购产品为《节能产品政府采购品目清单》(第</w:t>
            </w:r>
            <w:r>
              <w:rPr>
                <w:rFonts w:hint="eastAsia" w:ascii="宋体" w:hAnsi="宋体"/>
                <w:color w:val="auto"/>
                <w:szCs w:val="21"/>
                <w:u w:val="single"/>
              </w:rPr>
              <w:t>最新</w:t>
            </w:r>
            <w:r>
              <w:rPr>
                <w:rFonts w:hint="eastAsia" w:ascii="宋体" w:hAnsi="宋体"/>
                <w:color w:val="auto"/>
                <w:szCs w:val="21"/>
              </w:rPr>
              <w:t>期)内非标记★符号的：</w:t>
            </w:r>
          </w:p>
          <w:p w14:paraId="541F5C41">
            <w:pPr>
              <w:adjustRightInd w:val="0"/>
              <w:snapToGrid w:val="0"/>
              <w:spacing w:before="120" w:beforeLines="50" w:line="360" w:lineRule="auto"/>
              <w:rPr>
                <w:rFonts w:ascii="宋体" w:hAnsi="宋体"/>
                <w:color w:val="auto"/>
                <w:szCs w:val="21"/>
              </w:rPr>
            </w:pPr>
            <w:r>
              <w:rPr>
                <w:rFonts w:hint="eastAsia" w:ascii="宋体" w:hAnsi="宋体"/>
                <w:color w:val="auto"/>
                <w:szCs w:val="21"/>
              </w:rPr>
              <w:t>(1)采用最低评标价法时，应给予相应政策比例的价格扣除。本项目具体扣除比例为</w:t>
            </w:r>
            <w:r>
              <w:rPr>
                <w:rFonts w:hint="eastAsia" w:ascii="宋体" w:hAnsi="宋体"/>
                <w:color w:val="auto"/>
                <w:szCs w:val="21"/>
                <w:u w:val="single"/>
                <w:lang w:val="en-US" w:eastAsia="zh-CN"/>
              </w:rPr>
              <w:t>/</w:t>
            </w:r>
            <w:r>
              <w:rPr>
                <w:rFonts w:hint="eastAsia" w:ascii="宋体" w:hAnsi="宋体"/>
                <w:color w:val="auto"/>
                <w:szCs w:val="21"/>
              </w:rPr>
              <w:t>％；</w:t>
            </w:r>
          </w:p>
          <w:p w14:paraId="57BF4CD3">
            <w:pPr>
              <w:adjustRightInd w:val="0"/>
              <w:snapToGrid w:val="0"/>
              <w:spacing w:before="120" w:beforeLines="50" w:line="360" w:lineRule="auto"/>
              <w:rPr>
                <w:rFonts w:hint="eastAsia" w:ascii="宋体" w:hAnsi="宋体" w:cs="宋体"/>
                <w:color w:val="auto"/>
                <w:sz w:val="21"/>
                <w:szCs w:val="21"/>
              </w:rPr>
            </w:pPr>
            <w:r>
              <w:rPr>
                <w:rFonts w:hint="eastAsia" w:ascii="宋体" w:hAnsi="宋体"/>
                <w:color w:val="auto"/>
                <w:szCs w:val="21"/>
              </w:rPr>
              <w:t>(2)采用综合评分法时，对于技术和价格分，应分别给予总分值相应政策比例的加分。本项目具体加分比例分别为：技术</w:t>
            </w:r>
            <w:r>
              <w:rPr>
                <w:rFonts w:hint="eastAsia" w:ascii="宋体" w:hAnsi="宋体"/>
                <w:color w:val="auto"/>
                <w:szCs w:val="21"/>
                <w:u w:val="single"/>
                <w:lang w:val="en-US" w:eastAsia="zh-CN"/>
              </w:rPr>
              <w:t>6</w:t>
            </w:r>
            <w:r>
              <w:rPr>
                <w:rFonts w:hint="eastAsia" w:ascii="宋体" w:hAnsi="宋体"/>
                <w:color w:val="auto"/>
                <w:szCs w:val="21"/>
              </w:rPr>
              <w:t>%、价格</w:t>
            </w:r>
            <w:r>
              <w:rPr>
                <w:rFonts w:hint="eastAsia" w:ascii="宋体" w:hAnsi="宋体"/>
                <w:color w:val="auto"/>
                <w:szCs w:val="21"/>
                <w:u w:val="single"/>
                <w:lang w:val="en-US" w:eastAsia="zh-CN"/>
              </w:rPr>
              <w:t>6</w:t>
            </w:r>
            <w:r>
              <w:rPr>
                <w:rFonts w:hint="eastAsia" w:ascii="宋体" w:hAnsi="宋体"/>
                <w:color w:val="auto"/>
                <w:szCs w:val="21"/>
              </w:rPr>
              <w:t>%。</w:t>
            </w:r>
          </w:p>
        </w:tc>
      </w:tr>
      <w:tr w14:paraId="66DC9804">
        <w:tblPrEx>
          <w:tblCellMar>
            <w:top w:w="0" w:type="dxa"/>
            <w:left w:w="10" w:type="dxa"/>
            <w:bottom w:w="0" w:type="dxa"/>
            <w:right w:w="10" w:type="dxa"/>
          </w:tblCellMar>
        </w:tblPrEx>
        <w:trPr>
          <w:trHeight w:val="3258" w:hRule="atLeast"/>
          <w:jc w:val="center"/>
        </w:trPr>
        <w:tc>
          <w:tcPr>
            <w:tcW w:w="1846" w:type="dxa"/>
            <w:vMerge w:val="continue"/>
            <w:tcBorders>
              <w:left w:val="double" w:color="000000" w:sz="4" w:space="0"/>
              <w:right w:val="single" w:color="000000" w:sz="6" w:space="0"/>
            </w:tcBorders>
            <w:tcMar>
              <w:top w:w="0" w:type="dxa"/>
              <w:left w:w="108" w:type="dxa"/>
              <w:bottom w:w="0" w:type="dxa"/>
              <w:right w:w="108" w:type="dxa"/>
            </w:tcMar>
            <w:vAlign w:val="center"/>
          </w:tcPr>
          <w:p w14:paraId="48D11923">
            <w:pPr>
              <w:spacing w:line="240" w:lineRule="auto"/>
              <w:rPr>
                <w:rFonts w:hint="eastAsia" w:ascii="宋体" w:hAnsi="宋体" w:eastAsia="宋体" w:cs="宋体"/>
                <w:color w:val="auto"/>
                <w:sz w:val="22"/>
                <w:szCs w:val="22"/>
                <w:highlight w:val="none"/>
              </w:rPr>
            </w:pPr>
          </w:p>
        </w:tc>
        <w:tc>
          <w:tcPr>
            <w:tcW w:w="1970" w:type="dxa"/>
            <w:tcBorders>
              <w:top w:val="single" w:color="auto"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AEAF8CA">
            <w:pPr>
              <w:adjustRightInd w:val="0"/>
              <w:snapToGrid w:val="0"/>
              <w:spacing w:before="120" w:beforeLines="50" w:line="360" w:lineRule="auto"/>
              <w:jc w:val="center"/>
              <w:rPr>
                <w:rFonts w:hint="eastAsia" w:ascii="宋体" w:hAnsi="宋体" w:cs="宋体"/>
                <w:color w:val="auto"/>
                <w:sz w:val="21"/>
                <w:szCs w:val="21"/>
              </w:rPr>
            </w:pPr>
            <w:r>
              <w:rPr>
                <w:rFonts w:hint="eastAsia" w:ascii="宋体" w:hAnsi="宋体"/>
                <w:color w:val="auto"/>
                <w:szCs w:val="21"/>
              </w:rPr>
              <w:t>政府采购优先采购环境标志产品</w:t>
            </w:r>
          </w:p>
        </w:tc>
        <w:tc>
          <w:tcPr>
            <w:tcW w:w="5903" w:type="dxa"/>
            <w:tcBorders>
              <w:top w:val="single" w:color="auto" w:sz="4"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069DC235">
            <w:pPr>
              <w:adjustRightInd w:val="0"/>
              <w:snapToGrid w:val="0"/>
              <w:spacing w:line="360" w:lineRule="auto"/>
              <w:rPr>
                <w:rFonts w:ascii="宋体" w:hAnsi="宋体"/>
                <w:color w:val="auto"/>
                <w:szCs w:val="21"/>
              </w:rPr>
            </w:pPr>
            <w:r>
              <w:rPr>
                <w:rFonts w:hint="eastAsia" w:ascii="宋体" w:hAnsi="宋体"/>
                <w:color w:val="auto"/>
                <w:szCs w:val="21"/>
              </w:rPr>
              <w:t>□否</w:t>
            </w:r>
          </w:p>
          <w:p w14:paraId="307F6565">
            <w:pPr>
              <w:adjustRightInd w:val="0"/>
              <w:snapToGrid w:val="0"/>
              <w:spacing w:before="120" w:beforeLines="50" w:line="360" w:lineRule="auto"/>
              <w:rPr>
                <w:rFonts w:ascii="宋体" w:hAnsi="宋体"/>
                <w:color w:val="auto"/>
                <w:szCs w:val="21"/>
              </w:rPr>
            </w:pPr>
            <w:r>
              <w:rPr>
                <w:rFonts w:hint="eastAsia" w:ascii="宋体" w:hAnsi="宋体" w:cs="宋体"/>
                <w:color w:val="auto"/>
                <w:sz w:val="21"/>
                <w:szCs w:val="21"/>
                <w:lang w:eastAsia="zh-CN"/>
              </w:rPr>
              <w:t>☑</w:t>
            </w:r>
            <w:r>
              <w:rPr>
                <w:rFonts w:hint="eastAsia" w:ascii="宋体" w:hAnsi="宋体"/>
                <w:color w:val="auto"/>
                <w:szCs w:val="21"/>
              </w:rPr>
              <w:t>是，采购产品为《环境标志产品政府采购品目清单》(第</w:t>
            </w:r>
            <w:r>
              <w:rPr>
                <w:rFonts w:hint="eastAsia" w:ascii="宋体" w:hAnsi="宋体"/>
                <w:color w:val="auto"/>
                <w:szCs w:val="21"/>
                <w:u w:val="single"/>
              </w:rPr>
              <w:t>最新</w:t>
            </w:r>
            <w:r>
              <w:rPr>
                <w:rFonts w:hint="eastAsia" w:ascii="宋体" w:hAnsi="宋体"/>
                <w:color w:val="auto"/>
                <w:szCs w:val="21"/>
              </w:rPr>
              <w:t>期)内的：</w:t>
            </w:r>
          </w:p>
          <w:p w14:paraId="74CA5387">
            <w:pPr>
              <w:adjustRightInd w:val="0"/>
              <w:snapToGrid w:val="0"/>
              <w:spacing w:before="120" w:beforeLines="50" w:line="360" w:lineRule="auto"/>
              <w:rPr>
                <w:rFonts w:ascii="宋体" w:hAnsi="宋体"/>
                <w:color w:val="auto"/>
                <w:szCs w:val="21"/>
              </w:rPr>
            </w:pPr>
            <w:r>
              <w:rPr>
                <w:rFonts w:hint="eastAsia" w:ascii="宋体" w:hAnsi="宋体"/>
                <w:color w:val="auto"/>
                <w:szCs w:val="21"/>
              </w:rPr>
              <w:t>(1)采用最低评标价法时，应给予相应政策比例的价格扣除。本项目具体扣除比例为</w:t>
            </w:r>
            <w:r>
              <w:rPr>
                <w:rFonts w:hint="eastAsia" w:ascii="宋体" w:hAnsi="宋体"/>
                <w:color w:val="auto"/>
                <w:szCs w:val="21"/>
                <w:u w:val="single"/>
                <w:lang w:val="en-US" w:eastAsia="zh-CN"/>
              </w:rPr>
              <w:t>/</w:t>
            </w:r>
            <w:r>
              <w:rPr>
                <w:rFonts w:hint="eastAsia" w:ascii="宋体" w:hAnsi="宋体"/>
                <w:color w:val="auto"/>
                <w:szCs w:val="21"/>
              </w:rPr>
              <w:t>％；</w:t>
            </w:r>
          </w:p>
          <w:p w14:paraId="0A54346F">
            <w:pPr>
              <w:adjustRightInd w:val="0"/>
              <w:snapToGrid w:val="0"/>
              <w:spacing w:before="120" w:beforeLines="50" w:line="360" w:lineRule="auto"/>
              <w:rPr>
                <w:rFonts w:hint="eastAsia" w:ascii="宋体" w:hAnsi="宋体" w:cs="宋体"/>
                <w:color w:val="auto"/>
                <w:sz w:val="21"/>
                <w:szCs w:val="21"/>
              </w:rPr>
            </w:pPr>
            <w:r>
              <w:rPr>
                <w:rFonts w:hint="eastAsia" w:ascii="宋体" w:hAnsi="宋体"/>
                <w:color w:val="auto"/>
                <w:szCs w:val="21"/>
              </w:rPr>
              <w:t>(2)采用综合评分法时，对于技术和价格分，应分别给予总分值相应政策比例的加分。本项目具体加分比例分别为：技术</w:t>
            </w:r>
            <w:r>
              <w:rPr>
                <w:rFonts w:hint="eastAsia" w:ascii="宋体" w:hAnsi="宋体"/>
                <w:color w:val="auto"/>
                <w:szCs w:val="21"/>
                <w:u w:val="single"/>
                <w:lang w:val="en-US" w:eastAsia="zh-CN"/>
              </w:rPr>
              <w:t>6</w:t>
            </w:r>
            <w:r>
              <w:rPr>
                <w:rFonts w:hint="eastAsia" w:ascii="宋体" w:hAnsi="宋体"/>
                <w:color w:val="auto"/>
                <w:szCs w:val="21"/>
              </w:rPr>
              <w:t>%、价格</w:t>
            </w:r>
            <w:r>
              <w:rPr>
                <w:rFonts w:hint="eastAsia" w:ascii="宋体" w:hAnsi="宋体"/>
                <w:color w:val="auto"/>
                <w:szCs w:val="21"/>
                <w:u w:val="single"/>
                <w:lang w:val="en-US" w:eastAsia="zh-CN"/>
              </w:rPr>
              <w:t>6</w:t>
            </w:r>
            <w:r>
              <w:rPr>
                <w:rFonts w:hint="eastAsia" w:ascii="宋体" w:hAnsi="宋体"/>
                <w:color w:val="auto"/>
                <w:szCs w:val="21"/>
              </w:rPr>
              <w:t>%；</w:t>
            </w:r>
          </w:p>
        </w:tc>
      </w:tr>
      <w:tr w14:paraId="7B789727">
        <w:tblPrEx>
          <w:tblCellMar>
            <w:top w:w="0" w:type="dxa"/>
            <w:left w:w="10" w:type="dxa"/>
            <w:bottom w:w="0" w:type="dxa"/>
            <w:right w:w="10" w:type="dxa"/>
          </w:tblCellMar>
        </w:tblPrEx>
        <w:trPr>
          <w:trHeight w:val="4626" w:hRule="atLeast"/>
          <w:jc w:val="center"/>
        </w:trPr>
        <w:tc>
          <w:tcPr>
            <w:tcW w:w="1846" w:type="dxa"/>
            <w:vMerge w:val="continue"/>
            <w:tcBorders>
              <w:left w:val="double" w:color="000000" w:sz="4" w:space="0"/>
              <w:right w:val="single" w:color="000000" w:sz="6" w:space="0"/>
            </w:tcBorders>
            <w:tcMar>
              <w:top w:w="0" w:type="dxa"/>
              <w:left w:w="108" w:type="dxa"/>
              <w:bottom w:w="0" w:type="dxa"/>
              <w:right w:w="108" w:type="dxa"/>
            </w:tcMar>
            <w:vAlign w:val="center"/>
          </w:tcPr>
          <w:p w14:paraId="3089B214">
            <w:pPr>
              <w:spacing w:line="240" w:lineRule="auto"/>
              <w:rPr>
                <w:color w:val="auto"/>
              </w:rPr>
            </w:pPr>
          </w:p>
        </w:tc>
        <w:tc>
          <w:tcPr>
            <w:tcW w:w="1970" w:type="dxa"/>
            <w:vMerge w:val="restart"/>
            <w:tcBorders>
              <w:top w:val="single" w:color="auto" w:sz="4" w:space="0"/>
              <w:left w:val="single" w:color="000000" w:sz="6" w:space="0"/>
              <w:right w:val="single" w:color="000000" w:sz="6" w:space="0"/>
            </w:tcBorders>
            <w:tcMar>
              <w:top w:w="0" w:type="dxa"/>
              <w:left w:w="108" w:type="dxa"/>
              <w:bottom w:w="0" w:type="dxa"/>
              <w:right w:w="108" w:type="dxa"/>
            </w:tcMar>
            <w:vAlign w:val="center"/>
          </w:tcPr>
          <w:p w14:paraId="29C129AE">
            <w:pPr>
              <w:keepNext w:val="0"/>
              <w:keepLines w:val="0"/>
              <w:widowControl/>
              <w:suppressLineNumbers w:val="0"/>
              <w:jc w:val="left"/>
              <w:rPr>
                <w:rFonts w:hint="eastAsia" w:ascii="宋体" w:hAnsi="宋体" w:eastAsia="宋体" w:cs="宋体"/>
                <w:color w:val="auto"/>
                <w:kern w:val="0"/>
                <w:sz w:val="21"/>
                <w:szCs w:val="21"/>
                <w:lang w:val="en-US" w:eastAsia="zh-CN" w:bidi="ar"/>
              </w:rPr>
            </w:pPr>
          </w:p>
          <w:p w14:paraId="7D0280C0">
            <w:pPr>
              <w:keepNext w:val="0"/>
              <w:keepLines w:val="0"/>
              <w:widowControl/>
              <w:suppressLineNumbers w:val="0"/>
              <w:jc w:val="left"/>
              <w:rPr>
                <w:rFonts w:hint="eastAsia" w:ascii="宋体" w:hAnsi="宋体" w:eastAsia="宋体" w:cs="宋体"/>
                <w:color w:val="auto"/>
                <w:kern w:val="0"/>
                <w:sz w:val="21"/>
                <w:szCs w:val="21"/>
                <w:lang w:val="en-US" w:eastAsia="zh-CN" w:bidi="ar"/>
              </w:rPr>
            </w:pPr>
          </w:p>
          <w:p w14:paraId="7607F463">
            <w:pPr>
              <w:keepNext w:val="0"/>
              <w:keepLines w:val="0"/>
              <w:widowControl/>
              <w:suppressLineNumbers w:val="0"/>
              <w:jc w:val="left"/>
              <w:rPr>
                <w:rFonts w:hint="eastAsia" w:ascii="宋体" w:hAnsi="宋体" w:eastAsia="宋体" w:cs="宋体"/>
                <w:color w:val="auto"/>
                <w:kern w:val="0"/>
                <w:sz w:val="21"/>
                <w:szCs w:val="21"/>
                <w:lang w:val="en-US" w:eastAsia="zh-CN" w:bidi="ar"/>
              </w:rPr>
            </w:pPr>
          </w:p>
          <w:p w14:paraId="4165609E">
            <w:pPr>
              <w:keepNext w:val="0"/>
              <w:keepLines w:val="0"/>
              <w:widowControl/>
              <w:suppressLineNumbers w:val="0"/>
              <w:jc w:val="left"/>
              <w:rPr>
                <w:rFonts w:hint="eastAsia" w:ascii="宋体" w:hAnsi="宋体" w:eastAsia="宋体" w:cs="宋体"/>
                <w:color w:val="auto"/>
                <w:kern w:val="0"/>
                <w:sz w:val="21"/>
                <w:szCs w:val="21"/>
                <w:lang w:val="en-US" w:eastAsia="zh-CN" w:bidi="ar"/>
              </w:rPr>
            </w:pPr>
          </w:p>
          <w:p w14:paraId="3310CF6F">
            <w:pPr>
              <w:keepNext w:val="0"/>
              <w:keepLines w:val="0"/>
              <w:widowControl/>
              <w:suppressLineNumbers w:val="0"/>
              <w:jc w:val="left"/>
              <w:rPr>
                <w:rFonts w:hint="eastAsia" w:ascii="宋体" w:hAnsi="宋体" w:eastAsia="宋体" w:cs="宋体"/>
                <w:color w:val="auto"/>
                <w:kern w:val="0"/>
                <w:sz w:val="21"/>
                <w:szCs w:val="21"/>
                <w:lang w:val="en-US" w:eastAsia="zh-CN" w:bidi="ar"/>
              </w:rPr>
            </w:pPr>
          </w:p>
          <w:p w14:paraId="01DFBC35">
            <w:pPr>
              <w:keepNext w:val="0"/>
              <w:keepLines w:val="0"/>
              <w:widowControl/>
              <w:suppressLineNumbers w:val="0"/>
              <w:jc w:val="left"/>
              <w:rPr>
                <w:rFonts w:hint="eastAsia" w:ascii="宋体" w:hAnsi="宋体" w:eastAsia="宋体" w:cs="宋体"/>
                <w:color w:val="auto"/>
                <w:kern w:val="0"/>
                <w:sz w:val="21"/>
                <w:szCs w:val="21"/>
                <w:lang w:val="en-US" w:eastAsia="zh-CN" w:bidi="ar"/>
              </w:rPr>
            </w:pPr>
          </w:p>
          <w:p w14:paraId="095554AB">
            <w:pPr>
              <w:keepNext w:val="0"/>
              <w:keepLines w:val="0"/>
              <w:widowControl/>
              <w:suppressLineNumbers w:val="0"/>
              <w:jc w:val="left"/>
              <w:rPr>
                <w:rFonts w:hint="eastAsia" w:ascii="宋体" w:hAnsi="宋体" w:eastAsia="宋体" w:cs="宋体"/>
                <w:color w:val="auto"/>
                <w:kern w:val="0"/>
                <w:sz w:val="21"/>
                <w:szCs w:val="21"/>
                <w:lang w:val="en-US" w:eastAsia="zh-CN" w:bidi="ar"/>
              </w:rPr>
            </w:pPr>
          </w:p>
          <w:p w14:paraId="2B0D4E1B">
            <w:pPr>
              <w:keepNext w:val="0"/>
              <w:keepLines w:val="0"/>
              <w:widowControl/>
              <w:suppressLineNumbers w:val="0"/>
              <w:jc w:val="left"/>
              <w:rPr>
                <w:rFonts w:hint="eastAsia" w:ascii="宋体" w:hAnsi="宋体" w:eastAsia="宋体" w:cs="宋体"/>
                <w:color w:val="auto"/>
                <w:kern w:val="0"/>
                <w:sz w:val="21"/>
                <w:szCs w:val="21"/>
                <w:lang w:val="en-US" w:eastAsia="zh-CN" w:bidi="ar"/>
              </w:rPr>
            </w:pPr>
          </w:p>
          <w:p w14:paraId="0C13E88A">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扶持中小企业</w:t>
            </w:r>
          </w:p>
          <w:p w14:paraId="7FA5D2FA">
            <w:pPr>
              <w:keepNext w:val="0"/>
              <w:keepLines w:val="0"/>
              <w:widowControl/>
              <w:suppressLineNumbers w:val="0"/>
              <w:jc w:val="left"/>
              <w:rPr>
                <w:rFonts w:hint="eastAsia" w:ascii="宋体" w:hAnsi="宋体" w:eastAsia="宋体" w:cs="宋体"/>
                <w:color w:val="auto"/>
                <w:kern w:val="0"/>
                <w:sz w:val="21"/>
                <w:szCs w:val="21"/>
                <w:lang w:val="en-US" w:eastAsia="zh-CN" w:bidi="ar"/>
              </w:rPr>
            </w:pPr>
          </w:p>
        </w:tc>
        <w:tc>
          <w:tcPr>
            <w:tcW w:w="5903" w:type="dxa"/>
            <w:tcBorders>
              <w:top w:val="single" w:color="auto" w:sz="4" w:space="0"/>
              <w:left w:val="single" w:color="000000" w:sz="6" w:space="0"/>
              <w:bottom w:val="single" w:color="auto" w:sz="4" w:space="0"/>
              <w:right w:val="double" w:color="000000" w:sz="4" w:space="0"/>
            </w:tcBorders>
            <w:tcMar>
              <w:top w:w="0" w:type="dxa"/>
              <w:left w:w="108" w:type="dxa"/>
              <w:bottom w:w="0" w:type="dxa"/>
              <w:right w:w="108" w:type="dxa"/>
            </w:tcMar>
            <w:vAlign w:val="center"/>
          </w:tcPr>
          <w:p w14:paraId="1EDB569E">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行业类别如下：</w:t>
            </w:r>
          </w:p>
          <w:p w14:paraId="302B97DD">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（一）农、林、牧、渔业</w:t>
            </w:r>
          </w:p>
          <w:p w14:paraId="6E075D89">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（二）工业</w:t>
            </w:r>
          </w:p>
          <w:p w14:paraId="6A5B3358">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（三）建筑业</w:t>
            </w:r>
          </w:p>
          <w:p w14:paraId="119E3528">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（四）批发业</w:t>
            </w:r>
          </w:p>
          <w:p w14:paraId="6F44790C">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（五）零售业</w:t>
            </w:r>
          </w:p>
          <w:p w14:paraId="7C01BDEE">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（六）交通运输业</w:t>
            </w:r>
          </w:p>
          <w:p w14:paraId="2CA8518B">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（七）仓储业</w:t>
            </w:r>
          </w:p>
          <w:p w14:paraId="163AC7E7">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（八）邮政业</w:t>
            </w:r>
          </w:p>
          <w:p w14:paraId="2D2809D0">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（九）住宿业</w:t>
            </w:r>
          </w:p>
          <w:p w14:paraId="44D8387D">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（十）餐饮业</w:t>
            </w:r>
          </w:p>
          <w:p w14:paraId="42E19399">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（十一）信息传输业</w:t>
            </w:r>
          </w:p>
          <w:p w14:paraId="4E8DFF62">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（十二）软件和信息技术服务业</w:t>
            </w:r>
          </w:p>
          <w:p w14:paraId="6CBCEDE8">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（十三）房地产开发经营</w:t>
            </w:r>
          </w:p>
          <w:p w14:paraId="43B6836E">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（十四）物业管理</w:t>
            </w:r>
          </w:p>
          <w:p w14:paraId="58C8454B">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（十五）租赁和商务服务业</w:t>
            </w:r>
          </w:p>
          <w:p w14:paraId="061CD5CC">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（十六）其他未列明行业</w:t>
            </w:r>
          </w:p>
        </w:tc>
      </w:tr>
      <w:tr w14:paraId="1E0BB588">
        <w:tblPrEx>
          <w:tblCellMar>
            <w:top w:w="0" w:type="dxa"/>
            <w:left w:w="10" w:type="dxa"/>
            <w:bottom w:w="0" w:type="dxa"/>
            <w:right w:w="10" w:type="dxa"/>
          </w:tblCellMar>
        </w:tblPrEx>
        <w:trPr>
          <w:trHeight w:val="603" w:hRule="atLeast"/>
          <w:jc w:val="center"/>
        </w:trPr>
        <w:tc>
          <w:tcPr>
            <w:tcW w:w="1846" w:type="dxa"/>
            <w:vMerge w:val="continue"/>
            <w:tcBorders>
              <w:left w:val="double" w:color="000000" w:sz="4" w:space="0"/>
              <w:right w:val="single" w:color="000000" w:sz="6" w:space="0"/>
            </w:tcBorders>
            <w:tcMar>
              <w:top w:w="0" w:type="dxa"/>
              <w:left w:w="108" w:type="dxa"/>
              <w:bottom w:w="0" w:type="dxa"/>
              <w:right w:w="108" w:type="dxa"/>
            </w:tcMar>
            <w:vAlign w:val="center"/>
          </w:tcPr>
          <w:p w14:paraId="5E40751F">
            <w:pPr>
              <w:spacing w:line="240" w:lineRule="auto"/>
              <w:rPr>
                <w:color w:val="auto"/>
              </w:rPr>
            </w:pPr>
          </w:p>
        </w:tc>
        <w:tc>
          <w:tcPr>
            <w:tcW w:w="1970" w:type="dxa"/>
            <w:vMerge w:val="continue"/>
            <w:tcBorders>
              <w:left w:val="single" w:color="000000" w:sz="6" w:space="0"/>
              <w:right w:val="single" w:color="000000" w:sz="6" w:space="0"/>
            </w:tcBorders>
            <w:tcMar>
              <w:top w:w="0" w:type="dxa"/>
              <w:left w:w="108" w:type="dxa"/>
              <w:bottom w:w="0" w:type="dxa"/>
              <w:right w:w="108" w:type="dxa"/>
            </w:tcMar>
            <w:vAlign w:val="center"/>
          </w:tcPr>
          <w:p w14:paraId="4C2AAC77">
            <w:pPr>
              <w:keepNext w:val="0"/>
              <w:keepLines w:val="0"/>
              <w:widowControl/>
              <w:suppressLineNumbers w:val="0"/>
              <w:jc w:val="left"/>
              <w:rPr>
                <w:rFonts w:hint="eastAsia" w:ascii="宋体" w:hAnsi="宋体" w:eastAsia="宋体" w:cs="宋体"/>
                <w:color w:val="auto"/>
                <w:kern w:val="0"/>
                <w:sz w:val="21"/>
                <w:szCs w:val="21"/>
                <w:lang w:val="en-US" w:eastAsia="zh-CN" w:bidi="ar"/>
              </w:rPr>
            </w:pPr>
          </w:p>
        </w:tc>
        <w:tc>
          <w:tcPr>
            <w:tcW w:w="5903" w:type="dxa"/>
            <w:tcBorders>
              <w:top w:val="single" w:color="auto" w:sz="4" w:space="0"/>
              <w:left w:val="single" w:color="000000" w:sz="6" w:space="0"/>
              <w:bottom w:val="single" w:color="auto" w:sz="4" w:space="0"/>
              <w:right w:val="double" w:color="000000" w:sz="4" w:space="0"/>
            </w:tcBorders>
            <w:tcMar>
              <w:top w:w="0" w:type="dxa"/>
              <w:left w:w="108" w:type="dxa"/>
              <w:bottom w:w="0" w:type="dxa"/>
              <w:right w:w="108" w:type="dxa"/>
            </w:tcMar>
            <w:vAlign w:val="center"/>
          </w:tcPr>
          <w:p w14:paraId="3CE35C7F">
            <w:pPr>
              <w:keepNext w:val="0"/>
              <w:keepLines w:val="0"/>
              <w:widowControl/>
              <w:suppressLineNumbers w:val="0"/>
              <w:jc w:val="left"/>
              <w:rPr>
                <w:rFonts w:hint="eastAsia" w:ascii="宋体" w:hAnsi="宋体" w:eastAsia="宋体" w:cs="宋体"/>
                <w:color w:val="auto"/>
                <w:kern w:val="0"/>
                <w:sz w:val="21"/>
                <w:szCs w:val="21"/>
                <w:highlight w:val="yellow"/>
                <w:lang w:val="en-US" w:eastAsia="zh-CN" w:bidi="ar"/>
              </w:rPr>
            </w:pPr>
            <w:r>
              <w:rPr>
                <w:rFonts w:hint="eastAsia" w:ascii="宋体" w:hAnsi="宋体" w:eastAsia="宋体" w:cs="宋体"/>
                <w:color w:val="auto"/>
                <w:kern w:val="0"/>
                <w:sz w:val="21"/>
                <w:szCs w:val="21"/>
                <w:highlight w:val="none"/>
                <w:lang w:val="en-US" w:eastAsia="zh-CN" w:bidi="ar"/>
              </w:rPr>
              <w:t>□本项目中第</w:t>
            </w:r>
            <w:r>
              <w:rPr>
                <w:rFonts w:hint="eastAsia" w:ascii="宋体" w:hAnsi="宋体" w:eastAsia="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lang w:val="en-US" w:eastAsia="zh-CN" w:bidi="ar"/>
              </w:rPr>
              <w:t>包（所属行业）专门面向中小企业采购，不执行价格评审优惠的扶持政策。</w:t>
            </w:r>
          </w:p>
        </w:tc>
      </w:tr>
      <w:tr w14:paraId="5CE28890">
        <w:tblPrEx>
          <w:tblCellMar>
            <w:top w:w="0" w:type="dxa"/>
            <w:left w:w="10" w:type="dxa"/>
            <w:bottom w:w="0" w:type="dxa"/>
            <w:right w:w="10" w:type="dxa"/>
          </w:tblCellMar>
        </w:tblPrEx>
        <w:trPr>
          <w:trHeight w:val="1641" w:hRule="atLeast"/>
          <w:jc w:val="center"/>
        </w:trPr>
        <w:tc>
          <w:tcPr>
            <w:tcW w:w="1846" w:type="dxa"/>
            <w:vMerge w:val="continue"/>
            <w:tcBorders>
              <w:left w:val="double" w:color="000000" w:sz="4" w:space="0"/>
              <w:right w:val="single" w:color="000000" w:sz="6" w:space="0"/>
            </w:tcBorders>
            <w:tcMar>
              <w:top w:w="0" w:type="dxa"/>
              <w:left w:w="108" w:type="dxa"/>
              <w:bottom w:w="0" w:type="dxa"/>
              <w:right w:w="108" w:type="dxa"/>
            </w:tcMar>
            <w:vAlign w:val="center"/>
          </w:tcPr>
          <w:p w14:paraId="0DE06377">
            <w:pPr>
              <w:adjustRightInd w:val="0"/>
              <w:snapToGrid w:val="0"/>
              <w:spacing w:line="360" w:lineRule="auto"/>
              <w:jc w:val="left"/>
              <w:rPr>
                <w:color w:val="auto"/>
              </w:rPr>
            </w:pPr>
          </w:p>
        </w:tc>
        <w:tc>
          <w:tcPr>
            <w:tcW w:w="1970" w:type="dxa"/>
            <w:vMerge w:val="continue"/>
            <w:tcBorders>
              <w:left w:val="single" w:color="000000" w:sz="6" w:space="0"/>
              <w:bottom w:val="single" w:color="auto" w:sz="4" w:space="0"/>
              <w:right w:val="single" w:color="000000" w:sz="6" w:space="0"/>
            </w:tcBorders>
            <w:tcMar>
              <w:top w:w="0" w:type="dxa"/>
              <w:left w:w="108" w:type="dxa"/>
              <w:bottom w:w="0" w:type="dxa"/>
              <w:right w:w="108" w:type="dxa"/>
            </w:tcMar>
            <w:vAlign w:val="center"/>
          </w:tcPr>
          <w:p w14:paraId="2438A4C4">
            <w:pPr>
              <w:keepNext w:val="0"/>
              <w:keepLines w:val="0"/>
              <w:widowControl/>
              <w:suppressLineNumbers w:val="0"/>
              <w:jc w:val="left"/>
              <w:rPr>
                <w:rFonts w:hint="eastAsia" w:ascii="宋体" w:hAnsi="宋体" w:eastAsia="宋体" w:cs="宋体"/>
                <w:color w:val="auto"/>
                <w:kern w:val="0"/>
                <w:sz w:val="21"/>
                <w:szCs w:val="21"/>
                <w:lang w:val="en-US" w:eastAsia="zh-CN" w:bidi="ar"/>
              </w:rPr>
            </w:pPr>
          </w:p>
        </w:tc>
        <w:tc>
          <w:tcPr>
            <w:tcW w:w="5903" w:type="dxa"/>
            <w:tcBorders>
              <w:top w:val="single" w:color="auto" w:sz="4" w:space="0"/>
              <w:left w:val="single" w:color="000000" w:sz="6" w:space="0"/>
              <w:bottom w:val="single" w:color="auto" w:sz="4" w:space="0"/>
              <w:right w:val="double" w:color="000000" w:sz="4" w:space="0"/>
            </w:tcBorders>
            <w:tcMar>
              <w:top w:w="0" w:type="dxa"/>
              <w:left w:w="108" w:type="dxa"/>
              <w:bottom w:w="0" w:type="dxa"/>
              <w:right w:w="108" w:type="dxa"/>
            </w:tcMar>
            <w:vAlign w:val="center"/>
          </w:tcPr>
          <w:p w14:paraId="5101CE31">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sym w:font="Wingdings 2" w:char="0052"/>
            </w:r>
            <w:r>
              <w:rPr>
                <w:rFonts w:hint="eastAsia" w:ascii="宋体" w:hAnsi="宋体" w:eastAsia="宋体" w:cs="宋体"/>
                <w:color w:val="auto"/>
                <w:kern w:val="0"/>
                <w:sz w:val="21"/>
                <w:szCs w:val="21"/>
                <w:lang w:val="en-US" w:eastAsia="zh-CN" w:bidi="ar"/>
              </w:rPr>
              <w:t>非专门面向中小企业采购（本项目采购需求对应的服务商所属行业</w:t>
            </w:r>
            <w:r>
              <w:rPr>
                <w:rFonts w:hint="eastAsia" w:ascii="宋体" w:hAnsi="宋体" w:eastAsia="宋体" w:cs="宋体"/>
                <w:color w:val="auto"/>
                <w:kern w:val="0"/>
                <w:sz w:val="21"/>
                <w:szCs w:val="21"/>
                <w:u w:val="single"/>
                <w:lang w:val="en-US" w:eastAsia="zh-CN" w:bidi="ar"/>
              </w:rPr>
              <w:t>（二）工业</w:t>
            </w:r>
            <w:r>
              <w:rPr>
                <w:rFonts w:hint="eastAsia" w:ascii="宋体" w:hAnsi="宋体" w:eastAsia="宋体" w:cs="宋体"/>
                <w:color w:val="auto"/>
                <w:kern w:val="0"/>
                <w:sz w:val="21"/>
                <w:szCs w:val="21"/>
                <w:lang w:val="en-US" w:eastAsia="zh-CN" w:bidi="ar"/>
              </w:rPr>
              <w:t>。服务承接商如为小微企业，投标文件中必需按磋商文件要求的格式提供承诺函，否则评审时不予以考虑。）：小型和微型企业产品的价格给予</w:t>
            </w:r>
            <w:r>
              <w:rPr>
                <w:rFonts w:hint="default" w:ascii="宋体" w:hAnsi="宋体" w:eastAsia="宋体" w:cs="宋体"/>
                <w:color w:val="auto"/>
                <w:kern w:val="0"/>
                <w:sz w:val="21"/>
                <w:szCs w:val="21"/>
                <w:lang w:val="en-US" w:eastAsia="zh-CN" w:bidi="ar"/>
              </w:rPr>
              <w:t>10%-20%</w:t>
            </w:r>
            <w:r>
              <w:rPr>
                <w:rFonts w:hint="eastAsia" w:ascii="宋体" w:hAnsi="宋体" w:eastAsia="宋体" w:cs="宋体"/>
                <w:color w:val="auto"/>
                <w:kern w:val="0"/>
                <w:sz w:val="21"/>
                <w:szCs w:val="21"/>
                <w:lang w:val="en-US" w:eastAsia="zh-CN" w:bidi="ar"/>
              </w:rPr>
              <w:t>的扣除，用扣除后的价格参与评审，本项目具体扣除比例为：价格部分</w:t>
            </w:r>
            <w:r>
              <w:rPr>
                <w:rFonts w:hint="eastAsia" w:ascii="宋体" w:hAnsi="宋体" w:eastAsia="宋体" w:cs="宋体"/>
                <w:color w:val="auto"/>
                <w:kern w:val="0"/>
                <w:sz w:val="21"/>
                <w:szCs w:val="21"/>
                <w:u w:val="single"/>
                <w:lang w:val="en-US" w:eastAsia="zh-CN" w:bidi="ar"/>
              </w:rPr>
              <w:t>10</w:t>
            </w:r>
            <w:r>
              <w:rPr>
                <w:rFonts w:hint="default"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w:t>
            </w:r>
          </w:p>
        </w:tc>
      </w:tr>
      <w:tr w14:paraId="10BC17E3">
        <w:tblPrEx>
          <w:tblCellMar>
            <w:top w:w="0" w:type="dxa"/>
            <w:left w:w="10" w:type="dxa"/>
            <w:bottom w:w="0" w:type="dxa"/>
            <w:right w:w="10" w:type="dxa"/>
          </w:tblCellMar>
        </w:tblPrEx>
        <w:trPr>
          <w:trHeight w:val="1566" w:hRule="atLeast"/>
          <w:jc w:val="center"/>
        </w:trPr>
        <w:tc>
          <w:tcPr>
            <w:tcW w:w="1846" w:type="dxa"/>
            <w:vMerge w:val="continue"/>
            <w:tcBorders>
              <w:left w:val="double" w:color="000000" w:sz="4" w:space="0"/>
              <w:bottom w:val="single" w:color="auto" w:sz="4" w:space="0"/>
              <w:right w:val="single" w:color="000000" w:sz="6" w:space="0"/>
            </w:tcBorders>
            <w:tcMar>
              <w:top w:w="0" w:type="dxa"/>
              <w:left w:w="108" w:type="dxa"/>
              <w:bottom w:w="0" w:type="dxa"/>
              <w:right w:w="108" w:type="dxa"/>
            </w:tcMar>
            <w:vAlign w:val="center"/>
          </w:tcPr>
          <w:p w14:paraId="6157E689">
            <w:pPr>
              <w:adjustRightInd w:val="0"/>
              <w:snapToGrid w:val="0"/>
              <w:spacing w:line="360" w:lineRule="auto"/>
              <w:jc w:val="left"/>
              <w:rPr>
                <w:color w:val="auto"/>
              </w:rPr>
            </w:pPr>
          </w:p>
        </w:tc>
        <w:tc>
          <w:tcPr>
            <w:tcW w:w="1970" w:type="dxa"/>
            <w:tcBorders>
              <w:top w:val="single" w:color="auto" w:sz="4" w:space="0"/>
              <w:left w:val="single" w:color="000000" w:sz="6" w:space="0"/>
              <w:bottom w:val="single" w:color="auto" w:sz="4" w:space="0"/>
              <w:right w:val="single" w:color="000000" w:sz="6" w:space="0"/>
            </w:tcBorders>
            <w:tcMar>
              <w:top w:w="0" w:type="dxa"/>
              <w:left w:w="108" w:type="dxa"/>
              <w:bottom w:w="0" w:type="dxa"/>
              <w:right w:w="108" w:type="dxa"/>
            </w:tcMar>
            <w:vAlign w:val="center"/>
          </w:tcPr>
          <w:p w14:paraId="3B0225AA">
            <w:pPr>
              <w:adjustRightInd w:val="0"/>
              <w:snapToGrid w:val="0"/>
              <w:spacing w:before="120" w:beforeLines="50" w:line="360" w:lineRule="auto"/>
              <w:jc w:val="center"/>
              <w:rPr>
                <w:rFonts w:hint="eastAsia" w:ascii="宋体" w:hAnsi="宋体" w:eastAsia="宋体" w:cs="宋体"/>
                <w:color w:val="auto"/>
                <w:kern w:val="0"/>
                <w:sz w:val="21"/>
                <w:szCs w:val="21"/>
                <w:lang w:val="en-US" w:eastAsia="zh-CN" w:bidi="ar"/>
              </w:rPr>
            </w:pPr>
            <w:r>
              <w:rPr>
                <w:rFonts w:hint="eastAsia" w:ascii="宋体" w:hAnsi="宋体"/>
                <w:color w:val="auto"/>
                <w:szCs w:val="21"/>
              </w:rPr>
              <w:t>政府采购</w:t>
            </w:r>
            <w:r>
              <w:rPr>
                <w:rFonts w:hint="eastAsia" w:ascii="宋体" w:hAnsi="宋体" w:cs="宋体"/>
                <w:bCs/>
                <w:color w:val="auto"/>
                <w:kern w:val="0"/>
                <w:szCs w:val="21"/>
              </w:rPr>
              <w:t>支持</w:t>
            </w:r>
            <w:r>
              <w:rPr>
                <w:rFonts w:hint="eastAsia" w:ascii="宋体" w:hAnsi="宋体"/>
                <w:color w:val="auto"/>
                <w:szCs w:val="21"/>
              </w:rPr>
              <w:t>残疾人福利性单位发展</w:t>
            </w:r>
          </w:p>
        </w:tc>
        <w:tc>
          <w:tcPr>
            <w:tcW w:w="5903" w:type="dxa"/>
            <w:tcBorders>
              <w:top w:val="single" w:color="auto" w:sz="4" w:space="0"/>
              <w:left w:val="single" w:color="000000" w:sz="6" w:space="0"/>
              <w:bottom w:val="single" w:color="auto" w:sz="4" w:space="0"/>
              <w:right w:val="double" w:color="000000" w:sz="4" w:space="0"/>
            </w:tcBorders>
            <w:tcMar>
              <w:top w:w="0" w:type="dxa"/>
              <w:left w:w="108" w:type="dxa"/>
              <w:bottom w:w="0" w:type="dxa"/>
              <w:right w:w="108" w:type="dxa"/>
            </w:tcMar>
            <w:vAlign w:val="center"/>
          </w:tcPr>
          <w:p w14:paraId="0E127B58">
            <w:pPr>
              <w:adjustRightInd w:val="0"/>
              <w:snapToGrid w:val="0"/>
              <w:spacing w:line="360" w:lineRule="auto"/>
              <w:rPr>
                <w:rFonts w:ascii="宋体" w:hAnsi="宋体"/>
                <w:color w:val="auto"/>
                <w:szCs w:val="21"/>
              </w:rPr>
            </w:pPr>
            <w:r>
              <w:rPr>
                <w:rFonts w:hint="eastAsia" w:ascii="宋体" w:hAnsi="宋体"/>
                <w:color w:val="auto"/>
                <w:szCs w:val="21"/>
              </w:rPr>
              <w:t>1、对残疾人福利性单位产品的价格给予相应政策比例的扣除，用扣除后的价格参与评审，本项目具体扣除比例为</w:t>
            </w:r>
            <w:r>
              <w:rPr>
                <w:rFonts w:hint="eastAsia" w:ascii="宋体" w:hAnsi="宋体"/>
                <w:color w:val="auto"/>
                <w:szCs w:val="21"/>
                <w:u w:val="single"/>
              </w:rPr>
              <w:t>10</w:t>
            </w:r>
            <w:r>
              <w:rPr>
                <w:rFonts w:hint="eastAsia" w:ascii="宋体" w:hAnsi="宋体"/>
                <w:color w:val="auto"/>
                <w:szCs w:val="21"/>
              </w:rPr>
              <w:t>％。</w:t>
            </w:r>
          </w:p>
          <w:p w14:paraId="6915CF8A">
            <w:pPr>
              <w:adjustRightInd w:val="0"/>
              <w:snapToGrid w:val="0"/>
              <w:spacing w:before="120" w:beforeLines="50" w:line="360" w:lineRule="auto"/>
              <w:rPr>
                <w:rFonts w:hint="eastAsia" w:ascii="宋体" w:hAnsi="宋体" w:eastAsia="宋体" w:cs="宋体"/>
                <w:color w:val="auto"/>
                <w:kern w:val="0"/>
                <w:sz w:val="21"/>
                <w:szCs w:val="21"/>
                <w:lang w:val="en-US" w:eastAsia="zh-CN" w:bidi="ar"/>
              </w:rPr>
            </w:pPr>
            <w:r>
              <w:rPr>
                <w:rFonts w:hint="eastAsia" w:ascii="宋体" w:hAnsi="宋体"/>
                <w:color w:val="auto"/>
                <w:szCs w:val="21"/>
              </w:rPr>
              <w:t>2、残疾人福利性单位视同小型、微型企业，不重复享受优惠政策。</w:t>
            </w:r>
          </w:p>
        </w:tc>
      </w:tr>
      <w:tr w14:paraId="350978D4">
        <w:tblPrEx>
          <w:tblCellMar>
            <w:top w:w="0" w:type="dxa"/>
            <w:left w:w="10" w:type="dxa"/>
            <w:bottom w:w="0" w:type="dxa"/>
            <w:right w:w="10" w:type="dxa"/>
          </w:tblCellMar>
        </w:tblPrEx>
        <w:trPr>
          <w:trHeight w:val="1210" w:hRule="atLeast"/>
          <w:jc w:val="center"/>
        </w:trPr>
        <w:tc>
          <w:tcPr>
            <w:tcW w:w="1846" w:type="dxa"/>
            <w:vMerge w:val="continue"/>
            <w:tcBorders>
              <w:left w:val="double" w:color="000000" w:sz="4" w:space="0"/>
              <w:bottom w:val="single" w:color="auto" w:sz="4" w:space="0"/>
              <w:right w:val="single" w:color="000000" w:sz="6" w:space="0"/>
            </w:tcBorders>
            <w:tcMar>
              <w:top w:w="0" w:type="dxa"/>
              <w:left w:w="108" w:type="dxa"/>
              <w:bottom w:w="0" w:type="dxa"/>
              <w:right w:w="108" w:type="dxa"/>
            </w:tcMar>
            <w:vAlign w:val="center"/>
          </w:tcPr>
          <w:p w14:paraId="6A022267">
            <w:pPr>
              <w:adjustRightInd w:val="0"/>
              <w:snapToGrid w:val="0"/>
              <w:spacing w:line="360" w:lineRule="auto"/>
              <w:jc w:val="left"/>
              <w:rPr>
                <w:color w:val="auto"/>
              </w:rPr>
            </w:pPr>
          </w:p>
        </w:tc>
        <w:tc>
          <w:tcPr>
            <w:tcW w:w="1970" w:type="dxa"/>
            <w:tcBorders>
              <w:top w:val="single" w:color="auto" w:sz="4" w:space="0"/>
              <w:left w:val="single" w:color="000000" w:sz="6" w:space="0"/>
              <w:bottom w:val="single" w:color="auto" w:sz="4" w:space="0"/>
              <w:right w:val="single" w:color="000000" w:sz="6" w:space="0"/>
            </w:tcBorders>
            <w:tcMar>
              <w:top w:w="0" w:type="dxa"/>
              <w:left w:w="108" w:type="dxa"/>
              <w:bottom w:w="0" w:type="dxa"/>
              <w:right w:w="108" w:type="dxa"/>
            </w:tcMar>
            <w:vAlign w:val="center"/>
          </w:tcPr>
          <w:p w14:paraId="4922B18B">
            <w:pPr>
              <w:adjustRightInd w:val="0"/>
              <w:snapToGrid w:val="0"/>
              <w:spacing w:before="120" w:beforeLines="50" w:line="360" w:lineRule="auto"/>
              <w:jc w:val="center"/>
              <w:rPr>
                <w:rFonts w:hint="eastAsia" w:ascii="宋体" w:hAnsi="宋体" w:eastAsia="宋体" w:cs="宋体"/>
                <w:color w:val="auto"/>
                <w:kern w:val="0"/>
                <w:sz w:val="21"/>
                <w:szCs w:val="21"/>
                <w:lang w:val="en-US" w:eastAsia="zh-CN" w:bidi="ar"/>
              </w:rPr>
            </w:pPr>
            <w:r>
              <w:rPr>
                <w:rFonts w:hint="eastAsia" w:ascii="宋体" w:hAnsi="宋体"/>
                <w:color w:val="auto"/>
                <w:szCs w:val="21"/>
              </w:rPr>
              <w:t>政府采购支持监狱企业发展</w:t>
            </w:r>
          </w:p>
        </w:tc>
        <w:tc>
          <w:tcPr>
            <w:tcW w:w="5903" w:type="dxa"/>
            <w:tcBorders>
              <w:top w:val="single" w:color="auto" w:sz="4" w:space="0"/>
              <w:left w:val="single" w:color="000000" w:sz="6" w:space="0"/>
              <w:bottom w:val="single" w:color="auto" w:sz="4" w:space="0"/>
              <w:right w:val="double" w:color="000000" w:sz="4" w:space="0"/>
            </w:tcBorders>
            <w:tcMar>
              <w:top w:w="0" w:type="dxa"/>
              <w:left w:w="108" w:type="dxa"/>
              <w:bottom w:w="0" w:type="dxa"/>
              <w:right w:w="108" w:type="dxa"/>
            </w:tcMar>
            <w:vAlign w:val="center"/>
          </w:tcPr>
          <w:p w14:paraId="6D50B39F">
            <w:pPr>
              <w:adjustRightInd w:val="0"/>
              <w:snapToGrid w:val="0"/>
              <w:spacing w:line="360" w:lineRule="auto"/>
              <w:rPr>
                <w:rFonts w:ascii="宋体" w:hAnsi="宋体"/>
                <w:color w:val="auto"/>
                <w:szCs w:val="21"/>
              </w:rPr>
            </w:pPr>
            <w:r>
              <w:rPr>
                <w:rFonts w:hint="eastAsia" w:ascii="宋体" w:hAnsi="宋体"/>
                <w:color w:val="auto"/>
                <w:szCs w:val="21"/>
              </w:rPr>
              <w:t>1、对监狱企业产品的价格给予相应政策比例的扣除，用扣除后的价格参与评审，本项目具体扣除比例为</w:t>
            </w:r>
            <w:r>
              <w:rPr>
                <w:rFonts w:hint="eastAsia" w:ascii="宋体" w:hAnsi="宋体"/>
                <w:color w:val="auto"/>
                <w:szCs w:val="21"/>
                <w:u w:val="single"/>
              </w:rPr>
              <w:t>10</w:t>
            </w:r>
            <w:r>
              <w:rPr>
                <w:rFonts w:hint="eastAsia" w:ascii="宋体" w:hAnsi="宋体"/>
                <w:color w:val="auto"/>
                <w:szCs w:val="21"/>
              </w:rPr>
              <w:t>％。</w:t>
            </w:r>
          </w:p>
          <w:p w14:paraId="3D3B6D6E">
            <w:pPr>
              <w:adjustRightInd w:val="0"/>
              <w:snapToGrid w:val="0"/>
              <w:spacing w:before="120" w:beforeLines="50" w:line="360" w:lineRule="auto"/>
              <w:rPr>
                <w:rFonts w:hint="eastAsia" w:ascii="宋体" w:hAnsi="宋体" w:eastAsia="宋体" w:cs="宋体"/>
                <w:color w:val="auto"/>
                <w:kern w:val="0"/>
                <w:sz w:val="21"/>
                <w:szCs w:val="21"/>
                <w:lang w:val="en-US" w:eastAsia="zh-CN" w:bidi="ar"/>
              </w:rPr>
            </w:pPr>
            <w:r>
              <w:rPr>
                <w:rFonts w:hint="eastAsia" w:ascii="宋体" w:hAnsi="宋体"/>
                <w:color w:val="auto"/>
                <w:szCs w:val="21"/>
              </w:rPr>
              <w:t>2、监狱企业视同小型、微型企业，不重复享受优惠政策。</w:t>
            </w:r>
          </w:p>
        </w:tc>
      </w:tr>
      <w:tr w14:paraId="1ABC5BBA">
        <w:tblPrEx>
          <w:tblCellMar>
            <w:top w:w="0" w:type="dxa"/>
            <w:left w:w="10" w:type="dxa"/>
            <w:bottom w:w="0" w:type="dxa"/>
            <w:right w:w="10" w:type="dxa"/>
          </w:tblCellMar>
        </w:tblPrEx>
        <w:trPr>
          <w:trHeight w:val="823" w:hRule="atLeast"/>
          <w:jc w:val="center"/>
        </w:trPr>
        <w:tc>
          <w:tcPr>
            <w:tcW w:w="1846" w:type="dxa"/>
            <w:vMerge w:val="restart"/>
            <w:tcBorders>
              <w:top w:val="single" w:color="auto" w:sz="4" w:space="0"/>
              <w:left w:val="double" w:color="000000" w:sz="4" w:space="0"/>
              <w:right w:val="single" w:color="000000" w:sz="6" w:space="0"/>
            </w:tcBorders>
            <w:tcMar>
              <w:top w:w="0" w:type="dxa"/>
              <w:left w:w="108" w:type="dxa"/>
              <w:bottom w:w="0" w:type="dxa"/>
              <w:right w:w="108" w:type="dxa"/>
            </w:tcMar>
            <w:vAlign w:val="center"/>
          </w:tcPr>
          <w:p w14:paraId="71BB89DC">
            <w:pPr>
              <w:adjustRightInd w:val="0"/>
              <w:snapToGrid w:val="0"/>
              <w:spacing w:line="360" w:lineRule="auto"/>
              <w:jc w:val="left"/>
              <w:rPr>
                <w:color w:val="auto"/>
              </w:rPr>
            </w:pPr>
          </w:p>
        </w:tc>
        <w:tc>
          <w:tcPr>
            <w:tcW w:w="1970" w:type="dxa"/>
            <w:tcBorders>
              <w:top w:val="single" w:color="auto" w:sz="4" w:space="0"/>
              <w:left w:val="single" w:color="000000" w:sz="6" w:space="0"/>
              <w:bottom w:val="single" w:color="auto" w:sz="4" w:space="0"/>
              <w:right w:val="single" w:color="000000" w:sz="6" w:space="0"/>
            </w:tcBorders>
            <w:tcMar>
              <w:top w:w="0" w:type="dxa"/>
              <w:left w:w="108" w:type="dxa"/>
              <w:bottom w:w="0" w:type="dxa"/>
              <w:right w:w="108" w:type="dxa"/>
            </w:tcMar>
            <w:vAlign w:val="center"/>
          </w:tcPr>
          <w:p w14:paraId="26E4068F">
            <w:pPr>
              <w:spacing w:line="360" w:lineRule="auto"/>
              <w:jc w:val="center"/>
              <w:rPr>
                <w:rFonts w:hint="eastAsia" w:ascii="宋体" w:hAnsi="宋体" w:eastAsia="宋体" w:cs="宋体"/>
                <w:color w:val="auto"/>
                <w:kern w:val="0"/>
                <w:sz w:val="21"/>
                <w:szCs w:val="21"/>
                <w:lang w:val="en-US" w:eastAsia="zh-CN" w:bidi="ar"/>
              </w:rPr>
            </w:pPr>
            <w:r>
              <w:rPr>
                <w:rFonts w:hint="eastAsia" w:ascii="宋体" w:hAnsi="宋体" w:cs="宋体"/>
                <w:bCs/>
                <w:color w:val="auto"/>
                <w:kern w:val="0"/>
                <w:szCs w:val="21"/>
              </w:rPr>
              <w:t>政府采购支持中小企业融资</w:t>
            </w:r>
          </w:p>
        </w:tc>
        <w:tc>
          <w:tcPr>
            <w:tcW w:w="5903" w:type="dxa"/>
            <w:tcBorders>
              <w:top w:val="single" w:color="auto" w:sz="4" w:space="0"/>
              <w:left w:val="single" w:color="000000" w:sz="6" w:space="0"/>
              <w:bottom w:val="single" w:color="auto" w:sz="4" w:space="0"/>
              <w:right w:val="double" w:color="000000" w:sz="4" w:space="0"/>
            </w:tcBorders>
            <w:tcMar>
              <w:top w:w="0" w:type="dxa"/>
              <w:left w:w="108" w:type="dxa"/>
              <w:bottom w:w="0" w:type="dxa"/>
              <w:right w:w="108" w:type="dxa"/>
            </w:tcMar>
            <w:vAlign w:val="center"/>
          </w:tcPr>
          <w:p w14:paraId="6C32A12F">
            <w:pPr>
              <w:spacing w:line="360" w:lineRule="auto"/>
              <w:rPr>
                <w:rFonts w:hint="eastAsia" w:ascii="宋体" w:hAnsi="宋体" w:eastAsia="宋体" w:cs="宋体"/>
                <w:color w:val="auto"/>
                <w:kern w:val="0"/>
                <w:sz w:val="21"/>
                <w:szCs w:val="21"/>
                <w:lang w:val="en-US" w:eastAsia="zh-CN" w:bidi="ar"/>
              </w:rPr>
            </w:pPr>
            <w:r>
              <w:rPr>
                <w:rFonts w:hint="eastAsia" w:ascii="宋体" w:hAnsi="宋体"/>
                <w:color w:val="auto"/>
                <w:szCs w:val="21"/>
              </w:rPr>
              <w:t>有融资需求的，可查询中国湖南政府采购网</w:t>
            </w:r>
            <w:r>
              <w:rPr>
                <w:rFonts w:hint="eastAsia" w:ascii="宋体" w:hAnsi="宋体" w:cs="宋体"/>
                <w:color w:val="auto"/>
                <w:szCs w:val="21"/>
              </w:rPr>
              <w:t>办事指南专栏中相关业务简介。</w:t>
            </w:r>
          </w:p>
        </w:tc>
      </w:tr>
      <w:tr w14:paraId="04436612">
        <w:tblPrEx>
          <w:tblCellMar>
            <w:top w:w="0" w:type="dxa"/>
            <w:left w:w="10" w:type="dxa"/>
            <w:bottom w:w="0" w:type="dxa"/>
            <w:right w:w="10" w:type="dxa"/>
          </w:tblCellMar>
        </w:tblPrEx>
        <w:trPr>
          <w:trHeight w:val="823" w:hRule="atLeast"/>
          <w:jc w:val="center"/>
        </w:trPr>
        <w:tc>
          <w:tcPr>
            <w:tcW w:w="1846" w:type="dxa"/>
            <w:vMerge w:val="continue"/>
            <w:tcBorders>
              <w:left w:val="double" w:color="000000" w:sz="4" w:space="0"/>
              <w:right w:val="single" w:color="000000" w:sz="6" w:space="0"/>
            </w:tcBorders>
            <w:tcMar>
              <w:top w:w="0" w:type="dxa"/>
              <w:left w:w="108" w:type="dxa"/>
              <w:bottom w:w="0" w:type="dxa"/>
              <w:right w:w="108" w:type="dxa"/>
            </w:tcMar>
            <w:vAlign w:val="center"/>
          </w:tcPr>
          <w:p w14:paraId="0A1525A0">
            <w:pPr>
              <w:adjustRightInd w:val="0"/>
              <w:snapToGrid w:val="0"/>
              <w:spacing w:line="360" w:lineRule="auto"/>
              <w:jc w:val="left"/>
              <w:rPr>
                <w:color w:val="auto"/>
              </w:rPr>
            </w:pPr>
          </w:p>
        </w:tc>
        <w:tc>
          <w:tcPr>
            <w:tcW w:w="1970" w:type="dxa"/>
            <w:tcBorders>
              <w:top w:val="single" w:color="auto" w:sz="4" w:space="0"/>
              <w:left w:val="single" w:color="000000" w:sz="6" w:space="0"/>
              <w:bottom w:val="single" w:color="auto" w:sz="4" w:space="0"/>
              <w:right w:val="single" w:color="000000" w:sz="6" w:space="0"/>
            </w:tcBorders>
            <w:tcMar>
              <w:top w:w="0" w:type="dxa"/>
              <w:left w:w="108" w:type="dxa"/>
              <w:bottom w:w="0" w:type="dxa"/>
              <w:right w:w="108" w:type="dxa"/>
            </w:tcMar>
            <w:vAlign w:val="center"/>
          </w:tcPr>
          <w:p w14:paraId="4E901273">
            <w:pPr>
              <w:spacing w:line="360" w:lineRule="auto"/>
              <w:jc w:val="center"/>
              <w:rPr>
                <w:rFonts w:hint="eastAsia" w:ascii="宋体" w:hAnsi="宋体" w:eastAsia="宋体" w:cs="宋体"/>
                <w:color w:val="auto"/>
                <w:kern w:val="0"/>
                <w:sz w:val="21"/>
                <w:szCs w:val="21"/>
                <w:lang w:val="en-US" w:eastAsia="zh-CN" w:bidi="ar"/>
              </w:rPr>
            </w:pPr>
            <w:r>
              <w:rPr>
                <w:rFonts w:hint="eastAsia" w:ascii="宋体" w:hAnsi="宋体" w:cs="宋体"/>
                <w:bCs/>
                <w:color w:val="auto"/>
                <w:kern w:val="0"/>
                <w:szCs w:val="21"/>
              </w:rPr>
              <w:t>政府采购信用担保</w:t>
            </w:r>
          </w:p>
        </w:tc>
        <w:tc>
          <w:tcPr>
            <w:tcW w:w="5903" w:type="dxa"/>
            <w:tcBorders>
              <w:top w:val="single" w:color="auto" w:sz="4" w:space="0"/>
              <w:left w:val="single" w:color="000000" w:sz="6" w:space="0"/>
              <w:bottom w:val="single" w:color="auto" w:sz="4" w:space="0"/>
              <w:right w:val="double" w:color="000000" w:sz="4" w:space="0"/>
            </w:tcBorders>
            <w:tcMar>
              <w:top w:w="0" w:type="dxa"/>
              <w:left w:w="108" w:type="dxa"/>
              <w:bottom w:w="0" w:type="dxa"/>
              <w:right w:w="108" w:type="dxa"/>
            </w:tcMar>
            <w:vAlign w:val="center"/>
          </w:tcPr>
          <w:p w14:paraId="0C3DDB3A">
            <w:pPr>
              <w:spacing w:line="360" w:lineRule="auto"/>
              <w:rPr>
                <w:rFonts w:hint="eastAsia" w:ascii="宋体" w:hAnsi="宋体" w:eastAsia="宋体" w:cs="宋体"/>
                <w:color w:val="auto"/>
                <w:kern w:val="0"/>
                <w:sz w:val="21"/>
                <w:szCs w:val="21"/>
                <w:lang w:val="en-US" w:eastAsia="zh-CN" w:bidi="ar"/>
              </w:rPr>
            </w:pPr>
            <w:r>
              <w:rPr>
                <w:rFonts w:hint="eastAsia" w:ascii="宋体" w:hAnsi="宋体"/>
                <w:color w:val="auto"/>
                <w:szCs w:val="21"/>
              </w:rPr>
              <w:t>有担保需求的，可查询中国湖南政府采购网</w:t>
            </w:r>
            <w:r>
              <w:rPr>
                <w:rFonts w:hint="eastAsia" w:ascii="宋体" w:hAnsi="宋体" w:cs="宋体"/>
                <w:color w:val="auto"/>
                <w:szCs w:val="21"/>
              </w:rPr>
              <w:t>办事指南专栏中相关业务简介。</w:t>
            </w:r>
          </w:p>
        </w:tc>
      </w:tr>
      <w:tr w14:paraId="0077561D">
        <w:tblPrEx>
          <w:tblCellMar>
            <w:top w:w="0" w:type="dxa"/>
            <w:left w:w="10" w:type="dxa"/>
            <w:bottom w:w="0" w:type="dxa"/>
            <w:right w:w="10" w:type="dxa"/>
          </w:tblCellMar>
        </w:tblPrEx>
        <w:trPr>
          <w:trHeight w:val="2855" w:hRule="atLeast"/>
          <w:jc w:val="center"/>
        </w:trPr>
        <w:tc>
          <w:tcPr>
            <w:tcW w:w="1846" w:type="dxa"/>
            <w:tcBorders>
              <w:top w:val="single" w:color="000000" w:sz="6" w:space="0"/>
              <w:left w:val="double" w:color="000000" w:sz="4" w:space="0"/>
              <w:right w:val="single" w:color="000000" w:sz="6" w:space="0"/>
            </w:tcBorders>
            <w:tcMar>
              <w:top w:w="0" w:type="dxa"/>
              <w:left w:w="108" w:type="dxa"/>
              <w:bottom w:w="0" w:type="dxa"/>
              <w:right w:w="108" w:type="dxa"/>
            </w:tcMar>
            <w:vAlign w:val="center"/>
          </w:tcPr>
          <w:p w14:paraId="5C9AB3F4">
            <w:pPr>
              <w:widowControl/>
              <w:spacing w:line="360" w:lineRule="auto"/>
              <w:jc w:val="left"/>
              <w:rPr>
                <w:rFonts w:hint="eastAsia" w:ascii="宋体" w:hAnsi="宋体" w:eastAsia="宋体" w:cs="宋体"/>
                <w:color w:val="auto"/>
                <w:szCs w:val="21"/>
              </w:rPr>
            </w:pPr>
            <w:r>
              <w:rPr>
                <w:rFonts w:hint="eastAsia" w:ascii="宋体" w:hAnsi="宋体"/>
                <w:color w:val="auto"/>
                <w:szCs w:val="21"/>
              </w:rPr>
              <w:t>第二章第30.5款</w:t>
            </w:r>
          </w:p>
        </w:tc>
        <w:tc>
          <w:tcPr>
            <w:tcW w:w="1970" w:type="dxa"/>
            <w:tcBorders>
              <w:top w:val="single" w:color="auto" w:sz="4" w:space="0"/>
              <w:left w:val="single" w:color="000000" w:sz="6" w:space="0"/>
              <w:right w:val="single" w:color="000000" w:sz="6" w:space="0"/>
            </w:tcBorders>
            <w:tcMar>
              <w:top w:w="0" w:type="dxa"/>
              <w:left w:w="108" w:type="dxa"/>
              <w:bottom w:w="0" w:type="dxa"/>
              <w:right w:w="108" w:type="dxa"/>
            </w:tcMar>
            <w:vAlign w:val="center"/>
          </w:tcPr>
          <w:p w14:paraId="2500AFE1">
            <w:pPr>
              <w:spacing w:line="360" w:lineRule="auto"/>
              <w:jc w:val="center"/>
              <w:rPr>
                <w:rFonts w:ascii="宋体" w:hAnsi="宋体" w:eastAsia="宋体" w:cs="宋体"/>
                <w:color w:val="auto"/>
                <w:kern w:val="1"/>
                <w:szCs w:val="21"/>
              </w:rPr>
            </w:pPr>
            <w:r>
              <w:rPr>
                <w:rFonts w:hint="eastAsia" w:ascii="宋体" w:hAnsi="宋体"/>
                <w:color w:val="auto"/>
                <w:szCs w:val="21"/>
              </w:rPr>
              <w:t>政府采购政策优惠调整</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66963652">
            <w:pPr>
              <w:adjustRightInd w:val="0"/>
              <w:snapToGrid w:val="0"/>
              <w:spacing w:line="360" w:lineRule="auto"/>
              <w:rPr>
                <w:rFonts w:ascii="宋体" w:hAnsi="宋体"/>
                <w:color w:val="auto"/>
                <w:szCs w:val="21"/>
              </w:rPr>
            </w:pPr>
            <w:r>
              <w:rPr>
                <w:rFonts w:hint="eastAsia" w:ascii="宋体" w:hAnsi="宋体"/>
                <w:color w:val="auto"/>
                <w:szCs w:val="21"/>
              </w:rPr>
              <w:t>1、符合政府采购优先采购政策的，产品只能享受节能产品、环境标志产品等产品优惠中的一项(由供应商在响应文件中选择并填报政策功能编码，评审时进行加分)。</w:t>
            </w:r>
          </w:p>
          <w:p w14:paraId="46CD5A1E">
            <w:pPr>
              <w:adjustRightInd w:val="0"/>
              <w:snapToGrid w:val="0"/>
              <w:spacing w:line="360" w:lineRule="auto"/>
              <w:rPr>
                <w:rFonts w:ascii="宋体" w:hAnsi="宋体"/>
                <w:color w:val="auto"/>
                <w:szCs w:val="21"/>
              </w:rPr>
            </w:pPr>
            <w:r>
              <w:rPr>
                <w:rFonts w:hint="eastAsia" w:ascii="宋体" w:hAnsi="宋体"/>
                <w:color w:val="auto"/>
                <w:szCs w:val="21"/>
              </w:rPr>
              <w:t>2、供应商享受支持中小企业发展政策优惠的，可以与同时享受节能产品、环境标志产品等产品优惠中的一项累加。</w:t>
            </w:r>
          </w:p>
          <w:p w14:paraId="2702B7A0">
            <w:pPr>
              <w:adjustRightInd w:val="0"/>
              <w:snapToGrid w:val="0"/>
              <w:spacing w:line="360" w:lineRule="auto"/>
              <w:rPr>
                <w:rFonts w:ascii="宋体" w:hAnsi="宋体"/>
                <w:color w:val="auto"/>
                <w:szCs w:val="21"/>
              </w:rPr>
            </w:pPr>
            <w:r>
              <w:rPr>
                <w:rFonts w:hint="eastAsia" w:ascii="宋体" w:hAnsi="宋体"/>
                <w:color w:val="auto"/>
                <w:szCs w:val="21"/>
              </w:rPr>
              <w:t>3、残疾人福利性单位、监狱企业视同为小微企业，不重复计算。</w:t>
            </w:r>
          </w:p>
          <w:p w14:paraId="405C5193">
            <w:pPr>
              <w:adjustRightInd w:val="0"/>
              <w:snapToGrid w:val="0"/>
              <w:spacing w:line="360" w:lineRule="auto"/>
              <w:rPr>
                <w:rFonts w:hint="eastAsia" w:ascii="宋体" w:hAnsi="宋体" w:eastAsia="宋体" w:cs="宋体"/>
                <w:color w:val="auto"/>
                <w:kern w:val="1"/>
                <w:szCs w:val="21"/>
              </w:rPr>
            </w:pPr>
            <w:r>
              <w:rPr>
                <w:rFonts w:hint="eastAsia" w:ascii="宋体" w:hAnsi="宋体"/>
                <w:color w:val="auto"/>
                <w:szCs w:val="21"/>
              </w:rPr>
              <w:t>4、同一项目中部分产品属于优先采购政策的，评审时只对该部分产品的报价实行加分。</w:t>
            </w:r>
          </w:p>
        </w:tc>
      </w:tr>
      <w:tr w14:paraId="3453B43B">
        <w:tblPrEx>
          <w:tblCellMar>
            <w:top w:w="0" w:type="dxa"/>
            <w:left w:w="10" w:type="dxa"/>
            <w:bottom w:w="0" w:type="dxa"/>
            <w:right w:w="10" w:type="dxa"/>
          </w:tblCellMar>
        </w:tblPrEx>
        <w:trPr>
          <w:trHeight w:val="420" w:hRule="atLeast"/>
          <w:jc w:val="center"/>
        </w:trPr>
        <w:tc>
          <w:tcPr>
            <w:tcW w:w="9719" w:type="dxa"/>
            <w:gridSpan w:val="3"/>
            <w:tcBorders>
              <w:top w:val="single" w:color="000000" w:sz="6" w:space="0"/>
              <w:left w:val="double" w:color="000000" w:sz="4" w:space="0"/>
              <w:bottom w:val="single" w:color="000000" w:sz="6" w:space="0"/>
              <w:right w:val="double" w:color="000000" w:sz="4" w:space="0"/>
            </w:tcBorders>
            <w:tcMar>
              <w:top w:w="0" w:type="dxa"/>
              <w:left w:w="108" w:type="dxa"/>
              <w:bottom w:w="0" w:type="dxa"/>
              <w:right w:w="108" w:type="dxa"/>
            </w:tcMar>
            <w:vAlign w:val="center"/>
          </w:tcPr>
          <w:p w14:paraId="45942A58">
            <w:pPr>
              <w:spacing w:line="360" w:lineRule="auto"/>
              <w:rPr>
                <w:rFonts w:ascii="宋体" w:hAnsi="宋体" w:eastAsia="宋体" w:cs="宋体"/>
                <w:b/>
                <w:color w:val="auto"/>
                <w:szCs w:val="21"/>
              </w:rPr>
            </w:pPr>
            <w:r>
              <w:rPr>
                <w:rFonts w:hint="eastAsia" w:ascii="宋体" w:hAnsi="宋体" w:eastAsia="宋体" w:cs="宋体"/>
                <w:b/>
                <w:color w:val="auto"/>
                <w:szCs w:val="21"/>
              </w:rPr>
              <w:t>二、磋商文件</w:t>
            </w:r>
          </w:p>
        </w:tc>
      </w:tr>
      <w:tr w14:paraId="33725C64">
        <w:tblPrEx>
          <w:tblCellMar>
            <w:top w:w="0" w:type="dxa"/>
            <w:left w:w="10" w:type="dxa"/>
            <w:bottom w:w="0" w:type="dxa"/>
            <w:right w:w="10" w:type="dxa"/>
          </w:tblCellMar>
        </w:tblPrEx>
        <w:trPr>
          <w:trHeight w:val="1234"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52CD1D14">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第二章第10.2款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C74A85B">
            <w:pPr>
              <w:spacing w:line="360" w:lineRule="auto"/>
              <w:jc w:val="left"/>
              <w:rPr>
                <w:rFonts w:ascii="宋体" w:hAnsi="宋体" w:eastAsia="宋体" w:cs="宋体"/>
                <w:color w:val="auto"/>
                <w:szCs w:val="21"/>
              </w:rPr>
            </w:pPr>
            <w:r>
              <w:rPr>
                <w:rFonts w:hint="eastAsia" w:ascii="宋体" w:hAnsi="宋体" w:eastAsia="宋体" w:cs="宋体"/>
                <w:color w:val="auto"/>
                <w:szCs w:val="21"/>
              </w:rPr>
              <w:t>磋商文件的可能实质性变动内容</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0E2614A7">
            <w:pPr>
              <w:spacing w:line="360" w:lineRule="auto"/>
              <w:rPr>
                <w:rFonts w:ascii="宋体" w:hAnsi="宋体" w:eastAsia="宋体" w:cs="宋体"/>
                <w:color w:val="auto"/>
                <w:szCs w:val="21"/>
              </w:rPr>
            </w:pPr>
            <w:r>
              <w:rPr>
                <w:rFonts w:hint="eastAsia" w:ascii="宋体" w:hAnsi="宋体" w:cs="宋体"/>
                <w:color w:val="auto"/>
              </w:rPr>
              <w:t>磋商文件的技术、服务要求以及合同草案条款均可能发生实质性变动，磋商文件的实质性变动内容为磋商文件的组成部分，实质性变动内容与磋商文件不一致时，以实质性变动内容为准。</w:t>
            </w:r>
          </w:p>
        </w:tc>
      </w:tr>
      <w:tr w14:paraId="6A322EFC">
        <w:tblPrEx>
          <w:tblCellMar>
            <w:top w:w="0" w:type="dxa"/>
            <w:left w:w="10" w:type="dxa"/>
            <w:bottom w:w="0" w:type="dxa"/>
            <w:right w:w="10" w:type="dxa"/>
          </w:tblCellMar>
        </w:tblPrEx>
        <w:trPr>
          <w:trHeight w:val="868"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276E97DE">
            <w:pPr>
              <w:adjustRightInd w:val="0"/>
              <w:snapToGrid w:val="0"/>
              <w:spacing w:line="360" w:lineRule="auto"/>
              <w:jc w:val="center"/>
              <w:rPr>
                <w:rFonts w:hint="eastAsia" w:ascii="宋体" w:hAnsi="宋体" w:eastAsia="宋体" w:cs="宋体"/>
                <w:color w:val="auto"/>
                <w:szCs w:val="21"/>
              </w:rPr>
            </w:pPr>
            <w:r>
              <w:rPr>
                <w:rFonts w:hint="eastAsia" w:ascii="宋体" w:hAnsi="宋体"/>
                <w:color w:val="auto"/>
                <w:szCs w:val="21"/>
              </w:rPr>
              <w:t>第二章第10.3款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BB28A4E">
            <w:pPr>
              <w:adjustRightInd w:val="0"/>
              <w:snapToGrid w:val="0"/>
              <w:spacing w:line="360" w:lineRule="auto"/>
              <w:jc w:val="center"/>
              <w:rPr>
                <w:rFonts w:hint="eastAsia" w:ascii="宋体" w:hAnsi="宋体" w:eastAsia="宋体" w:cs="宋体"/>
                <w:color w:val="auto"/>
                <w:szCs w:val="21"/>
              </w:rPr>
            </w:pPr>
            <w:r>
              <w:rPr>
                <w:rFonts w:hint="eastAsia" w:ascii="宋体" w:hAnsi="宋体"/>
                <w:color w:val="auto"/>
                <w:szCs w:val="21"/>
              </w:rPr>
              <w:t>最高允许偏离项数</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top"/>
          </w:tcPr>
          <w:p w14:paraId="22623789">
            <w:pPr>
              <w:tabs>
                <w:tab w:val="left" w:pos="0"/>
              </w:tabs>
              <w:adjustRightInd w:val="0"/>
              <w:snapToGrid w:val="0"/>
              <w:spacing w:line="360" w:lineRule="auto"/>
              <w:rPr>
                <w:rFonts w:hint="eastAsia" w:ascii="宋体" w:hAnsi="宋体" w:cs="宋体"/>
                <w:color w:val="auto"/>
              </w:rPr>
            </w:pPr>
            <w:r>
              <w:rPr>
                <w:rFonts w:hint="eastAsia" w:ascii="宋体" w:hAnsi="宋体"/>
                <w:color w:val="auto"/>
                <w:szCs w:val="21"/>
              </w:rPr>
              <w:t>一般商务和技术条款（参数），偏离项数之和≥</w:t>
            </w:r>
            <w:r>
              <w:rPr>
                <w:rFonts w:hint="eastAsia" w:ascii="宋体" w:hAnsi="宋体"/>
                <w:color w:val="auto"/>
                <w:szCs w:val="21"/>
                <w:u w:val="single"/>
                <w:lang w:val="en-US" w:eastAsia="zh-CN"/>
              </w:rPr>
              <w:t>6</w:t>
            </w:r>
            <w:r>
              <w:rPr>
                <w:rFonts w:hint="eastAsia" w:ascii="宋体" w:hAnsi="宋体"/>
                <w:color w:val="auto"/>
                <w:szCs w:val="21"/>
              </w:rPr>
              <w:t>项将导致无效响应。</w:t>
            </w:r>
          </w:p>
        </w:tc>
      </w:tr>
      <w:tr w14:paraId="357582D2">
        <w:tblPrEx>
          <w:tblCellMar>
            <w:top w:w="0" w:type="dxa"/>
            <w:left w:w="10" w:type="dxa"/>
            <w:bottom w:w="0" w:type="dxa"/>
            <w:right w:w="10" w:type="dxa"/>
          </w:tblCellMar>
        </w:tblPrEx>
        <w:trPr>
          <w:trHeight w:val="540"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1B6A2D94">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第二章第11.1款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D1C24FD">
            <w:pPr>
              <w:spacing w:line="360" w:lineRule="auto"/>
              <w:jc w:val="left"/>
              <w:rPr>
                <w:rFonts w:ascii="宋体" w:hAnsi="宋体" w:eastAsia="宋体" w:cs="宋体"/>
                <w:color w:val="auto"/>
                <w:szCs w:val="21"/>
                <w:u w:val="none"/>
              </w:rPr>
            </w:pPr>
            <w:r>
              <w:rPr>
                <w:rFonts w:hint="eastAsia" w:ascii="宋体" w:hAnsi="宋体" w:eastAsia="宋体" w:cs="宋体"/>
                <w:color w:val="auto"/>
                <w:szCs w:val="21"/>
                <w:u w:val="none"/>
              </w:rPr>
              <w:t>提供磋商文件期限</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421C7858">
            <w:pPr>
              <w:spacing w:line="360" w:lineRule="auto"/>
              <w:jc w:val="left"/>
              <w:rPr>
                <w:rFonts w:ascii="宋体" w:hAnsi="宋体" w:eastAsia="宋体" w:cs="宋体"/>
                <w:color w:val="auto"/>
                <w:szCs w:val="21"/>
                <w:u w:val="none"/>
              </w:rPr>
            </w:pPr>
            <w:r>
              <w:rPr>
                <w:rFonts w:hint="eastAsia" w:ascii="宋体" w:hAnsi="宋体" w:eastAsia="宋体" w:cs="宋体"/>
                <w:color w:val="auto"/>
                <w:sz w:val="21"/>
                <w:szCs w:val="21"/>
                <w:lang w:val="en-US" w:eastAsia="zh-CN"/>
              </w:rPr>
              <w:t>详见磋商公告</w:t>
            </w:r>
          </w:p>
        </w:tc>
      </w:tr>
      <w:tr w14:paraId="48D4DE10">
        <w:tblPrEx>
          <w:tblCellMar>
            <w:top w:w="0" w:type="dxa"/>
            <w:left w:w="10" w:type="dxa"/>
            <w:bottom w:w="0" w:type="dxa"/>
            <w:right w:w="10" w:type="dxa"/>
          </w:tblCellMar>
        </w:tblPrEx>
        <w:trPr>
          <w:trHeight w:val="827"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6B4AF74C">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第二章第11.2款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828ECB1">
            <w:pPr>
              <w:spacing w:line="360" w:lineRule="auto"/>
              <w:jc w:val="left"/>
              <w:rPr>
                <w:rFonts w:ascii="宋体" w:hAnsi="宋体" w:eastAsia="宋体" w:cs="宋体"/>
                <w:color w:val="auto"/>
                <w:szCs w:val="21"/>
                <w:u w:val="none"/>
              </w:rPr>
            </w:pPr>
            <w:r>
              <w:rPr>
                <w:rFonts w:hint="eastAsia" w:ascii="宋体" w:hAnsi="宋体" w:eastAsia="宋体" w:cs="宋体"/>
                <w:color w:val="auto"/>
                <w:szCs w:val="21"/>
                <w:u w:val="none"/>
              </w:rPr>
              <w:t>领取或购买磋商文件时应提供的资料</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3826942F">
            <w:pPr>
              <w:spacing w:line="360" w:lineRule="auto"/>
              <w:jc w:val="left"/>
              <w:rPr>
                <w:rFonts w:ascii="宋体" w:hAnsi="宋体" w:eastAsia="宋体" w:cs="宋体"/>
                <w:color w:val="auto"/>
                <w:szCs w:val="21"/>
                <w:u w:val="none"/>
              </w:rPr>
            </w:pPr>
            <w:r>
              <w:rPr>
                <w:rFonts w:hint="eastAsia" w:ascii="宋体" w:hAnsi="宋体" w:eastAsia="宋体" w:cs="宋体"/>
                <w:color w:val="auto"/>
                <w:szCs w:val="21"/>
                <w:u w:val="none"/>
              </w:rPr>
              <w:t>详见磋商邀请公告</w:t>
            </w:r>
          </w:p>
        </w:tc>
      </w:tr>
      <w:tr w14:paraId="5BD6F618">
        <w:tblPrEx>
          <w:tblCellMar>
            <w:top w:w="0" w:type="dxa"/>
            <w:left w:w="10" w:type="dxa"/>
            <w:bottom w:w="0" w:type="dxa"/>
            <w:right w:w="10" w:type="dxa"/>
          </w:tblCellMar>
        </w:tblPrEx>
        <w:trPr>
          <w:trHeight w:val="724"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2F9FB31F">
            <w:pPr>
              <w:adjustRightInd w:val="0"/>
              <w:snapToGrid w:val="0"/>
              <w:spacing w:line="360" w:lineRule="auto"/>
              <w:jc w:val="center"/>
              <w:rPr>
                <w:rFonts w:hint="eastAsia" w:ascii="宋体" w:hAnsi="宋体" w:eastAsia="宋体" w:cs="宋体"/>
                <w:color w:val="auto"/>
                <w:szCs w:val="21"/>
              </w:rPr>
            </w:pPr>
            <w:r>
              <w:rPr>
                <w:rFonts w:hint="eastAsia" w:ascii="宋体" w:hAnsi="宋体"/>
                <w:color w:val="auto"/>
                <w:szCs w:val="21"/>
              </w:rPr>
              <w:t>第二章第11.3款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92D1EDB">
            <w:pPr>
              <w:adjustRightInd w:val="0"/>
              <w:snapToGrid w:val="0"/>
              <w:spacing w:line="360" w:lineRule="auto"/>
              <w:jc w:val="center"/>
              <w:rPr>
                <w:rFonts w:hint="eastAsia" w:ascii="宋体" w:hAnsi="宋体" w:eastAsia="宋体" w:cs="宋体"/>
                <w:color w:val="auto"/>
                <w:szCs w:val="21"/>
                <w:u w:val="none"/>
              </w:rPr>
            </w:pPr>
            <w:r>
              <w:rPr>
                <w:rFonts w:hint="eastAsia" w:ascii="宋体" w:hAnsi="宋体"/>
                <w:color w:val="auto"/>
                <w:szCs w:val="21"/>
              </w:rPr>
              <w:t>磋商文件的可能实质性变动内容</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099DE6BA">
            <w:pPr>
              <w:spacing w:line="360" w:lineRule="auto"/>
              <w:rPr>
                <w:rFonts w:hint="eastAsia" w:ascii="宋体" w:hAnsi="宋体" w:eastAsia="宋体" w:cs="宋体"/>
                <w:color w:val="auto"/>
                <w:szCs w:val="21"/>
                <w:u w:val="none"/>
              </w:rPr>
            </w:pPr>
            <w:r>
              <w:rPr>
                <w:rFonts w:hint="eastAsia" w:ascii="宋体" w:hAnsi="宋体"/>
                <w:color w:val="auto"/>
                <w:szCs w:val="21"/>
              </w:rPr>
              <w:t>无</w:t>
            </w:r>
          </w:p>
        </w:tc>
      </w:tr>
      <w:tr w14:paraId="560FF4EA">
        <w:tblPrEx>
          <w:tblCellMar>
            <w:top w:w="0" w:type="dxa"/>
            <w:left w:w="10" w:type="dxa"/>
            <w:bottom w:w="0" w:type="dxa"/>
            <w:right w:w="10" w:type="dxa"/>
          </w:tblCellMar>
        </w:tblPrEx>
        <w:trPr>
          <w:trHeight w:val="827"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3AD6F094">
            <w:pPr>
              <w:spacing w:line="360" w:lineRule="auto"/>
              <w:jc w:val="center"/>
              <w:rPr>
                <w:rFonts w:ascii="宋体" w:hAnsi="宋体" w:eastAsia="宋体" w:cs="宋体"/>
                <w:color w:val="auto"/>
                <w:szCs w:val="21"/>
                <w:u w:val="none"/>
              </w:rPr>
            </w:pPr>
            <w:r>
              <w:rPr>
                <w:rFonts w:hint="eastAsia" w:ascii="宋体" w:hAnsi="宋体" w:eastAsia="宋体" w:cs="宋体"/>
                <w:color w:val="auto"/>
                <w:szCs w:val="21"/>
                <w:u w:val="none"/>
              </w:rPr>
              <w:t>第二章第12.1款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2B00036">
            <w:pPr>
              <w:spacing w:line="360" w:lineRule="auto"/>
              <w:rPr>
                <w:rFonts w:ascii="宋体" w:hAnsi="宋体" w:eastAsia="宋体" w:cs="宋体"/>
                <w:color w:val="auto"/>
                <w:szCs w:val="21"/>
                <w:u w:val="none"/>
              </w:rPr>
            </w:pPr>
            <w:r>
              <w:rPr>
                <w:rFonts w:hint="eastAsia" w:ascii="宋体" w:hAnsi="宋体" w:eastAsia="宋体" w:cs="宋体"/>
                <w:color w:val="auto"/>
                <w:szCs w:val="21"/>
                <w:u w:val="none"/>
              </w:rPr>
              <w:t>提交首次响应文件的截止时间</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3C72F63">
            <w:pPr>
              <w:spacing w:line="360" w:lineRule="auto"/>
              <w:jc w:val="left"/>
              <w:rPr>
                <w:rFonts w:ascii="宋体" w:hAnsi="宋体" w:eastAsia="宋体" w:cs="宋体"/>
                <w:color w:val="auto"/>
                <w:szCs w:val="21"/>
                <w:u w:val="none"/>
              </w:rPr>
            </w:pPr>
            <w:r>
              <w:rPr>
                <w:rFonts w:hint="eastAsia" w:ascii="宋体" w:hAnsi="宋体" w:eastAsia="宋体" w:cs="宋体"/>
                <w:color w:val="auto"/>
                <w:kern w:val="0"/>
                <w:sz w:val="21"/>
                <w:szCs w:val="21"/>
                <w:highlight w:val="none"/>
                <w:u w:val="none"/>
                <w:lang w:val="en-US" w:eastAsia="zh-CN" w:bidi="ar-SA"/>
              </w:rPr>
              <w:t>2026年09月03日10时00分</w:t>
            </w:r>
            <w:r>
              <w:rPr>
                <w:rFonts w:hint="eastAsia" w:ascii="宋体" w:hAnsi="宋体" w:eastAsia="宋体" w:cs="宋体"/>
                <w:color w:val="auto"/>
                <w:szCs w:val="21"/>
                <w:highlight w:val="none"/>
                <w:u w:val="none"/>
              </w:rPr>
              <w:t>(北京时间)</w:t>
            </w:r>
          </w:p>
        </w:tc>
      </w:tr>
      <w:tr w14:paraId="56A0D8D1">
        <w:tblPrEx>
          <w:tblCellMar>
            <w:top w:w="0" w:type="dxa"/>
            <w:left w:w="10" w:type="dxa"/>
            <w:bottom w:w="0" w:type="dxa"/>
            <w:right w:w="10" w:type="dxa"/>
          </w:tblCellMar>
        </w:tblPrEx>
        <w:trPr>
          <w:trHeight w:val="420" w:hRule="atLeast"/>
          <w:jc w:val="center"/>
        </w:trPr>
        <w:tc>
          <w:tcPr>
            <w:tcW w:w="9719" w:type="dxa"/>
            <w:gridSpan w:val="3"/>
            <w:tcBorders>
              <w:top w:val="single" w:color="000000" w:sz="6" w:space="0"/>
              <w:left w:val="double" w:color="000000" w:sz="4" w:space="0"/>
              <w:bottom w:val="single" w:color="000000" w:sz="6" w:space="0"/>
              <w:right w:val="double" w:color="000000" w:sz="4" w:space="0"/>
            </w:tcBorders>
            <w:tcMar>
              <w:top w:w="0" w:type="dxa"/>
              <w:left w:w="108" w:type="dxa"/>
              <w:bottom w:w="0" w:type="dxa"/>
              <w:right w:w="108" w:type="dxa"/>
            </w:tcMar>
            <w:vAlign w:val="center"/>
          </w:tcPr>
          <w:p w14:paraId="7B478425">
            <w:pPr>
              <w:spacing w:line="360" w:lineRule="auto"/>
              <w:rPr>
                <w:rFonts w:ascii="宋体" w:hAnsi="宋体" w:eastAsia="宋体" w:cs="宋体"/>
                <w:color w:val="auto"/>
                <w:szCs w:val="21"/>
              </w:rPr>
            </w:pPr>
            <w:r>
              <w:rPr>
                <w:rFonts w:hint="eastAsia" w:ascii="宋体" w:hAnsi="宋体" w:eastAsia="宋体" w:cs="宋体"/>
                <w:b/>
                <w:color w:val="auto"/>
                <w:szCs w:val="21"/>
              </w:rPr>
              <w:t>三、响应文件的编写</w:t>
            </w:r>
          </w:p>
        </w:tc>
      </w:tr>
      <w:tr w14:paraId="327DA5A6">
        <w:tblPrEx>
          <w:tblCellMar>
            <w:top w:w="0" w:type="dxa"/>
            <w:left w:w="10" w:type="dxa"/>
            <w:bottom w:w="0" w:type="dxa"/>
            <w:right w:w="10" w:type="dxa"/>
          </w:tblCellMar>
        </w:tblPrEx>
        <w:trPr>
          <w:trHeight w:val="420"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416D4C74">
            <w:pPr>
              <w:spacing w:line="360" w:lineRule="auto"/>
              <w:jc w:val="center"/>
              <w:rPr>
                <w:rFonts w:ascii="宋体" w:hAnsi="宋体" w:eastAsia="宋体" w:cs="宋体"/>
                <w:b w:val="0"/>
                <w:bCs w:val="0"/>
                <w:color w:val="auto"/>
                <w:szCs w:val="21"/>
              </w:rPr>
            </w:pPr>
            <w:r>
              <w:rPr>
                <w:rFonts w:hint="eastAsia" w:ascii="宋体" w:hAnsi="宋体" w:eastAsia="宋体" w:cs="宋体"/>
                <w:b w:val="0"/>
                <w:bCs w:val="0"/>
                <w:color w:val="auto"/>
                <w:szCs w:val="21"/>
              </w:rPr>
              <w:t>第二章第16.4款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871B8A9">
            <w:pPr>
              <w:spacing w:line="360" w:lineRule="auto"/>
              <w:rPr>
                <w:rFonts w:ascii="宋体" w:hAnsi="宋体" w:eastAsia="宋体" w:cs="宋体"/>
                <w:b w:val="0"/>
                <w:bCs w:val="0"/>
                <w:color w:val="auto"/>
                <w:szCs w:val="21"/>
              </w:rPr>
            </w:pPr>
            <w:r>
              <w:rPr>
                <w:rFonts w:hint="eastAsia" w:ascii="宋体" w:hAnsi="宋体" w:eastAsia="宋体" w:cs="宋体"/>
                <w:b w:val="0"/>
                <w:bCs w:val="0"/>
                <w:color w:val="auto"/>
                <w:szCs w:val="21"/>
              </w:rPr>
              <w:t>项目预算</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1C36CAB9">
            <w:pPr>
              <w:adjustRightInd w:val="0"/>
              <w:snapToGrid w:val="0"/>
              <w:spacing w:line="360" w:lineRule="auto"/>
              <w:rPr>
                <w:rFonts w:hint="default" w:ascii="宋体" w:hAnsi="宋体" w:eastAsia="宋体" w:cs="宋体"/>
                <w:color w:val="auto"/>
                <w:szCs w:val="21"/>
                <w:lang w:val="en-US" w:eastAsia="zh-CN"/>
              </w:rPr>
            </w:pPr>
            <w:r>
              <w:rPr>
                <w:rFonts w:hint="eastAsia" w:ascii="宋体" w:hAnsi="宋体" w:eastAsia="宋体" w:cs="宋体"/>
                <w:color w:val="auto"/>
                <w:szCs w:val="21"/>
                <w:u w:val="none"/>
              </w:rPr>
              <w:t>捌拾伍万零伍佰贰拾伍元整</w:t>
            </w:r>
            <w:r>
              <w:rPr>
                <w:rFonts w:hint="eastAsia" w:ascii="宋体" w:hAnsi="宋体" w:eastAsia="宋体" w:cs="宋体"/>
                <w:color w:val="auto"/>
                <w:szCs w:val="21"/>
                <w:u w:val="none"/>
                <w:lang w:val="en-US" w:eastAsia="zh-CN"/>
              </w:rPr>
              <w:t>（</w:t>
            </w:r>
            <w:r>
              <w:rPr>
                <w:rFonts w:hint="default" w:ascii="宋体" w:hAnsi="宋体" w:eastAsia="宋体" w:cs="宋体"/>
                <w:color w:val="auto"/>
                <w:szCs w:val="21"/>
                <w:u w:val="none"/>
                <w:lang w:val="en-US" w:eastAsia="zh-CN"/>
              </w:rPr>
              <w:t>¥</w:t>
            </w:r>
            <w:r>
              <w:rPr>
                <w:rFonts w:hint="eastAsia" w:ascii="宋体" w:hAnsi="宋体" w:eastAsia="宋体" w:cs="宋体"/>
                <w:color w:val="auto"/>
                <w:szCs w:val="21"/>
                <w:u w:val="none"/>
              </w:rPr>
              <w:t>850525</w:t>
            </w:r>
            <w:r>
              <w:rPr>
                <w:rFonts w:hint="eastAsia" w:ascii="宋体" w:hAnsi="宋体" w:eastAsia="宋体" w:cs="宋体"/>
                <w:color w:val="auto"/>
                <w:szCs w:val="21"/>
                <w:u w:val="none"/>
                <w:lang w:val="en-US" w:eastAsia="zh-CN"/>
              </w:rPr>
              <w:t>.00元）</w:t>
            </w:r>
          </w:p>
        </w:tc>
      </w:tr>
      <w:tr w14:paraId="62A7409F">
        <w:tblPrEx>
          <w:tblCellMar>
            <w:top w:w="0" w:type="dxa"/>
            <w:left w:w="10" w:type="dxa"/>
            <w:bottom w:w="0" w:type="dxa"/>
            <w:right w:w="10" w:type="dxa"/>
          </w:tblCellMar>
        </w:tblPrEx>
        <w:trPr>
          <w:trHeight w:val="1453"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5766CA73">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第二章第1</w:t>
            </w:r>
            <w:r>
              <w:rPr>
                <w:rFonts w:hint="eastAsia" w:ascii="宋体" w:hAnsi="宋体" w:eastAsia="宋体" w:cs="宋体"/>
                <w:color w:val="auto"/>
                <w:szCs w:val="21"/>
                <w:lang w:val="en-US" w:eastAsia="zh-CN"/>
              </w:rPr>
              <w:t>7</w:t>
            </w:r>
            <w:r>
              <w:rPr>
                <w:rFonts w:hint="eastAsia" w:ascii="宋体" w:hAnsi="宋体" w:eastAsia="宋体" w:cs="宋体"/>
                <w:color w:val="auto"/>
                <w:szCs w:val="21"/>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rPr>
              <w:t>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083D746">
            <w:pPr>
              <w:spacing w:before="156" w:line="360" w:lineRule="auto"/>
              <w:ind w:left="-533" w:leftChars="0" w:firstLine="533" w:firstLineChars="0"/>
              <w:jc w:val="center"/>
              <w:rPr>
                <w:rFonts w:hint="eastAsia" w:ascii="宋体" w:hAnsi="宋体" w:eastAsia="宋体" w:cs="宋体"/>
                <w:b/>
                <w:color w:val="auto"/>
                <w:szCs w:val="21"/>
              </w:rPr>
            </w:pPr>
            <w:r>
              <w:rPr>
                <w:rFonts w:ascii="宋体" w:hAnsi="宋体" w:eastAsia="宋体" w:cs="宋体"/>
                <w:color w:val="auto"/>
                <w:kern w:val="1"/>
                <w:szCs w:val="21"/>
              </w:rPr>
              <w:t>非制造商参加投标的规定</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002E3E53">
            <w:pPr>
              <w:adjustRightInd w:val="0"/>
              <w:snapToGrid w:val="0"/>
              <w:spacing w:before="120" w:beforeLines="50" w:line="360" w:lineRule="auto"/>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rPr>
              <w:t>不需要提供</w:t>
            </w:r>
          </w:p>
          <w:p w14:paraId="06B59B38">
            <w:pPr>
              <w:spacing w:before="156" w:line="360" w:lineRule="auto"/>
              <w:rPr>
                <w:rFonts w:ascii="宋体" w:hAnsi="宋体" w:eastAsia="宋体" w:cs="宋体"/>
                <w:color w:val="auto"/>
                <w:szCs w:val="21"/>
              </w:rPr>
            </w:pPr>
            <w:r>
              <w:rPr>
                <w:rFonts w:hint="eastAsia" w:ascii="宋体" w:hAnsi="宋体"/>
                <w:color w:val="auto"/>
                <w:szCs w:val="21"/>
              </w:rPr>
              <w:sym w:font="Wingdings" w:char="00A8"/>
            </w:r>
            <w:r>
              <w:rPr>
                <w:rFonts w:hint="eastAsia" w:ascii="宋体" w:hAnsi="宋体"/>
                <w:color w:val="auto"/>
                <w:szCs w:val="21"/>
              </w:rPr>
              <w:t>需提供经销、或代理投标货物、或为投标货物提供售后服务的</w:t>
            </w:r>
            <w:r>
              <w:rPr>
                <w:rFonts w:hint="eastAsia" w:ascii="宋体" w:hAnsi="宋体"/>
                <w:bCs/>
                <w:color w:val="auto"/>
                <w:szCs w:val="21"/>
              </w:rPr>
              <w:t>证明文件</w:t>
            </w:r>
          </w:p>
        </w:tc>
      </w:tr>
      <w:tr w14:paraId="07D6F12F">
        <w:tblPrEx>
          <w:tblCellMar>
            <w:top w:w="0" w:type="dxa"/>
            <w:left w:w="10" w:type="dxa"/>
            <w:bottom w:w="0" w:type="dxa"/>
            <w:right w:w="10" w:type="dxa"/>
          </w:tblCellMar>
        </w:tblPrEx>
        <w:trPr>
          <w:trHeight w:val="911"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6FA32DF5">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第二章第19.1款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1C59283">
            <w:pPr>
              <w:adjustRightInd w:val="0"/>
              <w:snapToGrid w:val="0"/>
              <w:spacing w:line="360" w:lineRule="auto"/>
              <w:ind w:left="-533" w:leftChars="-254" w:firstLine="533" w:firstLineChars="254"/>
              <w:rPr>
                <w:rFonts w:ascii="宋体" w:hAnsi="宋体" w:eastAsia="宋体" w:cs="宋体"/>
                <w:b w:val="0"/>
                <w:bCs w:val="0"/>
                <w:color w:val="auto"/>
                <w:szCs w:val="21"/>
              </w:rPr>
            </w:pPr>
            <w:r>
              <w:rPr>
                <w:rFonts w:hint="eastAsia" w:ascii="宋体" w:hAnsi="宋体"/>
                <w:b w:val="0"/>
                <w:bCs w:val="0"/>
                <w:color w:val="auto"/>
                <w:szCs w:val="21"/>
              </w:rPr>
              <w:t>保证金</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CF5FBEF">
            <w:pPr>
              <w:adjustRightInd w:val="0"/>
              <w:snapToGrid w:val="0"/>
              <w:spacing w:before="120" w:beforeLines="50" w:line="360" w:lineRule="auto"/>
              <w:rPr>
                <w:rFonts w:hint="eastAsia" w:ascii="宋体" w:hAnsi="宋体"/>
                <w:b w:val="0"/>
                <w:bCs w:val="0"/>
                <w:color w:val="auto"/>
                <w:szCs w:val="21"/>
              </w:rPr>
            </w:pPr>
            <w:r>
              <w:rPr>
                <w:rFonts w:hint="eastAsia" w:ascii="宋体" w:hAnsi="宋体"/>
                <w:b w:val="0"/>
                <w:bCs w:val="0"/>
                <w:color w:val="auto"/>
                <w:szCs w:val="21"/>
              </w:rPr>
              <w:sym w:font="Wingdings" w:char="00FE"/>
            </w:r>
            <w:r>
              <w:rPr>
                <w:rFonts w:hint="eastAsia" w:ascii="宋体" w:hAnsi="宋体"/>
                <w:b w:val="0"/>
                <w:bCs w:val="0"/>
                <w:color w:val="auto"/>
                <w:szCs w:val="21"/>
              </w:rPr>
              <w:t>不要求提供</w:t>
            </w:r>
          </w:p>
          <w:p w14:paraId="224CF326">
            <w:pPr>
              <w:pStyle w:val="3"/>
              <w:spacing w:line="360" w:lineRule="auto"/>
              <w:outlineLvl w:val="9"/>
              <w:rPr>
                <w:rFonts w:ascii="宋体" w:hAnsi="宋体" w:eastAsia="宋体" w:cs="宋体"/>
                <w:b w:val="0"/>
                <w:bCs w:val="0"/>
                <w:color w:val="auto"/>
                <w:szCs w:val="21"/>
              </w:rPr>
            </w:pPr>
            <w:bookmarkStart w:id="91" w:name="_Toc24843"/>
            <w:bookmarkStart w:id="92" w:name="_Toc18849"/>
            <w:bookmarkStart w:id="93" w:name="_Toc21267"/>
            <w:r>
              <w:rPr>
                <w:rFonts w:hint="eastAsia" w:ascii="宋体" w:hAnsi="宋体" w:cs="Times New Roman" w:eastAsiaTheme="minorEastAsia"/>
                <w:b w:val="0"/>
                <w:bCs w:val="0"/>
                <w:color w:val="auto"/>
                <w:kern w:val="1"/>
                <w:sz w:val="21"/>
                <w:szCs w:val="21"/>
                <w:lang w:val="en-US" w:eastAsia="zh-CN" w:bidi="ar-SA"/>
              </w:rPr>
              <w:t>□要求提供。</w:t>
            </w:r>
            <w:bookmarkEnd w:id="91"/>
            <w:bookmarkEnd w:id="92"/>
            <w:bookmarkEnd w:id="93"/>
          </w:p>
        </w:tc>
      </w:tr>
      <w:tr w14:paraId="450ABB1D">
        <w:tblPrEx>
          <w:tblCellMar>
            <w:top w:w="0" w:type="dxa"/>
            <w:left w:w="10" w:type="dxa"/>
            <w:bottom w:w="0" w:type="dxa"/>
            <w:right w:w="10" w:type="dxa"/>
          </w:tblCellMar>
        </w:tblPrEx>
        <w:trPr>
          <w:trHeight w:val="420"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0E3DFCB3">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第二章第20.1款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12A9B03">
            <w:pPr>
              <w:spacing w:line="360" w:lineRule="auto"/>
              <w:rPr>
                <w:rFonts w:ascii="宋体" w:hAnsi="宋体" w:eastAsia="宋体" w:cs="宋体"/>
                <w:bCs/>
                <w:color w:val="auto"/>
                <w:szCs w:val="21"/>
              </w:rPr>
            </w:pPr>
            <w:r>
              <w:rPr>
                <w:rFonts w:hint="eastAsia" w:ascii="宋体" w:hAnsi="宋体" w:eastAsia="宋体" w:cs="宋体"/>
                <w:bCs/>
                <w:color w:val="auto"/>
                <w:szCs w:val="21"/>
              </w:rPr>
              <w:t>响应文件有效期</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736E665">
            <w:pPr>
              <w:spacing w:line="360" w:lineRule="auto"/>
              <w:jc w:val="left"/>
              <w:rPr>
                <w:rFonts w:ascii="宋体" w:hAnsi="宋体" w:eastAsia="宋体" w:cs="宋体"/>
                <w:bCs/>
                <w:color w:val="auto"/>
                <w:szCs w:val="21"/>
              </w:rPr>
            </w:pPr>
            <w:r>
              <w:rPr>
                <w:rFonts w:hint="eastAsia" w:ascii="宋体" w:hAnsi="宋体" w:eastAsia="宋体" w:cs="宋体"/>
                <w:color w:val="auto"/>
                <w:szCs w:val="21"/>
              </w:rPr>
              <w:t>90日（日历日）</w:t>
            </w:r>
          </w:p>
        </w:tc>
      </w:tr>
      <w:tr w14:paraId="4BECE9CB">
        <w:tblPrEx>
          <w:tblCellMar>
            <w:top w:w="0" w:type="dxa"/>
            <w:left w:w="10" w:type="dxa"/>
            <w:bottom w:w="0" w:type="dxa"/>
            <w:right w:w="10" w:type="dxa"/>
          </w:tblCellMar>
        </w:tblPrEx>
        <w:trPr>
          <w:trHeight w:val="2487" w:hRule="atLeast"/>
          <w:jc w:val="center"/>
        </w:trPr>
        <w:tc>
          <w:tcPr>
            <w:tcW w:w="1846" w:type="dxa"/>
            <w:tcBorders>
              <w:top w:val="single" w:color="000000" w:sz="6" w:space="0"/>
              <w:left w:val="double" w:color="000000" w:sz="4" w:space="0"/>
              <w:right w:val="single" w:color="000000" w:sz="6" w:space="0"/>
            </w:tcBorders>
            <w:tcMar>
              <w:top w:w="0" w:type="dxa"/>
              <w:left w:w="108" w:type="dxa"/>
              <w:bottom w:w="0" w:type="dxa"/>
              <w:right w:w="108" w:type="dxa"/>
            </w:tcMar>
            <w:vAlign w:val="center"/>
          </w:tcPr>
          <w:p w14:paraId="02393DA7">
            <w:pPr>
              <w:spacing w:line="360" w:lineRule="auto"/>
              <w:jc w:val="center"/>
              <w:rPr>
                <w:rFonts w:ascii="宋体" w:hAnsi="宋体" w:eastAsia="宋体" w:cs="宋体"/>
                <w:color w:val="auto"/>
                <w:szCs w:val="21"/>
              </w:rPr>
            </w:pPr>
            <w:r>
              <w:rPr>
                <w:rFonts w:hint="eastAsia" w:ascii="宋体" w:hAnsi="宋体" w:eastAsia="宋体" w:cs="宋体"/>
                <w:color w:val="auto"/>
                <w:szCs w:val="21"/>
                <w:highlight w:val="none"/>
              </w:rPr>
              <w:t>第二章第21.1款</w:t>
            </w:r>
          </w:p>
        </w:tc>
        <w:tc>
          <w:tcPr>
            <w:tcW w:w="1970" w:type="dxa"/>
            <w:tcBorders>
              <w:top w:val="single" w:color="000000" w:sz="6" w:space="0"/>
              <w:left w:val="single" w:color="000000" w:sz="6" w:space="0"/>
              <w:right w:val="single" w:color="000000" w:sz="6" w:space="0"/>
            </w:tcBorders>
            <w:tcMar>
              <w:top w:w="0" w:type="dxa"/>
              <w:left w:w="108" w:type="dxa"/>
              <w:bottom w:w="0" w:type="dxa"/>
              <w:right w:w="108" w:type="dxa"/>
            </w:tcMar>
            <w:vAlign w:val="center"/>
          </w:tcPr>
          <w:p w14:paraId="18CC8F18">
            <w:pPr>
              <w:spacing w:line="360" w:lineRule="auto"/>
              <w:rPr>
                <w:rFonts w:ascii="宋体" w:hAnsi="宋体" w:eastAsia="宋体" w:cs="宋体"/>
                <w:color w:val="auto"/>
                <w:szCs w:val="21"/>
                <w:highlight w:val="none"/>
              </w:rPr>
            </w:pPr>
            <w:r>
              <w:rPr>
                <w:rFonts w:hint="eastAsia" w:ascii="宋体" w:hAnsi="宋体" w:eastAsia="宋体" w:cs="宋体"/>
                <w:bCs/>
                <w:color w:val="auto"/>
                <w:sz w:val="21"/>
                <w:szCs w:val="21"/>
                <w:highlight w:val="none"/>
              </w:rPr>
              <w:t>响应</w:t>
            </w:r>
            <w:r>
              <w:rPr>
                <w:rFonts w:hint="eastAsia" w:ascii="宋体" w:hAnsi="宋体" w:eastAsia="宋体" w:cs="宋体"/>
                <w:color w:val="auto"/>
                <w:sz w:val="21"/>
                <w:szCs w:val="21"/>
                <w:highlight w:val="none"/>
              </w:rPr>
              <w:t>文件份数</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78DE51CD">
            <w:pPr>
              <w:keepNext w:val="0"/>
              <w:keepLines w:val="0"/>
              <w:pageBreakBefore w:val="0"/>
              <w:kinsoku/>
              <w:overflowPunct/>
              <w:topLinePunct w:val="0"/>
              <w:bidi w:val="0"/>
              <w:adjustRightInd w:val="0"/>
              <w:snapToGrid w:val="0"/>
              <w:spacing w:line="360" w:lineRule="exact"/>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w:t>
            </w:r>
            <w:r>
              <w:rPr>
                <w:rFonts w:hint="eastAsia" w:ascii="宋体" w:hAnsi="宋体" w:eastAsia="宋体" w:cs="宋体"/>
                <w:b/>
                <w:bCs/>
                <w:color w:val="auto"/>
                <w:kern w:val="2"/>
                <w:sz w:val="22"/>
                <w:szCs w:val="22"/>
              </w:rPr>
              <w:t>正本</w:t>
            </w:r>
            <w:r>
              <w:rPr>
                <w:rFonts w:hint="eastAsia" w:ascii="宋体" w:hAnsi="宋体" w:eastAsia="宋体" w:cs="宋体"/>
                <w:b/>
                <w:bCs/>
                <w:color w:val="auto"/>
                <w:kern w:val="2"/>
                <w:sz w:val="22"/>
                <w:szCs w:val="22"/>
                <w:lang w:val="en-US" w:eastAsia="zh-CN"/>
              </w:rPr>
              <w:t>壹</w:t>
            </w:r>
            <w:r>
              <w:rPr>
                <w:rFonts w:hint="eastAsia" w:ascii="宋体" w:hAnsi="宋体" w:eastAsia="宋体" w:cs="宋体"/>
                <w:b/>
                <w:bCs/>
                <w:color w:val="auto"/>
                <w:kern w:val="2"/>
                <w:sz w:val="22"/>
                <w:szCs w:val="22"/>
              </w:rPr>
              <w:t>份，副本</w:t>
            </w:r>
            <w:r>
              <w:rPr>
                <w:rFonts w:hint="eastAsia" w:ascii="宋体" w:hAnsi="宋体" w:eastAsia="宋体" w:cs="宋体"/>
                <w:b/>
                <w:bCs/>
                <w:color w:val="auto"/>
                <w:kern w:val="2"/>
                <w:sz w:val="22"/>
                <w:szCs w:val="22"/>
                <w:lang w:val="en-US" w:eastAsia="zh-CN"/>
              </w:rPr>
              <w:t>贰</w:t>
            </w:r>
            <w:r>
              <w:rPr>
                <w:rFonts w:hint="eastAsia" w:ascii="宋体" w:hAnsi="宋体" w:eastAsia="宋体" w:cs="宋体"/>
                <w:b/>
                <w:bCs/>
                <w:color w:val="auto"/>
                <w:kern w:val="2"/>
                <w:sz w:val="22"/>
                <w:szCs w:val="22"/>
              </w:rPr>
              <w:t>份（正、副本单独密封）</w:t>
            </w:r>
            <w:r>
              <w:rPr>
                <w:rFonts w:hint="eastAsia" w:ascii="宋体" w:hAnsi="宋体" w:eastAsia="宋体" w:cs="宋体"/>
                <w:color w:val="auto"/>
                <w:kern w:val="2"/>
                <w:sz w:val="22"/>
                <w:szCs w:val="22"/>
              </w:rPr>
              <w:t>；</w:t>
            </w:r>
          </w:p>
          <w:p w14:paraId="2D958247">
            <w:pPr>
              <w:keepNext w:val="0"/>
              <w:keepLines w:val="0"/>
              <w:pageBreakBefore w:val="0"/>
              <w:widowControl w:val="0"/>
              <w:kinsoku/>
              <w:wordWrap w:val="0"/>
              <w:overflowPunct/>
              <w:topLinePunct w:val="0"/>
              <w:autoSpaceDE w:val="0"/>
              <w:autoSpaceDN w:val="0"/>
              <w:bidi w:val="0"/>
              <w:adjustRightInd w:val="0"/>
              <w:spacing w:line="360" w:lineRule="exact"/>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bidi="ar-SA"/>
              </w:rPr>
              <w:t>2、</w:t>
            </w:r>
            <w:r>
              <w:rPr>
                <w:rFonts w:hint="eastAsia" w:ascii="宋体" w:hAnsi="宋体" w:eastAsia="宋体" w:cs="宋体"/>
                <w:b/>
                <w:bCs/>
                <w:color w:val="auto"/>
                <w:sz w:val="22"/>
                <w:szCs w:val="22"/>
                <w:lang w:val="en-US" w:eastAsia="zh-CN" w:bidi="ar-SA"/>
              </w:rPr>
              <w:t>响应文件电子文档</w:t>
            </w:r>
            <w:r>
              <w:rPr>
                <w:rFonts w:hint="eastAsia" w:ascii="宋体" w:hAnsi="宋体" w:eastAsia="宋体" w:cs="宋体"/>
                <w:b/>
                <w:bCs/>
                <w:color w:val="auto"/>
                <w:kern w:val="2"/>
                <w:sz w:val="22"/>
                <w:szCs w:val="22"/>
                <w:lang w:val="en-US" w:eastAsia="zh-CN" w:bidi="ar-SA"/>
              </w:rPr>
              <w:t>一份</w:t>
            </w:r>
            <w:r>
              <w:rPr>
                <w:rFonts w:hint="eastAsia" w:ascii="宋体" w:hAnsi="宋体" w:eastAsia="宋体" w:cs="宋体"/>
                <w:b/>
                <w:bCs/>
                <w:color w:val="auto"/>
                <w:sz w:val="22"/>
                <w:szCs w:val="22"/>
                <w:lang w:val="en-US" w:eastAsia="zh-CN" w:bidi="ar-SA"/>
              </w:rPr>
              <w:t>（电子文档内容为签字盖章后的投标文件正本扫描件，格式为PDF，载体为U盘。需标注投标人名称）</w:t>
            </w:r>
            <w:r>
              <w:rPr>
                <w:rFonts w:hint="eastAsia" w:ascii="宋体" w:hAnsi="宋体" w:eastAsia="宋体" w:cs="宋体"/>
                <w:b/>
                <w:bCs/>
                <w:color w:val="auto"/>
                <w:kern w:val="2"/>
                <w:sz w:val="22"/>
                <w:szCs w:val="22"/>
                <w:lang w:val="en-US" w:eastAsia="zh-CN" w:bidi="ar-SA"/>
              </w:rPr>
              <w:t>。</w:t>
            </w:r>
            <w:r>
              <w:rPr>
                <w:rFonts w:hint="eastAsia" w:ascii="宋体" w:hAnsi="宋体" w:eastAsia="宋体" w:cs="宋体"/>
                <w:color w:val="auto"/>
                <w:kern w:val="2"/>
                <w:sz w:val="22"/>
                <w:szCs w:val="22"/>
                <w:lang w:val="en-US" w:eastAsia="zh-CN" w:bidi="ar-SA"/>
              </w:rPr>
              <w:t>密封装于单独信封中，附在正本的密封袋上。</w:t>
            </w:r>
          </w:p>
          <w:p w14:paraId="5A11E71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2"/>
                <w:sz w:val="22"/>
                <w:szCs w:val="22"/>
              </w:rPr>
              <w:t>3、投标响应文件按照组成顺序装订，不需要分册（如资料太多单册无法装订，也可分册）。要求采用胶装，装订应牢固、不易拆散和换页，不得采用活页装订，提倡双面打印。</w:t>
            </w:r>
          </w:p>
        </w:tc>
      </w:tr>
      <w:tr w14:paraId="3CDC3575">
        <w:tblPrEx>
          <w:tblCellMar>
            <w:top w:w="0" w:type="dxa"/>
            <w:left w:w="10" w:type="dxa"/>
            <w:bottom w:w="0" w:type="dxa"/>
            <w:right w:w="10" w:type="dxa"/>
          </w:tblCellMar>
        </w:tblPrEx>
        <w:trPr>
          <w:trHeight w:val="420" w:hRule="atLeast"/>
          <w:jc w:val="center"/>
        </w:trPr>
        <w:tc>
          <w:tcPr>
            <w:tcW w:w="9719" w:type="dxa"/>
            <w:gridSpan w:val="3"/>
            <w:tcBorders>
              <w:top w:val="single" w:color="000000" w:sz="6" w:space="0"/>
              <w:left w:val="double" w:color="000000" w:sz="4" w:space="0"/>
              <w:bottom w:val="single" w:color="000000" w:sz="6" w:space="0"/>
              <w:right w:val="double" w:color="000000" w:sz="4" w:space="0"/>
            </w:tcBorders>
            <w:tcMar>
              <w:top w:w="0" w:type="dxa"/>
              <w:left w:w="108" w:type="dxa"/>
              <w:bottom w:w="0" w:type="dxa"/>
              <w:right w:w="108" w:type="dxa"/>
            </w:tcMar>
            <w:vAlign w:val="center"/>
          </w:tcPr>
          <w:p w14:paraId="12FADF43">
            <w:pPr>
              <w:spacing w:line="360" w:lineRule="auto"/>
              <w:rPr>
                <w:rFonts w:ascii="宋体" w:hAnsi="宋体" w:eastAsia="宋体" w:cs="宋体"/>
                <w:b/>
                <w:bCs/>
                <w:color w:val="auto"/>
                <w:szCs w:val="21"/>
              </w:rPr>
            </w:pPr>
            <w:r>
              <w:rPr>
                <w:rFonts w:hint="eastAsia" w:ascii="宋体" w:hAnsi="宋体" w:eastAsia="宋体" w:cs="宋体"/>
                <w:b/>
                <w:color w:val="auto"/>
                <w:szCs w:val="21"/>
              </w:rPr>
              <w:t>四、响应文件的递交</w:t>
            </w:r>
          </w:p>
        </w:tc>
      </w:tr>
      <w:tr w14:paraId="4467E09E">
        <w:tblPrEx>
          <w:tblCellMar>
            <w:top w:w="0" w:type="dxa"/>
            <w:left w:w="10" w:type="dxa"/>
            <w:bottom w:w="0" w:type="dxa"/>
            <w:right w:w="10" w:type="dxa"/>
          </w:tblCellMar>
        </w:tblPrEx>
        <w:trPr>
          <w:trHeight w:val="2048"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3B0CE229">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第二章第22.2款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A5D7303">
            <w:pPr>
              <w:adjustRightInd w:val="0"/>
              <w:snapToGrid w:val="0"/>
              <w:spacing w:line="360" w:lineRule="auto"/>
              <w:rPr>
                <w:rFonts w:ascii="宋体" w:hAnsi="宋体" w:eastAsia="宋体" w:cs="宋体"/>
                <w:color w:val="auto"/>
                <w:szCs w:val="21"/>
              </w:rPr>
            </w:pPr>
            <w:r>
              <w:rPr>
                <w:rFonts w:hint="eastAsia" w:ascii="宋体" w:hAnsi="宋体"/>
                <w:color w:val="auto"/>
                <w:szCs w:val="21"/>
              </w:rPr>
              <w:t>封套上应载明的信息</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6037EF8D">
            <w:pPr>
              <w:spacing w:line="360" w:lineRule="auto"/>
              <w:rPr>
                <w:rFonts w:hint="eastAsia" w:ascii="宋体" w:hAnsi="宋体" w:eastAsia="宋体" w:cs="宋体"/>
                <w:color w:val="auto"/>
                <w:szCs w:val="21"/>
              </w:rPr>
            </w:pPr>
            <w:r>
              <w:rPr>
                <w:rFonts w:hint="eastAsia" w:ascii="宋体" w:hAnsi="宋体" w:eastAsia="宋体" w:cs="宋体"/>
                <w:color w:val="auto"/>
                <w:szCs w:val="21"/>
              </w:rPr>
              <w:t>项目名称：</w:t>
            </w:r>
          </w:p>
          <w:p w14:paraId="00F28916">
            <w:pPr>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采购计划编号：</w:t>
            </w:r>
          </w:p>
          <w:p w14:paraId="7144D395">
            <w:pPr>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采购项目编号：</w:t>
            </w:r>
          </w:p>
          <w:p w14:paraId="6A38BA6A">
            <w:pPr>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委托代理编号：</w:t>
            </w:r>
          </w:p>
          <w:p w14:paraId="35B3B49F">
            <w:pPr>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在</w:t>
            </w:r>
            <w:r>
              <w:rPr>
                <w:rFonts w:hint="eastAsia" w:ascii="宋体" w:hAnsi="宋体" w:eastAsia="宋体" w:cs="宋体"/>
                <w:color w:val="auto"/>
                <w:szCs w:val="21"/>
                <w:lang w:val="en-US" w:eastAsia="zh-CN"/>
              </w:rPr>
              <w:t>年</w:t>
            </w:r>
            <w:r>
              <w:rPr>
                <w:rFonts w:hint="eastAsia" w:ascii="宋体" w:hAnsi="宋体" w:eastAsia="宋体" w:cs="宋体"/>
                <w:color w:val="auto"/>
                <w:szCs w:val="21"/>
              </w:rPr>
              <w:t>月日(北京时间)之前不得启封</w:t>
            </w:r>
          </w:p>
          <w:p w14:paraId="5EEB9EAD">
            <w:pPr>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名称：</w:t>
            </w:r>
          </w:p>
        </w:tc>
      </w:tr>
      <w:tr w14:paraId="0A2E81E5">
        <w:tblPrEx>
          <w:tblCellMar>
            <w:top w:w="0" w:type="dxa"/>
            <w:left w:w="10" w:type="dxa"/>
            <w:bottom w:w="0" w:type="dxa"/>
            <w:right w:w="10" w:type="dxa"/>
          </w:tblCellMar>
        </w:tblPrEx>
        <w:trPr>
          <w:trHeight w:val="827"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62FD4100">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第二章第24.1款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25A71A7">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响应文件的递交地点</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30012A2E">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kern w:val="0"/>
                <w:sz w:val="21"/>
                <w:szCs w:val="21"/>
                <w:highlight w:val="none"/>
                <w:lang w:val="en-US" w:eastAsia="zh-CN" w:bidi="ar"/>
              </w:rPr>
              <w:t>衡山县疾病预防控制中心（衡山县卫生综合监督执法局）三楼会议室</w:t>
            </w:r>
          </w:p>
        </w:tc>
      </w:tr>
      <w:tr w14:paraId="0705F164">
        <w:tblPrEx>
          <w:tblCellMar>
            <w:top w:w="0" w:type="dxa"/>
            <w:left w:w="10" w:type="dxa"/>
            <w:bottom w:w="0" w:type="dxa"/>
            <w:right w:w="10" w:type="dxa"/>
          </w:tblCellMar>
        </w:tblPrEx>
        <w:trPr>
          <w:trHeight w:val="420" w:hRule="atLeast"/>
          <w:jc w:val="center"/>
        </w:trPr>
        <w:tc>
          <w:tcPr>
            <w:tcW w:w="9719" w:type="dxa"/>
            <w:gridSpan w:val="3"/>
            <w:tcBorders>
              <w:top w:val="single" w:color="000000" w:sz="6" w:space="0"/>
              <w:left w:val="double" w:color="000000" w:sz="4" w:space="0"/>
              <w:bottom w:val="single" w:color="000000" w:sz="6" w:space="0"/>
              <w:right w:val="double" w:color="000000" w:sz="4" w:space="0"/>
            </w:tcBorders>
            <w:tcMar>
              <w:top w:w="0" w:type="dxa"/>
              <w:left w:w="108" w:type="dxa"/>
              <w:bottom w:w="0" w:type="dxa"/>
              <w:right w:w="108" w:type="dxa"/>
            </w:tcMar>
            <w:vAlign w:val="center"/>
          </w:tcPr>
          <w:p w14:paraId="18E50B7C">
            <w:pPr>
              <w:spacing w:line="360" w:lineRule="auto"/>
              <w:rPr>
                <w:rFonts w:ascii="宋体" w:hAnsi="宋体" w:eastAsia="宋体" w:cs="宋体"/>
                <w:b/>
                <w:bCs/>
                <w:color w:val="auto"/>
                <w:szCs w:val="21"/>
              </w:rPr>
            </w:pPr>
            <w:r>
              <w:rPr>
                <w:rFonts w:hint="eastAsia" w:ascii="宋体" w:hAnsi="宋体" w:eastAsia="宋体" w:cs="宋体"/>
                <w:b/>
                <w:bCs/>
                <w:color w:val="auto"/>
                <w:szCs w:val="21"/>
              </w:rPr>
              <w:t>五、响应文件的磋商与评审</w:t>
            </w:r>
          </w:p>
        </w:tc>
      </w:tr>
      <w:tr w14:paraId="7DF4E7AC">
        <w:tblPrEx>
          <w:tblCellMar>
            <w:top w:w="0" w:type="dxa"/>
            <w:left w:w="10" w:type="dxa"/>
            <w:bottom w:w="0" w:type="dxa"/>
            <w:right w:w="10" w:type="dxa"/>
          </w:tblCellMar>
        </w:tblPrEx>
        <w:trPr>
          <w:trHeight w:val="420" w:hRule="atLeast"/>
          <w:jc w:val="center"/>
        </w:trPr>
        <w:tc>
          <w:tcPr>
            <w:tcW w:w="1846" w:type="dxa"/>
            <w:vMerge w:val="restart"/>
            <w:tcBorders>
              <w:top w:val="single" w:color="000000" w:sz="6" w:space="0"/>
              <w:left w:val="double" w:color="000000" w:sz="4" w:space="0"/>
              <w:right w:val="single" w:color="000000" w:sz="6" w:space="0"/>
            </w:tcBorders>
            <w:tcMar>
              <w:top w:w="0" w:type="dxa"/>
              <w:left w:w="108" w:type="dxa"/>
              <w:bottom w:w="0" w:type="dxa"/>
              <w:right w:w="108" w:type="dxa"/>
            </w:tcMar>
            <w:vAlign w:val="center"/>
          </w:tcPr>
          <w:p w14:paraId="5749EE4F">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w:t>
            </w:r>
            <w:r>
              <w:rPr>
                <w:rFonts w:hint="eastAsia" w:ascii="宋体" w:hAnsi="宋体" w:eastAsia="宋体" w:cs="宋体"/>
                <w:color w:val="auto"/>
                <w:szCs w:val="21"/>
                <w:lang w:val="en-US" w:eastAsia="zh-CN"/>
              </w:rPr>
              <w:t>30.1</w:t>
            </w:r>
            <w:r>
              <w:rPr>
                <w:rFonts w:hint="eastAsia" w:ascii="宋体" w:hAnsi="宋体" w:eastAsia="宋体" w:cs="宋体"/>
                <w:color w:val="auto"/>
                <w:szCs w:val="21"/>
              </w:rPr>
              <w:t>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7C1CF7B">
            <w:pPr>
              <w:spacing w:line="360" w:lineRule="auto"/>
              <w:rPr>
                <w:rFonts w:hint="eastAsia" w:ascii="宋体" w:hAnsi="宋体" w:eastAsia="宋体" w:cs="宋体"/>
                <w:color w:val="auto"/>
                <w:szCs w:val="21"/>
              </w:rPr>
            </w:pPr>
            <w:r>
              <w:rPr>
                <w:rFonts w:hint="eastAsia" w:ascii="宋体" w:hAnsi="宋体" w:eastAsia="宋体" w:cs="宋体"/>
                <w:color w:val="auto"/>
                <w:szCs w:val="21"/>
              </w:rPr>
              <w:t>评审因素和标准</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DC45542">
            <w:pPr>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见第三章磋商办法</w:t>
            </w:r>
          </w:p>
        </w:tc>
      </w:tr>
      <w:tr w14:paraId="7A340819">
        <w:tblPrEx>
          <w:tblCellMar>
            <w:top w:w="0" w:type="dxa"/>
            <w:left w:w="10" w:type="dxa"/>
            <w:bottom w:w="0" w:type="dxa"/>
            <w:right w:w="10" w:type="dxa"/>
          </w:tblCellMar>
        </w:tblPrEx>
        <w:trPr>
          <w:trHeight w:val="1234" w:hRule="atLeast"/>
          <w:jc w:val="center"/>
        </w:trPr>
        <w:tc>
          <w:tcPr>
            <w:tcW w:w="1846" w:type="dxa"/>
            <w:vMerge w:val="continue"/>
            <w:tcBorders>
              <w:left w:val="double" w:color="000000" w:sz="4" w:space="0"/>
              <w:bottom w:val="single" w:color="000000" w:sz="6" w:space="0"/>
              <w:right w:val="single" w:color="000000" w:sz="6" w:space="0"/>
            </w:tcBorders>
            <w:tcMar>
              <w:top w:w="0" w:type="dxa"/>
              <w:left w:w="108" w:type="dxa"/>
              <w:bottom w:w="0" w:type="dxa"/>
              <w:right w:w="108" w:type="dxa"/>
            </w:tcMar>
            <w:vAlign w:val="center"/>
          </w:tcPr>
          <w:p w14:paraId="39F8A065">
            <w:pPr>
              <w:spacing w:line="360" w:lineRule="auto"/>
              <w:jc w:val="center"/>
              <w:rPr>
                <w:rFonts w:hint="eastAsia" w:ascii="宋体" w:hAnsi="宋体" w:eastAsia="宋体" w:cs="宋体"/>
                <w:color w:val="auto"/>
                <w:szCs w:val="21"/>
              </w:rPr>
            </w:pP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927A0FE">
            <w:pPr>
              <w:spacing w:line="360" w:lineRule="auto"/>
              <w:rPr>
                <w:rFonts w:hint="eastAsia" w:ascii="宋体" w:hAnsi="宋体" w:eastAsia="宋体" w:cs="宋体"/>
                <w:color w:val="auto"/>
                <w:szCs w:val="21"/>
              </w:rPr>
            </w:pPr>
            <w:r>
              <w:rPr>
                <w:rFonts w:hint="eastAsia" w:ascii="宋体" w:hAnsi="宋体" w:eastAsia="宋体" w:cs="宋体"/>
                <w:color w:val="auto"/>
                <w:szCs w:val="21"/>
              </w:rPr>
              <w:t>评标方法</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641D6BC3">
            <w:pPr>
              <w:spacing w:line="360" w:lineRule="auto"/>
              <w:rPr>
                <w:rFonts w:hint="eastAsia" w:ascii="宋体" w:hAnsi="宋体" w:eastAsia="宋体" w:cs="宋体"/>
                <w:color w:val="auto"/>
                <w:szCs w:val="21"/>
              </w:rPr>
            </w:pPr>
            <w:r>
              <w:rPr>
                <w:rFonts w:hint="eastAsia" w:ascii="宋体" w:hAnsi="宋体" w:eastAsia="宋体" w:cs="宋体"/>
                <w:color w:val="auto"/>
                <w:szCs w:val="21"/>
              </w:rPr>
              <w:t>综合评分法，即投标文件能够最大限度满足竞争性磋商文件规定的各项综合评价标准且经评审得分最高的供应商为成交供应商的评标办法。</w:t>
            </w:r>
          </w:p>
        </w:tc>
      </w:tr>
      <w:tr w14:paraId="7845174C">
        <w:tblPrEx>
          <w:tblCellMar>
            <w:top w:w="0" w:type="dxa"/>
            <w:left w:w="10" w:type="dxa"/>
            <w:bottom w:w="0" w:type="dxa"/>
            <w:right w:w="10" w:type="dxa"/>
          </w:tblCellMar>
        </w:tblPrEx>
        <w:trPr>
          <w:trHeight w:val="1434"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78E9957C">
            <w:pPr>
              <w:adjustRightInd w:val="0"/>
              <w:snapToGrid w:val="0"/>
              <w:spacing w:line="360" w:lineRule="auto"/>
              <w:jc w:val="center"/>
              <w:rPr>
                <w:rFonts w:hint="eastAsia" w:ascii="宋体" w:hAnsi="宋体" w:eastAsia="宋体" w:cs="宋体"/>
                <w:color w:val="auto"/>
                <w:szCs w:val="21"/>
              </w:rPr>
            </w:pPr>
            <w:r>
              <w:rPr>
                <w:rFonts w:hint="eastAsia" w:ascii="宋体" w:hAnsi="宋体" w:cs="宋体"/>
                <w:color w:val="auto"/>
                <w:sz w:val="21"/>
                <w:szCs w:val="21"/>
              </w:rPr>
              <w:t>第二章第31.3款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C493153">
            <w:pPr>
              <w:adjustRightInd w:val="0"/>
              <w:snapToGrid w:val="0"/>
              <w:spacing w:line="360" w:lineRule="auto"/>
              <w:jc w:val="left"/>
              <w:rPr>
                <w:rFonts w:hint="eastAsia" w:ascii="宋体" w:hAnsi="宋体" w:eastAsia="宋体" w:cs="宋体"/>
                <w:color w:val="auto"/>
                <w:szCs w:val="21"/>
              </w:rPr>
            </w:pPr>
            <w:r>
              <w:rPr>
                <w:rFonts w:hint="eastAsia" w:ascii="宋体" w:hAnsi="宋体" w:cs="宋体"/>
                <w:color w:val="auto"/>
                <w:kern w:val="0"/>
                <w:sz w:val="21"/>
                <w:szCs w:val="21"/>
              </w:rPr>
              <w:t>最后报价</w:t>
            </w:r>
            <w:r>
              <w:rPr>
                <w:rFonts w:hint="eastAsia" w:ascii="宋体" w:hAnsi="宋体" w:cs="宋体"/>
                <w:color w:val="auto"/>
                <w:sz w:val="21"/>
                <w:szCs w:val="21"/>
              </w:rPr>
              <w:t>调整</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05929B83">
            <w:pPr>
              <w:adjustRightInd w:val="0"/>
              <w:snapToGrid w:val="0"/>
              <w:spacing w:line="360" w:lineRule="auto"/>
              <w:rPr>
                <w:rFonts w:hint="eastAsia" w:ascii="宋体" w:hAnsi="宋体" w:eastAsia="宋体" w:cs="宋体"/>
                <w:bCs/>
                <w:color w:val="auto"/>
                <w:szCs w:val="21"/>
              </w:rPr>
            </w:pPr>
            <w:r>
              <w:rPr>
                <w:rFonts w:hint="eastAsia" w:ascii="宋体" w:hAnsi="宋体" w:eastAsia="宋体" w:cs="宋体"/>
                <w:bCs/>
                <w:color w:val="auto"/>
                <w:kern w:val="0"/>
                <w:sz w:val="21"/>
                <w:szCs w:val="21"/>
              </w:rPr>
              <w:t>政府采购支持小企业发展</w:t>
            </w:r>
            <w:r>
              <w:rPr>
                <w:rFonts w:hint="eastAsia" w:ascii="宋体" w:hAnsi="宋体" w:eastAsia="宋体" w:cs="宋体"/>
                <w:color w:val="auto"/>
                <w:sz w:val="21"/>
                <w:szCs w:val="21"/>
              </w:rPr>
              <w:t>（货物类供应商和产品制造商应同时满足小微企业的条件）</w:t>
            </w:r>
            <w:r>
              <w:rPr>
                <w:rFonts w:hint="eastAsia" w:ascii="宋体" w:hAnsi="宋体" w:eastAsia="宋体" w:cs="宋体"/>
                <w:bCs/>
                <w:color w:val="auto"/>
                <w:kern w:val="0"/>
                <w:sz w:val="21"/>
                <w:szCs w:val="21"/>
              </w:rPr>
              <w:t>：</w:t>
            </w:r>
            <w:r>
              <w:rPr>
                <w:rFonts w:hint="eastAsia" w:ascii="宋体" w:hAnsi="宋体" w:eastAsia="宋体" w:cs="宋体"/>
                <w:color w:val="auto"/>
                <w:sz w:val="21"/>
                <w:szCs w:val="21"/>
                <w:highlight w:val="none"/>
              </w:rPr>
              <w:t>小型或微型企业，</w:t>
            </w:r>
            <w:r>
              <w:rPr>
                <w:rFonts w:hint="eastAsia" w:ascii="宋体" w:hAnsi="宋体" w:eastAsia="宋体" w:cs="宋体"/>
                <w:color w:val="auto"/>
                <w:kern w:val="0"/>
                <w:sz w:val="21"/>
                <w:szCs w:val="21"/>
                <w:highlight w:val="none"/>
              </w:rPr>
              <w:t>最后报价</w:t>
            </w:r>
            <w:r>
              <w:rPr>
                <w:rFonts w:hint="eastAsia" w:ascii="宋体" w:hAnsi="宋体" w:eastAsia="宋体" w:cs="宋体"/>
                <w:color w:val="auto"/>
                <w:sz w:val="21"/>
                <w:szCs w:val="21"/>
                <w:highlight w:val="none"/>
              </w:rPr>
              <w:t>扣除比例为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rPr>
              <w:t>；联合体参与磋商的，最后报价扣除比例为</w:t>
            </w:r>
            <w:r>
              <w:rPr>
                <w:rFonts w:hint="eastAsia" w:ascii="宋体" w:hAnsi="宋体" w:eastAsia="宋体" w:cs="宋体"/>
                <w:color w:val="auto"/>
                <w:sz w:val="21"/>
                <w:szCs w:val="21"/>
                <w:u w:val="single"/>
              </w:rPr>
              <w:t>/</w:t>
            </w:r>
            <w:r>
              <w:rPr>
                <w:rFonts w:hint="eastAsia" w:ascii="宋体" w:hAnsi="宋体" w:eastAsia="宋体" w:cs="宋体"/>
                <w:color w:val="auto"/>
                <w:sz w:val="21"/>
                <w:szCs w:val="21"/>
              </w:rPr>
              <w:t>%。评审时，用扣除后的最后报价计算价格分。</w:t>
            </w:r>
          </w:p>
        </w:tc>
      </w:tr>
      <w:tr w14:paraId="33A9E855">
        <w:tblPrEx>
          <w:tblCellMar>
            <w:top w:w="0" w:type="dxa"/>
            <w:left w:w="10" w:type="dxa"/>
            <w:bottom w:w="0" w:type="dxa"/>
            <w:right w:w="10" w:type="dxa"/>
          </w:tblCellMar>
        </w:tblPrEx>
        <w:trPr>
          <w:trHeight w:val="6762"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0B286F5E">
            <w:pPr>
              <w:adjustRightInd w:val="0"/>
              <w:snapToGrid w:val="0"/>
              <w:spacing w:line="360" w:lineRule="auto"/>
              <w:jc w:val="center"/>
              <w:rPr>
                <w:rFonts w:hint="eastAsia" w:ascii="宋体" w:hAnsi="宋体" w:eastAsia="宋体" w:cs="宋体"/>
                <w:color w:val="auto"/>
                <w:szCs w:val="21"/>
              </w:rPr>
            </w:pPr>
            <w:r>
              <w:rPr>
                <w:rFonts w:hint="eastAsia" w:ascii="宋体" w:hAnsi="宋体" w:cs="宋体"/>
                <w:color w:val="auto"/>
                <w:sz w:val="21"/>
                <w:szCs w:val="21"/>
              </w:rPr>
              <w:t>第二章第31.5款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0D6CE8E">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color w:val="auto"/>
                <w:sz w:val="21"/>
                <w:szCs w:val="21"/>
                <w:highlight w:val="none"/>
              </w:rPr>
              <w:t>技术、商务、价格</w:t>
            </w:r>
            <w:r>
              <w:rPr>
                <w:rFonts w:hint="eastAsia" w:ascii="宋体" w:hAnsi="宋体" w:cs="宋体"/>
                <w:color w:val="auto"/>
                <w:kern w:val="0"/>
                <w:sz w:val="21"/>
                <w:szCs w:val="21"/>
                <w:highlight w:val="none"/>
              </w:rPr>
              <w:t>得分或总得分</w:t>
            </w:r>
            <w:r>
              <w:rPr>
                <w:rFonts w:hint="eastAsia" w:ascii="宋体" w:hAnsi="宋体"/>
                <w:color w:val="auto"/>
                <w:sz w:val="21"/>
                <w:szCs w:val="21"/>
                <w:highlight w:val="none"/>
              </w:rPr>
              <w:t>调整</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05A496D">
            <w:pPr>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符合第二章第9</w:t>
            </w:r>
            <w:r>
              <w:rPr>
                <w:rFonts w:ascii="宋体" w:hAnsi="宋体"/>
                <w:color w:val="auto"/>
                <w:sz w:val="21"/>
                <w:szCs w:val="21"/>
                <w:highlight w:val="none"/>
              </w:rPr>
              <w:t>.</w:t>
            </w:r>
            <w:r>
              <w:rPr>
                <w:rFonts w:hint="eastAsia" w:ascii="宋体" w:hAnsi="宋体"/>
                <w:color w:val="auto"/>
                <w:sz w:val="21"/>
                <w:szCs w:val="21"/>
                <w:highlight w:val="none"/>
              </w:rPr>
              <w:t>1款规定，按第二章第31.6款规定及本款分值调整：</w:t>
            </w:r>
          </w:p>
          <w:p w14:paraId="04831932">
            <w:pPr>
              <w:numPr>
                <w:ilvl w:val="0"/>
                <w:numId w:val="2"/>
              </w:numPr>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节能产品：</w:t>
            </w:r>
          </w:p>
          <w:p w14:paraId="484D2FCE">
            <w:pPr>
              <w:adjustRightInd w:val="0"/>
              <w:snapToGrid w:val="0"/>
              <w:spacing w:line="360" w:lineRule="auto"/>
              <w:ind w:firstLine="105" w:firstLineChars="50"/>
              <w:rPr>
                <w:rFonts w:hint="eastAsia" w:ascii="宋体" w:hAnsi="宋体"/>
                <w:color w:val="auto"/>
                <w:sz w:val="21"/>
                <w:szCs w:val="21"/>
                <w:highlight w:val="none"/>
              </w:rPr>
            </w:pPr>
            <w:r>
              <w:rPr>
                <w:rFonts w:hint="eastAsia" w:ascii="宋体" w:hAnsi="宋体"/>
                <w:color w:val="auto"/>
                <w:sz w:val="21"/>
                <w:szCs w:val="21"/>
                <w:highlight w:val="none"/>
              </w:rPr>
              <w:t>技术加分＝技术分值×加分比例（比例见前附表第38.1项,下同）×（节能产品最后报价÷最后总报价）；</w:t>
            </w:r>
          </w:p>
          <w:p w14:paraId="3DA0CD6F">
            <w:pPr>
              <w:adjustRightInd w:val="0"/>
              <w:snapToGrid w:val="0"/>
              <w:spacing w:line="360" w:lineRule="auto"/>
              <w:ind w:left="315" w:leftChars="50" w:hanging="210" w:hangingChars="100"/>
              <w:rPr>
                <w:rFonts w:hint="eastAsia" w:ascii="宋体" w:hAnsi="宋体"/>
                <w:color w:val="auto"/>
                <w:sz w:val="21"/>
                <w:szCs w:val="21"/>
                <w:highlight w:val="none"/>
              </w:rPr>
            </w:pPr>
            <w:r>
              <w:rPr>
                <w:rFonts w:hint="eastAsia" w:ascii="宋体" w:hAnsi="宋体"/>
                <w:color w:val="auto"/>
                <w:sz w:val="21"/>
                <w:szCs w:val="21"/>
                <w:highlight w:val="none"/>
              </w:rPr>
              <w:t>价格加分＝价格分值×加分比例×（节能产品最后</w:t>
            </w:r>
          </w:p>
          <w:p w14:paraId="296B97CC">
            <w:pPr>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报价÷最后总报价）。</w:t>
            </w:r>
          </w:p>
          <w:p w14:paraId="3AFEF312">
            <w:pPr>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2、环境标志产品：</w:t>
            </w:r>
          </w:p>
          <w:p w14:paraId="43034511">
            <w:pPr>
              <w:adjustRightInd w:val="0"/>
              <w:snapToGrid w:val="0"/>
              <w:spacing w:line="360" w:lineRule="auto"/>
              <w:ind w:firstLine="105" w:firstLineChars="50"/>
              <w:rPr>
                <w:rFonts w:hint="eastAsia" w:ascii="宋体" w:hAnsi="宋体"/>
                <w:color w:val="auto"/>
                <w:sz w:val="21"/>
                <w:szCs w:val="21"/>
                <w:highlight w:val="none"/>
              </w:rPr>
            </w:pPr>
            <w:r>
              <w:rPr>
                <w:rFonts w:hint="eastAsia" w:ascii="宋体" w:hAnsi="宋体"/>
                <w:color w:val="auto"/>
                <w:sz w:val="21"/>
                <w:szCs w:val="21"/>
                <w:highlight w:val="none"/>
              </w:rPr>
              <w:t>技术加分＝技术分值×加分比例×（环境标志产品最后报价÷最后总报价）；</w:t>
            </w:r>
          </w:p>
          <w:p w14:paraId="7CE5C979">
            <w:pPr>
              <w:adjustRightInd w:val="0"/>
              <w:snapToGrid w:val="0"/>
              <w:spacing w:line="360" w:lineRule="auto"/>
              <w:ind w:left="315" w:leftChars="50" w:hanging="210" w:hangingChars="100"/>
              <w:rPr>
                <w:rFonts w:hint="eastAsia" w:ascii="宋体" w:hAnsi="宋体"/>
                <w:color w:val="auto"/>
                <w:sz w:val="21"/>
                <w:szCs w:val="21"/>
                <w:highlight w:val="none"/>
              </w:rPr>
            </w:pPr>
            <w:r>
              <w:rPr>
                <w:rFonts w:hint="eastAsia" w:ascii="宋体" w:hAnsi="宋体"/>
                <w:color w:val="auto"/>
                <w:sz w:val="21"/>
                <w:szCs w:val="21"/>
                <w:highlight w:val="none"/>
              </w:rPr>
              <w:t>价格加分＝价格分值×加分比例×（环境标志产品</w:t>
            </w:r>
          </w:p>
          <w:p w14:paraId="7A0D0651">
            <w:pPr>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最后报价÷最后总报价）。</w:t>
            </w:r>
          </w:p>
          <w:p w14:paraId="3FCEF228">
            <w:pPr>
              <w:adjustRightInd w:val="0"/>
              <w:snapToGrid w:val="0"/>
              <w:spacing w:line="360" w:lineRule="auto"/>
              <w:ind w:left="210" w:hanging="210" w:hangingChars="100"/>
              <w:rPr>
                <w:rFonts w:hint="eastAsia" w:ascii="宋体" w:hAnsi="宋体"/>
                <w:color w:val="auto"/>
                <w:sz w:val="21"/>
                <w:szCs w:val="21"/>
                <w:highlight w:val="none"/>
              </w:rPr>
            </w:pPr>
            <w:r>
              <w:rPr>
                <w:rFonts w:hint="eastAsia" w:ascii="宋体" w:hAnsi="宋体"/>
                <w:color w:val="auto"/>
                <w:sz w:val="21"/>
                <w:szCs w:val="21"/>
                <w:highlight w:val="none"/>
              </w:rPr>
              <w:t>3、两型产品：</w:t>
            </w:r>
          </w:p>
          <w:p w14:paraId="6CEC83AE">
            <w:pPr>
              <w:adjustRightInd w:val="0"/>
              <w:snapToGrid w:val="0"/>
              <w:spacing w:line="360" w:lineRule="auto"/>
              <w:ind w:firstLine="105" w:firstLineChars="50"/>
              <w:rPr>
                <w:rFonts w:hint="eastAsia" w:ascii="宋体" w:hAnsi="宋体"/>
                <w:color w:val="auto"/>
                <w:sz w:val="21"/>
                <w:szCs w:val="21"/>
                <w:highlight w:val="none"/>
              </w:rPr>
            </w:pPr>
            <w:r>
              <w:rPr>
                <w:rFonts w:hint="eastAsia" w:ascii="宋体" w:hAnsi="宋体"/>
                <w:color w:val="auto"/>
                <w:sz w:val="21"/>
                <w:szCs w:val="21"/>
                <w:highlight w:val="none"/>
              </w:rPr>
              <w:t>商务加分＝商务分值×加分比例×（两型产品最后报价÷最后总报价）；</w:t>
            </w:r>
          </w:p>
          <w:p w14:paraId="570EE61D">
            <w:pPr>
              <w:adjustRightInd w:val="0"/>
              <w:snapToGrid w:val="0"/>
              <w:spacing w:line="360" w:lineRule="auto"/>
              <w:ind w:firstLine="105" w:firstLineChars="50"/>
              <w:rPr>
                <w:rFonts w:hint="eastAsia" w:ascii="宋体" w:hAnsi="宋体"/>
                <w:color w:val="auto"/>
                <w:sz w:val="21"/>
                <w:szCs w:val="21"/>
                <w:highlight w:val="none"/>
              </w:rPr>
            </w:pPr>
            <w:r>
              <w:rPr>
                <w:rFonts w:hint="eastAsia" w:ascii="宋体" w:hAnsi="宋体"/>
                <w:color w:val="auto"/>
                <w:sz w:val="21"/>
                <w:szCs w:val="21"/>
                <w:highlight w:val="none"/>
              </w:rPr>
              <w:t>技术加分＝技术分值×加分比例×（两型产品最后报价÷最后总报价）；</w:t>
            </w:r>
          </w:p>
          <w:p w14:paraId="413577ED">
            <w:pPr>
              <w:adjustRightInd w:val="0"/>
              <w:snapToGrid w:val="0"/>
              <w:spacing w:line="360" w:lineRule="auto"/>
              <w:ind w:left="315" w:leftChars="50" w:hanging="210" w:hangingChars="100"/>
              <w:rPr>
                <w:rFonts w:hint="eastAsia" w:ascii="宋体" w:hAnsi="宋体"/>
                <w:color w:val="auto"/>
                <w:sz w:val="21"/>
                <w:szCs w:val="21"/>
                <w:highlight w:val="none"/>
              </w:rPr>
            </w:pPr>
            <w:r>
              <w:rPr>
                <w:rFonts w:hint="eastAsia" w:ascii="宋体" w:hAnsi="宋体"/>
                <w:color w:val="auto"/>
                <w:sz w:val="21"/>
                <w:szCs w:val="21"/>
                <w:highlight w:val="none"/>
              </w:rPr>
              <w:t>价格加分＝价格分值×加分比例×（两型产品最后</w:t>
            </w:r>
          </w:p>
          <w:p w14:paraId="3C9D0D2E">
            <w:pPr>
              <w:adjustRightInd w:val="0"/>
              <w:snapToGrid w:val="0"/>
              <w:spacing w:line="360" w:lineRule="auto"/>
              <w:rPr>
                <w:rFonts w:hint="eastAsia" w:ascii="宋体" w:hAnsi="宋体" w:eastAsia="宋体" w:cs="宋体"/>
                <w:bCs/>
                <w:color w:val="auto"/>
                <w:szCs w:val="21"/>
              </w:rPr>
            </w:pPr>
            <w:r>
              <w:rPr>
                <w:rFonts w:hint="eastAsia" w:ascii="宋体" w:hAnsi="宋体"/>
                <w:color w:val="auto"/>
                <w:sz w:val="21"/>
                <w:szCs w:val="21"/>
                <w:highlight w:val="none"/>
              </w:rPr>
              <w:t>报价÷最后总报价）。</w:t>
            </w:r>
          </w:p>
        </w:tc>
      </w:tr>
      <w:tr w14:paraId="3C14418D">
        <w:tblPrEx>
          <w:tblCellMar>
            <w:top w:w="0" w:type="dxa"/>
            <w:left w:w="10" w:type="dxa"/>
            <w:bottom w:w="0" w:type="dxa"/>
            <w:right w:w="10" w:type="dxa"/>
          </w:tblCellMar>
        </w:tblPrEx>
        <w:trPr>
          <w:trHeight w:val="724"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191127BC">
            <w:pPr>
              <w:adjustRightInd w:val="0"/>
              <w:snapToGrid w:val="0"/>
              <w:spacing w:line="360" w:lineRule="auto"/>
              <w:jc w:val="center"/>
              <w:rPr>
                <w:rFonts w:hint="eastAsia" w:ascii="宋体" w:hAnsi="宋体" w:eastAsia="宋体" w:cs="宋体"/>
                <w:color w:val="auto"/>
                <w:szCs w:val="21"/>
              </w:rPr>
            </w:pPr>
            <w:r>
              <w:rPr>
                <w:rFonts w:hint="eastAsia" w:ascii="宋体" w:hAnsi="宋体" w:cs="宋体"/>
                <w:color w:val="auto"/>
                <w:sz w:val="21"/>
                <w:szCs w:val="21"/>
              </w:rPr>
              <w:t>第二章第31.6款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E221E31">
            <w:pPr>
              <w:adjustRightInd w:val="0"/>
              <w:snapToGrid w:val="0"/>
              <w:spacing w:line="240" w:lineRule="auto"/>
              <w:jc w:val="center"/>
              <w:rPr>
                <w:rFonts w:hint="eastAsia" w:ascii="宋体" w:hAnsi="宋体" w:eastAsia="宋体" w:cs="宋体"/>
                <w:color w:val="auto"/>
                <w:szCs w:val="21"/>
              </w:rPr>
            </w:pPr>
            <w:r>
              <w:rPr>
                <w:rFonts w:hint="eastAsia" w:ascii="宋体" w:hAnsi="宋体" w:cs="宋体"/>
                <w:color w:val="auto"/>
                <w:sz w:val="21"/>
                <w:szCs w:val="21"/>
              </w:rPr>
              <w:t>多处或部分获得政府采购政策优惠的计算方法</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1C846BA6">
            <w:pPr>
              <w:adjustRightInd w:val="0"/>
              <w:snapToGrid w:val="0"/>
              <w:spacing w:line="240" w:lineRule="auto"/>
              <w:rPr>
                <w:rFonts w:hint="eastAsia" w:ascii="宋体" w:hAnsi="宋体" w:cs="宋体"/>
                <w:color w:val="auto"/>
                <w:sz w:val="21"/>
                <w:szCs w:val="21"/>
              </w:rPr>
            </w:pPr>
            <w:r>
              <w:rPr>
                <w:rFonts w:hint="eastAsia" w:ascii="宋体" w:hAnsi="宋体" w:cs="宋体"/>
                <w:color w:val="auto"/>
                <w:sz w:val="21"/>
                <w:szCs w:val="21"/>
              </w:rPr>
              <w:t>1、供应商享受支持小企业发展政策优惠的，可以与同时享受节能产品、环境标志产品、两型产品等产品优惠中的一项累加。</w:t>
            </w:r>
          </w:p>
          <w:p w14:paraId="7E5A1776">
            <w:pPr>
              <w:adjustRightInd w:val="0"/>
              <w:snapToGrid w:val="0"/>
              <w:spacing w:line="240" w:lineRule="auto"/>
              <w:rPr>
                <w:rFonts w:hint="eastAsia" w:ascii="宋体" w:hAnsi="宋体" w:eastAsia="宋体" w:cs="宋体"/>
                <w:bCs/>
                <w:color w:val="auto"/>
                <w:szCs w:val="21"/>
              </w:rPr>
            </w:pPr>
            <w:r>
              <w:rPr>
                <w:rFonts w:hint="eastAsia" w:ascii="宋体" w:hAnsi="宋体" w:cs="宋体"/>
                <w:color w:val="auto"/>
                <w:sz w:val="21"/>
                <w:szCs w:val="21"/>
              </w:rPr>
              <w:t>2、同一项目中部分产品属于优先采购政策的，评审时只对该部分产品的报价实行价格扣除或加分（按该部分产品的报价占总报价的百分比调整）。</w:t>
            </w:r>
          </w:p>
        </w:tc>
      </w:tr>
      <w:tr w14:paraId="39697BBE">
        <w:tblPrEx>
          <w:tblCellMar>
            <w:top w:w="0" w:type="dxa"/>
            <w:left w:w="10" w:type="dxa"/>
            <w:bottom w:w="0" w:type="dxa"/>
            <w:right w:w="10" w:type="dxa"/>
          </w:tblCellMar>
        </w:tblPrEx>
        <w:trPr>
          <w:trHeight w:val="476" w:hRule="atLeast"/>
          <w:jc w:val="center"/>
        </w:trPr>
        <w:tc>
          <w:tcPr>
            <w:tcW w:w="9719" w:type="dxa"/>
            <w:gridSpan w:val="3"/>
            <w:tcBorders>
              <w:top w:val="single" w:color="000000" w:sz="6" w:space="0"/>
              <w:left w:val="double" w:color="000000" w:sz="4" w:space="0"/>
              <w:bottom w:val="single" w:color="000000" w:sz="6" w:space="0"/>
              <w:right w:val="double" w:color="000000" w:sz="4" w:space="0"/>
            </w:tcBorders>
            <w:tcMar>
              <w:top w:w="0" w:type="dxa"/>
              <w:left w:w="108" w:type="dxa"/>
              <w:bottom w:w="0" w:type="dxa"/>
              <w:right w:w="108" w:type="dxa"/>
            </w:tcMar>
            <w:vAlign w:val="center"/>
          </w:tcPr>
          <w:p w14:paraId="2C90A003">
            <w:pPr>
              <w:spacing w:line="360" w:lineRule="auto"/>
              <w:rPr>
                <w:rFonts w:ascii="宋体" w:hAnsi="宋体" w:eastAsia="宋体" w:cs="宋体"/>
                <w:color w:val="auto"/>
                <w:szCs w:val="21"/>
              </w:rPr>
            </w:pPr>
            <w:r>
              <w:rPr>
                <w:rFonts w:hint="eastAsia" w:ascii="宋体" w:hAnsi="宋体" w:eastAsia="宋体" w:cs="宋体"/>
                <w:b/>
                <w:color w:val="auto"/>
                <w:szCs w:val="21"/>
              </w:rPr>
              <w:t>六、成交结果信息公布与授予合同</w:t>
            </w:r>
          </w:p>
        </w:tc>
      </w:tr>
      <w:tr w14:paraId="37CA0399">
        <w:tblPrEx>
          <w:tblCellMar>
            <w:top w:w="0" w:type="dxa"/>
            <w:left w:w="10" w:type="dxa"/>
            <w:bottom w:w="0" w:type="dxa"/>
            <w:right w:w="10" w:type="dxa"/>
          </w:tblCellMar>
        </w:tblPrEx>
        <w:trPr>
          <w:trHeight w:val="487"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7D78A96A">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第二章第37.1款、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FAF76EC">
            <w:pPr>
              <w:adjustRightInd w:val="0"/>
              <w:snapToGrid w:val="0"/>
              <w:spacing w:line="240" w:lineRule="auto"/>
              <w:rPr>
                <w:rFonts w:hint="eastAsia" w:ascii="宋体" w:hAnsi="宋体" w:cs="宋体"/>
                <w:color w:val="auto"/>
                <w:sz w:val="21"/>
                <w:szCs w:val="21"/>
              </w:rPr>
            </w:pPr>
            <w:r>
              <w:rPr>
                <w:rFonts w:hint="eastAsia" w:ascii="宋体" w:hAnsi="宋体" w:cs="宋体"/>
                <w:color w:val="auto"/>
                <w:sz w:val="21"/>
                <w:szCs w:val="21"/>
              </w:rPr>
              <w:t>财政部门指定的媒体</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732B1DFE">
            <w:pPr>
              <w:adjustRightInd w:val="0"/>
              <w:snapToGrid w:val="0"/>
              <w:spacing w:line="240" w:lineRule="auto"/>
              <w:rPr>
                <w:rFonts w:hint="eastAsia" w:ascii="宋体" w:hAnsi="宋体" w:cs="宋体"/>
                <w:color w:val="auto"/>
                <w:sz w:val="21"/>
                <w:szCs w:val="21"/>
                <w:lang w:eastAsia="zh-CN"/>
              </w:rPr>
            </w:pPr>
            <w:r>
              <w:rPr>
                <w:rFonts w:hint="eastAsia" w:ascii="宋体" w:hAnsi="宋体" w:cs="宋体"/>
                <w:color w:val="auto"/>
                <w:sz w:val="21"/>
                <w:szCs w:val="21"/>
              </w:rPr>
              <w:t>湖南省政府采购网</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http://www.ccgp-hunan.gov.cn/</w:t>
            </w:r>
          </w:p>
        </w:tc>
      </w:tr>
      <w:tr w14:paraId="1E1AB4B7">
        <w:tblPrEx>
          <w:tblCellMar>
            <w:top w:w="0" w:type="dxa"/>
            <w:left w:w="10" w:type="dxa"/>
            <w:bottom w:w="0" w:type="dxa"/>
            <w:right w:w="10" w:type="dxa"/>
          </w:tblCellMar>
        </w:tblPrEx>
        <w:trPr>
          <w:trHeight w:val="1920"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2D1D31C0">
            <w:pPr>
              <w:spacing w:line="360" w:lineRule="auto"/>
              <w:jc w:val="center"/>
              <w:rPr>
                <w:rFonts w:ascii="宋体" w:hAnsi="宋体" w:eastAsia="宋体" w:cs="宋体"/>
                <w:color w:val="auto"/>
                <w:szCs w:val="21"/>
              </w:rPr>
            </w:pPr>
            <w:r>
              <w:rPr>
                <w:rFonts w:hint="eastAsia" w:ascii="宋体" w:hAnsi="宋体" w:eastAsia="宋体" w:cs="宋体"/>
                <w:color w:val="auto"/>
                <w:szCs w:val="21"/>
              </w:rPr>
              <w:t>第二章第39.3款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D18F188">
            <w:pPr>
              <w:spacing w:line="240" w:lineRule="auto"/>
              <w:rPr>
                <w:rFonts w:ascii="宋体" w:hAnsi="宋体" w:eastAsia="宋体" w:cs="宋体"/>
                <w:color w:val="auto"/>
                <w:szCs w:val="21"/>
              </w:rPr>
            </w:pPr>
            <w:r>
              <w:rPr>
                <w:rFonts w:hint="eastAsia" w:ascii="宋体" w:hAnsi="宋体" w:eastAsia="宋体" w:cs="宋体"/>
                <w:color w:val="auto"/>
                <w:szCs w:val="21"/>
              </w:rPr>
              <w:t>履约担保</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47FFDF9D">
            <w:pPr>
              <w:spacing w:line="240" w:lineRule="auto"/>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rPr>
              <w:t>不要求提供</w:t>
            </w:r>
          </w:p>
          <w:p w14:paraId="43353EC5">
            <w:pPr>
              <w:adjustRightInd w:val="0"/>
              <w:snapToGrid w:val="0"/>
              <w:spacing w:line="320" w:lineRule="exac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zCs w:val="21"/>
                <w:lang w:eastAsia="zh-CN"/>
              </w:rPr>
              <w:t>□</w:t>
            </w:r>
            <w:r>
              <w:rPr>
                <w:rFonts w:hint="eastAsia" w:ascii="宋体" w:hAnsi="宋体" w:eastAsia="宋体" w:cs="宋体"/>
                <w:color w:val="auto"/>
                <w:kern w:val="2"/>
                <w:sz w:val="21"/>
                <w:szCs w:val="21"/>
              </w:rPr>
              <w:t>要求提供：</w:t>
            </w:r>
            <w:r>
              <w:rPr>
                <w:rFonts w:hint="eastAsia" w:ascii="宋体" w:hAnsi="宋体" w:eastAsia="宋体" w:cs="宋体"/>
                <w:color w:val="auto"/>
                <w:kern w:val="2"/>
                <w:sz w:val="21"/>
                <w:szCs w:val="21"/>
                <w:highlight w:val="none"/>
              </w:rPr>
              <w:t>履约保证金的形式：保函或现金、支票形式</w:t>
            </w:r>
            <w:r>
              <w:rPr>
                <w:rFonts w:hint="eastAsia" w:ascii="宋体" w:hAnsi="宋体" w:eastAsia="宋体" w:cs="宋体"/>
                <w:color w:val="auto"/>
                <w:kern w:val="2"/>
                <w:sz w:val="21"/>
                <w:szCs w:val="21"/>
                <w:highlight w:val="none"/>
                <w:lang w:eastAsia="zh-CN"/>
              </w:rPr>
              <w:t>。</w:t>
            </w:r>
          </w:p>
          <w:p w14:paraId="43DC52DF">
            <w:pPr>
              <w:spacing w:line="240" w:lineRule="auto"/>
              <w:rPr>
                <w:rFonts w:hint="eastAsia" w:ascii="宋体" w:hAnsi="宋体" w:eastAsia="宋体" w:cs="宋体"/>
                <w:color w:val="auto"/>
                <w:szCs w:val="21"/>
                <w:lang w:eastAsia="zh-CN"/>
              </w:rPr>
            </w:pPr>
            <w:r>
              <w:rPr>
                <w:rFonts w:hint="eastAsia" w:ascii="宋体" w:hAnsi="宋体" w:eastAsia="宋体" w:cs="宋体"/>
                <w:color w:val="auto"/>
                <w:kern w:val="2"/>
                <w:sz w:val="21"/>
                <w:szCs w:val="21"/>
                <w:highlight w:val="none"/>
              </w:rPr>
              <w:t>履约保证金的金额：在收到《成交通知书》</w:t>
            </w:r>
            <w:r>
              <w:rPr>
                <w:rFonts w:hint="eastAsia" w:ascii="宋体" w:hAnsi="宋体" w:eastAsia="宋体" w:cs="宋体"/>
                <w:color w:val="auto"/>
                <w:kern w:val="2"/>
                <w:sz w:val="21"/>
                <w:szCs w:val="21"/>
                <w:highlight w:val="none"/>
                <w:lang w:val="en-US" w:eastAsia="zh-CN"/>
              </w:rPr>
              <w:t>后</w:t>
            </w:r>
            <w:r>
              <w:rPr>
                <w:rFonts w:hint="eastAsia" w:ascii="宋体" w:hAnsi="宋体" w:eastAsia="宋体" w:cs="宋体"/>
                <w:color w:val="auto"/>
                <w:kern w:val="2"/>
                <w:sz w:val="21"/>
                <w:szCs w:val="21"/>
                <w:highlight w:val="none"/>
              </w:rPr>
              <w:t>、签订《政府采购合同》前，为确保项目保质、保量、如期地进行，成交供应商需向采购单位支付</w:t>
            </w:r>
            <w:r>
              <w:rPr>
                <w:rFonts w:hint="eastAsia" w:ascii="宋体" w:hAnsi="宋体" w:eastAsia="宋体" w:cs="宋体"/>
                <w:color w:val="auto"/>
                <w:kern w:val="2"/>
                <w:sz w:val="21"/>
                <w:szCs w:val="21"/>
                <w:highlight w:val="none"/>
                <w:lang w:val="en-US" w:eastAsia="zh-CN"/>
              </w:rPr>
              <w:t>成交</w:t>
            </w:r>
            <w:r>
              <w:rPr>
                <w:rFonts w:hint="eastAsia" w:ascii="宋体" w:hAnsi="宋体" w:eastAsia="宋体" w:cs="宋体"/>
                <w:color w:val="auto"/>
                <w:kern w:val="2"/>
                <w:sz w:val="21"/>
                <w:szCs w:val="21"/>
                <w:highlight w:val="none"/>
              </w:rPr>
              <w:t>金</w:t>
            </w:r>
            <w:r>
              <w:rPr>
                <w:rFonts w:hint="eastAsia" w:ascii="宋体" w:hAnsi="宋体" w:eastAsia="宋体" w:cs="宋体"/>
                <w:color w:val="auto"/>
                <w:kern w:val="2"/>
                <w:sz w:val="21"/>
                <w:szCs w:val="21"/>
                <w:highlight w:val="none"/>
                <w:u w:val="single"/>
                <w:lang w:val="en-US" w:eastAsia="zh-CN"/>
              </w:rPr>
              <w:t>/</w:t>
            </w:r>
            <w:r>
              <w:rPr>
                <w:rFonts w:hint="eastAsia" w:ascii="宋体" w:hAnsi="宋体" w:eastAsia="宋体" w:cs="宋体"/>
                <w:color w:val="auto"/>
                <w:kern w:val="2"/>
                <w:sz w:val="21"/>
                <w:szCs w:val="21"/>
                <w:highlight w:val="none"/>
              </w:rPr>
              <w:t>的履约保证金。</w:t>
            </w:r>
            <w:r>
              <w:rPr>
                <w:rFonts w:hint="eastAsia" w:ascii="宋体" w:hAnsi="宋体" w:eastAsia="宋体" w:cs="宋体"/>
                <w:color w:val="auto"/>
                <w:kern w:val="2"/>
                <w:sz w:val="21"/>
                <w:szCs w:val="21"/>
              </w:rPr>
              <w:t>在项目实施过程中,成交供应商无故单方面毁约或不履行合同内相关义务的,采购人将没收其履约保证金,成交供应商须无条件接受</w:t>
            </w:r>
            <w:r>
              <w:rPr>
                <w:rFonts w:hint="eastAsia" w:ascii="宋体" w:hAnsi="宋体" w:eastAsia="宋体" w:cs="宋体"/>
                <w:color w:val="auto"/>
                <w:kern w:val="2"/>
                <w:sz w:val="21"/>
                <w:szCs w:val="21"/>
                <w:lang w:val="en-US" w:eastAsia="zh-CN"/>
              </w:rPr>
              <w:t>。</w:t>
            </w:r>
          </w:p>
        </w:tc>
      </w:tr>
      <w:tr w14:paraId="218B3C4C">
        <w:tblPrEx>
          <w:tblCellMar>
            <w:top w:w="0" w:type="dxa"/>
            <w:left w:w="10" w:type="dxa"/>
            <w:bottom w:w="0" w:type="dxa"/>
            <w:right w:w="10" w:type="dxa"/>
          </w:tblCellMar>
        </w:tblPrEx>
        <w:trPr>
          <w:trHeight w:val="420" w:hRule="atLeast"/>
          <w:jc w:val="center"/>
        </w:trPr>
        <w:tc>
          <w:tcPr>
            <w:tcW w:w="9719" w:type="dxa"/>
            <w:gridSpan w:val="3"/>
            <w:tcBorders>
              <w:top w:val="single" w:color="000000" w:sz="6" w:space="0"/>
              <w:left w:val="double" w:color="000000" w:sz="4" w:space="0"/>
              <w:bottom w:val="single" w:color="000000" w:sz="6" w:space="0"/>
              <w:right w:val="double" w:color="000000" w:sz="4" w:space="0"/>
            </w:tcBorders>
            <w:tcMar>
              <w:top w:w="0" w:type="dxa"/>
              <w:left w:w="108" w:type="dxa"/>
              <w:bottom w:w="0" w:type="dxa"/>
              <w:right w:w="108" w:type="dxa"/>
            </w:tcMar>
            <w:vAlign w:val="center"/>
          </w:tcPr>
          <w:p w14:paraId="4501AB02">
            <w:pPr>
              <w:spacing w:line="360" w:lineRule="auto"/>
              <w:rPr>
                <w:rFonts w:ascii="宋体" w:hAnsi="宋体" w:eastAsia="宋体" w:cs="宋体"/>
                <w:b/>
                <w:color w:val="auto"/>
                <w:szCs w:val="21"/>
              </w:rPr>
            </w:pPr>
            <w:r>
              <w:rPr>
                <w:rFonts w:hint="eastAsia" w:ascii="宋体" w:hAnsi="宋体" w:eastAsia="宋体" w:cs="宋体"/>
                <w:b/>
                <w:color w:val="auto"/>
                <w:szCs w:val="21"/>
              </w:rPr>
              <w:t>七、其他规定</w:t>
            </w:r>
          </w:p>
        </w:tc>
      </w:tr>
      <w:tr w14:paraId="3C0CD75D">
        <w:tblPrEx>
          <w:tblCellMar>
            <w:top w:w="0" w:type="dxa"/>
            <w:left w:w="10" w:type="dxa"/>
            <w:bottom w:w="0" w:type="dxa"/>
            <w:right w:w="10" w:type="dxa"/>
          </w:tblCellMar>
        </w:tblPrEx>
        <w:trPr>
          <w:trHeight w:val="827"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67E310C4">
            <w:pPr>
              <w:spacing w:line="360" w:lineRule="auto"/>
              <w:jc w:val="center"/>
              <w:rPr>
                <w:rFonts w:ascii="宋体" w:hAnsi="宋体" w:eastAsia="宋体" w:cs="宋体"/>
                <w:color w:val="auto"/>
                <w:szCs w:val="21"/>
                <w:u w:val="none"/>
              </w:rPr>
            </w:pPr>
            <w:r>
              <w:rPr>
                <w:rFonts w:hint="eastAsia" w:ascii="宋体" w:hAnsi="宋体" w:eastAsia="宋体" w:cs="宋体"/>
                <w:color w:val="auto"/>
                <w:szCs w:val="21"/>
                <w:u w:val="none"/>
              </w:rPr>
              <w:t>第二章第41.1款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2DF626B">
            <w:pPr>
              <w:spacing w:line="360" w:lineRule="auto"/>
              <w:rPr>
                <w:rFonts w:ascii="宋体" w:hAnsi="宋体" w:eastAsia="宋体" w:cs="宋体"/>
                <w:color w:val="auto"/>
                <w:szCs w:val="21"/>
                <w:u w:val="none"/>
              </w:rPr>
            </w:pPr>
            <w:r>
              <w:rPr>
                <w:rFonts w:hint="eastAsia" w:ascii="宋体" w:hAnsi="宋体" w:eastAsia="宋体" w:cs="宋体"/>
                <w:color w:val="auto"/>
                <w:szCs w:val="21"/>
                <w:u w:val="none"/>
              </w:rPr>
              <w:t>采购代理服务费</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61309C43">
            <w:pPr>
              <w:spacing w:line="360" w:lineRule="auto"/>
              <w:rPr>
                <w:rFonts w:hint="eastAsia" w:ascii="宋体" w:hAnsi="宋体" w:eastAsia="宋体" w:cs="宋体"/>
                <w:bCs/>
                <w:color w:val="auto"/>
                <w:szCs w:val="21"/>
                <w:u w:val="none"/>
                <w:lang w:val="en-US" w:eastAsia="zh-CN"/>
              </w:rPr>
            </w:pPr>
            <w:r>
              <w:rPr>
                <w:rFonts w:hint="eastAsia" w:ascii="宋体" w:hAnsi="宋体" w:cs="宋体"/>
                <w:color w:val="auto"/>
                <w:szCs w:val="21"/>
              </w:rPr>
              <w:t>根据采购代理机构与采购人的协议，本项目采购代理服务费由采购人支付，采购代理服务费收费标准按</w:t>
            </w:r>
            <w:r>
              <w:rPr>
                <w:rFonts w:hint="eastAsia" w:ascii="宋体" w:hAnsi="宋体" w:cs="宋体"/>
                <w:color w:val="auto"/>
                <w:szCs w:val="21"/>
                <w:lang w:eastAsia="zh-CN"/>
              </w:rPr>
              <w:t>合同约定支付</w:t>
            </w:r>
            <w:r>
              <w:rPr>
                <w:rFonts w:hint="eastAsia" w:ascii="宋体" w:hAnsi="宋体" w:cs="宋体"/>
                <w:color w:val="auto"/>
                <w:szCs w:val="21"/>
              </w:rPr>
              <w:t>。</w:t>
            </w:r>
          </w:p>
        </w:tc>
      </w:tr>
      <w:tr w14:paraId="2B9AA46F">
        <w:tblPrEx>
          <w:tblCellMar>
            <w:top w:w="0" w:type="dxa"/>
            <w:left w:w="10" w:type="dxa"/>
            <w:bottom w:w="0" w:type="dxa"/>
            <w:right w:w="10" w:type="dxa"/>
          </w:tblCellMar>
        </w:tblPrEx>
        <w:trPr>
          <w:trHeight w:val="90" w:hRule="atLeast"/>
          <w:jc w:val="center"/>
        </w:trPr>
        <w:tc>
          <w:tcPr>
            <w:tcW w:w="1846"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540BF138">
            <w:pPr>
              <w:adjustRightInd w:val="0"/>
              <w:snapToGrid w:val="0"/>
              <w:spacing w:line="360" w:lineRule="auto"/>
              <w:jc w:val="center"/>
              <w:rPr>
                <w:rFonts w:hint="eastAsia" w:ascii="宋体" w:hAnsi="宋体" w:eastAsia="宋体" w:cs="宋体"/>
                <w:color w:val="auto"/>
                <w:szCs w:val="21"/>
                <w:u w:val="none"/>
              </w:rPr>
            </w:pPr>
            <w:r>
              <w:rPr>
                <w:rFonts w:hint="eastAsia" w:ascii="宋体" w:hAnsi="宋体"/>
                <w:color w:val="auto"/>
                <w:szCs w:val="21"/>
              </w:rPr>
              <w:t>第二章第42.</w:t>
            </w:r>
            <w:r>
              <w:rPr>
                <w:rFonts w:hint="eastAsia" w:ascii="宋体" w:hAnsi="宋体"/>
                <w:color w:val="auto"/>
                <w:szCs w:val="21"/>
                <w:lang w:val="en-US" w:eastAsia="zh-CN"/>
              </w:rPr>
              <w:t>1</w:t>
            </w:r>
            <w:r>
              <w:rPr>
                <w:rFonts w:hint="eastAsia" w:ascii="宋体" w:hAnsi="宋体"/>
                <w:color w:val="auto"/>
                <w:szCs w:val="21"/>
              </w:rPr>
              <w:t>款</w:t>
            </w: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6B61618">
            <w:pPr>
              <w:spacing w:line="360" w:lineRule="auto"/>
              <w:jc w:val="center"/>
              <w:rPr>
                <w:rFonts w:ascii="宋体" w:hAnsi="宋体" w:cs="宋体"/>
                <w:color w:val="auto"/>
              </w:rPr>
            </w:pPr>
            <w:r>
              <w:rPr>
                <w:rFonts w:hint="eastAsia" w:ascii="宋体" w:hAnsi="宋体" w:cs="宋体"/>
                <w:color w:val="auto"/>
              </w:rPr>
              <w:t>供应商</w:t>
            </w:r>
          </w:p>
          <w:p w14:paraId="78A60D09">
            <w:pPr>
              <w:spacing w:line="360" w:lineRule="auto"/>
              <w:jc w:val="center"/>
              <w:rPr>
                <w:rFonts w:hint="eastAsia" w:ascii="宋体" w:hAnsi="宋体" w:eastAsia="宋体" w:cs="宋体"/>
                <w:color w:val="auto"/>
                <w:szCs w:val="21"/>
                <w:u w:val="none"/>
              </w:rPr>
            </w:pPr>
            <w:r>
              <w:rPr>
                <w:rFonts w:hint="eastAsia" w:ascii="宋体" w:hAnsi="宋体" w:cs="宋体"/>
                <w:color w:val="auto"/>
              </w:rPr>
              <w:t>信用信息查询</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4DD9D022">
            <w:pPr>
              <w:spacing w:line="360" w:lineRule="auto"/>
              <w:rPr>
                <w:rFonts w:hint="eastAsia" w:ascii="宋体" w:hAnsi="宋体" w:cs="宋体"/>
                <w:color w:val="auto"/>
                <w:szCs w:val="21"/>
              </w:rPr>
            </w:pPr>
            <w:r>
              <w:rPr>
                <w:rFonts w:hint="eastAsia" w:ascii="宋体" w:hAnsi="宋体" w:cs="宋体"/>
                <w:color w:val="auto"/>
                <w:szCs w:val="21"/>
              </w:rPr>
              <w:t>根据《湖南省财政厅关于做好政府采购有关信用主体标识码登记及在政府采购活动中查询使用信用记录有关问题的通知》湘财购[2017]2号文要求，对列入失信被执行人、重大税收违法案件当事人名单、政府采购严重违法失信行为记录名单及其他不符合《中华人民共和国政府采购法》第二十二条规定条件的供应商，应当拒绝其参与政府采购活动。</w:t>
            </w:r>
          </w:p>
          <w:p w14:paraId="3D3A8302">
            <w:pPr>
              <w:spacing w:line="360" w:lineRule="auto"/>
              <w:rPr>
                <w:rFonts w:hint="eastAsia" w:ascii="宋体" w:hAnsi="宋体" w:cs="宋体"/>
                <w:color w:val="auto"/>
                <w:szCs w:val="21"/>
              </w:rPr>
            </w:pPr>
            <w:r>
              <w:rPr>
                <w:rFonts w:hint="eastAsia" w:ascii="宋体" w:hAnsi="宋体" w:cs="宋体"/>
                <w:color w:val="auto"/>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CEFB6AE">
            <w:pPr>
              <w:spacing w:line="360" w:lineRule="auto"/>
              <w:rPr>
                <w:rFonts w:hint="eastAsia"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信用信息查询的查询渠道：“信用中国”网站（www.creditchina.gov.cn）、中国政府采购网（www.ccgp.gov.cn）。</w:t>
            </w:r>
          </w:p>
          <w:p w14:paraId="30E2E949">
            <w:pPr>
              <w:spacing w:line="360" w:lineRule="auto"/>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信用信息查询的截止时点：至本项目首次响应文件的提交截止时间止。</w:t>
            </w:r>
          </w:p>
          <w:p w14:paraId="7431BA8C">
            <w:pPr>
              <w:spacing w:line="360" w:lineRule="auto"/>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信用信息查询记录的具体方式：由采购人或采购代理机构在规定的查询渠道进行查询。</w:t>
            </w:r>
          </w:p>
          <w:p w14:paraId="5E3788AC">
            <w:pPr>
              <w:spacing w:line="360" w:lineRule="auto"/>
              <w:rPr>
                <w:rFonts w:hint="eastAsia"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信用信息查询记录证据留存的具体方式：查询记录的网上打印件。</w:t>
            </w:r>
          </w:p>
          <w:p w14:paraId="605C01EC">
            <w:pPr>
              <w:spacing w:line="360" w:lineRule="auto"/>
              <w:rPr>
                <w:rFonts w:hint="eastAsia" w:ascii="宋体" w:hAnsi="宋体" w:eastAsia="宋体" w:cs="宋体"/>
                <w:color w:val="auto"/>
                <w:szCs w:val="21"/>
                <w:u w:val="none"/>
              </w:rPr>
            </w:pPr>
            <w:r>
              <w:rPr>
                <w:rFonts w:hint="eastAsia" w:ascii="宋体" w:hAnsi="宋体" w:cs="宋体"/>
                <w:color w:val="auto"/>
                <w:szCs w:val="21"/>
                <w:lang w:val="en-US" w:eastAsia="zh-CN"/>
              </w:rPr>
              <w:t>5.</w:t>
            </w:r>
            <w:r>
              <w:rPr>
                <w:rFonts w:hint="eastAsia" w:ascii="宋体" w:hAnsi="宋体" w:cs="宋体"/>
                <w:color w:val="auto"/>
                <w:szCs w:val="21"/>
              </w:rPr>
              <w:t>信用信息的使用规则：留存备查。</w:t>
            </w:r>
          </w:p>
        </w:tc>
      </w:tr>
      <w:tr w14:paraId="646C41EF">
        <w:tblPrEx>
          <w:tblCellMar>
            <w:top w:w="0" w:type="dxa"/>
            <w:left w:w="10" w:type="dxa"/>
            <w:bottom w:w="0" w:type="dxa"/>
            <w:right w:w="10" w:type="dxa"/>
          </w:tblCellMar>
        </w:tblPrEx>
        <w:trPr>
          <w:trHeight w:val="4083" w:hRule="atLeast"/>
          <w:jc w:val="center"/>
        </w:trPr>
        <w:tc>
          <w:tcPr>
            <w:tcW w:w="1846" w:type="dxa"/>
            <w:vMerge w:val="restart"/>
            <w:tcBorders>
              <w:top w:val="single" w:color="000000" w:sz="6" w:space="0"/>
              <w:left w:val="double" w:color="000000" w:sz="4" w:space="0"/>
              <w:right w:val="single" w:color="000000" w:sz="6" w:space="0"/>
            </w:tcBorders>
            <w:tcMar>
              <w:top w:w="0" w:type="dxa"/>
              <w:left w:w="108" w:type="dxa"/>
              <w:bottom w:w="0" w:type="dxa"/>
              <w:right w:w="108" w:type="dxa"/>
            </w:tcMar>
            <w:vAlign w:val="center"/>
          </w:tcPr>
          <w:p w14:paraId="2CBBDBD7">
            <w:pPr>
              <w:adjustRightInd w:val="0"/>
              <w:snapToGrid w:val="0"/>
              <w:spacing w:line="360" w:lineRule="auto"/>
              <w:jc w:val="center"/>
              <w:rPr>
                <w:rFonts w:hint="default" w:ascii="宋体" w:hAnsi="宋体"/>
                <w:color w:val="auto"/>
                <w:szCs w:val="21"/>
                <w:lang w:val="en-US" w:eastAsia="zh-CN"/>
              </w:rPr>
            </w:pPr>
            <w:r>
              <w:rPr>
                <w:rFonts w:hint="eastAsia" w:ascii="宋体" w:hAnsi="宋体"/>
                <w:color w:val="auto"/>
                <w:szCs w:val="21"/>
              </w:rPr>
              <w:t>第二章第</w:t>
            </w:r>
            <w:r>
              <w:rPr>
                <w:rFonts w:hint="eastAsia" w:ascii="宋体" w:hAnsi="宋体"/>
                <w:color w:val="auto"/>
                <w:szCs w:val="21"/>
                <w:lang w:val="en-US" w:eastAsia="zh-CN"/>
              </w:rPr>
              <w:t>42.2款</w:t>
            </w:r>
          </w:p>
          <w:p w14:paraId="1FFB2DD9">
            <w:pPr>
              <w:adjustRightInd w:val="0"/>
              <w:snapToGrid w:val="0"/>
              <w:spacing w:line="360" w:lineRule="auto"/>
              <w:jc w:val="center"/>
              <w:rPr>
                <w:rFonts w:hint="default" w:ascii="宋体" w:hAnsi="宋体"/>
                <w:color w:val="auto"/>
                <w:szCs w:val="21"/>
                <w:lang w:val="en-US" w:eastAsia="zh-CN"/>
              </w:rPr>
            </w:pP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0D927AA">
            <w:pPr>
              <w:spacing w:line="360" w:lineRule="auto"/>
              <w:jc w:val="center"/>
              <w:rPr>
                <w:rFonts w:hint="eastAsia" w:ascii="宋体" w:hAnsi="宋体" w:cs="宋体"/>
                <w:color w:val="auto"/>
              </w:rPr>
            </w:pPr>
            <w:r>
              <w:rPr>
                <w:color w:val="auto"/>
                <w:spacing w:val="1"/>
                <w:sz w:val="21"/>
                <w:szCs w:val="21"/>
              </w:rPr>
              <w:t>关于多家代理商参</w:t>
            </w:r>
            <w:r>
              <w:rPr>
                <w:color w:val="auto"/>
                <w:spacing w:val="2"/>
                <w:sz w:val="21"/>
                <w:szCs w:val="21"/>
              </w:rPr>
              <w:t>加核心产品同一品</w:t>
            </w:r>
            <w:r>
              <w:rPr>
                <w:color w:val="auto"/>
                <w:spacing w:val="1"/>
                <w:sz w:val="21"/>
                <w:szCs w:val="21"/>
              </w:rPr>
              <w:t>牌产品响应的规定</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FC61488">
            <w:pPr>
              <w:spacing w:line="360" w:lineRule="auto"/>
              <w:rPr>
                <w:rFonts w:hint="eastAsia" w:ascii="宋体" w:hAnsi="宋体" w:cs="宋体"/>
                <w:color w:val="auto"/>
                <w:szCs w:val="21"/>
                <w:lang w:val="en-US" w:eastAsia="en-US"/>
              </w:rPr>
            </w:pPr>
            <w:r>
              <w:rPr>
                <w:rFonts w:hint="eastAsia" w:ascii="宋体" w:hAnsi="宋体" w:cs="宋体"/>
                <w:color w:val="auto"/>
                <w:szCs w:val="21"/>
                <w:lang w:val="en-US" w:eastAsia="en-US"/>
              </w:rPr>
              <w:t>1、提供相同品牌产品且通过资格审查、符合性审查的不同供应商参加同一合同项下响应的，按一家供应商计算，评审后得分最高的同品牌供应商获得成交供应商推荐资格；评审得分相同的，由采购人或者采购人委托磋商小组</w:t>
            </w:r>
          </w:p>
          <w:p w14:paraId="254E4A43">
            <w:pPr>
              <w:spacing w:line="360" w:lineRule="auto"/>
              <w:rPr>
                <w:rFonts w:hint="eastAsia" w:ascii="宋体" w:hAnsi="宋体" w:cs="宋体"/>
                <w:color w:val="auto"/>
                <w:szCs w:val="21"/>
                <w:lang w:val="en-US" w:eastAsia="en-US"/>
              </w:rPr>
            </w:pPr>
            <w:r>
              <w:rPr>
                <w:rFonts w:hint="eastAsia" w:ascii="宋体" w:hAnsi="宋体" w:cs="宋体"/>
                <w:color w:val="auto"/>
                <w:szCs w:val="21"/>
                <w:lang w:val="en-US" w:eastAsia="en-US"/>
              </w:rPr>
              <w:t>按照磋商文件规定的方式确定一个供应商获得成交供应商推荐资格，磋商文件未规定的采取随机抽取方式确定，其他同品牌供应商不作为成交候选人。</w:t>
            </w:r>
          </w:p>
          <w:p w14:paraId="78D0C969">
            <w:pPr>
              <w:spacing w:line="360" w:lineRule="auto"/>
              <w:rPr>
                <w:rFonts w:hint="eastAsia" w:ascii="宋体" w:hAnsi="宋体" w:cs="宋体"/>
                <w:color w:val="auto"/>
                <w:szCs w:val="21"/>
                <w:lang w:val="en-US" w:eastAsia="en-US"/>
              </w:rPr>
            </w:pPr>
            <w:r>
              <w:rPr>
                <w:rFonts w:hint="eastAsia" w:ascii="宋体" w:hAnsi="宋体" w:cs="宋体"/>
                <w:color w:val="auto"/>
                <w:szCs w:val="21"/>
                <w:lang w:val="en-US" w:eastAsia="en-US"/>
              </w:rPr>
              <w:t>2、非单一产品采购项目中，多家供应商提供的磋商文件载明的核心产品品牌相同的，按前款规定处理。</w:t>
            </w:r>
          </w:p>
          <w:p w14:paraId="5714D0F3">
            <w:pPr>
              <w:spacing w:line="360" w:lineRule="auto"/>
              <w:rPr>
                <w:rFonts w:hint="eastAsia" w:ascii="宋体" w:hAnsi="宋体" w:cs="宋体"/>
                <w:color w:val="auto"/>
              </w:rPr>
            </w:pPr>
            <w:r>
              <w:rPr>
                <w:rFonts w:hint="eastAsia" w:ascii="宋体" w:hAnsi="宋体" w:cs="宋体"/>
                <w:color w:val="auto"/>
                <w:szCs w:val="21"/>
                <w:lang w:val="en-US" w:eastAsia="en-US"/>
              </w:rPr>
              <w:t>3、本项目核心产品为：</w:t>
            </w:r>
            <w:r>
              <w:rPr>
                <w:rFonts w:hint="eastAsia" w:ascii="宋体" w:hAnsi="宋体" w:cs="宋体"/>
                <w:color w:val="auto"/>
                <w:szCs w:val="21"/>
                <w:lang w:val="en-US" w:eastAsia="zh-CN"/>
              </w:rPr>
              <w:t>全自动高锰酸盐指数分析仪、低本底αβ测量仪</w:t>
            </w:r>
            <w:r>
              <w:rPr>
                <w:rFonts w:hint="eastAsia" w:ascii="宋体" w:hAnsi="宋体" w:cs="宋体"/>
                <w:color w:val="auto"/>
                <w:szCs w:val="21"/>
                <w:lang w:val="en-US" w:eastAsia="en-US"/>
              </w:rPr>
              <w:t>。</w:t>
            </w:r>
          </w:p>
        </w:tc>
      </w:tr>
      <w:tr w14:paraId="11888F27">
        <w:tblPrEx>
          <w:tblCellMar>
            <w:top w:w="0" w:type="dxa"/>
            <w:left w:w="10" w:type="dxa"/>
            <w:bottom w:w="0" w:type="dxa"/>
            <w:right w:w="10" w:type="dxa"/>
          </w:tblCellMar>
        </w:tblPrEx>
        <w:trPr>
          <w:trHeight w:val="636" w:hRule="atLeast"/>
          <w:jc w:val="center"/>
        </w:trPr>
        <w:tc>
          <w:tcPr>
            <w:tcW w:w="1846" w:type="dxa"/>
            <w:vMerge w:val="continue"/>
            <w:tcBorders>
              <w:left w:val="double" w:color="000000" w:sz="4" w:space="0"/>
              <w:bottom w:val="single" w:color="000000" w:sz="6" w:space="0"/>
              <w:right w:val="single" w:color="000000" w:sz="6" w:space="0"/>
            </w:tcBorders>
            <w:tcMar>
              <w:top w:w="0" w:type="dxa"/>
              <w:left w:w="108" w:type="dxa"/>
              <w:bottom w:w="0" w:type="dxa"/>
              <w:right w:w="108" w:type="dxa"/>
            </w:tcMar>
            <w:vAlign w:val="center"/>
          </w:tcPr>
          <w:p w14:paraId="1EE24BE2">
            <w:pPr>
              <w:adjustRightInd w:val="0"/>
              <w:snapToGrid w:val="0"/>
              <w:spacing w:line="360" w:lineRule="auto"/>
              <w:jc w:val="center"/>
              <w:rPr>
                <w:rFonts w:hint="default" w:ascii="宋体" w:hAnsi="宋体"/>
                <w:color w:val="auto"/>
                <w:szCs w:val="21"/>
                <w:lang w:val="en-US" w:eastAsia="zh-CN"/>
              </w:rPr>
            </w:pPr>
          </w:p>
        </w:tc>
        <w:tc>
          <w:tcPr>
            <w:tcW w:w="197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ADA771C">
            <w:pPr>
              <w:spacing w:line="360" w:lineRule="auto"/>
              <w:jc w:val="center"/>
              <w:rPr>
                <w:color w:val="auto"/>
                <w:spacing w:val="2"/>
                <w:sz w:val="21"/>
                <w:szCs w:val="21"/>
              </w:rPr>
            </w:pPr>
            <w:r>
              <w:rPr>
                <w:rFonts w:hint="eastAsia"/>
                <w:color w:val="auto"/>
                <w:spacing w:val="2"/>
                <w:sz w:val="21"/>
                <w:szCs w:val="21"/>
              </w:rPr>
              <w:t>其他规定</w:t>
            </w:r>
          </w:p>
        </w:tc>
        <w:tc>
          <w:tcPr>
            <w:tcW w:w="590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05176EE5">
            <w:pPr>
              <w:spacing w:line="360" w:lineRule="auto"/>
              <w:jc w:val="left"/>
              <w:rPr>
                <w:color w:val="auto"/>
                <w:spacing w:val="2"/>
                <w:sz w:val="21"/>
                <w:szCs w:val="21"/>
                <w:lang w:val="en-US" w:eastAsia="en-US"/>
              </w:rPr>
            </w:pPr>
            <w:r>
              <w:rPr>
                <w:color w:val="auto"/>
                <w:spacing w:val="2"/>
                <w:sz w:val="21"/>
                <w:szCs w:val="21"/>
                <w:lang w:val="en-US" w:eastAsia="en-US"/>
              </w:rPr>
              <w:t>注：根据财政部关于推动解决政府采购异常低价问题的通知（财库【2026】2号），政府采购评审中出现下列情形之一的，评审委员会应当启动异常低价投标（响应）审查程序：</w:t>
            </w:r>
          </w:p>
          <w:p w14:paraId="6074A73D">
            <w:pPr>
              <w:spacing w:line="360" w:lineRule="auto"/>
              <w:jc w:val="left"/>
              <w:rPr>
                <w:rFonts w:hint="eastAsia"/>
                <w:color w:val="auto"/>
                <w:spacing w:val="2"/>
                <w:sz w:val="21"/>
                <w:szCs w:val="21"/>
                <w:lang w:val="en-US" w:eastAsia="en-US"/>
              </w:rPr>
            </w:pPr>
            <w:r>
              <w:rPr>
                <w:rFonts w:hint="eastAsia"/>
                <w:color w:val="auto"/>
                <w:spacing w:val="2"/>
                <w:sz w:val="21"/>
                <w:szCs w:val="21"/>
                <w:lang w:val="en-US" w:eastAsia="en-US"/>
              </w:rPr>
              <w:t>（一）采购人应当在采购文件中明确，政府采购评审中出现下列情形之一的，评审委员会应当启动异常低价投标（响应）审查程序：</w:t>
            </w:r>
          </w:p>
          <w:p w14:paraId="40D587F7">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1.投标（响应）报价低于全部通过符合性审查供应商投标（响应）报价平均值</w:t>
            </w:r>
            <w:r>
              <w:rPr>
                <w:rFonts w:hint="eastAsia"/>
                <w:color w:val="auto"/>
                <w:spacing w:val="2"/>
                <w:sz w:val="21"/>
                <w:szCs w:val="21"/>
                <w:lang w:val="en-US" w:eastAsia="zh-CN"/>
              </w:rPr>
              <w:t>65</w:t>
            </w:r>
            <w:r>
              <w:rPr>
                <w:rFonts w:hint="eastAsia"/>
                <w:color w:val="auto"/>
                <w:spacing w:val="2"/>
                <w:sz w:val="21"/>
                <w:szCs w:val="21"/>
                <w:lang w:val="en-US" w:eastAsia="en-US"/>
              </w:rPr>
              <w:t>%的，即投标（响应）报价&lt;全部通过符合性审查供应商投标（响应）报价平均值×</w:t>
            </w:r>
            <w:r>
              <w:rPr>
                <w:rFonts w:hint="eastAsia"/>
                <w:color w:val="auto"/>
                <w:spacing w:val="2"/>
                <w:sz w:val="21"/>
                <w:szCs w:val="21"/>
                <w:lang w:val="en-US" w:eastAsia="zh-CN"/>
              </w:rPr>
              <w:t>65</w:t>
            </w:r>
            <w:r>
              <w:rPr>
                <w:rFonts w:hint="eastAsia"/>
                <w:color w:val="auto"/>
                <w:spacing w:val="2"/>
                <w:sz w:val="21"/>
                <w:szCs w:val="21"/>
                <w:lang w:val="en-US" w:eastAsia="en-US"/>
              </w:rPr>
              <w:t>%；</w:t>
            </w:r>
          </w:p>
          <w:p w14:paraId="397ECF93">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2.投标（响应）报价低于通过符合性审查的次低报价供应商投标（响应）报价</w:t>
            </w:r>
            <w:r>
              <w:rPr>
                <w:rFonts w:hint="eastAsia"/>
                <w:color w:val="auto"/>
                <w:spacing w:val="2"/>
                <w:sz w:val="21"/>
                <w:szCs w:val="21"/>
                <w:lang w:val="en-US" w:eastAsia="zh-CN"/>
              </w:rPr>
              <w:t>65</w:t>
            </w:r>
            <w:r>
              <w:rPr>
                <w:rFonts w:hint="eastAsia"/>
                <w:color w:val="auto"/>
                <w:spacing w:val="2"/>
                <w:sz w:val="21"/>
                <w:szCs w:val="21"/>
                <w:lang w:val="en-US" w:eastAsia="en-US"/>
              </w:rPr>
              <w:t>%的，即投标（响应）报价&lt;通过符合性审查的次低报价供应商投标（响应）报价×</w:t>
            </w:r>
            <w:r>
              <w:rPr>
                <w:rFonts w:hint="eastAsia"/>
                <w:color w:val="auto"/>
                <w:spacing w:val="2"/>
                <w:sz w:val="21"/>
                <w:szCs w:val="21"/>
                <w:lang w:val="en-US" w:eastAsia="zh-CN"/>
              </w:rPr>
              <w:t>65</w:t>
            </w:r>
            <w:r>
              <w:rPr>
                <w:rFonts w:hint="eastAsia"/>
                <w:color w:val="auto"/>
                <w:spacing w:val="2"/>
                <w:sz w:val="21"/>
                <w:szCs w:val="21"/>
                <w:lang w:val="en-US" w:eastAsia="en-US"/>
              </w:rPr>
              <w:t>%；</w:t>
            </w:r>
          </w:p>
          <w:p w14:paraId="009DF98D">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3.投标（响应）报价低于采购项目最高限价</w:t>
            </w:r>
            <w:r>
              <w:rPr>
                <w:rFonts w:hint="eastAsia"/>
                <w:color w:val="auto"/>
                <w:spacing w:val="2"/>
                <w:sz w:val="21"/>
                <w:szCs w:val="21"/>
                <w:lang w:val="en-US" w:eastAsia="zh-CN"/>
              </w:rPr>
              <w:t>65</w:t>
            </w:r>
            <w:r>
              <w:rPr>
                <w:rFonts w:hint="eastAsia"/>
                <w:color w:val="auto"/>
                <w:spacing w:val="2"/>
                <w:sz w:val="21"/>
                <w:szCs w:val="21"/>
                <w:lang w:val="en-US" w:eastAsia="en-US"/>
              </w:rPr>
              <w:t>%的，即投标（响应）报价&lt;采购项目最高限价×</w:t>
            </w:r>
            <w:r>
              <w:rPr>
                <w:rFonts w:hint="eastAsia"/>
                <w:color w:val="auto"/>
                <w:spacing w:val="2"/>
                <w:sz w:val="21"/>
                <w:szCs w:val="21"/>
                <w:lang w:val="en-US" w:eastAsia="zh-CN"/>
              </w:rPr>
              <w:t>65</w:t>
            </w:r>
            <w:r>
              <w:rPr>
                <w:rFonts w:hint="eastAsia"/>
                <w:color w:val="auto"/>
                <w:spacing w:val="2"/>
                <w:sz w:val="21"/>
                <w:szCs w:val="21"/>
                <w:lang w:val="en-US" w:eastAsia="en-US"/>
              </w:rPr>
              <w:t>%；</w:t>
            </w:r>
          </w:p>
          <w:p w14:paraId="55F52FEA">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4.评审委员会基于专业判断，认为供应商报价过低，有可能影响产品质量或者不能诚信履约的其他情形。</w:t>
            </w:r>
          </w:p>
          <w:p w14:paraId="44ADA17E">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采购人可以结合具体项目实际情况，提高上述第1项至第3项中启动异常低价投标（响应）审查的数值标准，但是最高不得超过65%。</w:t>
            </w:r>
          </w:p>
          <w:p w14:paraId="15E9E1C0">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相关法律法规对供应商报价有规定的，从其规定。</w:t>
            </w:r>
          </w:p>
          <w:p w14:paraId="243E5F98">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FE42788">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C58EBDA">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CE0AA54">
            <w:pPr>
              <w:spacing w:line="360" w:lineRule="auto"/>
              <w:jc w:val="left"/>
              <w:rPr>
                <w:rFonts w:hint="eastAsia" w:eastAsiaTheme="minorEastAsia"/>
                <w:color w:val="auto"/>
                <w:spacing w:val="2"/>
                <w:sz w:val="21"/>
                <w:szCs w:val="21"/>
                <w:lang w:val="en-US" w:eastAsia="zh-CN"/>
              </w:rPr>
            </w:pPr>
            <w:r>
              <w:rPr>
                <w:rFonts w:hint="eastAsia"/>
                <w:color w:val="auto"/>
                <w:spacing w:val="2"/>
                <w:sz w:val="21"/>
                <w:szCs w:val="21"/>
                <w:lang w:val="en-US" w:eastAsia="en-US"/>
              </w:rPr>
              <w:t>异常低价投标（响应）审查的启动原因、审查意见和审查结果应当在评审报告中记录，并随供应商提供的相关书面说明及证明材料，以及评审委员会有关互联网浏览、查询历史一并归档。</w:t>
            </w:r>
          </w:p>
          <w:p w14:paraId="655AF859">
            <w:pPr>
              <w:spacing w:line="360" w:lineRule="auto"/>
              <w:jc w:val="left"/>
              <w:rPr>
                <w:color w:val="auto"/>
                <w:spacing w:val="2"/>
                <w:sz w:val="21"/>
                <w:szCs w:val="21"/>
                <w:lang w:val="en-US" w:eastAsia="en-US"/>
              </w:rPr>
            </w:pPr>
            <w:r>
              <w:rPr>
                <w:rFonts w:hint="eastAsia"/>
                <w:color w:val="auto"/>
                <w:spacing w:val="2"/>
                <w:sz w:val="21"/>
                <w:szCs w:val="21"/>
                <w:lang w:val="en-US" w:eastAsia="en-US"/>
              </w:rPr>
              <w:t>（三）各级财政部门应当加强对评审专家的指导和监管，进一步压实评审专家的责任。财政部门在投诉处理、监督检查中发现评审委员会未按规定对异常低价开展审查的，依法予以纠正并追究评审专家的法律责任。</w:t>
            </w:r>
          </w:p>
        </w:tc>
      </w:tr>
    </w:tbl>
    <w:p w14:paraId="6BC61444">
      <w:pPr>
        <w:rPr>
          <w:rFonts w:hint="eastAsia" w:ascii="宋体" w:hAnsi="宋体" w:eastAsia="宋体" w:cs="宋体"/>
          <w:b/>
          <w:bCs w:val="0"/>
          <w:color w:val="auto"/>
          <w:sz w:val="24"/>
          <w:szCs w:val="24"/>
        </w:rPr>
        <w:sectPr>
          <w:footerReference r:id="rId5" w:type="default"/>
          <w:pgSz w:w="11906" w:h="16838"/>
          <w:pgMar w:top="1474" w:right="1474" w:bottom="969" w:left="1588" w:header="851" w:footer="992" w:gutter="0"/>
          <w:pgNumType w:fmt="numberInDash" w:start="1"/>
          <w:cols w:space="720" w:num="1"/>
          <w:docGrid w:type="lines" w:linePitch="312" w:charSpace="0"/>
        </w:sectPr>
      </w:pPr>
    </w:p>
    <w:p w14:paraId="3112E146">
      <w:pPr>
        <w:keepNext/>
        <w:widowControl w:val="0"/>
        <w:bidi w:val="0"/>
        <w:jc w:val="center"/>
        <w:outlineLvl w:val="9"/>
        <w:rPr>
          <w:rFonts w:hint="eastAsia" w:ascii="Calibri" w:hAnsi="Calibri" w:cs="Times New Roman" w:eastAsiaTheme="minorEastAsia"/>
          <w:b/>
          <w:bCs/>
          <w:color w:val="auto"/>
          <w:kern w:val="1"/>
          <w:sz w:val="24"/>
          <w:szCs w:val="20"/>
          <w:lang w:val="en-US" w:eastAsia="zh-CN" w:bidi="ar-SA"/>
        </w:rPr>
      </w:pPr>
      <w:bookmarkStart w:id="94" w:name="_Toc18717"/>
      <w:bookmarkStart w:id="95" w:name="_Toc5695"/>
    </w:p>
    <w:p w14:paraId="7FB7FB99">
      <w:pPr>
        <w:keepNext/>
        <w:widowControl w:val="0"/>
        <w:bidi w:val="0"/>
        <w:jc w:val="center"/>
        <w:outlineLvl w:val="9"/>
        <w:rPr>
          <w:rFonts w:hint="eastAsia" w:ascii="Calibri" w:hAnsi="Calibri" w:cs="Times New Roman" w:eastAsiaTheme="minorEastAsia"/>
          <w:b/>
          <w:bCs/>
          <w:color w:val="auto"/>
          <w:kern w:val="1"/>
          <w:sz w:val="24"/>
          <w:szCs w:val="20"/>
          <w:lang w:val="en-US" w:eastAsia="zh-CN" w:bidi="ar-SA"/>
        </w:rPr>
      </w:pPr>
    </w:p>
    <w:bookmarkEnd w:id="94"/>
    <w:bookmarkEnd w:id="95"/>
    <w:p w14:paraId="59C1A58A">
      <w:pPr>
        <w:jc w:val="center"/>
        <w:outlineLvl w:val="1"/>
        <w:rPr>
          <w:rFonts w:ascii="宋体" w:hAnsi="宋体" w:eastAsia="宋体" w:cs="Times New Roman"/>
          <w:b/>
          <w:color w:val="auto"/>
          <w:kern w:val="2"/>
          <w:sz w:val="30"/>
          <w:szCs w:val="30"/>
        </w:rPr>
      </w:pPr>
      <w:bookmarkStart w:id="96" w:name="_Toc172193310"/>
      <w:bookmarkStart w:id="97" w:name="_Toc172193572"/>
      <w:r>
        <w:rPr>
          <w:rFonts w:hint="eastAsia" w:ascii="宋体" w:hAnsi="宋体" w:eastAsia="宋体" w:cs="Times New Roman"/>
          <w:b/>
          <w:color w:val="auto"/>
          <w:kern w:val="2"/>
          <w:sz w:val="30"/>
          <w:szCs w:val="30"/>
        </w:rPr>
        <w:t>磋商须知正文</w:t>
      </w:r>
      <w:bookmarkEnd w:id="96"/>
      <w:bookmarkEnd w:id="97"/>
    </w:p>
    <w:p w14:paraId="63052522">
      <w:pPr>
        <w:keepNext/>
        <w:keepLines/>
        <w:widowControl w:val="0"/>
        <w:spacing w:before="260" w:after="260" w:line="360" w:lineRule="exact"/>
        <w:jc w:val="left"/>
        <w:outlineLvl w:val="2"/>
        <w:rPr>
          <w:rFonts w:ascii="宋体" w:hAnsi="宋体" w:eastAsia="宋体" w:cs="Times New Roman"/>
          <w:b/>
          <w:bCs/>
          <w:color w:val="auto"/>
          <w:kern w:val="2"/>
          <w:sz w:val="21"/>
          <w:szCs w:val="21"/>
          <w:lang w:val="en-US" w:eastAsia="zh-CN" w:bidi="ar-SA"/>
        </w:rPr>
      </w:pPr>
      <w:bookmarkStart w:id="98" w:name="_Toc172193573"/>
      <w:r>
        <w:rPr>
          <w:rFonts w:hint="eastAsia" w:ascii="宋体" w:hAnsi="宋体" w:eastAsia="宋体" w:cs="Times New Roman"/>
          <w:b/>
          <w:bCs/>
          <w:color w:val="auto"/>
          <w:kern w:val="2"/>
          <w:sz w:val="21"/>
          <w:szCs w:val="21"/>
          <w:lang w:val="en-US" w:eastAsia="zh-CN" w:bidi="ar-SA"/>
        </w:rPr>
        <w:t>一、说明</w:t>
      </w:r>
      <w:bookmarkEnd w:id="98"/>
    </w:p>
    <w:p w14:paraId="668BFCC5">
      <w:pPr>
        <w:adjustRightInd w:val="0"/>
        <w:snapToGrid w:val="0"/>
        <w:spacing w:line="360" w:lineRule="auto"/>
        <w:rPr>
          <w:rFonts w:ascii="宋体" w:hAnsi="宋体" w:eastAsia="宋体" w:cs="Times New Roman"/>
          <w:b/>
          <w:bCs/>
          <w:color w:val="auto"/>
          <w:kern w:val="2"/>
          <w:szCs w:val="21"/>
        </w:rPr>
      </w:pPr>
      <w:r>
        <w:rPr>
          <w:rFonts w:hint="eastAsia" w:ascii="宋体" w:hAnsi="宋体" w:eastAsia="宋体" w:cs="Times New Roman"/>
          <w:b/>
          <w:bCs/>
          <w:color w:val="auto"/>
          <w:kern w:val="2"/>
          <w:szCs w:val="21"/>
        </w:rPr>
        <w:t>1.适用范围</w:t>
      </w:r>
    </w:p>
    <w:p w14:paraId="10946CDE">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1.1本磋商文件仅适用于磋商须知前附表(以下简称</w:t>
      </w:r>
      <w:r>
        <w:rPr>
          <w:rFonts w:hint="eastAsia" w:ascii="宋体" w:hAnsi="宋体" w:eastAsia="宋体" w:cs="Times New Roman"/>
          <w:b/>
          <w:color w:val="auto"/>
          <w:kern w:val="2"/>
          <w:szCs w:val="21"/>
        </w:rPr>
        <w:t>磋商须知前附表)</w:t>
      </w:r>
      <w:r>
        <w:rPr>
          <w:rFonts w:hint="eastAsia" w:ascii="宋体" w:hAnsi="宋体" w:eastAsia="宋体" w:cs="Times New Roman"/>
          <w:color w:val="auto"/>
          <w:kern w:val="2"/>
          <w:szCs w:val="21"/>
        </w:rPr>
        <w:t>中所叙述的采购项目。</w:t>
      </w:r>
    </w:p>
    <w:p w14:paraId="62D9BC88">
      <w:pPr>
        <w:adjustRightInd w:val="0"/>
        <w:snapToGrid w:val="0"/>
        <w:spacing w:line="360" w:lineRule="auto"/>
        <w:rPr>
          <w:rFonts w:ascii="宋体" w:hAnsi="宋体" w:eastAsia="宋体" w:cs="Times New Roman"/>
          <w:b/>
          <w:bCs/>
          <w:color w:val="auto"/>
          <w:kern w:val="2"/>
          <w:szCs w:val="21"/>
        </w:rPr>
      </w:pPr>
      <w:r>
        <w:rPr>
          <w:rFonts w:hint="eastAsia" w:ascii="宋体" w:hAnsi="宋体" w:eastAsia="宋体" w:cs="Times New Roman"/>
          <w:b/>
          <w:bCs/>
          <w:color w:val="auto"/>
          <w:kern w:val="2"/>
          <w:szCs w:val="21"/>
        </w:rPr>
        <w:t>2.定义</w:t>
      </w:r>
    </w:p>
    <w:p w14:paraId="6B00105C">
      <w:pPr>
        <w:adjustRightInd w:val="0"/>
        <w:snapToGrid w:val="0"/>
        <w:spacing w:line="360" w:lineRule="auto"/>
        <w:ind w:firstLine="420" w:firstLineChars="200"/>
        <w:rPr>
          <w:rFonts w:ascii="宋体" w:hAnsi="宋体" w:eastAsia="宋体" w:cs="Times New Roman"/>
          <w:b/>
          <w:color w:val="auto"/>
          <w:kern w:val="2"/>
          <w:szCs w:val="21"/>
        </w:rPr>
      </w:pPr>
      <w:r>
        <w:rPr>
          <w:rFonts w:hint="eastAsia" w:ascii="宋体" w:hAnsi="宋体" w:eastAsia="宋体" w:cs="Times New Roman"/>
          <w:color w:val="auto"/>
          <w:kern w:val="2"/>
          <w:szCs w:val="21"/>
        </w:rPr>
        <w:t>2.1“采购人”是指依法进行政府采购的国家机关、事业单位、团体组织。本次政府采购的采购人名称、地址、电话、联系人见</w:t>
      </w:r>
      <w:r>
        <w:rPr>
          <w:rFonts w:hint="eastAsia" w:ascii="宋体" w:hAnsi="宋体" w:eastAsia="宋体" w:cs="Times New Roman"/>
          <w:b/>
          <w:color w:val="auto"/>
          <w:kern w:val="2"/>
          <w:szCs w:val="21"/>
        </w:rPr>
        <w:t>磋商须知前附表</w:t>
      </w:r>
      <w:r>
        <w:rPr>
          <w:rFonts w:hint="eastAsia" w:ascii="宋体" w:hAnsi="宋体" w:eastAsia="宋体" w:cs="Times New Roman"/>
          <w:color w:val="auto"/>
          <w:kern w:val="2"/>
          <w:szCs w:val="21"/>
        </w:rPr>
        <w:t>。</w:t>
      </w:r>
    </w:p>
    <w:p w14:paraId="06BBF56D">
      <w:pPr>
        <w:adjustRightInd w:val="0"/>
        <w:snapToGrid w:val="0"/>
        <w:spacing w:line="360" w:lineRule="auto"/>
        <w:ind w:firstLine="420" w:firstLineChars="200"/>
        <w:rPr>
          <w:rFonts w:ascii="宋体" w:hAnsi="宋体" w:eastAsia="宋体" w:cs="Times New Roman"/>
          <w:b/>
          <w:color w:val="auto"/>
          <w:kern w:val="2"/>
          <w:szCs w:val="21"/>
        </w:rPr>
      </w:pPr>
      <w:r>
        <w:rPr>
          <w:rFonts w:hint="eastAsia" w:ascii="宋体" w:hAnsi="宋体" w:eastAsia="宋体" w:cs="Times New Roman"/>
          <w:color w:val="auto"/>
          <w:kern w:val="2"/>
          <w:szCs w:val="21"/>
        </w:rPr>
        <w:t>2.2“采购代理机构”是指接受采购人委托，代理采购项目的集中采购机构和其他采购代理机构。本次政府采购的采购代理机构名称、地址、电话、联系人见</w:t>
      </w:r>
      <w:r>
        <w:rPr>
          <w:rFonts w:hint="eastAsia" w:ascii="宋体" w:hAnsi="宋体" w:eastAsia="宋体" w:cs="Times New Roman"/>
          <w:b/>
          <w:color w:val="auto"/>
          <w:kern w:val="2"/>
          <w:szCs w:val="21"/>
        </w:rPr>
        <w:t>磋商须知前附表。</w:t>
      </w:r>
    </w:p>
    <w:p w14:paraId="37E3A588">
      <w:pPr>
        <w:adjustRightInd w:val="0"/>
        <w:snapToGrid w:val="0"/>
        <w:spacing w:line="360" w:lineRule="auto"/>
        <w:ind w:firstLine="420" w:firstLineChars="200"/>
        <w:rPr>
          <w:rFonts w:ascii="宋体" w:hAnsi="宋体" w:eastAsia="宋体" w:cs="宋体"/>
          <w:bCs/>
          <w:color w:val="auto"/>
          <w:kern w:val="36"/>
          <w:szCs w:val="21"/>
        </w:rPr>
      </w:pPr>
      <w:r>
        <w:rPr>
          <w:rFonts w:hint="eastAsia" w:ascii="宋体" w:hAnsi="宋体" w:eastAsia="宋体" w:cs="Times New Roman"/>
          <w:color w:val="auto"/>
          <w:kern w:val="2"/>
          <w:szCs w:val="21"/>
        </w:rPr>
        <w:t>2.3“供应商”是指响应磋商文件要求、参加竞争性磋商采购的法人、其他组织或者自然人。本次政府采购项目邀请的供应商通过</w:t>
      </w:r>
      <w:r>
        <w:rPr>
          <w:rFonts w:hint="eastAsia" w:ascii="宋体" w:hAnsi="宋体" w:eastAsia="宋体" w:cs="Times New Roman"/>
          <w:b/>
          <w:color w:val="auto"/>
          <w:kern w:val="2"/>
          <w:szCs w:val="21"/>
        </w:rPr>
        <w:t>磋商须知前附表</w:t>
      </w:r>
      <w:r>
        <w:rPr>
          <w:rFonts w:hint="eastAsia" w:ascii="宋体" w:hAnsi="宋体" w:eastAsia="宋体" w:cs="Times New Roman"/>
          <w:color w:val="auto"/>
          <w:kern w:val="2"/>
          <w:szCs w:val="21"/>
        </w:rPr>
        <w:t>所述方式。</w:t>
      </w:r>
    </w:p>
    <w:p w14:paraId="7D8DE80A">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Times New Roman"/>
          <w:color w:val="auto"/>
          <w:kern w:val="2"/>
          <w:szCs w:val="21"/>
        </w:rPr>
        <w:t>2.4“磋商小组”是指</w:t>
      </w:r>
      <w:r>
        <w:rPr>
          <w:rFonts w:hint="eastAsia" w:ascii="宋体" w:hAnsi="宋体" w:eastAsia="宋体" w:cs="宋体"/>
          <w:color w:val="auto"/>
          <w:kern w:val="0"/>
          <w:szCs w:val="21"/>
        </w:rPr>
        <w:t>依据《中华人民共和国政府采购法》和财政部</w:t>
      </w:r>
      <w:r>
        <w:rPr>
          <w:rFonts w:hint="eastAsia" w:ascii="宋体" w:hAnsi="宋体" w:eastAsia="宋体" w:cs="宋体"/>
          <w:bCs/>
          <w:color w:val="auto"/>
          <w:kern w:val="36"/>
          <w:szCs w:val="21"/>
        </w:rPr>
        <w:t>《政府采购非招标采购方式管理办法》有关规定组建，依法依规</w:t>
      </w:r>
      <w:r>
        <w:rPr>
          <w:rFonts w:hint="eastAsia" w:ascii="宋体" w:hAnsi="宋体" w:eastAsia="宋体" w:cs="宋体"/>
          <w:color w:val="auto"/>
          <w:kern w:val="0"/>
          <w:szCs w:val="21"/>
        </w:rPr>
        <w:t>履行其职责和义务的机构。</w:t>
      </w:r>
    </w:p>
    <w:p w14:paraId="7CC96078">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2.5“货物”是指各种形态和种类的物品，包括原材料、燃料、设备、产品等，详见《政府采购品目分类目录》(</w:t>
      </w:r>
      <w:r>
        <w:rPr>
          <w:rFonts w:hint="eastAsia" w:ascii="宋体" w:hAnsi="宋体" w:eastAsia="宋体" w:cs="Times New Roman"/>
          <w:color w:val="auto"/>
          <w:kern w:val="2"/>
          <w:szCs w:val="22"/>
        </w:rPr>
        <w:t>财库[2013]189号</w:t>
      </w:r>
      <w:r>
        <w:rPr>
          <w:rFonts w:hint="eastAsia" w:ascii="宋体" w:hAnsi="宋体" w:eastAsia="宋体" w:cs="Times New Roman"/>
          <w:color w:val="auto"/>
          <w:kern w:val="2"/>
          <w:szCs w:val="21"/>
        </w:rPr>
        <w:t>)。</w:t>
      </w:r>
    </w:p>
    <w:p w14:paraId="0EE1B744">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2.6“工程”是指建设工程，包括建筑物和构筑物的新建、改建、扩建、装修、拆除、修缮等，详见《政府采购品目分类目录》(</w:t>
      </w:r>
      <w:r>
        <w:rPr>
          <w:rFonts w:hint="eastAsia" w:ascii="宋体" w:hAnsi="宋体" w:eastAsia="宋体" w:cs="Times New Roman"/>
          <w:color w:val="auto"/>
          <w:kern w:val="2"/>
          <w:szCs w:val="22"/>
        </w:rPr>
        <w:t>财库[2013]189号</w:t>
      </w:r>
      <w:r>
        <w:rPr>
          <w:rFonts w:hint="eastAsia" w:ascii="宋体" w:hAnsi="宋体" w:eastAsia="宋体" w:cs="Times New Roman"/>
          <w:color w:val="auto"/>
          <w:kern w:val="2"/>
          <w:szCs w:val="21"/>
        </w:rPr>
        <w:t>)。</w:t>
      </w:r>
    </w:p>
    <w:p w14:paraId="60230AF5">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2.7“服务”是指除货物和工程以外的其他政府采购对象，详见《政府采购品目分类目录》(</w:t>
      </w:r>
      <w:r>
        <w:rPr>
          <w:rFonts w:hint="eastAsia" w:ascii="宋体" w:hAnsi="宋体" w:eastAsia="宋体" w:cs="Times New Roman"/>
          <w:color w:val="auto"/>
          <w:kern w:val="2"/>
          <w:szCs w:val="22"/>
        </w:rPr>
        <w:t>财库[2013]189号</w:t>
      </w:r>
      <w:r>
        <w:rPr>
          <w:rFonts w:hint="eastAsia" w:ascii="宋体" w:hAnsi="宋体" w:eastAsia="宋体" w:cs="Times New Roman"/>
          <w:color w:val="auto"/>
          <w:kern w:val="2"/>
          <w:szCs w:val="21"/>
        </w:rPr>
        <w:t>)。</w:t>
      </w:r>
    </w:p>
    <w:p w14:paraId="05E4E71D">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2.8“节能产品”或者“环保产品”是指财政部发布的《节能产品政府采购品目清单》或者《环境标志产品政府采购品目清单》的产品。</w:t>
      </w:r>
    </w:p>
    <w:p w14:paraId="1A69EE06">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2.9“进口产品”是指通过中国海关报关验放进入中国境内且产自关境外的产品，详见《关于政府采购进口产品管理有关问题的通知》(财库[2007]119号)。</w:t>
      </w:r>
    </w:p>
    <w:p w14:paraId="7FC12533">
      <w:pPr>
        <w:adjustRightInd w:val="0"/>
        <w:snapToGrid w:val="0"/>
        <w:spacing w:line="360" w:lineRule="auto"/>
        <w:rPr>
          <w:rFonts w:ascii="宋体" w:hAnsi="宋体" w:eastAsia="宋体" w:cs="Times New Roman"/>
          <w:b/>
          <w:bCs/>
          <w:color w:val="auto"/>
          <w:kern w:val="2"/>
          <w:szCs w:val="21"/>
        </w:rPr>
      </w:pPr>
      <w:r>
        <w:rPr>
          <w:rFonts w:hint="eastAsia" w:ascii="宋体" w:hAnsi="宋体" w:eastAsia="宋体" w:cs="Times New Roman"/>
          <w:b/>
          <w:bCs/>
          <w:color w:val="auto"/>
          <w:kern w:val="2"/>
          <w:szCs w:val="21"/>
        </w:rPr>
        <w:t>3.供应商的资格要求</w:t>
      </w:r>
    </w:p>
    <w:p w14:paraId="7B039319">
      <w:pPr>
        <w:adjustRightInd w:val="0"/>
        <w:snapToGrid w:val="0"/>
        <w:spacing w:line="360" w:lineRule="exact"/>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3.1供应商应当符合</w:t>
      </w:r>
      <w:r>
        <w:rPr>
          <w:rFonts w:hint="eastAsia" w:ascii="宋体" w:hAnsi="宋体" w:eastAsia="宋体" w:cs="Times New Roman"/>
          <w:b/>
          <w:color w:val="auto"/>
          <w:kern w:val="2"/>
          <w:szCs w:val="21"/>
        </w:rPr>
        <w:t>磋商须知前附表</w:t>
      </w:r>
      <w:r>
        <w:rPr>
          <w:rFonts w:hint="eastAsia" w:ascii="宋体" w:hAnsi="宋体" w:eastAsia="宋体" w:cs="Times New Roman"/>
          <w:color w:val="auto"/>
          <w:kern w:val="2"/>
          <w:szCs w:val="21"/>
        </w:rPr>
        <w:t>中规定的下列资格条件要求；</w:t>
      </w:r>
    </w:p>
    <w:p w14:paraId="5F399459">
      <w:pPr>
        <w:adjustRightInd w:val="0"/>
        <w:snapToGrid w:val="0"/>
        <w:spacing w:line="360" w:lineRule="exact"/>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（l）</w:t>
      </w:r>
      <w:r>
        <w:rPr>
          <w:rFonts w:hint="eastAsia" w:ascii="宋体" w:hAnsi="宋体" w:eastAsia="宋体" w:cs="宋体"/>
          <w:color w:val="auto"/>
          <w:kern w:val="0"/>
          <w:szCs w:val="21"/>
          <w:lang w:val="zh-CN"/>
        </w:rPr>
        <w:t>《政府采购法》第二十二条第一款规定的</w:t>
      </w:r>
      <w:r>
        <w:rPr>
          <w:rFonts w:hint="eastAsia" w:ascii="宋体" w:hAnsi="宋体" w:eastAsia="宋体" w:cs="Times New Roman"/>
          <w:color w:val="auto"/>
          <w:kern w:val="2"/>
          <w:szCs w:val="21"/>
        </w:rPr>
        <w:t>供应商基本资格条件</w:t>
      </w:r>
      <w:r>
        <w:rPr>
          <w:rFonts w:hint="eastAsia" w:ascii="宋体" w:hAnsi="宋体" w:eastAsia="宋体" w:cs="宋体"/>
          <w:color w:val="auto"/>
          <w:kern w:val="0"/>
          <w:szCs w:val="21"/>
          <w:lang w:val="zh-CN"/>
        </w:rPr>
        <w:t>；</w:t>
      </w:r>
    </w:p>
    <w:p w14:paraId="77845FE3">
      <w:pPr>
        <w:adjustRightInd w:val="0"/>
        <w:snapToGrid w:val="0"/>
        <w:spacing w:line="360" w:lineRule="exact"/>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（2）磋商文件</w:t>
      </w:r>
      <w:r>
        <w:rPr>
          <w:rFonts w:hint="eastAsia" w:ascii="宋体" w:hAnsi="宋体" w:eastAsia="宋体" w:cs="宋体"/>
          <w:color w:val="auto"/>
          <w:kern w:val="0"/>
          <w:szCs w:val="21"/>
          <w:lang w:val="zh-CN"/>
        </w:rPr>
        <w:t>规定的</w:t>
      </w:r>
      <w:r>
        <w:rPr>
          <w:rFonts w:hint="eastAsia" w:ascii="宋体" w:hAnsi="宋体" w:eastAsia="宋体" w:cs="Times New Roman"/>
          <w:color w:val="auto"/>
          <w:kern w:val="2"/>
          <w:szCs w:val="21"/>
        </w:rPr>
        <w:t>供应商特定资格条件：</w:t>
      </w:r>
      <w:r>
        <w:rPr>
          <w:rFonts w:hint="eastAsia" w:ascii="宋体" w:hAnsi="宋体" w:eastAsia="宋体" w:cs="Times New Roman"/>
          <w:color w:val="auto"/>
          <w:kern w:val="2"/>
          <w:szCs w:val="21"/>
          <w:lang w:eastAsia="zh-CN"/>
        </w:rPr>
        <w:t>无</w:t>
      </w:r>
      <w:r>
        <w:rPr>
          <w:rFonts w:hint="eastAsia" w:ascii="宋体" w:hAnsi="宋体" w:eastAsia="宋体" w:cs="Times New Roman"/>
          <w:color w:val="auto"/>
          <w:kern w:val="2"/>
          <w:szCs w:val="21"/>
        </w:rPr>
        <w:t>。</w:t>
      </w:r>
    </w:p>
    <w:p w14:paraId="34826A73">
      <w:pPr>
        <w:adjustRightInd w:val="0"/>
        <w:snapToGrid w:val="0"/>
        <w:spacing w:line="360" w:lineRule="auto"/>
        <w:rPr>
          <w:rFonts w:hint="eastAsia" w:ascii="宋体" w:hAnsi="宋体" w:eastAsia="宋体" w:cs="Times New Roman"/>
          <w:b/>
          <w:bCs/>
          <w:color w:val="auto"/>
          <w:kern w:val="2"/>
          <w:szCs w:val="21"/>
          <w:lang w:eastAsia="zh-CN"/>
        </w:rPr>
      </w:pPr>
      <w:r>
        <w:rPr>
          <w:rFonts w:hint="eastAsia" w:ascii="宋体" w:hAnsi="宋体" w:eastAsia="宋体" w:cs="Times New Roman"/>
          <w:b/>
          <w:bCs/>
          <w:color w:val="auto"/>
          <w:kern w:val="2"/>
          <w:szCs w:val="21"/>
        </w:rPr>
        <w:t>4.参与竞争性磋商采购活动的费用</w:t>
      </w:r>
    </w:p>
    <w:p w14:paraId="572F65A9">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4.1无论</w:t>
      </w:r>
      <w:r>
        <w:rPr>
          <w:rFonts w:hint="eastAsia" w:ascii="宋体" w:hAnsi="宋体" w:eastAsia="宋体" w:cs="Times New Roman"/>
          <w:bCs/>
          <w:color w:val="auto"/>
          <w:kern w:val="2"/>
          <w:szCs w:val="21"/>
        </w:rPr>
        <w:t>竞争性磋商采购活动</w:t>
      </w:r>
      <w:r>
        <w:rPr>
          <w:rFonts w:hint="eastAsia" w:ascii="宋体" w:hAnsi="宋体" w:eastAsia="宋体" w:cs="Times New Roman"/>
          <w:color w:val="auto"/>
          <w:kern w:val="2"/>
          <w:szCs w:val="21"/>
        </w:rPr>
        <w:t>的结果如何，供应商应自行承担所有与本次竞争性磋商采购活动有关的全部费用。</w:t>
      </w:r>
    </w:p>
    <w:p w14:paraId="0E083B82">
      <w:pPr>
        <w:adjustRightInd w:val="0"/>
        <w:snapToGrid w:val="0"/>
        <w:spacing w:line="360" w:lineRule="auto"/>
        <w:rPr>
          <w:rFonts w:hAnsi="宋体" w:eastAsia="宋体" w:cs="Times New Roman"/>
          <w:b/>
          <w:bCs/>
          <w:color w:val="auto"/>
          <w:kern w:val="2"/>
          <w:szCs w:val="22"/>
        </w:rPr>
      </w:pPr>
      <w:r>
        <w:rPr>
          <w:rFonts w:hint="eastAsia" w:hAnsi="宋体" w:eastAsia="宋体" w:cs="Times New Roman"/>
          <w:b/>
          <w:color w:val="auto"/>
          <w:kern w:val="2"/>
          <w:szCs w:val="22"/>
        </w:rPr>
        <w:t>5．</w:t>
      </w:r>
      <w:r>
        <w:rPr>
          <w:rFonts w:hint="eastAsia" w:hAnsi="宋体" w:eastAsia="宋体" w:cs="Times New Roman"/>
          <w:b/>
          <w:bCs/>
          <w:color w:val="auto"/>
          <w:kern w:val="2"/>
          <w:szCs w:val="22"/>
        </w:rPr>
        <w:t>授权委托</w:t>
      </w:r>
    </w:p>
    <w:p w14:paraId="3F7840F6">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5.1供应商代表不是供应商的法定代表人，应持有授权委托书，并附法定代表人身份证明。请供应商的法人代表（或授权代表）凭法人证明（或授权委托书原件）及身份证原件准时参加磋商会议，否则，其投标将被拒绝。</w:t>
      </w:r>
    </w:p>
    <w:p w14:paraId="0D77EB95">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5.2符合政府采购法第22条规定或磋商文件特别规定的其它组织机构投标的，上述法定代表人可以为该组织主体证件上登记的负责人，响应文件中法定代表人签字处由负责人签字。</w:t>
      </w:r>
    </w:p>
    <w:p w14:paraId="10E19363">
      <w:pPr>
        <w:adjustRightInd w:val="0"/>
        <w:snapToGrid w:val="0"/>
        <w:spacing w:line="360" w:lineRule="auto"/>
        <w:rPr>
          <w:rFonts w:hAnsi="宋体" w:eastAsia="宋体" w:cs="Times New Roman"/>
          <w:b/>
          <w:color w:val="auto"/>
          <w:kern w:val="2"/>
          <w:szCs w:val="22"/>
        </w:rPr>
      </w:pPr>
      <w:r>
        <w:rPr>
          <w:rFonts w:hint="eastAsia" w:hAnsi="宋体" w:eastAsia="宋体" w:cs="Times New Roman"/>
          <w:b/>
          <w:color w:val="auto"/>
          <w:kern w:val="2"/>
          <w:szCs w:val="22"/>
        </w:rPr>
        <w:t>6．联合体形式</w:t>
      </w:r>
    </w:p>
    <w:p w14:paraId="01603EE3">
      <w:pPr>
        <w:adjustRightInd w:val="0"/>
        <w:snapToGrid w:val="0"/>
        <w:spacing w:line="360" w:lineRule="auto"/>
        <w:ind w:firstLine="420" w:firstLineChars="200"/>
        <w:rPr>
          <w:rFonts w:hAnsi="宋体" w:eastAsia="宋体" w:cs="Times New Roman"/>
          <w:color w:val="auto"/>
          <w:kern w:val="2"/>
          <w:szCs w:val="22"/>
        </w:rPr>
      </w:pPr>
      <w:r>
        <w:rPr>
          <w:rFonts w:hint="eastAsia" w:hAnsi="宋体" w:eastAsia="宋体" w:cs="Times New Roman"/>
          <w:color w:val="auto"/>
          <w:kern w:val="2"/>
          <w:szCs w:val="22"/>
        </w:rPr>
        <w:t>6.1除</w:t>
      </w:r>
      <w:r>
        <w:rPr>
          <w:rFonts w:hint="eastAsia" w:hAnsi="宋体" w:eastAsia="宋体" w:cs="Times New Roman"/>
          <w:b/>
          <w:color w:val="auto"/>
          <w:kern w:val="2"/>
          <w:szCs w:val="22"/>
        </w:rPr>
        <w:t>磋商须知前附表</w:t>
      </w:r>
      <w:r>
        <w:rPr>
          <w:rFonts w:hint="eastAsia" w:hAnsi="宋体" w:eastAsia="宋体" w:cs="Times New Roman"/>
          <w:color w:val="auto"/>
          <w:kern w:val="2"/>
          <w:szCs w:val="22"/>
        </w:rPr>
        <w:t>中另有规定，本次磋商采购活动不接受为联合体形式的供应商。</w:t>
      </w:r>
    </w:p>
    <w:p w14:paraId="153ADA87">
      <w:pPr>
        <w:adjustRightInd w:val="0"/>
        <w:snapToGrid w:val="0"/>
        <w:spacing w:line="360" w:lineRule="auto"/>
        <w:ind w:firstLine="420" w:firstLineChars="200"/>
        <w:jc w:val="left"/>
        <w:rPr>
          <w:rFonts w:ascii="宋体" w:hAnsi="宋体" w:eastAsia="宋体" w:cs="Times New Roman"/>
          <w:color w:val="auto"/>
          <w:kern w:val="2"/>
          <w:szCs w:val="21"/>
        </w:rPr>
      </w:pPr>
      <w:r>
        <w:rPr>
          <w:rFonts w:hint="eastAsia" w:ascii="宋体" w:hAnsi="宋体" w:eastAsia="宋体" w:cs="Times New Roman"/>
          <w:color w:val="auto"/>
          <w:kern w:val="2"/>
          <w:szCs w:val="21"/>
        </w:rPr>
        <w:t>6.2供应商</w:t>
      </w:r>
      <w:r>
        <w:rPr>
          <w:rFonts w:hint="eastAsia" w:ascii="宋体" w:hAnsi="宋体" w:eastAsia="宋体" w:cs="Times New Roman"/>
          <w:color w:val="auto"/>
          <w:kern w:val="2"/>
          <w:szCs w:val="22"/>
        </w:rPr>
        <w:t>为联合体形式的</w:t>
      </w:r>
      <w:r>
        <w:rPr>
          <w:rFonts w:hint="eastAsia" w:ascii="宋体" w:hAnsi="宋体" w:eastAsia="宋体" w:cs="Times New Roman"/>
          <w:color w:val="auto"/>
          <w:kern w:val="2"/>
          <w:szCs w:val="21"/>
        </w:rPr>
        <w:t>，除应符合本章第3条规定外，还应遵守以下规定：</w:t>
      </w:r>
    </w:p>
    <w:p w14:paraId="1870DC27">
      <w:pPr>
        <w:adjustRightInd w:val="0"/>
        <w:snapToGrid w:val="0"/>
        <w:spacing w:line="360" w:lineRule="auto"/>
        <w:ind w:firstLine="420" w:firstLineChars="200"/>
        <w:jc w:val="left"/>
        <w:rPr>
          <w:rFonts w:ascii="宋体" w:hAnsi="宋体" w:eastAsia="宋体" w:cs="Times New Roman"/>
          <w:color w:val="auto"/>
          <w:kern w:val="2"/>
          <w:szCs w:val="21"/>
        </w:rPr>
      </w:pPr>
      <w:r>
        <w:rPr>
          <w:rFonts w:hint="eastAsia" w:ascii="宋体" w:hAnsi="宋体" w:eastAsia="宋体" w:cs="Times New Roman"/>
          <w:color w:val="auto"/>
          <w:kern w:val="2"/>
          <w:szCs w:val="21"/>
        </w:rPr>
        <w:t>（l）联合体各方必须签订联合体协议书，明确联合体牵头人和各方的义务、工作、合同工作量比例；</w:t>
      </w:r>
    </w:p>
    <w:p w14:paraId="10939BF4">
      <w:pPr>
        <w:adjustRightInd w:val="0"/>
        <w:snapToGrid w:val="0"/>
        <w:spacing w:line="360" w:lineRule="auto"/>
        <w:ind w:firstLine="420" w:firstLineChars="200"/>
        <w:jc w:val="left"/>
        <w:rPr>
          <w:rFonts w:ascii="宋体" w:hAnsi="宋体" w:eastAsia="宋体" w:cs="Times New Roman"/>
          <w:color w:val="auto"/>
          <w:kern w:val="2"/>
          <w:szCs w:val="21"/>
        </w:rPr>
      </w:pPr>
      <w:r>
        <w:rPr>
          <w:rFonts w:hint="eastAsia" w:ascii="宋体" w:hAnsi="宋体" w:eastAsia="宋体" w:cs="Times New Roman"/>
          <w:color w:val="auto"/>
          <w:kern w:val="2"/>
          <w:szCs w:val="21"/>
        </w:rPr>
        <w:t>（2）联合体各方均应当符合本章第3.1</w:t>
      </w:r>
      <w:r>
        <w:rPr>
          <w:rFonts w:hint="eastAsia" w:ascii="宋体" w:hAnsi="宋体" w:eastAsia="宋体" w:cs="宋体"/>
          <w:color w:val="auto"/>
          <w:kern w:val="0"/>
          <w:szCs w:val="21"/>
          <w:lang w:val="zh-CN"/>
        </w:rPr>
        <w:t>款</w:t>
      </w:r>
      <w:r>
        <w:rPr>
          <w:rFonts w:hint="eastAsia" w:ascii="宋体" w:hAnsi="宋体" w:eastAsia="宋体" w:cs="Times New Roman"/>
          <w:color w:val="auto"/>
          <w:kern w:val="2"/>
          <w:szCs w:val="21"/>
        </w:rPr>
        <w:t>规定的供应商基本资格条件；</w:t>
      </w:r>
    </w:p>
    <w:p w14:paraId="01B3007F">
      <w:pPr>
        <w:adjustRightInd w:val="0"/>
        <w:snapToGrid w:val="0"/>
        <w:spacing w:line="360" w:lineRule="auto"/>
        <w:ind w:firstLine="420" w:firstLineChars="200"/>
        <w:jc w:val="left"/>
        <w:rPr>
          <w:rFonts w:ascii="宋体" w:hAnsi="宋体" w:eastAsia="宋体" w:cs="Times New Roman"/>
          <w:color w:val="auto"/>
          <w:kern w:val="2"/>
          <w:szCs w:val="21"/>
        </w:rPr>
      </w:pPr>
      <w:r>
        <w:rPr>
          <w:rFonts w:hint="eastAsia" w:ascii="宋体" w:hAnsi="宋体" w:eastAsia="宋体" w:cs="Times New Roman"/>
          <w:color w:val="auto"/>
          <w:kern w:val="2"/>
          <w:szCs w:val="21"/>
        </w:rPr>
        <w:t>（3）</w:t>
      </w:r>
      <w:r>
        <w:rPr>
          <w:rFonts w:hint="eastAsia" w:ascii="宋体" w:hAnsi="宋体" w:eastAsia="宋体" w:cs="Times New Roman"/>
          <w:color w:val="auto"/>
          <w:kern w:val="2"/>
          <w:szCs w:val="22"/>
        </w:rPr>
        <w:t>除</w:t>
      </w:r>
      <w:r>
        <w:rPr>
          <w:rFonts w:hint="eastAsia" w:ascii="宋体" w:hAnsi="宋体" w:eastAsia="宋体" w:cs="Times New Roman"/>
          <w:b/>
          <w:color w:val="auto"/>
          <w:kern w:val="2"/>
          <w:szCs w:val="22"/>
        </w:rPr>
        <w:t>磋商须知前附表</w:t>
      </w:r>
      <w:r>
        <w:rPr>
          <w:rFonts w:hint="eastAsia" w:ascii="宋体" w:hAnsi="宋体" w:eastAsia="宋体" w:cs="Times New Roman"/>
          <w:color w:val="auto"/>
          <w:kern w:val="2"/>
          <w:szCs w:val="22"/>
        </w:rPr>
        <w:t>中另有规定，</w:t>
      </w:r>
      <w:r>
        <w:rPr>
          <w:rFonts w:hint="eastAsia" w:ascii="宋体" w:hAnsi="宋体" w:eastAsia="宋体" w:cs="Times New Roman"/>
          <w:color w:val="auto"/>
          <w:kern w:val="2"/>
          <w:szCs w:val="21"/>
        </w:rPr>
        <w:t>联合体各方中至少有一方应当符合本章第3.1</w:t>
      </w:r>
      <w:r>
        <w:rPr>
          <w:rFonts w:hint="eastAsia" w:ascii="宋体" w:hAnsi="宋体" w:eastAsia="宋体" w:cs="宋体"/>
          <w:color w:val="auto"/>
          <w:kern w:val="0"/>
          <w:szCs w:val="21"/>
          <w:lang w:val="zh-CN"/>
        </w:rPr>
        <w:t>款</w:t>
      </w:r>
      <w:r>
        <w:rPr>
          <w:rFonts w:hint="eastAsia" w:ascii="宋体" w:hAnsi="宋体" w:eastAsia="宋体" w:cs="Times New Roman"/>
          <w:color w:val="auto"/>
          <w:kern w:val="2"/>
          <w:szCs w:val="21"/>
        </w:rPr>
        <w:t>规定的供应商特定资格条件；</w:t>
      </w:r>
    </w:p>
    <w:p w14:paraId="221C932D">
      <w:pPr>
        <w:adjustRightInd w:val="0"/>
        <w:snapToGrid w:val="0"/>
        <w:spacing w:line="360" w:lineRule="auto"/>
        <w:ind w:firstLine="420" w:firstLineChars="200"/>
        <w:jc w:val="left"/>
        <w:rPr>
          <w:rFonts w:ascii="宋体" w:hAnsi="宋体" w:eastAsia="宋体" w:cs="宋体"/>
          <w:color w:val="auto"/>
          <w:kern w:val="0"/>
          <w:szCs w:val="21"/>
          <w:lang w:val="zh-CN"/>
        </w:rPr>
      </w:pPr>
      <w:r>
        <w:rPr>
          <w:rFonts w:hint="eastAsia" w:ascii="宋体" w:hAnsi="宋体" w:eastAsia="宋体" w:cs="Times New Roman"/>
          <w:color w:val="auto"/>
          <w:kern w:val="2"/>
          <w:szCs w:val="21"/>
        </w:rPr>
        <w:t>（4）</w:t>
      </w:r>
      <w:r>
        <w:rPr>
          <w:rFonts w:hint="eastAsia" w:ascii="宋体" w:hAnsi="宋体" w:eastAsia="宋体" w:cs="宋体"/>
          <w:color w:val="auto"/>
          <w:kern w:val="0"/>
          <w:szCs w:val="21"/>
          <w:lang w:val="zh-CN"/>
        </w:rPr>
        <w:t>联合体各方不得再单独或与其他供应商组成新的联合体参加同一项目的采购活动。</w:t>
      </w:r>
    </w:p>
    <w:p w14:paraId="2C88C5EF">
      <w:pPr>
        <w:adjustRightInd w:val="0"/>
        <w:snapToGrid w:val="0"/>
        <w:spacing w:line="360" w:lineRule="auto"/>
        <w:rPr>
          <w:rFonts w:ascii="宋体" w:hAnsi="宋体" w:eastAsia="宋体" w:cs="Times New Roman"/>
          <w:b/>
          <w:color w:val="auto"/>
          <w:kern w:val="2"/>
          <w:szCs w:val="21"/>
        </w:rPr>
      </w:pPr>
      <w:r>
        <w:rPr>
          <w:rFonts w:hint="eastAsia" w:ascii="宋体" w:hAnsi="宋体" w:eastAsia="宋体" w:cs="Times New Roman"/>
          <w:b/>
          <w:color w:val="auto"/>
          <w:kern w:val="2"/>
          <w:szCs w:val="21"/>
        </w:rPr>
        <w:t>7.现场勘察</w:t>
      </w:r>
    </w:p>
    <w:p w14:paraId="3A814D14">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7.1供应商应按</w:t>
      </w:r>
      <w:r>
        <w:rPr>
          <w:rFonts w:hint="eastAsia" w:ascii="宋体" w:hAnsi="宋体" w:eastAsia="宋体" w:cs="Times New Roman"/>
          <w:b/>
          <w:color w:val="auto"/>
          <w:kern w:val="2"/>
          <w:szCs w:val="22"/>
        </w:rPr>
        <w:t>磋商须知前附表</w:t>
      </w:r>
      <w:r>
        <w:rPr>
          <w:rFonts w:hint="eastAsia" w:ascii="宋体" w:hAnsi="宋体" w:eastAsia="宋体" w:cs="Times New Roman"/>
          <w:color w:val="auto"/>
          <w:kern w:val="2"/>
          <w:szCs w:val="22"/>
        </w:rPr>
        <w:t>中规定</w:t>
      </w:r>
      <w:r>
        <w:rPr>
          <w:rFonts w:hint="eastAsia" w:ascii="宋体" w:hAnsi="宋体" w:eastAsia="宋体" w:cs="Times New Roman"/>
          <w:color w:val="auto"/>
          <w:kern w:val="2"/>
          <w:szCs w:val="21"/>
        </w:rPr>
        <w:t>对采购项目现场和周围环境的现场考察。</w:t>
      </w:r>
    </w:p>
    <w:p w14:paraId="5DEA4D03">
      <w:pPr>
        <w:adjustRightInd w:val="0"/>
        <w:snapToGrid w:val="0"/>
        <w:spacing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7.2勘察现场的费用由供应商自己承担，勘察期间所发生的人身伤害及财产损失由供应商自己负责。</w:t>
      </w:r>
    </w:p>
    <w:p w14:paraId="6851A89D">
      <w:pPr>
        <w:adjustRightInd w:val="0"/>
        <w:snapToGrid w:val="0"/>
        <w:spacing w:line="360" w:lineRule="auto"/>
        <w:ind w:firstLine="420" w:firstLineChars="200"/>
        <w:jc w:val="left"/>
        <w:rPr>
          <w:rFonts w:ascii="宋体" w:hAnsi="宋体" w:eastAsia="宋体" w:cs="Times New Roman"/>
          <w:b/>
          <w:color w:val="auto"/>
          <w:kern w:val="2"/>
          <w:szCs w:val="21"/>
        </w:rPr>
      </w:pPr>
      <w:r>
        <w:rPr>
          <w:rFonts w:hint="eastAsia" w:ascii="宋体" w:hAnsi="宋体" w:eastAsia="宋体" w:cs="Times New Roman"/>
          <w:color w:val="auto"/>
          <w:kern w:val="2"/>
          <w:szCs w:val="21"/>
        </w:rPr>
        <w:t>7.3采购人不对供应商据此而做出的推论、理解和结论负责。一旦成交，供应商不得以任何借口，提出额外补偿，或延长合同期限的要求。</w:t>
      </w:r>
    </w:p>
    <w:p w14:paraId="679DD345">
      <w:pPr>
        <w:adjustRightInd w:val="0"/>
        <w:snapToGrid w:val="0"/>
        <w:spacing w:line="360" w:lineRule="auto"/>
        <w:jc w:val="left"/>
        <w:rPr>
          <w:rFonts w:ascii="宋体" w:hAnsi="宋体" w:eastAsia="宋体" w:cs="Times New Roman"/>
          <w:b/>
          <w:color w:val="auto"/>
          <w:kern w:val="2"/>
          <w:szCs w:val="21"/>
        </w:rPr>
      </w:pPr>
      <w:r>
        <w:rPr>
          <w:rFonts w:hint="eastAsia" w:ascii="宋体" w:hAnsi="宋体" w:eastAsia="宋体" w:cs="Times New Roman"/>
          <w:b/>
          <w:color w:val="auto"/>
          <w:kern w:val="2"/>
          <w:szCs w:val="21"/>
        </w:rPr>
        <w:t>8.采购进口产品</w:t>
      </w:r>
    </w:p>
    <w:p w14:paraId="69A8AB10">
      <w:pPr>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Times New Roman"/>
          <w:color w:val="auto"/>
          <w:kern w:val="2"/>
          <w:szCs w:val="21"/>
        </w:rPr>
        <w:t>8.1除</w:t>
      </w:r>
      <w:r>
        <w:rPr>
          <w:rFonts w:hint="eastAsia" w:ascii="宋体" w:hAnsi="宋体" w:eastAsia="宋体" w:cs="Times New Roman"/>
          <w:b/>
          <w:color w:val="auto"/>
          <w:kern w:val="2"/>
          <w:szCs w:val="21"/>
        </w:rPr>
        <w:t>磋商文件前附表</w:t>
      </w:r>
      <w:r>
        <w:rPr>
          <w:rFonts w:hint="eastAsia" w:ascii="宋体" w:hAnsi="宋体" w:eastAsia="宋体" w:cs="Times New Roman"/>
          <w:color w:val="auto"/>
          <w:kern w:val="2"/>
          <w:szCs w:val="21"/>
        </w:rPr>
        <w:t>另有规定外，本项目</w:t>
      </w:r>
      <w:r>
        <w:rPr>
          <w:rFonts w:hint="eastAsia" w:ascii="宋体" w:hAnsi="宋体" w:eastAsia="宋体" w:cs="宋体"/>
          <w:color w:val="auto"/>
          <w:kern w:val="0"/>
          <w:szCs w:val="21"/>
        </w:rPr>
        <w:t>拒绝进口产品参加</w:t>
      </w:r>
      <w:r>
        <w:rPr>
          <w:rFonts w:hint="eastAsia" w:ascii="宋体" w:hAnsi="宋体" w:eastAsia="宋体" w:cs="Times New Roman"/>
          <w:color w:val="auto"/>
          <w:kern w:val="2"/>
          <w:szCs w:val="21"/>
        </w:rPr>
        <w:t>竞争性磋商采购活动</w:t>
      </w:r>
      <w:r>
        <w:rPr>
          <w:rFonts w:hint="eastAsia" w:ascii="宋体" w:hAnsi="宋体" w:eastAsia="宋体" w:cs="宋体"/>
          <w:color w:val="auto"/>
          <w:kern w:val="0"/>
          <w:szCs w:val="21"/>
        </w:rPr>
        <w:t>。</w:t>
      </w:r>
    </w:p>
    <w:p w14:paraId="3C15AC8A">
      <w:pPr>
        <w:adjustRightInd w:val="0"/>
        <w:snapToGri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8.2</w:t>
      </w:r>
      <w:r>
        <w:rPr>
          <w:rFonts w:hint="eastAsia" w:ascii="宋体" w:hAnsi="宋体" w:eastAsia="宋体" w:cs="Times New Roman"/>
          <w:color w:val="auto"/>
          <w:kern w:val="2"/>
          <w:szCs w:val="21"/>
        </w:rPr>
        <w:t>本章第8.1</w:t>
      </w:r>
      <w:r>
        <w:rPr>
          <w:rFonts w:hint="eastAsia" w:ascii="宋体" w:hAnsi="宋体" w:eastAsia="宋体" w:cs="宋体"/>
          <w:color w:val="auto"/>
          <w:kern w:val="0"/>
          <w:szCs w:val="21"/>
          <w:lang w:val="zh-CN"/>
        </w:rPr>
        <w:t>款</w:t>
      </w:r>
      <w:r>
        <w:rPr>
          <w:rFonts w:hint="eastAsia" w:ascii="宋体" w:hAnsi="宋体" w:eastAsia="宋体" w:cs="Times New Roman"/>
          <w:color w:val="auto"/>
          <w:kern w:val="2"/>
          <w:szCs w:val="21"/>
        </w:rPr>
        <w:t>规定</w:t>
      </w:r>
      <w:r>
        <w:rPr>
          <w:rFonts w:hint="eastAsia" w:ascii="宋体" w:hAnsi="宋体" w:eastAsia="宋体" w:cs="宋体"/>
          <w:color w:val="auto"/>
          <w:kern w:val="0"/>
          <w:szCs w:val="21"/>
        </w:rPr>
        <w:t>同意购买进口产品的，</w:t>
      </w:r>
      <w:r>
        <w:rPr>
          <w:rFonts w:hint="eastAsia" w:ascii="宋体" w:hAnsi="宋体" w:eastAsia="宋体" w:cs="Times New Roman"/>
          <w:color w:val="auto"/>
          <w:kern w:val="2"/>
          <w:szCs w:val="21"/>
        </w:rPr>
        <w:t>本项目</w:t>
      </w:r>
      <w:r>
        <w:rPr>
          <w:rFonts w:hint="eastAsia" w:ascii="宋体" w:hAnsi="宋体" w:eastAsia="宋体" w:cs="宋体"/>
          <w:color w:val="auto"/>
          <w:kern w:val="0"/>
          <w:szCs w:val="21"/>
          <w:lang w:val="zh-CN"/>
        </w:rPr>
        <w:t>采购活动</w:t>
      </w:r>
      <w:r>
        <w:rPr>
          <w:rFonts w:hint="eastAsia" w:ascii="宋体" w:hAnsi="宋体" w:eastAsia="宋体" w:cs="宋体"/>
          <w:color w:val="auto"/>
          <w:kern w:val="0"/>
          <w:szCs w:val="21"/>
        </w:rPr>
        <w:t>不限制满足</w:t>
      </w:r>
      <w:r>
        <w:rPr>
          <w:rFonts w:hint="eastAsia" w:ascii="宋体" w:hAnsi="宋体" w:eastAsia="宋体" w:cs="Times New Roman"/>
          <w:color w:val="auto"/>
          <w:kern w:val="2"/>
          <w:szCs w:val="21"/>
        </w:rPr>
        <w:t>磋商文件要求</w:t>
      </w:r>
      <w:r>
        <w:rPr>
          <w:rFonts w:hint="eastAsia" w:ascii="宋体" w:hAnsi="宋体" w:eastAsia="宋体" w:cs="宋体"/>
          <w:color w:val="auto"/>
          <w:kern w:val="0"/>
          <w:szCs w:val="21"/>
        </w:rPr>
        <w:t>的国内产品参与</w:t>
      </w:r>
      <w:r>
        <w:rPr>
          <w:rFonts w:hint="eastAsia" w:ascii="宋体" w:hAnsi="宋体" w:eastAsia="宋体" w:cs="Times New Roman"/>
          <w:color w:val="auto"/>
          <w:kern w:val="2"/>
          <w:szCs w:val="21"/>
        </w:rPr>
        <w:t>竞争性磋商采购活动</w:t>
      </w:r>
      <w:r>
        <w:rPr>
          <w:rFonts w:hint="eastAsia" w:ascii="宋体" w:hAnsi="宋体" w:eastAsia="宋体" w:cs="宋体"/>
          <w:color w:val="auto"/>
          <w:kern w:val="0"/>
          <w:szCs w:val="21"/>
        </w:rPr>
        <w:t>。</w:t>
      </w:r>
    </w:p>
    <w:p w14:paraId="24276CF8">
      <w:pPr>
        <w:adjustRightInd w:val="0"/>
        <w:snapToGrid w:val="0"/>
        <w:spacing w:line="360" w:lineRule="auto"/>
        <w:jc w:val="left"/>
        <w:rPr>
          <w:rFonts w:ascii="宋体" w:hAnsi="宋体" w:eastAsia="宋体" w:cs="Times New Roman"/>
          <w:b/>
          <w:color w:val="auto"/>
          <w:kern w:val="2"/>
          <w:szCs w:val="21"/>
        </w:rPr>
      </w:pPr>
      <w:r>
        <w:rPr>
          <w:rFonts w:hint="eastAsia" w:ascii="宋体" w:hAnsi="宋体" w:eastAsia="宋体" w:cs="Times New Roman"/>
          <w:b/>
          <w:bCs/>
          <w:color w:val="auto"/>
          <w:kern w:val="2"/>
          <w:szCs w:val="21"/>
        </w:rPr>
        <w:t>9.</w:t>
      </w:r>
      <w:r>
        <w:rPr>
          <w:rFonts w:hint="eastAsia" w:ascii="宋体" w:hAnsi="宋体" w:eastAsia="宋体" w:cs="Times New Roman"/>
          <w:b/>
          <w:color w:val="auto"/>
          <w:kern w:val="2"/>
          <w:szCs w:val="21"/>
        </w:rPr>
        <w:t>政府采购政策支持</w:t>
      </w:r>
    </w:p>
    <w:p w14:paraId="7AF3FC81">
      <w:pPr>
        <w:adjustRightInd w:val="0"/>
        <w:snapToGrid w:val="0"/>
        <w:spacing w:line="360" w:lineRule="auto"/>
        <w:ind w:firstLine="420" w:firstLineChars="200"/>
        <w:rPr>
          <w:rFonts w:hAnsi="宋体" w:eastAsia="宋体" w:cs="Times New Roman"/>
          <w:color w:val="auto"/>
          <w:kern w:val="2"/>
          <w:szCs w:val="22"/>
        </w:rPr>
      </w:pPr>
      <w:r>
        <w:rPr>
          <w:rFonts w:hint="eastAsia" w:ascii="宋体" w:hAnsi="宋体" w:eastAsia="宋体" w:cs="Times New Roman"/>
          <w:color w:val="auto"/>
          <w:kern w:val="2"/>
          <w:szCs w:val="21"/>
        </w:rPr>
        <w:t>9.1产品符合政府采购强制采购政策</w:t>
      </w:r>
      <w:r>
        <w:rPr>
          <w:rFonts w:hint="eastAsia" w:hAnsi="宋体" w:eastAsia="宋体" w:cs="Times New Roman"/>
          <w:color w:val="auto"/>
          <w:kern w:val="2"/>
          <w:szCs w:val="22"/>
        </w:rPr>
        <w:t>的，实行强制采购；符合政府采购优先采购政策的，产品只能享受节能产品、环境标志产品等产品优惠中的一项(由供应商在报价文件中选择并填报政策功能编码，评审时进行</w:t>
      </w:r>
      <w:r>
        <w:rPr>
          <w:rFonts w:hint="eastAsia" w:hAnsi="宋体" w:eastAsia="宋体" w:cs="宋体"/>
          <w:color w:val="auto"/>
          <w:kern w:val="0"/>
          <w:szCs w:val="22"/>
        </w:rPr>
        <w:t>价格扣除</w:t>
      </w:r>
      <w:r>
        <w:rPr>
          <w:rFonts w:hint="eastAsia" w:hAnsi="宋体" w:eastAsia="宋体" w:cs="Times New Roman"/>
          <w:color w:val="auto"/>
          <w:kern w:val="2"/>
          <w:szCs w:val="22"/>
        </w:rPr>
        <w:t>)；供应商享受</w:t>
      </w:r>
      <w:r>
        <w:rPr>
          <w:rFonts w:hint="eastAsia" w:hAnsi="宋体" w:eastAsia="宋体" w:cs="宋体"/>
          <w:bCs/>
          <w:color w:val="auto"/>
          <w:kern w:val="0"/>
          <w:szCs w:val="22"/>
        </w:rPr>
        <w:t>支持</w:t>
      </w:r>
      <w:r>
        <w:rPr>
          <w:rFonts w:hint="eastAsia" w:hAnsi="宋体" w:eastAsia="宋体" w:cs="Times New Roman"/>
          <w:color w:val="auto"/>
          <w:kern w:val="2"/>
          <w:szCs w:val="22"/>
        </w:rPr>
        <w:t>中小企业发展政策优惠的，可以与同时享受节能产品、环境标志产品等产品优惠中的一项累加扣除。省级以上财政部门关于政府采购强制采购、优先采购的政策规定可在指定的公告媒体和中国政府采购网(www.ccgp.gov.cn)查询。本项目价格扣除比例见</w:t>
      </w:r>
      <w:r>
        <w:rPr>
          <w:rFonts w:hint="eastAsia" w:hAnsi="宋体" w:eastAsia="宋体" w:cs="Times New Roman"/>
          <w:b/>
          <w:color w:val="auto"/>
          <w:kern w:val="2"/>
          <w:szCs w:val="22"/>
        </w:rPr>
        <w:t>磋商须知前附表</w:t>
      </w:r>
      <w:r>
        <w:rPr>
          <w:rFonts w:hint="eastAsia" w:hAnsi="宋体" w:eastAsia="宋体" w:cs="Times New Roman"/>
          <w:color w:val="auto"/>
          <w:kern w:val="2"/>
          <w:szCs w:val="22"/>
        </w:rPr>
        <w:t>。</w:t>
      </w:r>
    </w:p>
    <w:p w14:paraId="2BAE9246">
      <w:pPr>
        <w:adjustRightInd w:val="0"/>
        <w:snapToGrid w:val="0"/>
        <w:spacing w:line="360" w:lineRule="auto"/>
        <w:ind w:firstLine="420" w:firstLineChars="200"/>
        <w:jc w:val="left"/>
        <w:rPr>
          <w:rFonts w:ascii="宋体" w:hAnsi="宋体" w:eastAsia="宋体" w:cs="Times New Roman"/>
          <w:color w:val="auto"/>
          <w:kern w:val="2"/>
          <w:szCs w:val="21"/>
        </w:rPr>
      </w:pPr>
      <w:r>
        <w:rPr>
          <w:rFonts w:hint="eastAsia" w:ascii="宋体" w:hAnsi="宋体" w:eastAsia="宋体" w:cs="Times New Roman"/>
          <w:color w:val="auto"/>
          <w:kern w:val="2"/>
          <w:szCs w:val="21"/>
        </w:rPr>
        <w:t>9.2同一项目中部分产品属于优先采购政策的，评审时只对该部分产品的报价实行价格扣除。</w:t>
      </w:r>
    </w:p>
    <w:p w14:paraId="66903C9A">
      <w:pPr>
        <w:adjustRightInd w:val="0"/>
        <w:snapToGrid w:val="0"/>
        <w:spacing w:line="360" w:lineRule="auto"/>
        <w:ind w:firstLine="420" w:firstLineChars="200"/>
        <w:jc w:val="left"/>
        <w:rPr>
          <w:rFonts w:ascii="宋体" w:hAnsi="宋体" w:eastAsia="宋体" w:cs="Times New Roman"/>
          <w:color w:val="auto"/>
          <w:kern w:val="2"/>
          <w:szCs w:val="21"/>
        </w:rPr>
      </w:pPr>
      <w:r>
        <w:rPr>
          <w:rFonts w:hint="eastAsia" w:ascii="宋体" w:hAnsi="宋体" w:eastAsia="宋体" w:cs="Times New Roman"/>
          <w:color w:val="auto"/>
          <w:kern w:val="2"/>
          <w:szCs w:val="21"/>
        </w:rPr>
        <w:t>9.3为</w:t>
      </w:r>
      <w:r>
        <w:rPr>
          <w:rFonts w:hint="eastAsia" w:ascii="宋体" w:hAnsi="宋体" w:eastAsia="宋体" w:cs="宋体"/>
          <w:color w:val="auto"/>
          <w:kern w:val="2"/>
          <w:szCs w:val="21"/>
        </w:rPr>
        <w:t>推进政府采购诚信体系建设，</w:t>
      </w:r>
      <w:r>
        <w:rPr>
          <w:rFonts w:hint="eastAsia" w:ascii="宋体" w:hAnsi="宋体" w:eastAsia="宋体" w:cs="Times New Roman"/>
          <w:color w:val="auto"/>
          <w:kern w:val="2"/>
          <w:szCs w:val="21"/>
        </w:rPr>
        <w:t>供应商在签署相关承诺，提供相关信息前，应认真阅读省级以上财政部门相关政策规定。符合本章第9.1</w:t>
      </w:r>
      <w:r>
        <w:rPr>
          <w:rFonts w:hint="eastAsia" w:ascii="宋体" w:hAnsi="宋体" w:eastAsia="宋体" w:cs="宋体"/>
          <w:color w:val="auto"/>
          <w:kern w:val="0"/>
          <w:szCs w:val="21"/>
          <w:lang w:val="zh-CN"/>
        </w:rPr>
        <w:t>款、</w:t>
      </w:r>
      <w:r>
        <w:rPr>
          <w:rFonts w:hint="eastAsia" w:ascii="宋体" w:hAnsi="宋体" w:eastAsia="宋体" w:cs="Times New Roman"/>
          <w:color w:val="auto"/>
          <w:kern w:val="2"/>
          <w:szCs w:val="21"/>
        </w:rPr>
        <w:t>第9.2</w:t>
      </w:r>
      <w:r>
        <w:rPr>
          <w:rFonts w:hint="eastAsia" w:ascii="宋体" w:hAnsi="宋体" w:eastAsia="宋体" w:cs="宋体"/>
          <w:color w:val="auto"/>
          <w:kern w:val="0"/>
          <w:szCs w:val="21"/>
          <w:lang w:val="zh-CN"/>
        </w:rPr>
        <w:t>款</w:t>
      </w:r>
      <w:r>
        <w:rPr>
          <w:rFonts w:hint="eastAsia" w:ascii="宋体" w:hAnsi="宋体" w:eastAsia="宋体" w:cs="Times New Roman"/>
          <w:color w:val="auto"/>
          <w:kern w:val="2"/>
          <w:szCs w:val="21"/>
        </w:rPr>
        <w:t>规定的，应提供相关证明材料。否则，在评审时不予以扣除。</w:t>
      </w:r>
    </w:p>
    <w:p w14:paraId="73B563AB">
      <w:pPr>
        <w:adjustRightInd w:val="0"/>
        <w:snapToGrid w:val="0"/>
        <w:spacing w:before="120" w:beforeLines="50" w:line="360" w:lineRule="auto"/>
        <w:rPr>
          <w:rFonts w:hAnsi="宋体" w:eastAsia="宋体" w:cs="Times New Roman"/>
          <w:b/>
          <w:color w:val="auto"/>
          <w:kern w:val="2"/>
          <w:szCs w:val="22"/>
        </w:rPr>
      </w:pPr>
      <w:r>
        <w:rPr>
          <w:rFonts w:hint="eastAsia" w:hAnsi="宋体" w:eastAsia="宋体" w:cs="Times New Roman"/>
          <w:b/>
          <w:color w:val="auto"/>
          <w:kern w:val="2"/>
          <w:szCs w:val="22"/>
        </w:rPr>
        <w:t>10.偏离</w:t>
      </w:r>
    </w:p>
    <w:p w14:paraId="231D9DA6">
      <w:pPr>
        <w:adjustRightInd w:val="0"/>
        <w:snapToGrid w:val="0"/>
        <w:spacing w:line="360" w:lineRule="auto"/>
        <w:ind w:right="97" w:rightChars="46" w:firstLine="420" w:firstLineChars="200"/>
        <w:rPr>
          <w:rFonts w:eastAsia="宋体" w:cs="Times New Roman"/>
          <w:color w:val="auto"/>
          <w:kern w:val="2"/>
          <w:szCs w:val="21"/>
        </w:rPr>
      </w:pPr>
      <w:r>
        <w:rPr>
          <w:rFonts w:hint="eastAsia" w:ascii="宋体" w:hAnsi="宋体" w:eastAsia="宋体" w:cs="Times New Roman"/>
          <w:color w:val="auto"/>
          <w:kern w:val="2"/>
          <w:szCs w:val="21"/>
        </w:rPr>
        <w:t>10.1本条所称偏离为响应文件对磋商文件的偏离，即不满足、或不响应磋商文件的要求。偏</w:t>
      </w:r>
      <w:r>
        <w:rPr>
          <w:rFonts w:hint="eastAsia" w:eastAsia="宋体" w:cs="Times New Roman"/>
          <w:color w:val="auto"/>
          <w:kern w:val="2"/>
          <w:szCs w:val="21"/>
        </w:rPr>
        <w:t>离分为对</w:t>
      </w:r>
      <w:r>
        <w:rPr>
          <w:rFonts w:hint="eastAsia" w:eastAsia="宋体" w:cs="Times New Roman"/>
          <w:bCs/>
          <w:color w:val="auto"/>
          <w:kern w:val="2"/>
          <w:szCs w:val="21"/>
        </w:rPr>
        <w:t>磋商文件</w:t>
      </w:r>
      <w:r>
        <w:rPr>
          <w:rFonts w:hint="eastAsia" w:eastAsia="宋体" w:cs="Times New Roman"/>
          <w:color w:val="auto"/>
          <w:kern w:val="2"/>
          <w:szCs w:val="21"/>
        </w:rPr>
        <w:t>的实质性要求条款偏离和对</w:t>
      </w:r>
      <w:r>
        <w:rPr>
          <w:rFonts w:hint="eastAsia" w:eastAsia="宋体" w:cs="Times New Roman"/>
          <w:bCs/>
          <w:color w:val="auto"/>
          <w:kern w:val="2"/>
          <w:szCs w:val="21"/>
        </w:rPr>
        <w:t>磋商文件</w:t>
      </w:r>
      <w:r>
        <w:rPr>
          <w:rFonts w:hint="eastAsia" w:eastAsia="宋体" w:cs="Times New Roman"/>
          <w:color w:val="auto"/>
          <w:kern w:val="2"/>
          <w:szCs w:val="21"/>
        </w:rPr>
        <w:t>的一般商务和技术条款（参数）偏离。</w:t>
      </w:r>
    </w:p>
    <w:p w14:paraId="45207BB5">
      <w:pPr>
        <w:tabs>
          <w:tab w:val="left" w:pos="0"/>
        </w:tabs>
        <w:adjustRightInd w:val="0"/>
        <w:snapToGrid w:val="0"/>
        <w:spacing w:before="120" w:beforeLines="50"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10.2</w:t>
      </w:r>
      <w:r>
        <w:rPr>
          <w:rFonts w:hint="eastAsia" w:ascii="宋体" w:hAnsi="宋体" w:eastAsia="宋体" w:cs="Times New Roman"/>
          <w:bCs/>
          <w:color w:val="auto"/>
          <w:kern w:val="2"/>
          <w:szCs w:val="21"/>
        </w:rPr>
        <w:t>除法律、法规和规章规定外，磋商文件</w:t>
      </w:r>
      <w:r>
        <w:rPr>
          <w:rFonts w:hint="eastAsia" w:ascii="宋体" w:hAnsi="宋体" w:eastAsia="宋体" w:cs="Times New Roman"/>
          <w:color w:val="auto"/>
          <w:kern w:val="2"/>
          <w:szCs w:val="21"/>
        </w:rPr>
        <w:t>中用“拒绝”、“不接受”、“无效”、“不得”等文字规定或标注“★”符号的条款为实质性要求条款（即重要条款），对其中任何一条的偏离(即不满足、或不响应)，在评审时将其视为无效响应。未用上述文字规定或符号标注的条款为非实质性要求条款(即一般条款)。</w:t>
      </w:r>
    </w:p>
    <w:p w14:paraId="25DAF338">
      <w:pPr>
        <w:tabs>
          <w:tab w:val="left" w:pos="0"/>
        </w:tabs>
        <w:adjustRightInd w:val="0"/>
        <w:snapToGrid w:val="0"/>
        <w:spacing w:before="120" w:beforeLines="50" w:line="360" w:lineRule="auto"/>
        <w:ind w:firstLine="420" w:firstLineChars="200"/>
        <w:rPr>
          <w:rFonts w:ascii="宋体" w:hAnsi="宋体" w:eastAsia="宋体" w:cs="Times New Roman"/>
          <w:color w:val="auto"/>
          <w:kern w:val="2"/>
          <w:szCs w:val="21"/>
        </w:rPr>
      </w:pPr>
      <w:r>
        <w:rPr>
          <w:rFonts w:hint="eastAsia" w:ascii="宋体" w:hAnsi="宋体" w:eastAsia="宋体" w:cs="Times New Roman"/>
          <w:color w:val="auto"/>
          <w:kern w:val="2"/>
          <w:szCs w:val="21"/>
        </w:rPr>
        <w:t>10.3一般商务和技术条款（参数），偏离项数之和达到</w:t>
      </w:r>
      <w:r>
        <w:rPr>
          <w:rFonts w:hint="eastAsia" w:hAnsi="宋体" w:eastAsia="宋体" w:cs="Times New Roman"/>
          <w:b/>
          <w:color w:val="auto"/>
          <w:kern w:val="2"/>
          <w:szCs w:val="22"/>
        </w:rPr>
        <w:t>磋商须知前附表</w:t>
      </w:r>
      <w:r>
        <w:rPr>
          <w:rFonts w:hint="eastAsia" w:hAnsi="宋体" w:eastAsia="宋体" w:cs="Times New Roman"/>
          <w:bCs/>
          <w:color w:val="auto"/>
          <w:kern w:val="2"/>
          <w:szCs w:val="22"/>
        </w:rPr>
        <w:t>规定</w:t>
      </w:r>
      <w:r>
        <w:rPr>
          <w:rFonts w:hint="eastAsia" w:ascii="宋体" w:hAnsi="宋体" w:eastAsia="宋体" w:cs="Times New Roman"/>
          <w:color w:val="auto"/>
          <w:kern w:val="2"/>
          <w:szCs w:val="21"/>
        </w:rPr>
        <w:t>将导致无效响应。</w:t>
      </w:r>
    </w:p>
    <w:p w14:paraId="03D49915">
      <w:pPr>
        <w:keepNext/>
        <w:keepLines/>
        <w:widowControl w:val="0"/>
        <w:spacing w:before="260" w:after="260" w:line="360" w:lineRule="exact"/>
        <w:jc w:val="left"/>
        <w:outlineLvl w:val="2"/>
        <w:rPr>
          <w:rFonts w:ascii="宋体" w:hAnsi="宋体" w:eastAsia="宋体" w:cs="Times New Roman"/>
          <w:b/>
          <w:bCs/>
          <w:kern w:val="2"/>
          <w:sz w:val="21"/>
          <w:szCs w:val="21"/>
          <w:lang w:val="en-US" w:eastAsia="zh-CN" w:bidi="ar-SA"/>
        </w:rPr>
      </w:pPr>
      <w:bookmarkStart w:id="99" w:name="_Toc172193574"/>
      <w:r>
        <w:rPr>
          <w:rFonts w:hint="eastAsia" w:ascii="宋体" w:hAnsi="宋体" w:eastAsia="宋体" w:cs="Times New Roman"/>
          <w:b/>
          <w:bCs/>
          <w:color w:val="auto"/>
          <w:kern w:val="2"/>
          <w:sz w:val="21"/>
          <w:szCs w:val="21"/>
          <w:lang w:val="en-US" w:eastAsia="zh-CN" w:bidi="ar-SA"/>
        </w:rPr>
        <w:t>二、磋商文件</w:t>
      </w:r>
      <w:bookmarkEnd w:id="99"/>
    </w:p>
    <w:p w14:paraId="5E08A8BB">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11．磋商文件的组成</w:t>
      </w:r>
    </w:p>
    <w:p w14:paraId="130F4F24">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11.1磋商文件由下列文件组成：</w:t>
      </w:r>
    </w:p>
    <w:p w14:paraId="0094FE9A">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第一章磋商通知</w:t>
      </w:r>
    </w:p>
    <w:p w14:paraId="06776F66">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第二章磋商须知</w:t>
      </w:r>
    </w:p>
    <w:p w14:paraId="4DC58411">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第三章磋商办法</w:t>
      </w:r>
    </w:p>
    <w:p w14:paraId="6A6B5711">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第四章政府采购合同格式条款</w:t>
      </w:r>
    </w:p>
    <w:p w14:paraId="23B07841">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第五章采购需求</w:t>
      </w:r>
    </w:p>
    <w:p w14:paraId="416AE6EF">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第六章响应文件组成</w:t>
      </w:r>
    </w:p>
    <w:p w14:paraId="62E2E011">
      <w:pPr>
        <w:adjustRightInd w:val="0"/>
        <w:snapToGrid w:val="0"/>
        <w:spacing w:line="360" w:lineRule="auto"/>
        <w:ind w:firstLine="420" w:firstLineChars="200"/>
        <w:rPr>
          <w:rFonts w:ascii="宋体" w:hAnsi="宋体" w:eastAsia="宋体" w:cs="Times New Roman"/>
          <w:kern w:val="2"/>
          <w:szCs w:val="22"/>
        </w:rPr>
      </w:pPr>
      <w:r>
        <w:rPr>
          <w:rFonts w:hint="eastAsia" w:ascii="宋体" w:hAnsi="宋体" w:eastAsia="宋体" w:cs="Times New Roman"/>
          <w:kern w:val="2"/>
          <w:szCs w:val="22"/>
        </w:rPr>
        <w:t>11.2本章第12.1款规定的提交首次响应文件截止时间前对磋商文件澄清或者修改内容，为磋商文件的组成部分。</w:t>
      </w:r>
    </w:p>
    <w:p w14:paraId="53468BD2">
      <w:pPr>
        <w:adjustRightInd w:val="0"/>
        <w:snapToGrid w:val="0"/>
        <w:spacing w:line="360" w:lineRule="auto"/>
        <w:ind w:firstLine="420" w:firstLineChars="200"/>
        <w:rPr>
          <w:rFonts w:hAnsi="宋体" w:eastAsia="宋体" w:cs="宋体"/>
          <w:kern w:val="0"/>
          <w:szCs w:val="22"/>
        </w:rPr>
      </w:pPr>
      <w:r>
        <w:rPr>
          <w:rFonts w:hint="eastAsia" w:ascii="宋体" w:hAnsi="宋体" w:eastAsia="宋体" w:cs="Times New Roman"/>
          <w:kern w:val="2"/>
          <w:szCs w:val="22"/>
        </w:rPr>
        <w:t>11.3磋商小组根据与供应商磋商情况可能实质性变动</w:t>
      </w:r>
      <w:r>
        <w:rPr>
          <w:rFonts w:hint="eastAsia" w:hAnsi="宋体" w:eastAsia="宋体" w:cs="宋体"/>
          <w:kern w:val="0"/>
          <w:szCs w:val="22"/>
        </w:rPr>
        <w:t>的内容，包括采购需求中的技术、服务要求以及合同条款，</w:t>
      </w:r>
      <w:r>
        <w:rPr>
          <w:rFonts w:hint="eastAsia" w:hAnsi="宋体" w:eastAsia="宋体" w:cs="Times New Roman"/>
          <w:kern w:val="2"/>
          <w:szCs w:val="22"/>
        </w:rPr>
        <w:t>在</w:t>
      </w:r>
      <w:r>
        <w:rPr>
          <w:rFonts w:hint="eastAsia" w:hAnsi="宋体" w:eastAsia="宋体" w:cs="Times New Roman"/>
          <w:b/>
          <w:kern w:val="2"/>
          <w:szCs w:val="22"/>
        </w:rPr>
        <w:t>磋商须知前附表</w:t>
      </w:r>
      <w:r>
        <w:rPr>
          <w:rFonts w:hint="eastAsia" w:hAnsi="宋体" w:eastAsia="宋体" w:cs="Times New Roman"/>
          <w:kern w:val="2"/>
          <w:szCs w:val="22"/>
        </w:rPr>
        <w:t>中明确。</w:t>
      </w:r>
    </w:p>
    <w:p w14:paraId="485F7CC1">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2"/>
        </w:rPr>
        <w:t>11.4</w:t>
      </w:r>
      <w:r>
        <w:rPr>
          <w:rFonts w:hint="eastAsia" w:ascii="宋体" w:hAnsi="宋体" w:eastAsia="宋体" w:cs="Times New Roman"/>
          <w:kern w:val="2"/>
          <w:szCs w:val="21"/>
        </w:rPr>
        <w:t>供应商应仔细阅读</w:t>
      </w:r>
      <w:r>
        <w:rPr>
          <w:rFonts w:hint="eastAsia" w:ascii="宋体" w:hAnsi="宋体" w:eastAsia="宋体" w:cs="Times New Roman"/>
          <w:bCs/>
          <w:kern w:val="2"/>
          <w:szCs w:val="21"/>
        </w:rPr>
        <w:t>磋商文件</w:t>
      </w:r>
      <w:r>
        <w:rPr>
          <w:rFonts w:hint="eastAsia" w:ascii="宋体" w:hAnsi="宋体" w:eastAsia="宋体" w:cs="Times New Roman"/>
          <w:kern w:val="2"/>
          <w:szCs w:val="21"/>
        </w:rPr>
        <w:t>的全部内容，按照</w:t>
      </w:r>
      <w:r>
        <w:rPr>
          <w:rFonts w:hint="eastAsia" w:ascii="宋体" w:hAnsi="宋体" w:eastAsia="宋体" w:cs="Times New Roman"/>
          <w:bCs/>
          <w:kern w:val="2"/>
          <w:szCs w:val="21"/>
        </w:rPr>
        <w:t>磋商文件</w:t>
      </w:r>
      <w:r>
        <w:rPr>
          <w:rFonts w:hint="eastAsia" w:ascii="宋体" w:hAnsi="宋体" w:eastAsia="宋体" w:cs="Times New Roman"/>
          <w:kern w:val="2"/>
          <w:szCs w:val="21"/>
        </w:rPr>
        <w:t>要求编制响应文件。任何对</w:t>
      </w:r>
      <w:r>
        <w:rPr>
          <w:rFonts w:hint="eastAsia" w:ascii="宋体" w:hAnsi="宋体" w:eastAsia="宋体" w:cs="Times New Roman"/>
          <w:bCs/>
          <w:kern w:val="2"/>
          <w:szCs w:val="21"/>
        </w:rPr>
        <w:t>磋商文件</w:t>
      </w:r>
      <w:r>
        <w:rPr>
          <w:rFonts w:hint="eastAsia" w:ascii="宋体" w:hAnsi="宋体" w:eastAsia="宋体" w:cs="Times New Roman"/>
          <w:kern w:val="2"/>
          <w:szCs w:val="21"/>
        </w:rPr>
        <w:t>的忽略或误解不能作为响应文件存在缺陷或瑕疵的理由，其风险由供应商承担。</w:t>
      </w:r>
    </w:p>
    <w:p w14:paraId="54948B2C">
      <w:pPr>
        <w:adjustRightInd w:val="0"/>
        <w:snapToGrid w:val="0"/>
        <w:spacing w:line="360" w:lineRule="auto"/>
        <w:rPr>
          <w:rFonts w:hAnsi="宋体" w:eastAsia="宋体" w:cs="Times New Roman"/>
          <w:kern w:val="2"/>
          <w:szCs w:val="22"/>
        </w:rPr>
      </w:pPr>
      <w:r>
        <w:rPr>
          <w:rFonts w:hint="eastAsia" w:hAnsi="宋体" w:eastAsia="宋体" w:cs="Times New Roman"/>
          <w:b/>
          <w:kern w:val="2"/>
          <w:szCs w:val="22"/>
        </w:rPr>
        <w:t>12.递</w:t>
      </w:r>
      <w:r>
        <w:rPr>
          <w:rFonts w:hint="eastAsia" w:hAnsi="宋体" w:eastAsia="宋体" w:cs="宋体"/>
          <w:b/>
          <w:kern w:val="0"/>
          <w:szCs w:val="22"/>
        </w:rPr>
        <w:t>交响应文件</w:t>
      </w:r>
      <w:r>
        <w:rPr>
          <w:rFonts w:hint="eastAsia" w:hAnsi="宋体" w:eastAsia="宋体" w:cs="Times New Roman"/>
          <w:b/>
          <w:kern w:val="2"/>
          <w:szCs w:val="22"/>
        </w:rPr>
        <w:t>的</w:t>
      </w:r>
      <w:r>
        <w:rPr>
          <w:rFonts w:hint="eastAsia" w:hAnsi="宋体" w:eastAsia="宋体" w:cs="宋体"/>
          <w:b/>
          <w:kern w:val="0"/>
          <w:szCs w:val="22"/>
        </w:rPr>
        <w:t>截止</w:t>
      </w:r>
      <w:r>
        <w:rPr>
          <w:rFonts w:hint="eastAsia" w:hAnsi="宋体" w:eastAsia="宋体" w:cs="Times New Roman"/>
          <w:b/>
          <w:kern w:val="2"/>
          <w:szCs w:val="22"/>
        </w:rPr>
        <w:t>时间</w:t>
      </w:r>
    </w:p>
    <w:p w14:paraId="410B62FE">
      <w:pPr>
        <w:adjustRightInd w:val="0"/>
        <w:snapToGrid w:val="0"/>
        <w:spacing w:line="360" w:lineRule="auto"/>
        <w:ind w:firstLine="420" w:firstLineChars="200"/>
        <w:rPr>
          <w:rFonts w:hAnsi="宋体" w:eastAsia="宋体" w:cs="Times New Roman"/>
          <w:kern w:val="2"/>
          <w:szCs w:val="22"/>
        </w:rPr>
      </w:pPr>
      <w:r>
        <w:rPr>
          <w:rFonts w:hint="eastAsia" w:ascii="宋体" w:hAnsi="宋体" w:eastAsia="宋体" w:cs="Times New Roman"/>
          <w:kern w:val="2"/>
          <w:szCs w:val="21"/>
        </w:rPr>
        <w:t>12.1供应商递交响</w:t>
      </w:r>
      <w:r>
        <w:rPr>
          <w:rFonts w:hint="eastAsia" w:hAnsi="宋体" w:eastAsia="宋体" w:cs="宋体"/>
          <w:kern w:val="0"/>
          <w:szCs w:val="22"/>
        </w:rPr>
        <w:t>应文件截止</w:t>
      </w:r>
      <w:r>
        <w:rPr>
          <w:rFonts w:hint="eastAsia" w:hAnsi="宋体" w:eastAsia="宋体" w:cs="Times New Roman"/>
          <w:kern w:val="2"/>
          <w:szCs w:val="22"/>
        </w:rPr>
        <w:t>时间见</w:t>
      </w:r>
      <w:r>
        <w:rPr>
          <w:rFonts w:hint="eastAsia" w:hAnsi="宋体" w:eastAsia="宋体" w:cs="Times New Roman"/>
          <w:b/>
          <w:kern w:val="2"/>
          <w:szCs w:val="22"/>
        </w:rPr>
        <w:t>磋商须知前附表</w:t>
      </w:r>
      <w:r>
        <w:rPr>
          <w:rFonts w:hint="eastAsia" w:hAnsi="宋体" w:eastAsia="宋体" w:cs="Times New Roman"/>
          <w:kern w:val="2"/>
          <w:szCs w:val="22"/>
        </w:rPr>
        <w:t>。</w:t>
      </w:r>
    </w:p>
    <w:p w14:paraId="153C90F9">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13.磋商文件的澄清</w:t>
      </w:r>
      <w:r>
        <w:rPr>
          <w:rFonts w:hint="eastAsia" w:ascii="宋体" w:hAnsi="宋体" w:eastAsia="宋体" w:cs="Times New Roman"/>
          <w:b/>
          <w:kern w:val="0"/>
          <w:szCs w:val="21"/>
          <w:lang w:val="zh-CN"/>
        </w:rPr>
        <w:t>或者</w:t>
      </w:r>
      <w:r>
        <w:rPr>
          <w:rFonts w:hint="eastAsia" w:ascii="宋体" w:hAnsi="宋体" w:eastAsia="宋体" w:cs="Times New Roman"/>
          <w:b/>
          <w:bCs/>
          <w:kern w:val="2"/>
          <w:szCs w:val="21"/>
        </w:rPr>
        <w:t>修改</w:t>
      </w:r>
    </w:p>
    <w:p w14:paraId="50C10D62">
      <w:pPr>
        <w:adjustRightInd w:val="0"/>
        <w:snapToGrid w:val="0"/>
        <w:spacing w:line="360" w:lineRule="auto"/>
        <w:ind w:right="-105" w:rightChars="-50" w:firstLine="420" w:firstLineChars="200"/>
        <w:rPr>
          <w:rFonts w:hint="eastAsia" w:ascii="宋体" w:hAnsi="宋体" w:eastAsia="宋体" w:cs="宋体"/>
          <w:kern w:val="0"/>
          <w:szCs w:val="21"/>
          <w:lang w:eastAsia="zh-CN"/>
        </w:rPr>
      </w:pPr>
      <w:r>
        <w:rPr>
          <w:rFonts w:hint="eastAsia" w:ascii="宋体" w:hAnsi="宋体" w:eastAsia="宋体" w:cs="Times New Roman"/>
          <w:kern w:val="2"/>
          <w:szCs w:val="21"/>
        </w:rPr>
        <w:t>13.1在</w:t>
      </w:r>
      <w:r>
        <w:rPr>
          <w:rFonts w:hint="eastAsia" w:ascii="宋体" w:hAnsi="宋体" w:eastAsia="宋体" w:cs="Times New Roman"/>
          <w:bCs/>
          <w:kern w:val="2"/>
          <w:szCs w:val="21"/>
        </w:rPr>
        <w:t>本章第12.1</w:t>
      </w:r>
      <w:r>
        <w:rPr>
          <w:rFonts w:hint="eastAsia" w:ascii="宋体" w:hAnsi="宋体" w:eastAsia="宋体" w:cs="宋体"/>
          <w:kern w:val="0"/>
          <w:szCs w:val="21"/>
          <w:lang w:val="zh-CN"/>
        </w:rPr>
        <w:t>款</w:t>
      </w:r>
      <w:r>
        <w:rPr>
          <w:rFonts w:hint="eastAsia" w:ascii="宋体" w:hAnsi="宋体" w:eastAsia="宋体" w:cs="Times New Roman"/>
          <w:bCs/>
          <w:kern w:val="2"/>
          <w:szCs w:val="21"/>
        </w:rPr>
        <w:t>规定的递</w:t>
      </w:r>
      <w:r>
        <w:rPr>
          <w:rFonts w:hint="eastAsia" w:ascii="宋体" w:hAnsi="宋体" w:eastAsia="宋体" w:cs="宋体"/>
          <w:kern w:val="0"/>
          <w:szCs w:val="21"/>
        </w:rPr>
        <w:t>交响应文件截止之日前，采购人、采购代理机构或者磋商小组可以对已发出的磋商文件进行必要的澄清或者修改。</w:t>
      </w:r>
    </w:p>
    <w:p w14:paraId="268F8C22">
      <w:pPr>
        <w:autoSpaceDE w:val="0"/>
        <w:autoSpaceDN w:val="0"/>
        <w:adjustRightInd w:val="0"/>
        <w:snapToGrid w:val="0"/>
        <w:spacing w:before="120" w:beforeLines="50" w:line="360" w:lineRule="auto"/>
        <w:ind w:firstLine="420" w:firstLineChars="200"/>
        <w:rPr>
          <w:rFonts w:ascii="宋体" w:hAnsi="宋体" w:eastAsia="宋体" w:cs="宋体"/>
          <w:b w:val="0"/>
          <w:bCs w:val="0"/>
          <w:kern w:val="0"/>
          <w:szCs w:val="21"/>
          <w:highlight w:val="none"/>
        </w:rPr>
      </w:pPr>
      <w:r>
        <w:rPr>
          <w:rFonts w:hint="eastAsia" w:ascii="宋体" w:hAnsi="宋体" w:eastAsia="宋体" w:cs="Times New Roman"/>
          <w:kern w:val="2"/>
          <w:szCs w:val="21"/>
        </w:rPr>
        <w:t>13.2</w:t>
      </w:r>
      <w:r>
        <w:rPr>
          <w:rFonts w:hint="eastAsia" w:ascii="宋体" w:hAnsi="宋体" w:eastAsia="宋体" w:cs="宋体"/>
          <w:kern w:val="0"/>
          <w:szCs w:val="21"/>
        </w:rPr>
        <w:t>澄清或者修改的内容可能影响响应文件编制的，采购人、采购代理机构或者磋商小组应当在</w:t>
      </w:r>
      <w:r>
        <w:rPr>
          <w:rFonts w:hint="eastAsia" w:ascii="宋体" w:hAnsi="宋体" w:eastAsia="宋体" w:cs="Times New Roman"/>
          <w:bCs/>
          <w:kern w:val="2"/>
          <w:szCs w:val="21"/>
        </w:rPr>
        <w:t>本章第12.1</w:t>
      </w:r>
      <w:r>
        <w:rPr>
          <w:rFonts w:hint="eastAsia" w:ascii="宋体" w:hAnsi="宋体" w:eastAsia="宋体" w:cs="宋体"/>
          <w:kern w:val="0"/>
          <w:szCs w:val="21"/>
          <w:lang w:val="zh-CN"/>
        </w:rPr>
        <w:t>款</w:t>
      </w:r>
      <w:r>
        <w:rPr>
          <w:rFonts w:hint="eastAsia" w:ascii="宋体" w:hAnsi="宋体" w:eastAsia="宋体" w:cs="Times New Roman"/>
          <w:bCs/>
          <w:kern w:val="2"/>
          <w:szCs w:val="21"/>
        </w:rPr>
        <w:t>规定的</w:t>
      </w:r>
      <w:r>
        <w:rPr>
          <w:rFonts w:hint="eastAsia" w:ascii="宋体" w:hAnsi="宋体" w:eastAsia="宋体" w:cs="宋体"/>
          <w:kern w:val="0"/>
          <w:szCs w:val="21"/>
        </w:rPr>
        <w:t>提交首次响应文件截止之日5日前，以书面形式通知所有接收磋商文件的供应商，不</w:t>
      </w:r>
      <w:r>
        <w:rPr>
          <w:rFonts w:hint="eastAsia" w:ascii="宋体" w:hAnsi="宋体" w:eastAsia="宋体" w:cs="宋体"/>
          <w:b w:val="0"/>
          <w:bCs w:val="0"/>
          <w:kern w:val="0"/>
          <w:szCs w:val="21"/>
          <w:highlight w:val="none"/>
        </w:rPr>
        <w:t>足5日的，顺延供应商提交响应文件截止时间。</w:t>
      </w:r>
    </w:p>
    <w:p w14:paraId="1AA28D3E">
      <w:pPr>
        <w:autoSpaceDE w:val="0"/>
        <w:autoSpaceDN w:val="0"/>
        <w:adjustRightInd w:val="0"/>
        <w:snapToGrid w:val="0"/>
        <w:spacing w:before="120" w:beforeLines="50" w:line="360" w:lineRule="auto"/>
        <w:ind w:firstLine="420" w:firstLineChars="200"/>
        <w:rPr>
          <w:rFonts w:ascii="宋体" w:hAnsi="宋体" w:eastAsia="宋体" w:cs="宋体"/>
          <w:kern w:val="0"/>
          <w:szCs w:val="21"/>
        </w:rPr>
      </w:pPr>
      <w:r>
        <w:rPr>
          <w:rFonts w:hint="eastAsia" w:ascii="宋体" w:hAnsi="宋体" w:eastAsia="宋体" w:cs="宋体"/>
          <w:b w:val="0"/>
          <w:bCs w:val="0"/>
          <w:kern w:val="0"/>
          <w:szCs w:val="21"/>
          <w:highlight w:val="none"/>
        </w:rPr>
        <w:t>13.3</w:t>
      </w:r>
      <w:r>
        <w:rPr>
          <w:rFonts w:hint="eastAsia" w:ascii="ˎ̥" w:hAnsi="ˎ̥" w:eastAsia="宋体" w:cs="Times New Roman"/>
          <w:b w:val="0"/>
          <w:bCs w:val="0"/>
          <w:kern w:val="2"/>
          <w:szCs w:val="22"/>
          <w:highlight w:val="none"/>
        </w:rPr>
        <w:t>澄清更正采用</w:t>
      </w:r>
      <w:r>
        <w:rPr>
          <w:rFonts w:ascii="ˎ̥" w:hAnsi="ˎ̥" w:eastAsia="宋体" w:cs="Times New Roman"/>
          <w:b w:val="0"/>
          <w:bCs w:val="0"/>
          <w:kern w:val="2"/>
          <w:szCs w:val="22"/>
          <w:highlight w:val="none"/>
        </w:rPr>
        <w:t>“</w:t>
      </w:r>
      <w:r>
        <w:rPr>
          <w:rFonts w:hint="eastAsia" w:ascii="ˎ̥" w:hAnsi="ˎ̥" w:eastAsia="宋体" w:cs="Times New Roman"/>
          <w:b w:val="0"/>
          <w:bCs w:val="0"/>
          <w:kern w:val="2"/>
          <w:szCs w:val="22"/>
          <w:highlight w:val="none"/>
        </w:rPr>
        <w:t>网上澄清更正</w:t>
      </w:r>
      <w:r>
        <w:rPr>
          <w:rFonts w:ascii="ˎ̥" w:hAnsi="ˎ̥" w:eastAsia="宋体" w:cs="Times New Roman"/>
          <w:b w:val="0"/>
          <w:bCs w:val="0"/>
          <w:kern w:val="2"/>
          <w:szCs w:val="22"/>
          <w:highlight w:val="none"/>
        </w:rPr>
        <w:t>”</w:t>
      </w:r>
      <w:r>
        <w:rPr>
          <w:rFonts w:hint="eastAsia" w:ascii="ˎ̥" w:hAnsi="ˎ̥" w:eastAsia="宋体" w:cs="Times New Roman"/>
          <w:b w:val="0"/>
          <w:bCs w:val="0"/>
          <w:kern w:val="2"/>
          <w:szCs w:val="22"/>
          <w:highlight w:val="none"/>
        </w:rPr>
        <w:t>方式。采购代理机构对磋商文件的澄清更正将在</w:t>
      </w:r>
      <w:r>
        <w:rPr>
          <w:rFonts w:hint="eastAsia" w:hAnsi="宋体" w:eastAsia="宋体" w:cs="Times New Roman"/>
          <w:b w:val="0"/>
          <w:bCs w:val="0"/>
          <w:kern w:val="2"/>
          <w:szCs w:val="22"/>
          <w:highlight w:val="none"/>
          <w:lang w:val="en-US" w:eastAsia="zh-CN"/>
        </w:rPr>
        <w:t>招标公告发布网站</w:t>
      </w:r>
      <w:r>
        <w:rPr>
          <w:rFonts w:hint="eastAsia" w:ascii="ˎ̥" w:hAnsi="ˎ̥" w:eastAsia="宋体" w:cs="Times New Roman"/>
          <w:b w:val="0"/>
          <w:bCs w:val="0"/>
          <w:kern w:val="2"/>
          <w:szCs w:val="22"/>
          <w:highlight w:val="none"/>
        </w:rPr>
        <w:t>上发布，</w:t>
      </w:r>
      <w:r>
        <w:rPr>
          <w:rFonts w:hint="eastAsia" w:ascii="宋体" w:hAnsi="宋体" w:eastAsia="宋体" w:cs="Times New Roman"/>
          <w:b w:val="0"/>
          <w:bCs w:val="0"/>
          <w:kern w:val="2"/>
          <w:szCs w:val="22"/>
          <w:highlight w:val="none"/>
        </w:rPr>
        <w:t>请各供应商关注</w:t>
      </w:r>
      <w:r>
        <w:rPr>
          <w:rFonts w:hint="eastAsia" w:ascii="ˎ̥" w:hAnsi="ˎ̥" w:eastAsia="宋体" w:cs="Times New Roman"/>
          <w:b w:val="0"/>
          <w:bCs w:val="0"/>
          <w:kern w:val="2"/>
          <w:szCs w:val="22"/>
          <w:highlight w:val="none"/>
        </w:rPr>
        <w:t>指定公告媒体</w:t>
      </w:r>
      <w:r>
        <w:rPr>
          <w:rFonts w:hint="eastAsia" w:ascii="宋体" w:hAnsi="宋体" w:eastAsia="宋体" w:cs="Times New Roman"/>
          <w:b w:val="0"/>
          <w:bCs w:val="0"/>
          <w:kern w:val="2"/>
          <w:szCs w:val="22"/>
          <w:highlight w:val="none"/>
        </w:rPr>
        <w:t>上发布的</w:t>
      </w:r>
      <w:r>
        <w:rPr>
          <w:rFonts w:hint="eastAsia" w:eastAsia="宋体" w:cs="Times New Roman"/>
          <w:b w:val="0"/>
          <w:bCs w:val="0"/>
          <w:kern w:val="2"/>
          <w:szCs w:val="22"/>
          <w:highlight w:val="none"/>
        </w:rPr>
        <w:t>磋商文件的澄清或修改、递交响应文件截止时间的变更等相关信息，恕不另行通知</w:t>
      </w:r>
      <w:r>
        <w:rPr>
          <w:rFonts w:hint="eastAsia" w:eastAsia="宋体" w:cs="Times New Roman"/>
          <w:kern w:val="2"/>
          <w:szCs w:val="22"/>
        </w:rPr>
        <w:t>。</w:t>
      </w:r>
    </w:p>
    <w:p w14:paraId="11F32172">
      <w:pPr>
        <w:keepNext/>
        <w:keepLines/>
        <w:widowControl w:val="0"/>
        <w:spacing w:before="260" w:after="260" w:line="360" w:lineRule="exact"/>
        <w:jc w:val="left"/>
        <w:outlineLvl w:val="2"/>
        <w:rPr>
          <w:rFonts w:ascii="宋体" w:hAnsi="宋体" w:eastAsia="宋体" w:cs="Times New Roman"/>
          <w:b/>
          <w:bCs/>
          <w:kern w:val="2"/>
          <w:sz w:val="21"/>
          <w:szCs w:val="21"/>
          <w:lang w:val="en-US" w:eastAsia="zh-CN" w:bidi="ar-SA"/>
        </w:rPr>
      </w:pPr>
      <w:bookmarkStart w:id="100" w:name="_Toc172193575"/>
      <w:r>
        <w:rPr>
          <w:rFonts w:hint="eastAsia" w:ascii="宋体" w:hAnsi="宋体" w:eastAsia="宋体" w:cs="Times New Roman"/>
          <w:b/>
          <w:bCs/>
          <w:kern w:val="2"/>
          <w:sz w:val="21"/>
          <w:szCs w:val="21"/>
          <w:lang w:val="en-US" w:eastAsia="zh-CN" w:bidi="ar-SA"/>
        </w:rPr>
        <w:t>三、响应文件</w:t>
      </w:r>
      <w:bookmarkEnd w:id="100"/>
    </w:p>
    <w:p w14:paraId="7A7A2ACE">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14.一般要求</w:t>
      </w:r>
    </w:p>
    <w:p w14:paraId="473D9F29">
      <w:pPr>
        <w:adjustRightInd w:val="0"/>
        <w:snapToGrid w:val="0"/>
        <w:spacing w:line="360" w:lineRule="auto"/>
        <w:ind w:firstLine="420" w:firstLineChars="200"/>
        <w:rPr>
          <w:rFonts w:ascii="宋体" w:hAnsi="宋体" w:eastAsia="宋体" w:cs="Times New Roman"/>
          <w:bCs/>
          <w:kern w:val="2"/>
          <w:szCs w:val="21"/>
        </w:rPr>
      </w:pPr>
      <w:r>
        <w:rPr>
          <w:rFonts w:hint="eastAsia" w:ascii="宋体" w:hAnsi="宋体" w:eastAsia="宋体" w:cs="Times New Roman"/>
          <w:bCs/>
          <w:kern w:val="2"/>
          <w:szCs w:val="21"/>
        </w:rPr>
        <w:t>14.1供应商应仔细阅读磋商文件的所有内容，按磋商文件的要求编制响应文件，并保证所提供的全部资料的真实性，以使其响应文件对磋商文件做出实质性的响应。</w:t>
      </w:r>
    </w:p>
    <w:p w14:paraId="13BE2032">
      <w:pPr>
        <w:adjustRightInd w:val="0"/>
        <w:snapToGrid w:val="0"/>
        <w:spacing w:line="360" w:lineRule="auto"/>
        <w:ind w:firstLine="420" w:firstLineChars="200"/>
        <w:rPr>
          <w:rFonts w:ascii="宋体" w:hAnsi="宋体" w:eastAsia="宋体" w:cs="Times New Roman"/>
          <w:bCs/>
          <w:kern w:val="2"/>
          <w:szCs w:val="21"/>
        </w:rPr>
      </w:pPr>
      <w:r>
        <w:rPr>
          <w:rFonts w:hint="eastAsia" w:ascii="宋体" w:hAnsi="宋体" w:eastAsia="宋体" w:cs="Times New Roman"/>
          <w:bCs/>
          <w:kern w:val="2"/>
          <w:szCs w:val="21"/>
        </w:rPr>
        <w:t>14.2</w:t>
      </w:r>
      <w:r>
        <w:rPr>
          <w:rFonts w:hint="eastAsia" w:ascii="宋体" w:hAnsi="宋体" w:eastAsia="宋体" w:cs="Times New Roman"/>
          <w:kern w:val="2"/>
          <w:szCs w:val="21"/>
        </w:rPr>
        <w:t>供应商提交的响应文件及供应商与采购人或采购代理机构、磋商小组就有关磋商的所有来往函电均使用中文。供应商可以提交其它语言的资料，但应附中文注释，在有差异时以中文为准。</w:t>
      </w:r>
    </w:p>
    <w:p w14:paraId="12990EFD">
      <w:pPr>
        <w:adjustRightInd w:val="0"/>
        <w:snapToGrid w:val="0"/>
        <w:spacing w:line="360" w:lineRule="auto"/>
        <w:ind w:firstLine="420" w:firstLineChars="200"/>
        <w:rPr>
          <w:rFonts w:ascii="宋体" w:hAnsi="宋体" w:eastAsia="宋体" w:cs="Times New Roman"/>
          <w:bCs/>
          <w:kern w:val="2"/>
          <w:szCs w:val="21"/>
        </w:rPr>
      </w:pPr>
      <w:r>
        <w:rPr>
          <w:rFonts w:hint="eastAsia" w:ascii="宋体" w:hAnsi="宋体" w:eastAsia="宋体" w:cs="Times New Roman"/>
          <w:bCs/>
          <w:kern w:val="2"/>
          <w:szCs w:val="21"/>
        </w:rPr>
        <w:t>14.3计量单位应使用我国法定计量单位，未列明时应默认为我国法定计量单位。</w:t>
      </w:r>
    </w:p>
    <w:p w14:paraId="3AA4283A">
      <w:pPr>
        <w:adjustRightInd w:val="0"/>
        <w:snapToGrid w:val="0"/>
        <w:spacing w:line="360" w:lineRule="auto"/>
        <w:ind w:firstLine="420" w:firstLineChars="200"/>
        <w:rPr>
          <w:rFonts w:ascii="宋体" w:hAnsi="宋体" w:eastAsia="宋体" w:cs="Times New Roman"/>
          <w:bCs/>
          <w:kern w:val="2"/>
          <w:szCs w:val="21"/>
        </w:rPr>
      </w:pPr>
      <w:r>
        <w:rPr>
          <w:rFonts w:hint="eastAsia" w:ascii="宋体" w:hAnsi="宋体" w:eastAsia="宋体" w:cs="Times New Roman"/>
          <w:bCs/>
          <w:kern w:val="2"/>
          <w:szCs w:val="21"/>
        </w:rPr>
        <w:t>14.4响应文件应采用书面形式，电报、传真、电子邮件形式的响应文件概不接受。</w:t>
      </w:r>
    </w:p>
    <w:p w14:paraId="24444812">
      <w:pPr>
        <w:adjustRightInd w:val="0"/>
        <w:snapToGrid w:val="0"/>
        <w:spacing w:line="360" w:lineRule="auto"/>
        <w:ind w:firstLine="420" w:firstLineChars="200"/>
        <w:rPr>
          <w:rFonts w:ascii="宋体" w:hAnsi="宋体" w:eastAsia="宋体" w:cs="Times New Roman"/>
          <w:bCs/>
          <w:kern w:val="2"/>
          <w:szCs w:val="21"/>
        </w:rPr>
      </w:pPr>
      <w:r>
        <w:rPr>
          <w:rFonts w:hint="eastAsia" w:ascii="宋体" w:hAnsi="宋体" w:eastAsia="宋体" w:cs="Times New Roman"/>
          <w:bCs/>
          <w:kern w:val="2"/>
          <w:szCs w:val="21"/>
        </w:rPr>
        <w:t>14.5供应商应按磋商文件中提供的响应文件格式填写。</w:t>
      </w:r>
    </w:p>
    <w:p w14:paraId="0B42CD70">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15.</w:t>
      </w:r>
      <w:r>
        <w:rPr>
          <w:rFonts w:hint="eastAsia" w:ascii="宋体" w:hAnsi="宋体" w:eastAsia="宋体" w:cs="Times New Roman"/>
          <w:b/>
          <w:kern w:val="2"/>
          <w:szCs w:val="21"/>
        </w:rPr>
        <w:t>响应文件</w:t>
      </w:r>
      <w:r>
        <w:rPr>
          <w:rFonts w:hint="eastAsia" w:ascii="宋体" w:hAnsi="宋体" w:eastAsia="宋体" w:cs="Times New Roman"/>
          <w:b/>
          <w:bCs/>
          <w:kern w:val="2"/>
          <w:szCs w:val="21"/>
        </w:rPr>
        <w:t>的组成</w:t>
      </w:r>
    </w:p>
    <w:p w14:paraId="59189F34">
      <w:pPr>
        <w:adjustRightInd w:val="0"/>
        <w:snapToGrid w:val="0"/>
        <w:spacing w:line="360" w:lineRule="auto"/>
        <w:ind w:firstLine="420" w:firstLineChars="200"/>
        <w:jc w:val="left"/>
        <w:rPr>
          <w:rFonts w:hint="eastAsia" w:ascii="宋体" w:hAnsi="宋体" w:eastAsia="宋体" w:cs="Times New Roman"/>
          <w:kern w:val="2"/>
          <w:szCs w:val="21"/>
          <w:lang w:eastAsia="zh-CN"/>
        </w:rPr>
      </w:pPr>
      <w:r>
        <w:rPr>
          <w:rFonts w:hint="eastAsia" w:ascii="宋体" w:hAnsi="宋体" w:eastAsia="宋体" w:cs="Times New Roman"/>
          <w:kern w:val="2"/>
          <w:szCs w:val="22"/>
        </w:rPr>
        <w:t>15.1响应文件包括下列内容：</w:t>
      </w:r>
    </w:p>
    <w:p w14:paraId="6DCF3666">
      <w:pPr>
        <w:adjustRightInd w:val="0"/>
        <w:snapToGrid w:val="0"/>
        <w:spacing w:line="360" w:lineRule="auto"/>
        <w:ind w:firstLine="420" w:firstLineChars="200"/>
        <w:rPr>
          <w:rFonts w:ascii="宋体" w:hAnsi="宋体" w:eastAsia="宋体" w:cs="Courier New"/>
          <w:kern w:val="2"/>
          <w:szCs w:val="21"/>
        </w:rPr>
      </w:pPr>
      <w:r>
        <w:rPr>
          <w:rFonts w:hint="eastAsia" w:ascii="宋体" w:hAnsi="宋体" w:eastAsia="宋体" w:cs="Courier New"/>
          <w:kern w:val="2"/>
          <w:szCs w:val="21"/>
        </w:rPr>
        <w:t>（1）磋商响应声明</w:t>
      </w:r>
    </w:p>
    <w:p w14:paraId="65838CB4">
      <w:pPr>
        <w:adjustRightInd w:val="0"/>
        <w:snapToGrid w:val="0"/>
        <w:spacing w:line="360" w:lineRule="auto"/>
        <w:ind w:firstLine="420" w:firstLineChars="200"/>
        <w:rPr>
          <w:rFonts w:ascii="宋体" w:hAnsi="宋体" w:eastAsia="宋体" w:cs="Courier New"/>
          <w:kern w:val="2"/>
          <w:szCs w:val="21"/>
        </w:rPr>
      </w:pPr>
      <w:r>
        <w:rPr>
          <w:rFonts w:hint="eastAsia" w:ascii="宋体" w:hAnsi="宋体" w:eastAsia="宋体" w:cs="Courier New"/>
          <w:kern w:val="2"/>
          <w:szCs w:val="21"/>
        </w:rPr>
        <w:t>（2）保证金</w:t>
      </w:r>
    </w:p>
    <w:p w14:paraId="14C92B2E">
      <w:pPr>
        <w:adjustRightInd w:val="0"/>
        <w:snapToGrid w:val="0"/>
        <w:spacing w:line="360" w:lineRule="auto"/>
        <w:ind w:firstLine="420" w:firstLineChars="200"/>
        <w:rPr>
          <w:rFonts w:ascii="宋体" w:hAnsi="宋体" w:eastAsia="宋体" w:cs="Courier New"/>
          <w:kern w:val="2"/>
          <w:szCs w:val="21"/>
        </w:rPr>
      </w:pPr>
      <w:r>
        <w:rPr>
          <w:rFonts w:hint="eastAsia" w:ascii="宋体" w:hAnsi="宋体" w:eastAsia="宋体" w:cs="Courier New"/>
          <w:kern w:val="2"/>
          <w:szCs w:val="21"/>
        </w:rPr>
        <w:t>（3）供应商的资格证明材料</w:t>
      </w:r>
    </w:p>
    <w:p w14:paraId="7C8E3CFB">
      <w:pPr>
        <w:adjustRightInd w:val="0"/>
        <w:snapToGrid w:val="0"/>
        <w:spacing w:line="360" w:lineRule="auto"/>
        <w:ind w:firstLine="420" w:firstLineChars="200"/>
        <w:rPr>
          <w:rFonts w:hint="eastAsia" w:ascii="宋体" w:hAnsi="宋体" w:eastAsia="宋体" w:cs="Courier New"/>
          <w:kern w:val="2"/>
          <w:szCs w:val="21"/>
          <w:lang w:eastAsia="zh-CN"/>
        </w:rPr>
      </w:pPr>
      <w:r>
        <w:rPr>
          <w:rFonts w:hint="eastAsia" w:ascii="宋体" w:hAnsi="宋体" w:eastAsia="宋体" w:cs="Courier New"/>
          <w:kern w:val="2"/>
          <w:szCs w:val="21"/>
        </w:rPr>
        <w:t>（4）</w:t>
      </w:r>
      <w:r>
        <w:rPr>
          <w:rFonts w:hint="eastAsia" w:ascii="宋体" w:hAnsi="宋体" w:eastAsia="宋体" w:cs="Courier New"/>
          <w:kern w:val="2"/>
          <w:szCs w:val="21"/>
          <w:lang w:eastAsia="zh-CN"/>
        </w:rPr>
        <w:t>实施方案</w:t>
      </w:r>
    </w:p>
    <w:p w14:paraId="20D3DF73">
      <w:pPr>
        <w:adjustRightInd w:val="0"/>
        <w:snapToGrid w:val="0"/>
        <w:spacing w:line="360" w:lineRule="auto"/>
        <w:ind w:firstLine="420" w:firstLineChars="200"/>
        <w:rPr>
          <w:rFonts w:ascii="宋体" w:hAnsi="宋体" w:eastAsia="宋体" w:cs="Courier New"/>
          <w:kern w:val="2"/>
          <w:szCs w:val="21"/>
        </w:rPr>
      </w:pPr>
      <w:r>
        <w:rPr>
          <w:rFonts w:hint="eastAsia" w:ascii="宋体" w:hAnsi="宋体" w:eastAsia="宋体" w:cs="Courier New"/>
          <w:kern w:val="2"/>
          <w:szCs w:val="21"/>
        </w:rPr>
        <w:t>（5）技术/商务响应与偏离表</w:t>
      </w:r>
    </w:p>
    <w:p w14:paraId="226FF1E9">
      <w:pPr>
        <w:adjustRightInd w:val="0"/>
        <w:snapToGrid w:val="0"/>
        <w:spacing w:line="360" w:lineRule="auto"/>
        <w:ind w:firstLine="420" w:firstLineChars="200"/>
        <w:rPr>
          <w:rFonts w:ascii="宋体" w:hAnsi="宋体" w:eastAsia="宋体" w:cs="Courier New"/>
          <w:kern w:val="2"/>
          <w:szCs w:val="21"/>
        </w:rPr>
      </w:pPr>
      <w:r>
        <w:rPr>
          <w:rFonts w:hint="eastAsia" w:ascii="宋体" w:hAnsi="宋体" w:eastAsia="宋体" w:cs="Courier New"/>
          <w:kern w:val="2"/>
          <w:szCs w:val="21"/>
        </w:rPr>
        <w:t>（6）享受政府采购政策优惠的证明资料</w:t>
      </w:r>
    </w:p>
    <w:p w14:paraId="14E4D458">
      <w:pPr>
        <w:adjustRightInd w:val="0"/>
        <w:snapToGrid w:val="0"/>
        <w:spacing w:line="360" w:lineRule="auto"/>
        <w:ind w:firstLine="420" w:firstLineChars="200"/>
        <w:rPr>
          <w:rFonts w:ascii="宋体" w:hAnsi="宋体" w:eastAsia="宋体" w:cs="Courier New"/>
          <w:kern w:val="2"/>
          <w:szCs w:val="21"/>
        </w:rPr>
      </w:pPr>
      <w:r>
        <w:rPr>
          <w:rFonts w:hint="eastAsia" w:ascii="宋体" w:hAnsi="宋体" w:eastAsia="宋体" w:cs="Courier New"/>
          <w:kern w:val="2"/>
          <w:szCs w:val="21"/>
        </w:rPr>
        <w:t>（7）报价一览表及报价文件</w:t>
      </w:r>
    </w:p>
    <w:p w14:paraId="681294EC">
      <w:pPr>
        <w:adjustRightInd w:val="0"/>
        <w:snapToGrid w:val="0"/>
        <w:spacing w:line="360" w:lineRule="auto"/>
        <w:ind w:firstLine="420" w:firstLineChars="200"/>
        <w:rPr>
          <w:rFonts w:ascii="宋体" w:hAnsi="宋体" w:eastAsia="宋体" w:cs="Courier New"/>
          <w:kern w:val="2"/>
          <w:szCs w:val="21"/>
        </w:rPr>
      </w:pPr>
      <w:r>
        <w:rPr>
          <w:rFonts w:hint="eastAsia" w:ascii="宋体" w:hAnsi="宋体" w:eastAsia="宋体" w:cs="Courier New"/>
          <w:kern w:val="2"/>
          <w:szCs w:val="21"/>
        </w:rPr>
        <w:t>（8）供应商认为需提供的其它资料</w:t>
      </w:r>
    </w:p>
    <w:p w14:paraId="7BA66932">
      <w:pPr>
        <w:adjustRightInd w:val="0"/>
        <w:snapToGrid w:val="0"/>
        <w:spacing w:line="360" w:lineRule="auto"/>
        <w:ind w:firstLine="420" w:firstLineChars="200"/>
        <w:rPr>
          <w:rFonts w:ascii="宋体" w:hAnsi="宋体" w:eastAsia="宋体" w:cs="Courier New"/>
          <w:kern w:val="2"/>
          <w:szCs w:val="21"/>
        </w:rPr>
      </w:pPr>
      <w:r>
        <w:rPr>
          <w:rFonts w:hint="eastAsia" w:ascii="宋体" w:hAnsi="宋体" w:eastAsia="宋体" w:cs="Courier New"/>
          <w:kern w:val="2"/>
          <w:szCs w:val="21"/>
        </w:rPr>
        <w:t>（9）最后报价</w:t>
      </w:r>
    </w:p>
    <w:p w14:paraId="053DB7E0">
      <w:pPr>
        <w:adjustRightInd w:val="0"/>
        <w:snapToGrid w:val="0"/>
        <w:spacing w:line="360" w:lineRule="auto"/>
        <w:ind w:firstLine="420" w:firstLineChars="200"/>
        <w:rPr>
          <w:rFonts w:ascii="宋体" w:hAnsi="宋体" w:eastAsia="宋体" w:cs="Times New Roman"/>
          <w:kern w:val="2"/>
          <w:szCs w:val="22"/>
        </w:rPr>
      </w:pPr>
      <w:r>
        <w:rPr>
          <w:rFonts w:hint="eastAsia" w:ascii="宋体" w:hAnsi="宋体" w:eastAsia="宋体" w:cs="Times New Roman"/>
          <w:kern w:val="2"/>
          <w:szCs w:val="22"/>
        </w:rPr>
        <w:t>15.2在磋商过程中，</w:t>
      </w:r>
      <w:r>
        <w:rPr>
          <w:rFonts w:hint="eastAsia" w:ascii="宋体" w:hAnsi="宋体" w:eastAsia="宋体" w:cs="Times New Roman"/>
          <w:kern w:val="2"/>
          <w:szCs w:val="21"/>
        </w:rPr>
        <w:t>供应商</w:t>
      </w:r>
      <w:r>
        <w:rPr>
          <w:rFonts w:hint="eastAsia" w:ascii="宋体" w:hAnsi="宋体" w:eastAsia="宋体" w:cs="Times New Roman"/>
          <w:kern w:val="2"/>
          <w:szCs w:val="22"/>
        </w:rPr>
        <w:t>根据</w:t>
      </w:r>
      <w:r>
        <w:rPr>
          <w:rFonts w:hint="eastAsia" w:ascii="宋体" w:hAnsi="宋体" w:eastAsia="宋体" w:cs="宋体"/>
          <w:kern w:val="0"/>
          <w:szCs w:val="21"/>
        </w:rPr>
        <w:t>磋商小组</w:t>
      </w:r>
      <w:r>
        <w:rPr>
          <w:rFonts w:hint="eastAsia" w:ascii="宋体" w:hAnsi="宋体" w:eastAsia="宋体" w:cs="Times New Roman"/>
          <w:bCs/>
          <w:kern w:val="2"/>
          <w:szCs w:val="21"/>
        </w:rPr>
        <w:t>书面形式要求</w:t>
      </w:r>
      <w:r>
        <w:rPr>
          <w:rFonts w:hint="eastAsia" w:ascii="宋体" w:hAnsi="宋体" w:eastAsia="宋体" w:cs="宋体"/>
          <w:kern w:val="0"/>
          <w:szCs w:val="21"/>
        </w:rPr>
        <w:t>提交的</w:t>
      </w:r>
      <w:r>
        <w:rPr>
          <w:rFonts w:hint="eastAsia" w:ascii="宋体" w:hAnsi="宋体" w:eastAsia="宋体" w:cs="Times New Roman"/>
          <w:kern w:val="2"/>
          <w:szCs w:val="22"/>
        </w:rPr>
        <w:t>最后报价(或者</w:t>
      </w:r>
      <w:r>
        <w:rPr>
          <w:rFonts w:hint="eastAsia" w:ascii="宋体" w:hAnsi="宋体" w:eastAsia="宋体" w:cs="Times New Roman"/>
          <w:bCs/>
          <w:kern w:val="2"/>
          <w:szCs w:val="21"/>
        </w:rPr>
        <w:t>重</w:t>
      </w:r>
      <w:r>
        <w:rPr>
          <w:rFonts w:hint="eastAsia" w:ascii="宋体" w:hAnsi="宋体" w:eastAsia="宋体" w:cs="宋体"/>
          <w:kern w:val="0"/>
          <w:szCs w:val="21"/>
        </w:rPr>
        <w:t>新提交的响应文件和</w:t>
      </w:r>
      <w:r>
        <w:rPr>
          <w:rFonts w:hint="eastAsia" w:ascii="宋体" w:hAnsi="宋体" w:eastAsia="宋体" w:cs="Times New Roman"/>
          <w:kern w:val="2"/>
          <w:szCs w:val="22"/>
        </w:rPr>
        <w:t>最后报价)是</w:t>
      </w:r>
      <w:r>
        <w:rPr>
          <w:rFonts w:hint="eastAsia" w:ascii="宋体" w:hAnsi="宋体" w:eastAsia="宋体" w:cs="Times New Roman"/>
          <w:kern w:val="2"/>
          <w:szCs w:val="21"/>
        </w:rPr>
        <w:t>响应文件</w:t>
      </w:r>
      <w:r>
        <w:rPr>
          <w:rFonts w:hint="eastAsia" w:ascii="宋体" w:hAnsi="宋体" w:eastAsia="宋体" w:cs="Times New Roman"/>
          <w:kern w:val="2"/>
          <w:szCs w:val="22"/>
        </w:rPr>
        <w:t>的有效组成部分。</w:t>
      </w:r>
    </w:p>
    <w:p w14:paraId="1E005C59">
      <w:pPr>
        <w:adjustRightInd w:val="0"/>
        <w:snapToGrid w:val="0"/>
        <w:spacing w:line="360" w:lineRule="auto"/>
        <w:ind w:firstLine="420" w:firstLineChars="200"/>
        <w:rPr>
          <w:rFonts w:ascii="宋体" w:hAnsi="宋体" w:eastAsia="宋体" w:cs="Times New Roman"/>
          <w:b/>
          <w:kern w:val="2"/>
          <w:szCs w:val="22"/>
        </w:rPr>
      </w:pPr>
      <w:r>
        <w:rPr>
          <w:rFonts w:hint="eastAsia" w:ascii="宋体" w:hAnsi="宋体" w:eastAsia="宋体" w:cs="Times New Roman"/>
          <w:kern w:val="2"/>
          <w:szCs w:val="22"/>
        </w:rPr>
        <w:t>15.3</w:t>
      </w:r>
      <w:r>
        <w:rPr>
          <w:rFonts w:hint="eastAsia" w:ascii="宋体" w:hAnsi="宋体" w:eastAsia="宋体" w:cs="宋体"/>
          <w:kern w:val="0"/>
          <w:szCs w:val="21"/>
        </w:rPr>
        <w:t>磋商文件规定可能发生实质性变动的，供应商应当在</w:t>
      </w:r>
      <w:r>
        <w:rPr>
          <w:rFonts w:hint="eastAsia" w:ascii="宋体" w:hAnsi="宋体" w:eastAsia="宋体" w:cs="Times New Roman"/>
          <w:kern w:val="2"/>
          <w:szCs w:val="22"/>
        </w:rPr>
        <w:t>《技术/商务响应与偏离表》中对应内容注明。</w:t>
      </w:r>
    </w:p>
    <w:p w14:paraId="178E6E94">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2"/>
        </w:rPr>
        <w:t>15.4</w:t>
      </w:r>
      <w:r>
        <w:rPr>
          <w:rFonts w:hint="eastAsia" w:ascii="宋体" w:hAnsi="宋体" w:eastAsia="宋体" w:cs="Times New Roman"/>
          <w:kern w:val="2"/>
          <w:szCs w:val="21"/>
        </w:rPr>
        <w:t>根据《中华人民共和国政府采购法》相关规定，供应商无论成交与否，其响应文件不予退还。</w:t>
      </w:r>
    </w:p>
    <w:p w14:paraId="7236E209">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16.报价（本项目按照采购需求规定的形式报价）</w:t>
      </w:r>
    </w:p>
    <w:p w14:paraId="00C348BE">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16.1供应商应当根据磋商文件要求和范围，以</w:t>
      </w:r>
      <w:r>
        <w:rPr>
          <w:rFonts w:hint="eastAsia" w:ascii="宋体" w:hAnsi="宋体" w:eastAsia="宋体" w:cs="Times New Roman"/>
          <w:bCs/>
          <w:kern w:val="2"/>
          <w:szCs w:val="21"/>
        </w:rPr>
        <w:t>人民币</w:t>
      </w:r>
      <w:r>
        <w:rPr>
          <w:rFonts w:hint="eastAsia" w:ascii="宋体" w:hAnsi="宋体" w:eastAsia="宋体" w:cs="Times New Roman"/>
          <w:kern w:val="2"/>
          <w:szCs w:val="21"/>
        </w:rPr>
        <w:t>报价，以元为单位，保留小数点后两位。</w:t>
      </w:r>
    </w:p>
    <w:p w14:paraId="1AC9E6DB">
      <w:pPr>
        <w:adjustRightInd w:val="0"/>
        <w:snapToGrid w:val="0"/>
        <w:spacing w:line="360" w:lineRule="auto"/>
        <w:ind w:firstLine="420" w:firstLineChars="200"/>
        <w:rPr>
          <w:rFonts w:ascii="宋体" w:hAnsi="宋体" w:eastAsia="宋体" w:cs="Times New Roman"/>
          <w:kern w:val="2"/>
          <w:szCs w:val="22"/>
        </w:rPr>
      </w:pPr>
      <w:r>
        <w:rPr>
          <w:rFonts w:hint="eastAsia" w:ascii="宋体" w:hAnsi="宋体" w:eastAsia="宋体" w:cs="Times New Roman"/>
          <w:kern w:val="2"/>
          <w:szCs w:val="22"/>
        </w:rPr>
        <w:t>16.2供应商应按第四章“采购需求”要求及第五章“响应文件组成”格式填写。供应商在</w:t>
      </w:r>
      <w:r>
        <w:rPr>
          <w:rFonts w:hint="eastAsia" w:ascii="宋体" w:hAnsi="宋体" w:eastAsia="宋体" w:cs="Times New Roman"/>
          <w:bCs/>
          <w:kern w:val="2"/>
          <w:szCs w:val="22"/>
        </w:rPr>
        <w:t>本章第12.1</w:t>
      </w:r>
      <w:r>
        <w:rPr>
          <w:rFonts w:hint="eastAsia" w:ascii="宋体" w:hAnsi="宋体" w:eastAsia="宋体" w:cs="宋体"/>
          <w:kern w:val="2"/>
          <w:szCs w:val="22"/>
          <w:lang w:val="zh-CN"/>
        </w:rPr>
        <w:t>款</w:t>
      </w:r>
      <w:r>
        <w:rPr>
          <w:rFonts w:hint="eastAsia" w:ascii="宋体" w:hAnsi="宋体" w:eastAsia="宋体" w:cs="Times New Roman"/>
          <w:bCs/>
          <w:kern w:val="2"/>
          <w:szCs w:val="22"/>
        </w:rPr>
        <w:t>规定的</w:t>
      </w:r>
      <w:r>
        <w:rPr>
          <w:rFonts w:hint="eastAsia" w:ascii="宋体" w:hAnsi="宋体" w:eastAsia="宋体" w:cs="宋体"/>
          <w:kern w:val="2"/>
          <w:szCs w:val="22"/>
        </w:rPr>
        <w:t>提交首次响应文件截止之日前</w:t>
      </w:r>
      <w:r>
        <w:rPr>
          <w:rFonts w:hint="eastAsia" w:ascii="宋体" w:hAnsi="宋体" w:eastAsia="宋体" w:cs="Times New Roman"/>
          <w:kern w:val="2"/>
          <w:szCs w:val="22"/>
        </w:rPr>
        <w:t>修改报价一览表中的报价，应同时修改其按第五章要求填写的相应表格中的报价。此修改须符合本章第21.1款的有关要求。</w:t>
      </w:r>
    </w:p>
    <w:p w14:paraId="68A5A861">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16.3</w:t>
      </w:r>
      <w:r>
        <w:rPr>
          <w:rFonts w:hint="eastAsia" w:ascii="宋体" w:hAnsi="宋体" w:eastAsia="宋体" w:cs="Times New Roman"/>
          <w:b/>
          <w:kern w:val="2"/>
          <w:szCs w:val="21"/>
        </w:rPr>
        <w:t>响应文件中标明的价格在合同执行过程中是固定不变的，不得以任何理由予以变更。以可变动价格提交的报价将被认为是非实质响应而被拒绝。</w:t>
      </w:r>
    </w:p>
    <w:p w14:paraId="6448B99A">
      <w:pPr>
        <w:adjustRightInd w:val="0"/>
        <w:snapToGrid w:val="0"/>
        <w:spacing w:line="360" w:lineRule="auto"/>
        <w:ind w:firstLine="420" w:firstLineChars="200"/>
        <w:rPr>
          <w:rFonts w:hAnsi="宋体" w:eastAsia="宋体" w:cs="Times New Roman"/>
          <w:kern w:val="2"/>
          <w:szCs w:val="22"/>
        </w:rPr>
      </w:pPr>
      <w:r>
        <w:rPr>
          <w:rFonts w:hint="eastAsia" w:ascii="宋体" w:hAnsi="宋体" w:eastAsia="宋体" w:cs="Times New Roman"/>
          <w:kern w:val="2"/>
          <w:szCs w:val="21"/>
        </w:rPr>
        <w:t>16.4供应商的报价不得超过采购项目预算，超过采购预算价为无效响应。本项目采购预算见</w:t>
      </w:r>
      <w:r>
        <w:rPr>
          <w:rFonts w:hint="eastAsia" w:hAnsi="宋体" w:eastAsia="宋体" w:cs="Times New Roman"/>
          <w:b/>
          <w:kern w:val="2"/>
          <w:szCs w:val="22"/>
        </w:rPr>
        <w:t>磋商须知前附表。</w:t>
      </w:r>
    </w:p>
    <w:p w14:paraId="222EB2CE">
      <w:pPr>
        <w:adjustRightInd w:val="0"/>
        <w:snapToGrid w:val="0"/>
        <w:spacing w:line="360" w:lineRule="auto"/>
        <w:rPr>
          <w:rFonts w:hAnsi="宋体" w:eastAsia="宋体" w:cs="Times New Roman"/>
          <w:b/>
          <w:kern w:val="2"/>
          <w:szCs w:val="22"/>
        </w:rPr>
      </w:pPr>
      <w:r>
        <w:rPr>
          <w:rFonts w:hint="eastAsia" w:hAnsi="宋体" w:eastAsia="宋体" w:cs="Times New Roman"/>
          <w:b/>
          <w:kern w:val="2"/>
          <w:szCs w:val="22"/>
        </w:rPr>
        <w:t>17.供应商符合磋商文件规定的证明文件</w:t>
      </w:r>
    </w:p>
    <w:p w14:paraId="002E032F">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宋体"/>
          <w:kern w:val="0"/>
          <w:szCs w:val="22"/>
          <w:lang w:val="zh-CN"/>
        </w:rPr>
        <w:t>17.1</w:t>
      </w:r>
      <w:r>
        <w:rPr>
          <w:rFonts w:hint="eastAsia" w:ascii="宋体" w:hAnsi="宋体" w:eastAsia="宋体" w:cs="Times New Roman"/>
          <w:kern w:val="2"/>
          <w:szCs w:val="21"/>
        </w:rPr>
        <w:t>供应商提供资格证明材料，以证实其各项条件满足本章第3.1</w:t>
      </w:r>
      <w:r>
        <w:rPr>
          <w:rFonts w:hint="eastAsia" w:ascii="宋体" w:hAnsi="宋体" w:eastAsia="宋体" w:cs="宋体"/>
          <w:kern w:val="0"/>
          <w:szCs w:val="21"/>
          <w:lang w:val="zh-CN"/>
        </w:rPr>
        <w:t>款</w:t>
      </w:r>
      <w:r>
        <w:rPr>
          <w:rFonts w:hint="eastAsia" w:ascii="宋体" w:hAnsi="宋体" w:eastAsia="宋体" w:cs="Times New Roman"/>
          <w:kern w:val="2"/>
          <w:szCs w:val="21"/>
        </w:rPr>
        <w:t>规定的供应商资格条件要求。</w:t>
      </w:r>
    </w:p>
    <w:p w14:paraId="6D5A8B35">
      <w:pPr>
        <w:adjustRightInd w:val="0"/>
        <w:snapToGrid w:val="0"/>
        <w:spacing w:line="360" w:lineRule="auto"/>
        <w:ind w:firstLine="420" w:firstLineChars="200"/>
        <w:jc w:val="left"/>
        <w:rPr>
          <w:rFonts w:ascii="宋体" w:hAnsi="宋体" w:eastAsia="宋体" w:cs="宋体"/>
          <w:kern w:val="0"/>
          <w:szCs w:val="21"/>
          <w:lang w:val="zh-CN"/>
        </w:rPr>
      </w:pPr>
      <w:r>
        <w:rPr>
          <w:rFonts w:hint="eastAsia" w:ascii="宋体" w:hAnsi="宋体" w:eastAsia="宋体" w:cs="Times New Roman"/>
          <w:kern w:val="2"/>
          <w:szCs w:val="21"/>
        </w:rPr>
        <w:t>17.2</w:t>
      </w:r>
      <w:r>
        <w:rPr>
          <w:rFonts w:hint="eastAsia" w:ascii="宋体" w:hAnsi="宋体" w:eastAsia="宋体" w:cs="宋体"/>
          <w:kern w:val="0"/>
          <w:szCs w:val="22"/>
          <w:lang w:val="zh-CN"/>
        </w:rPr>
        <w:t>供应商</w:t>
      </w:r>
      <w:r>
        <w:rPr>
          <w:rFonts w:hint="eastAsia" w:ascii="宋体" w:hAnsi="宋体" w:eastAsia="宋体" w:cs="Times New Roman"/>
          <w:kern w:val="2"/>
          <w:szCs w:val="22"/>
        </w:rPr>
        <w:t>为联合体形式的，则应提交联合体各方资格文件、联合体协议，否则将视为非实质响应而被拒绝。</w:t>
      </w:r>
    </w:p>
    <w:p w14:paraId="6BACF9AF">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18.保证金</w:t>
      </w:r>
    </w:p>
    <w:p w14:paraId="2657FD10">
      <w:pPr>
        <w:adjustRightInd w:val="0"/>
        <w:snapToGrid w:val="0"/>
        <w:spacing w:line="360" w:lineRule="auto"/>
        <w:ind w:firstLine="420" w:firstLineChars="200"/>
        <w:rPr>
          <w:rFonts w:hAnsi="宋体" w:eastAsia="宋体" w:cs="Times New Roman"/>
          <w:bCs/>
          <w:kern w:val="2"/>
          <w:szCs w:val="22"/>
        </w:rPr>
      </w:pPr>
      <w:r>
        <w:rPr>
          <w:rFonts w:hint="eastAsia" w:ascii="宋体" w:hAnsi="宋体" w:eastAsia="宋体" w:cs="Times New Roman"/>
          <w:kern w:val="2"/>
          <w:szCs w:val="21"/>
        </w:rPr>
        <w:t>18.1</w:t>
      </w:r>
      <w:r>
        <w:rPr>
          <w:rFonts w:hint="eastAsia" w:hAnsi="宋体" w:eastAsia="宋体" w:cs="Times New Roman"/>
          <w:b/>
          <w:kern w:val="2"/>
          <w:szCs w:val="22"/>
        </w:rPr>
        <w:t>磋商须知前附表</w:t>
      </w:r>
      <w:r>
        <w:rPr>
          <w:rFonts w:hint="eastAsia" w:hAnsi="宋体" w:eastAsia="宋体" w:cs="Times New Roman"/>
          <w:kern w:val="2"/>
          <w:szCs w:val="22"/>
        </w:rPr>
        <w:t>规定交纳</w:t>
      </w:r>
      <w:r>
        <w:rPr>
          <w:rFonts w:hint="eastAsia" w:hAnsi="宋体" w:eastAsia="宋体" w:cs="Times New Roman"/>
          <w:bCs/>
          <w:kern w:val="2"/>
          <w:szCs w:val="22"/>
        </w:rPr>
        <w:t>保证金的</w:t>
      </w:r>
      <w:r>
        <w:rPr>
          <w:rFonts w:hint="eastAsia" w:hAnsi="宋体" w:eastAsia="宋体" w:cs="Times New Roman"/>
          <w:kern w:val="2"/>
          <w:szCs w:val="22"/>
        </w:rPr>
        <w:t>，应按</w:t>
      </w:r>
      <w:r>
        <w:rPr>
          <w:rFonts w:hint="eastAsia" w:hAnsi="宋体" w:eastAsia="宋体" w:cs="Times New Roman"/>
          <w:b/>
          <w:kern w:val="2"/>
          <w:szCs w:val="22"/>
        </w:rPr>
        <w:t>磋商须知前附表</w:t>
      </w:r>
      <w:r>
        <w:rPr>
          <w:rFonts w:hint="eastAsia" w:hAnsi="宋体" w:eastAsia="宋体" w:cs="Times New Roman"/>
          <w:kern w:val="2"/>
          <w:szCs w:val="22"/>
        </w:rPr>
        <w:t>规定的</w:t>
      </w:r>
      <w:r>
        <w:rPr>
          <w:rFonts w:hint="eastAsia" w:hAnsi="宋体" w:eastAsia="宋体" w:cs="Times New Roman"/>
          <w:bCs/>
          <w:kern w:val="2"/>
          <w:szCs w:val="22"/>
        </w:rPr>
        <w:t>保证金形式交纳，不得以现金方式交纳</w:t>
      </w:r>
      <w:r>
        <w:rPr>
          <w:rFonts w:hint="eastAsia" w:hAnsi="宋体" w:eastAsia="宋体" w:cs="Times New Roman"/>
          <w:kern w:val="2"/>
          <w:szCs w:val="22"/>
        </w:rPr>
        <w:t>，在本章第12.1</w:t>
      </w:r>
      <w:r>
        <w:rPr>
          <w:rFonts w:hint="eastAsia" w:hAnsi="宋体" w:eastAsia="宋体" w:cs="宋体"/>
          <w:kern w:val="0"/>
          <w:szCs w:val="22"/>
          <w:lang w:val="zh-CN"/>
        </w:rPr>
        <w:t>款</w:t>
      </w:r>
      <w:r>
        <w:rPr>
          <w:rFonts w:hint="eastAsia" w:hAnsi="宋体" w:eastAsia="宋体" w:cs="Times New Roman"/>
          <w:kern w:val="2"/>
          <w:szCs w:val="22"/>
        </w:rPr>
        <w:t>规定的</w:t>
      </w:r>
      <w:r>
        <w:rPr>
          <w:rFonts w:hint="eastAsia" w:hAnsi="宋体" w:eastAsia="宋体" w:cs="宋体"/>
          <w:kern w:val="0"/>
          <w:szCs w:val="22"/>
        </w:rPr>
        <w:t>提交首次响应文件截止时间</w:t>
      </w:r>
      <w:r>
        <w:rPr>
          <w:rFonts w:hint="eastAsia" w:hAnsi="宋体" w:eastAsia="宋体" w:cs="Times New Roman"/>
          <w:kern w:val="2"/>
          <w:szCs w:val="22"/>
        </w:rPr>
        <w:t>前，按本磋商文件第一章第8款规定交纳</w:t>
      </w:r>
      <w:r>
        <w:rPr>
          <w:rFonts w:hint="eastAsia" w:hAnsi="宋体" w:eastAsia="宋体" w:cs="Times New Roman"/>
          <w:bCs/>
          <w:kern w:val="2"/>
          <w:szCs w:val="22"/>
        </w:rPr>
        <w:t>保证金(数额采用四舍五入，计算至元)</w:t>
      </w:r>
      <w:r>
        <w:rPr>
          <w:rFonts w:hint="eastAsia" w:hAnsi="宋体" w:eastAsia="宋体" w:cs="Times New Roman"/>
          <w:kern w:val="2"/>
          <w:szCs w:val="22"/>
        </w:rPr>
        <w:t>。</w:t>
      </w:r>
      <w:r>
        <w:rPr>
          <w:rFonts w:hint="eastAsia" w:hAnsi="宋体" w:eastAsia="宋体" w:cs="Times New Roman"/>
          <w:bCs/>
          <w:kern w:val="2"/>
          <w:szCs w:val="22"/>
        </w:rPr>
        <w:t>保证金有效期应当与</w:t>
      </w:r>
      <w:r>
        <w:rPr>
          <w:rFonts w:hint="eastAsia" w:hAnsi="宋体" w:eastAsia="宋体" w:cs="Times New Roman"/>
          <w:kern w:val="2"/>
          <w:szCs w:val="22"/>
        </w:rPr>
        <w:t>本章第19.1</w:t>
      </w:r>
      <w:r>
        <w:rPr>
          <w:rFonts w:hint="eastAsia" w:hAnsi="宋体" w:eastAsia="宋体" w:cs="宋体"/>
          <w:kern w:val="0"/>
          <w:szCs w:val="22"/>
          <w:lang w:val="zh-CN"/>
        </w:rPr>
        <w:t>款</w:t>
      </w:r>
      <w:r>
        <w:rPr>
          <w:rFonts w:hint="eastAsia" w:hAnsi="宋体" w:eastAsia="宋体" w:cs="Times New Roman"/>
          <w:kern w:val="2"/>
          <w:szCs w:val="22"/>
        </w:rPr>
        <w:t>规定的</w:t>
      </w:r>
      <w:r>
        <w:rPr>
          <w:rFonts w:hint="eastAsia" w:hAnsi="宋体" w:eastAsia="宋体" w:cs="Times New Roman"/>
          <w:bCs/>
          <w:kern w:val="2"/>
          <w:szCs w:val="22"/>
        </w:rPr>
        <w:t>响应文件有效期一致。</w:t>
      </w:r>
    </w:p>
    <w:p w14:paraId="0413B13E">
      <w:pPr>
        <w:adjustRightInd w:val="0"/>
        <w:snapToGrid w:val="0"/>
        <w:spacing w:line="360" w:lineRule="auto"/>
        <w:ind w:firstLine="420" w:firstLineChars="200"/>
        <w:rPr>
          <w:rFonts w:ascii="宋体" w:hAnsi="宋体" w:eastAsia="宋体" w:cs="Times New Roman"/>
          <w:b/>
          <w:kern w:val="2"/>
          <w:szCs w:val="21"/>
        </w:rPr>
      </w:pPr>
      <w:r>
        <w:rPr>
          <w:rFonts w:hint="eastAsia" w:ascii="宋体" w:hAnsi="宋体" w:eastAsia="宋体" w:cs="Times New Roman"/>
          <w:kern w:val="2"/>
          <w:szCs w:val="21"/>
        </w:rPr>
        <w:t>18.2</w:t>
      </w:r>
      <w:r>
        <w:rPr>
          <w:rFonts w:hint="eastAsia" w:ascii="宋体" w:hAnsi="宋体" w:eastAsia="宋体" w:cs="宋体"/>
          <w:kern w:val="0"/>
          <w:szCs w:val="21"/>
          <w:lang w:val="zh-CN"/>
        </w:rPr>
        <w:t>供应商为联合体的，可以由联合体中的一方或者共同交纳保证金，其交纳的保证金，对联合体各方均具有约束力。</w:t>
      </w:r>
    </w:p>
    <w:p w14:paraId="4DF46929">
      <w:pPr>
        <w:adjustRightInd w:val="0"/>
        <w:snapToGrid w:val="0"/>
        <w:spacing w:line="360" w:lineRule="auto"/>
        <w:ind w:firstLine="420" w:firstLineChars="200"/>
        <w:rPr>
          <w:rFonts w:hAnsi="宋体" w:eastAsia="宋体" w:cs="Times New Roman"/>
          <w:kern w:val="2"/>
          <w:szCs w:val="22"/>
        </w:rPr>
      </w:pPr>
      <w:r>
        <w:rPr>
          <w:rFonts w:hint="eastAsia" w:ascii="宋体" w:hAnsi="宋体" w:eastAsia="宋体" w:cs="Times New Roman"/>
          <w:kern w:val="2"/>
          <w:szCs w:val="21"/>
        </w:rPr>
        <w:t>18.3</w:t>
      </w:r>
      <w:r>
        <w:rPr>
          <w:rFonts w:hint="eastAsia" w:hAnsi="宋体" w:eastAsia="宋体" w:cs="Times New Roman"/>
          <w:kern w:val="2"/>
          <w:szCs w:val="22"/>
        </w:rPr>
        <w:t>未按磋商文件规定提交保证金的，</w:t>
      </w:r>
      <w:r>
        <w:rPr>
          <w:rFonts w:hint="eastAsia" w:hAnsi="宋体" w:eastAsia="宋体" w:cs="Times New Roman"/>
          <w:bCs/>
          <w:kern w:val="2"/>
          <w:szCs w:val="22"/>
        </w:rPr>
        <w:t>采购人或采购代理机构应当拒绝接收供应商的响应文件</w:t>
      </w:r>
      <w:r>
        <w:rPr>
          <w:rFonts w:hint="eastAsia" w:hAnsi="宋体" w:eastAsia="宋体" w:cs="Times New Roman"/>
          <w:kern w:val="2"/>
          <w:szCs w:val="22"/>
        </w:rPr>
        <w:t>。</w:t>
      </w:r>
    </w:p>
    <w:p w14:paraId="586F2ED1">
      <w:pPr>
        <w:tabs>
          <w:tab w:val="left" w:pos="6300"/>
        </w:tabs>
        <w:adjustRightInd w:val="0"/>
        <w:snapToGrid w:val="0"/>
        <w:spacing w:line="360" w:lineRule="auto"/>
        <w:ind w:firstLine="420" w:firstLineChars="200"/>
        <w:rPr>
          <w:rFonts w:hAnsi="宋体" w:eastAsia="宋体" w:cs="Times New Roman"/>
          <w:kern w:val="2"/>
          <w:szCs w:val="22"/>
        </w:rPr>
      </w:pPr>
      <w:r>
        <w:rPr>
          <w:rFonts w:hint="eastAsia" w:ascii="宋体" w:hAnsi="宋体" w:eastAsia="宋体" w:cs="Times New Roman"/>
          <w:kern w:val="2"/>
          <w:szCs w:val="21"/>
        </w:rPr>
        <w:t>18.4</w:t>
      </w:r>
      <w:r>
        <w:rPr>
          <w:rFonts w:hint="eastAsia" w:hAnsi="宋体" w:eastAsia="宋体" w:cs="Times New Roman"/>
          <w:kern w:val="2"/>
          <w:szCs w:val="22"/>
        </w:rPr>
        <w:t>采购代理机构在成交通知书发出后5个工作日内退还未成交供应商的保证金；在采购合同签定后5个工作日内退还成交供应商的保证金，但因供应商自身原因导致无法及时退还的除外。</w:t>
      </w:r>
    </w:p>
    <w:p w14:paraId="29E63468">
      <w:pPr>
        <w:adjustRightInd w:val="0"/>
        <w:snapToGrid w:val="0"/>
        <w:spacing w:line="360" w:lineRule="auto"/>
        <w:ind w:firstLine="420" w:firstLineChars="200"/>
        <w:rPr>
          <w:rFonts w:hAnsi="宋体" w:eastAsia="宋体" w:cs="Times New Roman"/>
          <w:kern w:val="0"/>
          <w:szCs w:val="22"/>
        </w:rPr>
      </w:pPr>
      <w:r>
        <w:rPr>
          <w:rFonts w:hint="eastAsia" w:ascii="宋体" w:hAnsi="宋体" w:eastAsia="宋体" w:cs="Times New Roman"/>
          <w:kern w:val="2"/>
          <w:szCs w:val="21"/>
        </w:rPr>
        <w:t>18.5</w:t>
      </w:r>
      <w:r>
        <w:rPr>
          <w:rFonts w:hint="eastAsia" w:hAnsi="宋体" w:eastAsia="宋体" w:cs="Times New Roman"/>
          <w:kern w:val="0"/>
          <w:szCs w:val="22"/>
        </w:rPr>
        <w:t>有下列情形之一的，保证金不予退还，并上缴本级财政国库：</w:t>
      </w:r>
    </w:p>
    <w:p w14:paraId="5F8620B0">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（1）供应商在</w:t>
      </w:r>
      <w:r>
        <w:rPr>
          <w:rFonts w:hint="eastAsia" w:ascii="宋体" w:hAnsi="宋体" w:eastAsia="宋体" w:cs="Times New Roman"/>
          <w:bCs/>
          <w:kern w:val="2"/>
          <w:szCs w:val="21"/>
        </w:rPr>
        <w:t>本章第12.1</w:t>
      </w:r>
      <w:r>
        <w:rPr>
          <w:rFonts w:hint="eastAsia" w:ascii="宋体" w:hAnsi="宋体" w:eastAsia="宋体" w:cs="宋体"/>
          <w:kern w:val="0"/>
          <w:szCs w:val="21"/>
          <w:lang w:val="zh-CN"/>
        </w:rPr>
        <w:t>款</w:t>
      </w:r>
      <w:r>
        <w:rPr>
          <w:rFonts w:hint="eastAsia" w:ascii="宋体" w:hAnsi="宋体" w:eastAsia="宋体" w:cs="Times New Roman"/>
          <w:bCs/>
          <w:kern w:val="2"/>
          <w:szCs w:val="21"/>
        </w:rPr>
        <w:t>规定的</w:t>
      </w:r>
      <w:r>
        <w:rPr>
          <w:rFonts w:hint="eastAsia" w:ascii="宋体" w:hAnsi="宋体" w:eastAsia="宋体" w:cs="宋体"/>
          <w:kern w:val="0"/>
          <w:szCs w:val="21"/>
        </w:rPr>
        <w:t>提交首次响应文件截止时间后撤回响应文件或未按本章第29.5款规定退出磋商的；</w:t>
      </w:r>
    </w:p>
    <w:p w14:paraId="0CFCD36D">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（2）供应商在响应文件中提供虚假材料的；</w:t>
      </w:r>
    </w:p>
    <w:p w14:paraId="2D47F209">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（3）除因不可抗力或磋商文件认可的情形以外，成交供应商不与采购人签订合同的；</w:t>
      </w:r>
    </w:p>
    <w:p w14:paraId="5D2658C7">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（4）供应商与采购人、其他供应商或者采购代理机构恶意串通的；</w:t>
      </w:r>
    </w:p>
    <w:p w14:paraId="4FA0E044">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（5）磋商文件及法律法规规定的其他情形。</w:t>
      </w:r>
    </w:p>
    <w:p w14:paraId="453A5671">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19.</w:t>
      </w:r>
      <w:r>
        <w:rPr>
          <w:rFonts w:hint="eastAsia" w:ascii="宋体" w:hAnsi="宋体" w:eastAsia="宋体" w:cs="Times New Roman"/>
          <w:b/>
          <w:kern w:val="2"/>
          <w:szCs w:val="22"/>
        </w:rPr>
        <w:t>响应文件</w:t>
      </w:r>
      <w:r>
        <w:rPr>
          <w:rFonts w:hint="eastAsia" w:ascii="宋体" w:hAnsi="宋体" w:eastAsia="宋体" w:cs="Times New Roman"/>
          <w:b/>
          <w:kern w:val="2"/>
          <w:szCs w:val="21"/>
        </w:rPr>
        <w:t>有效期</w:t>
      </w:r>
    </w:p>
    <w:p w14:paraId="12CD4BFC">
      <w:pPr>
        <w:adjustRightInd w:val="0"/>
        <w:snapToGrid w:val="0"/>
        <w:spacing w:line="360" w:lineRule="auto"/>
        <w:ind w:firstLine="420" w:firstLineChars="200"/>
        <w:jc w:val="left"/>
        <w:rPr>
          <w:rFonts w:ascii="宋体" w:hAnsi="宋体" w:eastAsia="宋体" w:cs="Times New Roman"/>
          <w:kern w:val="2"/>
          <w:szCs w:val="22"/>
        </w:rPr>
      </w:pPr>
      <w:r>
        <w:rPr>
          <w:rFonts w:hint="eastAsia" w:ascii="宋体" w:hAnsi="宋体" w:eastAsia="宋体" w:cs="Times New Roman"/>
          <w:kern w:val="2"/>
          <w:szCs w:val="22"/>
        </w:rPr>
        <w:t>19.1响应文件</w:t>
      </w:r>
      <w:r>
        <w:rPr>
          <w:rFonts w:hint="eastAsia" w:ascii="宋体" w:hAnsi="宋体" w:eastAsia="宋体" w:cs="Times New Roman"/>
          <w:kern w:val="2"/>
          <w:szCs w:val="21"/>
        </w:rPr>
        <w:t>有效期见</w:t>
      </w:r>
      <w:r>
        <w:rPr>
          <w:rFonts w:hint="eastAsia" w:ascii="宋体" w:hAnsi="宋体" w:eastAsia="宋体" w:cs="Times New Roman"/>
          <w:b/>
          <w:kern w:val="2"/>
          <w:szCs w:val="22"/>
        </w:rPr>
        <w:t>磋商须知前附表</w:t>
      </w:r>
      <w:r>
        <w:rPr>
          <w:rFonts w:hint="eastAsia" w:ascii="宋体" w:hAnsi="宋体" w:eastAsia="宋体" w:cs="Times New Roman"/>
          <w:kern w:val="2"/>
          <w:szCs w:val="21"/>
        </w:rPr>
        <w:t>，在此期间</w:t>
      </w:r>
      <w:r>
        <w:rPr>
          <w:rFonts w:hint="eastAsia" w:ascii="宋体" w:hAnsi="宋体" w:eastAsia="宋体" w:cs="Times New Roman"/>
          <w:kern w:val="2"/>
          <w:szCs w:val="22"/>
        </w:rPr>
        <w:t>响应</w:t>
      </w:r>
      <w:r>
        <w:rPr>
          <w:rFonts w:hint="eastAsia" w:ascii="宋体" w:hAnsi="宋体" w:eastAsia="宋体" w:cs="Times New Roman"/>
          <w:kern w:val="2"/>
          <w:szCs w:val="21"/>
        </w:rPr>
        <w:t>文件对供应商具有法律约束力，</w:t>
      </w:r>
      <w:r>
        <w:rPr>
          <w:rFonts w:hint="eastAsia" w:ascii="宋体" w:hAnsi="宋体" w:eastAsia="宋体" w:cs="Arial"/>
          <w:kern w:val="2"/>
          <w:szCs w:val="22"/>
        </w:rPr>
        <w:t>从</w:t>
      </w:r>
      <w:r>
        <w:rPr>
          <w:rFonts w:hint="eastAsia" w:ascii="宋体" w:hAnsi="宋体" w:eastAsia="宋体" w:cs="Times New Roman"/>
          <w:kern w:val="2"/>
          <w:szCs w:val="22"/>
        </w:rPr>
        <w:t>本章第12.1</w:t>
      </w:r>
      <w:r>
        <w:rPr>
          <w:rFonts w:hint="eastAsia" w:ascii="宋体" w:hAnsi="宋体" w:eastAsia="宋体" w:cs="宋体"/>
          <w:kern w:val="0"/>
          <w:szCs w:val="21"/>
          <w:lang w:val="zh-CN"/>
        </w:rPr>
        <w:t>款</w:t>
      </w:r>
      <w:r>
        <w:rPr>
          <w:rFonts w:hint="eastAsia" w:ascii="宋体" w:hAnsi="宋体" w:eastAsia="宋体" w:cs="Times New Roman"/>
          <w:kern w:val="2"/>
          <w:szCs w:val="22"/>
        </w:rPr>
        <w:t>规定的</w:t>
      </w:r>
      <w:r>
        <w:rPr>
          <w:rFonts w:hint="eastAsia" w:ascii="宋体" w:hAnsi="宋体" w:eastAsia="宋体" w:cs="宋体"/>
          <w:kern w:val="0"/>
          <w:szCs w:val="21"/>
        </w:rPr>
        <w:t>提交首次响应文件截止时间</w:t>
      </w:r>
      <w:r>
        <w:rPr>
          <w:rFonts w:hint="eastAsia" w:ascii="宋体" w:hAnsi="宋体" w:eastAsia="宋体" w:cs="Times New Roman"/>
          <w:kern w:val="2"/>
          <w:szCs w:val="22"/>
        </w:rPr>
        <w:t>之日</w:t>
      </w:r>
      <w:r>
        <w:rPr>
          <w:rFonts w:hint="eastAsia" w:ascii="宋体" w:hAnsi="宋体" w:eastAsia="宋体" w:cs="Arial"/>
          <w:kern w:val="2"/>
          <w:szCs w:val="22"/>
        </w:rPr>
        <w:t>起计算。</w:t>
      </w:r>
      <w:r>
        <w:rPr>
          <w:rFonts w:hint="eastAsia" w:ascii="宋体" w:hAnsi="宋体" w:eastAsia="宋体" w:cs="Times New Roman"/>
          <w:kern w:val="2"/>
          <w:szCs w:val="22"/>
        </w:rPr>
        <w:t>响应文件有效期不足的将被视为无效响应。</w:t>
      </w:r>
    </w:p>
    <w:p w14:paraId="224CE770">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20.响应文件的签署及规定</w:t>
      </w:r>
    </w:p>
    <w:p w14:paraId="469BD42A">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20.1响应文件的正本、副本须分别装订成册，正本一份，副本贰份，电子文件一份。正本和副本的封面上应标记“正本”或“副本”的字样，当正本和副本有差异时，以正本为准。具体份数以</w:t>
      </w:r>
      <w:r>
        <w:rPr>
          <w:rFonts w:hint="eastAsia" w:hAnsi="宋体" w:eastAsia="宋体" w:cs="Times New Roman"/>
          <w:b/>
          <w:kern w:val="2"/>
          <w:szCs w:val="22"/>
        </w:rPr>
        <w:t>磋商须知前附表</w:t>
      </w:r>
      <w:r>
        <w:rPr>
          <w:rFonts w:hint="eastAsia" w:hAnsi="宋体" w:eastAsia="宋体" w:cs="Times New Roman"/>
          <w:bCs/>
          <w:kern w:val="2"/>
          <w:szCs w:val="22"/>
        </w:rPr>
        <w:t>要求为准。</w:t>
      </w:r>
    </w:p>
    <w:p w14:paraId="2C33090E">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20.2响应文件正本和副本应按磋商文件要求签章处盖</w:t>
      </w:r>
      <w:r>
        <w:rPr>
          <w:rFonts w:hint="eastAsia" w:hAnsi="宋体" w:eastAsia="宋体" w:cs="Times New Roman"/>
          <w:kern w:val="2"/>
          <w:szCs w:val="22"/>
          <w:lang w:eastAsia="zh-CN"/>
        </w:rPr>
        <w:t>盖单位公章</w:t>
      </w:r>
      <w:r>
        <w:rPr>
          <w:rFonts w:hint="eastAsia" w:hAnsi="宋体" w:eastAsia="宋体" w:cs="Times New Roman"/>
          <w:kern w:val="2"/>
          <w:szCs w:val="22"/>
        </w:rPr>
        <w:t>和由法定代表人或其委托代理人签字；任何加行、涂改、增删，应有法定代表人或其委托代理人在旁边签字。否则，将导致响应文件无效。</w:t>
      </w:r>
    </w:p>
    <w:p w14:paraId="4A00C07D">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20.3在磋商过程中，供应商按磋商文件规定和磋商小组要求</w:t>
      </w:r>
      <w:r>
        <w:rPr>
          <w:rFonts w:hint="eastAsia" w:hAnsi="宋体" w:eastAsia="宋体" w:cs="宋体"/>
          <w:kern w:val="0"/>
          <w:szCs w:val="22"/>
        </w:rPr>
        <w:t>提交的</w:t>
      </w:r>
      <w:r>
        <w:rPr>
          <w:rFonts w:hint="eastAsia" w:hAnsi="宋体" w:eastAsia="宋体" w:cs="Times New Roman"/>
          <w:kern w:val="2"/>
          <w:szCs w:val="22"/>
        </w:rPr>
        <w:t>最后报价(或者</w:t>
      </w:r>
      <w:r>
        <w:rPr>
          <w:rFonts w:hint="eastAsia" w:hAnsi="宋体" w:eastAsia="宋体" w:cs="Times New Roman"/>
          <w:bCs/>
          <w:kern w:val="2"/>
          <w:szCs w:val="22"/>
        </w:rPr>
        <w:t>重</w:t>
      </w:r>
      <w:r>
        <w:rPr>
          <w:rFonts w:hint="eastAsia" w:hAnsi="宋体" w:eastAsia="宋体" w:cs="宋体"/>
          <w:kern w:val="0"/>
          <w:szCs w:val="22"/>
        </w:rPr>
        <w:t>新提交的响应文件和</w:t>
      </w:r>
      <w:r>
        <w:rPr>
          <w:rFonts w:hint="eastAsia" w:hAnsi="宋体" w:eastAsia="宋体" w:cs="Times New Roman"/>
          <w:kern w:val="2"/>
          <w:szCs w:val="22"/>
        </w:rPr>
        <w:t>最后报价)，一式两份，可打印或用不退色墨水书写，但需经法定代表人或其委托代理人签字，</w:t>
      </w:r>
      <w:r>
        <w:rPr>
          <w:rFonts w:hint="eastAsia" w:hAnsi="宋体" w:eastAsia="宋体" w:cs="宋体"/>
          <w:kern w:val="0"/>
          <w:szCs w:val="22"/>
        </w:rPr>
        <w:t>或者加盖供应商</w:t>
      </w:r>
      <w:r>
        <w:rPr>
          <w:rFonts w:hint="eastAsia" w:hAnsi="宋体" w:eastAsia="宋体" w:cs="宋体"/>
          <w:kern w:val="0"/>
          <w:szCs w:val="22"/>
          <w:lang w:eastAsia="zh-CN"/>
        </w:rPr>
        <w:t>盖单位公章</w:t>
      </w:r>
      <w:r>
        <w:rPr>
          <w:rFonts w:hint="eastAsia" w:hAnsi="宋体" w:eastAsia="宋体" w:cs="Times New Roman"/>
          <w:kern w:val="2"/>
          <w:szCs w:val="22"/>
        </w:rPr>
        <w:t>。否则，将导致响应文件无效。</w:t>
      </w:r>
    </w:p>
    <w:p w14:paraId="3DB32401">
      <w:pPr>
        <w:adjustRightInd w:val="0"/>
        <w:snapToGrid w:val="0"/>
        <w:spacing w:line="360" w:lineRule="auto"/>
        <w:ind w:firstLine="420" w:firstLineChars="200"/>
        <w:rPr>
          <w:rFonts w:hAnsi="宋体" w:eastAsia="宋体" w:cs="Times New Roman"/>
          <w:b/>
          <w:kern w:val="2"/>
          <w:szCs w:val="22"/>
        </w:rPr>
      </w:pPr>
      <w:r>
        <w:rPr>
          <w:rFonts w:hint="eastAsia" w:hAnsi="宋体" w:eastAsia="宋体" w:cs="Times New Roman"/>
          <w:bCs/>
          <w:kern w:val="2"/>
          <w:szCs w:val="22"/>
        </w:rPr>
        <w:t>20.4</w:t>
      </w:r>
      <w:r>
        <w:rPr>
          <w:rFonts w:hint="eastAsia" w:hAnsi="宋体" w:eastAsia="宋体" w:cs="Times New Roman"/>
          <w:bCs/>
          <w:kern w:val="2"/>
          <w:szCs w:val="22"/>
          <w:lang w:val="en-GB"/>
        </w:rPr>
        <w:t>供应商在递交响应文件的同时须提交与响应文件正本（盖章签字）一致的电子文件一份（</w:t>
      </w:r>
      <w:r>
        <w:rPr>
          <w:rFonts w:hint="eastAsia" w:hAnsi="宋体" w:eastAsia="宋体" w:cs="Times New Roman"/>
          <w:bCs/>
          <w:kern w:val="2"/>
          <w:szCs w:val="22"/>
        </w:rPr>
        <w:t>PDF格式</w:t>
      </w:r>
      <w:r>
        <w:rPr>
          <w:rFonts w:hint="eastAsia" w:hAnsi="宋体" w:eastAsia="宋体" w:cs="Times New Roman"/>
          <w:bCs/>
          <w:kern w:val="2"/>
          <w:szCs w:val="22"/>
          <w:lang w:val="en-GB"/>
        </w:rPr>
        <w:t>U盘存储）</w:t>
      </w:r>
      <w:r>
        <w:rPr>
          <w:rFonts w:hint="eastAsia" w:hAnsi="宋体" w:eastAsia="宋体" w:cs="Times New Roman"/>
          <w:bCs/>
          <w:kern w:val="2"/>
          <w:szCs w:val="22"/>
        </w:rPr>
        <w:t>，并能正常读取、拷贝，否则将按不合格供应商处理。</w:t>
      </w:r>
    </w:p>
    <w:p w14:paraId="4C23DC08">
      <w:pPr>
        <w:keepNext/>
        <w:keepLines/>
        <w:widowControl w:val="0"/>
        <w:spacing w:before="260" w:after="260" w:line="360" w:lineRule="exact"/>
        <w:jc w:val="left"/>
        <w:outlineLvl w:val="2"/>
        <w:rPr>
          <w:rFonts w:ascii="宋体" w:hAnsi="宋体" w:eastAsia="宋体" w:cs="Times New Roman"/>
          <w:b/>
          <w:bCs/>
          <w:kern w:val="2"/>
          <w:sz w:val="21"/>
          <w:szCs w:val="21"/>
          <w:lang w:val="en-US" w:eastAsia="zh-CN" w:bidi="ar-SA"/>
        </w:rPr>
      </w:pPr>
      <w:bookmarkStart w:id="101" w:name="_Toc172193576"/>
      <w:r>
        <w:rPr>
          <w:rFonts w:hint="eastAsia" w:ascii="宋体" w:hAnsi="宋体" w:eastAsia="宋体" w:cs="Times New Roman"/>
          <w:b/>
          <w:bCs/>
          <w:kern w:val="2"/>
          <w:sz w:val="21"/>
          <w:szCs w:val="21"/>
          <w:lang w:val="en-US" w:eastAsia="zh-CN" w:bidi="ar-SA"/>
        </w:rPr>
        <w:t>四、响应文件的递交</w:t>
      </w:r>
      <w:bookmarkEnd w:id="101"/>
    </w:p>
    <w:p w14:paraId="4F1BF30B">
      <w:pPr>
        <w:adjustRightInd w:val="0"/>
        <w:snapToGrid w:val="0"/>
        <w:spacing w:line="360" w:lineRule="auto"/>
        <w:rPr>
          <w:rFonts w:ascii="宋体" w:hAnsi="宋体" w:eastAsia="宋体" w:cs="Times New Roman"/>
          <w:bCs/>
          <w:kern w:val="2"/>
          <w:szCs w:val="21"/>
        </w:rPr>
      </w:pPr>
      <w:r>
        <w:rPr>
          <w:rFonts w:hint="eastAsia" w:ascii="宋体" w:hAnsi="宋体" w:eastAsia="宋体" w:cs="Times New Roman"/>
          <w:bCs/>
          <w:kern w:val="2"/>
          <w:szCs w:val="21"/>
        </w:rPr>
        <w:t>21.响应文件的密封和标记</w:t>
      </w:r>
    </w:p>
    <w:p w14:paraId="15F83B61">
      <w:pPr>
        <w:adjustRightInd w:val="0"/>
        <w:snapToGrid w:val="0"/>
        <w:spacing w:line="360" w:lineRule="auto"/>
        <w:ind w:firstLine="420" w:firstLineChars="200"/>
        <w:rPr>
          <w:rFonts w:hAnsi="宋体" w:eastAsia="宋体" w:cs="Times New Roman"/>
          <w:bCs/>
          <w:kern w:val="2"/>
          <w:szCs w:val="22"/>
        </w:rPr>
      </w:pPr>
      <w:r>
        <w:rPr>
          <w:rFonts w:hint="eastAsia" w:hAnsi="宋体" w:eastAsia="宋体" w:cs="Times New Roman"/>
          <w:bCs/>
          <w:kern w:val="2"/>
          <w:szCs w:val="22"/>
        </w:rPr>
        <w:t>21.1各供应商必须将响应文件正本、副本、电子文件密封、加贴封条，并在封套的封口处盖供应商单位公章或由法定代表人或其委托代理人签字，一并递交。</w:t>
      </w:r>
    </w:p>
    <w:p w14:paraId="09152232">
      <w:pPr>
        <w:adjustRightInd w:val="0"/>
        <w:snapToGrid w:val="0"/>
        <w:spacing w:line="360" w:lineRule="auto"/>
        <w:ind w:firstLine="420" w:firstLineChars="200"/>
        <w:rPr>
          <w:rFonts w:ascii="宋体" w:hAnsi="宋体" w:eastAsia="宋体" w:cs="Times New Roman"/>
          <w:b/>
          <w:kern w:val="2"/>
          <w:szCs w:val="21"/>
        </w:rPr>
      </w:pPr>
      <w:r>
        <w:rPr>
          <w:rFonts w:hAnsi="宋体" w:eastAsia="宋体" w:cs="Times New Roman"/>
          <w:kern w:val="2"/>
          <w:szCs w:val="22"/>
        </w:rPr>
        <w:t>21.2</w:t>
      </w:r>
      <w:r>
        <w:rPr>
          <w:rFonts w:hint="eastAsia" w:hAnsi="宋体" w:eastAsia="宋体" w:cs="Times New Roman"/>
          <w:kern w:val="2"/>
          <w:szCs w:val="22"/>
        </w:rPr>
        <w:t>最后报价是磋商文件的一部分，由各供应商先行加盖公章，但</w:t>
      </w:r>
      <w:r>
        <w:rPr>
          <w:rFonts w:hint="eastAsia" w:ascii="宋体" w:hAnsi="宋体" w:eastAsia="宋体" w:cs="Times New Roman"/>
          <w:kern w:val="2"/>
          <w:szCs w:val="21"/>
        </w:rPr>
        <w:t>不得装订入响应文件中，由各供应商参加磋商的授权代表带至磋商现场，磋商后填写，</w:t>
      </w:r>
      <w:r>
        <w:rPr>
          <w:rFonts w:hint="eastAsia" w:hAnsi="宋体" w:eastAsia="宋体" w:cs="Times New Roman"/>
          <w:bCs/>
          <w:kern w:val="2"/>
          <w:szCs w:val="22"/>
        </w:rPr>
        <w:t>否则将按不合格供应商处理。</w:t>
      </w:r>
    </w:p>
    <w:p w14:paraId="2B8A4168">
      <w:pPr>
        <w:adjustRightInd w:val="0"/>
        <w:snapToGrid w:val="0"/>
        <w:spacing w:line="360" w:lineRule="auto"/>
        <w:ind w:firstLine="420" w:firstLineChars="200"/>
        <w:jc w:val="left"/>
        <w:rPr>
          <w:rFonts w:ascii="宋体" w:hAnsi="宋体" w:eastAsia="宋体" w:cs="Times New Roman"/>
          <w:kern w:val="2"/>
          <w:szCs w:val="21"/>
        </w:rPr>
      </w:pPr>
      <w:r>
        <w:rPr>
          <w:rFonts w:hint="eastAsia" w:ascii="宋体" w:hAnsi="宋体" w:eastAsia="宋体" w:cs="Times New Roman"/>
          <w:kern w:val="2"/>
          <w:szCs w:val="21"/>
        </w:rPr>
        <w:t>21.3响应文件封套上应写明的内容见</w:t>
      </w:r>
      <w:r>
        <w:rPr>
          <w:rFonts w:hint="eastAsia" w:ascii="宋体" w:hAnsi="宋体" w:eastAsia="宋体" w:cs="Times New Roman"/>
          <w:b/>
          <w:kern w:val="2"/>
          <w:szCs w:val="21"/>
        </w:rPr>
        <w:t>磋商须知前附表。</w:t>
      </w:r>
    </w:p>
    <w:p w14:paraId="0308ECBC">
      <w:pPr>
        <w:adjustRightInd w:val="0"/>
        <w:snapToGrid w:val="0"/>
        <w:spacing w:line="360" w:lineRule="auto"/>
        <w:ind w:firstLine="420" w:firstLineChars="200"/>
        <w:jc w:val="left"/>
        <w:rPr>
          <w:rFonts w:ascii="宋体" w:hAnsi="宋体" w:eastAsia="宋体" w:cs="Times New Roman"/>
          <w:kern w:val="2"/>
          <w:szCs w:val="21"/>
        </w:rPr>
      </w:pPr>
      <w:r>
        <w:rPr>
          <w:rFonts w:hint="eastAsia" w:ascii="宋体" w:hAnsi="宋体" w:eastAsia="宋体" w:cs="Times New Roman"/>
          <w:kern w:val="2"/>
          <w:szCs w:val="21"/>
        </w:rPr>
        <w:t>21.4响应文件如果未按上述规定密封和加写标记或混装的，采购人或采购代理机构将拒绝接收。</w:t>
      </w:r>
    </w:p>
    <w:p w14:paraId="2E577950">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22.响应文件的</w:t>
      </w:r>
      <w:r>
        <w:rPr>
          <w:rFonts w:hint="eastAsia" w:ascii="宋体" w:hAnsi="宋体" w:eastAsia="宋体" w:cs="宋体"/>
          <w:b/>
          <w:kern w:val="0"/>
          <w:szCs w:val="21"/>
          <w:lang w:val="zh-CN"/>
        </w:rPr>
        <w:t>补充、修改或者撤回</w:t>
      </w:r>
    </w:p>
    <w:p w14:paraId="13125A1A">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22.1</w:t>
      </w:r>
      <w:r>
        <w:rPr>
          <w:rFonts w:hint="eastAsia" w:hAnsi="宋体" w:eastAsia="宋体" w:cs="宋体"/>
          <w:kern w:val="0"/>
          <w:szCs w:val="22"/>
        </w:rPr>
        <w:t>供应商在</w:t>
      </w:r>
      <w:r>
        <w:rPr>
          <w:rFonts w:hint="eastAsia" w:hAnsi="宋体" w:eastAsia="宋体" w:cs="Times New Roman"/>
          <w:kern w:val="2"/>
          <w:szCs w:val="22"/>
        </w:rPr>
        <w:t>本章第12.1</w:t>
      </w:r>
      <w:r>
        <w:rPr>
          <w:rFonts w:hint="eastAsia" w:hAnsi="宋体" w:eastAsia="宋体" w:cs="宋体"/>
          <w:kern w:val="0"/>
          <w:szCs w:val="22"/>
          <w:lang w:val="zh-CN"/>
        </w:rPr>
        <w:t>款</w:t>
      </w:r>
      <w:r>
        <w:rPr>
          <w:rFonts w:hint="eastAsia" w:hAnsi="宋体" w:eastAsia="宋体" w:cs="Times New Roman"/>
          <w:kern w:val="2"/>
          <w:szCs w:val="22"/>
        </w:rPr>
        <w:t>规定的</w:t>
      </w:r>
      <w:r>
        <w:rPr>
          <w:rFonts w:hint="eastAsia" w:hAnsi="宋体" w:eastAsia="宋体" w:cs="宋体"/>
          <w:kern w:val="0"/>
          <w:szCs w:val="22"/>
        </w:rPr>
        <w:t>提交首次响应文件截止时间前，可以对所提交的首次响应文件进行补充、修改或者撤回，并书面通知采购人、采购代理机构。</w:t>
      </w:r>
      <w:r>
        <w:rPr>
          <w:rFonts w:hint="eastAsia" w:hAnsi="宋体" w:eastAsia="宋体" w:cs="Times New Roman"/>
          <w:kern w:val="2"/>
          <w:szCs w:val="22"/>
        </w:rPr>
        <w:t>该通知应有供应商法定代表人或其委托代理人签字。</w:t>
      </w:r>
    </w:p>
    <w:p w14:paraId="1499102E">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22.2</w:t>
      </w:r>
      <w:r>
        <w:rPr>
          <w:rFonts w:hint="eastAsia" w:hAnsi="宋体" w:eastAsia="宋体" w:cs="宋体"/>
          <w:kern w:val="0"/>
          <w:szCs w:val="22"/>
          <w:lang w:val="zh-CN"/>
        </w:rPr>
        <w:t>补充、修改的内容与响应文件不一致时，以补充、修改的内容为准。</w:t>
      </w:r>
    </w:p>
    <w:p w14:paraId="7CD70A92">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23.响应文件的递交与接收</w:t>
      </w:r>
    </w:p>
    <w:p w14:paraId="08C54FEB">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23.1供应商应在</w:t>
      </w:r>
      <w:r>
        <w:rPr>
          <w:rFonts w:hint="eastAsia" w:ascii="宋体" w:hAnsi="宋体" w:eastAsia="宋体" w:cs="Times New Roman"/>
          <w:kern w:val="2"/>
          <w:szCs w:val="22"/>
        </w:rPr>
        <w:t>本章第12.1</w:t>
      </w:r>
      <w:r>
        <w:rPr>
          <w:rFonts w:hint="eastAsia" w:ascii="宋体" w:hAnsi="宋体" w:eastAsia="宋体" w:cs="宋体"/>
          <w:kern w:val="0"/>
          <w:szCs w:val="21"/>
          <w:lang w:val="zh-CN"/>
        </w:rPr>
        <w:t>款</w:t>
      </w:r>
      <w:r>
        <w:rPr>
          <w:rFonts w:hint="eastAsia" w:ascii="宋体" w:hAnsi="宋体" w:eastAsia="宋体" w:cs="Times New Roman"/>
          <w:kern w:val="2"/>
          <w:szCs w:val="22"/>
        </w:rPr>
        <w:t>规定的</w:t>
      </w:r>
      <w:r>
        <w:rPr>
          <w:rFonts w:hint="eastAsia" w:ascii="宋体" w:hAnsi="宋体" w:eastAsia="宋体" w:cs="宋体"/>
          <w:kern w:val="0"/>
          <w:szCs w:val="21"/>
        </w:rPr>
        <w:t>提交首次响应文件截止时间</w:t>
      </w:r>
      <w:r>
        <w:rPr>
          <w:rFonts w:hint="eastAsia" w:ascii="宋体" w:hAnsi="宋体" w:eastAsia="宋体" w:cs="Times New Roman"/>
          <w:kern w:val="2"/>
          <w:szCs w:val="21"/>
        </w:rPr>
        <w:t>前，将响应文件送</w:t>
      </w:r>
      <w:r>
        <w:rPr>
          <w:rFonts w:hint="eastAsia" w:ascii="宋体" w:hAnsi="宋体" w:eastAsia="宋体" w:cs="Arial"/>
          <w:kern w:val="2"/>
          <w:szCs w:val="21"/>
        </w:rPr>
        <w:t>达</w:t>
      </w:r>
      <w:r>
        <w:rPr>
          <w:rFonts w:hint="eastAsia" w:ascii="宋体" w:hAnsi="宋体" w:eastAsia="宋体" w:cs="Times New Roman"/>
          <w:b/>
          <w:kern w:val="2"/>
          <w:szCs w:val="21"/>
        </w:rPr>
        <w:t>磋商须知前附表</w:t>
      </w:r>
      <w:r>
        <w:rPr>
          <w:rFonts w:hint="eastAsia" w:ascii="宋体" w:hAnsi="宋体" w:eastAsia="宋体" w:cs="Times New Roman"/>
          <w:kern w:val="2"/>
          <w:szCs w:val="21"/>
        </w:rPr>
        <w:t>中指定的地点。</w:t>
      </w:r>
      <w:r>
        <w:rPr>
          <w:rFonts w:hint="eastAsia" w:ascii="宋体" w:hAnsi="宋体" w:eastAsia="宋体" w:cs="宋体"/>
          <w:kern w:val="0"/>
          <w:szCs w:val="22"/>
        </w:rPr>
        <w:t>在截止时间后送达的响应文件，采购人、采购代理机构或者磋商小组应当拒收。</w:t>
      </w:r>
    </w:p>
    <w:p w14:paraId="13D9148B">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23.2</w:t>
      </w:r>
      <w:r>
        <w:rPr>
          <w:rFonts w:hint="eastAsia" w:hAnsi="宋体" w:eastAsia="宋体" w:cs="宋体"/>
          <w:kern w:val="0"/>
          <w:szCs w:val="22"/>
        </w:rPr>
        <w:t>在</w:t>
      </w:r>
      <w:r>
        <w:rPr>
          <w:rFonts w:hint="eastAsia" w:hAnsi="宋体" w:eastAsia="宋体" w:cs="Times New Roman"/>
          <w:kern w:val="2"/>
          <w:szCs w:val="22"/>
        </w:rPr>
        <w:t>本章第12.1</w:t>
      </w:r>
      <w:r>
        <w:rPr>
          <w:rFonts w:hint="eastAsia" w:hAnsi="宋体" w:eastAsia="宋体" w:cs="宋体"/>
          <w:kern w:val="0"/>
          <w:szCs w:val="22"/>
          <w:lang w:val="zh-CN"/>
        </w:rPr>
        <w:t>款</w:t>
      </w:r>
      <w:r>
        <w:rPr>
          <w:rFonts w:hint="eastAsia" w:hAnsi="宋体" w:eastAsia="宋体" w:cs="Times New Roman"/>
          <w:kern w:val="2"/>
          <w:szCs w:val="22"/>
        </w:rPr>
        <w:t>规定的</w:t>
      </w:r>
      <w:r>
        <w:rPr>
          <w:rFonts w:hint="eastAsia" w:hAnsi="宋体" w:eastAsia="宋体" w:cs="宋体"/>
          <w:kern w:val="0"/>
          <w:szCs w:val="22"/>
        </w:rPr>
        <w:t>提交首次响应文件截止时间后，</w:t>
      </w:r>
      <w:r>
        <w:rPr>
          <w:rFonts w:hint="eastAsia" w:hAnsi="宋体" w:eastAsia="宋体" w:cs="Times New Roman"/>
          <w:kern w:val="2"/>
          <w:szCs w:val="22"/>
        </w:rPr>
        <w:t>由</w:t>
      </w:r>
      <w:r>
        <w:rPr>
          <w:rFonts w:hint="eastAsia" w:hAnsi="宋体" w:eastAsia="宋体" w:cs="Times New Roman"/>
          <w:bCs/>
          <w:kern w:val="2"/>
          <w:szCs w:val="22"/>
        </w:rPr>
        <w:t>供应商代表</w:t>
      </w:r>
      <w:r>
        <w:rPr>
          <w:rFonts w:hint="eastAsia" w:hAnsi="宋体" w:eastAsia="宋体" w:cs="Times New Roman"/>
          <w:kern w:val="2"/>
          <w:szCs w:val="22"/>
        </w:rPr>
        <w:t>当场查验</w:t>
      </w:r>
      <w:r>
        <w:rPr>
          <w:rFonts w:hint="eastAsia" w:hAnsi="宋体" w:eastAsia="宋体" w:cs="Times New Roman"/>
          <w:bCs/>
          <w:kern w:val="2"/>
          <w:szCs w:val="22"/>
        </w:rPr>
        <w:t>响应文件</w:t>
      </w:r>
      <w:r>
        <w:rPr>
          <w:rFonts w:hint="eastAsia" w:hAnsi="宋体" w:eastAsia="宋体" w:cs="Times New Roman"/>
          <w:kern w:val="2"/>
          <w:szCs w:val="22"/>
        </w:rPr>
        <w:t>的密封状况，采购人或</w:t>
      </w:r>
      <w:r>
        <w:rPr>
          <w:rFonts w:hint="eastAsia" w:hAnsi="宋体" w:eastAsia="宋体" w:cs="Times New Roman"/>
          <w:bCs/>
          <w:kern w:val="2"/>
          <w:szCs w:val="22"/>
        </w:rPr>
        <w:t>采购代理机构</w:t>
      </w:r>
      <w:r>
        <w:rPr>
          <w:rFonts w:hint="eastAsia" w:hAnsi="宋体" w:eastAsia="宋体" w:cs="Times New Roman"/>
          <w:kern w:val="2"/>
          <w:szCs w:val="22"/>
        </w:rPr>
        <w:t>不当场拆封</w:t>
      </w:r>
      <w:r>
        <w:rPr>
          <w:rFonts w:hint="eastAsia" w:hAnsi="宋体" w:eastAsia="宋体" w:cs="Times New Roman"/>
          <w:bCs/>
          <w:kern w:val="2"/>
          <w:szCs w:val="22"/>
        </w:rPr>
        <w:t>响应文件</w:t>
      </w:r>
      <w:r>
        <w:rPr>
          <w:rFonts w:hint="eastAsia" w:hAnsi="宋体" w:eastAsia="宋体" w:cs="Times New Roman"/>
          <w:kern w:val="2"/>
          <w:szCs w:val="22"/>
        </w:rPr>
        <w:t>。</w:t>
      </w:r>
    </w:p>
    <w:p w14:paraId="1D7B6E37">
      <w:pPr>
        <w:keepNext/>
        <w:keepLines/>
        <w:widowControl w:val="0"/>
        <w:spacing w:before="260" w:after="260" w:line="360" w:lineRule="exact"/>
        <w:jc w:val="left"/>
        <w:outlineLvl w:val="2"/>
        <w:rPr>
          <w:rFonts w:ascii="宋体" w:hAnsi="宋体" w:eastAsia="宋体" w:cs="Times New Roman"/>
          <w:b/>
          <w:bCs/>
          <w:kern w:val="2"/>
          <w:sz w:val="21"/>
          <w:szCs w:val="21"/>
          <w:lang w:val="en-US" w:eastAsia="zh-CN" w:bidi="ar-SA"/>
        </w:rPr>
      </w:pPr>
      <w:bookmarkStart w:id="102" w:name="_Toc172193577"/>
      <w:r>
        <w:rPr>
          <w:rFonts w:hint="eastAsia" w:ascii="宋体" w:hAnsi="宋体" w:eastAsia="宋体" w:cs="Times New Roman"/>
          <w:b/>
          <w:bCs/>
          <w:kern w:val="2"/>
          <w:sz w:val="21"/>
          <w:szCs w:val="21"/>
          <w:lang w:val="en-US" w:eastAsia="zh-CN" w:bidi="ar-SA"/>
        </w:rPr>
        <w:t>五、响应文件的评审与磋商</w:t>
      </w:r>
      <w:bookmarkEnd w:id="102"/>
    </w:p>
    <w:p w14:paraId="7E070F14">
      <w:pPr>
        <w:tabs>
          <w:tab w:val="left" w:pos="0"/>
        </w:tabs>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24、磋商程序</w:t>
      </w:r>
    </w:p>
    <w:p w14:paraId="3D69A22D">
      <w:pPr>
        <w:tabs>
          <w:tab w:val="left" w:pos="0"/>
        </w:tabs>
        <w:adjustRightInd w:val="0"/>
        <w:snapToGrid w:val="0"/>
        <w:spacing w:line="360" w:lineRule="auto"/>
        <w:ind w:firstLine="308" w:firstLineChars="147"/>
        <w:rPr>
          <w:rFonts w:ascii="宋体" w:hAnsi="宋体" w:eastAsia="宋体" w:cs="Times New Roman"/>
          <w:b/>
          <w:bCs/>
          <w:kern w:val="2"/>
          <w:szCs w:val="21"/>
        </w:rPr>
      </w:pPr>
      <w:r>
        <w:rPr>
          <w:rFonts w:hint="eastAsia" w:ascii="宋体" w:hAnsi="宋体" w:eastAsia="宋体" w:cs="宋体"/>
          <w:kern w:val="0"/>
          <w:szCs w:val="21"/>
        </w:rPr>
        <w:t>供应商资格审查、磋商（包括澄清、符合性评审查）、最后报价、综合评分、</w:t>
      </w:r>
      <w:r>
        <w:rPr>
          <w:rFonts w:hint="eastAsia" w:ascii="宋体" w:hAnsi="宋体" w:eastAsia="宋体" w:cs="Times New Roman"/>
          <w:bCs/>
          <w:kern w:val="2"/>
          <w:szCs w:val="21"/>
        </w:rPr>
        <w:t>提出成交候选供应商名单。其中，</w:t>
      </w:r>
      <w:r>
        <w:rPr>
          <w:rFonts w:hint="eastAsia" w:ascii="宋体" w:hAnsi="宋体" w:eastAsia="宋体" w:cs="宋体"/>
          <w:kern w:val="0"/>
          <w:szCs w:val="21"/>
        </w:rPr>
        <w:t>磋商按</w:t>
      </w:r>
      <w:r>
        <w:rPr>
          <w:rFonts w:hint="eastAsia" w:ascii="宋体" w:hAnsi="宋体" w:eastAsia="宋体" w:cs="Times New Roman"/>
          <w:kern w:val="2"/>
          <w:szCs w:val="21"/>
        </w:rPr>
        <w:t>本章第29.1</w:t>
      </w:r>
      <w:r>
        <w:rPr>
          <w:rFonts w:hint="eastAsia" w:ascii="宋体" w:hAnsi="宋体" w:eastAsia="宋体" w:cs="宋体"/>
          <w:kern w:val="0"/>
          <w:szCs w:val="21"/>
          <w:lang w:val="zh-CN"/>
        </w:rPr>
        <w:t>款或者</w:t>
      </w:r>
      <w:r>
        <w:rPr>
          <w:rFonts w:hint="eastAsia" w:ascii="宋体" w:hAnsi="宋体" w:eastAsia="宋体" w:cs="Times New Roman"/>
          <w:kern w:val="2"/>
          <w:szCs w:val="21"/>
        </w:rPr>
        <w:t>第29.2</w:t>
      </w:r>
      <w:r>
        <w:rPr>
          <w:rFonts w:hint="eastAsia" w:ascii="宋体" w:hAnsi="宋体" w:eastAsia="宋体" w:cs="宋体"/>
          <w:kern w:val="0"/>
          <w:szCs w:val="21"/>
          <w:lang w:val="zh-CN"/>
        </w:rPr>
        <w:t>款</w:t>
      </w:r>
      <w:r>
        <w:rPr>
          <w:rFonts w:hint="eastAsia" w:ascii="宋体" w:hAnsi="宋体" w:eastAsia="宋体" w:cs="Times New Roman"/>
          <w:kern w:val="2"/>
          <w:szCs w:val="21"/>
        </w:rPr>
        <w:t>情形</w:t>
      </w:r>
      <w:r>
        <w:rPr>
          <w:rFonts w:hint="eastAsia" w:ascii="宋体" w:hAnsi="宋体" w:eastAsia="宋体" w:cs="Times New Roman"/>
          <w:bCs/>
          <w:kern w:val="2"/>
          <w:szCs w:val="21"/>
        </w:rPr>
        <w:t>进行。</w:t>
      </w:r>
    </w:p>
    <w:p w14:paraId="7545A3D7">
      <w:pPr>
        <w:adjustRightInd w:val="0"/>
        <w:snapToGrid w:val="0"/>
        <w:spacing w:before="120" w:beforeLines="50" w:line="360" w:lineRule="auto"/>
        <w:rPr>
          <w:rFonts w:ascii="宋体" w:hAnsi="宋体" w:eastAsia="宋体" w:cs="Times New Roman"/>
          <w:b/>
          <w:bCs/>
          <w:kern w:val="2"/>
          <w:szCs w:val="21"/>
        </w:rPr>
      </w:pPr>
      <w:r>
        <w:rPr>
          <w:rFonts w:hint="eastAsia" w:ascii="宋体" w:hAnsi="宋体" w:eastAsia="宋体" w:cs="Times New Roman"/>
          <w:b/>
          <w:bCs/>
          <w:kern w:val="2"/>
          <w:szCs w:val="21"/>
        </w:rPr>
        <w:t>25.磋商小组</w:t>
      </w:r>
    </w:p>
    <w:p w14:paraId="791C0EFA">
      <w:pPr>
        <w:adjustRightInd w:val="0"/>
        <w:snapToGrid w:val="0"/>
        <w:spacing w:before="120" w:beforeLines="50" w:line="360" w:lineRule="auto"/>
        <w:ind w:firstLine="420" w:firstLineChars="200"/>
        <w:jc w:val="left"/>
        <w:rPr>
          <w:rFonts w:ascii="宋体" w:hAnsi="宋体" w:eastAsia="宋体" w:cs="Times New Roman"/>
          <w:kern w:val="2"/>
          <w:szCs w:val="21"/>
        </w:rPr>
      </w:pPr>
      <w:r>
        <w:rPr>
          <w:rFonts w:hint="eastAsia" w:ascii="宋体" w:hAnsi="宋体" w:eastAsia="宋体" w:cs="Times New Roman"/>
          <w:bCs/>
          <w:kern w:val="2"/>
          <w:szCs w:val="21"/>
        </w:rPr>
        <w:t>25.1采购人与采购代理机构将根据采购项目的特点依法组建磋商小组，其成员由评审</w:t>
      </w:r>
      <w:r>
        <w:rPr>
          <w:rFonts w:hint="eastAsia" w:ascii="宋体" w:hAnsi="宋体" w:eastAsia="宋体" w:cs="Times New Roman"/>
          <w:kern w:val="2"/>
          <w:szCs w:val="21"/>
        </w:rPr>
        <w:t>专家和采购人的代表组成。磋商小组负责对供应商资格进行核查；对响应文件进行审查；与供应商进行磋商、对报价进行评价、根据综合评分法对提交最后报价的供应商的响应文件和最后报价进行综合评分、推荐成交供应商。</w:t>
      </w:r>
    </w:p>
    <w:p w14:paraId="184BCCBA">
      <w:pPr>
        <w:tabs>
          <w:tab w:val="left" w:pos="0"/>
        </w:tabs>
        <w:adjustRightInd w:val="0"/>
        <w:snapToGrid w:val="0"/>
        <w:spacing w:before="120" w:beforeLines="50" w:line="360" w:lineRule="auto"/>
        <w:rPr>
          <w:rFonts w:ascii="宋体" w:hAnsi="宋体" w:eastAsia="宋体" w:cs="Times New Roman"/>
          <w:b/>
          <w:kern w:val="2"/>
          <w:szCs w:val="21"/>
        </w:rPr>
      </w:pPr>
      <w:r>
        <w:rPr>
          <w:rFonts w:hint="eastAsia" w:ascii="宋体" w:hAnsi="宋体" w:eastAsia="宋体" w:cs="Times New Roman"/>
          <w:b/>
          <w:kern w:val="2"/>
          <w:szCs w:val="21"/>
        </w:rPr>
        <w:t>26.供应商的</w:t>
      </w:r>
      <w:r>
        <w:rPr>
          <w:rFonts w:hint="eastAsia" w:ascii="宋体" w:hAnsi="宋体" w:eastAsia="宋体" w:cs="Times New Roman"/>
          <w:b/>
          <w:bCs/>
          <w:kern w:val="2"/>
          <w:szCs w:val="21"/>
        </w:rPr>
        <w:t>资格</w:t>
      </w:r>
      <w:r>
        <w:rPr>
          <w:rFonts w:hint="eastAsia" w:ascii="宋体" w:hAnsi="宋体" w:eastAsia="宋体" w:cs="Times New Roman"/>
          <w:b/>
          <w:kern w:val="2"/>
          <w:szCs w:val="21"/>
        </w:rPr>
        <w:t>核查</w:t>
      </w:r>
    </w:p>
    <w:p w14:paraId="4C82A966">
      <w:pPr>
        <w:adjustRightInd w:val="0"/>
        <w:snapToGrid w:val="0"/>
        <w:spacing w:before="120" w:beforeLines="50"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26.1磋商小组根据磋商文件规定的供应商资格条件要求，对</w:t>
      </w:r>
      <w:r>
        <w:rPr>
          <w:rFonts w:hint="eastAsia" w:ascii="宋体" w:hAnsi="宋体" w:eastAsia="宋体" w:cs="Times New Roman"/>
          <w:kern w:val="2"/>
          <w:szCs w:val="22"/>
        </w:rPr>
        <w:t>响应</w:t>
      </w:r>
      <w:r>
        <w:rPr>
          <w:rFonts w:hint="eastAsia" w:ascii="宋体" w:hAnsi="宋体" w:eastAsia="宋体" w:cs="Times New Roman"/>
          <w:kern w:val="2"/>
          <w:szCs w:val="21"/>
        </w:rPr>
        <w:t>文件进行资格核查。供应商不满足资格条件的，在评审时将其视为无效响应。</w:t>
      </w:r>
    </w:p>
    <w:p w14:paraId="18B07281">
      <w:pPr>
        <w:adjustRightInd w:val="0"/>
        <w:snapToGrid w:val="0"/>
        <w:spacing w:before="120" w:beforeLines="50"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26.2磋商小组可以要求供应商提交有关证明和证件以便核验。</w:t>
      </w:r>
    </w:p>
    <w:p w14:paraId="1D4FCF83">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rPr>
        <w:t>27.澄清</w:t>
      </w:r>
    </w:p>
    <w:p w14:paraId="7F2D8CD2">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27.1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磋商文件的范围或者改变响应文件的实质性内容。</w:t>
      </w:r>
    </w:p>
    <w:p w14:paraId="2C56C693">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27.2最后报价计算错误修正的原则：最后报价</w:t>
      </w:r>
      <w:r>
        <w:rPr>
          <w:rFonts w:hint="eastAsia" w:ascii="宋体" w:hAnsi="宋体" w:eastAsia="宋体" w:cs="Arial"/>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7F936BBE">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rPr>
        <w:t>28.符合性审查</w:t>
      </w:r>
    </w:p>
    <w:p w14:paraId="3F7C65BC">
      <w:pPr>
        <w:adjustRightInd w:val="0"/>
        <w:snapToGrid w:val="0"/>
        <w:spacing w:before="120" w:beforeLines="50" w:line="360" w:lineRule="auto"/>
        <w:ind w:firstLine="420" w:firstLineChars="200"/>
        <w:rPr>
          <w:rFonts w:ascii="宋体" w:hAnsi="宋体" w:eastAsia="宋体" w:cs="Times New Roman"/>
          <w:kern w:val="2"/>
          <w:szCs w:val="21"/>
        </w:rPr>
      </w:pPr>
      <w:r>
        <w:rPr>
          <w:rFonts w:hint="eastAsia" w:ascii="宋体" w:hAnsi="宋体" w:eastAsia="宋体" w:cs="宋体"/>
          <w:kern w:val="0"/>
          <w:szCs w:val="21"/>
        </w:rPr>
        <w:t>28.1磋商小组按照磋商文件的规定，</w:t>
      </w:r>
      <w:r>
        <w:rPr>
          <w:rFonts w:hint="eastAsia" w:ascii="宋体" w:hAnsi="宋体" w:eastAsia="宋体" w:cs="Times New Roman"/>
          <w:bCs/>
          <w:kern w:val="2"/>
          <w:szCs w:val="21"/>
        </w:rPr>
        <w:t>对</w:t>
      </w:r>
      <w:r>
        <w:rPr>
          <w:rFonts w:hint="eastAsia" w:ascii="宋体" w:hAnsi="宋体" w:eastAsia="宋体" w:cs="宋体"/>
          <w:kern w:val="0"/>
          <w:szCs w:val="21"/>
          <w:lang w:val="zh-CN"/>
        </w:rPr>
        <w:t>供应商</w:t>
      </w:r>
      <w:r>
        <w:rPr>
          <w:rFonts w:hint="eastAsia" w:ascii="宋体" w:hAnsi="宋体" w:eastAsia="宋体" w:cs="Times New Roman"/>
          <w:bCs/>
          <w:kern w:val="2"/>
          <w:szCs w:val="21"/>
        </w:rPr>
        <w:t>响应文件进行符合性审查</w:t>
      </w:r>
      <w:r>
        <w:rPr>
          <w:rFonts w:hint="eastAsia" w:ascii="宋体" w:hAnsi="宋体" w:eastAsia="宋体" w:cs="宋体"/>
          <w:kern w:val="0"/>
          <w:szCs w:val="21"/>
        </w:rPr>
        <w:t>。</w:t>
      </w:r>
    </w:p>
    <w:p w14:paraId="64239E8C">
      <w:pPr>
        <w:adjustRightInd w:val="0"/>
        <w:snapToGrid w:val="0"/>
        <w:spacing w:before="120" w:beforeLines="50" w:line="360" w:lineRule="auto"/>
        <w:ind w:firstLine="420" w:firstLineChars="200"/>
        <w:rPr>
          <w:rFonts w:ascii="宋体" w:hAnsi="宋体" w:eastAsia="宋体" w:cs="Times New Roman"/>
          <w:bCs/>
          <w:kern w:val="2"/>
          <w:szCs w:val="21"/>
        </w:rPr>
      </w:pPr>
      <w:r>
        <w:rPr>
          <w:rFonts w:hint="eastAsia" w:ascii="宋体" w:hAnsi="宋体" w:eastAsia="宋体" w:cs="Times New Roman"/>
          <w:bCs/>
          <w:kern w:val="2"/>
          <w:szCs w:val="21"/>
        </w:rPr>
        <w:t>28.2</w:t>
      </w:r>
      <w:r>
        <w:rPr>
          <w:rFonts w:hint="eastAsia" w:ascii="宋体" w:hAnsi="宋体" w:eastAsia="宋体" w:cs="宋体"/>
          <w:kern w:val="0"/>
          <w:szCs w:val="21"/>
          <w:lang w:val="zh-CN"/>
        </w:rPr>
        <w:t>供应商</w:t>
      </w:r>
      <w:r>
        <w:rPr>
          <w:rFonts w:hint="eastAsia" w:ascii="宋体" w:hAnsi="宋体" w:eastAsia="宋体" w:cs="Times New Roman"/>
          <w:bCs/>
          <w:kern w:val="2"/>
          <w:szCs w:val="21"/>
        </w:rPr>
        <w:t>响应文件有下列情况之一，</w:t>
      </w:r>
      <w:r>
        <w:rPr>
          <w:rFonts w:hint="eastAsia" w:ascii="宋体" w:hAnsi="宋体" w:eastAsia="宋体" w:cs="宋体"/>
          <w:kern w:val="0"/>
          <w:szCs w:val="21"/>
          <w:lang w:val="zh-CN"/>
        </w:rPr>
        <w:t>其响应文件无效</w:t>
      </w:r>
      <w:r>
        <w:rPr>
          <w:rFonts w:hint="eastAsia" w:ascii="宋体" w:hAnsi="宋体" w:eastAsia="宋体" w:cs="Times New Roman"/>
          <w:bCs/>
          <w:kern w:val="2"/>
          <w:szCs w:val="21"/>
        </w:rPr>
        <w:t>：</w:t>
      </w:r>
    </w:p>
    <w:p w14:paraId="3318F36E">
      <w:pPr>
        <w:adjustRightInd w:val="0"/>
        <w:snapToGrid w:val="0"/>
        <w:spacing w:before="120" w:beforeLines="50" w:line="360" w:lineRule="auto"/>
        <w:ind w:firstLine="420" w:firstLineChars="200"/>
        <w:rPr>
          <w:rFonts w:ascii="宋体" w:hAnsi="宋体" w:eastAsia="宋体" w:cs="Times New Roman"/>
          <w:bCs/>
          <w:kern w:val="2"/>
          <w:szCs w:val="21"/>
        </w:rPr>
      </w:pPr>
      <w:r>
        <w:rPr>
          <w:rFonts w:hint="eastAsia" w:ascii="宋体" w:hAnsi="宋体" w:eastAsia="宋体" w:cs="Times New Roman"/>
          <w:bCs/>
          <w:kern w:val="2"/>
          <w:szCs w:val="21"/>
        </w:rPr>
        <w:t>（1）</w:t>
      </w:r>
      <w:r>
        <w:rPr>
          <w:rFonts w:hint="eastAsia" w:ascii="宋体" w:hAnsi="宋体" w:eastAsia="宋体" w:cs="Times New Roman"/>
          <w:kern w:val="2"/>
          <w:szCs w:val="21"/>
        </w:rPr>
        <w:t>应交未交保证金或金额不足、保函有效期不足、保证金形式或保函出证机构不符合磋商文件要求或未按磋商文件要求交纳保证金的；</w:t>
      </w:r>
    </w:p>
    <w:p w14:paraId="54B49719">
      <w:pPr>
        <w:tabs>
          <w:tab w:val="left" w:pos="735"/>
          <w:tab w:val="left" w:pos="7560"/>
          <w:tab w:val="left" w:pos="7740"/>
          <w:tab w:val="left" w:pos="7920"/>
        </w:tabs>
        <w:adjustRightInd w:val="0"/>
        <w:snapToGrid w:val="0"/>
        <w:spacing w:before="120" w:beforeLines="50" w:line="360" w:lineRule="auto"/>
        <w:ind w:right="300" w:rightChars="143" w:firstLine="420" w:firstLineChars="200"/>
        <w:rPr>
          <w:rFonts w:ascii="宋体" w:hAnsi="宋体" w:eastAsia="宋体" w:cs="Times New Roman"/>
          <w:kern w:val="2"/>
          <w:szCs w:val="21"/>
        </w:rPr>
      </w:pPr>
      <w:r>
        <w:rPr>
          <w:rFonts w:hint="eastAsia" w:ascii="宋体" w:hAnsi="宋体" w:eastAsia="宋体" w:cs="Times New Roman"/>
          <w:kern w:val="2"/>
          <w:szCs w:val="21"/>
        </w:rPr>
        <w:t>（2）未按照磋商文件规定要求密封、签署、盖章的；</w:t>
      </w:r>
    </w:p>
    <w:p w14:paraId="662F3807">
      <w:pPr>
        <w:adjustRightInd w:val="0"/>
        <w:snapToGrid w:val="0"/>
        <w:spacing w:before="120" w:beforeLines="50" w:line="360" w:lineRule="auto"/>
        <w:ind w:right="-109" w:rightChars="-52" w:firstLine="420" w:firstLineChars="200"/>
        <w:rPr>
          <w:rFonts w:ascii="宋体" w:hAnsi="宋体" w:eastAsia="宋体" w:cs="Times New Roman"/>
          <w:kern w:val="2"/>
          <w:szCs w:val="21"/>
        </w:rPr>
      </w:pPr>
      <w:r>
        <w:rPr>
          <w:rFonts w:hint="eastAsia" w:ascii="宋体" w:hAnsi="宋体" w:eastAsia="宋体" w:cs="Times New Roman"/>
          <w:kern w:val="2"/>
          <w:szCs w:val="21"/>
        </w:rPr>
        <w:t>（3）响应文件有效期不足的；</w:t>
      </w:r>
    </w:p>
    <w:p w14:paraId="43C8B894">
      <w:pPr>
        <w:adjustRightInd w:val="0"/>
        <w:snapToGrid w:val="0"/>
        <w:spacing w:before="120" w:beforeLines="50" w:line="360" w:lineRule="auto"/>
        <w:ind w:right="-109" w:rightChars="-52" w:firstLine="420" w:firstLineChars="200"/>
        <w:rPr>
          <w:rFonts w:ascii="宋体" w:hAnsi="宋体" w:eastAsia="宋体" w:cs="Times New Roman"/>
          <w:kern w:val="2"/>
          <w:szCs w:val="21"/>
        </w:rPr>
      </w:pPr>
      <w:r>
        <w:rPr>
          <w:rFonts w:hint="eastAsia" w:ascii="宋体" w:hAnsi="宋体" w:eastAsia="宋体" w:cs="Times New Roman"/>
          <w:kern w:val="2"/>
          <w:szCs w:val="21"/>
        </w:rPr>
        <w:t>（4）报价超过采购预算价的；</w:t>
      </w:r>
    </w:p>
    <w:p w14:paraId="13EE12B1">
      <w:pPr>
        <w:adjustRightInd w:val="0"/>
        <w:snapToGrid w:val="0"/>
        <w:spacing w:before="120" w:beforeLines="50" w:line="360" w:lineRule="auto"/>
        <w:ind w:right="-109" w:rightChars="-52" w:firstLine="420" w:firstLineChars="200"/>
        <w:rPr>
          <w:rFonts w:ascii="宋体" w:hAnsi="宋体" w:eastAsia="宋体" w:cs="Times New Roman"/>
          <w:kern w:val="2"/>
          <w:szCs w:val="21"/>
        </w:rPr>
      </w:pPr>
      <w:r>
        <w:rPr>
          <w:rFonts w:hint="eastAsia" w:ascii="宋体" w:hAnsi="宋体" w:eastAsia="宋体" w:cs="Times New Roman"/>
          <w:kern w:val="2"/>
          <w:szCs w:val="21"/>
        </w:rPr>
        <w:t>（5）供应商递交的电子档不符合本磋商文件20.4规定的；</w:t>
      </w:r>
    </w:p>
    <w:p w14:paraId="0F8AAC4A">
      <w:pPr>
        <w:adjustRightInd w:val="0"/>
        <w:snapToGrid w:val="0"/>
        <w:spacing w:before="120" w:beforeLines="50" w:line="360" w:lineRule="auto"/>
        <w:ind w:right="-109" w:rightChars="-52" w:firstLine="420" w:firstLineChars="200"/>
        <w:rPr>
          <w:rFonts w:ascii="宋体" w:hAnsi="宋体" w:eastAsia="宋体" w:cs="Times New Roman"/>
          <w:kern w:val="2"/>
          <w:szCs w:val="21"/>
        </w:rPr>
      </w:pPr>
      <w:r>
        <w:rPr>
          <w:rFonts w:hint="eastAsia" w:ascii="宋体" w:hAnsi="宋体" w:eastAsia="宋体" w:cs="Times New Roman"/>
          <w:kern w:val="2"/>
          <w:szCs w:val="21"/>
        </w:rPr>
        <w:t>（6）不符合磋商文件★条款的；</w:t>
      </w:r>
    </w:p>
    <w:p w14:paraId="73B10F8C">
      <w:pPr>
        <w:adjustRightInd w:val="0"/>
        <w:snapToGrid w:val="0"/>
        <w:spacing w:before="120" w:beforeLines="50" w:line="360" w:lineRule="auto"/>
        <w:ind w:right="-109" w:rightChars="-52" w:firstLine="420" w:firstLineChars="200"/>
        <w:rPr>
          <w:rFonts w:ascii="宋体" w:hAnsi="宋体" w:eastAsia="宋体" w:cs="Times New Roman"/>
          <w:kern w:val="2"/>
          <w:szCs w:val="21"/>
        </w:rPr>
      </w:pPr>
      <w:r>
        <w:rPr>
          <w:rFonts w:hint="eastAsia" w:ascii="宋体" w:hAnsi="宋体" w:eastAsia="宋体" w:cs="Times New Roman"/>
          <w:kern w:val="2"/>
          <w:szCs w:val="21"/>
        </w:rPr>
        <w:t>（7）不符合法律、法规和磋商文件规定或符合本磋商文件其他无效响应条款规定的。</w:t>
      </w:r>
    </w:p>
    <w:p w14:paraId="528246CB">
      <w:pPr>
        <w:adjustRightInd w:val="0"/>
        <w:snapToGrid w:val="0"/>
        <w:spacing w:before="120" w:beforeLines="50" w:line="360" w:lineRule="auto"/>
        <w:ind w:right="-109" w:rightChars="-52" w:firstLine="420" w:firstLineChars="200"/>
        <w:rPr>
          <w:rFonts w:ascii="宋体" w:hAnsi="宋体" w:eastAsia="宋体" w:cs="Times New Roman"/>
          <w:kern w:val="2"/>
          <w:szCs w:val="21"/>
        </w:rPr>
      </w:pPr>
      <w:r>
        <w:rPr>
          <w:rFonts w:hint="eastAsia" w:ascii="宋体" w:hAnsi="宋体" w:eastAsia="宋体" w:cs="Times New Roman"/>
          <w:kern w:val="2"/>
          <w:szCs w:val="21"/>
        </w:rPr>
        <w:t>28.3符合性审查结束后，磋商小组所有成员集中与单一供应商分别进行磋商，并给予所有参加磋商采购活动的供应商平等的磋商机会。供应商应派其法定代表人或委托代理人参加磋商。</w:t>
      </w:r>
    </w:p>
    <w:p w14:paraId="51E37F86">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rPr>
        <w:t>29.磋商</w:t>
      </w:r>
    </w:p>
    <w:p w14:paraId="3B1E3B17">
      <w:pPr>
        <w:widowControl/>
        <w:adjustRightInd w:val="0"/>
        <w:snapToGrid w:val="0"/>
        <w:spacing w:line="360" w:lineRule="auto"/>
        <w:ind w:firstLine="420"/>
        <w:jc w:val="left"/>
        <w:rPr>
          <w:rFonts w:ascii="宋体" w:hAnsi="宋体" w:eastAsia="宋体" w:cs="宋体"/>
          <w:kern w:val="0"/>
          <w:szCs w:val="21"/>
          <w:lang w:val="zh-CN"/>
        </w:rPr>
      </w:pPr>
      <w:r>
        <w:rPr>
          <w:rFonts w:hint="eastAsia" w:ascii="宋体" w:hAnsi="宋体" w:eastAsia="宋体" w:cs="宋体"/>
          <w:kern w:val="0"/>
          <w:szCs w:val="21"/>
        </w:rPr>
        <w:t>29.1对于</w:t>
      </w:r>
      <w:r>
        <w:rPr>
          <w:rFonts w:hint="eastAsia" w:ascii="宋体" w:hAnsi="宋体" w:eastAsia="宋体" w:cs="Times New Roman"/>
          <w:kern w:val="2"/>
          <w:szCs w:val="22"/>
        </w:rPr>
        <w:t>本章</w:t>
      </w:r>
      <w:r>
        <w:rPr>
          <w:rFonts w:hint="eastAsia" w:ascii="宋体" w:hAnsi="宋体" w:eastAsia="宋体" w:cs="宋体"/>
          <w:kern w:val="0"/>
          <w:szCs w:val="21"/>
        </w:rPr>
        <w:t>未明确磋商文件实质性变动内容，或者磋商文件明确了可能发生实质性变动内容，但在磋商过程中，</w:t>
      </w:r>
      <w:r>
        <w:rPr>
          <w:rFonts w:hint="eastAsia" w:ascii="宋体" w:hAnsi="宋体" w:eastAsia="宋体" w:cs="Times New Roman"/>
          <w:bCs/>
          <w:kern w:val="2"/>
          <w:szCs w:val="21"/>
        </w:rPr>
        <w:t>磋商小组</w:t>
      </w:r>
      <w:r>
        <w:rPr>
          <w:rFonts w:hint="eastAsia" w:ascii="宋体" w:hAnsi="宋体" w:eastAsia="宋体" w:cs="Arial"/>
          <w:kern w:val="0"/>
          <w:szCs w:val="21"/>
        </w:rPr>
        <w:t>根据磋商</w:t>
      </w:r>
      <w:r>
        <w:rPr>
          <w:rFonts w:hint="eastAsia" w:ascii="宋体" w:hAnsi="宋体" w:eastAsia="宋体" w:cs="宋体"/>
          <w:kern w:val="0"/>
          <w:szCs w:val="21"/>
        </w:rPr>
        <w:t>情况</w:t>
      </w:r>
      <w:r>
        <w:rPr>
          <w:rFonts w:hint="eastAsia" w:ascii="宋体" w:hAnsi="宋体" w:eastAsia="宋体" w:cs="Times New Roman"/>
          <w:bCs/>
          <w:kern w:val="2"/>
          <w:szCs w:val="21"/>
        </w:rPr>
        <w:t>认为</w:t>
      </w:r>
      <w:r>
        <w:rPr>
          <w:rFonts w:hint="eastAsia" w:ascii="宋体" w:hAnsi="宋体" w:eastAsia="宋体" w:cs="宋体"/>
          <w:kern w:val="0"/>
          <w:szCs w:val="21"/>
        </w:rPr>
        <w:t>磋商文件无需发生实质性变动的，磋商小组应当</w:t>
      </w:r>
      <w:r>
        <w:rPr>
          <w:rFonts w:hint="eastAsia" w:ascii="宋体" w:hAnsi="宋体" w:eastAsia="宋体" w:cs="Times New Roman"/>
          <w:kern w:val="2"/>
          <w:szCs w:val="21"/>
        </w:rPr>
        <w:t>根据本章第26款、第28</w:t>
      </w:r>
      <w:r>
        <w:rPr>
          <w:rFonts w:hint="eastAsia" w:ascii="宋体" w:hAnsi="宋体" w:eastAsia="宋体" w:cs="宋体"/>
          <w:kern w:val="0"/>
          <w:szCs w:val="21"/>
          <w:lang w:val="zh-CN"/>
        </w:rPr>
        <w:t>款</w:t>
      </w:r>
      <w:r>
        <w:rPr>
          <w:rFonts w:hint="eastAsia" w:ascii="宋体" w:hAnsi="宋体" w:eastAsia="宋体" w:cs="Times New Roman"/>
          <w:kern w:val="2"/>
          <w:szCs w:val="21"/>
        </w:rPr>
        <w:t>规定</w:t>
      </w:r>
      <w:r>
        <w:rPr>
          <w:rFonts w:hint="eastAsia" w:ascii="宋体" w:hAnsi="宋体" w:eastAsia="宋体" w:cs="宋体"/>
          <w:kern w:val="0"/>
          <w:szCs w:val="21"/>
        </w:rPr>
        <w:t>对供应商提交的响应文件进行资格性、符合性审查，直接与实质性响应磋商文件要求的供应商就价格组织多轮磋商。</w:t>
      </w:r>
    </w:p>
    <w:p w14:paraId="2361D3B3">
      <w:pPr>
        <w:widowControl/>
        <w:tabs>
          <w:tab w:val="left" w:pos="1080"/>
          <w:tab w:val="left" w:pos="1260"/>
        </w:tabs>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（1）磋商结束后，磋商小组应当要求所有继续参加磋商的供应商在磋商小组规定时间内提交最后报价。</w:t>
      </w:r>
    </w:p>
    <w:p w14:paraId="568C46C6">
      <w:pPr>
        <w:widowControl/>
        <w:tabs>
          <w:tab w:val="left" w:pos="1080"/>
          <w:tab w:val="left" w:pos="1260"/>
        </w:tabs>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（2）磋商文件明确可能发生实质性变动，但在磋商过程中</w:t>
      </w:r>
      <w:r>
        <w:rPr>
          <w:rFonts w:hint="eastAsia" w:ascii="宋体" w:hAnsi="宋体" w:eastAsia="宋体" w:cs="Times New Roman"/>
          <w:bCs/>
          <w:kern w:val="2"/>
          <w:szCs w:val="21"/>
        </w:rPr>
        <w:t>磋商小组</w:t>
      </w:r>
      <w:r>
        <w:rPr>
          <w:rFonts w:hint="eastAsia" w:ascii="宋体" w:hAnsi="宋体" w:eastAsia="宋体" w:cs="Arial"/>
          <w:kern w:val="0"/>
          <w:szCs w:val="21"/>
        </w:rPr>
        <w:t>根据磋内</w:t>
      </w:r>
      <w:r>
        <w:rPr>
          <w:rFonts w:hint="eastAsia" w:ascii="宋体" w:hAnsi="宋体" w:eastAsia="宋体" w:cs="宋体"/>
          <w:kern w:val="0"/>
          <w:szCs w:val="21"/>
        </w:rPr>
        <w:t>情况</w:t>
      </w:r>
      <w:r>
        <w:rPr>
          <w:rFonts w:hint="eastAsia" w:ascii="宋体" w:hAnsi="宋体" w:eastAsia="宋体" w:cs="Times New Roman"/>
          <w:bCs/>
          <w:kern w:val="2"/>
          <w:szCs w:val="21"/>
        </w:rPr>
        <w:t>认为</w:t>
      </w:r>
      <w:r>
        <w:rPr>
          <w:rFonts w:hint="eastAsia" w:ascii="宋体" w:hAnsi="宋体" w:eastAsia="宋体" w:cs="宋体"/>
          <w:kern w:val="0"/>
          <w:szCs w:val="21"/>
        </w:rPr>
        <w:t>磋商文件无需发生实质性变动的，磋商小组不另行通知。</w:t>
      </w:r>
    </w:p>
    <w:p w14:paraId="5066D5DB">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29.2对于</w:t>
      </w:r>
      <w:r>
        <w:rPr>
          <w:rFonts w:hint="eastAsia" w:ascii="宋体" w:hAnsi="宋体" w:eastAsia="宋体" w:cs="Times New Roman"/>
          <w:kern w:val="2"/>
          <w:szCs w:val="22"/>
        </w:rPr>
        <w:t>本章</w:t>
      </w:r>
      <w:r>
        <w:rPr>
          <w:rFonts w:hint="eastAsia" w:ascii="宋体" w:hAnsi="宋体" w:eastAsia="宋体" w:cs="宋体"/>
          <w:kern w:val="0"/>
          <w:szCs w:val="21"/>
        </w:rPr>
        <w:t>明确磋商文件实质性变动内容，且在磋商过程中磋商文件实质性内容发生变动的，</w:t>
      </w:r>
      <w:r>
        <w:rPr>
          <w:rFonts w:hint="eastAsia" w:ascii="宋体" w:hAnsi="宋体" w:eastAsia="宋体" w:cs="Times New Roman"/>
          <w:bCs/>
          <w:kern w:val="2"/>
          <w:szCs w:val="21"/>
        </w:rPr>
        <w:t>磋商小组</w:t>
      </w:r>
      <w:r>
        <w:rPr>
          <w:rFonts w:hint="eastAsia" w:ascii="宋体" w:hAnsi="宋体" w:eastAsia="宋体" w:cs="宋体"/>
          <w:kern w:val="0"/>
          <w:szCs w:val="21"/>
        </w:rPr>
        <w:t>可以组织多轮磋商。</w:t>
      </w:r>
      <w:r>
        <w:rPr>
          <w:rFonts w:hint="eastAsia" w:ascii="宋体" w:hAnsi="宋体" w:eastAsia="宋体" w:cs="Times New Roman"/>
          <w:bCs/>
          <w:kern w:val="2"/>
          <w:szCs w:val="21"/>
        </w:rPr>
        <w:t>在每一轮磋商中，磋商小组</w:t>
      </w:r>
      <w:r>
        <w:rPr>
          <w:rFonts w:hint="eastAsia" w:ascii="宋体" w:hAnsi="宋体" w:eastAsia="宋体" w:cs="宋体"/>
          <w:kern w:val="0"/>
          <w:szCs w:val="21"/>
        </w:rPr>
        <w:t>可以</w:t>
      </w:r>
      <w:r>
        <w:rPr>
          <w:rFonts w:hint="eastAsia" w:ascii="宋体" w:hAnsi="宋体" w:eastAsia="宋体" w:cs="Arial"/>
          <w:kern w:val="0"/>
          <w:szCs w:val="21"/>
        </w:rPr>
        <w:t>根据</w:t>
      </w:r>
      <w:r>
        <w:rPr>
          <w:rFonts w:hint="eastAsia" w:ascii="宋体" w:hAnsi="宋体" w:eastAsia="宋体" w:cs="宋体"/>
          <w:kern w:val="0"/>
          <w:szCs w:val="21"/>
        </w:rPr>
        <w:t>磋商文件规定和磋商情况，</w:t>
      </w:r>
      <w:r>
        <w:rPr>
          <w:rFonts w:hint="eastAsia" w:ascii="宋体" w:hAnsi="宋体" w:eastAsia="宋体" w:cs="Times New Roman"/>
          <w:bCs/>
          <w:kern w:val="2"/>
          <w:szCs w:val="21"/>
        </w:rPr>
        <w:t>对磋商文件的</w:t>
      </w:r>
      <w:r>
        <w:rPr>
          <w:rFonts w:hint="eastAsia" w:ascii="宋体" w:hAnsi="宋体" w:eastAsia="宋体" w:cs="宋体"/>
          <w:kern w:val="0"/>
          <w:szCs w:val="21"/>
        </w:rPr>
        <w:t>采购需求中的技术、服务要求以及合同草案条款</w:t>
      </w:r>
      <w:r>
        <w:rPr>
          <w:rFonts w:hint="eastAsia" w:ascii="宋体" w:hAnsi="宋体" w:eastAsia="宋体" w:cs="Times New Roman"/>
          <w:bCs/>
          <w:kern w:val="2"/>
          <w:szCs w:val="21"/>
        </w:rPr>
        <w:t>作实质性变动(磋商文件的实质性变动内容为磋商文件的组成部分)，并以书面形式要求</w:t>
      </w:r>
      <w:r>
        <w:rPr>
          <w:rFonts w:hint="eastAsia" w:ascii="宋体" w:hAnsi="宋体" w:eastAsia="宋体" w:cs="宋体"/>
          <w:kern w:val="0"/>
          <w:szCs w:val="21"/>
        </w:rPr>
        <w:t>符合性审查合格</w:t>
      </w:r>
      <w:r>
        <w:rPr>
          <w:rFonts w:hint="eastAsia" w:ascii="宋体" w:hAnsi="宋体" w:eastAsia="宋体" w:cs="Times New Roman"/>
          <w:bCs/>
          <w:kern w:val="2"/>
          <w:szCs w:val="21"/>
        </w:rPr>
        <w:t>的供应商，在规定的</w:t>
      </w:r>
      <w:r>
        <w:rPr>
          <w:rFonts w:hint="eastAsia" w:ascii="宋体" w:hAnsi="宋体" w:eastAsia="宋体" w:cs="宋体"/>
          <w:kern w:val="0"/>
          <w:szCs w:val="21"/>
        </w:rPr>
        <w:t>截止时间前</w:t>
      </w:r>
      <w:r>
        <w:rPr>
          <w:rFonts w:hint="eastAsia" w:ascii="宋体" w:hAnsi="宋体" w:eastAsia="宋体" w:cs="Times New Roman"/>
          <w:bCs/>
          <w:kern w:val="2"/>
          <w:szCs w:val="21"/>
        </w:rPr>
        <w:t>重</w:t>
      </w:r>
      <w:r>
        <w:rPr>
          <w:rFonts w:hint="eastAsia" w:ascii="宋体" w:hAnsi="宋体" w:eastAsia="宋体" w:cs="宋体"/>
          <w:kern w:val="0"/>
          <w:szCs w:val="21"/>
        </w:rPr>
        <w:t>新提交响应文件</w:t>
      </w:r>
      <w:r>
        <w:rPr>
          <w:rFonts w:hint="eastAsia" w:ascii="宋体" w:hAnsi="宋体" w:eastAsia="宋体" w:cs="Times New Roman"/>
          <w:bCs/>
          <w:kern w:val="2"/>
          <w:szCs w:val="21"/>
        </w:rPr>
        <w:t>。</w:t>
      </w:r>
      <w:r>
        <w:rPr>
          <w:rFonts w:hint="eastAsia" w:ascii="宋体" w:hAnsi="宋体" w:eastAsia="宋体" w:cs="宋体"/>
          <w:kern w:val="0"/>
          <w:szCs w:val="21"/>
        </w:rPr>
        <w:t>磋商小组应当</w:t>
      </w:r>
      <w:r>
        <w:rPr>
          <w:rFonts w:hint="eastAsia" w:ascii="宋体" w:hAnsi="宋体" w:eastAsia="宋体" w:cs="Times New Roman"/>
          <w:kern w:val="2"/>
          <w:szCs w:val="21"/>
        </w:rPr>
        <w:t>根据本章第28.1、28.2</w:t>
      </w:r>
      <w:r>
        <w:rPr>
          <w:rFonts w:hint="eastAsia" w:ascii="宋体" w:hAnsi="宋体" w:eastAsia="宋体" w:cs="宋体"/>
          <w:kern w:val="0"/>
          <w:szCs w:val="21"/>
          <w:lang w:val="zh-CN"/>
        </w:rPr>
        <w:t>款</w:t>
      </w:r>
      <w:r>
        <w:rPr>
          <w:rFonts w:hint="eastAsia" w:ascii="宋体" w:hAnsi="宋体" w:eastAsia="宋体" w:cs="Times New Roman"/>
          <w:kern w:val="2"/>
          <w:szCs w:val="21"/>
        </w:rPr>
        <w:t>规定</w:t>
      </w:r>
      <w:r>
        <w:rPr>
          <w:rFonts w:hint="eastAsia" w:ascii="宋体" w:hAnsi="宋体" w:eastAsia="宋体" w:cs="宋体"/>
          <w:kern w:val="0"/>
          <w:szCs w:val="21"/>
        </w:rPr>
        <w:t>对供应商重新提交的响应文件进行符合性审查。供应商重新提交的响应文件未通过符合性审查的，不得进入下一轮磋商，也不得要求提交最后报价。</w:t>
      </w:r>
    </w:p>
    <w:p w14:paraId="29DCCB9B">
      <w:pPr>
        <w:adjustRightInd w:val="0"/>
        <w:snapToGrid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（1）磋商文件能够详细列明采购需求的技术、服务要求的，磋商结束后，磋商小组应当要求所有继续参加磋商的供应商在规定时间内提交最后报价。</w:t>
      </w:r>
    </w:p>
    <w:p w14:paraId="1E55CDDF">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2E58D1C">
      <w:pPr>
        <w:widowControl/>
        <w:adjustRightInd w:val="0"/>
        <w:snapToGrid w:val="0"/>
        <w:spacing w:line="360" w:lineRule="auto"/>
        <w:ind w:firstLine="420"/>
        <w:jc w:val="left"/>
        <w:rPr>
          <w:rFonts w:ascii="宋体" w:hAnsi="宋体" w:eastAsia="宋体" w:cs="Times New Roman"/>
          <w:bCs/>
          <w:kern w:val="2"/>
          <w:szCs w:val="21"/>
        </w:rPr>
      </w:pPr>
      <w:r>
        <w:rPr>
          <w:rFonts w:hint="eastAsia" w:ascii="宋体" w:hAnsi="宋体" w:eastAsia="宋体" w:cs="Times New Roman"/>
          <w:bCs/>
          <w:kern w:val="2"/>
          <w:szCs w:val="21"/>
        </w:rPr>
        <w:t>29.3</w:t>
      </w:r>
      <w:r>
        <w:rPr>
          <w:rFonts w:hint="eastAsia" w:ascii="宋体" w:hAnsi="宋体" w:eastAsia="宋体" w:cs="Times New Roman"/>
          <w:bCs/>
          <w:kern w:val="2"/>
          <w:szCs w:val="22"/>
        </w:rPr>
        <w:t>重</w:t>
      </w:r>
      <w:r>
        <w:rPr>
          <w:rFonts w:hint="eastAsia" w:ascii="宋体" w:hAnsi="宋体" w:eastAsia="宋体" w:cs="宋体"/>
          <w:kern w:val="0"/>
          <w:szCs w:val="22"/>
        </w:rPr>
        <w:t>新提交的响应文件</w:t>
      </w:r>
      <w:r>
        <w:rPr>
          <w:rFonts w:hint="eastAsia" w:ascii="宋体" w:hAnsi="宋体" w:eastAsia="宋体" w:cs="Times New Roman"/>
          <w:kern w:val="2"/>
          <w:szCs w:val="22"/>
        </w:rPr>
        <w:t>或者最后报价应按</w:t>
      </w:r>
      <w:r>
        <w:rPr>
          <w:rFonts w:hint="eastAsia" w:ascii="宋体" w:hAnsi="宋体" w:eastAsia="宋体" w:cs="宋体"/>
          <w:kern w:val="0"/>
          <w:szCs w:val="21"/>
        </w:rPr>
        <w:t>本章第20</w:t>
      </w:r>
      <w:r>
        <w:rPr>
          <w:rFonts w:hint="eastAsia" w:ascii="宋体" w:hAnsi="宋体" w:eastAsia="宋体" w:cs="Times New Roman"/>
          <w:kern w:val="2"/>
          <w:szCs w:val="22"/>
        </w:rPr>
        <w:t>.3</w:t>
      </w:r>
      <w:r>
        <w:rPr>
          <w:rFonts w:hint="eastAsia" w:ascii="宋体" w:hAnsi="宋体" w:eastAsia="宋体" w:cs="宋体"/>
          <w:kern w:val="0"/>
          <w:szCs w:val="21"/>
          <w:lang w:val="zh-CN"/>
        </w:rPr>
        <w:t>款</w:t>
      </w:r>
      <w:r>
        <w:rPr>
          <w:rFonts w:hint="eastAsia" w:ascii="宋体" w:hAnsi="宋体" w:eastAsia="宋体" w:cs="Times New Roman"/>
          <w:kern w:val="2"/>
          <w:szCs w:val="22"/>
        </w:rPr>
        <w:t>规定，</w:t>
      </w:r>
      <w:r>
        <w:rPr>
          <w:rFonts w:hint="eastAsia" w:ascii="宋体" w:hAnsi="宋体" w:eastAsia="宋体" w:cs="宋体"/>
          <w:kern w:val="0"/>
          <w:szCs w:val="21"/>
        </w:rPr>
        <w:t>由其法定代表人或其委托代理人签字或者加盖</w:t>
      </w:r>
      <w:r>
        <w:rPr>
          <w:rFonts w:hint="eastAsia" w:ascii="宋体" w:hAnsi="宋体" w:eastAsia="宋体" w:cs="宋体"/>
          <w:kern w:val="0"/>
          <w:szCs w:val="22"/>
        </w:rPr>
        <w:t>供应商</w:t>
      </w:r>
      <w:r>
        <w:rPr>
          <w:rFonts w:hint="eastAsia" w:ascii="宋体" w:hAnsi="宋体" w:eastAsia="宋体" w:cs="宋体"/>
          <w:kern w:val="0"/>
          <w:szCs w:val="22"/>
          <w:lang w:eastAsia="zh-CN"/>
        </w:rPr>
        <w:t>盖单位公章</w:t>
      </w:r>
      <w:r>
        <w:rPr>
          <w:rFonts w:hint="eastAsia" w:ascii="宋体" w:hAnsi="宋体" w:eastAsia="宋体" w:cs="宋体"/>
          <w:kern w:val="0"/>
          <w:szCs w:val="21"/>
        </w:rPr>
        <w:t>，在规定时间内密封递交给磋商小组</w:t>
      </w:r>
      <w:r>
        <w:rPr>
          <w:rFonts w:hint="eastAsia" w:ascii="宋体" w:hAnsi="宋体" w:eastAsia="宋体" w:cs="Times New Roman"/>
          <w:bCs/>
          <w:kern w:val="2"/>
          <w:szCs w:val="21"/>
        </w:rPr>
        <w:t>。</w:t>
      </w:r>
    </w:p>
    <w:p w14:paraId="54F5E541">
      <w:pPr>
        <w:widowControl/>
        <w:adjustRightInd w:val="0"/>
        <w:snapToGrid w:val="0"/>
        <w:spacing w:line="360" w:lineRule="auto"/>
        <w:ind w:firstLine="420"/>
        <w:jc w:val="left"/>
        <w:rPr>
          <w:rFonts w:ascii="宋体" w:hAnsi="宋体" w:eastAsia="宋体" w:cs="Times New Roman"/>
          <w:bCs/>
          <w:kern w:val="2"/>
          <w:szCs w:val="21"/>
        </w:rPr>
      </w:pPr>
      <w:r>
        <w:rPr>
          <w:rFonts w:hint="eastAsia" w:ascii="宋体" w:hAnsi="宋体" w:eastAsia="宋体" w:cs="宋体"/>
          <w:kern w:val="0"/>
          <w:szCs w:val="21"/>
        </w:rPr>
        <w:t>29.4最后报价。</w:t>
      </w:r>
      <w:r>
        <w:rPr>
          <w:rFonts w:hint="eastAsia" w:ascii="宋体" w:hAnsi="宋体" w:eastAsia="宋体" w:cs="Times New Roman"/>
          <w:bCs/>
          <w:kern w:val="2"/>
          <w:szCs w:val="21"/>
        </w:rPr>
        <w:t>最后报价是供应商响应文件的有效组成部分。磋商文件能够详细列明采购标的的技术、服务要求的，磋商结束后，磋商小组应当要求所有实质性响应的供应商在规定时间内提交最后报价，提交最后报价的供应商不得少于3家。市场竞争不充分的科研项目，以及需要扶持的科技成果转化项目，提交最后报价的供应商可以为2家。</w:t>
      </w:r>
      <w:r>
        <w:rPr>
          <w:rFonts w:hint="eastAsia" w:ascii="宋体" w:hAnsi="宋体" w:eastAsia="宋体" w:cs="宋体"/>
          <w:kern w:val="0"/>
          <w:szCs w:val="21"/>
          <w:lang w:val="zh-CN"/>
        </w:rPr>
        <w:t>供应商的</w:t>
      </w:r>
      <w:r>
        <w:rPr>
          <w:rFonts w:hint="eastAsia" w:ascii="宋体" w:hAnsi="宋体" w:eastAsia="宋体" w:cs="Times New Roman"/>
          <w:bCs/>
          <w:kern w:val="2"/>
          <w:szCs w:val="21"/>
        </w:rPr>
        <w:t>最</w:t>
      </w:r>
      <w:r>
        <w:rPr>
          <w:rFonts w:hint="eastAsia" w:ascii="宋体" w:hAnsi="宋体" w:eastAsia="宋体" w:cs="宋体"/>
          <w:kern w:val="0"/>
          <w:szCs w:val="21"/>
          <w:lang w:val="zh-CN"/>
        </w:rPr>
        <w:t>后</w:t>
      </w:r>
      <w:r>
        <w:rPr>
          <w:rFonts w:hint="eastAsia" w:ascii="宋体" w:hAnsi="宋体" w:eastAsia="宋体" w:cs="Times New Roman"/>
          <w:bCs/>
          <w:kern w:val="2"/>
          <w:szCs w:val="21"/>
        </w:rPr>
        <w:t>报价</w:t>
      </w:r>
      <w:r>
        <w:rPr>
          <w:rFonts w:hint="eastAsia" w:ascii="宋体" w:hAnsi="宋体" w:eastAsia="宋体" w:cs="宋体"/>
          <w:kern w:val="0"/>
          <w:szCs w:val="21"/>
        </w:rPr>
        <w:t>，磋商小组应召集所有参加最后报价的供应商当场开封</w:t>
      </w:r>
      <w:r>
        <w:rPr>
          <w:rFonts w:hint="eastAsia" w:ascii="宋体" w:hAnsi="宋体" w:eastAsia="宋体" w:cs="Times New Roman"/>
          <w:bCs/>
          <w:kern w:val="2"/>
          <w:szCs w:val="21"/>
        </w:rPr>
        <w:t>公布，并由供应商代表签字确认。</w:t>
      </w:r>
    </w:p>
    <w:p w14:paraId="7C1259DD">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29.5提交响应文件的供应商，在提交最后报价之前，可以根据磋商情况退出磋商，</w:t>
      </w:r>
      <w:r>
        <w:rPr>
          <w:rFonts w:hint="eastAsia" w:ascii="宋体" w:hAnsi="宋体" w:eastAsia="宋体" w:cs="宋体"/>
          <w:kern w:val="0"/>
          <w:szCs w:val="22"/>
        </w:rPr>
        <w:t>并</w:t>
      </w:r>
      <w:r>
        <w:rPr>
          <w:rFonts w:hint="eastAsia" w:ascii="宋体" w:hAnsi="宋体" w:eastAsia="宋体" w:cs="宋体"/>
          <w:bCs/>
          <w:kern w:val="0"/>
          <w:szCs w:val="22"/>
        </w:rPr>
        <w:t>书面通知采购代理机构或者磋商小组。</w:t>
      </w:r>
      <w:r>
        <w:rPr>
          <w:rFonts w:hint="eastAsia" w:ascii="宋体" w:hAnsi="宋体" w:eastAsia="宋体" w:cs="Times New Roman"/>
          <w:bCs/>
          <w:kern w:val="2"/>
          <w:szCs w:val="22"/>
        </w:rPr>
        <w:t>该通知由供应商法定代表人或其委托代理人签字。</w:t>
      </w:r>
      <w:r>
        <w:rPr>
          <w:rFonts w:hint="eastAsia" w:ascii="宋体" w:hAnsi="宋体" w:eastAsia="宋体" w:cs="宋体"/>
          <w:bCs/>
          <w:kern w:val="0"/>
          <w:szCs w:val="21"/>
        </w:rPr>
        <w:t>采购代</w:t>
      </w:r>
      <w:r>
        <w:rPr>
          <w:rFonts w:hint="eastAsia" w:ascii="宋体" w:hAnsi="宋体" w:eastAsia="宋体" w:cs="宋体"/>
          <w:kern w:val="0"/>
          <w:szCs w:val="21"/>
        </w:rPr>
        <w:t>理机构</w:t>
      </w:r>
      <w:r>
        <w:rPr>
          <w:rFonts w:hint="eastAsia" w:ascii="宋体" w:hAnsi="宋体" w:eastAsia="宋体" w:cs="宋体"/>
          <w:kern w:val="0"/>
          <w:szCs w:val="22"/>
        </w:rPr>
        <w:t>按</w:t>
      </w:r>
      <w:r>
        <w:rPr>
          <w:rFonts w:hint="eastAsia" w:ascii="宋体" w:hAnsi="宋体" w:eastAsia="宋体" w:cs="宋体"/>
          <w:kern w:val="0"/>
          <w:szCs w:val="21"/>
        </w:rPr>
        <w:t>本章第</w:t>
      </w:r>
      <w:r>
        <w:rPr>
          <w:rFonts w:hint="eastAsia" w:ascii="宋体" w:hAnsi="宋体" w:eastAsia="宋体" w:cs="Times New Roman"/>
          <w:kern w:val="2"/>
          <w:szCs w:val="22"/>
        </w:rPr>
        <w:t>18.4</w:t>
      </w:r>
      <w:r>
        <w:rPr>
          <w:rFonts w:hint="eastAsia" w:ascii="宋体" w:hAnsi="宋体" w:eastAsia="宋体" w:cs="宋体"/>
          <w:kern w:val="0"/>
          <w:szCs w:val="21"/>
          <w:lang w:val="zh-CN"/>
        </w:rPr>
        <w:t>款</w:t>
      </w:r>
      <w:r>
        <w:rPr>
          <w:rFonts w:hint="eastAsia" w:ascii="宋体" w:hAnsi="宋体" w:eastAsia="宋体" w:cs="Times New Roman"/>
          <w:kern w:val="2"/>
          <w:szCs w:val="22"/>
        </w:rPr>
        <w:t>规定</w:t>
      </w:r>
      <w:r>
        <w:rPr>
          <w:rFonts w:hint="eastAsia" w:ascii="宋体" w:hAnsi="宋体" w:eastAsia="宋体" w:cs="宋体"/>
          <w:kern w:val="0"/>
          <w:szCs w:val="21"/>
        </w:rPr>
        <w:t>退还退出磋商的供应商的保证金。</w:t>
      </w:r>
    </w:p>
    <w:p w14:paraId="770A7B8C">
      <w:pPr>
        <w:adjustRightInd w:val="0"/>
        <w:snapToGrid w:val="0"/>
        <w:spacing w:line="360" w:lineRule="auto"/>
        <w:ind w:firstLine="420" w:firstLineChars="200"/>
        <w:rPr>
          <w:rFonts w:ascii="宋体" w:hAnsi="宋体" w:eastAsia="宋体" w:cs="宋体"/>
          <w:kern w:val="0"/>
          <w:szCs w:val="21"/>
        </w:rPr>
      </w:pPr>
      <w:r>
        <w:rPr>
          <w:rFonts w:hint="eastAsia" w:ascii="宋体" w:hAnsi="宋体" w:eastAsia="宋体" w:cs="Times New Roman"/>
          <w:bCs/>
          <w:kern w:val="2"/>
          <w:szCs w:val="21"/>
        </w:rPr>
        <w:t>29.6</w:t>
      </w:r>
      <w:r>
        <w:rPr>
          <w:rFonts w:hint="eastAsia" w:ascii="宋体" w:hAnsi="宋体" w:eastAsia="宋体" w:cs="宋体"/>
          <w:kern w:val="0"/>
          <w:szCs w:val="21"/>
        </w:rPr>
        <w:t>提交首次响应文件的供应商，未按磋商文件规定及磋商小组要求提交最后报价(或者</w:t>
      </w:r>
      <w:r>
        <w:rPr>
          <w:rFonts w:hint="eastAsia" w:ascii="宋体" w:hAnsi="宋体" w:eastAsia="宋体" w:cs="Times New Roman"/>
          <w:bCs/>
          <w:kern w:val="2"/>
          <w:szCs w:val="21"/>
        </w:rPr>
        <w:t>重</w:t>
      </w:r>
      <w:r>
        <w:rPr>
          <w:rFonts w:hint="eastAsia" w:ascii="宋体" w:hAnsi="宋体" w:eastAsia="宋体" w:cs="宋体"/>
          <w:kern w:val="0"/>
          <w:szCs w:val="21"/>
        </w:rPr>
        <w:t>新提交的响应文件和最后报价)，且又</w:t>
      </w:r>
      <w:r>
        <w:rPr>
          <w:rFonts w:hint="eastAsia" w:ascii="宋体" w:hAnsi="宋体" w:eastAsia="宋体" w:cs="宋体"/>
          <w:kern w:val="0"/>
          <w:szCs w:val="22"/>
        </w:rPr>
        <w:t>未按</w:t>
      </w:r>
      <w:r>
        <w:rPr>
          <w:rFonts w:hint="eastAsia" w:ascii="宋体" w:hAnsi="宋体" w:eastAsia="宋体" w:cs="宋体"/>
          <w:kern w:val="0"/>
          <w:szCs w:val="21"/>
        </w:rPr>
        <w:t>本章第</w:t>
      </w:r>
      <w:r>
        <w:rPr>
          <w:rFonts w:hint="eastAsia" w:ascii="宋体" w:hAnsi="宋体" w:eastAsia="宋体" w:cs="Times New Roman"/>
          <w:kern w:val="2"/>
          <w:szCs w:val="22"/>
        </w:rPr>
        <w:t>29.5</w:t>
      </w:r>
      <w:r>
        <w:rPr>
          <w:rFonts w:hint="eastAsia" w:ascii="宋体" w:hAnsi="宋体" w:eastAsia="宋体" w:cs="宋体"/>
          <w:kern w:val="0"/>
          <w:szCs w:val="21"/>
          <w:lang w:val="zh-CN"/>
        </w:rPr>
        <w:t>款</w:t>
      </w:r>
      <w:r>
        <w:rPr>
          <w:rFonts w:hint="eastAsia" w:ascii="宋体" w:hAnsi="宋体" w:eastAsia="宋体" w:cs="Times New Roman"/>
          <w:kern w:val="2"/>
          <w:szCs w:val="22"/>
        </w:rPr>
        <w:t>规定</w:t>
      </w:r>
      <w:r>
        <w:rPr>
          <w:rFonts w:hint="eastAsia" w:ascii="宋体" w:hAnsi="宋体" w:eastAsia="宋体" w:cs="宋体"/>
          <w:kern w:val="0"/>
          <w:szCs w:val="21"/>
        </w:rPr>
        <w:t>退出磋商的，供应商的保证金不予退还。</w:t>
      </w:r>
    </w:p>
    <w:p w14:paraId="5E651151">
      <w:pPr>
        <w:adjustRightInd w:val="0"/>
        <w:snapToGrid w:val="0"/>
        <w:spacing w:line="360" w:lineRule="auto"/>
        <w:rPr>
          <w:rFonts w:ascii="宋体" w:hAnsi="宋体" w:eastAsia="宋体" w:cs="宋体"/>
          <w:kern w:val="0"/>
          <w:szCs w:val="21"/>
        </w:rPr>
      </w:pPr>
      <w:r>
        <w:rPr>
          <w:rFonts w:hint="eastAsia" w:ascii="宋体" w:hAnsi="宋体" w:eastAsia="宋体" w:cs="宋体"/>
          <w:kern w:val="0"/>
          <w:szCs w:val="21"/>
        </w:rPr>
        <w:t>30．</w:t>
      </w:r>
      <w:r>
        <w:rPr>
          <w:rFonts w:hint="eastAsia" w:ascii="宋体" w:hAnsi="宋体" w:eastAsia="宋体" w:cs="Times New Roman"/>
          <w:b/>
          <w:bCs/>
          <w:kern w:val="2"/>
          <w:szCs w:val="21"/>
        </w:rPr>
        <w:t>磋商方法（本项目按照采购需求规定的形式报价）</w:t>
      </w:r>
    </w:p>
    <w:p w14:paraId="290DC598">
      <w:pPr>
        <w:tabs>
          <w:tab w:val="left" w:pos="0"/>
        </w:tabs>
        <w:adjustRightInd w:val="0"/>
        <w:snapToGrid w:val="0"/>
        <w:spacing w:before="120" w:beforeLines="50" w:line="360" w:lineRule="auto"/>
        <w:ind w:firstLine="420" w:firstLineChars="200"/>
        <w:rPr>
          <w:rFonts w:ascii="宋体" w:hAnsi="宋体" w:eastAsia="宋体" w:cs="Times New Roman"/>
          <w:bCs/>
          <w:kern w:val="2"/>
          <w:szCs w:val="21"/>
        </w:rPr>
      </w:pPr>
      <w:r>
        <w:rPr>
          <w:rFonts w:hint="eastAsia" w:ascii="宋体" w:hAnsi="宋体" w:eastAsia="宋体" w:cs="Times New Roman"/>
          <w:bCs/>
          <w:kern w:val="2"/>
          <w:szCs w:val="21"/>
        </w:rPr>
        <w:t>30.1本项目采取综合评分法，即磋商小组按照磋商文件中规定的磋商方法、</w:t>
      </w:r>
      <w:r>
        <w:rPr>
          <w:rFonts w:hint="eastAsia" w:ascii="宋体" w:hAnsi="宋体" w:eastAsia="宋体" w:cs="Times New Roman"/>
          <w:kern w:val="2"/>
          <w:szCs w:val="21"/>
        </w:rPr>
        <w:t>标准和磋商因素，由经磋商确定最终采购需求，资格性、符合性检查合格的供应商提交最后报价，磋商小组采用综合评分法对提交最后报价的供应商的响应文件和最后报价进行</w:t>
      </w:r>
      <w:r>
        <w:rPr>
          <w:rFonts w:hint="eastAsia" w:ascii="宋体" w:hAnsi="宋体" w:eastAsia="宋体" w:cs="Times New Roman"/>
          <w:bCs/>
          <w:kern w:val="2"/>
          <w:szCs w:val="21"/>
        </w:rPr>
        <w:t>综合比较与评价，</w:t>
      </w:r>
      <w:r>
        <w:rPr>
          <w:rFonts w:hint="eastAsia" w:ascii="宋体" w:hAnsi="宋体" w:eastAsia="宋体" w:cs="Times New Roman"/>
          <w:kern w:val="2"/>
          <w:szCs w:val="21"/>
        </w:rPr>
        <w:t>响应文件能够最大限度的满足磋商文件规定的各项综合评价标准且经评审得分最高的供应商为成交候选供应商的评标方法。</w:t>
      </w:r>
    </w:p>
    <w:p w14:paraId="1CB86B77">
      <w:pPr>
        <w:tabs>
          <w:tab w:val="left" w:pos="0"/>
        </w:tabs>
        <w:adjustRightInd w:val="0"/>
        <w:snapToGrid w:val="0"/>
        <w:spacing w:before="120" w:beforeLines="50" w:line="360" w:lineRule="auto"/>
        <w:ind w:firstLine="420" w:firstLineChars="200"/>
        <w:rPr>
          <w:rFonts w:ascii="宋体" w:hAnsi="宋体" w:eastAsia="宋体" w:cs="Times New Roman"/>
          <w:kern w:val="2"/>
          <w:szCs w:val="21"/>
        </w:rPr>
      </w:pPr>
      <w:r>
        <w:rPr>
          <w:rFonts w:hint="eastAsia" w:ascii="宋体" w:hAnsi="宋体" w:eastAsia="宋体" w:cs="Times New Roman"/>
          <w:bCs/>
          <w:kern w:val="2"/>
          <w:szCs w:val="21"/>
        </w:rPr>
        <w:t>30.2</w:t>
      </w:r>
      <w:r>
        <w:rPr>
          <w:rFonts w:hint="eastAsia" w:ascii="宋体" w:hAnsi="宋体" w:eastAsia="宋体" w:cs="Times New Roman"/>
          <w:kern w:val="2"/>
          <w:szCs w:val="21"/>
        </w:rPr>
        <w:t>磋商因素：详见磋商标准评分表，但不包括供应商资格条件。</w:t>
      </w:r>
    </w:p>
    <w:p w14:paraId="14FEC82D">
      <w:pPr>
        <w:widowControl/>
        <w:adjustRightInd w:val="0"/>
        <w:snapToGrid w:val="0"/>
        <w:spacing w:before="120" w:beforeLines="50" w:line="360" w:lineRule="auto"/>
        <w:ind w:firstLine="420" w:firstLineChars="200"/>
        <w:jc w:val="left"/>
        <w:rPr>
          <w:rFonts w:ascii="宋体" w:hAnsi="宋体" w:eastAsia="宋体" w:cs="Times New Roman"/>
          <w:bCs/>
          <w:kern w:val="2"/>
          <w:szCs w:val="21"/>
        </w:rPr>
      </w:pPr>
      <w:r>
        <w:rPr>
          <w:rFonts w:hint="eastAsia" w:ascii="宋体" w:hAnsi="宋体" w:eastAsia="宋体" w:cs="Times New Roman"/>
          <w:bCs/>
          <w:kern w:val="2"/>
          <w:szCs w:val="21"/>
        </w:rPr>
        <w:t>30.3磋商</w:t>
      </w:r>
      <w:r>
        <w:rPr>
          <w:rFonts w:hint="eastAsia" w:ascii="宋体" w:hAnsi="宋体" w:eastAsia="宋体" w:cs="Times New Roman"/>
          <w:kern w:val="2"/>
          <w:szCs w:val="21"/>
        </w:rPr>
        <w:t>报价评价。磋商小组以经磋商确定最终采购需求，资格性、符合性检查合格的供应商提交的最后报价为基础，</w:t>
      </w:r>
      <w:r>
        <w:rPr>
          <w:rFonts w:hint="eastAsia" w:ascii="宋体" w:hAnsi="宋体" w:eastAsia="宋体" w:cs="宋体"/>
          <w:kern w:val="0"/>
          <w:szCs w:val="21"/>
        </w:rPr>
        <w:t>依次</w:t>
      </w:r>
      <w:r>
        <w:rPr>
          <w:rFonts w:hint="eastAsia" w:ascii="宋体" w:hAnsi="宋体" w:eastAsia="宋体" w:cs="Times New Roman"/>
          <w:kern w:val="2"/>
          <w:szCs w:val="21"/>
        </w:rPr>
        <w:t>对磋商报价进行</w:t>
      </w:r>
      <w:r>
        <w:rPr>
          <w:rFonts w:hint="eastAsia" w:ascii="宋体" w:hAnsi="宋体" w:eastAsia="宋体" w:cs="宋体"/>
          <w:kern w:val="0"/>
          <w:szCs w:val="21"/>
        </w:rPr>
        <w:t>算术</w:t>
      </w:r>
      <w:r>
        <w:rPr>
          <w:rFonts w:hint="eastAsia" w:ascii="宋体" w:hAnsi="宋体" w:eastAsia="宋体" w:cs="Times New Roman"/>
          <w:kern w:val="2"/>
          <w:szCs w:val="21"/>
        </w:rPr>
        <w:t>修正和政府采购政策优惠价格扣除计算。</w:t>
      </w:r>
    </w:p>
    <w:p w14:paraId="3A040C9E">
      <w:pPr>
        <w:widowControl/>
        <w:adjustRightInd w:val="0"/>
        <w:snapToGrid w:val="0"/>
        <w:spacing w:before="120" w:beforeLines="50" w:line="360" w:lineRule="auto"/>
        <w:ind w:firstLine="420" w:firstLineChars="200"/>
        <w:jc w:val="left"/>
        <w:rPr>
          <w:rFonts w:ascii="宋体" w:hAnsi="宋体" w:eastAsia="宋体" w:cs="宋体"/>
          <w:kern w:val="0"/>
          <w:szCs w:val="21"/>
        </w:rPr>
      </w:pPr>
      <w:r>
        <w:rPr>
          <w:rFonts w:hint="eastAsia" w:ascii="宋体" w:hAnsi="宋体" w:eastAsia="宋体" w:cs="Times New Roman"/>
          <w:bCs/>
          <w:kern w:val="2"/>
          <w:szCs w:val="21"/>
        </w:rPr>
        <w:t>30.4</w:t>
      </w:r>
      <w:r>
        <w:rPr>
          <w:rFonts w:hint="eastAsia" w:ascii="宋体" w:hAnsi="宋体" w:eastAsia="宋体" w:cs="宋体"/>
          <w:kern w:val="0"/>
          <w:szCs w:val="21"/>
        </w:rPr>
        <w:t>价格分采用低价优先法计算，即满足磋商文件要求且磋商报价最低的磋商报价为磋商基准价，其价格分为满分，其他</w:t>
      </w:r>
      <w:r>
        <w:rPr>
          <w:rFonts w:hint="eastAsia" w:ascii="宋体" w:hAnsi="宋体" w:eastAsia="宋体" w:cs="Times New Roman"/>
          <w:kern w:val="2"/>
          <w:szCs w:val="21"/>
        </w:rPr>
        <w:t>有效供应商</w:t>
      </w:r>
      <w:r>
        <w:rPr>
          <w:rFonts w:hint="eastAsia" w:ascii="宋体" w:hAnsi="宋体" w:eastAsia="宋体" w:cs="宋体"/>
          <w:kern w:val="0"/>
          <w:szCs w:val="21"/>
        </w:rPr>
        <w:t>的价格分按照下列公式计算：</w:t>
      </w:r>
    </w:p>
    <w:p w14:paraId="7BDB92DA">
      <w:pPr>
        <w:widowControl/>
        <w:adjustRightInd w:val="0"/>
        <w:snapToGrid w:val="0"/>
        <w:spacing w:before="120" w:beforeLines="50"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磋商报价得分=(磋商基准价／最后磋商报价)×价格分值</w:t>
      </w:r>
    </w:p>
    <w:p w14:paraId="7DDFE861">
      <w:pPr>
        <w:widowControl/>
        <w:adjustRightInd w:val="0"/>
        <w:snapToGrid w:val="0"/>
        <w:spacing w:before="120" w:beforeLines="50"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磋商报价高于采购人预算价为无效响应。</w:t>
      </w:r>
    </w:p>
    <w:p w14:paraId="6A4B71C7">
      <w:pPr>
        <w:widowControl/>
        <w:adjustRightInd w:val="0"/>
        <w:snapToGrid w:val="0"/>
        <w:spacing w:before="120" w:beforeLines="50" w:line="360" w:lineRule="auto"/>
        <w:ind w:firstLine="420" w:firstLineChars="200"/>
        <w:jc w:val="left"/>
        <w:rPr>
          <w:rFonts w:ascii="宋体" w:hAnsi="宋体" w:eastAsia="宋体" w:cs="Times New Roman"/>
          <w:kern w:val="2"/>
          <w:szCs w:val="21"/>
        </w:rPr>
      </w:pPr>
      <w:r>
        <w:rPr>
          <w:rFonts w:hint="eastAsia" w:ascii="宋体" w:hAnsi="宋体" w:eastAsia="宋体" w:cs="宋体"/>
          <w:kern w:val="0"/>
          <w:szCs w:val="21"/>
        </w:rPr>
        <w:t>本项所称磋商报价为按</w:t>
      </w:r>
      <w:r>
        <w:rPr>
          <w:rFonts w:hint="eastAsia" w:ascii="宋体" w:hAnsi="宋体" w:eastAsia="宋体" w:cs="Times New Roman"/>
          <w:bCs/>
          <w:kern w:val="2"/>
          <w:szCs w:val="21"/>
        </w:rPr>
        <w:t>本章第30.2</w:t>
      </w:r>
      <w:r>
        <w:rPr>
          <w:rFonts w:hint="eastAsia" w:ascii="宋体" w:hAnsi="宋体" w:eastAsia="宋体" w:cs="宋体"/>
          <w:kern w:val="0"/>
          <w:szCs w:val="21"/>
          <w:lang w:val="zh-CN"/>
        </w:rPr>
        <w:t>款</w:t>
      </w:r>
      <w:r>
        <w:rPr>
          <w:rFonts w:hint="eastAsia" w:ascii="宋体" w:hAnsi="宋体" w:eastAsia="宋体" w:cs="Times New Roman"/>
          <w:bCs/>
          <w:kern w:val="2"/>
          <w:szCs w:val="21"/>
        </w:rPr>
        <w:t>规定</w:t>
      </w:r>
      <w:r>
        <w:rPr>
          <w:rFonts w:hint="eastAsia" w:ascii="宋体" w:hAnsi="宋体" w:eastAsia="宋体" w:cs="Times New Roman"/>
          <w:kern w:val="2"/>
          <w:szCs w:val="21"/>
        </w:rPr>
        <w:t>评价后的磋商报价。</w:t>
      </w:r>
    </w:p>
    <w:p w14:paraId="504C12CC">
      <w:pPr>
        <w:widowControl/>
        <w:adjustRightInd w:val="0"/>
        <w:snapToGrid w:val="0"/>
        <w:spacing w:before="120" w:beforeLines="50" w:line="360" w:lineRule="auto"/>
        <w:ind w:firstLine="420" w:firstLineChars="200"/>
        <w:jc w:val="left"/>
        <w:rPr>
          <w:rFonts w:ascii="宋体" w:hAnsi="宋体" w:eastAsia="宋体" w:cs="Times New Roman"/>
          <w:kern w:val="2"/>
          <w:szCs w:val="21"/>
        </w:rPr>
      </w:pPr>
      <w:r>
        <w:rPr>
          <w:rFonts w:hint="eastAsia" w:ascii="宋体" w:hAnsi="宋体" w:eastAsia="宋体" w:cs="Times New Roman"/>
          <w:bCs/>
          <w:kern w:val="2"/>
          <w:szCs w:val="21"/>
        </w:rPr>
        <w:t>30.5</w:t>
      </w:r>
      <w:r>
        <w:rPr>
          <w:rFonts w:hint="eastAsia" w:ascii="宋体" w:hAnsi="宋体" w:eastAsia="宋体" w:cs="Times New Roman"/>
          <w:kern w:val="2"/>
          <w:szCs w:val="21"/>
        </w:rPr>
        <w:t>涉及政府采购政策优惠的，</w:t>
      </w:r>
      <w:r>
        <w:rPr>
          <w:rFonts w:hint="eastAsia" w:ascii="宋体" w:hAnsi="宋体" w:eastAsia="宋体" w:cs="Times New Roman"/>
          <w:bCs/>
          <w:kern w:val="2"/>
          <w:szCs w:val="21"/>
        </w:rPr>
        <w:t>按</w:t>
      </w:r>
      <w:r>
        <w:rPr>
          <w:rFonts w:hint="eastAsia" w:ascii="宋体" w:hAnsi="宋体" w:eastAsia="宋体" w:cs="Times New Roman"/>
          <w:b/>
          <w:kern w:val="2"/>
          <w:szCs w:val="21"/>
        </w:rPr>
        <w:t>磋商须知前附表</w:t>
      </w:r>
      <w:r>
        <w:rPr>
          <w:rFonts w:hint="eastAsia" w:ascii="宋体" w:hAnsi="宋体" w:eastAsia="宋体" w:cs="Times New Roman"/>
          <w:bCs/>
          <w:kern w:val="2"/>
          <w:szCs w:val="21"/>
        </w:rPr>
        <w:t>规定</w:t>
      </w:r>
      <w:r>
        <w:rPr>
          <w:rFonts w:hint="eastAsia" w:ascii="宋体" w:hAnsi="宋体" w:eastAsia="宋体" w:cs="Times New Roman"/>
          <w:kern w:val="2"/>
          <w:szCs w:val="21"/>
        </w:rPr>
        <w:t>调整。</w:t>
      </w:r>
    </w:p>
    <w:p w14:paraId="114C85AB">
      <w:pPr>
        <w:widowControl/>
        <w:adjustRightInd w:val="0"/>
        <w:snapToGrid w:val="0"/>
        <w:spacing w:before="120" w:beforeLines="50" w:line="360" w:lineRule="auto"/>
        <w:ind w:firstLine="420" w:firstLineChars="200"/>
        <w:jc w:val="left"/>
        <w:rPr>
          <w:rFonts w:ascii="宋体" w:hAnsi="宋体" w:eastAsia="宋体" w:cs="Times New Roman"/>
          <w:kern w:val="2"/>
          <w:szCs w:val="21"/>
        </w:rPr>
      </w:pPr>
      <w:r>
        <w:rPr>
          <w:rFonts w:hint="eastAsia" w:ascii="宋体" w:hAnsi="宋体" w:eastAsia="宋体" w:cs="宋体"/>
          <w:kern w:val="0"/>
          <w:szCs w:val="21"/>
        </w:rPr>
        <w:t>30.6</w:t>
      </w:r>
      <w:r>
        <w:rPr>
          <w:rFonts w:hint="eastAsia" w:ascii="宋体" w:hAnsi="宋体" w:eastAsia="宋体" w:cs="Times New Roman"/>
          <w:kern w:val="2"/>
          <w:szCs w:val="21"/>
        </w:rPr>
        <w:t>评审时，磋商小组各成员应当独立对每个供应商的响应</w:t>
      </w:r>
      <w:r>
        <w:rPr>
          <w:rFonts w:hint="eastAsia" w:ascii="宋体" w:hAnsi="宋体" w:eastAsia="宋体" w:cs="Times New Roman"/>
          <w:bCs/>
          <w:kern w:val="2"/>
          <w:szCs w:val="21"/>
        </w:rPr>
        <w:t>文件</w:t>
      </w:r>
      <w:r>
        <w:rPr>
          <w:rFonts w:hint="eastAsia" w:ascii="宋体" w:hAnsi="宋体" w:eastAsia="宋体" w:cs="Times New Roman"/>
          <w:kern w:val="2"/>
          <w:szCs w:val="21"/>
        </w:rPr>
        <w:t>进行评价、评分。</w:t>
      </w:r>
    </w:p>
    <w:p w14:paraId="348B1E0E">
      <w:pPr>
        <w:tabs>
          <w:tab w:val="left" w:pos="0"/>
        </w:tabs>
        <w:adjustRightInd w:val="0"/>
        <w:snapToGrid w:val="0"/>
        <w:spacing w:before="120" w:beforeLines="50" w:line="360" w:lineRule="auto"/>
        <w:rPr>
          <w:rFonts w:ascii="宋体" w:hAnsi="宋体" w:eastAsia="宋体" w:cs="Times New Roman"/>
          <w:b/>
          <w:kern w:val="2"/>
          <w:szCs w:val="21"/>
        </w:rPr>
      </w:pPr>
      <w:r>
        <w:rPr>
          <w:rFonts w:hint="eastAsia" w:ascii="宋体" w:hAnsi="宋体" w:eastAsia="宋体" w:cs="Times New Roman"/>
          <w:b/>
          <w:kern w:val="2"/>
          <w:szCs w:val="21"/>
        </w:rPr>
        <w:t>31.推荐成交候选供应商</w:t>
      </w:r>
    </w:p>
    <w:p w14:paraId="50E0C7B5">
      <w:pPr>
        <w:tabs>
          <w:tab w:val="left" w:pos="0"/>
        </w:tabs>
        <w:adjustRightInd w:val="0"/>
        <w:snapToGrid w:val="0"/>
        <w:spacing w:before="120" w:beforeLines="50" w:line="360" w:lineRule="auto"/>
        <w:ind w:firstLine="420" w:firstLineChars="200"/>
        <w:rPr>
          <w:rFonts w:ascii="宋体" w:hAnsi="宋体" w:eastAsia="宋体" w:cs="Times New Roman"/>
          <w:bCs/>
          <w:kern w:val="2"/>
          <w:szCs w:val="21"/>
        </w:rPr>
      </w:pPr>
      <w:r>
        <w:rPr>
          <w:rFonts w:hint="eastAsia" w:ascii="宋体" w:hAnsi="宋体" w:eastAsia="宋体" w:cs="Times New Roman"/>
          <w:kern w:val="2"/>
          <w:szCs w:val="21"/>
        </w:rPr>
        <w:t>31.1磋商小组推荐响应文件满足磋商文件全部实质性要求且按评审因素的量化指标评审得分最高的供应商为成交候选供应商的评审方法，根据综合评分情况，</w:t>
      </w:r>
      <w:r>
        <w:rPr>
          <w:rFonts w:hint="eastAsia" w:ascii="宋体" w:hAnsi="宋体" w:eastAsia="宋体" w:cs="Times New Roman"/>
          <w:bCs/>
          <w:kern w:val="2"/>
          <w:szCs w:val="21"/>
        </w:rPr>
        <w:t>按得分由高到低顺序推荐不少于3名成交候选供应商，并编写评审报告。评审得分相同的，按最后报价由低到高顺序排列。总得分且报价相同的，按“第三章磋商办法”规定顺序推荐排列。</w:t>
      </w:r>
    </w:p>
    <w:p w14:paraId="0A7DEBB2">
      <w:pPr>
        <w:tabs>
          <w:tab w:val="left" w:pos="0"/>
        </w:tabs>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32.确定成交供应商</w:t>
      </w:r>
    </w:p>
    <w:p w14:paraId="25973AC5">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32.1采购代理机构应当在磋商结束后2个工作日内将评审报告送采购人确认。</w:t>
      </w:r>
    </w:p>
    <w:p w14:paraId="42254E6C">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32.2</w:t>
      </w:r>
      <w:r>
        <w:rPr>
          <w:rFonts w:hint="eastAsia" w:ascii="ˎ̥" w:hAnsi="ˎ̥" w:eastAsia="宋体" w:cs="Times New Roman"/>
          <w:kern w:val="2"/>
          <w:szCs w:val="22"/>
        </w:rPr>
        <w:t>采购人应当在收到评审报告后</w:t>
      </w:r>
      <w:r>
        <w:rPr>
          <w:rFonts w:ascii="ˎ̥" w:hAnsi="ˎ̥" w:eastAsia="宋体" w:cs="Times New Roman"/>
          <w:kern w:val="2"/>
          <w:szCs w:val="22"/>
        </w:rPr>
        <w:t>5</w:t>
      </w:r>
      <w:r>
        <w:rPr>
          <w:rFonts w:hint="eastAsia" w:ascii="ˎ̥" w:hAnsi="ˎ̥" w:eastAsia="宋体" w:cs="Times New Roman"/>
          <w:kern w:val="2"/>
          <w:szCs w:val="22"/>
        </w:rPr>
        <w:t>个工作日内，从评审报告提出的成交候选供应商中，按照排序由高到低的原则确定成交供应商，也可以书面授权磋商小组直接确定成交供应商。采购人逾期未确定成交供应商且不提出异议的，视为确定评审报告提出的供应商为成交供应商。</w:t>
      </w:r>
    </w:p>
    <w:p w14:paraId="734D9644">
      <w:pPr>
        <w:widowControl/>
        <w:adjustRightInd w:val="0"/>
        <w:snapToGrid w:val="0"/>
        <w:spacing w:line="360" w:lineRule="auto"/>
        <w:ind w:firstLine="420"/>
        <w:jc w:val="left"/>
        <w:rPr>
          <w:rFonts w:ascii="宋体" w:hAnsi="宋体" w:eastAsia="宋体" w:cs="Times New Roman"/>
          <w:bCs/>
          <w:kern w:val="2"/>
          <w:szCs w:val="21"/>
        </w:rPr>
      </w:pPr>
      <w:r>
        <w:rPr>
          <w:rFonts w:hint="eastAsia" w:ascii="宋体" w:hAnsi="宋体" w:eastAsia="宋体" w:cs="宋体"/>
          <w:kern w:val="0"/>
          <w:szCs w:val="21"/>
        </w:rPr>
        <w:t>32.3最后报价确定遵守本章第</w:t>
      </w:r>
      <w:r>
        <w:rPr>
          <w:rFonts w:hint="eastAsia" w:ascii="宋体" w:hAnsi="宋体" w:eastAsia="宋体" w:cs="Times New Roman"/>
          <w:bCs/>
          <w:kern w:val="2"/>
          <w:szCs w:val="21"/>
        </w:rPr>
        <w:t>30条</w:t>
      </w:r>
      <w:r>
        <w:rPr>
          <w:rFonts w:hint="eastAsia" w:ascii="宋体" w:hAnsi="宋体" w:eastAsia="宋体" w:cs="宋体"/>
          <w:kern w:val="0"/>
          <w:szCs w:val="21"/>
        </w:rPr>
        <w:t>的</w:t>
      </w:r>
      <w:r>
        <w:rPr>
          <w:rFonts w:hint="eastAsia" w:ascii="宋体" w:hAnsi="宋体" w:eastAsia="宋体" w:cs="Times New Roman"/>
          <w:bCs/>
          <w:kern w:val="2"/>
          <w:szCs w:val="21"/>
        </w:rPr>
        <w:t>规定。</w:t>
      </w:r>
    </w:p>
    <w:p w14:paraId="5162B406">
      <w:pPr>
        <w:adjustRightInd w:val="0"/>
        <w:snapToGrid w:val="0"/>
        <w:spacing w:line="360" w:lineRule="auto"/>
        <w:ind w:left="632" w:hanging="632" w:hangingChars="300"/>
        <w:rPr>
          <w:rFonts w:hAnsi="宋体" w:eastAsia="宋体" w:cs="Times New Roman"/>
          <w:b/>
          <w:kern w:val="2"/>
          <w:szCs w:val="22"/>
        </w:rPr>
      </w:pPr>
      <w:r>
        <w:rPr>
          <w:rFonts w:hint="eastAsia" w:hAnsi="宋体" w:eastAsia="宋体" w:cs="Times New Roman"/>
          <w:b/>
          <w:kern w:val="2"/>
          <w:szCs w:val="22"/>
        </w:rPr>
        <w:t>33.磋商的特殊情形</w:t>
      </w:r>
    </w:p>
    <w:p w14:paraId="72E5A26C">
      <w:pPr>
        <w:adjustRightInd w:val="0"/>
        <w:snapToGrid w:val="0"/>
        <w:spacing w:line="360" w:lineRule="auto"/>
        <w:ind w:firstLine="420" w:firstLineChars="200"/>
        <w:rPr>
          <w:rFonts w:ascii="宋体" w:hAnsi="宋体" w:eastAsia="宋体" w:cs="宋体"/>
          <w:kern w:val="0"/>
          <w:szCs w:val="21"/>
        </w:rPr>
      </w:pPr>
      <w:r>
        <w:rPr>
          <w:rFonts w:hint="eastAsia" w:ascii="宋体" w:hAnsi="宋体" w:eastAsia="宋体" w:cs="Times New Roman"/>
          <w:kern w:val="0"/>
          <w:szCs w:val="22"/>
          <w:lang w:val="zh-CN"/>
        </w:rPr>
        <w:t>33.1</w:t>
      </w:r>
      <w:r>
        <w:rPr>
          <w:rFonts w:hint="eastAsia" w:ascii="宋体" w:hAnsi="宋体" w:eastAsia="宋体" w:cs="Times New Roman"/>
          <w:bCs/>
          <w:kern w:val="2"/>
          <w:szCs w:val="21"/>
        </w:rPr>
        <w:t>市场竞争不充分的科研项目，以及需要扶持的科技成果转化项目，</w:t>
      </w:r>
      <w:r>
        <w:rPr>
          <w:rFonts w:hint="eastAsia" w:ascii="宋体" w:hAnsi="宋体" w:eastAsia="宋体" w:cs="宋体"/>
          <w:kern w:val="0"/>
          <w:szCs w:val="21"/>
        </w:rPr>
        <w:t>磋商过程中提交响应文件或者经评审实质性响应磋商文件要求提交最后报价的供应商只有两家时，供应商最低数量可以为两家。</w:t>
      </w:r>
    </w:p>
    <w:p w14:paraId="234587B7">
      <w:pPr>
        <w:adjustRightInd w:val="0"/>
        <w:snapToGrid w:val="0"/>
        <w:spacing w:line="360" w:lineRule="auto"/>
        <w:ind w:left="632" w:hanging="632" w:hangingChars="300"/>
        <w:rPr>
          <w:rFonts w:hAnsi="宋体" w:eastAsia="宋体" w:cs="Times New Roman"/>
          <w:b/>
          <w:kern w:val="2"/>
          <w:szCs w:val="22"/>
        </w:rPr>
      </w:pPr>
      <w:r>
        <w:rPr>
          <w:rFonts w:hint="eastAsia" w:hAnsi="宋体" w:eastAsia="宋体" w:cs="Times New Roman"/>
          <w:b/>
          <w:kern w:val="2"/>
          <w:szCs w:val="22"/>
        </w:rPr>
        <w:t>34.竞争性磋商采购活动终止</w:t>
      </w:r>
    </w:p>
    <w:p w14:paraId="022029F4">
      <w:pPr>
        <w:widowControl/>
        <w:adjustRightInd w:val="0"/>
        <w:snapToGrid w:val="0"/>
        <w:spacing w:line="360" w:lineRule="auto"/>
        <w:ind w:firstLine="420" w:firstLineChars="200"/>
        <w:jc w:val="left"/>
        <w:rPr>
          <w:rFonts w:hint="eastAsia" w:ascii="宋体" w:hAnsi="宋体" w:eastAsia="宋体" w:cs="宋体"/>
          <w:kern w:val="0"/>
          <w:szCs w:val="21"/>
          <w:lang w:eastAsia="zh-CN"/>
        </w:rPr>
      </w:pPr>
      <w:r>
        <w:rPr>
          <w:rFonts w:hint="eastAsia" w:ascii="宋体" w:hAnsi="宋体" w:eastAsia="宋体" w:cs="Times New Roman"/>
          <w:bCs/>
          <w:kern w:val="2"/>
          <w:szCs w:val="21"/>
        </w:rPr>
        <w:t>34.1</w:t>
      </w:r>
      <w:r>
        <w:rPr>
          <w:rFonts w:hint="eastAsia" w:ascii="宋体" w:hAnsi="宋体" w:eastAsia="宋体" w:cs="宋体"/>
          <w:kern w:val="0"/>
          <w:szCs w:val="21"/>
        </w:rPr>
        <w:t>出现下列情形之一的，采购人或者采购代理机构应当终止竞争性磋商采购活动，</w:t>
      </w:r>
      <w:r>
        <w:rPr>
          <w:rFonts w:hint="eastAsia" w:ascii="宋体" w:hAnsi="宋体" w:eastAsia="宋体" w:cs="Times New Roman"/>
          <w:kern w:val="2"/>
          <w:szCs w:val="22"/>
        </w:rPr>
        <w:t>在</w:t>
      </w:r>
      <w:r>
        <w:rPr>
          <w:rFonts w:hint="eastAsia" w:ascii="宋体" w:hAnsi="宋体" w:eastAsia="宋体" w:cs="Times New Roman"/>
          <w:kern w:val="2"/>
          <w:szCs w:val="21"/>
        </w:rPr>
        <w:t>省级以上财政部门</w:t>
      </w:r>
      <w:r>
        <w:rPr>
          <w:rFonts w:hint="eastAsia" w:ascii="宋体" w:hAnsi="宋体" w:eastAsia="宋体" w:cs="Times New Roman"/>
          <w:kern w:val="2"/>
          <w:szCs w:val="22"/>
        </w:rPr>
        <w:t>指定的媒体上</w:t>
      </w:r>
      <w:r>
        <w:rPr>
          <w:rFonts w:hint="eastAsia" w:ascii="宋体" w:hAnsi="宋体" w:eastAsia="宋体" w:cs="宋体"/>
          <w:kern w:val="0"/>
          <w:szCs w:val="21"/>
        </w:rPr>
        <w:t>发布项目终止公告并说明原因，重新开展采购活动：</w:t>
      </w:r>
    </w:p>
    <w:p w14:paraId="4C0FEAC4">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（1）因情况变化，不再符合规定的竞争性磋商采购方式适用情形的；</w:t>
      </w:r>
    </w:p>
    <w:p w14:paraId="533690EA">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（2）出现影响采购公正的违法、违规行为的；</w:t>
      </w:r>
    </w:p>
    <w:p w14:paraId="6356CF5A">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（3）除本章33.1款规定情形外，在采购过程中符合竞争要求的供应商或者报价未超过采购预算的供应商不足3家的，或者提交最后报价的供应商少于3家的；</w:t>
      </w:r>
    </w:p>
    <w:p w14:paraId="0D090F18">
      <w:pPr>
        <w:widowControl/>
        <w:adjustRightInd w:val="0"/>
        <w:snapToGrid w:val="0"/>
        <w:spacing w:line="360" w:lineRule="auto"/>
        <w:ind w:firstLine="420"/>
        <w:jc w:val="left"/>
        <w:rPr>
          <w:rFonts w:ascii="宋体" w:hAnsi="宋体" w:eastAsia="宋体" w:cs="Times New Roman"/>
          <w:b/>
          <w:bCs/>
          <w:kern w:val="2"/>
          <w:szCs w:val="21"/>
        </w:rPr>
      </w:pPr>
      <w:r>
        <w:rPr>
          <w:rFonts w:hint="eastAsia" w:ascii="宋体" w:hAnsi="宋体" w:eastAsia="宋体" w:cs="宋体"/>
          <w:kern w:val="0"/>
          <w:szCs w:val="21"/>
        </w:rPr>
        <w:t>（4）</w:t>
      </w:r>
      <w:r>
        <w:rPr>
          <w:rFonts w:hint="eastAsia" w:ascii="宋体" w:hAnsi="宋体" w:eastAsia="宋体" w:cs="Times New Roman"/>
          <w:bCs/>
          <w:kern w:val="2"/>
          <w:szCs w:val="21"/>
        </w:rPr>
        <w:t>因重大变故，采购任务取消的。</w:t>
      </w:r>
    </w:p>
    <w:p w14:paraId="089194A1">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rPr>
        <w:t>35．重新评审</w:t>
      </w:r>
    </w:p>
    <w:p w14:paraId="5AC00458">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35.1除资格性审查认定错误、分值汇总计算错误、分项评分超出评分标准范围、客观分评分不一致、经磋商小组一致认定评分畸高或畸低的情形外，采购人或者采购代理机构不以任何理由组织重新评审。采购人、采购代理机构发现磋商小组未按照磋商文件规定的评定成交的标准进行评审的，应当重新开展采购活动，并同时书面报告本级财政部门。</w:t>
      </w:r>
    </w:p>
    <w:p w14:paraId="144B71D1">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36.保密及串通行为</w:t>
      </w:r>
    </w:p>
    <w:p w14:paraId="1879044B">
      <w:pPr>
        <w:adjustRightInd w:val="0"/>
        <w:snapToGrid w:val="0"/>
        <w:spacing w:line="360" w:lineRule="auto"/>
        <w:ind w:firstLine="420" w:firstLineChars="200"/>
        <w:rPr>
          <w:rFonts w:ascii="宋体" w:hAnsi="宋体" w:eastAsia="宋体" w:cs="Times New Roman"/>
          <w:kern w:val="2"/>
          <w:szCs w:val="22"/>
        </w:rPr>
      </w:pPr>
      <w:r>
        <w:rPr>
          <w:rFonts w:hint="eastAsia" w:ascii="宋体" w:hAnsi="宋体" w:eastAsia="宋体" w:cs="Times New Roman"/>
          <w:kern w:val="2"/>
          <w:szCs w:val="22"/>
        </w:rPr>
        <w:t>36.1磋商小组成员以及与评审工作有关的人员不得泄露评审情况以及评审过程中获悉的国家秘密、商业秘密。</w:t>
      </w:r>
    </w:p>
    <w:p w14:paraId="287C70EB">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36.2</w:t>
      </w:r>
      <w:r>
        <w:rPr>
          <w:rFonts w:hint="eastAsia" w:ascii="宋体" w:hAnsi="宋体" w:eastAsia="宋体" w:cs="宋体"/>
          <w:kern w:val="0"/>
          <w:szCs w:val="21"/>
        </w:rPr>
        <w:t>供应商</w:t>
      </w:r>
      <w:r>
        <w:rPr>
          <w:rFonts w:hint="eastAsia" w:ascii="宋体" w:hAnsi="宋体" w:eastAsia="宋体" w:cs="Times New Roman"/>
          <w:kern w:val="2"/>
          <w:szCs w:val="21"/>
        </w:rPr>
        <w:t>不得与</w:t>
      </w:r>
      <w:r>
        <w:rPr>
          <w:rFonts w:hint="eastAsia" w:ascii="宋体" w:hAnsi="宋体" w:eastAsia="宋体" w:cs="宋体"/>
          <w:kern w:val="0"/>
          <w:szCs w:val="21"/>
        </w:rPr>
        <w:t>采购人、采购代理机构、其他供应商恶意</w:t>
      </w:r>
      <w:r>
        <w:rPr>
          <w:rFonts w:hint="eastAsia" w:ascii="宋体" w:hAnsi="宋体" w:eastAsia="宋体" w:cs="Times New Roman"/>
          <w:kern w:val="2"/>
          <w:szCs w:val="21"/>
        </w:rPr>
        <w:t>串通；不得向</w:t>
      </w:r>
      <w:r>
        <w:rPr>
          <w:rFonts w:hint="eastAsia" w:ascii="宋体" w:hAnsi="宋体" w:eastAsia="宋体" w:cs="宋体"/>
          <w:kern w:val="0"/>
          <w:szCs w:val="21"/>
        </w:rPr>
        <w:t>采购人、采购代理机构</w:t>
      </w:r>
      <w:r>
        <w:rPr>
          <w:rFonts w:hint="eastAsia" w:ascii="宋体" w:hAnsi="宋体" w:eastAsia="宋体" w:cs="Times New Roman"/>
          <w:kern w:val="2"/>
          <w:szCs w:val="21"/>
        </w:rPr>
        <w:t>或者磋商小组成员行贿或者提供其他不正当利益；不得提供虚假材料谋取成交；不得以任何方式干扰、影响采购工作。</w:t>
      </w:r>
    </w:p>
    <w:p w14:paraId="7AFFA26B">
      <w:pPr>
        <w:adjustRightInd w:val="0"/>
        <w:snapToGrid w:val="0"/>
        <w:spacing w:line="360" w:lineRule="auto"/>
        <w:ind w:firstLine="420" w:firstLineChars="200"/>
        <w:rPr>
          <w:rFonts w:eastAsia="宋体" w:cs="Times New Roman"/>
          <w:kern w:val="2"/>
          <w:szCs w:val="21"/>
          <w:lang w:val="zh-CN"/>
        </w:rPr>
      </w:pPr>
      <w:r>
        <w:rPr>
          <w:rFonts w:hint="eastAsia" w:eastAsia="宋体" w:cs="Arial"/>
          <w:kern w:val="2"/>
          <w:szCs w:val="21"/>
        </w:rPr>
        <w:t>36.3有下列情形之一的，</w:t>
      </w:r>
      <w:r>
        <w:rPr>
          <w:rFonts w:hint="eastAsia" w:eastAsia="宋体" w:cs="Times New Roman"/>
          <w:kern w:val="2"/>
          <w:szCs w:val="21"/>
          <w:lang w:val="zh-CN"/>
        </w:rPr>
        <w:t>属于恶意串通，</w:t>
      </w:r>
      <w:r>
        <w:rPr>
          <w:rFonts w:hint="eastAsia" w:eastAsia="宋体" w:cs="Times New Roman"/>
          <w:kern w:val="2"/>
          <w:szCs w:val="21"/>
        </w:rPr>
        <w:t>成交无效，并</w:t>
      </w:r>
      <w:r>
        <w:rPr>
          <w:rFonts w:hint="eastAsia" w:eastAsia="宋体" w:cs="Times New Roman"/>
          <w:kern w:val="2"/>
          <w:szCs w:val="21"/>
          <w:lang w:val="zh-CN"/>
        </w:rPr>
        <w:t>依照《政府采购法》第七十七条的规定追究法律责任：</w:t>
      </w:r>
    </w:p>
    <w:p w14:paraId="1FEC3BF4">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（1）供应商直接或者间接从</w:t>
      </w:r>
      <w:r>
        <w:rPr>
          <w:rFonts w:hint="eastAsia" w:ascii="宋体" w:hAnsi="宋体" w:eastAsia="宋体" w:cs="Times New Roman"/>
          <w:bCs/>
          <w:kern w:val="2"/>
          <w:szCs w:val="21"/>
        </w:rPr>
        <w:t>采购人、采购代理机构</w:t>
      </w:r>
      <w:r>
        <w:rPr>
          <w:rFonts w:hint="eastAsia" w:ascii="宋体" w:hAnsi="宋体" w:eastAsia="宋体" w:cs="Times New Roman"/>
          <w:kern w:val="2"/>
          <w:szCs w:val="21"/>
        </w:rPr>
        <w:t>获得其他供应商的响应情况，并修改其响应文件</w:t>
      </w:r>
      <w:r>
        <w:rPr>
          <w:rFonts w:hint="eastAsia" w:ascii="宋体" w:hAnsi="宋体" w:eastAsia="宋体" w:cs="Times New Roman"/>
          <w:kern w:val="2"/>
          <w:szCs w:val="22"/>
        </w:rPr>
        <w:t>的</w:t>
      </w:r>
      <w:r>
        <w:rPr>
          <w:rFonts w:hint="eastAsia" w:ascii="宋体" w:hAnsi="宋体" w:eastAsia="宋体" w:cs="Times New Roman"/>
          <w:kern w:val="2"/>
          <w:szCs w:val="21"/>
        </w:rPr>
        <w:t>；</w:t>
      </w:r>
    </w:p>
    <w:p w14:paraId="41321765">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（2）</w:t>
      </w:r>
      <w:r>
        <w:rPr>
          <w:rFonts w:hint="eastAsia" w:ascii="宋体" w:hAnsi="宋体" w:eastAsia="宋体" w:cs="Times New Roman"/>
          <w:bCs/>
          <w:kern w:val="2"/>
          <w:szCs w:val="21"/>
        </w:rPr>
        <w:t>采购人、采购代理机构</w:t>
      </w:r>
      <w:r>
        <w:rPr>
          <w:rFonts w:hint="eastAsia" w:ascii="宋体" w:hAnsi="宋体" w:eastAsia="宋体" w:cs="Times New Roman"/>
          <w:kern w:val="2"/>
          <w:szCs w:val="21"/>
        </w:rPr>
        <w:t>授意供应商撤换、修改响应文件</w:t>
      </w:r>
      <w:r>
        <w:rPr>
          <w:rFonts w:hint="eastAsia" w:ascii="宋体" w:hAnsi="宋体" w:eastAsia="宋体" w:cs="Times New Roman"/>
          <w:kern w:val="2"/>
          <w:szCs w:val="22"/>
        </w:rPr>
        <w:t>的</w:t>
      </w:r>
      <w:r>
        <w:rPr>
          <w:rFonts w:hint="eastAsia" w:ascii="宋体" w:hAnsi="宋体" w:eastAsia="宋体" w:cs="Times New Roman"/>
          <w:kern w:val="2"/>
          <w:szCs w:val="21"/>
        </w:rPr>
        <w:t>；</w:t>
      </w:r>
    </w:p>
    <w:p w14:paraId="1A0E382C">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（3）供应商之间协商技术方案、合同条款以及报价等响应文件实质性内容</w:t>
      </w:r>
      <w:r>
        <w:rPr>
          <w:rFonts w:hint="eastAsia" w:ascii="宋体" w:hAnsi="宋体" w:eastAsia="宋体" w:cs="Times New Roman"/>
          <w:kern w:val="2"/>
          <w:szCs w:val="22"/>
        </w:rPr>
        <w:t>的</w:t>
      </w:r>
      <w:r>
        <w:rPr>
          <w:rFonts w:hint="eastAsia" w:ascii="宋体" w:hAnsi="宋体" w:eastAsia="宋体" w:cs="Times New Roman"/>
          <w:kern w:val="2"/>
          <w:szCs w:val="21"/>
        </w:rPr>
        <w:t>；</w:t>
      </w:r>
    </w:p>
    <w:p w14:paraId="64F2BE5F">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（4）属于同一集团、协会、商会等组织成员的供应商按照该组织要求协同参加竞争性磋商政府采购活动</w:t>
      </w:r>
      <w:r>
        <w:rPr>
          <w:rFonts w:hint="eastAsia" w:ascii="宋体" w:hAnsi="宋体" w:eastAsia="宋体" w:cs="Times New Roman"/>
          <w:kern w:val="2"/>
          <w:szCs w:val="22"/>
        </w:rPr>
        <w:t>的</w:t>
      </w:r>
      <w:r>
        <w:rPr>
          <w:rFonts w:hint="eastAsia" w:ascii="宋体" w:hAnsi="宋体" w:eastAsia="宋体" w:cs="Times New Roman"/>
          <w:kern w:val="2"/>
          <w:szCs w:val="21"/>
        </w:rPr>
        <w:t>；</w:t>
      </w:r>
    </w:p>
    <w:p w14:paraId="31C91EF1">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（5）供应商之间事先约定由某一特定供应商成交</w:t>
      </w:r>
      <w:r>
        <w:rPr>
          <w:rFonts w:hint="eastAsia" w:ascii="宋体" w:hAnsi="宋体" w:eastAsia="宋体" w:cs="Times New Roman"/>
          <w:kern w:val="2"/>
          <w:szCs w:val="22"/>
        </w:rPr>
        <w:t>的</w:t>
      </w:r>
      <w:r>
        <w:rPr>
          <w:rFonts w:hint="eastAsia" w:ascii="宋体" w:hAnsi="宋体" w:eastAsia="宋体" w:cs="Times New Roman"/>
          <w:kern w:val="2"/>
          <w:szCs w:val="21"/>
        </w:rPr>
        <w:t>；</w:t>
      </w:r>
    </w:p>
    <w:p w14:paraId="251B8A6E">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1"/>
        </w:rPr>
        <w:t>（6）供应商之间商定部分供应商放弃</w:t>
      </w:r>
      <w:r>
        <w:rPr>
          <w:rFonts w:hint="eastAsia" w:ascii="宋体" w:hAnsi="宋体" w:eastAsia="宋体" w:cs="Times New Roman"/>
          <w:kern w:val="2"/>
          <w:szCs w:val="22"/>
        </w:rPr>
        <w:t>提</w:t>
      </w:r>
      <w:r>
        <w:rPr>
          <w:rFonts w:hint="eastAsia" w:ascii="宋体" w:hAnsi="宋体" w:eastAsia="宋体" w:cs="Times New Roman"/>
          <w:kern w:val="2"/>
          <w:szCs w:val="21"/>
        </w:rPr>
        <w:t>交响应文件或者退出磋商或者放弃成交</w:t>
      </w:r>
      <w:r>
        <w:rPr>
          <w:rFonts w:hint="eastAsia" w:ascii="宋体" w:hAnsi="宋体" w:eastAsia="宋体" w:cs="Times New Roman"/>
          <w:kern w:val="2"/>
          <w:szCs w:val="22"/>
        </w:rPr>
        <w:t>的</w:t>
      </w:r>
      <w:r>
        <w:rPr>
          <w:rFonts w:hint="eastAsia" w:ascii="宋体" w:hAnsi="宋体" w:eastAsia="宋体" w:cs="Times New Roman"/>
          <w:kern w:val="2"/>
          <w:szCs w:val="21"/>
        </w:rPr>
        <w:t>；</w:t>
      </w:r>
    </w:p>
    <w:p w14:paraId="34839EAC">
      <w:pPr>
        <w:adjustRightInd w:val="0"/>
        <w:snapToGrid w:val="0"/>
        <w:spacing w:line="360" w:lineRule="auto"/>
        <w:ind w:firstLine="420" w:firstLineChars="200"/>
        <w:rPr>
          <w:rFonts w:ascii="宋体" w:hAnsi="宋体" w:eastAsia="宋体" w:cs="Times New Roman"/>
          <w:b/>
          <w:kern w:val="2"/>
          <w:szCs w:val="21"/>
        </w:rPr>
      </w:pPr>
      <w:r>
        <w:rPr>
          <w:rFonts w:hint="eastAsia" w:ascii="宋体" w:hAnsi="宋体" w:eastAsia="宋体" w:cs="Times New Roman"/>
          <w:kern w:val="2"/>
          <w:szCs w:val="21"/>
        </w:rPr>
        <w:t>（7）供应商与</w:t>
      </w:r>
      <w:r>
        <w:rPr>
          <w:rFonts w:hint="eastAsia" w:ascii="宋体" w:hAnsi="宋体" w:eastAsia="宋体" w:cs="Times New Roman"/>
          <w:bCs/>
          <w:kern w:val="2"/>
          <w:szCs w:val="21"/>
        </w:rPr>
        <w:t>采购人、采购代理机构以及</w:t>
      </w:r>
      <w:r>
        <w:rPr>
          <w:rFonts w:hint="eastAsia" w:ascii="宋体" w:hAnsi="宋体" w:eastAsia="宋体" w:cs="Times New Roman"/>
          <w:kern w:val="2"/>
          <w:szCs w:val="21"/>
        </w:rPr>
        <w:t>磋商小组成员之间、供应商相互之间，为谋求特定供应商成交或者排斥其他供应商的其他串通行为</w:t>
      </w:r>
      <w:r>
        <w:rPr>
          <w:rFonts w:hint="eastAsia" w:ascii="宋体" w:hAnsi="宋体" w:eastAsia="宋体" w:cs="Times New Roman"/>
          <w:kern w:val="2"/>
          <w:szCs w:val="22"/>
        </w:rPr>
        <w:t>的</w:t>
      </w:r>
      <w:r>
        <w:rPr>
          <w:rFonts w:hint="eastAsia" w:ascii="宋体" w:hAnsi="宋体" w:eastAsia="宋体" w:cs="Times New Roman"/>
          <w:kern w:val="2"/>
          <w:szCs w:val="21"/>
        </w:rPr>
        <w:t>。</w:t>
      </w:r>
    </w:p>
    <w:p w14:paraId="73561633">
      <w:pPr>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Arial"/>
          <w:kern w:val="2"/>
          <w:szCs w:val="21"/>
        </w:rPr>
        <w:t>（8）</w:t>
      </w:r>
      <w:r>
        <w:rPr>
          <w:rFonts w:hint="eastAsia" w:ascii="宋体" w:hAnsi="宋体" w:eastAsia="宋体" w:cs="Times New Roman"/>
          <w:kern w:val="2"/>
          <w:szCs w:val="21"/>
        </w:rPr>
        <w:t>法律、行政法规或规章规定的其他串通行为。</w:t>
      </w:r>
    </w:p>
    <w:p w14:paraId="12A3E580">
      <w:pPr>
        <w:keepNext/>
        <w:keepLines/>
        <w:widowControl w:val="0"/>
        <w:spacing w:before="260" w:after="260" w:line="360" w:lineRule="exact"/>
        <w:jc w:val="left"/>
        <w:outlineLvl w:val="2"/>
        <w:rPr>
          <w:rFonts w:ascii="宋体" w:hAnsi="宋体" w:eastAsia="宋体" w:cs="Times New Roman"/>
          <w:b/>
          <w:bCs/>
          <w:kern w:val="2"/>
          <w:sz w:val="21"/>
          <w:szCs w:val="21"/>
          <w:lang w:val="en-US" w:eastAsia="zh-CN" w:bidi="ar-SA"/>
        </w:rPr>
      </w:pPr>
      <w:bookmarkStart w:id="103" w:name="_Toc172193578"/>
      <w:r>
        <w:rPr>
          <w:rFonts w:hint="eastAsia" w:ascii="宋体" w:hAnsi="宋体" w:eastAsia="宋体" w:cs="Times New Roman"/>
          <w:b/>
          <w:bCs/>
          <w:kern w:val="2"/>
          <w:sz w:val="21"/>
          <w:szCs w:val="21"/>
          <w:lang w:val="en-US" w:eastAsia="zh-CN" w:bidi="ar-SA"/>
        </w:rPr>
        <w:t>六、成交结果信息公布与授予合同</w:t>
      </w:r>
      <w:bookmarkEnd w:id="103"/>
    </w:p>
    <w:p w14:paraId="770E0ABC">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37.成交信息的公布</w:t>
      </w:r>
    </w:p>
    <w:p w14:paraId="53D721EC">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37.1成交供应商确定后2个工作日内，采购人或者采购代理机构应将成交结果信息在</w:t>
      </w:r>
      <w:r>
        <w:rPr>
          <w:rFonts w:hint="eastAsia" w:hAnsi="宋体" w:eastAsia="宋体" w:cs="Times New Roman"/>
          <w:b/>
          <w:kern w:val="2"/>
          <w:szCs w:val="22"/>
        </w:rPr>
        <w:t>磋商须知前附表</w:t>
      </w:r>
      <w:r>
        <w:rPr>
          <w:rFonts w:hint="eastAsia" w:hAnsi="宋体" w:eastAsia="宋体" w:cs="Times New Roman"/>
          <w:kern w:val="2"/>
          <w:szCs w:val="22"/>
        </w:rPr>
        <w:t>指定的媒体上公布。</w:t>
      </w:r>
    </w:p>
    <w:p w14:paraId="01280957">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38.询问及质疑</w:t>
      </w:r>
    </w:p>
    <w:p w14:paraId="0CC8A6CF">
      <w:pPr>
        <w:adjustRightInd w:val="0"/>
        <w:snapToGrid w:val="0"/>
        <w:spacing w:line="360" w:lineRule="auto"/>
        <w:ind w:firstLine="420" w:firstLineChars="200"/>
        <w:jc w:val="left"/>
        <w:rPr>
          <w:rFonts w:ascii="宋体" w:hAnsi="宋体" w:eastAsia="宋体" w:cs="Times New Roman"/>
          <w:kern w:val="2"/>
          <w:szCs w:val="22"/>
        </w:rPr>
      </w:pPr>
      <w:r>
        <w:rPr>
          <w:rFonts w:hint="eastAsia" w:ascii="宋体" w:hAnsi="宋体" w:eastAsia="宋体" w:cs="Times New Roman"/>
          <w:kern w:val="2"/>
          <w:szCs w:val="21"/>
        </w:rPr>
        <w:t>38.1供应商对政府采购活动事项有疑问的，可以向采购人或采购代理机构提出询问。</w:t>
      </w:r>
    </w:p>
    <w:p w14:paraId="4A1998EB">
      <w:pPr>
        <w:adjustRightInd w:val="0"/>
        <w:snapToGrid w:val="0"/>
        <w:spacing w:line="360" w:lineRule="auto"/>
        <w:ind w:firstLine="420" w:firstLineChars="200"/>
        <w:jc w:val="left"/>
        <w:rPr>
          <w:rFonts w:ascii="宋体" w:hAnsi="宋体" w:eastAsia="宋体" w:cs="Times New Roman"/>
          <w:kern w:val="2"/>
          <w:szCs w:val="21"/>
        </w:rPr>
      </w:pPr>
      <w:r>
        <w:rPr>
          <w:rFonts w:hint="eastAsia" w:ascii="宋体" w:hAnsi="宋体" w:eastAsia="宋体" w:cs="Times New Roman"/>
          <w:kern w:val="2"/>
          <w:szCs w:val="21"/>
        </w:rPr>
        <w:t>38.2供应商若认为磋商文件、采购过程和成交结果使自己的权益受到损害，可以按法律、规章及湖南省财政厅规范性文件规定向采购人或采购代理机构提出质疑。</w:t>
      </w:r>
    </w:p>
    <w:p w14:paraId="6AB81FF5">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39.成交通知</w:t>
      </w:r>
    </w:p>
    <w:p w14:paraId="10E823E8">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39.1成交供应商确定后，采购人或采购代理机构将以书面形式向成交供应商发出成交通知书。成交通知书对采购人和成交供应商具有同等法律效力。</w:t>
      </w:r>
    </w:p>
    <w:p w14:paraId="5D86F6DD">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39.2成交通知书是合同文件的组成部分。</w:t>
      </w:r>
    </w:p>
    <w:p w14:paraId="74369A78">
      <w:pPr>
        <w:tabs>
          <w:tab w:val="left" w:pos="7560"/>
          <w:tab w:val="left" w:pos="7740"/>
          <w:tab w:val="left" w:pos="7920"/>
        </w:tabs>
        <w:autoSpaceDN w:val="0"/>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宋体"/>
          <w:kern w:val="0"/>
          <w:szCs w:val="21"/>
        </w:rPr>
        <w:t>39.3</w:t>
      </w:r>
      <w:r>
        <w:rPr>
          <w:rFonts w:hint="eastAsia" w:ascii="宋体" w:hAnsi="宋体" w:eastAsia="宋体" w:cs="Times New Roman"/>
          <w:kern w:val="2"/>
          <w:szCs w:val="21"/>
        </w:rPr>
        <w:t>成交供应商在收到采购代理机构的成交通知书后10日内，应按照</w:t>
      </w:r>
      <w:r>
        <w:rPr>
          <w:rFonts w:hint="eastAsia" w:ascii="宋体" w:hAnsi="宋体" w:eastAsia="宋体" w:cs="Times New Roman"/>
          <w:b/>
          <w:kern w:val="2"/>
          <w:szCs w:val="21"/>
        </w:rPr>
        <w:t>磋商须知前附表</w:t>
      </w:r>
      <w:r>
        <w:rPr>
          <w:rFonts w:hint="eastAsia" w:ascii="宋体" w:hAnsi="宋体" w:eastAsia="宋体" w:cs="Times New Roman"/>
          <w:kern w:val="2"/>
          <w:szCs w:val="21"/>
        </w:rPr>
        <w:t>的规定，向采购人提交履约担保，履约担保的形式为采购人认可的形式。联合体成交的，履约担保由联合体各方或联合体中牵头人的名义提交。</w:t>
      </w:r>
    </w:p>
    <w:p w14:paraId="64068DF7">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39.4成交供应商</w:t>
      </w:r>
      <w:r>
        <w:rPr>
          <w:rFonts w:hint="eastAsia" w:hAnsi="宋体" w:eastAsia="宋体" w:cs="Times New Roman"/>
          <w:spacing w:val="4"/>
          <w:kern w:val="2"/>
          <w:szCs w:val="22"/>
        </w:rPr>
        <w:t>没有按照本章第38.3</w:t>
      </w:r>
      <w:r>
        <w:rPr>
          <w:rFonts w:hint="eastAsia" w:hAnsi="宋体" w:eastAsia="宋体" w:cs="宋体"/>
          <w:kern w:val="0"/>
          <w:szCs w:val="22"/>
          <w:lang w:val="zh-CN"/>
        </w:rPr>
        <w:t>款</w:t>
      </w:r>
      <w:r>
        <w:rPr>
          <w:rFonts w:hint="eastAsia" w:hAnsi="宋体" w:eastAsia="宋体" w:cs="Times New Roman"/>
          <w:spacing w:val="4"/>
          <w:kern w:val="2"/>
          <w:szCs w:val="22"/>
        </w:rPr>
        <w:t>规定</w:t>
      </w:r>
      <w:r>
        <w:rPr>
          <w:rFonts w:hint="eastAsia" w:hAnsi="宋体" w:eastAsia="宋体" w:cs="Times New Roman"/>
          <w:kern w:val="2"/>
          <w:szCs w:val="22"/>
        </w:rPr>
        <w:t>提交履约担保的</w:t>
      </w:r>
      <w:r>
        <w:rPr>
          <w:rFonts w:hint="eastAsia" w:hAnsi="宋体" w:eastAsia="宋体" w:cs="Times New Roman"/>
          <w:spacing w:val="4"/>
          <w:kern w:val="2"/>
          <w:szCs w:val="22"/>
        </w:rPr>
        <w:t>，视为放弃</w:t>
      </w:r>
      <w:r>
        <w:rPr>
          <w:rFonts w:hint="eastAsia" w:hAnsi="宋体" w:eastAsia="宋体" w:cs="Times New Roman"/>
          <w:kern w:val="2"/>
          <w:szCs w:val="22"/>
        </w:rPr>
        <w:t>成交资格</w:t>
      </w:r>
      <w:r>
        <w:rPr>
          <w:rFonts w:hint="eastAsia" w:hAnsi="宋体" w:eastAsia="宋体" w:cs="Times New Roman"/>
          <w:spacing w:val="4"/>
          <w:kern w:val="2"/>
          <w:szCs w:val="22"/>
        </w:rPr>
        <w:t>，</w:t>
      </w:r>
      <w:r>
        <w:rPr>
          <w:rFonts w:hint="eastAsia" w:hAnsi="宋体" w:eastAsia="宋体" w:cs="Times New Roman"/>
          <w:spacing w:val="2"/>
          <w:kern w:val="2"/>
          <w:szCs w:val="22"/>
        </w:rPr>
        <w:t>其保证金不予退还。</w:t>
      </w:r>
    </w:p>
    <w:p w14:paraId="6D3539B1">
      <w:pPr>
        <w:adjustRightInd w:val="0"/>
        <w:snapToGrid w:val="0"/>
        <w:spacing w:line="360" w:lineRule="auto"/>
        <w:rPr>
          <w:rFonts w:ascii="宋体" w:hAnsi="宋体" w:eastAsia="宋体" w:cs="Times New Roman"/>
          <w:b/>
          <w:bCs/>
          <w:kern w:val="2"/>
          <w:szCs w:val="21"/>
        </w:rPr>
      </w:pPr>
      <w:r>
        <w:rPr>
          <w:rFonts w:hint="eastAsia" w:ascii="宋体" w:hAnsi="宋体" w:eastAsia="宋体" w:cs="Times New Roman"/>
          <w:b/>
          <w:bCs/>
          <w:kern w:val="2"/>
          <w:szCs w:val="21"/>
        </w:rPr>
        <w:t>40.签订合同</w:t>
      </w:r>
    </w:p>
    <w:p w14:paraId="51363C2D">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40.1磋商文件、成交供应商的响应文件及其补充的响应文件等均为签订政府采购合同的依据。</w:t>
      </w:r>
    </w:p>
    <w:p w14:paraId="5889E33C">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40.2成交供应商应当在成交通知书发出之日起30日内与采购人签订政府采购合同。</w:t>
      </w:r>
    </w:p>
    <w:p w14:paraId="2E03FF05">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40.3成交供应商应当按照合同约定履行义务。成交供应商不得向他人转让成交项目，也不得将成交项目分包后分别向他人转让。</w:t>
      </w:r>
    </w:p>
    <w:p w14:paraId="2B8BF1EF">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40.4成交供应商有下列情形之一的，责令限期改正，情节严重的，列入不良行为记录名单，在1至3年内禁止参加政府采购活动，并予以通报：</w:t>
      </w:r>
    </w:p>
    <w:p w14:paraId="411F9E5F">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（一）成交后无正当理由不与采购人签订合同的；</w:t>
      </w:r>
    </w:p>
    <w:p w14:paraId="2E589889">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（二）未按照采购文件确定的事项签订政府采购合同，或者与采购人另行订立背离合同实质性内容的协议的；</w:t>
      </w:r>
    </w:p>
    <w:p w14:paraId="55090DEB">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（三）拒绝履行合同义务的；</w:t>
      </w:r>
    </w:p>
    <w:p w14:paraId="039DCE5D">
      <w:pPr>
        <w:adjustRightInd w:val="0"/>
        <w:snapToGrid w:val="0"/>
        <w:spacing w:line="360" w:lineRule="auto"/>
        <w:ind w:firstLine="420" w:firstLineChars="200"/>
        <w:rPr>
          <w:rFonts w:hAnsi="宋体" w:eastAsia="宋体" w:cs="Times New Roman"/>
          <w:kern w:val="2"/>
          <w:szCs w:val="22"/>
        </w:rPr>
      </w:pPr>
      <w:r>
        <w:rPr>
          <w:rFonts w:hint="eastAsia" w:hAnsi="宋体" w:eastAsia="宋体" w:cs="Times New Roman"/>
          <w:kern w:val="2"/>
          <w:szCs w:val="22"/>
        </w:rPr>
        <w:t>（四）</w:t>
      </w:r>
      <w:r>
        <w:rPr>
          <w:rFonts w:hint="eastAsia" w:hAnsi="宋体" w:eastAsia="宋体" w:cs="宋体"/>
          <w:kern w:val="0"/>
          <w:szCs w:val="22"/>
        </w:rPr>
        <w:t>违反法律、规章、规范性文件规定的。</w:t>
      </w:r>
    </w:p>
    <w:p w14:paraId="245168DA">
      <w:pPr>
        <w:keepNext/>
        <w:keepLines/>
        <w:widowControl w:val="0"/>
        <w:spacing w:before="260" w:after="260" w:line="360" w:lineRule="exact"/>
        <w:jc w:val="left"/>
        <w:outlineLvl w:val="2"/>
        <w:rPr>
          <w:rFonts w:ascii="宋体" w:hAnsi="宋体" w:eastAsia="宋体" w:cs="Times New Roman"/>
          <w:b/>
          <w:bCs/>
          <w:kern w:val="2"/>
          <w:sz w:val="21"/>
          <w:szCs w:val="21"/>
          <w:lang w:val="en-US" w:eastAsia="zh-CN" w:bidi="ar-SA"/>
        </w:rPr>
      </w:pPr>
      <w:bookmarkStart w:id="104" w:name="_Toc172193579"/>
      <w:r>
        <w:rPr>
          <w:rFonts w:hint="eastAsia" w:ascii="宋体" w:hAnsi="宋体" w:eastAsia="宋体" w:cs="Times New Roman"/>
          <w:b/>
          <w:bCs/>
          <w:kern w:val="2"/>
          <w:sz w:val="21"/>
          <w:szCs w:val="21"/>
          <w:lang w:val="en-US" w:eastAsia="zh-CN" w:bidi="ar-SA"/>
        </w:rPr>
        <w:t>七、其他规定</w:t>
      </w:r>
      <w:bookmarkEnd w:id="104"/>
    </w:p>
    <w:p w14:paraId="11F0C6B6">
      <w:pPr>
        <w:adjustRightInd w:val="0"/>
        <w:snapToGrid w:val="0"/>
        <w:spacing w:line="360" w:lineRule="auto"/>
        <w:ind w:firstLine="422" w:firstLineChars="200"/>
        <w:jc w:val="left"/>
        <w:rPr>
          <w:rFonts w:ascii="宋体" w:hAnsi="宋体" w:eastAsia="宋体" w:cs="Times New Roman"/>
          <w:b/>
          <w:kern w:val="2"/>
          <w:szCs w:val="21"/>
        </w:rPr>
      </w:pPr>
      <w:r>
        <w:rPr>
          <w:rFonts w:hint="eastAsia" w:ascii="宋体" w:hAnsi="宋体" w:eastAsia="宋体" w:cs="Times New Roman"/>
          <w:b/>
          <w:kern w:val="2"/>
          <w:szCs w:val="21"/>
        </w:rPr>
        <w:t>41.采购代理服务费及其他费用</w:t>
      </w:r>
    </w:p>
    <w:p w14:paraId="3D3D8C75">
      <w:pPr>
        <w:adjustRightInd w:val="0"/>
        <w:snapToGrid w:val="0"/>
        <w:spacing w:before="120" w:beforeLines="50" w:line="360" w:lineRule="auto"/>
        <w:ind w:firstLine="420" w:firstLineChars="200"/>
        <w:rPr>
          <w:rFonts w:ascii="宋体" w:hAnsi="宋体" w:eastAsia="宋体" w:cs="仿宋_GB2312"/>
          <w:kern w:val="2"/>
          <w:szCs w:val="21"/>
          <w:lang w:val="zh-CN"/>
        </w:rPr>
      </w:pPr>
      <w:r>
        <w:rPr>
          <w:rFonts w:hint="eastAsia" w:ascii="宋体" w:hAnsi="宋体" w:eastAsia="宋体" w:cs="Times New Roman"/>
          <w:kern w:val="2"/>
          <w:szCs w:val="21"/>
        </w:rPr>
        <w:t>41.1</w:t>
      </w:r>
      <w:r>
        <w:rPr>
          <w:rFonts w:hint="eastAsia" w:ascii="宋体" w:hAnsi="宋体" w:eastAsia="宋体" w:cs="仿宋_GB2312"/>
          <w:kern w:val="2"/>
          <w:szCs w:val="21"/>
          <w:lang w:val="zh-CN"/>
        </w:rPr>
        <w:t>采购代理机构应按</w:t>
      </w:r>
      <w:r>
        <w:rPr>
          <w:rFonts w:hint="eastAsia" w:ascii="宋体" w:hAnsi="宋体" w:eastAsia="宋体" w:cs="仿宋_GB2312"/>
          <w:b/>
          <w:kern w:val="2"/>
          <w:szCs w:val="21"/>
          <w:lang w:val="zh-CN"/>
        </w:rPr>
        <w:t>磋商须知前附表</w:t>
      </w:r>
      <w:r>
        <w:rPr>
          <w:rFonts w:hint="eastAsia" w:ascii="宋体" w:hAnsi="宋体" w:eastAsia="宋体" w:cs="仿宋_GB2312"/>
          <w:kern w:val="2"/>
          <w:szCs w:val="21"/>
          <w:lang w:val="zh-CN"/>
        </w:rPr>
        <w:t>规定收取采购代理服务费。</w:t>
      </w:r>
    </w:p>
    <w:p w14:paraId="3E5F47E0">
      <w:pPr>
        <w:adjustRightInd w:val="0"/>
        <w:snapToGrid w:val="0"/>
        <w:spacing w:before="120" w:beforeLines="50" w:line="360" w:lineRule="auto"/>
        <w:ind w:firstLine="422" w:firstLineChars="200"/>
        <w:rPr>
          <w:rFonts w:ascii="宋体" w:hAnsi="宋体" w:eastAsia="宋体" w:cs="Times New Roman"/>
          <w:b/>
          <w:kern w:val="2"/>
          <w:szCs w:val="22"/>
        </w:rPr>
      </w:pPr>
      <w:r>
        <w:rPr>
          <w:rFonts w:hint="eastAsia" w:ascii="宋体" w:hAnsi="宋体" w:eastAsia="宋体" w:cs="Times New Roman"/>
          <w:b/>
          <w:kern w:val="2"/>
          <w:szCs w:val="21"/>
        </w:rPr>
        <w:t>42.</w:t>
      </w:r>
      <w:r>
        <w:rPr>
          <w:rFonts w:hint="eastAsia" w:ascii="宋体" w:hAnsi="宋体" w:eastAsia="宋体" w:cs="Times New Roman"/>
          <w:b/>
          <w:kern w:val="2"/>
          <w:szCs w:val="22"/>
        </w:rPr>
        <w:t>其他规定</w:t>
      </w:r>
    </w:p>
    <w:p w14:paraId="3B9D4A50">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Times New Roman"/>
          <w:b/>
          <w:bCs/>
          <w:kern w:val="2"/>
          <w:szCs w:val="22"/>
        </w:rPr>
      </w:pPr>
      <w:r>
        <w:rPr>
          <w:rFonts w:hint="eastAsia" w:ascii="宋体" w:hAnsi="宋体" w:eastAsia="宋体" w:cs="Times New Roman"/>
          <w:kern w:val="2"/>
          <w:szCs w:val="22"/>
        </w:rPr>
        <w:t>42.1</w:t>
      </w:r>
      <w:r>
        <w:rPr>
          <w:rFonts w:hint="eastAsia" w:ascii="宋体" w:hAnsi="宋体" w:eastAsia="宋体" w:cs="Times New Roman"/>
          <w:b/>
          <w:bCs/>
          <w:kern w:val="2"/>
          <w:szCs w:val="22"/>
        </w:rPr>
        <w:t>磋商文件的企业信用查询见磋商文件前附表</w:t>
      </w:r>
    </w:p>
    <w:p w14:paraId="3EAB1B0E">
      <w:pPr>
        <w:tabs>
          <w:tab w:val="left" w:pos="420"/>
          <w:tab w:val="left" w:pos="7560"/>
          <w:tab w:val="left" w:pos="7740"/>
          <w:tab w:val="left" w:pos="7920"/>
        </w:tabs>
        <w:adjustRightInd w:val="0"/>
        <w:snapToGrid w:val="0"/>
        <w:spacing w:line="360" w:lineRule="auto"/>
        <w:ind w:firstLine="420" w:firstLineChars="200"/>
        <w:rPr>
          <w:rFonts w:ascii="宋体" w:hAnsi="宋体" w:eastAsia="宋体" w:cs="Times New Roman"/>
          <w:kern w:val="2"/>
          <w:szCs w:val="21"/>
        </w:rPr>
      </w:pPr>
      <w:r>
        <w:rPr>
          <w:rFonts w:hint="eastAsia" w:ascii="宋体" w:hAnsi="宋体" w:eastAsia="宋体" w:cs="Times New Roman"/>
          <w:kern w:val="2"/>
          <w:szCs w:val="22"/>
        </w:rPr>
        <w:t>42.2</w:t>
      </w:r>
      <w:r>
        <w:rPr>
          <w:rFonts w:hint="eastAsia" w:ascii="宋体" w:hAnsi="宋体" w:eastAsia="宋体" w:cs="Times New Roman"/>
          <w:kern w:val="2"/>
          <w:szCs w:val="21"/>
        </w:rPr>
        <w:t>磋商文件的其他规定见磋商文件前附表。</w:t>
      </w:r>
    </w:p>
    <w:p w14:paraId="626C4EC7">
      <w:pPr>
        <w:spacing w:line="360" w:lineRule="auto"/>
        <w:jc w:val="center"/>
        <w:rPr>
          <w:rFonts w:ascii="宋体" w:hAnsi="宋体" w:cs="宋体"/>
          <w:b/>
          <w:color w:val="auto"/>
          <w:sz w:val="32"/>
          <w:szCs w:val="32"/>
        </w:rPr>
      </w:pPr>
      <w:r>
        <w:rPr>
          <w:color w:val="auto"/>
        </w:rPr>
        <w:br w:type="page"/>
      </w:r>
    </w:p>
    <w:p w14:paraId="03F47CEE">
      <w:pPr>
        <w:pStyle w:val="2"/>
        <w:bidi w:val="0"/>
        <w:rPr>
          <w:rFonts w:hint="eastAsia"/>
        </w:rPr>
        <w:sectPr>
          <w:footerReference r:id="rId6" w:type="default"/>
          <w:pgSz w:w="11906" w:h="16838"/>
          <w:pgMar w:top="1418" w:right="1134" w:bottom="1134" w:left="1418" w:header="851" w:footer="992" w:gutter="0"/>
          <w:pgBorders>
            <w:top w:val="none" w:sz="0" w:space="0"/>
            <w:left w:val="none" w:sz="0" w:space="0"/>
            <w:bottom w:val="none" w:sz="0" w:space="0"/>
            <w:right w:val="none" w:sz="0" w:space="0"/>
          </w:pgBorders>
          <w:pgNumType w:fmt="numberInDash"/>
          <w:cols w:space="720" w:num="1"/>
          <w:docGrid w:linePitch="312" w:charSpace="0"/>
        </w:sectPr>
      </w:pPr>
      <w:bookmarkStart w:id="105" w:name="_Toc25177"/>
    </w:p>
    <w:p w14:paraId="4FCA9912">
      <w:pPr>
        <w:tabs>
          <w:tab w:val="left" w:pos="1380"/>
          <w:tab w:val="center" w:pos="4153"/>
          <w:tab w:val="left" w:pos="6720"/>
        </w:tabs>
        <w:jc w:val="center"/>
        <w:outlineLvl w:val="0"/>
        <w:rPr>
          <w:rFonts w:ascii="宋体" w:hAnsi="宋体" w:eastAsia="宋体" w:cs="Times New Roman"/>
          <w:b/>
          <w:bCs/>
          <w:kern w:val="2"/>
          <w:sz w:val="36"/>
          <w:szCs w:val="36"/>
        </w:rPr>
      </w:pPr>
      <w:bookmarkStart w:id="106" w:name="_Toc172193580"/>
      <w:bookmarkStart w:id="107" w:name="_Toc31375"/>
      <w:r>
        <w:rPr>
          <w:rFonts w:hint="eastAsia" w:ascii="宋体" w:hAnsi="宋体" w:eastAsia="宋体" w:cs="Times New Roman"/>
          <w:b/>
          <w:kern w:val="2"/>
          <w:sz w:val="32"/>
          <w:szCs w:val="32"/>
        </w:rPr>
        <w:t>第三章磋商办法</w:t>
      </w:r>
      <w:bookmarkEnd w:id="106"/>
      <w:bookmarkEnd w:id="107"/>
    </w:p>
    <w:p w14:paraId="5836D2E0">
      <w:pPr>
        <w:keepNext/>
        <w:keepLines/>
        <w:widowControl w:val="0"/>
        <w:spacing w:before="260" w:after="260" w:line="360" w:lineRule="exact"/>
        <w:jc w:val="left"/>
        <w:outlineLvl w:val="2"/>
        <w:rPr>
          <w:rFonts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一、磋商方法</w:t>
      </w:r>
    </w:p>
    <w:p w14:paraId="56E0FEBF">
      <w:pPr>
        <w:tabs>
          <w:tab w:val="left" w:pos="0"/>
        </w:tabs>
        <w:adjustRightInd w:val="0"/>
        <w:snapToGrid w:val="0"/>
        <w:spacing w:before="120" w:beforeLines="50" w:line="360" w:lineRule="auto"/>
        <w:ind w:firstLine="480" w:firstLineChars="200"/>
        <w:rPr>
          <w:rFonts w:ascii="宋体" w:hAnsi="宋体" w:eastAsia="宋体" w:cs="Times New Roman"/>
          <w:kern w:val="2"/>
          <w:sz w:val="24"/>
          <w:szCs w:val="24"/>
        </w:rPr>
      </w:pPr>
      <w:r>
        <w:rPr>
          <w:rFonts w:hint="eastAsia" w:ascii="宋体" w:hAnsi="宋体" w:eastAsia="宋体" w:cs="Times New Roman"/>
          <w:bCs/>
          <w:kern w:val="2"/>
          <w:sz w:val="24"/>
          <w:szCs w:val="24"/>
        </w:rPr>
        <w:t>本项目采取综合评分法，即</w:t>
      </w:r>
      <w:r>
        <w:rPr>
          <w:rFonts w:hint="eastAsia" w:ascii="宋体" w:hAnsi="宋体" w:eastAsia="宋体" w:cs="Times New Roman"/>
          <w:kern w:val="2"/>
          <w:sz w:val="24"/>
          <w:szCs w:val="24"/>
        </w:rPr>
        <w:t>响应文件满足磋商文件全部实质性要求且按磋商因素的量化指标评审得分最高的供应商为成交候选人的评审方法。</w:t>
      </w:r>
    </w:p>
    <w:p w14:paraId="477611CD">
      <w:pPr>
        <w:tabs>
          <w:tab w:val="left" w:pos="0"/>
        </w:tabs>
        <w:adjustRightInd w:val="0"/>
        <w:snapToGrid w:val="0"/>
        <w:spacing w:before="120" w:beforeLines="50" w:line="360" w:lineRule="auto"/>
        <w:ind w:firstLine="480" w:firstLineChars="200"/>
        <w:rPr>
          <w:rFonts w:ascii="宋体" w:hAnsi="宋体" w:eastAsia="宋体" w:cs="Times New Roman"/>
          <w:kern w:val="2"/>
          <w:sz w:val="24"/>
          <w:szCs w:val="24"/>
        </w:rPr>
      </w:pPr>
      <w:r>
        <w:rPr>
          <w:rFonts w:hint="eastAsia" w:ascii="宋体" w:hAnsi="宋体" w:eastAsia="宋体" w:cs="Times New Roman"/>
          <w:kern w:val="2"/>
          <w:sz w:val="24"/>
          <w:szCs w:val="24"/>
        </w:rPr>
        <w:t>磋商因素：详见磋商标准评分表，但不包括供应商资格条件。</w:t>
      </w:r>
    </w:p>
    <w:p w14:paraId="79997D4A">
      <w:pPr>
        <w:widowControl/>
        <w:adjustRightInd w:val="0"/>
        <w:snapToGrid w:val="0"/>
        <w:spacing w:before="120" w:beforeLines="50" w:line="360" w:lineRule="auto"/>
        <w:ind w:firstLine="480" w:firstLineChars="200"/>
        <w:jc w:val="left"/>
        <w:rPr>
          <w:rFonts w:ascii="宋体" w:hAnsi="宋体" w:eastAsia="宋体" w:cs="Times New Roman"/>
          <w:bCs/>
          <w:kern w:val="2"/>
          <w:sz w:val="24"/>
          <w:szCs w:val="24"/>
        </w:rPr>
      </w:pPr>
      <w:r>
        <w:rPr>
          <w:rFonts w:hint="eastAsia" w:ascii="宋体" w:hAnsi="宋体" w:eastAsia="宋体" w:cs="Times New Roman"/>
          <w:bCs/>
          <w:kern w:val="2"/>
          <w:sz w:val="24"/>
          <w:szCs w:val="24"/>
        </w:rPr>
        <w:t>磋商</w:t>
      </w:r>
      <w:r>
        <w:rPr>
          <w:rFonts w:hint="eastAsia" w:ascii="宋体" w:hAnsi="宋体" w:eastAsia="宋体" w:cs="Times New Roman"/>
          <w:kern w:val="2"/>
          <w:sz w:val="24"/>
          <w:szCs w:val="24"/>
        </w:rPr>
        <w:t>报价评价。磋商小组以经磋商确定最终采购需求，资格性、符合性检查合格的供应商提交的最后报价为基础，</w:t>
      </w:r>
      <w:r>
        <w:rPr>
          <w:rFonts w:hint="eastAsia" w:ascii="宋体" w:hAnsi="宋体" w:eastAsia="宋体" w:cs="宋体"/>
          <w:kern w:val="0"/>
          <w:sz w:val="24"/>
          <w:szCs w:val="24"/>
        </w:rPr>
        <w:t>依次</w:t>
      </w:r>
      <w:r>
        <w:rPr>
          <w:rFonts w:hint="eastAsia" w:ascii="宋体" w:hAnsi="宋体" w:eastAsia="宋体" w:cs="Times New Roman"/>
          <w:kern w:val="2"/>
          <w:sz w:val="24"/>
          <w:szCs w:val="24"/>
        </w:rPr>
        <w:t>对磋商报价进行</w:t>
      </w:r>
      <w:r>
        <w:rPr>
          <w:rFonts w:hint="eastAsia" w:ascii="宋体" w:hAnsi="宋体" w:eastAsia="宋体" w:cs="宋体"/>
          <w:kern w:val="0"/>
          <w:sz w:val="24"/>
          <w:szCs w:val="24"/>
        </w:rPr>
        <w:t>算术</w:t>
      </w:r>
      <w:r>
        <w:rPr>
          <w:rFonts w:hint="eastAsia" w:ascii="宋体" w:hAnsi="宋体" w:eastAsia="宋体" w:cs="Times New Roman"/>
          <w:kern w:val="2"/>
          <w:sz w:val="24"/>
          <w:szCs w:val="24"/>
        </w:rPr>
        <w:t>修正和政府采购政策优惠价格扣除计算。</w:t>
      </w:r>
    </w:p>
    <w:p w14:paraId="501943B1">
      <w:pPr>
        <w:widowControl/>
        <w:adjustRightInd w:val="0"/>
        <w:snapToGrid w:val="0"/>
        <w:spacing w:before="120" w:beforeLines="50"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价格分采用低价优先法计算，即满足磋商文件要求且磋商报价最低的磋商报价为磋商基准价，其价格分为满分，其他</w:t>
      </w:r>
      <w:r>
        <w:rPr>
          <w:rFonts w:hint="eastAsia" w:ascii="宋体" w:hAnsi="宋体" w:eastAsia="宋体" w:cs="Times New Roman"/>
          <w:kern w:val="2"/>
          <w:sz w:val="24"/>
          <w:szCs w:val="24"/>
        </w:rPr>
        <w:t>有效供应商</w:t>
      </w:r>
      <w:r>
        <w:rPr>
          <w:rFonts w:hint="eastAsia" w:ascii="宋体" w:hAnsi="宋体" w:eastAsia="宋体" w:cs="宋体"/>
          <w:kern w:val="0"/>
          <w:sz w:val="24"/>
          <w:szCs w:val="24"/>
        </w:rPr>
        <w:t>的价格分按照下列公式计算：</w:t>
      </w:r>
    </w:p>
    <w:p w14:paraId="5A47C4C6">
      <w:pPr>
        <w:widowControl/>
        <w:adjustRightInd w:val="0"/>
        <w:snapToGrid w:val="0"/>
        <w:spacing w:before="120" w:beforeLines="50"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磋商报价得分=(磋商基准价／最后磋商报价)×价格分值</w:t>
      </w:r>
    </w:p>
    <w:p w14:paraId="2631C208">
      <w:pPr>
        <w:widowControl/>
        <w:adjustRightInd w:val="0"/>
        <w:snapToGrid w:val="0"/>
        <w:spacing w:before="120" w:beforeLines="50"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磋商报价高于采购人预算价为无效响应。</w:t>
      </w:r>
    </w:p>
    <w:p w14:paraId="02FDA5A1">
      <w:pPr>
        <w:widowControl/>
        <w:adjustRightInd w:val="0"/>
        <w:snapToGrid w:val="0"/>
        <w:spacing w:before="120" w:beforeLines="50" w:line="360" w:lineRule="auto"/>
        <w:ind w:firstLine="480" w:firstLineChars="200"/>
        <w:jc w:val="left"/>
        <w:rPr>
          <w:rFonts w:ascii="宋体" w:hAnsi="宋体" w:eastAsia="宋体" w:cs="Times New Roman"/>
          <w:kern w:val="2"/>
          <w:sz w:val="24"/>
          <w:szCs w:val="24"/>
        </w:rPr>
      </w:pPr>
      <w:r>
        <w:rPr>
          <w:rFonts w:hint="eastAsia" w:ascii="宋体" w:hAnsi="宋体" w:eastAsia="宋体" w:cs="宋体"/>
          <w:kern w:val="0"/>
          <w:sz w:val="24"/>
          <w:szCs w:val="24"/>
        </w:rPr>
        <w:t>本项所称磋商报价为按</w:t>
      </w:r>
      <w:r>
        <w:rPr>
          <w:rFonts w:hint="eastAsia" w:ascii="宋体" w:hAnsi="宋体" w:eastAsia="宋体" w:cs="Times New Roman"/>
          <w:bCs/>
          <w:kern w:val="2"/>
          <w:sz w:val="24"/>
          <w:szCs w:val="24"/>
        </w:rPr>
        <w:t>第二章第30.3</w:t>
      </w:r>
      <w:r>
        <w:rPr>
          <w:rFonts w:hint="eastAsia" w:ascii="宋体" w:hAnsi="宋体" w:eastAsia="宋体" w:cs="宋体"/>
          <w:kern w:val="0"/>
          <w:sz w:val="24"/>
          <w:szCs w:val="24"/>
          <w:lang w:val="zh-CN"/>
        </w:rPr>
        <w:t>款</w:t>
      </w:r>
      <w:r>
        <w:rPr>
          <w:rFonts w:hint="eastAsia" w:ascii="宋体" w:hAnsi="宋体" w:eastAsia="宋体" w:cs="Times New Roman"/>
          <w:bCs/>
          <w:kern w:val="2"/>
          <w:sz w:val="24"/>
          <w:szCs w:val="24"/>
        </w:rPr>
        <w:t>规定</w:t>
      </w:r>
      <w:r>
        <w:rPr>
          <w:rFonts w:hint="eastAsia" w:ascii="宋体" w:hAnsi="宋体" w:eastAsia="宋体" w:cs="Times New Roman"/>
          <w:kern w:val="2"/>
          <w:sz w:val="24"/>
          <w:szCs w:val="24"/>
        </w:rPr>
        <w:t>评价后的磋商报价。</w:t>
      </w:r>
    </w:p>
    <w:p w14:paraId="444CAC1A">
      <w:pPr>
        <w:widowControl/>
        <w:adjustRightInd w:val="0"/>
        <w:snapToGrid w:val="0"/>
        <w:spacing w:before="120" w:beforeLines="50" w:line="360" w:lineRule="auto"/>
        <w:ind w:firstLine="480" w:firstLineChars="200"/>
        <w:jc w:val="left"/>
        <w:rPr>
          <w:rFonts w:ascii="宋体" w:hAnsi="宋体" w:eastAsia="宋体" w:cs="Times New Roman"/>
          <w:kern w:val="2"/>
          <w:sz w:val="24"/>
          <w:szCs w:val="24"/>
        </w:rPr>
      </w:pPr>
      <w:r>
        <w:rPr>
          <w:rFonts w:hint="eastAsia" w:ascii="宋体" w:hAnsi="宋体" w:eastAsia="宋体" w:cs="Times New Roman"/>
          <w:kern w:val="2"/>
          <w:sz w:val="24"/>
          <w:szCs w:val="24"/>
        </w:rPr>
        <w:t>涉及政府采购政策优惠的，</w:t>
      </w:r>
      <w:r>
        <w:rPr>
          <w:rFonts w:hint="eastAsia" w:ascii="宋体" w:hAnsi="宋体" w:eastAsia="宋体" w:cs="Times New Roman"/>
          <w:bCs/>
          <w:kern w:val="2"/>
          <w:sz w:val="24"/>
          <w:szCs w:val="24"/>
        </w:rPr>
        <w:t>按</w:t>
      </w:r>
      <w:r>
        <w:rPr>
          <w:rFonts w:hint="eastAsia" w:ascii="宋体" w:hAnsi="宋体" w:eastAsia="宋体" w:cs="Times New Roman"/>
          <w:b/>
          <w:kern w:val="2"/>
          <w:sz w:val="24"/>
          <w:szCs w:val="24"/>
        </w:rPr>
        <w:t>磋商须知前附表</w:t>
      </w:r>
      <w:r>
        <w:rPr>
          <w:rFonts w:hint="eastAsia" w:ascii="宋体" w:hAnsi="宋体" w:eastAsia="宋体" w:cs="Times New Roman"/>
          <w:bCs/>
          <w:kern w:val="2"/>
          <w:sz w:val="24"/>
          <w:szCs w:val="24"/>
        </w:rPr>
        <w:t>规定</w:t>
      </w:r>
      <w:r>
        <w:rPr>
          <w:rFonts w:hint="eastAsia" w:ascii="宋体" w:hAnsi="宋体" w:eastAsia="宋体" w:cs="Times New Roman"/>
          <w:kern w:val="2"/>
          <w:sz w:val="24"/>
          <w:szCs w:val="24"/>
        </w:rPr>
        <w:t>调整。</w:t>
      </w:r>
    </w:p>
    <w:p w14:paraId="365C076E">
      <w:pPr>
        <w:widowControl/>
        <w:adjustRightInd w:val="0"/>
        <w:snapToGrid w:val="0"/>
        <w:spacing w:before="120" w:beforeLines="50" w:line="360" w:lineRule="auto"/>
        <w:ind w:firstLine="480" w:firstLineChars="200"/>
        <w:jc w:val="left"/>
        <w:rPr>
          <w:rFonts w:ascii="宋体" w:hAnsi="宋体" w:eastAsia="宋体" w:cs="宋体"/>
          <w:kern w:val="0"/>
          <w:sz w:val="24"/>
          <w:szCs w:val="24"/>
        </w:rPr>
      </w:pPr>
      <w:r>
        <w:rPr>
          <w:rFonts w:hint="eastAsia" w:ascii="宋体" w:hAnsi="宋体" w:eastAsia="宋体" w:cs="Times New Roman"/>
          <w:kern w:val="2"/>
          <w:sz w:val="24"/>
          <w:szCs w:val="24"/>
        </w:rPr>
        <w:t>评审时，磋商小组各成员应当独立对每个供应商的响应</w:t>
      </w:r>
      <w:r>
        <w:rPr>
          <w:rFonts w:hint="eastAsia" w:ascii="宋体" w:hAnsi="宋体" w:eastAsia="宋体" w:cs="Times New Roman"/>
          <w:bCs/>
          <w:kern w:val="2"/>
          <w:sz w:val="24"/>
          <w:szCs w:val="24"/>
        </w:rPr>
        <w:t>文件</w:t>
      </w:r>
      <w:r>
        <w:rPr>
          <w:rFonts w:hint="eastAsia" w:ascii="宋体" w:hAnsi="宋体" w:eastAsia="宋体" w:cs="Times New Roman"/>
          <w:kern w:val="2"/>
          <w:sz w:val="24"/>
          <w:szCs w:val="24"/>
        </w:rPr>
        <w:t>进行评价、评分。</w:t>
      </w:r>
    </w:p>
    <w:p w14:paraId="61B8EB5D">
      <w:pPr>
        <w:keepNext/>
        <w:keepLines/>
        <w:widowControl w:val="0"/>
        <w:spacing w:before="260" w:after="260" w:line="360" w:lineRule="exact"/>
        <w:jc w:val="left"/>
        <w:outlineLvl w:val="2"/>
        <w:rPr>
          <w:rFonts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二、推荐成交候选供应商</w:t>
      </w:r>
    </w:p>
    <w:p w14:paraId="7CECF324">
      <w:pPr>
        <w:tabs>
          <w:tab w:val="left" w:pos="0"/>
        </w:tabs>
        <w:adjustRightInd w:val="0"/>
        <w:snapToGrid w:val="0"/>
        <w:spacing w:before="120" w:beforeLines="50" w:line="360" w:lineRule="auto"/>
        <w:ind w:firstLine="482" w:firstLineChars="200"/>
        <w:rPr>
          <w:rFonts w:ascii="宋体" w:hAnsi="宋体" w:eastAsia="宋体" w:cs="Times New Roman"/>
          <w:b/>
          <w:bCs/>
          <w:kern w:val="2"/>
          <w:sz w:val="24"/>
          <w:szCs w:val="24"/>
        </w:rPr>
      </w:pPr>
      <w:r>
        <w:rPr>
          <w:rFonts w:hint="eastAsia" w:ascii="宋体" w:hAnsi="宋体" w:eastAsia="宋体" w:cs="Times New Roman"/>
          <w:b/>
          <w:kern w:val="2"/>
          <w:sz w:val="24"/>
          <w:szCs w:val="24"/>
        </w:rPr>
        <w:t>磋商小组应当根据综合评分情况，</w:t>
      </w:r>
      <w:r>
        <w:rPr>
          <w:rFonts w:hint="eastAsia" w:ascii="宋体" w:hAnsi="宋体" w:eastAsia="宋体" w:cs="Times New Roman"/>
          <w:b/>
          <w:bCs/>
          <w:kern w:val="2"/>
          <w:sz w:val="24"/>
          <w:szCs w:val="24"/>
        </w:rPr>
        <w:t>按评审得分由高到低顺序推荐3名成交候选供应商，并编写评审报告。评审得分相同的，按最后报价由低到高顺序排列。总得分且报价相同的，按</w:t>
      </w:r>
      <w:r>
        <w:rPr>
          <w:rFonts w:hint="eastAsia" w:ascii="宋体" w:hAnsi="宋体" w:eastAsia="宋体" w:cs="Times New Roman"/>
          <w:b/>
          <w:bCs/>
          <w:kern w:val="2"/>
          <w:sz w:val="24"/>
          <w:szCs w:val="24"/>
          <w:lang w:eastAsia="zh-CN"/>
        </w:rPr>
        <w:t>实施方案</w:t>
      </w:r>
      <w:r>
        <w:rPr>
          <w:rFonts w:hint="eastAsia" w:ascii="宋体" w:hAnsi="宋体" w:eastAsia="宋体" w:cs="Times New Roman"/>
          <w:b/>
          <w:bCs/>
          <w:kern w:val="2"/>
          <w:sz w:val="24"/>
          <w:szCs w:val="24"/>
        </w:rPr>
        <w:t>得分由高到低排名顺序排列，再次相同的采取随机抽取方式确定。</w:t>
      </w:r>
    </w:p>
    <w:p w14:paraId="64840EAD">
      <w:pPr>
        <w:keepNext/>
        <w:keepLines/>
        <w:widowControl w:val="0"/>
        <w:spacing w:before="260" w:after="260" w:line="360" w:lineRule="exact"/>
        <w:jc w:val="left"/>
        <w:outlineLvl w:val="2"/>
        <w:rPr>
          <w:rFonts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三、确定成交供应商</w:t>
      </w:r>
    </w:p>
    <w:p w14:paraId="6910E515">
      <w:pPr>
        <w:widowControl/>
        <w:adjustRightInd w:val="0"/>
        <w:snapToGrid w:val="0"/>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1、采购代理机构应当在评审结束后2个工作日内将评审报告送采购人确认。</w:t>
      </w:r>
    </w:p>
    <w:p w14:paraId="1421A0A4">
      <w:pPr>
        <w:widowControl/>
        <w:adjustRightInd w:val="0"/>
        <w:snapToGrid w:val="0"/>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采购人应当在收到评审报告后5个工作日内，从评审报告提出的成交候选人中，根据质量和服务均能满足采购文件实质性响应要求且评审得分最高的原则确定成交供应商，也可以书面授权磋商小组直接确定成交供应商。采购人逾期未确定成交供应商且不提出异议的，视为确定评审报告提出的排序第一的供应商为成交供应商。</w:t>
      </w:r>
    </w:p>
    <w:p w14:paraId="1DBFD888">
      <w:pPr>
        <w:widowControl/>
        <w:adjustRightInd w:val="0"/>
        <w:snapToGrid w:val="0"/>
        <w:spacing w:line="360" w:lineRule="auto"/>
        <w:ind w:firstLine="420"/>
        <w:jc w:val="left"/>
        <w:rPr>
          <w:rFonts w:eastAsia="宋体" w:cs="Times New Roman"/>
          <w:kern w:val="2"/>
          <w:sz w:val="24"/>
          <w:szCs w:val="24"/>
        </w:rPr>
      </w:pPr>
      <w:r>
        <w:rPr>
          <w:rFonts w:hint="eastAsia" w:ascii="宋体" w:hAnsi="宋体" w:eastAsia="宋体" w:cs="宋体"/>
          <w:kern w:val="0"/>
          <w:sz w:val="24"/>
          <w:szCs w:val="24"/>
        </w:rPr>
        <w:t>3、最后报价确定遵守第二章第</w:t>
      </w:r>
      <w:r>
        <w:rPr>
          <w:rFonts w:hint="eastAsia" w:ascii="宋体" w:hAnsi="宋体" w:eastAsia="宋体" w:cs="Times New Roman"/>
          <w:bCs/>
          <w:kern w:val="2"/>
          <w:sz w:val="24"/>
          <w:szCs w:val="24"/>
        </w:rPr>
        <w:t>29条</w:t>
      </w:r>
      <w:r>
        <w:rPr>
          <w:rFonts w:hint="eastAsia" w:ascii="宋体" w:hAnsi="宋体" w:eastAsia="宋体" w:cs="宋体"/>
          <w:kern w:val="0"/>
          <w:sz w:val="24"/>
          <w:szCs w:val="24"/>
        </w:rPr>
        <w:t>的</w:t>
      </w:r>
      <w:r>
        <w:rPr>
          <w:rFonts w:hint="eastAsia" w:ascii="宋体" w:hAnsi="宋体" w:eastAsia="宋体" w:cs="Times New Roman"/>
          <w:bCs/>
          <w:kern w:val="2"/>
          <w:sz w:val="24"/>
          <w:szCs w:val="24"/>
        </w:rPr>
        <w:t>规定。</w:t>
      </w:r>
    </w:p>
    <w:p w14:paraId="55504FF8">
      <w:pPr>
        <w:adjustRightInd w:val="0"/>
        <w:snapToGrid w:val="0"/>
        <w:spacing w:before="156" w:beforeLines="50" w:line="360" w:lineRule="auto"/>
        <w:jc w:val="center"/>
        <w:outlineLvl w:val="0"/>
        <w:rPr>
          <w:rFonts w:hint="eastAsia" w:ascii="宋体" w:hAnsi="宋体" w:cs="宋体"/>
          <w:b/>
          <w:color w:val="000000" w:themeColor="text1"/>
          <w:sz w:val="28"/>
          <w:szCs w:val="28"/>
          <w:highlight w:val="none"/>
          <w14:textFill>
            <w14:solidFill>
              <w14:schemeClr w14:val="tx1"/>
            </w14:solidFill>
          </w14:textFill>
        </w:rPr>
      </w:pPr>
      <w:r>
        <w:rPr>
          <w:rFonts w:ascii="宋体" w:hAnsi="宋体" w:eastAsia="宋体" w:cs="宋体"/>
          <w:b/>
          <w:kern w:val="2"/>
          <w:sz w:val="24"/>
          <w:szCs w:val="22"/>
        </w:rPr>
        <w:br w:type="page"/>
      </w:r>
      <w:bookmarkStart w:id="108" w:name="_Toc18757"/>
      <w:bookmarkStart w:id="109" w:name="_Toc8595"/>
      <w:r>
        <w:rPr>
          <w:rFonts w:hint="eastAsia" w:ascii="宋体" w:hAnsi="宋体" w:cs="宋体"/>
          <w:b/>
          <w:color w:val="000000" w:themeColor="text1"/>
          <w:sz w:val="28"/>
          <w:szCs w:val="28"/>
          <w:highlight w:val="none"/>
          <w14:textFill>
            <w14:solidFill>
              <w14:schemeClr w14:val="tx1"/>
            </w14:solidFill>
          </w14:textFill>
        </w:rPr>
        <w:t>权值表</w:t>
      </w:r>
      <w:bookmarkEnd w:id="108"/>
      <w:bookmarkEnd w:id="109"/>
    </w:p>
    <w:p w14:paraId="4CCAD387">
      <w:pPr>
        <w:adjustRightInd w:val="0"/>
        <w:snapToGrid w:val="0"/>
        <w:spacing w:before="156" w:beforeLines="50"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1：本项目</w:t>
      </w:r>
      <w:r>
        <w:rPr>
          <w:rFonts w:hint="eastAsia" w:ascii="宋体" w:hAnsi="宋体" w:cs="宋体"/>
          <w:color w:val="000000" w:themeColor="text1"/>
          <w:szCs w:val="21"/>
          <w:highlight w:val="none"/>
          <w14:textFill>
            <w14:solidFill>
              <w14:schemeClr w14:val="tx1"/>
            </w14:solidFill>
          </w14:textFill>
        </w:rPr>
        <w:t>权值:</w:t>
      </w:r>
    </w:p>
    <w:tbl>
      <w:tblPr>
        <w:tblStyle w:val="28"/>
        <w:tblW w:w="9559"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8"/>
        <w:gridCol w:w="4195"/>
        <w:gridCol w:w="4276"/>
      </w:tblGrid>
      <w:tr w14:paraId="730B2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1088" w:type="dxa"/>
            <w:noWrap w:val="0"/>
            <w:vAlign w:val="center"/>
          </w:tcPr>
          <w:p w14:paraId="141E8D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序号</w:t>
            </w:r>
          </w:p>
        </w:tc>
        <w:tc>
          <w:tcPr>
            <w:tcW w:w="4195" w:type="dxa"/>
            <w:noWrap w:val="0"/>
            <w:vAlign w:val="center"/>
          </w:tcPr>
          <w:p w14:paraId="04437A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w:t>
            </w:r>
          </w:p>
        </w:tc>
        <w:tc>
          <w:tcPr>
            <w:tcW w:w="4276" w:type="dxa"/>
            <w:noWrap w:val="0"/>
            <w:vAlign w:val="center"/>
          </w:tcPr>
          <w:p w14:paraId="222734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本项目权值</w:t>
            </w:r>
          </w:p>
        </w:tc>
      </w:tr>
      <w:tr w14:paraId="0EBC33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088" w:type="dxa"/>
            <w:noWrap w:val="0"/>
            <w:vAlign w:val="center"/>
          </w:tcPr>
          <w:p w14:paraId="08D184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c>
          <w:tcPr>
            <w:tcW w:w="4195" w:type="dxa"/>
            <w:noWrap w:val="0"/>
            <w:vAlign w:val="center"/>
          </w:tcPr>
          <w:p w14:paraId="6873FB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投标报价(F1)</w:t>
            </w:r>
          </w:p>
        </w:tc>
        <w:tc>
          <w:tcPr>
            <w:tcW w:w="4276" w:type="dxa"/>
            <w:noWrap w:val="0"/>
            <w:vAlign w:val="center"/>
          </w:tcPr>
          <w:p w14:paraId="1F6EEF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Style w:val="30"/>
                <w:rFonts w:hint="eastAsia" w:ascii="宋体" w:hAnsi="宋体" w:eastAsia="宋体" w:cs="宋体"/>
                <w:b w:val="0"/>
                <w:color w:val="000000" w:themeColor="text1"/>
                <w:sz w:val="24"/>
                <w:szCs w:val="24"/>
                <w:highlight w:val="none"/>
                <w:lang w:val="en-US" w:eastAsia="zh-CN"/>
                <w14:textFill>
                  <w14:solidFill>
                    <w14:schemeClr w14:val="tx1"/>
                  </w14:solidFill>
                </w14:textFill>
              </w:rPr>
              <w:t>60</w:t>
            </w:r>
            <w:r>
              <w:rPr>
                <w:rStyle w:val="30"/>
                <w:rFonts w:ascii="宋体" w:hAnsi="宋体" w:eastAsia="宋体" w:cs="宋体"/>
                <w:b w:val="0"/>
                <w:color w:val="000000" w:themeColor="text1"/>
                <w:sz w:val="24"/>
                <w:szCs w:val="24"/>
                <w:highlight w:val="none"/>
                <w14:textFill>
                  <w14:solidFill>
                    <w14:schemeClr w14:val="tx1"/>
                  </w14:solidFill>
                </w14:textFill>
              </w:rPr>
              <w:t>.0%</w:t>
            </w:r>
          </w:p>
        </w:tc>
      </w:tr>
      <w:tr w14:paraId="1FDCF1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1088" w:type="dxa"/>
            <w:noWrap w:val="0"/>
            <w:vAlign w:val="center"/>
          </w:tcPr>
          <w:p w14:paraId="6FAA14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 w:val="24"/>
                <w:szCs w:val="24"/>
              </w:rPr>
            </w:pPr>
            <w:r>
              <w:rPr>
                <w:rFonts w:hint="eastAsia" w:ascii="宋体" w:hAnsi="宋体" w:cs="宋体"/>
                <w:color w:val="auto"/>
                <w:sz w:val="24"/>
                <w:szCs w:val="24"/>
              </w:rPr>
              <w:t>2</w:t>
            </w:r>
          </w:p>
        </w:tc>
        <w:tc>
          <w:tcPr>
            <w:tcW w:w="4195" w:type="dxa"/>
            <w:noWrap w:val="0"/>
            <w:vAlign w:val="center"/>
          </w:tcPr>
          <w:p w14:paraId="4BBF53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技术</w:t>
            </w:r>
            <w:r>
              <w:rPr>
                <w:rFonts w:hint="eastAsia" w:ascii="宋体" w:hAnsi="宋体" w:cs="宋体"/>
                <w:color w:val="auto"/>
                <w:sz w:val="24"/>
                <w:szCs w:val="24"/>
              </w:rPr>
              <w:t>部分(F2)</w:t>
            </w:r>
          </w:p>
        </w:tc>
        <w:tc>
          <w:tcPr>
            <w:tcW w:w="4276" w:type="dxa"/>
            <w:noWrap w:val="0"/>
            <w:vAlign w:val="center"/>
          </w:tcPr>
          <w:p w14:paraId="14307B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Style w:val="30"/>
                <w:rFonts w:hint="eastAsia" w:ascii="宋体" w:hAnsi="宋体" w:eastAsia="宋体" w:cs="宋体"/>
                <w:b w:val="0"/>
                <w:color w:val="auto"/>
                <w:sz w:val="24"/>
                <w:szCs w:val="24"/>
                <w:lang w:val="en-US" w:eastAsia="zh-CN"/>
              </w:rPr>
              <w:t>30</w:t>
            </w:r>
            <w:r>
              <w:rPr>
                <w:rStyle w:val="30"/>
                <w:rFonts w:ascii="宋体" w:hAnsi="宋体" w:eastAsia="宋体" w:cs="宋体"/>
                <w:b w:val="0"/>
                <w:color w:val="auto"/>
                <w:sz w:val="24"/>
                <w:szCs w:val="24"/>
              </w:rPr>
              <w:t>.0%</w:t>
            </w:r>
          </w:p>
        </w:tc>
      </w:tr>
      <w:tr w14:paraId="2377D0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088" w:type="dxa"/>
            <w:noWrap w:val="0"/>
            <w:vAlign w:val="center"/>
          </w:tcPr>
          <w:p w14:paraId="422101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 w:val="24"/>
                <w:szCs w:val="24"/>
              </w:rPr>
            </w:pPr>
            <w:r>
              <w:rPr>
                <w:rFonts w:hint="eastAsia" w:ascii="宋体" w:hAnsi="宋体" w:cs="宋体"/>
                <w:color w:val="auto"/>
                <w:sz w:val="24"/>
                <w:szCs w:val="24"/>
              </w:rPr>
              <w:t>3</w:t>
            </w:r>
          </w:p>
        </w:tc>
        <w:tc>
          <w:tcPr>
            <w:tcW w:w="4195" w:type="dxa"/>
            <w:noWrap w:val="0"/>
            <w:vAlign w:val="center"/>
          </w:tcPr>
          <w:p w14:paraId="23F34B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商务部分</w:t>
            </w:r>
            <w:r>
              <w:rPr>
                <w:rFonts w:hint="eastAsia" w:ascii="宋体" w:hAnsi="宋体" w:cs="宋体"/>
                <w:color w:val="auto"/>
                <w:sz w:val="24"/>
                <w:szCs w:val="24"/>
              </w:rPr>
              <w:t>(F3)</w:t>
            </w:r>
          </w:p>
        </w:tc>
        <w:tc>
          <w:tcPr>
            <w:tcW w:w="4276" w:type="dxa"/>
            <w:noWrap w:val="0"/>
            <w:vAlign w:val="center"/>
          </w:tcPr>
          <w:p w14:paraId="6ED4FE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Style w:val="30"/>
                <w:rFonts w:hint="eastAsia" w:ascii="宋体" w:hAnsi="宋体" w:eastAsia="宋体" w:cs="宋体"/>
                <w:b w:val="0"/>
                <w:color w:val="auto"/>
                <w:sz w:val="24"/>
                <w:szCs w:val="24"/>
                <w:lang w:val="en-US" w:eastAsia="zh-CN"/>
              </w:rPr>
              <w:t>1</w:t>
            </w:r>
            <w:r>
              <w:rPr>
                <w:rStyle w:val="30"/>
                <w:rFonts w:ascii="宋体" w:hAnsi="宋体" w:eastAsia="宋体" w:cs="宋体"/>
                <w:b w:val="0"/>
                <w:color w:val="auto"/>
                <w:sz w:val="24"/>
                <w:szCs w:val="24"/>
              </w:rPr>
              <w:t>0.0%</w:t>
            </w:r>
          </w:p>
        </w:tc>
      </w:tr>
      <w:tr w14:paraId="2F4E2A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rPr>
        <w:tc>
          <w:tcPr>
            <w:tcW w:w="5283" w:type="dxa"/>
            <w:gridSpan w:val="2"/>
            <w:noWrap w:val="0"/>
            <w:vAlign w:val="center"/>
          </w:tcPr>
          <w:p w14:paraId="1D06CF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 w:val="24"/>
                <w:szCs w:val="24"/>
              </w:rPr>
            </w:pPr>
            <w:r>
              <w:rPr>
                <w:rFonts w:hint="eastAsia" w:ascii="宋体" w:hAnsi="宋体" w:cs="宋体"/>
                <w:color w:val="auto"/>
                <w:sz w:val="24"/>
                <w:szCs w:val="24"/>
              </w:rPr>
              <w:t>F1+F2+F3=1</w:t>
            </w:r>
          </w:p>
        </w:tc>
        <w:tc>
          <w:tcPr>
            <w:tcW w:w="4276" w:type="dxa"/>
            <w:noWrap w:val="0"/>
            <w:vAlign w:val="center"/>
          </w:tcPr>
          <w:p w14:paraId="2E7C93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cs="宋体" w:eastAsiaTheme="minorEastAsia"/>
                <w:color w:val="auto"/>
                <w:sz w:val="24"/>
                <w:szCs w:val="24"/>
                <w:lang w:val="en-US" w:eastAsia="zh-CN"/>
              </w:rPr>
            </w:pPr>
            <w:r>
              <w:rPr>
                <w:rFonts w:hint="eastAsia" w:ascii="宋体" w:hAnsi="宋体" w:cs="宋体"/>
                <w:color w:val="auto"/>
                <w:sz w:val="24"/>
                <w:szCs w:val="24"/>
              </w:rPr>
              <w:t>1</w:t>
            </w:r>
            <w:r>
              <w:rPr>
                <w:rFonts w:hint="eastAsia" w:ascii="宋体" w:hAnsi="宋体" w:cs="宋体"/>
                <w:color w:val="auto"/>
                <w:sz w:val="24"/>
                <w:szCs w:val="24"/>
                <w:lang w:val="en-US" w:eastAsia="zh-CN"/>
              </w:rPr>
              <w:t>00.0</w:t>
            </w:r>
            <w:r>
              <w:rPr>
                <w:rStyle w:val="30"/>
                <w:rFonts w:ascii="宋体" w:hAnsi="宋体" w:eastAsia="宋体" w:cs="宋体"/>
                <w:b w:val="0"/>
                <w:color w:val="auto"/>
                <w:sz w:val="24"/>
                <w:szCs w:val="24"/>
              </w:rPr>
              <w:t>%</w:t>
            </w:r>
          </w:p>
        </w:tc>
      </w:tr>
    </w:tbl>
    <w:p w14:paraId="325798A8">
      <w:pPr>
        <w:rPr>
          <w:rFonts w:hint="eastAsia" w:ascii="宋体" w:hAnsi="宋体" w:cs="宋体"/>
          <w:b/>
          <w:bCs/>
          <w:color w:val="auto"/>
          <w:szCs w:val="21"/>
        </w:rPr>
      </w:pPr>
    </w:p>
    <w:p w14:paraId="1C336FC7">
      <w:pPr>
        <w:spacing w:line="460" w:lineRule="exact"/>
        <w:ind w:firstLine="3373" w:firstLineChars="1200"/>
        <w:rPr>
          <w:rFonts w:hint="eastAsia" w:ascii="宋体" w:hAnsi="宋体" w:cs="宋体"/>
          <w:b/>
          <w:color w:val="auto"/>
          <w:sz w:val="28"/>
          <w:szCs w:val="28"/>
        </w:rPr>
      </w:pPr>
      <w:r>
        <w:rPr>
          <w:rFonts w:hint="eastAsia" w:ascii="宋体" w:hAnsi="宋体" w:cs="宋体"/>
          <w:b/>
          <w:color w:val="auto"/>
          <w:sz w:val="28"/>
          <w:szCs w:val="28"/>
        </w:rPr>
        <w:t>评审因素和标准</w:t>
      </w:r>
    </w:p>
    <w:tbl>
      <w:tblPr>
        <w:tblStyle w:val="28"/>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311"/>
        <w:gridCol w:w="924"/>
        <w:gridCol w:w="6596"/>
      </w:tblGrid>
      <w:tr w14:paraId="3FC1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2" w:type="dxa"/>
            <w:noWrap w:val="0"/>
            <w:vAlign w:val="top"/>
          </w:tcPr>
          <w:p w14:paraId="5B4884E6">
            <w:pPr>
              <w:spacing w:line="360" w:lineRule="auto"/>
              <w:jc w:val="center"/>
              <w:rPr>
                <w:rFonts w:hint="eastAsia" w:ascii="宋体" w:hAnsi="宋体" w:eastAsia="宋体" w:cs="宋体"/>
                <w:b/>
                <w:color w:val="auto"/>
                <w:kern w:val="0"/>
                <w:sz w:val="24"/>
                <w:szCs w:val="24"/>
                <w:highlight w:val="none"/>
              </w:rPr>
            </w:pPr>
            <w:r>
              <w:rPr>
                <w:rFonts w:hint="eastAsia" w:ascii="宋体" w:hAnsi="宋体" w:eastAsia="宋体" w:cs="宋体"/>
                <w:color w:val="auto"/>
                <w:kern w:val="1"/>
                <w:sz w:val="24"/>
                <w:szCs w:val="24"/>
                <w:highlight w:val="none"/>
              </w:rPr>
              <w:t>评审因素</w:t>
            </w:r>
          </w:p>
        </w:tc>
        <w:tc>
          <w:tcPr>
            <w:tcW w:w="1311" w:type="dxa"/>
            <w:noWrap w:val="0"/>
            <w:vAlign w:val="top"/>
          </w:tcPr>
          <w:p w14:paraId="7957085B">
            <w:pPr>
              <w:spacing w:line="360" w:lineRule="auto"/>
              <w:jc w:val="center"/>
              <w:rPr>
                <w:rFonts w:hint="eastAsia" w:ascii="宋体" w:hAnsi="宋体" w:eastAsia="宋体" w:cs="宋体"/>
                <w:b/>
                <w:color w:val="auto"/>
                <w:kern w:val="0"/>
                <w:sz w:val="24"/>
                <w:szCs w:val="24"/>
                <w:highlight w:val="none"/>
              </w:rPr>
            </w:pPr>
            <w:r>
              <w:rPr>
                <w:rFonts w:hint="eastAsia" w:ascii="宋体" w:hAnsi="宋体" w:eastAsia="宋体" w:cs="宋体"/>
                <w:color w:val="auto"/>
                <w:kern w:val="1"/>
                <w:sz w:val="24"/>
                <w:szCs w:val="24"/>
                <w:highlight w:val="none"/>
              </w:rPr>
              <w:t>计分因素</w:t>
            </w:r>
          </w:p>
        </w:tc>
        <w:tc>
          <w:tcPr>
            <w:tcW w:w="924" w:type="dxa"/>
            <w:noWrap w:val="0"/>
            <w:vAlign w:val="top"/>
          </w:tcPr>
          <w:p w14:paraId="2054A65F">
            <w:pPr>
              <w:spacing w:line="360" w:lineRule="auto"/>
              <w:jc w:val="center"/>
              <w:rPr>
                <w:rFonts w:hint="eastAsia" w:ascii="宋体" w:hAnsi="宋体" w:eastAsia="宋体" w:cs="宋体"/>
                <w:b/>
                <w:color w:val="auto"/>
                <w:kern w:val="0"/>
                <w:sz w:val="24"/>
                <w:szCs w:val="24"/>
                <w:highlight w:val="none"/>
              </w:rPr>
            </w:pPr>
            <w:r>
              <w:rPr>
                <w:rFonts w:hint="eastAsia" w:ascii="宋体" w:hAnsi="宋体" w:eastAsia="宋体" w:cs="宋体"/>
                <w:color w:val="auto"/>
                <w:kern w:val="1"/>
                <w:sz w:val="24"/>
                <w:szCs w:val="24"/>
                <w:highlight w:val="none"/>
              </w:rPr>
              <w:t>分值</w:t>
            </w:r>
          </w:p>
        </w:tc>
        <w:tc>
          <w:tcPr>
            <w:tcW w:w="6596" w:type="dxa"/>
            <w:noWrap w:val="0"/>
            <w:vAlign w:val="center"/>
          </w:tcPr>
          <w:p w14:paraId="7C3B360A">
            <w:pPr>
              <w:keepNext w:val="0"/>
              <w:keepLines w:val="0"/>
              <w:pageBreakBefore w:val="0"/>
              <w:kinsoku/>
              <w:wordWrap/>
              <w:overflowPunct/>
              <w:topLinePunct w:val="0"/>
              <w:autoSpaceDN/>
              <w:bidi w:val="0"/>
              <w:adjustRightInd w:val="0"/>
              <w:snapToGrid w:val="0"/>
              <w:spacing w:line="36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评分标准</w:t>
            </w:r>
          </w:p>
        </w:tc>
      </w:tr>
      <w:tr w14:paraId="4808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1" w:hRule="atLeast"/>
          <w:jc w:val="center"/>
        </w:trPr>
        <w:tc>
          <w:tcPr>
            <w:tcW w:w="1112" w:type="dxa"/>
            <w:noWrap w:val="0"/>
            <w:vAlign w:val="center"/>
          </w:tcPr>
          <w:p w14:paraId="5A0A024B">
            <w:pPr>
              <w:spacing w:line="3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1"/>
                <w:sz w:val="24"/>
                <w:szCs w:val="24"/>
                <w:highlight w:val="none"/>
              </w:rPr>
              <w:t>价格部分（F1,满分为100分）</w:t>
            </w:r>
          </w:p>
        </w:tc>
        <w:tc>
          <w:tcPr>
            <w:tcW w:w="1311" w:type="dxa"/>
            <w:noWrap w:val="0"/>
            <w:vAlign w:val="center"/>
          </w:tcPr>
          <w:p w14:paraId="0379DF7A">
            <w:pPr>
              <w:spacing w:line="3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color w:val="auto"/>
                <w:kern w:val="1"/>
                <w:sz w:val="24"/>
                <w:szCs w:val="24"/>
                <w:highlight w:val="none"/>
              </w:rPr>
              <w:t>投标报价</w:t>
            </w:r>
          </w:p>
        </w:tc>
        <w:tc>
          <w:tcPr>
            <w:tcW w:w="924" w:type="dxa"/>
            <w:noWrap w:val="0"/>
            <w:vAlign w:val="center"/>
          </w:tcPr>
          <w:p w14:paraId="3C61BDEC">
            <w:pPr>
              <w:tabs>
                <w:tab w:val="left" w:pos="1988"/>
              </w:tabs>
              <w:spacing w:line="360" w:lineRule="auto"/>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100</w:t>
            </w:r>
            <w:r>
              <w:rPr>
                <w:rFonts w:hint="eastAsia" w:ascii="宋体" w:hAnsi="宋体" w:eastAsia="宋体" w:cs="宋体"/>
                <w:color w:val="auto"/>
                <w:kern w:val="2"/>
                <w:sz w:val="24"/>
                <w:szCs w:val="24"/>
                <w:highlight w:val="none"/>
                <w:lang w:val="en-US" w:eastAsia="zh-CN"/>
              </w:rPr>
              <w:t>.0</w:t>
            </w:r>
          </w:p>
        </w:tc>
        <w:tc>
          <w:tcPr>
            <w:tcW w:w="6596" w:type="dxa"/>
            <w:noWrap w:val="0"/>
            <w:vAlign w:val="center"/>
          </w:tcPr>
          <w:p w14:paraId="712C4F11">
            <w:pPr>
              <w:tabs>
                <w:tab w:val="left" w:pos="1988"/>
              </w:tabs>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1、根据“财政部令第87号令”规定，价格分采用低价优先法计算，即满足招标文件要求且投标价格最低的有效报价为评标基准价，其价格分为满分，其他有效投标人的价格分按照下列公式计算：</w:t>
            </w:r>
          </w:p>
          <w:p w14:paraId="576DBECA">
            <w:pPr>
              <w:tabs>
                <w:tab w:val="left" w:pos="1988"/>
              </w:tabs>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投标报价得分=（磋商基准价/最后磋商报价）×价格权值×100</w:t>
            </w:r>
          </w:p>
          <w:p w14:paraId="7707547A">
            <w:pPr>
              <w:tabs>
                <w:tab w:val="left" w:pos="1988"/>
              </w:tabs>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根据“财政部令第87号令”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0B32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112" w:type="dxa"/>
            <w:noWrap w:val="0"/>
            <w:vAlign w:val="center"/>
          </w:tcPr>
          <w:p w14:paraId="00D9263B">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技术部分（F2,满分为100分）</w:t>
            </w:r>
          </w:p>
        </w:tc>
        <w:tc>
          <w:tcPr>
            <w:tcW w:w="1311" w:type="dxa"/>
            <w:noWrap w:val="0"/>
            <w:vAlign w:val="center"/>
          </w:tcPr>
          <w:p w14:paraId="75EF0FF9">
            <w:pPr>
              <w:tabs>
                <w:tab w:val="left" w:pos="1988"/>
              </w:tabs>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设备参数响应程度</w:t>
            </w:r>
          </w:p>
          <w:p w14:paraId="309F4570">
            <w:pPr>
              <w:tabs>
                <w:tab w:val="left" w:pos="1988"/>
              </w:tabs>
              <w:spacing w:line="360" w:lineRule="auto"/>
              <w:rPr>
                <w:rFonts w:hint="eastAsia" w:ascii="宋体" w:hAnsi="宋体" w:eastAsia="宋体" w:cs="宋体"/>
                <w:color w:val="auto"/>
                <w:kern w:val="2"/>
                <w:sz w:val="24"/>
                <w:szCs w:val="24"/>
                <w:highlight w:val="none"/>
                <w:lang w:val="en-US" w:eastAsia="zh-CN"/>
              </w:rPr>
            </w:pPr>
          </w:p>
        </w:tc>
        <w:tc>
          <w:tcPr>
            <w:tcW w:w="924" w:type="dxa"/>
            <w:noWrap w:val="0"/>
            <w:vAlign w:val="center"/>
          </w:tcPr>
          <w:p w14:paraId="44690D0C">
            <w:pPr>
              <w:tabs>
                <w:tab w:val="left" w:pos="1988"/>
              </w:tabs>
              <w:spacing w:line="360" w:lineRule="auto"/>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100.00</w:t>
            </w:r>
          </w:p>
        </w:tc>
        <w:tc>
          <w:tcPr>
            <w:tcW w:w="6596" w:type="dxa"/>
            <w:noWrap w:val="0"/>
            <w:vAlign w:val="center"/>
          </w:tcPr>
          <w:p w14:paraId="7276A210">
            <w:pPr>
              <w:tabs>
                <w:tab w:val="left" w:pos="1988"/>
              </w:tabs>
              <w:spacing w:line="360" w:lineRule="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rPr>
              <w:t>投标人所投产品规格、参数完全符合招标文件要求的，计100分，带“★”负偏离按无效投标处理，带“</w:t>
            </w: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”每项负偏离扣</w:t>
            </w:r>
            <w:r>
              <w:rPr>
                <w:rFonts w:hint="eastAsia" w:ascii="宋体" w:hAnsi="宋体" w:eastAsia="宋体" w:cs="宋体"/>
                <w:color w:val="auto"/>
                <w:kern w:val="2"/>
                <w:sz w:val="24"/>
                <w:szCs w:val="24"/>
                <w:highlight w:val="none"/>
                <w:lang w:val="en-US" w:eastAsia="zh-CN"/>
              </w:rPr>
              <w:t>15</w:t>
            </w:r>
            <w:r>
              <w:rPr>
                <w:rFonts w:hint="eastAsia" w:ascii="宋体" w:hAnsi="宋体" w:eastAsia="宋体" w:cs="宋体"/>
                <w:color w:val="auto"/>
                <w:kern w:val="2"/>
                <w:sz w:val="24"/>
                <w:szCs w:val="24"/>
                <w:highlight w:val="none"/>
              </w:rPr>
              <w:t>分，一般负偏离每项扣5分，扣完为止</w:t>
            </w:r>
            <w:r>
              <w:rPr>
                <w:rFonts w:hint="eastAsia" w:ascii="宋体" w:hAnsi="宋体" w:eastAsia="宋体" w:cs="宋体"/>
                <w:color w:val="auto"/>
                <w:kern w:val="2"/>
                <w:sz w:val="24"/>
                <w:szCs w:val="24"/>
                <w:highlight w:val="none"/>
                <w:lang w:eastAsia="zh-CN"/>
              </w:rPr>
              <w:t>。</w:t>
            </w:r>
          </w:p>
          <w:p w14:paraId="05396CD4">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投标文件对技术参数证明资料有特定要求的.按特定要求提供：无特定要求的，“★”和“</w:t>
            </w: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条款，须提供产品彩页或技术白皮书或产品说明书或官网技术参数截图：未提供资料或提供的资料不符合要求的，视为负偏离，一般参数如未要求提供特定证明资料的，只需在技术响应／偏差表中如实响应即可。</w:t>
            </w:r>
          </w:p>
        </w:tc>
      </w:tr>
      <w:tr w14:paraId="7D79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1112" w:type="dxa"/>
            <w:vMerge w:val="restart"/>
            <w:noWrap w:val="0"/>
            <w:vAlign w:val="center"/>
          </w:tcPr>
          <w:p w14:paraId="46ED3C10">
            <w:pPr>
              <w:widowControl/>
              <w:adjustRightInd w:val="0"/>
              <w:snapToGrid w:val="0"/>
              <w:spacing w:line="360" w:lineRule="exact"/>
              <w:jc w:val="left"/>
              <w:rPr>
                <w:rFonts w:hint="default" w:ascii="宋体" w:hAnsi="宋体" w:eastAsia="宋体" w:cs="宋体"/>
                <w:color w:val="auto"/>
                <w:kern w:val="1"/>
                <w:sz w:val="24"/>
                <w:szCs w:val="24"/>
                <w:lang w:val="en-US" w:eastAsia="zh-CN"/>
              </w:rPr>
            </w:pPr>
            <w:r>
              <w:rPr>
                <w:rFonts w:hint="eastAsia" w:ascii="宋体" w:hAnsi="宋体" w:eastAsia="宋体" w:cs="宋体"/>
                <w:color w:val="auto"/>
                <w:kern w:val="1"/>
                <w:sz w:val="24"/>
                <w:szCs w:val="24"/>
                <w:lang w:val="en-US" w:eastAsia="zh-CN"/>
              </w:rPr>
              <w:t>商务部分（F3，满分为100分）</w:t>
            </w:r>
          </w:p>
        </w:tc>
        <w:tc>
          <w:tcPr>
            <w:tcW w:w="1311" w:type="dxa"/>
            <w:noWrap w:val="0"/>
            <w:vAlign w:val="center"/>
          </w:tcPr>
          <w:p w14:paraId="67AE892C">
            <w:pPr>
              <w:keepNext w:val="0"/>
              <w:keepLines w:val="0"/>
              <w:pageBreakBefore w:val="0"/>
              <w:widowControl/>
              <w:kinsoku w:val="0"/>
              <w:wordWrap w:val="0"/>
              <w:overflowPunct/>
              <w:topLinePunct w:val="0"/>
              <w:autoSpaceDE w:val="0"/>
              <w:autoSpaceDN w:val="0"/>
              <w:bidi w:val="0"/>
              <w:adjustRightInd w:val="0"/>
              <w:snapToGrid w:val="0"/>
              <w:spacing w:before="120" w:beforeLines="50" w:line="360" w:lineRule="auto"/>
              <w:ind w:firstLine="0" w:firstLineChars="0"/>
              <w:jc w:val="center"/>
              <w:textAlignment w:val="baseline"/>
              <w:rPr>
                <w:rFonts w:hint="eastAsia" w:ascii="宋体" w:hAnsi="宋体" w:eastAsia="宋体" w:cs="宋体"/>
                <w:b w:val="0"/>
                <w:bCs w:val="0"/>
                <w:snapToGrid w:val="0"/>
                <w:color w:val="0000FF"/>
                <w:kern w:val="0"/>
                <w:sz w:val="24"/>
                <w:szCs w:val="24"/>
                <w:lang w:val="en-US" w:eastAsia="zh-CN" w:bidi="ar-SA"/>
              </w:rPr>
            </w:pPr>
            <w:r>
              <w:rPr>
                <w:rFonts w:ascii="宋体" w:hAnsi="宋体" w:eastAsia="宋体" w:cs="宋体"/>
                <w:kern w:val="2"/>
                <w:sz w:val="24"/>
                <w:szCs w:val="24"/>
              </w:rPr>
              <w:t>体系认证</w:t>
            </w:r>
          </w:p>
        </w:tc>
        <w:tc>
          <w:tcPr>
            <w:tcW w:w="924" w:type="dxa"/>
            <w:noWrap w:val="0"/>
            <w:vAlign w:val="center"/>
          </w:tcPr>
          <w:p w14:paraId="3EA00B18">
            <w:pPr>
              <w:tabs>
                <w:tab w:val="left" w:pos="1988"/>
              </w:tabs>
              <w:spacing w:line="360" w:lineRule="auto"/>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30.00</w:t>
            </w:r>
          </w:p>
        </w:tc>
        <w:tc>
          <w:tcPr>
            <w:tcW w:w="6596" w:type="dxa"/>
            <w:noWrap w:val="0"/>
            <w:vAlign w:val="center"/>
          </w:tcPr>
          <w:p w14:paraId="30800062">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ascii="宋体" w:hAnsi="宋体" w:eastAsia="宋体" w:cs="宋体"/>
                <w:kern w:val="1"/>
                <w:sz w:val="24"/>
                <w:szCs w:val="24"/>
              </w:rPr>
              <w:t>投标人或所投设备制造商</w:t>
            </w:r>
            <w:r>
              <w:rPr>
                <w:rFonts w:hint="eastAsia" w:ascii="宋体" w:hAnsi="宋体" w:eastAsia="宋体" w:cs="宋体"/>
                <w:kern w:val="1"/>
                <w:sz w:val="24"/>
                <w:szCs w:val="24"/>
                <w:lang w:eastAsia="zh-CN"/>
              </w:rPr>
              <w:t>（</w:t>
            </w:r>
            <w:r>
              <w:rPr>
                <w:rFonts w:hint="eastAsia" w:ascii="宋体" w:hAnsi="宋体" w:eastAsia="宋体" w:cs="宋体"/>
                <w:color w:val="auto"/>
                <w:kern w:val="2"/>
                <w:sz w:val="24"/>
                <w:szCs w:val="24"/>
                <w:highlight w:val="none"/>
              </w:rPr>
              <w:t>低本底αβ测量仪</w:t>
            </w:r>
            <w:r>
              <w:rPr>
                <w:rFonts w:hint="eastAsia" w:ascii="宋体" w:hAnsi="宋体" w:eastAsia="宋体" w:cs="宋体"/>
                <w:kern w:val="1"/>
                <w:sz w:val="24"/>
                <w:szCs w:val="24"/>
                <w:lang w:eastAsia="zh-CN"/>
              </w:rPr>
              <w:t>）</w:t>
            </w:r>
            <w:r>
              <w:rPr>
                <w:rFonts w:hint="eastAsia" w:ascii="宋体" w:hAnsi="宋体" w:eastAsia="宋体" w:cs="宋体"/>
                <w:color w:val="auto"/>
                <w:kern w:val="2"/>
                <w:sz w:val="24"/>
                <w:szCs w:val="24"/>
                <w:highlight w:val="none"/>
              </w:rPr>
              <w:t>具有有效的ISO9001、ISO14001、ISO45001三项认证的，每提供一项得</w:t>
            </w:r>
            <w:r>
              <w:rPr>
                <w:rFonts w:hint="eastAsia" w:ascii="宋体" w:hAnsi="宋体" w:eastAsia="宋体" w:cs="宋体"/>
                <w:color w:val="auto"/>
                <w:kern w:val="2"/>
                <w:sz w:val="24"/>
                <w:szCs w:val="24"/>
                <w:highlight w:val="none"/>
                <w:lang w:val="en-US" w:eastAsia="zh-CN"/>
              </w:rPr>
              <w:t>10</w:t>
            </w:r>
            <w:r>
              <w:rPr>
                <w:rFonts w:hint="eastAsia" w:ascii="宋体" w:hAnsi="宋体" w:eastAsia="宋体" w:cs="宋体"/>
                <w:color w:val="auto"/>
                <w:kern w:val="2"/>
                <w:sz w:val="24"/>
                <w:szCs w:val="24"/>
                <w:highlight w:val="none"/>
              </w:rPr>
              <w:t>分，满分</w:t>
            </w:r>
            <w:r>
              <w:rPr>
                <w:rFonts w:hint="eastAsia" w:ascii="宋体" w:hAnsi="宋体" w:eastAsia="宋体" w:cs="宋体"/>
                <w:color w:val="auto"/>
                <w:kern w:val="2"/>
                <w:sz w:val="24"/>
                <w:szCs w:val="24"/>
                <w:highlight w:val="none"/>
                <w:lang w:val="en-US" w:eastAsia="zh-CN"/>
              </w:rPr>
              <w:t>30</w:t>
            </w:r>
            <w:r>
              <w:rPr>
                <w:rFonts w:hint="eastAsia" w:ascii="宋体" w:hAnsi="宋体" w:eastAsia="宋体" w:cs="宋体"/>
                <w:color w:val="auto"/>
                <w:kern w:val="2"/>
                <w:sz w:val="24"/>
                <w:szCs w:val="24"/>
                <w:highlight w:val="none"/>
              </w:rPr>
              <w:t>分。（注：上述认证用于证明制造商具备稳定的产品质量管控能力和安全生产保障能力，与本项目设备履约质量直接相关，须提供有效证书复印件加盖公章，否则不得分</w:t>
            </w:r>
            <w:r>
              <w:rPr>
                <w:rFonts w:hint="eastAsia" w:ascii="宋体" w:hAnsi="宋体" w:eastAsia="宋体" w:cs="宋体"/>
                <w:color w:val="auto"/>
                <w:kern w:val="2"/>
                <w:sz w:val="24"/>
                <w:szCs w:val="24"/>
                <w:highlight w:val="none"/>
                <w:lang w:eastAsia="zh-CN"/>
              </w:rPr>
              <w:t>。）</w:t>
            </w:r>
          </w:p>
        </w:tc>
      </w:tr>
      <w:tr w14:paraId="3142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112" w:type="dxa"/>
            <w:vMerge w:val="continue"/>
            <w:noWrap w:val="0"/>
            <w:vAlign w:val="center"/>
          </w:tcPr>
          <w:p w14:paraId="693B5B09">
            <w:pPr>
              <w:widowControl/>
              <w:adjustRightInd w:val="0"/>
              <w:snapToGrid w:val="0"/>
              <w:spacing w:line="360" w:lineRule="exact"/>
              <w:jc w:val="left"/>
              <w:rPr>
                <w:rFonts w:hint="eastAsia" w:ascii="宋体" w:hAnsi="宋体" w:eastAsia="宋体" w:cs="宋体"/>
                <w:color w:val="auto"/>
                <w:kern w:val="1"/>
                <w:sz w:val="24"/>
                <w:szCs w:val="24"/>
              </w:rPr>
            </w:pPr>
          </w:p>
        </w:tc>
        <w:tc>
          <w:tcPr>
            <w:tcW w:w="1311" w:type="dxa"/>
            <w:noWrap w:val="0"/>
            <w:vAlign w:val="center"/>
          </w:tcPr>
          <w:p w14:paraId="40DD34DF">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售后服务方案</w:t>
            </w:r>
          </w:p>
        </w:tc>
        <w:tc>
          <w:tcPr>
            <w:tcW w:w="924" w:type="dxa"/>
            <w:noWrap w:val="0"/>
            <w:vAlign w:val="center"/>
          </w:tcPr>
          <w:p w14:paraId="4F8CCF57">
            <w:pPr>
              <w:tabs>
                <w:tab w:val="left" w:pos="1988"/>
              </w:tabs>
              <w:spacing w:line="360" w:lineRule="auto"/>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70.00</w:t>
            </w:r>
          </w:p>
        </w:tc>
        <w:tc>
          <w:tcPr>
            <w:tcW w:w="6596" w:type="dxa"/>
            <w:noWrap w:val="0"/>
            <w:vAlign w:val="center"/>
          </w:tcPr>
          <w:p w14:paraId="61A95B9D">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根据投标人提供的售后服务方案进行评分：</w:t>
            </w:r>
          </w:p>
          <w:p w14:paraId="525991C8">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1、设备配品配件的储备及供应：</w:t>
            </w:r>
          </w:p>
          <w:p w14:paraId="6638DE92">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2、售后服务人员配备：</w:t>
            </w:r>
          </w:p>
          <w:p w14:paraId="3EECBE81">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3、售后响应时间及措施：</w:t>
            </w:r>
          </w:p>
          <w:p w14:paraId="3AD3E37D">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4、日常维修计划：</w:t>
            </w:r>
          </w:p>
          <w:p w14:paraId="4514E6A2">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5、其他优惠措施．</w:t>
            </w:r>
          </w:p>
          <w:p w14:paraId="71EF4569">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方案内容全部满足计70分，每缺少一项内容扣14分，每有一处缺陷扣7分，扣完为止，没有方案不计分.</w:t>
            </w:r>
          </w:p>
          <w:p w14:paraId="4BDABACA">
            <w:pPr>
              <w:tabs>
                <w:tab w:val="left" w:pos="1988"/>
              </w:tabs>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（缺陷是指：非专门针对本项目或不适用项目的情形、内容不完整或缺少关键节点、套用其他项目方案、内容前后矛盾、涉及的规范及标准错误、不利于项目建设、不可能实现的情形等任意一种情形。）</w:t>
            </w:r>
          </w:p>
        </w:tc>
      </w:tr>
      <w:tr w14:paraId="2686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9943" w:type="dxa"/>
            <w:gridSpan w:val="4"/>
            <w:noWrap w:val="0"/>
            <w:vAlign w:val="center"/>
          </w:tcPr>
          <w:p w14:paraId="0071FC0B">
            <w:pPr>
              <w:widowControl/>
              <w:adjustRightInd w:val="0"/>
              <w:snapToGrid w:val="0"/>
              <w:spacing w:line="360" w:lineRule="exact"/>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其他说明：</w:t>
            </w:r>
          </w:p>
          <w:p w14:paraId="62797080">
            <w:pPr>
              <w:widowControl/>
              <w:adjustRightInd w:val="0"/>
              <w:snapToGrid w:val="0"/>
              <w:spacing w:line="360" w:lineRule="exact"/>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1、供应商的综合得分为：所有评标委员会成员对其评标的综合得分。</w:t>
            </w:r>
          </w:p>
          <w:p w14:paraId="5010E0C2">
            <w:pPr>
              <w:widowControl/>
              <w:adjustRightInd w:val="0"/>
              <w:snapToGrid w:val="0"/>
              <w:spacing w:line="360" w:lineRule="exact"/>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2、计算过程中，算术平均值保留2位小数（百分比亦取2位小数），第三位小数四舍五入。</w:t>
            </w:r>
          </w:p>
          <w:p w14:paraId="7FF7CE17">
            <w:pPr>
              <w:widowControl/>
              <w:adjustRightInd w:val="0"/>
              <w:snapToGrid w:val="0"/>
              <w:spacing w:line="360" w:lineRule="exact"/>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3、评标结果按评审后得分由高到低顺序排列。评审得分相同的，按照最后报价由低到高的顺序推荐。评审得分且最后报价相同的，按照技术指标优劣顺序推荐排名第一的中标候选人。</w:t>
            </w:r>
          </w:p>
          <w:p w14:paraId="6978EB30">
            <w:pPr>
              <w:widowControl/>
              <w:adjustRightInd w:val="0"/>
              <w:snapToGrid w:val="0"/>
              <w:spacing w:line="360" w:lineRule="exact"/>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lang w:val="en-US" w:eastAsia="zh-CN"/>
              </w:rPr>
              <w:t>4</w:t>
            </w:r>
            <w:r>
              <w:rPr>
                <w:rFonts w:hint="eastAsia" w:ascii="宋体" w:hAnsi="宋体" w:eastAsia="宋体" w:cs="宋体"/>
                <w:color w:val="auto"/>
                <w:kern w:val="1"/>
                <w:sz w:val="24"/>
                <w:szCs w:val="24"/>
              </w:rPr>
              <w:t>、竞争性磋商文件中要求查验的原件应当在投标截止时间之前递交至投标文件递交地点。</w:t>
            </w:r>
          </w:p>
          <w:p w14:paraId="783B2725">
            <w:pPr>
              <w:widowControl/>
              <w:adjustRightInd w:val="0"/>
              <w:snapToGrid w:val="0"/>
              <w:spacing w:line="360" w:lineRule="exact"/>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lang w:val="en-US" w:eastAsia="zh-CN"/>
              </w:rPr>
              <w:t>5</w:t>
            </w:r>
            <w:r>
              <w:rPr>
                <w:rFonts w:hint="eastAsia" w:ascii="宋体" w:hAnsi="宋体" w:eastAsia="宋体" w:cs="宋体"/>
                <w:color w:val="auto"/>
                <w:kern w:val="1"/>
                <w:sz w:val="24"/>
                <w:szCs w:val="24"/>
              </w:rPr>
              <w:t>、投标人参与政府采购应提供真实有效的证明材料，应当诚信守法、公平竞争。如有以提供虚假材料（包括但不限于虚假技术参数响应、虚假制造商产品彩页、虚假业绩、虚假证书等）、隐瞒失信信息等谋取中标的行为，一经发现，将报行政监管部门严肃查处。</w:t>
            </w:r>
          </w:p>
        </w:tc>
      </w:tr>
    </w:tbl>
    <w:p w14:paraId="3D07B385">
      <w:pPr>
        <w:keepNext w:val="0"/>
        <w:keepLines w:val="0"/>
        <w:pageBreakBefore w:val="0"/>
        <w:widowControl w:val="0"/>
        <w:tabs>
          <w:tab w:val="left" w:pos="2590"/>
        </w:tabs>
        <w:kinsoku/>
        <w:wordWrap/>
        <w:overflowPunct/>
        <w:topLinePunct w:val="0"/>
        <w:autoSpaceDE/>
        <w:autoSpaceDN/>
        <w:bidi w:val="0"/>
        <w:adjustRightInd w:val="0"/>
        <w:snapToGrid w:val="0"/>
        <w:spacing w:line="320" w:lineRule="exact"/>
        <w:textAlignment w:val="auto"/>
        <w:rPr>
          <w:rFonts w:hint="eastAsia" w:ascii="宋体" w:hAnsi="宋体" w:cs="宋体"/>
          <w:b/>
          <w:color w:val="auto"/>
          <w:sz w:val="24"/>
        </w:rPr>
      </w:pPr>
    </w:p>
    <w:p w14:paraId="0C9ED14A">
      <w:pPr>
        <w:spacing w:line="360" w:lineRule="auto"/>
        <w:jc w:val="center"/>
        <w:rPr>
          <w:rFonts w:hint="eastAsia" w:ascii="宋体" w:hAnsi="宋体" w:eastAsia="宋体" w:cs="宋体"/>
          <w:b/>
          <w:color w:val="auto"/>
          <w:kern w:val="2"/>
          <w:sz w:val="32"/>
          <w:szCs w:val="32"/>
        </w:rPr>
      </w:pPr>
    </w:p>
    <w:p w14:paraId="0DAC0075">
      <w:pPr>
        <w:spacing w:line="360" w:lineRule="auto"/>
        <w:jc w:val="center"/>
        <w:rPr>
          <w:rFonts w:hint="eastAsia" w:ascii="宋体" w:hAnsi="宋体" w:eastAsia="宋体" w:cs="宋体"/>
          <w:b/>
          <w:color w:val="auto"/>
          <w:kern w:val="2"/>
          <w:sz w:val="32"/>
          <w:szCs w:val="32"/>
        </w:rPr>
      </w:pPr>
    </w:p>
    <w:p w14:paraId="6EE48D2A">
      <w:pPr>
        <w:spacing w:line="360" w:lineRule="auto"/>
        <w:jc w:val="center"/>
        <w:rPr>
          <w:rFonts w:hint="eastAsia" w:ascii="宋体" w:hAnsi="宋体" w:eastAsia="宋体" w:cs="宋体"/>
          <w:b/>
          <w:color w:val="auto"/>
          <w:kern w:val="2"/>
          <w:sz w:val="32"/>
          <w:szCs w:val="32"/>
        </w:rPr>
      </w:pPr>
    </w:p>
    <w:p w14:paraId="6F6B3C0E">
      <w:pPr>
        <w:spacing w:line="360" w:lineRule="auto"/>
        <w:jc w:val="center"/>
        <w:rPr>
          <w:rFonts w:hint="eastAsia" w:ascii="宋体" w:hAnsi="宋体" w:eastAsia="宋体" w:cs="宋体"/>
          <w:b/>
          <w:color w:val="auto"/>
          <w:kern w:val="2"/>
          <w:sz w:val="32"/>
          <w:szCs w:val="32"/>
        </w:rPr>
      </w:pPr>
    </w:p>
    <w:p w14:paraId="43544031">
      <w:pPr>
        <w:pStyle w:val="2"/>
        <w:bidi w:val="0"/>
        <w:rPr>
          <w:rFonts w:hint="eastAsia" w:cs="Times New Roman"/>
          <w:sz w:val="30"/>
          <w:szCs w:val="30"/>
        </w:rPr>
      </w:pPr>
      <w:bookmarkStart w:id="110" w:name="_Toc19892"/>
      <w:r>
        <w:rPr>
          <w:rFonts w:hint="eastAsia" w:cs="Times New Roman"/>
          <w:sz w:val="30"/>
          <w:szCs w:val="30"/>
        </w:rPr>
        <w:t>第</w:t>
      </w:r>
      <w:r>
        <w:rPr>
          <w:rFonts w:hint="eastAsia" w:cs="Times New Roman"/>
          <w:sz w:val="30"/>
          <w:szCs w:val="30"/>
          <w:lang w:val="en-US" w:eastAsia="zh-CN"/>
        </w:rPr>
        <w:t>四</w:t>
      </w:r>
      <w:r>
        <w:rPr>
          <w:rFonts w:hint="eastAsia" w:cs="Times New Roman"/>
          <w:sz w:val="30"/>
          <w:szCs w:val="30"/>
        </w:rPr>
        <w:t>章政府采购合同格式</w:t>
      </w:r>
      <w:bookmarkEnd w:id="105"/>
      <w:bookmarkEnd w:id="110"/>
    </w:p>
    <w:p w14:paraId="3EA7DE12">
      <w:pPr>
        <w:pStyle w:val="3"/>
        <w:bidi w:val="0"/>
        <w:jc w:val="center"/>
        <w:outlineLvl w:val="9"/>
      </w:pPr>
      <w:bookmarkStart w:id="111" w:name="_Toc30753"/>
      <w:r>
        <w:rPr>
          <w:rFonts w:hint="eastAsia"/>
        </w:rPr>
        <w:t>政府采购合同协议书</w:t>
      </w:r>
      <w:bookmarkEnd w:id="111"/>
    </w:p>
    <w:p w14:paraId="7D43729A">
      <w:pPr>
        <w:ind w:firstLine="4200"/>
        <w:rPr>
          <w:rFonts w:hint="eastAsia" w:ascii="宋体" w:hAnsi="宋体" w:cs="宋体" w:eastAsiaTheme="minorEastAsia"/>
          <w:color w:val="auto"/>
          <w:szCs w:val="21"/>
          <w:lang w:eastAsia="zh-CN"/>
        </w:rPr>
      </w:pPr>
    </w:p>
    <w:p w14:paraId="061209FF">
      <w:pPr>
        <w:kinsoku w:val="0"/>
        <w:autoSpaceDE w:val="0"/>
        <w:autoSpaceDN w:val="0"/>
        <w:adjustRightInd w:val="0"/>
        <w:snapToGrid w:val="0"/>
        <w:spacing w:before="71" w:line="219" w:lineRule="auto"/>
        <w:ind w:left="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一、政府采购合同协议书</w:t>
      </w:r>
    </w:p>
    <w:p w14:paraId="3F1E0EEC">
      <w:pPr>
        <w:widowControl/>
        <w:kinsoku w:val="0"/>
        <w:autoSpaceDE w:val="0"/>
        <w:autoSpaceDN w:val="0"/>
        <w:adjustRightInd w:val="0"/>
        <w:snapToGrid w:val="0"/>
        <w:spacing w:before="152" w:line="222" w:lineRule="auto"/>
        <w:ind w:left="3155"/>
        <w:jc w:val="left"/>
        <w:textAlignment w:val="baseline"/>
        <w:rPr>
          <w:rFonts w:ascii="黑体" w:hAnsi="黑体" w:eastAsia="黑体" w:cs="黑体"/>
          <w:snapToGrid w:val="0"/>
          <w:color w:val="000000"/>
          <w:kern w:val="0"/>
          <w:sz w:val="28"/>
          <w:szCs w:val="28"/>
          <w:lang w:eastAsia="en-US"/>
        </w:rPr>
      </w:pPr>
      <w:r>
        <w:rPr>
          <w:rFonts w:ascii="黑体" w:hAnsi="黑体" w:eastAsia="黑体" w:cs="黑体"/>
          <w:b/>
          <w:bCs/>
          <w:snapToGrid w:val="0"/>
          <w:color w:val="000000"/>
          <w:spacing w:val="-3"/>
          <w:kern w:val="0"/>
          <w:sz w:val="28"/>
          <w:szCs w:val="28"/>
          <w:lang w:eastAsia="en-US"/>
        </w:rPr>
        <w:t>政府采购合同协议书</w:t>
      </w:r>
    </w:p>
    <w:p w14:paraId="6006FB9E">
      <w:pPr>
        <w:spacing w:line="360" w:lineRule="auto"/>
        <w:jc w:val="center"/>
        <w:rPr>
          <w:rFonts w:ascii="宋体" w:hAnsi="宋体" w:cs="宋体"/>
          <w:b/>
          <w:color w:val="auto"/>
          <w:szCs w:val="21"/>
        </w:rPr>
      </w:pPr>
    </w:p>
    <w:p w14:paraId="5CE356DD">
      <w:pPr>
        <w:spacing w:line="360" w:lineRule="auto"/>
        <w:rPr>
          <w:rFonts w:ascii="宋体" w:hAnsi="宋体" w:cs="宋体"/>
          <w:color w:val="auto"/>
          <w:szCs w:val="21"/>
        </w:rPr>
      </w:pPr>
      <w:r>
        <w:rPr>
          <w:rFonts w:hint="eastAsia" w:ascii="宋体" w:hAnsi="宋体" w:cs="宋体"/>
          <w:color w:val="auto"/>
          <w:szCs w:val="21"/>
        </w:rPr>
        <w:t>采购人（全称）：（甲方）</w:t>
      </w:r>
    </w:p>
    <w:p w14:paraId="6102BF5F">
      <w:pPr>
        <w:spacing w:line="360" w:lineRule="auto"/>
        <w:rPr>
          <w:rFonts w:ascii="宋体" w:hAnsi="宋体" w:cs="宋体"/>
          <w:color w:val="auto"/>
          <w:szCs w:val="21"/>
        </w:rPr>
      </w:pPr>
      <w:r>
        <w:rPr>
          <w:rFonts w:hint="eastAsia" w:ascii="宋体" w:hAnsi="宋体" w:cs="宋体"/>
          <w:color w:val="auto"/>
          <w:szCs w:val="21"/>
        </w:rPr>
        <w:t>供应商（全称）：（</w:t>
      </w:r>
      <w:r>
        <w:rPr>
          <w:rFonts w:hint="eastAsia" w:ascii="宋体" w:hAnsi="宋体" w:cs="宋体"/>
          <w:color w:val="auto"/>
          <w:szCs w:val="21"/>
          <w:lang w:eastAsia="zh-CN"/>
        </w:rPr>
        <w:t>成交供应商</w:t>
      </w:r>
      <w:r>
        <w:rPr>
          <w:rFonts w:hint="eastAsia" w:ascii="宋体" w:hAnsi="宋体" w:cs="宋体"/>
          <w:color w:val="auto"/>
          <w:szCs w:val="21"/>
        </w:rPr>
        <w:t>）</w:t>
      </w:r>
    </w:p>
    <w:p w14:paraId="4DBF8151">
      <w:pPr>
        <w:spacing w:line="360" w:lineRule="auto"/>
        <w:rPr>
          <w:rFonts w:ascii="宋体" w:hAnsi="宋体" w:cs="宋体"/>
          <w:color w:val="auto"/>
          <w:szCs w:val="21"/>
        </w:rPr>
      </w:pPr>
    </w:p>
    <w:p w14:paraId="63CF2578">
      <w:pPr>
        <w:spacing w:line="360" w:lineRule="auto"/>
        <w:ind w:firstLine="422" w:firstLineChars="0"/>
        <w:outlineLvl w:val="9"/>
        <w:rPr>
          <w:rFonts w:hint="eastAsia" w:ascii="宋体" w:hAnsi="宋体" w:eastAsia="宋体" w:cs="Times New Roman"/>
          <w:color w:val="auto"/>
          <w:kern w:val="2"/>
          <w:sz w:val="21"/>
          <w:szCs w:val="21"/>
          <w:highlight w:val="none"/>
          <w:lang w:val="en-US" w:eastAsia="zh-CN" w:bidi="ar-SA"/>
        </w:rPr>
      </w:pPr>
      <w:bookmarkStart w:id="112" w:name="_Toc32546"/>
      <w:bookmarkStart w:id="113" w:name="_Toc6787"/>
      <w:bookmarkStart w:id="114" w:name="_Toc7005"/>
      <w:r>
        <w:rPr>
          <w:rFonts w:hint="eastAsia" w:ascii="宋体" w:hAnsi="宋体" w:eastAsia="宋体" w:cs="Times New Roman"/>
          <w:color w:val="auto"/>
          <w:kern w:val="2"/>
          <w:sz w:val="21"/>
          <w:szCs w:val="21"/>
          <w:highlight w:val="none"/>
          <w:lang w:val="en-US" w:eastAsia="zh-CN" w:bidi="ar-SA"/>
        </w:rPr>
        <w:t>为了保护甲、乙双方合法权益，根据《中华人民共和国民法典》、《中华人民共和国政府采购法》及其他有关法律、法规、规章，双方签订本合同协议书。</w:t>
      </w:r>
    </w:p>
    <w:p w14:paraId="338D4CA2">
      <w:pPr>
        <w:spacing w:line="360" w:lineRule="auto"/>
        <w:ind w:firstLine="211" w:firstLineChars="100"/>
        <w:outlineLvl w:val="9"/>
        <w:rPr>
          <w:rFonts w:ascii="宋体" w:hAnsi="宋体" w:cs="宋体"/>
          <w:b/>
          <w:color w:val="auto"/>
          <w:szCs w:val="21"/>
        </w:rPr>
      </w:pPr>
      <w:r>
        <w:rPr>
          <w:rFonts w:hint="eastAsia" w:ascii="宋体" w:hAnsi="宋体" w:cs="宋体"/>
          <w:b/>
          <w:color w:val="auto"/>
          <w:szCs w:val="21"/>
        </w:rPr>
        <w:t>1.项目信息</w:t>
      </w:r>
      <w:bookmarkEnd w:id="112"/>
      <w:bookmarkEnd w:id="113"/>
      <w:bookmarkEnd w:id="114"/>
    </w:p>
    <w:p w14:paraId="785E739A">
      <w:pPr>
        <w:spacing w:line="360" w:lineRule="auto"/>
        <w:rPr>
          <w:rFonts w:hint="eastAsia" w:ascii="宋体" w:hAnsi="宋体" w:cs="宋体" w:eastAsiaTheme="minorEastAsia"/>
          <w:color w:val="auto"/>
          <w:szCs w:val="21"/>
          <w:lang w:eastAsia="zh-CN"/>
        </w:rPr>
      </w:pPr>
      <w:r>
        <w:rPr>
          <w:rFonts w:hint="eastAsia" w:ascii="宋体" w:hAnsi="宋体" w:cs="宋体"/>
          <w:color w:val="auto"/>
          <w:szCs w:val="21"/>
        </w:rPr>
        <w:t>（1）采购项目名称：</w:t>
      </w:r>
    </w:p>
    <w:p w14:paraId="63A00161">
      <w:pPr>
        <w:spacing w:line="360" w:lineRule="auto"/>
        <w:rPr>
          <w:rFonts w:hint="eastAsia" w:ascii="宋体" w:hAnsi="宋体" w:cs="宋体" w:eastAsiaTheme="minorEastAsia"/>
          <w:color w:val="auto"/>
          <w:szCs w:val="21"/>
          <w:lang w:eastAsia="zh-CN"/>
        </w:rPr>
      </w:pPr>
      <w:r>
        <w:rPr>
          <w:rFonts w:hint="eastAsia" w:ascii="宋体" w:hAnsi="宋体" w:cs="宋体"/>
          <w:color w:val="auto"/>
          <w:szCs w:val="21"/>
        </w:rPr>
        <w:t>（2）采购计划编号：</w:t>
      </w:r>
    </w:p>
    <w:p w14:paraId="7AB8C470">
      <w:pPr>
        <w:spacing w:line="360" w:lineRule="auto"/>
        <w:ind w:firstLine="420"/>
        <w:rPr>
          <w:rFonts w:hint="eastAsia" w:ascii="宋体" w:hAnsi="宋体" w:cs="宋体" w:eastAsiaTheme="minorEastAsia"/>
          <w:color w:val="auto"/>
          <w:szCs w:val="21"/>
          <w:lang w:eastAsia="zh-CN"/>
        </w:rPr>
      </w:pPr>
      <w:r>
        <w:rPr>
          <w:rFonts w:hint="eastAsia" w:ascii="宋体" w:hAnsi="宋体" w:cs="宋体"/>
          <w:color w:val="auto"/>
          <w:szCs w:val="21"/>
        </w:rPr>
        <w:t>（3）项目内容：</w:t>
      </w:r>
    </w:p>
    <w:p w14:paraId="6AF2FB5A">
      <w:pPr>
        <w:spacing w:line="360" w:lineRule="auto"/>
        <w:ind w:firstLine="413" w:firstLineChars="0"/>
        <w:outlineLvl w:val="9"/>
        <w:rPr>
          <w:rFonts w:ascii="宋体" w:hAnsi="宋体" w:cs="宋体"/>
          <w:b/>
          <w:color w:val="auto"/>
          <w:szCs w:val="21"/>
        </w:rPr>
      </w:pPr>
      <w:bookmarkStart w:id="115" w:name="_Toc13261"/>
      <w:bookmarkStart w:id="116" w:name="_Toc18750"/>
      <w:bookmarkStart w:id="117" w:name="_Toc23714"/>
      <w:r>
        <w:rPr>
          <w:rFonts w:hint="eastAsia" w:ascii="宋体" w:hAnsi="宋体" w:cs="宋体"/>
          <w:b/>
          <w:color w:val="auto"/>
          <w:szCs w:val="21"/>
        </w:rPr>
        <w:t>2.合同金额</w:t>
      </w:r>
      <w:bookmarkEnd w:id="115"/>
      <w:bookmarkEnd w:id="116"/>
      <w:bookmarkEnd w:id="117"/>
    </w:p>
    <w:p w14:paraId="648B18E1">
      <w:pPr>
        <w:spacing w:line="360" w:lineRule="auto"/>
        <w:ind w:firstLine="420"/>
        <w:rPr>
          <w:rFonts w:hint="eastAsia" w:ascii="宋体" w:hAnsi="宋体" w:cs="宋体" w:eastAsiaTheme="minorEastAsia"/>
          <w:color w:val="auto"/>
          <w:szCs w:val="21"/>
          <w:lang w:eastAsia="zh-CN"/>
        </w:rPr>
      </w:pPr>
      <w:r>
        <w:rPr>
          <w:rFonts w:hint="eastAsia" w:ascii="宋体" w:hAnsi="宋体" w:cs="宋体"/>
          <w:color w:val="auto"/>
          <w:szCs w:val="21"/>
        </w:rPr>
        <w:t>（1）合同金额小写：</w:t>
      </w:r>
    </w:p>
    <w:p w14:paraId="480AFE74">
      <w:pPr>
        <w:spacing w:line="360" w:lineRule="auto"/>
        <w:ind w:firstLine="1260"/>
        <w:rPr>
          <w:rFonts w:hint="eastAsia" w:ascii="宋体" w:hAnsi="宋体" w:cs="宋体" w:eastAsiaTheme="minorEastAsia"/>
          <w:b/>
          <w:color w:val="auto"/>
          <w:szCs w:val="21"/>
          <w:lang w:eastAsia="zh-CN"/>
        </w:rPr>
      </w:pPr>
      <w:r>
        <w:rPr>
          <w:rFonts w:hint="eastAsia" w:ascii="宋体" w:hAnsi="宋体" w:cs="宋体"/>
          <w:color w:val="auto"/>
          <w:szCs w:val="21"/>
        </w:rPr>
        <w:t>大写：</w:t>
      </w:r>
    </w:p>
    <w:p w14:paraId="16871FBA">
      <w:pPr>
        <w:spacing w:line="360" w:lineRule="auto"/>
        <w:ind w:firstLine="420"/>
        <w:rPr>
          <w:rFonts w:ascii="宋体" w:hAnsi="宋体" w:cs="宋体"/>
          <w:color w:val="auto"/>
          <w:szCs w:val="21"/>
        </w:rPr>
      </w:pPr>
      <w:r>
        <w:rPr>
          <w:rFonts w:hint="eastAsia" w:ascii="宋体" w:hAnsi="宋体" w:cs="宋体"/>
          <w:color w:val="auto"/>
          <w:szCs w:val="21"/>
        </w:rPr>
        <w:t>（2）具体标的见附件。</w:t>
      </w:r>
    </w:p>
    <w:p w14:paraId="0AD7D46D">
      <w:pPr>
        <w:spacing w:line="360" w:lineRule="auto"/>
        <w:ind w:firstLine="420"/>
        <w:rPr>
          <w:rFonts w:ascii="宋体" w:hAnsi="宋体" w:cs="宋体"/>
          <w:color w:val="auto"/>
          <w:szCs w:val="21"/>
        </w:rPr>
      </w:pPr>
      <w:r>
        <w:rPr>
          <w:rFonts w:hint="eastAsia" w:ascii="宋体" w:hAnsi="宋体" w:cs="宋体"/>
          <w:color w:val="auto"/>
          <w:szCs w:val="21"/>
        </w:rPr>
        <w:t>（3）合同价格形式：。</w:t>
      </w:r>
    </w:p>
    <w:p w14:paraId="7EAA02AD">
      <w:pPr>
        <w:spacing w:line="360" w:lineRule="auto"/>
        <w:ind w:firstLine="422" w:firstLineChars="0"/>
        <w:outlineLvl w:val="9"/>
        <w:rPr>
          <w:rFonts w:hint="eastAsia" w:ascii="宋体" w:hAnsi="宋体" w:cs="宋体" w:eastAsiaTheme="minorEastAsia"/>
          <w:color w:val="auto"/>
          <w:szCs w:val="21"/>
          <w:u w:val="single"/>
          <w:lang w:eastAsia="zh-CN"/>
        </w:rPr>
      </w:pPr>
      <w:bookmarkStart w:id="118" w:name="_Toc29158"/>
      <w:bookmarkStart w:id="119" w:name="_Toc14689"/>
      <w:bookmarkStart w:id="120" w:name="_Toc32513"/>
      <w:r>
        <w:rPr>
          <w:rFonts w:hint="eastAsia" w:ascii="宋体" w:hAnsi="宋体" w:cs="宋体"/>
          <w:b/>
          <w:color w:val="auto"/>
          <w:szCs w:val="21"/>
        </w:rPr>
        <w:t>3.履行合同的时间、地点及方式</w:t>
      </w:r>
      <w:bookmarkEnd w:id="118"/>
      <w:bookmarkEnd w:id="119"/>
      <w:bookmarkEnd w:id="120"/>
    </w:p>
    <w:p w14:paraId="26D90AE0">
      <w:pPr>
        <w:spacing w:line="360" w:lineRule="auto"/>
        <w:ind w:firstLine="630"/>
        <w:rPr>
          <w:rFonts w:ascii="宋体" w:hAnsi="宋体" w:cs="宋体"/>
          <w:color w:val="auto"/>
          <w:szCs w:val="21"/>
        </w:rPr>
      </w:pPr>
      <w:r>
        <w:rPr>
          <w:rFonts w:hint="eastAsia" w:ascii="宋体" w:hAnsi="宋体" w:cs="宋体"/>
          <w:color w:val="auto"/>
          <w:szCs w:val="21"/>
        </w:rPr>
        <w:t>起始日期：年月日，完成日期：年月日。总日历天数：天。</w:t>
      </w:r>
    </w:p>
    <w:p w14:paraId="33361DEB">
      <w:pPr>
        <w:spacing w:line="360" w:lineRule="auto"/>
        <w:ind w:firstLine="630"/>
        <w:rPr>
          <w:rFonts w:hint="eastAsia" w:ascii="宋体" w:hAnsi="宋体" w:cs="宋体" w:eastAsiaTheme="minorEastAsia"/>
          <w:color w:val="auto"/>
          <w:szCs w:val="21"/>
          <w:u w:val="single"/>
          <w:lang w:eastAsia="zh-CN"/>
        </w:rPr>
      </w:pPr>
      <w:r>
        <w:rPr>
          <w:rFonts w:hint="eastAsia" w:ascii="宋体" w:hAnsi="宋体" w:cs="宋体"/>
          <w:color w:val="auto"/>
          <w:szCs w:val="21"/>
        </w:rPr>
        <w:t>地点</w:t>
      </w:r>
      <w:r>
        <w:rPr>
          <w:rFonts w:hint="eastAsia" w:ascii="宋体" w:hAnsi="宋体" w:cs="宋体"/>
          <w:b/>
          <w:color w:val="auto"/>
          <w:szCs w:val="21"/>
        </w:rPr>
        <w:t>：</w:t>
      </w:r>
    </w:p>
    <w:p w14:paraId="40B6D566">
      <w:pPr>
        <w:spacing w:line="360" w:lineRule="auto"/>
        <w:ind w:firstLine="630"/>
        <w:rPr>
          <w:rFonts w:hint="eastAsia" w:ascii="宋体" w:hAnsi="宋体" w:cs="宋体" w:eastAsiaTheme="minorEastAsia"/>
          <w:color w:val="auto"/>
          <w:szCs w:val="21"/>
          <w:lang w:eastAsia="zh-CN"/>
        </w:rPr>
      </w:pPr>
      <w:r>
        <w:rPr>
          <w:rFonts w:hint="eastAsia" w:ascii="宋体" w:hAnsi="宋体" w:cs="宋体"/>
          <w:color w:val="auto"/>
          <w:szCs w:val="21"/>
        </w:rPr>
        <w:t>方式：</w:t>
      </w:r>
    </w:p>
    <w:p w14:paraId="71C8AE94">
      <w:pPr>
        <w:spacing w:line="360" w:lineRule="auto"/>
        <w:ind w:firstLine="422" w:firstLineChars="0"/>
        <w:outlineLvl w:val="9"/>
        <w:rPr>
          <w:rFonts w:ascii="宋体" w:hAnsi="宋体" w:cs="宋体"/>
          <w:b/>
          <w:color w:val="auto"/>
          <w:szCs w:val="21"/>
        </w:rPr>
      </w:pPr>
      <w:bookmarkStart w:id="121" w:name="_Toc19745"/>
      <w:bookmarkStart w:id="122" w:name="_Toc19411"/>
      <w:bookmarkStart w:id="123" w:name="_Toc20737"/>
      <w:r>
        <w:rPr>
          <w:rFonts w:hint="eastAsia" w:ascii="宋体" w:hAnsi="宋体" w:cs="宋体"/>
          <w:b/>
          <w:color w:val="auto"/>
          <w:szCs w:val="21"/>
        </w:rPr>
        <w:t>4.付款：</w:t>
      </w:r>
      <w:bookmarkEnd w:id="121"/>
      <w:bookmarkEnd w:id="122"/>
      <w:bookmarkEnd w:id="123"/>
    </w:p>
    <w:p w14:paraId="54A1FEA1">
      <w:pPr>
        <w:spacing w:line="360" w:lineRule="auto"/>
        <w:ind w:firstLine="630"/>
        <w:rPr>
          <w:rFonts w:hint="eastAsia" w:ascii="宋体" w:hAnsi="宋体" w:cs="宋体" w:eastAsiaTheme="minorEastAsia"/>
          <w:bCs/>
          <w:color w:val="auto"/>
          <w:szCs w:val="21"/>
          <w:lang w:eastAsia="zh-CN"/>
        </w:rPr>
      </w:pPr>
      <w:r>
        <w:rPr>
          <w:rFonts w:hint="eastAsia" w:ascii="宋体" w:hAnsi="宋体" w:cs="宋体"/>
          <w:color w:val="auto"/>
          <w:szCs w:val="21"/>
        </w:rPr>
        <w:t>1、。</w:t>
      </w:r>
    </w:p>
    <w:p w14:paraId="07DDCCD7">
      <w:pPr>
        <w:spacing w:line="360" w:lineRule="auto"/>
        <w:ind w:firstLine="422" w:firstLineChars="0"/>
        <w:outlineLvl w:val="9"/>
        <w:rPr>
          <w:rFonts w:ascii="宋体" w:hAnsi="宋体" w:cs="宋体"/>
          <w:b/>
          <w:color w:val="auto"/>
          <w:szCs w:val="21"/>
        </w:rPr>
      </w:pPr>
      <w:bookmarkStart w:id="124" w:name="_Toc20850"/>
      <w:bookmarkStart w:id="125" w:name="_Toc16913"/>
      <w:bookmarkStart w:id="126" w:name="_Toc31485"/>
      <w:r>
        <w:rPr>
          <w:rFonts w:hint="eastAsia" w:ascii="宋体" w:hAnsi="宋体" w:cs="宋体"/>
          <w:b/>
          <w:color w:val="auto"/>
          <w:szCs w:val="21"/>
        </w:rPr>
        <w:t>5.解决合同纠纷方式</w:t>
      </w:r>
      <w:bookmarkEnd w:id="124"/>
      <w:bookmarkEnd w:id="125"/>
      <w:bookmarkEnd w:id="126"/>
    </w:p>
    <w:p w14:paraId="55A48340">
      <w:pPr>
        <w:spacing w:line="360" w:lineRule="auto"/>
        <w:ind w:firstLine="420"/>
        <w:rPr>
          <w:rFonts w:ascii="宋体" w:hAnsi="宋体" w:cs="宋体"/>
          <w:color w:val="auto"/>
          <w:szCs w:val="21"/>
        </w:rPr>
      </w:pPr>
      <w:r>
        <w:rPr>
          <w:rFonts w:hint="eastAsia" w:ascii="宋体" w:hAnsi="宋体" w:cs="宋体"/>
          <w:color w:val="auto"/>
          <w:szCs w:val="21"/>
        </w:rPr>
        <w:t>首先通过双方协商解决，协商解决不成，则通过以下途径之一解决纠纷：</w:t>
      </w:r>
    </w:p>
    <w:p w14:paraId="66F20898">
      <w:pPr>
        <w:spacing w:line="360" w:lineRule="auto"/>
        <w:ind w:firstLine="840"/>
        <w:rPr>
          <w:rFonts w:ascii="宋体" w:hAnsi="宋体" w:cs="宋体"/>
          <w:color w:val="auto"/>
          <w:szCs w:val="21"/>
        </w:rPr>
      </w:pPr>
      <w:r>
        <w:rPr>
          <w:rFonts w:hint="eastAsia" w:ascii="宋体" w:hAnsi="宋体" w:cs="宋体"/>
          <w:color w:val="auto"/>
          <w:szCs w:val="21"/>
        </w:rPr>
        <w:t>□提请仲裁</w:t>
      </w:r>
      <w:r>
        <w:rPr>
          <w:rFonts w:hint="eastAsia" w:ascii="宋体" w:hAnsi="宋体" w:cs="宋体"/>
          <w:color w:val="auto"/>
          <w:szCs w:val="21"/>
          <w:lang w:eastAsia="zh-CN"/>
        </w:rPr>
        <w:t>☑</w:t>
      </w:r>
      <w:r>
        <w:rPr>
          <w:rFonts w:hint="eastAsia" w:ascii="宋体" w:hAnsi="宋体" w:cs="宋体"/>
          <w:color w:val="auto"/>
          <w:szCs w:val="21"/>
        </w:rPr>
        <w:t>向人民法院提起诉讼</w:t>
      </w:r>
    </w:p>
    <w:p w14:paraId="36F37AB4">
      <w:pPr>
        <w:spacing w:line="360" w:lineRule="auto"/>
        <w:ind w:firstLine="422" w:firstLineChars="0"/>
        <w:outlineLvl w:val="9"/>
        <w:rPr>
          <w:rFonts w:ascii="宋体" w:hAnsi="宋体" w:cs="宋体"/>
          <w:b/>
          <w:color w:val="auto"/>
          <w:szCs w:val="21"/>
        </w:rPr>
      </w:pPr>
      <w:bookmarkStart w:id="127" w:name="_Toc415"/>
      <w:bookmarkStart w:id="128" w:name="_Toc31521"/>
      <w:bookmarkStart w:id="129" w:name="_Toc20786"/>
      <w:r>
        <w:rPr>
          <w:rFonts w:hint="eastAsia" w:ascii="宋体" w:hAnsi="宋体" w:cs="宋体"/>
          <w:b/>
          <w:color w:val="auto"/>
          <w:szCs w:val="21"/>
        </w:rPr>
        <w:t>6.组成合同的文件</w:t>
      </w:r>
      <w:bookmarkEnd w:id="127"/>
      <w:bookmarkEnd w:id="128"/>
      <w:bookmarkEnd w:id="129"/>
    </w:p>
    <w:p w14:paraId="0E4995D7">
      <w:pPr>
        <w:spacing w:line="360" w:lineRule="auto"/>
        <w:ind w:firstLine="420"/>
        <w:rPr>
          <w:rFonts w:ascii="宋体" w:hAnsi="宋体" w:cs="宋体"/>
          <w:color w:val="auto"/>
          <w:szCs w:val="21"/>
        </w:rPr>
      </w:pPr>
      <w:r>
        <w:rPr>
          <w:rFonts w:hint="eastAsia" w:ascii="宋体" w:hAnsi="宋体" w:cs="宋体"/>
          <w:color w:val="auto"/>
          <w:szCs w:val="21"/>
        </w:rPr>
        <w:t>本协议书与下列文件一起构成合同文件，如下述文件之间有任何抵触、矛盾或歧义，应按以下顺序解释：</w:t>
      </w:r>
    </w:p>
    <w:p w14:paraId="0F15A0BA">
      <w:pPr>
        <w:spacing w:line="360" w:lineRule="auto"/>
        <w:ind w:firstLine="420"/>
        <w:rPr>
          <w:rFonts w:ascii="宋体" w:hAnsi="宋体" w:cs="宋体"/>
          <w:color w:val="auto"/>
          <w:szCs w:val="21"/>
        </w:rPr>
      </w:pPr>
      <w:r>
        <w:rPr>
          <w:rFonts w:hint="eastAsia" w:ascii="宋体" w:hAnsi="宋体" w:cs="宋体"/>
          <w:color w:val="auto"/>
          <w:szCs w:val="21"/>
        </w:rPr>
        <w:t>（1）在采购或合同履行过程中</w:t>
      </w:r>
      <w:r>
        <w:rPr>
          <w:rFonts w:hint="eastAsia" w:ascii="宋体" w:hAnsi="宋体" w:cs="宋体"/>
          <w:color w:val="auto"/>
          <w:szCs w:val="21"/>
          <w:lang w:eastAsia="zh-CN"/>
        </w:rPr>
        <w:t>成交供应商</w:t>
      </w:r>
      <w:r>
        <w:rPr>
          <w:rFonts w:hint="eastAsia" w:ascii="宋体" w:hAnsi="宋体" w:cs="宋体"/>
          <w:color w:val="auto"/>
          <w:szCs w:val="21"/>
        </w:rPr>
        <w:t>作出的承诺以及双方协商达成的变更或补充协议</w:t>
      </w:r>
    </w:p>
    <w:p w14:paraId="40BCEB61">
      <w:pPr>
        <w:spacing w:line="360" w:lineRule="auto"/>
        <w:ind w:firstLine="420"/>
        <w:rPr>
          <w:rFonts w:ascii="宋体" w:hAnsi="宋体" w:cs="宋体"/>
          <w:color w:val="auto"/>
          <w:szCs w:val="21"/>
        </w:rPr>
      </w:pPr>
      <w:r>
        <w:rPr>
          <w:rFonts w:hint="eastAsia" w:ascii="宋体" w:hAnsi="宋体" w:cs="宋体"/>
          <w:color w:val="auto"/>
          <w:szCs w:val="21"/>
        </w:rPr>
        <w:t>（2）成交通知书</w:t>
      </w:r>
    </w:p>
    <w:p w14:paraId="7315B864">
      <w:pPr>
        <w:spacing w:line="360" w:lineRule="auto"/>
        <w:ind w:firstLine="420"/>
        <w:rPr>
          <w:rFonts w:ascii="宋体" w:hAnsi="宋体" w:cs="宋体"/>
          <w:color w:val="auto"/>
          <w:szCs w:val="21"/>
        </w:rPr>
      </w:pPr>
      <w:r>
        <w:rPr>
          <w:rFonts w:hint="eastAsia" w:ascii="宋体" w:hAnsi="宋体" w:cs="宋体"/>
          <w:color w:val="auto"/>
          <w:szCs w:val="21"/>
        </w:rPr>
        <w:t>（3）响应文件</w:t>
      </w:r>
    </w:p>
    <w:p w14:paraId="5EF1F543">
      <w:pPr>
        <w:spacing w:line="360" w:lineRule="auto"/>
        <w:ind w:firstLine="420"/>
        <w:rPr>
          <w:rFonts w:ascii="宋体" w:hAnsi="宋体" w:cs="宋体"/>
          <w:color w:val="auto"/>
          <w:szCs w:val="21"/>
        </w:rPr>
      </w:pPr>
      <w:r>
        <w:rPr>
          <w:rFonts w:hint="eastAsia" w:ascii="宋体" w:hAnsi="宋体" w:cs="宋体"/>
          <w:color w:val="auto"/>
          <w:szCs w:val="21"/>
        </w:rPr>
        <w:t>（4）政府采购合同格式条款及其附件</w:t>
      </w:r>
    </w:p>
    <w:p w14:paraId="4D274555">
      <w:pPr>
        <w:spacing w:line="360" w:lineRule="auto"/>
        <w:ind w:firstLine="420"/>
        <w:rPr>
          <w:rFonts w:ascii="宋体" w:hAnsi="宋体" w:cs="宋体"/>
          <w:color w:val="auto"/>
          <w:szCs w:val="21"/>
        </w:rPr>
      </w:pPr>
      <w:r>
        <w:rPr>
          <w:rFonts w:hint="eastAsia" w:ascii="宋体" w:hAnsi="宋体" w:cs="宋体"/>
          <w:color w:val="auto"/>
          <w:szCs w:val="21"/>
        </w:rPr>
        <w:t>（5）专用合同条款</w:t>
      </w:r>
    </w:p>
    <w:p w14:paraId="6413C844">
      <w:pPr>
        <w:spacing w:line="360" w:lineRule="auto"/>
        <w:ind w:firstLine="420"/>
        <w:rPr>
          <w:rFonts w:ascii="宋体" w:hAnsi="宋体" w:cs="宋体"/>
          <w:color w:val="auto"/>
          <w:szCs w:val="21"/>
        </w:rPr>
      </w:pPr>
      <w:r>
        <w:rPr>
          <w:rFonts w:hint="eastAsia" w:ascii="宋体" w:hAnsi="宋体" w:cs="宋体"/>
          <w:color w:val="auto"/>
          <w:szCs w:val="21"/>
        </w:rPr>
        <w:t>（6）通用合同条款（如果有）</w:t>
      </w:r>
    </w:p>
    <w:p w14:paraId="721BD31E">
      <w:pPr>
        <w:spacing w:line="360" w:lineRule="auto"/>
        <w:ind w:firstLine="420"/>
        <w:rPr>
          <w:rFonts w:ascii="宋体" w:hAnsi="宋体" w:cs="宋体"/>
          <w:color w:val="auto"/>
          <w:szCs w:val="21"/>
        </w:rPr>
      </w:pPr>
      <w:r>
        <w:rPr>
          <w:rFonts w:hint="eastAsia" w:ascii="宋体" w:hAnsi="宋体" w:cs="宋体"/>
          <w:color w:val="auto"/>
          <w:szCs w:val="21"/>
        </w:rPr>
        <w:t>（7）标准、规范及有关技术文件，图纸，已标价工程量清单或预算书（如果有）</w:t>
      </w:r>
    </w:p>
    <w:p w14:paraId="70C81A60">
      <w:pPr>
        <w:spacing w:line="360" w:lineRule="auto"/>
        <w:ind w:firstLine="420"/>
        <w:rPr>
          <w:rFonts w:ascii="宋体" w:hAnsi="宋体" w:cs="宋体"/>
          <w:color w:val="auto"/>
          <w:szCs w:val="21"/>
        </w:rPr>
      </w:pPr>
      <w:r>
        <w:rPr>
          <w:rFonts w:hint="eastAsia" w:ascii="宋体" w:hAnsi="宋体" w:cs="宋体"/>
          <w:color w:val="auto"/>
          <w:szCs w:val="21"/>
        </w:rPr>
        <w:t>（8）其他合同文件。</w:t>
      </w:r>
    </w:p>
    <w:p w14:paraId="36158A09">
      <w:pPr>
        <w:spacing w:line="360" w:lineRule="auto"/>
        <w:ind w:firstLine="310" w:firstLineChars="0"/>
        <w:outlineLvl w:val="9"/>
        <w:rPr>
          <w:rFonts w:ascii="宋体" w:hAnsi="宋体" w:cs="宋体"/>
          <w:b/>
          <w:color w:val="auto"/>
          <w:szCs w:val="21"/>
        </w:rPr>
      </w:pPr>
      <w:bookmarkStart w:id="130" w:name="_Toc24110"/>
      <w:bookmarkStart w:id="131" w:name="_Toc5228"/>
      <w:bookmarkStart w:id="132" w:name="_Toc20053"/>
      <w:r>
        <w:rPr>
          <w:rFonts w:hint="eastAsia" w:ascii="宋体" w:hAnsi="宋体" w:cs="宋体"/>
          <w:b/>
          <w:color w:val="auto"/>
          <w:szCs w:val="21"/>
        </w:rPr>
        <w:t>7.合同生效</w:t>
      </w:r>
      <w:bookmarkEnd w:id="130"/>
      <w:bookmarkEnd w:id="131"/>
      <w:bookmarkEnd w:id="132"/>
    </w:p>
    <w:p w14:paraId="747C4288">
      <w:pPr>
        <w:spacing w:line="360" w:lineRule="auto"/>
        <w:ind w:firstLine="420"/>
        <w:rPr>
          <w:rFonts w:ascii="宋体" w:hAnsi="宋体" w:cs="宋体"/>
          <w:color w:val="auto"/>
          <w:szCs w:val="21"/>
        </w:rPr>
      </w:pPr>
      <w:r>
        <w:rPr>
          <w:rFonts w:hint="eastAsia" w:ascii="宋体" w:hAnsi="宋体" w:cs="宋体"/>
          <w:color w:val="auto"/>
          <w:szCs w:val="21"/>
        </w:rPr>
        <w:t>本合同自生效。</w:t>
      </w:r>
    </w:p>
    <w:p w14:paraId="408A980D">
      <w:pPr>
        <w:spacing w:line="360" w:lineRule="auto"/>
        <w:ind w:firstLine="310" w:firstLineChars="0"/>
        <w:outlineLvl w:val="9"/>
        <w:rPr>
          <w:rFonts w:ascii="宋体" w:hAnsi="宋体" w:cs="宋体"/>
          <w:b/>
          <w:color w:val="auto"/>
          <w:szCs w:val="21"/>
        </w:rPr>
      </w:pPr>
      <w:bookmarkStart w:id="133" w:name="_Toc21489"/>
      <w:bookmarkStart w:id="134" w:name="_Toc26201"/>
      <w:bookmarkStart w:id="135" w:name="_Toc12298"/>
      <w:r>
        <w:rPr>
          <w:rFonts w:hint="eastAsia" w:ascii="宋体" w:hAnsi="宋体" w:cs="宋体"/>
          <w:b/>
          <w:color w:val="auto"/>
          <w:szCs w:val="21"/>
        </w:rPr>
        <w:t>8.合同份数</w:t>
      </w:r>
      <w:bookmarkEnd w:id="133"/>
      <w:bookmarkEnd w:id="134"/>
      <w:bookmarkEnd w:id="135"/>
    </w:p>
    <w:p w14:paraId="277CED7C">
      <w:pPr>
        <w:spacing w:line="360" w:lineRule="auto"/>
        <w:ind w:firstLine="420"/>
        <w:rPr>
          <w:rFonts w:ascii="宋体" w:hAnsi="宋体" w:cs="宋体"/>
          <w:color w:val="auto"/>
          <w:szCs w:val="21"/>
        </w:rPr>
      </w:pPr>
      <w:r>
        <w:rPr>
          <w:rFonts w:hint="eastAsia" w:ascii="宋体" w:hAnsi="宋体" w:cs="宋体"/>
          <w:color w:val="auto"/>
          <w:szCs w:val="21"/>
        </w:rPr>
        <w:t>本合同一式份，采购人执份，供应商执份，均具有同等法律效力。</w:t>
      </w:r>
    </w:p>
    <w:p w14:paraId="6E840FBE">
      <w:pPr>
        <w:spacing w:line="360" w:lineRule="auto"/>
        <w:rPr>
          <w:rFonts w:ascii="宋体" w:hAnsi="宋体" w:cs="宋体"/>
          <w:color w:val="auto"/>
          <w:szCs w:val="21"/>
        </w:rPr>
      </w:pPr>
    </w:p>
    <w:p w14:paraId="22EEA9EE">
      <w:pPr>
        <w:spacing w:line="360" w:lineRule="auto"/>
        <w:rPr>
          <w:rFonts w:ascii="宋体" w:hAnsi="宋体" w:cs="宋体"/>
          <w:color w:val="auto"/>
          <w:szCs w:val="21"/>
        </w:rPr>
      </w:pPr>
      <w:r>
        <w:rPr>
          <w:rFonts w:hint="eastAsia" w:ascii="宋体" w:hAnsi="宋体" w:cs="宋体"/>
          <w:color w:val="auto"/>
          <w:szCs w:val="21"/>
        </w:rPr>
        <w:t>合同订立时间：年月日</w:t>
      </w:r>
    </w:p>
    <w:p w14:paraId="14183D5C">
      <w:pPr>
        <w:spacing w:line="360" w:lineRule="auto"/>
        <w:rPr>
          <w:rFonts w:hint="eastAsia" w:ascii="宋体" w:hAnsi="宋体" w:cs="宋体" w:eastAsiaTheme="minorEastAsia"/>
          <w:color w:val="auto"/>
          <w:szCs w:val="21"/>
          <w:lang w:eastAsia="zh-CN"/>
        </w:rPr>
      </w:pPr>
      <w:r>
        <w:rPr>
          <w:rFonts w:hint="eastAsia" w:ascii="宋体" w:hAnsi="宋体" w:cs="宋体"/>
          <w:color w:val="auto"/>
          <w:szCs w:val="21"/>
        </w:rPr>
        <w:t>合同订立地点：</w:t>
      </w:r>
    </w:p>
    <w:p w14:paraId="7E8A69EF">
      <w:pPr>
        <w:spacing w:line="360" w:lineRule="auto"/>
        <w:ind w:firstLine="420"/>
        <w:rPr>
          <w:rFonts w:hint="eastAsia" w:ascii="宋体" w:hAnsi="宋体" w:cs="宋体" w:eastAsiaTheme="minorEastAsia"/>
          <w:color w:val="auto"/>
          <w:szCs w:val="21"/>
          <w:lang w:eastAsia="zh-CN"/>
        </w:rPr>
      </w:pPr>
    </w:p>
    <w:p w14:paraId="23A7EC8C">
      <w:pPr>
        <w:spacing w:line="360" w:lineRule="auto"/>
        <w:rPr>
          <w:rFonts w:ascii="宋体" w:hAnsi="宋体" w:cs="宋体"/>
          <w:color w:val="auto"/>
          <w:szCs w:val="21"/>
        </w:rPr>
      </w:pPr>
      <w:r>
        <w:rPr>
          <w:rFonts w:hint="eastAsia" w:ascii="宋体" w:hAnsi="宋体" w:cs="宋体"/>
          <w:color w:val="auto"/>
          <w:szCs w:val="21"/>
        </w:rPr>
        <w:t>甲方：（公章）</w:t>
      </w:r>
      <w:r>
        <w:rPr>
          <w:rFonts w:hint="eastAsia" w:ascii="宋体" w:hAnsi="宋体" w:cs="宋体"/>
          <w:color w:val="auto"/>
          <w:szCs w:val="21"/>
          <w:lang w:val="en-US" w:eastAsia="zh-CN"/>
        </w:rPr>
        <w:t xml:space="preserve">                       </w:t>
      </w:r>
      <w:r>
        <w:rPr>
          <w:rFonts w:hint="eastAsia" w:ascii="宋体" w:hAnsi="宋体" w:cs="宋体"/>
          <w:color w:val="auto"/>
          <w:szCs w:val="21"/>
        </w:rPr>
        <w:t>乙方：（公章）</w:t>
      </w:r>
    </w:p>
    <w:p w14:paraId="229A9B4D">
      <w:pPr>
        <w:spacing w:line="360" w:lineRule="auto"/>
        <w:rPr>
          <w:rFonts w:hint="eastAsia" w:ascii="宋体" w:hAnsi="宋体" w:cs="宋体" w:eastAsiaTheme="minorEastAsia"/>
          <w:color w:val="auto"/>
          <w:szCs w:val="21"/>
          <w:lang w:eastAsia="zh-CN"/>
        </w:rPr>
      </w:pPr>
      <w:r>
        <w:rPr>
          <w:rFonts w:hint="eastAsia" w:ascii="宋体" w:hAnsi="宋体" w:cs="宋体"/>
          <w:color w:val="auto"/>
          <w:szCs w:val="21"/>
        </w:rPr>
        <w:t>法定代表人：</w:t>
      </w:r>
      <w:r>
        <w:rPr>
          <w:rFonts w:hint="eastAsia" w:ascii="宋体" w:hAnsi="宋体" w:cs="宋体"/>
          <w:color w:val="auto"/>
          <w:szCs w:val="21"/>
          <w:lang w:val="en-US" w:eastAsia="zh-CN"/>
        </w:rPr>
        <w:t xml:space="preserve">                           </w:t>
      </w:r>
      <w:r>
        <w:rPr>
          <w:rFonts w:hint="eastAsia" w:ascii="宋体" w:hAnsi="宋体" w:cs="宋体"/>
          <w:color w:val="auto"/>
          <w:szCs w:val="21"/>
        </w:rPr>
        <w:t>法定代表人：</w:t>
      </w:r>
    </w:p>
    <w:p w14:paraId="5B23AB9F">
      <w:pPr>
        <w:spacing w:line="360" w:lineRule="auto"/>
        <w:rPr>
          <w:rFonts w:hint="eastAsia" w:ascii="宋体" w:hAnsi="宋体" w:cs="宋体" w:eastAsiaTheme="minorEastAsia"/>
          <w:color w:val="auto"/>
          <w:szCs w:val="21"/>
          <w:lang w:eastAsia="zh-CN"/>
        </w:rPr>
      </w:pPr>
      <w:r>
        <w:rPr>
          <w:rFonts w:hint="eastAsia" w:ascii="宋体" w:hAnsi="宋体" w:cs="宋体"/>
          <w:color w:val="auto"/>
          <w:szCs w:val="21"/>
        </w:rPr>
        <w:t>委托代理人：</w:t>
      </w:r>
      <w:r>
        <w:rPr>
          <w:rFonts w:hint="eastAsia" w:ascii="宋体" w:hAnsi="宋体" w:cs="宋体"/>
          <w:color w:val="auto"/>
          <w:szCs w:val="21"/>
          <w:lang w:val="en-US" w:eastAsia="zh-CN"/>
        </w:rPr>
        <w:t xml:space="preserve">                           </w:t>
      </w:r>
      <w:r>
        <w:rPr>
          <w:rFonts w:hint="eastAsia" w:ascii="宋体" w:hAnsi="宋体" w:cs="宋体"/>
          <w:color w:val="auto"/>
          <w:szCs w:val="21"/>
        </w:rPr>
        <w:t>委托代理人：</w:t>
      </w:r>
    </w:p>
    <w:p w14:paraId="4B5FFADC">
      <w:pPr>
        <w:spacing w:line="360" w:lineRule="auto"/>
        <w:rPr>
          <w:rFonts w:hint="eastAsia" w:ascii="宋体" w:hAnsi="宋体" w:cs="宋体" w:eastAsiaTheme="minorEastAsia"/>
          <w:color w:val="auto"/>
          <w:szCs w:val="21"/>
          <w:lang w:eastAsia="zh-CN"/>
        </w:rPr>
      </w:pPr>
      <w:r>
        <w:rPr>
          <w:rFonts w:hint="eastAsia" w:ascii="宋体" w:hAnsi="宋体" w:cs="宋体"/>
          <w:color w:val="auto"/>
          <w:szCs w:val="21"/>
        </w:rPr>
        <w:t>电话：</w:t>
      </w:r>
      <w:r>
        <w:rPr>
          <w:rFonts w:hint="eastAsia" w:ascii="宋体" w:hAnsi="宋体" w:cs="宋体"/>
          <w:color w:val="auto"/>
          <w:szCs w:val="21"/>
          <w:lang w:val="en-US" w:eastAsia="zh-CN"/>
        </w:rPr>
        <w:t xml:space="preserve">                                 </w:t>
      </w:r>
      <w:r>
        <w:rPr>
          <w:rFonts w:hint="eastAsia" w:ascii="宋体" w:hAnsi="宋体" w:cs="宋体"/>
          <w:color w:val="auto"/>
          <w:szCs w:val="21"/>
        </w:rPr>
        <w:t>电</w:t>
      </w:r>
      <w:r>
        <w:rPr>
          <w:rFonts w:hint="eastAsia" w:ascii="宋体" w:hAnsi="宋体" w:cs="宋体"/>
          <w:color w:val="auto"/>
          <w:szCs w:val="21"/>
          <w:lang w:val="en-US" w:eastAsia="zh-CN"/>
        </w:rPr>
        <w:t xml:space="preserve">      </w:t>
      </w:r>
      <w:r>
        <w:rPr>
          <w:rFonts w:hint="eastAsia" w:ascii="宋体" w:hAnsi="宋体" w:cs="宋体"/>
          <w:color w:val="auto"/>
          <w:szCs w:val="21"/>
        </w:rPr>
        <w:t>话：</w:t>
      </w:r>
    </w:p>
    <w:p w14:paraId="50B4F613">
      <w:pPr>
        <w:spacing w:line="360" w:lineRule="auto"/>
        <w:rPr>
          <w:rFonts w:hint="eastAsia" w:ascii="宋体" w:hAnsi="宋体" w:cs="宋体" w:eastAsiaTheme="minorEastAsia"/>
          <w:color w:val="auto"/>
          <w:szCs w:val="21"/>
          <w:lang w:eastAsia="zh-CN"/>
        </w:rPr>
      </w:pPr>
      <w:r>
        <w:rPr>
          <w:rFonts w:hint="eastAsia" w:ascii="宋体" w:hAnsi="宋体" w:cs="宋体"/>
          <w:color w:val="auto"/>
          <w:szCs w:val="21"/>
        </w:rPr>
        <w:t>传真：</w:t>
      </w:r>
      <w:r>
        <w:rPr>
          <w:rFonts w:hint="eastAsia" w:ascii="宋体" w:hAnsi="宋体" w:cs="宋体"/>
          <w:color w:val="auto"/>
          <w:szCs w:val="21"/>
          <w:lang w:val="en-US" w:eastAsia="zh-CN"/>
        </w:rPr>
        <w:t xml:space="preserve">                                </w:t>
      </w:r>
      <w:r>
        <w:rPr>
          <w:rFonts w:hint="eastAsia" w:ascii="宋体" w:hAnsi="宋体" w:cs="宋体"/>
          <w:color w:val="auto"/>
          <w:szCs w:val="21"/>
        </w:rPr>
        <w:t>传</w:t>
      </w:r>
      <w:r>
        <w:rPr>
          <w:rFonts w:hint="eastAsia" w:ascii="宋体" w:hAnsi="宋体" w:cs="宋体"/>
          <w:color w:val="auto"/>
          <w:szCs w:val="21"/>
          <w:lang w:val="en-US" w:eastAsia="zh-CN"/>
        </w:rPr>
        <w:t xml:space="preserve">       </w:t>
      </w:r>
      <w:r>
        <w:rPr>
          <w:rFonts w:hint="eastAsia" w:ascii="宋体" w:hAnsi="宋体" w:cs="宋体"/>
          <w:color w:val="auto"/>
          <w:szCs w:val="21"/>
        </w:rPr>
        <w:t>真：</w:t>
      </w:r>
    </w:p>
    <w:p w14:paraId="317D8D50">
      <w:pPr>
        <w:spacing w:line="360" w:lineRule="auto"/>
        <w:ind w:firstLine="3990" w:firstLineChars="1900"/>
        <w:rPr>
          <w:rFonts w:hint="eastAsia" w:ascii="宋体" w:hAnsi="宋体" w:cs="宋体" w:eastAsiaTheme="minorEastAsia"/>
          <w:color w:val="auto"/>
          <w:szCs w:val="21"/>
          <w:lang w:eastAsia="zh-CN"/>
        </w:rPr>
      </w:pPr>
      <w:r>
        <w:rPr>
          <w:rFonts w:hint="eastAsia" w:ascii="宋体" w:hAnsi="宋体" w:cs="宋体"/>
          <w:color w:val="auto"/>
          <w:szCs w:val="21"/>
        </w:rPr>
        <w:t>开户银行：</w:t>
      </w:r>
    </w:p>
    <w:p w14:paraId="7F9E2D80">
      <w:pPr>
        <w:pStyle w:val="9"/>
        <w:spacing w:before="70" w:line="223" w:lineRule="auto"/>
        <w:ind w:left="2692" w:firstLine="1260" w:firstLineChars="600"/>
        <w:rPr>
          <w:rFonts w:hint="eastAsia" w:ascii="宋体" w:hAnsi="宋体" w:cs="宋体" w:eastAsiaTheme="minorEastAsia"/>
          <w:color w:val="auto"/>
          <w:szCs w:val="21"/>
          <w:u w:val="single"/>
          <w:lang w:eastAsia="zh-CN"/>
        </w:rPr>
      </w:pPr>
      <w:r>
        <w:rPr>
          <w:rFonts w:hint="eastAsia" w:ascii="宋体" w:hAnsi="宋体" w:cs="宋体"/>
          <w:color w:val="auto"/>
          <w:szCs w:val="21"/>
        </w:rPr>
        <w:t>帐</w:t>
      </w:r>
      <w:r>
        <w:rPr>
          <w:rFonts w:hint="eastAsia" w:ascii="宋体" w:hAnsi="宋体" w:cs="宋体"/>
          <w:color w:val="auto"/>
          <w:szCs w:val="21"/>
          <w:lang w:val="en-US" w:eastAsia="zh-CN"/>
        </w:rPr>
        <w:t xml:space="preserve">       </w:t>
      </w:r>
      <w:r>
        <w:rPr>
          <w:rFonts w:hint="eastAsia" w:ascii="宋体" w:hAnsi="宋体" w:cs="宋体"/>
          <w:color w:val="auto"/>
          <w:szCs w:val="21"/>
        </w:rPr>
        <w:t>号：</w:t>
      </w:r>
    </w:p>
    <w:p w14:paraId="1B838585">
      <w:pPr>
        <w:pStyle w:val="9"/>
        <w:spacing w:before="70" w:line="223" w:lineRule="auto"/>
        <w:ind w:left="2692"/>
        <w:rPr>
          <w:rFonts w:hint="eastAsia" w:ascii="宋体" w:hAnsi="宋体" w:cs="宋体"/>
          <w:color w:val="auto"/>
          <w:szCs w:val="21"/>
          <w:u w:val="single"/>
        </w:rPr>
      </w:pPr>
    </w:p>
    <w:p w14:paraId="511121F1">
      <w:pPr>
        <w:pStyle w:val="9"/>
        <w:spacing w:before="70" w:line="223" w:lineRule="auto"/>
        <w:ind w:left="2692"/>
        <w:rPr>
          <w:rFonts w:hint="eastAsia" w:ascii="宋体" w:hAnsi="宋体" w:cs="宋体"/>
          <w:color w:val="auto"/>
          <w:szCs w:val="21"/>
          <w:u w:val="single"/>
        </w:rPr>
      </w:pPr>
    </w:p>
    <w:p w14:paraId="1E91EE94">
      <w:pPr>
        <w:pStyle w:val="9"/>
        <w:spacing w:before="70" w:line="223" w:lineRule="auto"/>
        <w:ind w:left="2692"/>
        <w:rPr>
          <w:rFonts w:hint="eastAsia" w:ascii="宋体" w:hAnsi="宋体" w:cs="宋体"/>
          <w:color w:val="auto"/>
          <w:szCs w:val="21"/>
          <w:u w:val="single"/>
        </w:rPr>
      </w:pPr>
    </w:p>
    <w:p w14:paraId="79CD360F">
      <w:pPr>
        <w:pStyle w:val="9"/>
        <w:spacing w:before="70" w:line="223" w:lineRule="auto"/>
        <w:ind w:left="2692"/>
        <w:rPr>
          <w:rFonts w:hint="eastAsia" w:ascii="宋体" w:hAnsi="宋体" w:cs="宋体"/>
          <w:color w:val="auto"/>
          <w:szCs w:val="21"/>
          <w:u w:val="single"/>
        </w:rPr>
      </w:pPr>
    </w:p>
    <w:p w14:paraId="4DEF943B">
      <w:pPr>
        <w:pStyle w:val="9"/>
        <w:spacing w:before="70" w:line="223" w:lineRule="auto"/>
        <w:ind w:left="2692"/>
        <w:rPr>
          <w:rFonts w:hint="eastAsia" w:ascii="宋体" w:hAnsi="宋体" w:cs="宋体"/>
          <w:color w:val="auto"/>
          <w:szCs w:val="21"/>
          <w:u w:val="single"/>
        </w:rPr>
      </w:pPr>
    </w:p>
    <w:p w14:paraId="4C3A0C9C">
      <w:pPr>
        <w:pStyle w:val="9"/>
        <w:spacing w:before="70" w:line="223" w:lineRule="auto"/>
        <w:ind w:left="2692"/>
        <w:rPr>
          <w:rFonts w:hint="eastAsia" w:ascii="宋体" w:hAnsi="宋体" w:cs="宋体"/>
          <w:color w:val="auto"/>
          <w:szCs w:val="21"/>
          <w:u w:val="single"/>
        </w:rPr>
      </w:pPr>
    </w:p>
    <w:p w14:paraId="2D837AC7">
      <w:pPr>
        <w:pStyle w:val="9"/>
        <w:spacing w:before="70" w:line="223" w:lineRule="auto"/>
        <w:ind w:left="2692"/>
        <w:rPr>
          <w:rFonts w:hint="eastAsia" w:ascii="宋体" w:hAnsi="宋体" w:cs="宋体"/>
          <w:color w:val="auto"/>
          <w:szCs w:val="21"/>
          <w:u w:val="single"/>
        </w:rPr>
      </w:pPr>
    </w:p>
    <w:p w14:paraId="565CFAD5">
      <w:pPr>
        <w:pStyle w:val="9"/>
        <w:spacing w:before="70" w:line="223" w:lineRule="auto"/>
        <w:ind w:left="2692"/>
        <w:rPr>
          <w:rFonts w:hint="eastAsia" w:ascii="宋体" w:hAnsi="宋体" w:cs="宋体"/>
          <w:color w:val="auto"/>
          <w:szCs w:val="21"/>
          <w:u w:val="single"/>
        </w:rPr>
      </w:pPr>
    </w:p>
    <w:p w14:paraId="626C1C84">
      <w:pPr>
        <w:pStyle w:val="9"/>
        <w:spacing w:before="70" w:line="223" w:lineRule="auto"/>
        <w:ind w:left="2692"/>
        <w:rPr>
          <w:rFonts w:hint="eastAsia" w:ascii="宋体" w:hAnsi="宋体" w:cs="宋体"/>
          <w:color w:val="auto"/>
          <w:szCs w:val="21"/>
          <w:u w:val="single"/>
        </w:rPr>
      </w:pPr>
    </w:p>
    <w:p w14:paraId="7521D878">
      <w:pPr>
        <w:pStyle w:val="9"/>
        <w:spacing w:before="70" w:line="223" w:lineRule="auto"/>
        <w:ind w:left="2692"/>
        <w:rPr>
          <w:rFonts w:hint="eastAsia" w:ascii="宋体" w:hAnsi="宋体" w:cs="宋体"/>
          <w:color w:val="auto"/>
          <w:szCs w:val="21"/>
          <w:u w:val="single"/>
        </w:rPr>
      </w:pPr>
    </w:p>
    <w:p w14:paraId="36E67B16">
      <w:pPr>
        <w:pStyle w:val="9"/>
        <w:spacing w:before="70" w:line="223" w:lineRule="auto"/>
        <w:ind w:left="2692"/>
        <w:rPr>
          <w:rFonts w:hint="eastAsia" w:ascii="宋体" w:hAnsi="宋体" w:cs="宋体"/>
          <w:color w:val="auto"/>
          <w:szCs w:val="21"/>
          <w:u w:val="single"/>
        </w:rPr>
      </w:pPr>
    </w:p>
    <w:p w14:paraId="58214D7B">
      <w:pPr>
        <w:pStyle w:val="9"/>
        <w:spacing w:before="70" w:line="223" w:lineRule="auto"/>
        <w:ind w:left="2692"/>
        <w:rPr>
          <w:rFonts w:hint="eastAsia" w:ascii="宋体" w:hAnsi="宋体" w:cs="宋体"/>
          <w:color w:val="auto"/>
          <w:szCs w:val="21"/>
          <w:u w:val="single"/>
        </w:rPr>
      </w:pPr>
    </w:p>
    <w:p w14:paraId="72113EF6">
      <w:pPr>
        <w:widowControl/>
        <w:kinsoku w:val="0"/>
        <w:autoSpaceDE w:val="0"/>
        <w:autoSpaceDN w:val="0"/>
        <w:adjustRightInd w:val="0"/>
        <w:snapToGrid w:val="0"/>
        <w:spacing w:before="91" w:line="223" w:lineRule="auto"/>
        <w:ind w:left="8"/>
        <w:jc w:val="left"/>
        <w:textAlignment w:val="baseline"/>
        <w:rPr>
          <w:rFonts w:ascii="黑体" w:hAnsi="黑体" w:eastAsia="黑体" w:cs="黑体"/>
          <w:snapToGrid w:val="0"/>
          <w:color w:val="000000"/>
          <w:kern w:val="0"/>
          <w:sz w:val="28"/>
          <w:szCs w:val="28"/>
          <w:lang w:eastAsia="en-US"/>
        </w:rPr>
      </w:pPr>
      <w:r>
        <w:rPr>
          <w:rFonts w:ascii="黑体" w:hAnsi="黑体" w:eastAsia="黑体" w:cs="黑体"/>
          <w:b/>
          <w:bCs/>
          <w:snapToGrid w:val="0"/>
          <w:color w:val="000000"/>
          <w:spacing w:val="-4"/>
          <w:kern w:val="0"/>
          <w:sz w:val="28"/>
          <w:szCs w:val="28"/>
          <w:lang w:eastAsia="en-US"/>
        </w:rPr>
        <w:t>二、政府采购合同通用条款</w:t>
      </w:r>
    </w:p>
    <w:p w14:paraId="242B5B1D">
      <w:pPr>
        <w:widowControl/>
        <w:kinsoku w:val="0"/>
        <w:autoSpaceDE w:val="0"/>
        <w:autoSpaceDN w:val="0"/>
        <w:adjustRightInd w:val="0"/>
        <w:snapToGrid w:val="0"/>
        <w:spacing w:line="305" w:lineRule="auto"/>
        <w:jc w:val="left"/>
        <w:textAlignment w:val="baseline"/>
        <w:rPr>
          <w:rFonts w:ascii="Arial" w:hAnsi="Arial" w:eastAsia="Arial" w:cs="Arial"/>
          <w:snapToGrid w:val="0"/>
          <w:color w:val="000000"/>
          <w:kern w:val="0"/>
          <w:sz w:val="21"/>
          <w:szCs w:val="21"/>
          <w:lang w:eastAsia="en-US"/>
        </w:rPr>
      </w:pPr>
    </w:p>
    <w:p w14:paraId="6585B9AD">
      <w:pPr>
        <w:kinsoku w:val="0"/>
        <w:autoSpaceDE w:val="0"/>
        <w:autoSpaceDN w:val="0"/>
        <w:adjustRightInd w:val="0"/>
        <w:snapToGrid w:val="0"/>
        <w:spacing w:before="71" w:line="219" w:lineRule="auto"/>
        <w:ind w:left="276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政府采购合同通用条款（货物类）</w:t>
      </w:r>
    </w:p>
    <w:p w14:paraId="50FFA7AC">
      <w:pPr>
        <w:kinsoku w:val="0"/>
        <w:autoSpaceDE w:val="0"/>
        <w:autoSpaceDN w:val="0"/>
        <w:adjustRightInd w:val="0"/>
        <w:snapToGrid w:val="0"/>
        <w:spacing w:before="22" w:line="228" w:lineRule="auto"/>
        <w:ind w:left="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1"/>
          <w:kern w:val="0"/>
          <w:sz w:val="20"/>
          <w:szCs w:val="20"/>
          <w:lang w:val="en-US" w:eastAsia="en-US" w:bidi="ar-SA"/>
        </w:rPr>
        <w:t>1.定义</w:t>
      </w:r>
    </w:p>
    <w:p w14:paraId="7B722D6C">
      <w:pPr>
        <w:kinsoku w:val="0"/>
        <w:autoSpaceDE w:val="0"/>
        <w:autoSpaceDN w:val="0"/>
        <w:adjustRightInd w:val="0"/>
        <w:snapToGrid w:val="0"/>
        <w:spacing w:before="26" w:line="228"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1.1合同当事人</w:t>
      </w:r>
    </w:p>
    <w:p w14:paraId="679C00E4">
      <w:pPr>
        <w:kinsoku w:val="0"/>
        <w:autoSpaceDE w:val="0"/>
        <w:autoSpaceDN w:val="0"/>
        <w:adjustRightInd w:val="0"/>
        <w:snapToGrid w:val="0"/>
        <w:spacing w:before="25" w:line="377" w:lineRule="auto"/>
        <w:ind w:left="17" w:right="164" w:firstLine="41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（1）采购人(以下称甲方)是指使用财政性资金，通过政府采购程序向供应商购买货物、服务的国家机关、事业单位、团体组织。</w:t>
      </w:r>
    </w:p>
    <w:p w14:paraId="492532DA">
      <w:pPr>
        <w:kinsoku w:val="0"/>
        <w:autoSpaceDE w:val="0"/>
        <w:autoSpaceDN w:val="0"/>
        <w:adjustRightInd w:val="0"/>
        <w:snapToGrid w:val="0"/>
        <w:spacing w:before="2" w:line="376" w:lineRule="auto"/>
        <w:ind w:left="2" w:right="161" w:firstLine="42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（2）供应商(以下称乙方)是指参加政府采购活动而取得成交资格，并向采购人提供货物、服</w:t>
      </w:r>
      <w:r>
        <w:rPr>
          <w:rFonts w:ascii="宋体" w:hAnsi="宋体" w:eastAsia="宋体" w:cs="宋体"/>
          <w:snapToGrid w:val="0"/>
          <w:color w:val="000000"/>
          <w:spacing w:val="8"/>
          <w:kern w:val="0"/>
          <w:sz w:val="20"/>
          <w:szCs w:val="20"/>
          <w:lang w:val="en-US" w:eastAsia="en-US" w:bidi="ar-SA"/>
        </w:rPr>
        <w:t>务的法人、其他组织或者自然人。</w:t>
      </w:r>
    </w:p>
    <w:p w14:paraId="6187E747">
      <w:pPr>
        <w:kinsoku w:val="0"/>
        <w:autoSpaceDE w:val="0"/>
        <w:autoSpaceDN w:val="0"/>
        <w:adjustRightInd w:val="0"/>
        <w:snapToGrid w:val="0"/>
        <w:spacing w:before="1" w:line="226"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1.2本合同下列术语应解释为：</w:t>
      </w:r>
    </w:p>
    <w:p w14:paraId="174989DA">
      <w:pPr>
        <w:kinsoku w:val="0"/>
        <w:autoSpaceDE w:val="0"/>
        <w:autoSpaceDN w:val="0"/>
        <w:adjustRightInd w:val="0"/>
        <w:snapToGrid w:val="0"/>
        <w:spacing w:before="27" w:line="377" w:lineRule="auto"/>
        <w:ind w:right="124" w:firstLine="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（1）“合同”系指甲乙双方签署的、政府采</w:t>
      </w:r>
      <w:r>
        <w:rPr>
          <w:rFonts w:ascii="宋体" w:hAnsi="宋体" w:eastAsia="宋体" w:cs="宋体"/>
          <w:snapToGrid w:val="0"/>
          <w:color w:val="000000"/>
          <w:spacing w:val="7"/>
          <w:kern w:val="0"/>
          <w:sz w:val="20"/>
          <w:szCs w:val="20"/>
          <w:lang w:val="en-US" w:eastAsia="en-US" w:bidi="ar-SA"/>
        </w:rPr>
        <w:t>购合同协议书中载明的甲乙双方所达成的协议，</w:t>
      </w:r>
      <w:r>
        <w:rPr>
          <w:rFonts w:ascii="宋体" w:hAnsi="宋体" w:eastAsia="宋体" w:cs="宋体"/>
          <w:snapToGrid w:val="0"/>
          <w:color w:val="000000"/>
          <w:spacing w:val="9"/>
          <w:kern w:val="0"/>
          <w:sz w:val="20"/>
          <w:szCs w:val="20"/>
          <w:lang w:val="en-US" w:eastAsia="en-US" w:bidi="ar-SA"/>
        </w:rPr>
        <w:t>包括所有的附件、附录和上述文件所提到的构成合同的所有文件。</w:t>
      </w:r>
    </w:p>
    <w:p w14:paraId="77944972">
      <w:pPr>
        <w:kinsoku w:val="0"/>
        <w:autoSpaceDE w:val="0"/>
        <w:autoSpaceDN w:val="0"/>
        <w:adjustRightInd w:val="0"/>
        <w:snapToGrid w:val="0"/>
        <w:spacing w:before="1" w:line="377" w:lineRule="auto"/>
        <w:ind w:left="1" w:right="71" w:firstLine="42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（2）“合同价”系指根据本合同规定乙方在正确地完全履行合同义务后甲</w:t>
      </w:r>
      <w:r>
        <w:rPr>
          <w:rFonts w:ascii="宋体" w:hAnsi="宋体" w:eastAsia="宋体" w:cs="宋体"/>
          <w:snapToGrid w:val="0"/>
          <w:color w:val="000000"/>
          <w:spacing w:val="8"/>
          <w:kern w:val="0"/>
          <w:sz w:val="20"/>
          <w:szCs w:val="20"/>
          <w:lang w:val="en-US" w:eastAsia="en-US" w:bidi="ar-SA"/>
        </w:rPr>
        <w:t>方应支付给乙方的</w:t>
      </w:r>
      <w:r>
        <w:rPr>
          <w:rFonts w:ascii="宋体" w:hAnsi="宋体" w:eastAsia="宋体" w:cs="宋体"/>
          <w:snapToGrid w:val="0"/>
          <w:color w:val="000000"/>
          <w:spacing w:val="2"/>
          <w:kern w:val="0"/>
          <w:sz w:val="20"/>
          <w:szCs w:val="20"/>
          <w:lang w:val="en-US" w:eastAsia="en-US" w:bidi="ar-SA"/>
        </w:rPr>
        <w:t>价款。</w:t>
      </w:r>
    </w:p>
    <w:p w14:paraId="4047B00D">
      <w:pPr>
        <w:kinsoku w:val="0"/>
        <w:autoSpaceDE w:val="0"/>
        <w:autoSpaceDN w:val="0"/>
        <w:adjustRightInd w:val="0"/>
        <w:snapToGrid w:val="0"/>
        <w:spacing w:before="2" w:line="376" w:lineRule="auto"/>
        <w:ind w:left="4" w:firstLine="42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（3）“货物”系指乙方根据本合同规定须</w:t>
      </w:r>
      <w:r>
        <w:rPr>
          <w:rFonts w:ascii="宋体" w:hAnsi="宋体" w:eastAsia="宋体" w:cs="宋体"/>
          <w:snapToGrid w:val="0"/>
          <w:color w:val="000000"/>
          <w:spacing w:val="5"/>
          <w:kern w:val="0"/>
          <w:sz w:val="20"/>
          <w:szCs w:val="20"/>
          <w:lang w:val="en-US" w:eastAsia="en-US" w:bidi="ar-SA"/>
        </w:rPr>
        <w:t>向甲方提供的各种形态和种类的物品，包括原材料、</w:t>
      </w:r>
      <w:r>
        <w:rPr>
          <w:rFonts w:ascii="宋体" w:hAnsi="宋体" w:eastAsia="宋体" w:cs="宋体"/>
          <w:snapToGrid w:val="0"/>
          <w:color w:val="000000"/>
          <w:spacing w:val="9"/>
          <w:kern w:val="0"/>
          <w:sz w:val="20"/>
          <w:szCs w:val="20"/>
          <w:lang w:val="en-US" w:eastAsia="en-US" w:bidi="ar-SA"/>
        </w:rPr>
        <w:t>设备、产品(包括软件)及相关的其备品备件、工具、手册及其它技术资料和材料。</w:t>
      </w:r>
    </w:p>
    <w:p w14:paraId="63B456A8">
      <w:pPr>
        <w:kinsoku w:val="0"/>
        <w:autoSpaceDE w:val="0"/>
        <w:autoSpaceDN w:val="0"/>
        <w:adjustRightInd w:val="0"/>
        <w:snapToGrid w:val="0"/>
        <w:spacing w:before="1" w:line="376" w:lineRule="auto"/>
        <w:ind w:left="1" w:right="75" w:firstLine="42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（4）“伴随服务”系指根据本合同规定乙方承担与供货有</w:t>
      </w:r>
      <w:r>
        <w:rPr>
          <w:rFonts w:ascii="宋体" w:hAnsi="宋体" w:eastAsia="宋体" w:cs="宋体"/>
          <w:snapToGrid w:val="0"/>
          <w:color w:val="000000"/>
          <w:spacing w:val="8"/>
          <w:kern w:val="0"/>
          <w:sz w:val="20"/>
          <w:szCs w:val="20"/>
          <w:lang w:val="en-US" w:eastAsia="en-US" w:bidi="ar-SA"/>
        </w:rPr>
        <w:t>关的辅助服务，如运输、保险以及</w:t>
      </w:r>
      <w:r>
        <w:rPr>
          <w:rFonts w:ascii="宋体" w:hAnsi="宋体" w:eastAsia="宋体" w:cs="宋体"/>
          <w:snapToGrid w:val="0"/>
          <w:color w:val="000000"/>
          <w:spacing w:val="12"/>
          <w:kern w:val="0"/>
          <w:sz w:val="20"/>
          <w:szCs w:val="20"/>
          <w:lang w:val="en-US" w:eastAsia="en-US" w:bidi="ar-SA"/>
        </w:rPr>
        <w:t>其它的伴随服务，例如安装、调试、提供技术协助、培训和合同中规</w:t>
      </w:r>
      <w:r>
        <w:rPr>
          <w:rFonts w:ascii="宋体" w:hAnsi="宋体" w:eastAsia="宋体" w:cs="宋体"/>
          <w:snapToGrid w:val="0"/>
          <w:color w:val="000000"/>
          <w:spacing w:val="11"/>
          <w:kern w:val="0"/>
          <w:sz w:val="20"/>
          <w:szCs w:val="20"/>
          <w:lang w:val="en-US" w:eastAsia="en-US" w:bidi="ar-SA"/>
        </w:rPr>
        <w:t>定乙方应承担的其它义务。</w:t>
      </w:r>
    </w:p>
    <w:p w14:paraId="0583A900">
      <w:pPr>
        <w:kinsoku w:val="0"/>
        <w:autoSpaceDE w:val="0"/>
        <w:autoSpaceDN w:val="0"/>
        <w:adjustRightInd w:val="0"/>
        <w:snapToGrid w:val="0"/>
        <w:spacing w:before="1" w:line="226"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（5）“合同条款”系指本合同条款。</w:t>
      </w:r>
    </w:p>
    <w:p w14:paraId="4E51BAA1">
      <w:pPr>
        <w:kinsoku w:val="0"/>
        <w:autoSpaceDE w:val="0"/>
        <w:autoSpaceDN w:val="0"/>
        <w:adjustRightInd w:val="0"/>
        <w:snapToGrid w:val="0"/>
        <w:spacing w:before="164" w:line="377" w:lineRule="auto"/>
        <w:ind w:left="3" w:right="70" w:firstLine="42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（6）“项目现场”系指本合同项下货物安装、运行的现场，其名称在</w:t>
      </w:r>
      <w:r>
        <w:rPr>
          <w:rFonts w:ascii="宋体" w:hAnsi="宋体" w:eastAsia="宋体" w:cs="宋体"/>
          <w:b/>
          <w:bCs/>
          <w:snapToGrid w:val="0"/>
          <w:color w:val="000000"/>
          <w:spacing w:val="8"/>
          <w:kern w:val="0"/>
          <w:sz w:val="20"/>
          <w:szCs w:val="20"/>
          <w:lang w:val="en-US" w:eastAsia="en-US" w:bidi="ar-SA"/>
        </w:rPr>
        <w:t>政府采购合同专用条款</w:t>
      </w:r>
      <w:r>
        <w:rPr>
          <w:rFonts w:ascii="宋体" w:hAnsi="宋体" w:eastAsia="宋体" w:cs="宋体"/>
          <w:snapToGrid w:val="0"/>
          <w:color w:val="000000"/>
          <w:spacing w:val="2"/>
          <w:kern w:val="0"/>
          <w:sz w:val="20"/>
          <w:szCs w:val="20"/>
          <w:lang w:val="en-US" w:eastAsia="en-US" w:bidi="ar-SA"/>
        </w:rPr>
        <w:t>指明。</w:t>
      </w:r>
    </w:p>
    <w:p w14:paraId="1482C3C1">
      <w:pPr>
        <w:kinsoku w:val="0"/>
        <w:autoSpaceDE w:val="0"/>
        <w:autoSpaceDN w:val="0"/>
        <w:adjustRightInd w:val="0"/>
        <w:snapToGrid w:val="0"/>
        <w:spacing w:line="228" w:lineRule="auto"/>
        <w:ind w:left="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6"/>
          <w:kern w:val="0"/>
          <w:sz w:val="20"/>
          <w:szCs w:val="20"/>
          <w:lang w:val="en-US" w:eastAsia="en-US" w:bidi="ar-SA"/>
        </w:rPr>
        <w:t>2.合同的适用范围</w:t>
      </w:r>
    </w:p>
    <w:p w14:paraId="4EE17572">
      <w:pPr>
        <w:kinsoku w:val="0"/>
        <w:autoSpaceDE w:val="0"/>
        <w:autoSpaceDN w:val="0"/>
        <w:adjustRightInd w:val="0"/>
        <w:snapToGrid w:val="0"/>
        <w:spacing w:before="26" w:line="227" w:lineRule="auto"/>
        <w:ind w:left="42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2.1本合同条款适用于没有被本合同其他部</w:t>
      </w:r>
      <w:r>
        <w:rPr>
          <w:rFonts w:ascii="宋体" w:hAnsi="宋体" w:eastAsia="宋体" w:cs="宋体"/>
          <w:snapToGrid w:val="0"/>
          <w:color w:val="000000"/>
          <w:spacing w:val="8"/>
          <w:kern w:val="0"/>
          <w:sz w:val="20"/>
          <w:szCs w:val="20"/>
          <w:lang w:val="en-US" w:eastAsia="en-US" w:bidi="ar-SA"/>
        </w:rPr>
        <w:t>分的条款所取代的范围。</w:t>
      </w:r>
    </w:p>
    <w:p w14:paraId="53669165">
      <w:pPr>
        <w:kinsoku w:val="0"/>
        <w:autoSpaceDE w:val="0"/>
        <w:autoSpaceDN w:val="0"/>
        <w:adjustRightInd w:val="0"/>
        <w:snapToGrid w:val="0"/>
        <w:spacing w:before="162" w:line="228" w:lineRule="auto"/>
        <w:ind w:left="42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2.2合同内容根据磋商文件、响应文件而确定。</w:t>
      </w:r>
    </w:p>
    <w:p w14:paraId="310C601A">
      <w:pPr>
        <w:kinsoku w:val="0"/>
        <w:autoSpaceDE w:val="0"/>
        <w:autoSpaceDN w:val="0"/>
        <w:adjustRightInd w:val="0"/>
        <w:snapToGrid w:val="0"/>
        <w:spacing w:before="161" w:line="228" w:lineRule="auto"/>
        <w:ind w:left="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3.合同标的及金额</w:t>
      </w:r>
    </w:p>
    <w:p w14:paraId="299F010F">
      <w:pPr>
        <w:kinsoku w:val="0"/>
        <w:autoSpaceDE w:val="0"/>
        <w:autoSpaceDN w:val="0"/>
        <w:adjustRightInd w:val="0"/>
        <w:snapToGrid w:val="0"/>
        <w:spacing w:before="26" w:line="377" w:lineRule="auto"/>
        <w:ind w:right="164" w:firstLine="4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0"/>
          <w:kern w:val="0"/>
          <w:sz w:val="20"/>
          <w:szCs w:val="20"/>
          <w:lang w:val="en-US" w:eastAsia="en-US" w:bidi="ar-SA"/>
        </w:rPr>
        <w:t>3.1合同标的及金额应与成交结果一致</w:t>
      </w:r>
      <w:r>
        <w:rPr>
          <w:rFonts w:ascii="宋体" w:hAnsi="宋体" w:eastAsia="宋体" w:cs="宋体"/>
          <w:snapToGrid w:val="0"/>
          <w:color w:val="000000"/>
          <w:spacing w:val="9"/>
          <w:kern w:val="0"/>
          <w:sz w:val="20"/>
          <w:szCs w:val="20"/>
          <w:lang w:val="en-US" w:eastAsia="en-US" w:bidi="ar-SA"/>
        </w:rPr>
        <w:t>，具体的货物名称、规格、型号、数量和价格见</w:t>
      </w:r>
      <w:r>
        <w:rPr>
          <w:rFonts w:ascii="宋体" w:hAnsi="宋体" w:eastAsia="宋体" w:cs="宋体"/>
          <w:b/>
          <w:bCs/>
          <w:snapToGrid w:val="0"/>
          <w:color w:val="000000"/>
          <w:spacing w:val="9"/>
          <w:kern w:val="0"/>
          <w:sz w:val="20"/>
          <w:szCs w:val="20"/>
          <w:lang w:val="en-US" w:eastAsia="en-US" w:bidi="ar-SA"/>
        </w:rPr>
        <w:t>政府</w:t>
      </w:r>
      <w:r>
        <w:rPr>
          <w:rFonts w:ascii="宋体" w:hAnsi="宋体" w:eastAsia="宋体" w:cs="宋体"/>
          <w:b/>
          <w:bCs/>
          <w:snapToGrid w:val="0"/>
          <w:color w:val="000000"/>
          <w:spacing w:val="6"/>
          <w:kern w:val="0"/>
          <w:sz w:val="20"/>
          <w:szCs w:val="20"/>
          <w:lang w:val="en-US" w:eastAsia="en-US" w:bidi="ar-SA"/>
        </w:rPr>
        <w:t>采购合同专用条款</w:t>
      </w:r>
      <w:r>
        <w:rPr>
          <w:rFonts w:ascii="宋体" w:hAnsi="宋体" w:eastAsia="宋体" w:cs="宋体"/>
          <w:snapToGrid w:val="0"/>
          <w:color w:val="000000"/>
          <w:spacing w:val="6"/>
          <w:kern w:val="0"/>
          <w:sz w:val="20"/>
          <w:szCs w:val="20"/>
          <w:lang w:val="en-US" w:eastAsia="en-US" w:bidi="ar-SA"/>
        </w:rPr>
        <w:t>。</w:t>
      </w:r>
    </w:p>
    <w:p w14:paraId="476B198F">
      <w:pPr>
        <w:kinsoku w:val="0"/>
        <w:autoSpaceDE w:val="0"/>
        <w:autoSpaceDN w:val="0"/>
        <w:adjustRightInd w:val="0"/>
        <w:snapToGrid w:val="0"/>
        <w:spacing w:line="226" w:lineRule="auto"/>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4.合同价款</w:t>
      </w:r>
    </w:p>
    <w:p w14:paraId="57123F7F">
      <w:pPr>
        <w:kinsoku w:val="0"/>
        <w:autoSpaceDE w:val="0"/>
        <w:autoSpaceDN w:val="0"/>
        <w:adjustRightInd w:val="0"/>
        <w:snapToGrid w:val="0"/>
        <w:spacing w:before="27" w:line="377" w:lineRule="auto"/>
        <w:ind w:left="1" w:right="162" w:firstLine="55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4.1具体合同价款见本合同第3.1项。乙方为履行本</w:t>
      </w:r>
      <w:r>
        <w:rPr>
          <w:rFonts w:ascii="宋体" w:hAnsi="宋体" w:eastAsia="宋体" w:cs="宋体"/>
          <w:snapToGrid w:val="0"/>
          <w:color w:val="000000"/>
          <w:spacing w:val="6"/>
          <w:kern w:val="0"/>
          <w:sz w:val="20"/>
          <w:szCs w:val="20"/>
          <w:lang w:val="en-US" w:eastAsia="en-US" w:bidi="ar-SA"/>
        </w:rPr>
        <w:t>合同而发生的所有费用均应包含在合同价款中，甲方不再另行支付其它任何费用。</w:t>
      </w:r>
    </w:p>
    <w:p w14:paraId="7E9CDFA3">
      <w:pPr>
        <w:kinsoku w:val="0"/>
        <w:autoSpaceDE w:val="0"/>
        <w:autoSpaceDN w:val="0"/>
        <w:adjustRightInd w:val="0"/>
        <w:snapToGrid w:val="0"/>
        <w:spacing w:before="1" w:line="228" w:lineRule="auto"/>
        <w:ind w:left="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7"/>
          <w:kern w:val="0"/>
          <w:sz w:val="20"/>
          <w:szCs w:val="20"/>
          <w:lang w:val="en-US" w:eastAsia="en-US" w:bidi="ar-SA"/>
        </w:rPr>
        <w:t>5.履行合同的时间、地点和方式</w:t>
      </w:r>
    </w:p>
    <w:p w14:paraId="55DA3892">
      <w:pPr>
        <w:kinsoku w:val="0"/>
        <w:autoSpaceDE w:val="0"/>
        <w:autoSpaceDN w:val="0"/>
        <w:adjustRightInd w:val="0"/>
        <w:snapToGrid w:val="0"/>
        <w:spacing w:before="24" w:line="378" w:lineRule="auto"/>
        <w:ind w:right="164" w:firstLine="4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5.1乙方应当在甲方确定的时间、指定的地点履行合同，具体的交货时间、地点和方</w:t>
      </w:r>
      <w:r>
        <w:rPr>
          <w:rFonts w:ascii="宋体" w:hAnsi="宋体" w:eastAsia="宋体" w:cs="宋体"/>
          <w:snapToGrid w:val="0"/>
          <w:color w:val="000000"/>
          <w:spacing w:val="8"/>
          <w:kern w:val="0"/>
          <w:sz w:val="20"/>
          <w:szCs w:val="20"/>
          <w:lang w:val="en-US" w:eastAsia="en-US" w:bidi="ar-SA"/>
        </w:rPr>
        <w:t>式见</w:t>
      </w:r>
      <w:r>
        <w:rPr>
          <w:rFonts w:ascii="宋体" w:hAnsi="宋体" w:eastAsia="宋体" w:cs="宋体"/>
          <w:b/>
          <w:bCs/>
          <w:snapToGrid w:val="0"/>
          <w:color w:val="000000"/>
          <w:spacing w:val="8"/>
          <w:kern w:val="0"/>
          <w:sz w:val="20"/>
          <w:szCs w:val="20"/>
          <w:lang w:val="en-US" w:eastAsia="en-US" w:bidi="ar-SA"/>
        </w:rPr>
        <w:t>政</w:t>
      </w:r>
      <w:r>
        <w:rPr>
          <w:rFonts w:ascii="宋体" w:hAnsi="宋体" w:eastAsia="宋体" w:cs="宋体"/>
          <w:b/>
          <w:bCs/>
          <w:snapToGrid w:val="0"/>
          <w:color w:val="000000"/>
          <w:spacing w:val="6"/>
          <w:kern w:val="0"/>
          <w:sz w:val="20"/>
          <w:szCs w:val="20"/>
          <w:lang w:val="en-US" w:eastAsia="en-US" w:bidi="ar-SA"/>
        </w:rPr>
        <w:t>府采购合同专用条款</w:t>
      </w:r>
      <w:r>
        <w:rPr>
          <w:rFonts w:ascii="宋体" w:hAnsi="宋体" w:eastAsia="宋体" w:cs="宋体"/>
          <w:snapToGrid w:val="0"/>
          <w:color w:val="000000"/>
          <w:spacing w:val="6"/>
          <w:kern w:val="0"/>
          <w:sz w:val="20"/>
          <w:szCs w:val="20"/>
          <w:lang w:val="en-US" w:eastAsia="en-US" w:bidi="ar-SA"/>
        </w:rPr>
        <w:t>。</w:t>
      </w:r>
    </w:p>
    <w:p w14:paraId="1A033412">
      <w:pPr>
        <w:kinsoku w:val="0"/>
        <w:autoSpaceDE w:val="0"/>
        <w:autoSpaceDN w:val="0"/>
        <w:adjustRightInd w:val="0"/>
        <w:snapToGrid w:val="0"/>
        <w:spacing w:before="1" w:line="226" w:lineRule="auto"/>
        <w:ind w:left="4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5.2乙方提供服务的应当在甲方指定的地点完成服务项目。</w:t>
      </w:r>
    </w:p>
    <w:p w14:paraId="5F3A657A">
      <w:pPr>
        <w:spacing w:line="226" w:lineRule="auto"/>
        <w:rPr>
          <w:sz w:val="20"/>
          <w:szCs w:val="20"/>
        </w:rPr>
        <w:sectPr>
          <w:pgSz w:w="12240" w:h="15840"/>
          <w:pgMar w:top="856" w:right="1539" w:bottom="907" w:left="1708" w:header="0" w:footer="0" w:gutter="0"/>
          <w:pgNumType w:fmt="numberInDash"/>
          <w:cols w:space="720" w:num="1"/>
        </w:sectPr>
      </w:pPr>
    </w:p>
    <w:p w14:paraId="7842DB04">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68C24773">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647D902A">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002B7A61">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22047FD3">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03AE6A6A">
      <w:pPr>
        <w:kinsoku w:val="0"/>
        <w:autoSpaceDE w:val="0"/>
        <w:autoSpaceDN w:val="0"/>
        <w:adjustRightInd w:val="0"/>
        <w:snapToGrid w:val="0"/>
        <w:spacing w:before="65" w:line="227" w:lineRule="auto"/>
        <w:ind w:left="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6.货物的验收</w:t>
      </w:r>
    </w:p>
    <w:p w14:paraId="405DC47C">
      <w:pPr>
        <w:kinsoku w:val="0"/>
        <w:autoSpaceDE w:val="0"/>
        <w:autoSpaceDN w:val="0"/>
        <w:adjustRightInd w:val="0"/>
        <w:snapToGrid w:val="0"/>
        <w:spacing w:before="27" w:line="227"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6.1甲方在收到乙方交付的货物后应当及时组织验收。</w:t>
      </w:r>
    </w:p>
    <w:p w14:paraId="09FEE311">
      <w:pPr>
        <w:kinsoku w:val="0"/>
        <w:autoSpaceDE w:val="0"/>
        <w:autoSpaceDN w:val="0"/>
        <w:adjustRightInd w:val="0"/>
        <w:snapToGrid w:val="0"/>
        <w:spacing w:before="24" w:line="377" w:lineRule="auto"/>
        <w:ind w:left="3" w:right="71" w:firstLine="41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6.2货物的表面瑕疵，甲方应在验收时当面提出；对</w:t>
      </w:r>
      <w:r>
        <w:rPr>
          <w:rFonts w:ascii="宋体" w:hAnsi="宋体" w:eastAsia="宋体" w:cs="宋体"/>
          <w:snapToGrid w:val="0"/>
          <w:color w:val="000000"/>
          <w:spacing w:val="8"/>
          <w:kern w:val="0"/>
          <w:sz w:val="20"/>
          <w:szCs w:val="20"/>
          <w:lang w:val="en-US" w:eastAsia="en-US" w:bidi="ar-SA"/>
        </w:rPr>
        <w:t>质量问题有异议的应在安装调试后十个</w:t>
      </w:r>
      <w:r>
        <w:rPr>
          <w:rFonts w:ascii="宋体" w:hAnsi="宋体" w:eastAsia="宋体" w:cs="宋体"/>
          <w:snapToGrid w:val="0"/>
          <w:color w:val="000000"/>
          <w:spacing w:val="6"/>
          <w:kern w:val="0"/>
          <w:sz w:val="20"/>
          <w:szCs w:val="20"/>
          <w:lang w:val="en-US" w:eastAsia="en-US" w:bidi="ar-SA"/>
        </w:rPr>
        <w:t>工作日内提出。</w:t>
      </w:r>
    </w:p>
    <w:p w14:paraId="67CE1EA6">
      <w:pPr>
        <w:kinsoku w:val="0"/>
        <w:autoSpaceDE w:val="0"/>
        <w:autoSpaceDN w:val="0"/>
        <w:adjustRightInd w:val="0"/>
        <w:snapToGrid w:val="0"/>
        <w:spacing w:before="1" w:line="377" w:lineRule="auto"/>
        <w:ind w:left="4" w:right="71" w:firstLine="41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0"/>
          <w:kern w:val="0"/>
          <w:sz w:val="20"/>
          <w:szCs w:val="20"/>
          <w:lang w:val="en-US" w:eastAsia="en-US" w:bidi="ar-SA"/>
        </w:rPr>
        <w:t>6.3在验收过程中发现数量不足或有质量、技术等问</w:t>
      </w:r>
      <w:r>
        <w:rPr>
          <w:rFonts w:ascii="宋体" w:hAnsi="宋体" w:eastAsia="宋体" w:cs="宋体"/>
          <w:snapToGrid w:val="0"/>
          <w:color w:val="000000"/>
          <w:spacing w:val="9"/>
          <w:kern w:val="0"/>
          <w:sz w:val="20"/>
          <w:szCs w:val="20"/>
          <w:lang w:val="en-US" w:eastAsia="en-US" w:bidi="ar-SA"/>
        </w:rPr>
        <w:t>题，乙方应负责按照甲方的要求采取补足、更换或退货等处理措施，并承担由此发生的一切费用和损失。</w:t>
      </w:r>
    </w:p>
    <w:p w14:paraId="4B951D3A">
      <w:pPr>
        <w:kinsoku w:val="0"/>
        <w:autoSpaceDE w:val="0"/>
        <w:autoSpaceDN w:val="0"/>
        <w:adjustRightInd w:val="0"/>
        <w:snapToGrid w:val="0"/>
        <w:spacing w:before="1" w:line="376" w:lineRule="auto"/>
        <w:ind w:firstLine="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6.4甲方在乙方按合同规定交货或安装、调试后，无正</w:t>
      </w:r>
      <w:r>
        <w:rPr>
          <w:rFonts w:ascii="宋体" w:hAnsi="宋体" w:eastAsia="宋体" w:cs="宋体"/>
          <w:snapToGrid w:val="0"/>
          <w:color w:val="000000"/>
          <w:spacing w:val="5"/>
          <w:kern w:val="0"/>
          <w:sz w:val="20"/>
          <w:szCs w:val="20"/>
          <w:lang w:val="en-US" w:eastAsia="en-US" w:bidi="ar-SA"/>
        </w:rPr>
        <w:t>当理由而拖延接收、验收或拒绝接收、</w:t>
      </w:r>
      <w:r>
        <w:rPr>
          <w:rFonts w:ascii="宋体" w:hAnsi="宋体" w:eastAsia="宋体" w:cs="宋体"/>
          <w:snapToGrid w:val="0"/>
          <w:color w:val="000000"/>
          <w:spacing w:val="9"/>
          <w:kern w:val="0"/>
          <w:sz w:val="20"/>
          <w:szCs w:val="20"/>
          <w:lang w:val="en-US" w:eastAsia="en-US" w:bidi="ar-SA"/>
        </w:rPr>
        <w:t>验收的，应承担因此给乙方造成的直接损失。</w:t>
      </w:r>
    </w:p>
    <w:p w14:paraId="668F0D76">
      <w:pPr>
        <w:kinsoku w:val="0"/>
        <w:autoSpaceDE w:val="0"/>
        <w:autoSpaceDN w:val="0"/>
        <w:adjustRightInd w:val="0"/>
        <w:snapToGrid w:val="0"/>
        <w:spacing w:before="1" w:line="377" w:lineRule="auto"/>
        <w:ind w:right="71" w:firstLine="42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6.5甲方对货物进行检查验收合格后，应当收取发票并在《交货验收单》上签署</w:t>
      </w:r>
      <w:r>
        <w:rPr>
          <w:rFonts w:ascii="宋体" w:hAnsi="宋体" w:eastAsia="宋体" w:cs="宋体"/>
          <w:snapToGrid w:val="0"/>
          <w:color w:val="000000"/>
          <w:spacing w:val="8"/>
          <w:kern w:val="0"/>
          <w:sz w:val="20"/>
          <w:szCs w:val="20"/>
          <w:lang w:val="en-US" w:eastAsia="en-US" w:bidi="ar-SA"/>
        </w:rPr>
        <w:t>验收意见及</w:t>
      </w:r>
      <w:r>
        <w:rPr>
          <w:rFonts w:ascii="宋体" w:hAnsi="宋体" w:eastAsia="宋体" w:cs="宋体"/>
          <w:snapToGrid w:val="0"/>
          <w:color w:val="000000"/>
          <w:spacing w:val="7"/>
          <w:kern w:val="0"/>
          <w:sz w:val="20"/>
          <w:szCs w:val="20"/>
          <w:lang w:val="en-US" w:eastAsia="en-US" w:bidi="ar-SA"/>
        </w:rPr>
        <w:t>加盖单位印章。</w:t>
      </w:r>
    </w:p>
    <w:p w14:paraId="4607C9AB">
      <w:pPr>
        <w:kinsoku w:val="0"/>
        <w:autoSpaceDE w:val="0"/>
        <w:autoSpaceDN w:val="0"/>
        <w:adjustRightInd w:val="0"/>
        <w:snapToGrid w:val="0"/>
        <w:spacing w:before="2" w:line="376" w:lineRule="auto"/>
        <w:ind w:left="5" w:right="122" w:firstLine="4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6.6大型或者复杂的货物采购项目，甲方可以邀请国家认可的质量检测机构参加验收工作，并由其出具验收报告单。</w:t>
      </w:r>
    </w:p>
    <w:p w14:paraId="29AC549D">
      <w:pPr>
        <w:kinsoku w:val="0"/>
        <w:autoSpaceDE w:val="0"/>
        <w:autoSpaceDN w:val="0"/>
        <w:adjustRightInd w:val="0"/>
        <w:snapToGrid w:val="0"/>
        <w:spacing w:before="1" w:line="376" w:lineRule="auto"/>
        <w:ind w:left="10" w:right="71" w:firstLine="41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6.7乙方提供的进口产品，乙方应出示中华人民共和国进出口商品检验部门出具的检验证书</w:t>
      </w:r>
      <w:r>
        <w:rPr>
          <w:rFonts w:ascii="宋体" w:hAnsi="宋体" w:eastAsia="宋体" w:cs="宋体"/>
          <w:snapToGrid w:val="0"/>
          <w:color w:val="000000"/>
          <w:spacing w:val="7"/>
          <w:kern w:val="0"/>
          <w:sz w:val="20"/>
          <w:szCs w:val="20"/>
          <w:lang w:val="en-US" w:eastAsia="en-US" w:bidi="ar-SA"/>
        </w:rPr>
        <w:t>（采购文件另有约定的除外）。</w:t>
      </w:r>
    </w:p>
    <w:p w14:paraId="3BADC000">
      <w:pPr>
        <w:kinsoku w:val="0"/>
        <w:autoSpaceDE w:val="0"/>
        <w:autoSpaceDN w:val="0"/>
        <w:adjustRightInd w:val="0"/>
        <w:snapToGrid w:val="0"/>
        <w:spacing w:before="1" w:line="226" w:lineRule="auto"/>
        <w:ind w:left="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7.货物包装要求</w:t>
      </w:r>
    </w:p>
    <w:p w14:paraId="59531B60">
      <w:pPr>
        <w:kinsoku w:val="0"/>
        <w:autoSpaceDE w:val="0"/>
        <w:autoSpaceDN w:val="0"/>
        <w:adjustRightInd w:val="0"/>
        <w:snapToGrid w:val="0"/>
        <w:spacing w:before="29" w:line="377" w:lineRule="auto"/>
        <w:ind w:left="1" w:firstLine="4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7.1乙方所出售的全部货物均应按标准保护措施进行包装，包</w:t>
      </w:r>
      <w:r>
        <w:rPr>
          <w:rFonts w:ascii="宋体" w:hAnsi="宋体" w:eastAsia="宋体" w:cs="宋体"/>
          <w:snapToGrid w:val="0"/>
          <w:color w:val="000000"/>
          <w:spacing w:val="5"/>
          <w:kern w:val="0"/>
          <w:sz w:val="20"/>
          <w:szCs w:val="20"/>
          <w:lang w:val="en-US" w:eastAsia="en-US" w:bidi="ar-SA"/>
        </w:rPr>
        <w:t>装应适应于远距离运输、防潮、</w:t>
      </w:r>
      <w:r>
        <w:rPr>
          <w:rFonts w:ascii="宋体" w:hAnsi="宋体" w:eastAsia="宋体" w:cs="宋体"/>
          <w:snapToGrid w:val="0"/>
          <w:color w:val="000000"/>
          <w:spacing w:val="9"/>
          <w:kern w:val="0"/>
          <w:sz w:val="20"/>
          <w:szCs w:val="20"/>
          <w:lang w:val="en-US" w:eastAsia="en-US" w:bidi="ar-SA"/>
        </w:rPr>
        <w:t>防震、防锈和防野蛮装卸等要求，以确保货物安全无损地运抵指定现场。由于包装防护措施不妥</w:t>
      </w:r>
      <w:r>
        <w:rPr>
          <w:rFonts w:ascii="宋体" w:hAnsi="宋体" w:eastAsia="宋体" w:cs="宋体"/>
          <w:snapToGrid w:val="0"/>
          <w:color w:val="000000"/>
          <w:spacing w:val="8"/>
          <w:kern w:val="0"/>
          <w:sz w:val="20"/>
          <w:szCs w:val="20"/>
          <w:lang w:val="en-US" w:eastAsia="en-US" w:bidi="ar-SA"/>
        </w:rPr>
        <w:t>而引起的损坏、丢失由乙方负责。</w:t>
      </w:r>
    </w:p>
    <w:p w14:paraId="4F25219F">
      <w:pPr>
        <w:kinsoku w:val="0"/>
        <w:autoSpaceDE w:val="0"/>
        <w:autoSpaceDN w:val="0"/>
        <w:adjustRightInd w:val="0"/>
        <w:snapToGrid w:val="0"/>
        <w:spacing w:before="1" w:line="226" w:lineRule="auto"/>
        <w:ind w:left="4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7.2每一个包装箱内应附一份详细装箱</w:t>
      </w:r>
      <w:r>
        <w:rPr>
          <w:rFonts w:ascii="宋体" w:hAnsi="宋体" w:eastAsia="宋体" w:cs="宋体"/>
          <w:snapToGrid w:val="0"/>
          <w:color w:val="000000"/>
          <w:spacing w:val="8"/>
          <w:kern w:val="0"/>
          <w:sz w:val="20"/>
          <w:szCs w:val="20"/>
          <w:lang w:val="en-US" w:eastAsia="en-US" w:bidi="ar-SA"/>
        </w:rPr>
        <w:t>单、质量证书和保修保养证书。</w:t>
      </w:r>
    </w:p>
    <w:p w14:paraId="1B31F169">
      <w:pPr>
        <w:kinsoku w:val="0"/>
        <w:autoSpaceDE w:val="0"/>
        <w:autoSpaceDN w:val="0"/>
        <w:adjustRightInd w:val="0"/>
        <w:snapToGrid w:val="0"/>
        <w:spacing w:before="162" w:line="228" w:lineRule="auto"/>
        <w:ind w:left="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8.运输和保险</w:t>
      </w:r>
    </w:p>
    <w:p w14:paraId="301BC65C">
      <w:pPr>
        <w:kinsoku w:val="0"/>
        <w:autoSpaceDE w:val="0"/>
        <w:autoSpaceDN w:val="0"/>
        <w:adjustRightInd w:val="0"/>
        <w:snapToGrid w:val="0"/>
        <w:spacing w:before="24" w:line="378" w:lineRule="auto"/>
        <w:ind w:right="71" w:firstLine="4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0"/>
          <w:kern w:val="0"/>
          <w:sz w:val="20"/>
          <w:szCs w:val="20"/>
          <w:lang w:val="en-US" w:eastAsia="en-US" w:bidi="ar-SA"/>
        </w:rPr>
        <w:t>8.1乙方负责办理将货物运抵本合同第五条规定的交货地点的一切运输事项，相关费用应包</w:t>
      </w:r>
      <w:r>
        <w:rPr>
          <w:rFonts w:ascii="宋体" w:hAnsi="宋体" w:eastAsia="宋体" w:cs="宋体"/>
          <w:snapToGrid w:val="0"/>
          <w:color w:val="000000"/>
          <w:spacing w:val="7"/>
          <w:kern w:val="0"/>
          <w:sz w:val="20"/>
          <w:szCs w:val="20"/>
          <w:lang w:val="en-US" w:eastAsia="en-US" w:bidi="ar-SA"/>
        </w:rPr>
        <w:t>括在合同总价中。</w:t>
      </w:r>
    </w:p>
    <w:p w14:paraId="58B3E6A2">
      <w:pPr>
        <w:kinsoku w:val="0"/>
        <w:autoSpaceDE w:val="0"/>
        <w:autoSpaceDN w:val="0"/>
        <w:adjustRightInd w:val="0"/>
        <w:snapToGrid w:val="0"/>
        <w:spacing w:before="1" w:line="226" w:lineRule="auto"/>
        <w:ind w:left="42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8.2乙方应向保险公司投保以甲方为受益人</w:t>
      </w:r>
      <w:r>
        <w:rPr>
          <w:rFonts w:ascii="宋体" w:hAnsi="宋体" w:eastAsia="宋体" w:cs="宋体"/>
          <w:snapToGrid w:val="0"/>
          <w:color w:val="000000"/>
          <w:spacing w:val="7"/>
          <w:kern w:val="0"/>
          <w:sz w:val="20"/>
          <w:szCs w:val="20"/>
          <w:lang w:val="en-US" w:eastAsia="en-US" w:bidi="ar-SA"/>
        </w:rPr>
        <w:t>的发运合同货物发票金额的110％运输一切险。</w:t>
      </w:r>
    </w:p>
    <w:p w14:paraId="2DEF2C53">
      <w:pPr>
        <w:kinsoku w:val="0"/>
        <w:autoSpaceDE w:val="0"/>
        <w:autoSpaceDN w:val="0"/>
        <w:adjustRightInd w:val="0"/>
        <w:snapToGrid w:val="0"/>
        <w:spacing w:before="162" w:line="228" w:lineRule="auto"/>
        <w:ind w:left="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6"/>
          <w:kern w:val="0"/>
          <w:sz w:val="20"/>
          <w:szCs w:val="20"/>
          <w:lang w:val="en-US" w:eastAsia="en-US" w:bidi="ar-SA"/>
        </w:rPr>
        <w:t>9.质量标准和保证</w:t>
      </w:r>
    </w:p>
    <w:p w14:paraId="741F78BD">
      <w:pPr>
        <w:kinsoku w:val="0"/>
        <w:autoSpaceDE w:val="0"/>
        <w:autoSpaceDN w:val="0"/>
        <w:adjustRightInd w:val="0"/>
        <w:snapToGrid w:val="0"/>
        <w:spacing w:before="24" w:line="228" w:lineRule="auto"/>
        <w:ind w:left="42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9.1质量标准</w:t>
      </w:r>
    </w:p>
    <w:p w14:paraId="111CA5A1">
      <w:pPr>
        <w:kinsoku w:val="0"/>
        <w:autoSpaceDE w:val="0"/>
        <w:autoSpaceDN w:val="0"/>
        <w:adjustRightInd w:val="0"/>
        <w:snapToGrid w:val="0"/>
        <w:spacing w:before="26" w:line="377" w:lineRule="auto"/>
        <w:ind w:left="2" w:right="70" w:firstLine="42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（1）本合同下交付的货物应符合第四章采购需求所述的标准。如果没有提及适用标准，则应</w:t>
      </w:r>
      <w:r>
        <w:rPr>
          <w:rFonts w:ascii="宋体" w:hAnsi="宋体" w:eastAsia="宋体" w:cs="宋体"/>
          <w:snapToGrid w:val="0"/>
          <w:color w:val="000000"/>
          <w:spacing w:val="9"/>
          <w:kern w:val="0"/>
          <w:sz w:val="20"/>
          <w:szCs w:val="20"/>
          <w:lang w:val="en-US" w:eastAsia="en-US" w:bidi="ar-SA"/>
        </w:rPr>
        <w:t>符合中华人民共和国有关机构发布的最新版本的标准。</w:t>
      </w:r>
    </w:p>
    <w:p w14:paraId="58637B2A">
      <w:pPr>
        <w:kinsoku w:val="0"/>
        <w:autoSpaceDE w:val="0"/>
        <w:autoSpaceDN w:val="0"/>
        <w:adjustRightInd w:val="0"/>
        <w:snapToGrid w:val="0"/>
        <w:spacing w:before="1" w:line="226"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（2）采用中华人民共和国法定计量单位。</w:t>
      </w:r>
    </w:p>
    <w:p w14:paraId="1F69DE1B">
      <w:pPr>
        <w:kinsoku w:val="0"/>
        <w:autoSpaceDE w:val="0"/>
        <w:autoSpaceDN w:val="0"/>
        <w:adjustRightInd w:val="0"/>
        <w:snapToGrid w:val="0"/>
        <w:spacing w:before="164" w:line="227"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（3）乙方所出售的货物还应符合国家有关安全、环保</w:t>
      </w:r>
      <w:r>
        <w:rPr>
          <w:rFonts w:ascii="宋体" w:hAnsi="宋体" w:eastAsia="宋体" w:cs="宋体"/>
          <w:snapToGrid w:val="0"/>
          <w:color w:val="000000"/>
          <w:spacing w:val="8"/>
          <w:kern w:val="0"/>
          <w:sz w:val="20"/>
          <w:szCs w:val="20"/>
          <w:lang w:val="en-US" w:eastAsia="en-US" w:bidi="ar-SA"/>
        </w:rPr>
        <w:t>、卫生之规定。</w:t>
      </w:r>
    </w:p>
    <w:p w14:paraId="6F899E4E">
      <w:pPr>
        <w:kinsoku w:val="0"/>
        <w:autoSpaceDE w:val="0"/>
        <w:autoSpaceDN w:val="0"/>
        <w:adjustRightInd w:val="0"/>
        <w:snapToGrid w:val="0"/>
        <w:spacing w:before="163" w:line="228" w:lineRule="auto"/>
        <w:ind w:left="42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9.2保证</w:t>
      </w:r>
    </w:p>
    <w:p w14:paraId="2156D1D9">
      <w:pPr>
        <w:kinsoku w:val="0"/>
        <w:autoSpaceDE w:val="0"/>
        <w:autoSpaceDN w:val="0"/>
        <w:adjustRightInd w:val="0"/>
        <w:snapToGrid w:val="0"/>
        <w:spacing w:before="25" w:line="378" w:lineRule="auto"/>
        <w:ind w:left="17" w:right="68" w:firstLine="413"/>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（1）乙方应保证所供货物是全新的、未使用过的，并完全符合合同规定的质量、规格和性能</w:t>
      </w:r>
      <w:r>
        <w:rPr>
          <w:rFonts w:ascii="宋体" w:hAnsi="宋体" w:eastAsia="宋体" w:cs="宋体"/>
          <w:snapToGrid w:val="0"/>
          <w:color w:val="000000"/>
          <w:spacing w:val="10"/>
          <w:kern w:val="0"/>
          <w:sz w:val="20"/>
          <w:szCs w:val="20"/>
          <w:lang w:val="en-US" w:eastAsia="en-US" w:bidi="ar-SA"/>
        </w:rPr>
        <w:t>的要求。乙方应保证其货物在正确安装、正常使用和保养条件下，在其使</w:t>
      </w:r>
      <w:r>
        <w:rPr>
          <w:rFonts w:ascii="宋体" w:hAnsi="宋体" w:eastAsia="宋体" w:cs="宋体"/>
          <w:snapToGrid w:val="0"/>
          <w:color w:val="000000"/>
          <w:spacing w:val="9"/>
          <w:kern w:val="0"/>
          <w:sz w:val="20"/>
          <w:szCs w:val="20"/>
          <w:lang w:val="en-US" w:eastAsia="en-US" w:bidi="ar-SA"/>
        </w:rPr>
        <w:t>用寿命期内应具有满意</w:t>
      </w:r>
      <w:r>
        <w:rPr>
          <w:rFonts w:ascii="宋体" w:hAnsi="宋体" w:eastAsia="宋体" w:cs="宋体"/>
          <w:snapToGrid w:val="0"/>
          <w:color w:val="000000"/>
          <w:spacing w:val="10"/>
          <w:kern w:val="0"/>
          <w:sz w:val="20"/>
          <w:szCs w:val="20"/>
          <w:lang w:val="en-US" w:eastAsia="en-US" w:bidi="ar-SA"/>
        </w:rPr>
        <w:t>的性能，或者没有因乙方的行为或疏忽而产</w:t>
      </w:r>
      <w:r>
        <w:rPr>
          <w:rFonts w:ascii="宋体" w:hAnsi="宋体" w:eastAsia="宋体" w:cs="宋体"/>
          <w:snapToGrid w:val="0"/>
          <w:color w:val="000000"/>
          <w:spacing w:val="9"/>
          <w:kern w:val="0"/>
          <w:sz w:val="20"/>
          <w:szCs w:val="20"/>
          <w:lang w:val="en-US" w:eastAsia="en-US" w:bidi="ar-SA"/>
        </w:rPr>
        <w:t>生的缺陷。在货物最终交付验收后不少于</w:t>
      </w:r>
      <w:r>
        <w:rPr>
          <w:rFonts w:ascii="宋体" w:hAnsi="宋体" w:eastAsia="宋体" w:cs="宋体"/>
          <w:b/>
          <w:bCs/>
          <w:snapToGrid w:val="0"/>
          <w:color w:val="000000"/>
          <w:spacing w:val="9"/>
          <w:kern w:val="0"/>
          <w:sz w:val="20"/>
          <w:szCs w:val="20"/>
          <w:lang w:val="en-US" w:eastAsia="en-US" w:bidi="ar-SA"/>
        </w:rPr>
        <w:t>政府采购合</w:t>
      </w:r>
    </w:p>
    <w:p w14:paraId="5868191B">
      <w:pPr>
        <w:spacing w:line="378" w:lineRule="auto"/>
        <w:rPr>
          <w:sz w:val="20"/>
          <w:szCs w:val="20"/>
        </w:rPr>
        <w:sectPr>
          <w:pgSz w:w="12240" w:h="15840"/>
          <w:pgMar w:top="400" w:right="1633" w:bottom="0" w:left="1708" w:header="0" w:footer="0" w:gutter="0"/>
          <w:pgNumType w:fmt="numberInDash"/>
          <w:cols w:space="720" w:num="1"/>
        </w:sectPr>
      </w:pPr>
    </w:p>
    <w:p w14:paraId="3BFF3BD4">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4FE79864">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6ADA423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217F655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70CBAB54">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160CDB43">
      <w:pPr>
        <w:kinsoku w:val="0"/>
        <w:autoSpaceDE w:val="0"/>
        <w:autoSpaceDN w:val="0"/>
        <w:adjustRightInd w:val="0"/>
        <w:snapToGrid w:val="0"/>
        <w:spacing w:before="65" w:line="227" w:lineRule="auto"/>
        <w:ind w:left="2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9"/>
          <w:kern w:val="0"/>
          <w:sz w:val="20"/>
          <w:szCs w:val="20"/>
          <w:lang w:val="en-US" w:eastAsia="en-US" w:bidi="ar-SA"/>
        </w:rPr>
        <w:t>同专用条款</w:t>
      </w:r>
      <w:r>
        <w:rPr>
          <w:rFonts w:ascii="宋体" w:hAnsi="宋体" w:eastAsia="宋体" w:cs="宋体"/>
          <w:snapToGrid w:val="0"/>
          <w:color w:val="000000"/>
          <w:spacing w:val="9"/>
          <w:kern w:val="0"/>
          <w:sz w:val="20"/>
          <w:szCs w:val="20"/>
          <w:lang w:val="en-US" w:eastAsia="en-US" w:bidi="ar-SA"/>
        </w:rPr>
        <w:t>规定或乙方承诺（两者以较长的为准）的质量保证</w:t>
      </w:r>
      <w:r>
        <w:rPr>
          <w:rFonts w:ascii="宋体" w:hAnsi="宋体" w:eastAsia="宋体" w:cs="宋体"/>
          <w:snapToGrid w:val="0"/>
          <w:color w:val="000000"/>
          <w:spacing w:val="8"/>
          <w:kern w:val="0"/>
          <w:sz w:val="20"/>
          <w:szCs w:val="20"/>
          <w:lang w:val="en-US" w:eastAsia="en-US" w:bidi="ar-SA"/>
        </w:rPr>
        <w:t>期内，本保证保持有效。</w:t>
      </w:r>
    </w:p>
    <w:p w14:paraId="090E4AD3">
      <w:pPr>
        <w:kinsoku w:val="0"/>
        <w:autoSpaceDE w:val="0"/>
        <w:autoSpaceDN w:val="0"/>
        <w:adjustRightInd w:val="0"/>
        <w:snapToGrid w:val="0"/>
        <w:spacing w:before="162" w:line="227"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（2）在质量保证期内所发现的缺陷，甲方应尽快以书面形式通知乙方。</w:t>
      </w:r>
    </w:p>
    <w:p w14:paraId="3773D9B9">
      <w:pPr>
        <w:kinsoku w:val="0"/>
        <w:autoSpaceDE w:val="0"/>
        <w:autoSpaceDN w:val="0"/>
        <w:adjustRightInd w:val="0"/>
        <w:snapToGrid w:val="0"/>
        <w:spacing w:before="163" w:line="377" w:lineRule="auto"/>
        <w:ind w:left="3" w:right="68" w:firstLine="42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（3）乙方收到通知后应在</w:t>
      </w:r>
      <w:r>
        <w:rPr>
          <w:rFonts w:ascii="宋体" w:hAnsi="宋体" w:eastAsia="宋体" w:cs="宋体"/>
          <w:b/>
          <w:bCs/>
          <w:snapToGrid w:val="0"/>
          <w:color w:val="000000"/>
          <w:spacing w:val="7"/>
          <w:kern w:val="0"/>
          <w:sz w:val="20"/>
          <w:szCs w:val="20"/>
          <w:lang w:val="en-US" w:eastAsia="en-US" w:bidi="ar-SA"/>
        </w:rPr>
        <w:t>政府采购合同专用条款</w:t>
      </w:r>
      <w:r>
        <w:rPr>
          <w:rFonts w:ascii="宋体" w:hAnsi="宋体" w:eastAsia="宋体" w:cs="宋体"/>
          <w:snapToGrid w:val="0"/>
          <w:color w:val="000000"/>
          <w:spacing w:val="7"/>
          <w:kern w:val="0"/>
          <w:sz w:val="20"/>
          <w:szCs w:val="20"/>
          <w:lang w:val="en-US" w:eastAsia="en-US" w:bidi="ar-SA"/>
        </w:rPr>
        <w:t>规定的响应时间内</w:t>
      </w:r>
      <w:r>
        <w:rPr>
          <w:rFonts w:ascii="宋体" w:hAnsi="宋体" w:eastAsia="宋体" w:cs="宋体"/>
          <w:snapToGrid w:val="0"/>
          <w:color w:val="000000"/>
          <w:spacing w:val="6"/>
          <w:kern w:val="0"/>
          <w:sz w:val="20"/>
          <w:szCs w:val="20"/>
          <w:lang w:val="en-US" w:eastAsia="en-US" w:bidi="ar-SA"/>
        </w:rPr>
        <w:t>以合理的速度免费维修或</w:t>
      </w:r>
      <w:r>
        <w:rPr>
          <w:rFonts w:ascii="宋体" w:hAnsi="宋体" w:eastAsia="宋体" w:cs="宋体"/>
          <w:snapToGrid w:val="0"/>
          <w:color w:val="000000"/>
          <w:spacing w:val="8"/>
          <w:kern w:val="0"/>
          <w:sz w:val="20"/>
          <w:szCs w:val="20"/>
          <w:lang w:val="en-US" w:eastAsia="en-US" w:bidi="ar-SA"/>
        </w:rPr>
        <w:t>更换有缺陷的货物或部件。</w:t>
      </w:r>
    </w:p>
    <w:p w14:paraId="13E5B505">
      <w:pPr>
        <w:kinsoku w:val="0"/>
        <w:autoSpaceDE w:val="0"/>
        <w:autoSpaceDN w:val="0"/>
        <w:adjustRightInd w:val="0"/>
        <w:snapToGrid w:val="0"/>
        <w:spacing w:before="2" w:line="376" w:lineRule="auto"/>
        <w:ind w:right="68" w:firstLine="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（4）在质量保证期内，如果货物的质量或规格与合同不符，或证实货物是有缺陷的，包括潜</w:t>
      </w:r>
      <w:r>
        <w:rPr>
          <w:rFonts w:ascii="宋体" w:hAnsi="宋体" w:eastAsia="宋体" w:cs="宋体"/>
          <w:snapToGrid w:val="0"/>
          <w:color w:val="000000"/>
          <w:spacing w:val="9"/>
          <w:kern w:val="0"/>
          <w:sz w:val="20"/>
          <w:szCs w:val="20"/>
          <w:lang w:val="en-US" w:eastAsia="en-US" w:bidi="ar-SA"/>
        </w:rPr>
        <w:t>在的缺陷或使用不符合要求的材料等，甲方可以根据本合同第15.1项</w:t>
      </w:r>
      <w:r>
        <w:rPr>
          <w:rFonts w:ascii="宋体" w:hAnsi="宋体" w:eastAsia="宋体" w:cs="宋体"/>
          <w:snapToGrid w:val="0"/>
          <w:color w:val="000000"/>
          <w:spacing w:val="8"/>
          <w:kern w:val="0"/>
          <w:sz w:val="20"/>
          <w:szCs w:val="20"/>
          <w:lang w:val="en-US" w:eastAsia="en-US" w:bidi="ar-SA"/>
        </w:rPr>
        <w:t>规定以书面形式向乙方提出</w:t>
      </w:r>
      <w:r>
        <w:rPr>
          <w:rFonts w:ascii="宋体" w:hAnsi="宋体" w:eastAsia="宋体" w:cs="宋体"/>
          <w:snapToGrid w:val="0"/>
          <w:color w:val="000000"/>
          <w:spacing w:val="7"/>
          <w:kern w:val="0"/>
          <w:sz w:val="20"/>
          <w:szCs w:val="20"/>
          <w:lang w:val="en-US" w:eastAsia="en-US" w:bidi="ar-SA"/>
        </w:rPr>
        <w:t>补救措施或索赔。</w:t>
      </w:r>
    </w:p>
    <w:p w14:paraId="751A5115">
      <w:pPr>
        <w:kinsoku w:val="0"/>
        <w:autoSpaceDE w:val="0"/>
        <w:autoSpaceDN w:val="0"/>
        <w:adjustRightInd w:val="0"/>
        <w:snapToGrid w:val="0"/>
        <w:spacing w:before="1" w:line="377" w:lineRule="auto"/>
        <w:ind w:left="21" w:right="68" w:firstLine="40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（5）乙方在约定的时间内未能弥补缺陷，甲方可采取必要的补救措施，但其风险和费用将由乙方承担，甲方根据合同规定对乙方行使的其他权利不受影响。</w:t>
      </w:r>
    </w:p>
    <w:p w14:paraId="631AD299">
      <w:pPr>
        <w:kinsoku w:val="0"/>
        <w:autoSpaceDE w:val="0"/>
        <w:autoSpaceDN w:val="0"/>
        <w:adjustRightInd w:val="0"/>
        <w:snapToGrid w:val="0"/>
        <w:spacing w:line="227" w:lineRule="auto"/>
        <w:ind w:left="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10.权利瑕疵担保</w:t>
      </w:r>
    </w:p>
    <w:p w14:paraId="5C3710A6">
      <w:pPr>
        <w:kinsoku w:val="0"/>
        <w:autoSpaceDE w:val="0"/>
        <w:autoSpaceDN w:val="0"/>
        <w:adjustRightInd w:val="0"/>
        <w:snapToGrid w:val="0"/>
        <w:spacing w:before="24" w:line="227"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10.1乙方保证对其出售的货物享有合法的权利。</w:t>
      </w:r>
    </w:p>
    <w:p w14:paraId="124140E0">
      <w:pPr>
        <w:kinsoku w:val="0"/>
        <w:autoSpaceDE w:val="0"/>
        <w:autoSpaceDN w:val="0"/>
        <w:adjustRightInd w:val="0"/>
        <w:snapToGrid w:val="0"/>
        <w:spacing w:before="164" w:line="377" w:lineRule="auto"/>
        <w:ind w:left="16" w:firstLine="4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10.2乙方保证在其出售的货物上不存在任何未曾向甲方透露的担保物权，如抵押权、质押</w:t>
      </w:r>
      <w:r>
        <w:rPr>
          <w:rFonts w:ascii="宋体" w:hAnsi="宋体" w:eastAsia="宋体" w:cs="宋体"/>
          <w:snapToGrid w:val="0"/>
          <w:color w:val="000000"/>
          <w:spacing w:val="2"/>
          <w:kern w:val="0"/>
          <w:sz w:val="20"/>
          <w:szCs w:val="20"/>
          <w:lang w:val="en-US" w:eastAsia="en-US" w:bidi="ar-SA"/>
        </w:rPr>
        <w:t>权、留置权等。</w:t>
      </w:r>
    </w:p>
    <w:p w14:paraId="246C9A84">
      <w:pPr>
        <w:kinsoku w:val="0"/>
        <w:autoSpaceDE w:val="0"/>
        <w:autoSpaceDN w:val="0"/>
        <w:adjustRightInd w:val="0"/>
        <w:snapToGrid w:val="0"/>
        <w:spacing w:before="1" w:line="226"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10.3如甲方使用该货物构成上述侵权的，则由乙方承担全部责任。</w:t>
      </w:r>
    </w:p>
    <w:p w14:paraId="1CDB6C38">
      <w:pPr>
        <w:kinsoku w:val="0"/>
        <w:autoSpaceDE w:val="0"/>
        <w:autoSpaceDN w:val="0"/>
        <w:adjustRightInd w:val="0"/>
        <w:snapToGrid w:val="0"/>
        <w:spacing w:before="162" w:line="228" w:lineRule="auto"/>
        <w:ind w:left="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11.知识产权保护</w:t>
      </w:r>
    </w:p>
    <w:p w14:paraId="19F16110">
      <w:pPr>
        <w:kinsoku w:val="0"/>
        <w:autoSpaceDE w:val="0"/>
        <w:autoSpaceDN w:val="0"/>
        <w:adjustRightInd w:val="0"/>
        <w:snapToGrid w:val="0"/>
        <w:spacing w:before="26" w:line="377" w:lineRule="auto"/>
        <w:ind w:left="2" w:right="70" w:firstLine="43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11.1乙方对其所销售的货物应当享有知识产权或经权利人合法授权，保证没有侵犯任何第三</w:t>
      </w:r>
      <w:r>
        <w:rPr>
          <w:rFonts w:ascii="宋体" w:hAnsi="宋体" w:eastAsia="宋体" w:cs="宋体"/>
          <w:snapToGrid w:val="0"/>
          <w:color w:val="000000"/>
          <w:spacing w:val="8"/>
          <w:kern w:val="0"/>
          <w:sz w:val="20"/>
          <w:szCs w:val="20"/>
          <w:lang w:val="en-US" w:eastAsia="en-US" w:bidi="ar-SA"/>
        </w:rPr>
        <w:t>人的知识产权和商业秘密等权利。</w:t>
      </w:r>
    </w:p>
    <w:p w14:paraId="275B2150">
      <w:pPr>
        <w:kinsoku w:val="0"/>
        <w:autoSpaceDE w:val="0"/>
        <w:autoSpaceDN w:val="0"/>
        <w:adjustRightInd w:val="0"/>
        <w:snapToGrid w:val="0"/>
        <w:spacing w:before="1" w:line="377" w:lineRule="auto"/>
        <w:ind w:right="68" w:firstLine="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11.2甲方使用乙方提供的货物对第三人构成侵权的，应当由乙方承担全部法律责任，给甲方</w:t>
      </w:r>
      <w:r>
        <w:rPr>
          <w:rFonts w:ascii="宋体" w:hAnsi="宋体" w:eastAsia="宋体" w:cs="宋体"/>
          <w:snapToGrid w:val="0"/>
          <w:color w:val="000000"/>
          <w:spacing w:val="8"/>
          <w:kern w:val="0"/>
          <w:sz w:val="20"/>
          <w:szCs w:val="20"/>
          <w:lang w:val="en-US" w:eastAsia="en-US" w:bidi="ar-SA"/>
        </w:rPr>
        <w:t>造成损害的，乙方应当承担赔偿责任。</w:t>
      </w:r>
    </w:p>
    <w:p w14:paraId="29E3914E">
      <w:pPr>
        <w:kinsoku w:val="0"/>
        <w:autoSpaceDE w:val="0"/>
        <w:autoSpaceDN w:val="0"/>
        <w:adjustRightInd w:val="0"/>
        <w:snapToGrid w:val="0"/>
        <w:spacing w:before="1" w:line="227"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11.3甲方委托乙方开发的产品，甲方享有知识产权，未</w:t>
      </w:r>
      <w:r>
        <w:rPr>
          <w:rFonts w:ascii="宋体" w:hAnsi="宋体" w:eastAsia="宋体" w:cs="宋体"/>
          <w:snapToGrid w:val="0"/>
          <w:color w:val="000000"/>
          <w:spacing w:val="6"/>
          <w:kern w:val="0"/>
          <w:sz w:val="20"/>
          <w:szCs w:val="20"/>
          <w:lang w:val="en-US" w:eastAsia="en-US" w:bidi="ar-SA"/>
        </w:rPr>
        <w:t>经甲方许可不得转让任何第三人。</w:t>
      </w:r>
    </w:p>
    <w:p w14:paraId="0030E210">
      <w:pPr>
        <w:kinsoku w:val="0"/>
        <w:autoSpaceDE w:val="0"/>
        <w:autoSpaceDN w:val="0"/>
        <w:adjustRightInd w:val="0"/>
        <w:snapToGrid w:val="0"/>
        <w:spacing w:before="161" w:line="228" w:lineRule="auto"/>
        <w:ind w:left="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12.保密义务</w:t>
      </w:r>
    </w:p>
    <w:p w14:paraId="529BCBA8">
      <w:pPr>
        <w:kinsoku w:val="0"/>
        <w:autoSpaceDE w:val="0"/>
        <w:autoSpaceDN w:val="0"/>
        <w:adjustRightInd w:val="0"/>
        <w:snapToGrid w:val="0"/>
        <w:spacing w:before="24" w:line="378" w:lineRule="auto"/>
        <w:ind w:left="3" w:right="70" w:firstLine="43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12.1甲、乙双方在采购和履行合同过程中所获悉的对方属于保密的内容，甲乙双方均有</w:t>
      </w:r>
      <w:r>
        <w:rPr>
          <w:rFonts w:ascii="宋体" w:hAnsi="宋体" w:eastAsia="宋体" w:cs="宋体"/>
          <w:snapToGrid w:val="0"/>
          <w:color w:val="000000"/>
          <w:spacing w:val="5"/>
          <w:kern w:val="0"/>
          <w:sz w:val="20"/>
          <w:szCs w:val="20"/>
          <w:lang w:val="en-US" w:eastAsia="en-US" w:bidi="ar-SA"/>
        </w:rPr>
        <w:t>保密</w:t>
      </w:r>
      <w:r>
        <w:rPr>
          <w:rFonts w:ascii="宋体" w:hAnsi="宋体" w:eastAsia="宋体" w:cs="宋体"/>
          <w:snapToGrid w:val="0"/>
          <w:color w:val="000000"/>
          <w:spacing w:val="2"/>
          <w:kern w:val="0"/>
          <w:sz w:val="20"/>
          <w:szCs w:val="20"/>
          <w:lang w:val="en-US" w:eastAsia="en-US" w:bidi="ar-SA"/>
        </w:rPr>
        <w:t>义务。</w:t>
      </w:r>
    </w:p>
    <w:p w14:paraId="57A7553C">
      <w:pPr>
        <w:kinsoku w:val="0"/>
        <w:autoSpaceDE w:val="0"/>
        <w:autoSpaceDN w:val="0"/>
        <w:adjustRightInd w:val="0"/>
        <w:snapToGrid w:val="0"/>
        <w:spacing w:line="226" w:lineRule="auto"/>
        <w:ind w:left="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13.合同价款支付</w:t>
      </w:r>
    </w:p>
    <w:p w14:paraId="2B4385B2">
      <w:pPr>
        <w:kinsoku w:val="0"/>
        <w:autoSpaceDE w:val="0"/>
        <w:autoSpaceDN w:val="0"/>
        <w:adjustRightInd w:val="0"/>
        <w:snapToGrid w:val="0"/>
        <w:spacing w:before="26" w:line="378" w:lineRule="auto"/>
        <w:ind w:left="3" w:right="68" w:firstLine="43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13.1验收合格后，乙方出具正规发票给甲方，凭甲方开具的《政府采购合同验收报告</w:t>
      </w:r>
      <w:r>
        <w:rPr>
          <w:rFonts w:ascii="宋体" w:hAnsi="宋体" w:eastAsia="宋体" w:cs="宋体"/>
          <w:snapToGrid w:val="0"/>
          <w:color w:val="000000"/>
          <w:spacing w:val="7"/>
          <w:kern w:val="0"/>
          <w:sz w:val="20"/>
          <w:szCs w:val="20"/>
          <w:lang w:val="en-US" w:eastAsia="en-US" w:bidi="ar-SA"/>
        </w:rPr>
        <w:t>单》办理合同价款结算手续。</w:t>
      </w:r>
    </w:p>
    <w:p w14:paraId="0651A201">
      <w:pPr>
        <w:kinsoku w:val="0"/>
        <w:autoSpaceDE w:val="0"/>
        <w:autoSpaceDN w:val="0"/>
        <w:adjustRightInd w:val="0"/>
        <w:snapToGrid w:val="0"/>
        <w:spacing w:before="1" w:line="376" w:lineRule="auto"/>
        <w:ind w:left="22" w:right="70" w:firstLine="41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13.2合同价款构成中应当由财政支付的部分，甲方应当在货物验</w:t>
      </w:r>
      <w:r>
        <w:rPr>
          <w:rFonts w:ascii="宋体" w:hAnsi="宋体" w:eastAsia="宋体" w:cs="宋体"/>
          <w:snapToGrid w:val="0"/>
          <w:color w:val="000000"/>
          <w:spacing w:val="6"/>
          <w:kern w:val="0"/>
          <w:sz w:val="20"/>
          <w:szCs w:val="20"/>
          <w:lang w:val="en-US" w:eastAsia="en-US" w:bidi="ar-SA"/>
        </w:rPr>
        <w:t>收合格后的十五个工作日内</w:t>
      </w:r>
      <w:r>
        <w:rPr>
          <w:rFonts w:ascii="宋体" w:hAnsi="宋体" w:eastAsia="宋体" w:cs="宋体"/>
          <w:snapToGrid w:val="0"/>
          <w:color w:val="000000"/>
          <w:spacing w:val="8"/>
          <w:kern w:val="0"/>
          <w:sz w:val="20"/>
          <w:szCs w:val="20"/>
          <w:lang w:val="en-US" w:eastAsia="en-US" w:bidi="ar-SA"/>
        </w:rPr>
        <w:t>向国库管理部门申请支付，经国库管理部门审核后直接支付给乙方。</w:t>
      </w:r>
    </w:p>
    <w:p w14:paraId="6A4618EB">
      <w:pPr>
        <w:kinsoku w:val="0"/>
        <w:autoSpaceDE w:val="0"/>
        <w:autoSpaceDN w:val="0"/>
        <w:adjustRightInd w:val="0"/>
        <w:snapToGrid w:val="0"/>
        <w:spacing w:before="1" w:line="376" w:lineRule="auto"/>
        <w:ind w:left="1" w:right="70" w:firstLine="43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13.3合同价款构成中应当由甲方自行支付的部分，甲方应当在货</w:t>
      </w:r>
      <w:r>
        <w:rPr>
          <w:rFonts w:ascii="宋体" w:hAnsi="宋体" w:eastAsia="宋体" w:cs="宋体"/>
          <w:snapToGrid w:val="0"/>
          <w:color w:val="000000"/>
          <w:spacing w:val="6"/>
          <w:kern w:val="0"/>
          <w:sz w:val="20"/>
          <w:szCs w:val="20"/>
          <w:lang w:val="en-US" w:eastAsia="en-US" w:bidi="ar-SA"/>
        </w:rPr>
        <w:t>物验收合格后十五个工作内</w:t>
      </w:r>
      <w:r>
        <w:rPr>
          <w:rFonts w:ascii="宋体" w:hAnsi="宋体" w:eastAsia="宋体" w:cs="宋体"/>
          <w:snapToGrid w:val="0"/>
          <w:color w:val="000000"/>
          <w:spacing w:val="2"/>
          <w:kern w:val="0"/>
          <w:sz w:val="20"/>
          <w:szCs w:val="20"/>
          <w:lang w:val="en-US" w:eastAsia="en-US" w:bidi="ar-SA"/>
        </w:rPr>
        <w:t>支付。</w:t>
      </w:r>
    </w:p>
    <w:p w14:paraId="13F1045F">
      <w:pPr>
        <w:kinsoku w:val="0"/>
        <w:autoSpaceDE w:val="0"/>
        <w:autoSpaceDN w:val="0"/>
        <w:adjustRightInd w:val="0"/>
        <w:snapToGrid w:val="0"/>
        <w:spacing w:before="2" w:line="379" w:lineRule="auto"/>
        <w:ind w:left="17" w:right="68" w:firstLine="41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13.4支付合同价款时，一律不向乙方以外的任何第三方办理付款手续。开户行和</w:t>
      </w:r>
      <w:r>
        <w:rPr>
          <w:rFonts w:ascii="宋体" w:hAnsi="宋体" w:eastAsia="宋体" w:cs="宋体"/>
          <w:snapToGrid w:val="0"/>
          <w:color w:val="000000"/>
          <w:spacing w:val="7"/>
          <w:kern w:val="0"/>
          <w:sz w:val="20"/>
          <w:szCs w:val="20"/>
          <w:lang w:val="en-US" w:eastAsia="en-US" w:bidi="ar-SA"/>
        </w:rPr>
        <w:t>账号以签订</w:t>
      </w:r>
      <w:r>
        <w:rPr>
          <w:rFonts w:ascii="宋体" w:hAnsi="宋体" w:eastAsia="宋体" w:cs="宋体"/>
          <w:snapToGrid w:val="0"/>
          <w:color w:val="000000"/>
          <w:spacing w:val="10"/>
          <w:kern w:val="0"/>
          <w:sz w:val="20"/>
          <w:szCs w:val="20"/>
          <w:lang w:val="en-US" w:eastAsia="en-US" w:bidi="ar-SA"/>
        </w:rPr>
        <w:t>的政府采购合同为准，如果乙方要求变更，则乙方必须提供加盖财务专用</w:t>
      </w:r>
      <w:r>
        <w:rPr>
          <w:rFonts w:ascii="宋体" w:hAnsi="宋体" w:eastAsia="宋体" w:cs="宋体"/>
          <w:snapToGrid w:val="0"/>
          <w:color w:val="000000"/>
          <w:spacing w:val="9"/>
          <w:kern w:val="0"/>
          <w:sz w:val="20"/>
          <w:szCs w:val="20"/>
          <w:lang w:val="en-US" w:eastAsia="en-US" w:bidi="ar-SA"/>
        </w:rPr>
        <w:t>章、法人代表签字的证</w:t>
      </w:r>
    </w:p>
    <w:p w14:paraId="50609697">
      <w:pPr>
        <w:spacing w:line="379" w:lineRule="auto"/>
        <w:rPr>
          <w:sz w:val="20"/>
          <w:szCs w:val="20"/>
        </w:rPr>
        <w:sectPr>
          <w:pgSz w:w="12240" w:h="15840"/>
          <w:pgMar w:top="400" w:right="1633" w:bottom="0" w:left="1708" w:header="0" w:footer="0" w:gutter="0"/>
          <w:pgNumType w:fmt="numberInDash"/>
          <w:cols w:space="720" w:num="1"/>
        </w:sectPr>
      </w:pPr>
    </w:p>
    <w:p w14:paraId="7C2925EE">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671B245D">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7C8E1E4B">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699BBC9B">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4558A191">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5FF05EC7">
      <w:pPr>
        <w:kinsoku w:val="0"/>
        <w:autoSpaceDE w:val="0"/>
        <w:autoSpaceDN w:val="0"/>
        <w:adjustRightInd w:val="0"/>
        <w:snapToGrid w:val="0"/>
        <w:spacing w:before="65" w:line="228" w:lineRule="auto"/>
        <w:ind w:left="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明文件，报经甲方审查核准，并报财政部门备案。</w:t>
      </w:r>
    </w:p>
    <w:p w14:paraId="5778C6C1">
      <w:pPr>
        <w:kinsoku w:val="0"/>
        <w:autoSpaceDE w:val="0"/>
        <w:autoSpaceDN w:val="0"/>
        <w:adjustRightInd w:val="0"/>
        <w:snapToGrid w:val="0"/>
        <w:spacing w:before="161" w:line="226"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13.5合同价款支付方式和条件在</w:t>
      </w:r>
      <w:r>
        <w:rPr>
          <w:rFonts w:ascii="宋体" w:hAnsi="宋体" w:eastAsia="宋体" w:cs="宋体"/>
          <w:b/>
          <w:bCs/>
          <w:snapToGrid w:val="0"/>
          <w:color w:val="000000"/>
          <w:spacing w:val="8"/>
          <w:kern w:val="0"/>
          <w:sz w:val="20"/>
          <w:szCs w:val="20"/>
          <w:lang w:val="en-US" w:eastAsia="en-US" w:bidi="ar-SA"/>
        </w:rPr>
        <w:t>政府采购合同专用</w:t>
      </w:r>
      <w:r>
        <w:rPr>
          <w:rFonts w:ascii="宋体" w:hAnsi="宋体" w:eastAsia="宋体" w:cs="宋体"/>
          <w:b/>
          <w:bCs/>
          <w:snapToGrid w:val="0"/>
          <w:color w:val="000000"/>
          <w:spacing w:val="7"/>
          <w:kern w:val="0"/>
          <w:sz w:val="20"/>
          <w:szCs w:val="20"/>
          <w:lang w:val="en-US" w:eastAsia="en-US" w:bidi="ar-SA"/>
        </w:rPr>
        <w:t>条款</w:t>
      </w:r>
      <w:r>
        <w:rPr>
          <w:rFonts w:ascii="宋体" w:hAnsi="宋体" w:eastAsia="宋体" w:cs="宋体"/>
          <w:snapToGrid w:val="0"/>
          <w:color w:val="000000"/>
          <w:spacing w:val="7"/>
          <w:kern w:val="0"/>
          <w:sz w:val="20"/>
          <w:szCs w:val="20"/>
          <w:lang w:val="en-US" w:eastAsia="en-US" w:bidi="ar-SA"/>
        </w:rPr>
        <w:t>中另有规定。</w:t>
      </w:r>
    </w:p>
    <w:p w14:paraId="6534C2A3">
      <w:pPr>
        <w:kinsoku w:val="0"/>
        <w:autoSpaceDE w:val="0"/>
        <w:autoSpaceDN w:val="0"/>
        <w:adjustRightInd w:val="0"/>
        <w:snapToGrid w:val="0"/>
        <w:spacing w:before="164" w:line="228" w:lineRule="auto"/>
        <w:ind w:left="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14.伴随服务</w:t>
      </w:r>
    </w:p>
    <w:p w14:paraId="061269E7">
      <w:pPr>
        <w:kinsoku w:val="0"/>
        <w:autoSpaceDE w:val="0"/>
        <w:autoSpaceDN w:val="0"/>
        <w:adjustRightInd w:val="0"/>
        <w:snapToGrid w:val="0"/>
        <w:spacing w:before="24" w:line="377" w:lineRule="auto"/>
        <w:ind w:left="21" w:right="16" w:firstLine="41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14.1乙方应向甲方提交所提供货物的技术文件，包括相应的中文技术文件，如：产品目录、</w:t>
      </w:r>
      <w:r>
        <w:rPr>
          <w:rFonts w:ascii="宋体" w:hAnsi="宋体" w:eastAsia="宋体" w:cs="宋体"/>
          <w:snapToGrid w:val="0"/>
          <w:color w:val="000000"/>
          <w:spacing w:val="9"/>
          <w:kern w:val="0"/>
          <w:sz w:val="20"/>
          <w:szCs w:val="20"/>
          <w:lang w:val="en-US" w:eastAsia="en-US" w:bidi="ar-SA"/>
        </w:rPr>
        <w:t>图纸、操作手册、使用说明、维护手册或服务指南。这些文件应包装好随同货物一起发运。</w:t>
      </w:r>
    </w:p>
    <w:p w14:paraId="02211A0D">
      <w:pPr>
        <w:kinsoku w:val="0"/>
        <w:autoSpaceDE w:val="0"/>
        <w:autoSpaceDN w:val="0"/>
        <w:adjustRightInd w:val="0"/>
        <w:snapToGrid w:val="0"/>
        <w:spacing w:before="1" w:line="226"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14.2乙方还应提供下列服务：</w:t>
      </w:r>
    </w:p>
    <w:p w14:paraId="712CC33C">
      <w:pPr>
        <w:kinsoku w:val="0"/>
        <w:autoSpaceDE w:val="0"/>
        <w:autoSpaceDN w:val="0"/>
        <w:adjustRightInd w:val="0"/>
        <w:snapToGrid w:val="0"/>
        <w:spacing w:before="27" w:line="227"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（1）货物的现场移动、安装、调试、启动监督及技术支持；</w:t>
      </w:r>
    </w:p>
    <w:p w14:paraId="769398A8">
      <w:pPr>
        <w:kinsoku w:val="0"/>
        <w:autoSpaceDE w:val="0"/>
        <w:autoSpaceDN w:val="0"/>
        <w:adjustRightInd w:val="0"/>
        <w:snapToGrid w:val="0"/>
        <w:spacing w:before="162" w:line="227"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（2）提供货物组装和维修所需的专用工具和辅助材料；</w:t>
      </w:r>
    </w:p>
    <w:p w14:paraId="381782C8">
      <w:pPr>
        <w:kinsoku w:val="0"/>
        <w:autoSpaceDE w:val="0"/>
        <w:autoSpaceDN w:val="0"/>
        <w:adjustRightInd w:val="0"/>
        <w:snapToGrid w:val="0"/>
        <w:spacing w:before="162" w:line="378" w:lineRule="auto"/>
        <w:ind w:left="5" w:right="68" w:firstLine="4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（3）在合同各方商定的一定期限内对所有的货物实施运行监督、维修，但前提条件是该服务</w:t>
      </w:r>
      <w:r>
        <w:rPr>
          <w:rFonts w:ascii="宋体" w:hAnsi="宋体" w:eastAsia="宋体" w:cs="宋体"/>
          <w:snapToGrid w:val="0"/>
          <w:color w:val="000000"/>
          <w:spacing w:val="8"/>
          <w:kern w:val="0"/>
          <w:sz w:val="20"/>
          <w:szCs w:val="20"/>
          <w:lang w:val="en-US" w:eastAsia="en-US" w:bidi="ar-SA"/>
        </w:rPr>
        <w:t>并不能免除乙方在质量保证期内所承担的义务；</w:t>
      </w:r>
    </w:p>
    <w:p w14:paraId="1C713BDC">
      <w:pPr>
        <w:kinsoku w:val="0"/>
        <w:autoSpaceDE w:val="0"/>
        <w:autoSpaceDN w:val="0"/>
        <w:adjustRightInd w:val="0"/>
        <w:snapToGrid w:val="0"/>
        <w:spacing w:before="1" w:line="226"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（4）在制造商或项目现场就货物的安装、启动、运营、维护对甲方操作人员进行培训。</w:t>
      </w:r>
    </w:p>
    <w:p w14:paraId="41053808">
      <w:pPr>
        <w:kinsoku w:val="0"/>
        <w:autoSpaceDE w:val="0"/>
        <w:autoSpaceDN w:val="0"/>
        <w:adjustRightInd w:val="0"/>
        <w:snapToGrid w:val="0"/>
        <w:spacing w:before="162" w:line="227"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（5）</w:t>
      </w:r>
      <w:r>
        <w:rPr>
          <w:rFonts w:ascii="宋体" w:hAnsi="宋体" w:eastAsia="宋体" w:cs="宋体"/>
          <w:b/>
          <w:bCs/>
          <w:snapToGrid w:val="0"/>
          <w:color w:val="000000"/>
          <w:spacing w:val="9"/>
          <w:kern w:val="0"/>
          <w:sz w:val="20"/>
          <w:szCs w:val="20"/>
          <w:lang w:val="en-US" w:eastAsia="en-US" w:bidi="ar-SA"/>
        </w:rPr>
        <w:t>政府采购合同专用条款</w:t>
      </w:r>
      <w:r>
        <w:rPr>
          <w:rFonts w:ascii="宋体" w:hAnsi="宋体" w:eastAsia="宋体" w:cs="宋体"/>
          <w:snapToGrid w:val="0"/>
          <w:color w:val="000000"/>
          <w:spacing w:val="9"/>
          <w:kern w:val="0"/>
          <w:sz w:val="20"/>
          <w:szCs w:val="20"/>
          <w:lang w:val="en-US" w:eastAsia="en-US" w:bidi="ar-SA"/>
        </w:rPr>
        <w:t>与第四章采购需求</w:t>
      </w:r>
      <w:r>
        <w:rPr>
          <w:rFonts w:ascii="宋体" w:hAnsi="宋体" w:eastAsia="宋体" w:cs="宋体"/>
          <w:snapToGrid w:val="0"/>
          <w:color w:val="000000"/>
          <w:spacing w:val="8"/>
          <w:kern w:val="0"/>
          <w:sz w:val="20"/>
          <w:szCs w:val="20"/>
          <w:lang w:val="en-US" w:eastAsia="en-US" w:bidi="ar-SA"/>
        </w:rPr>
        <w:t>规定的其他伴随服务</w:t>
      </w:r>
    </w:p>
    <w:p w14:paraId="6DB8E9A8">
      <w:pPr>
        <w:kinsoku w:val="0"/>
        <w:autoSpaceDE w:val="0"/>
        <w:autoSpaceDN w:val="0"/>
        <w:adjustRightInd w:val="0"/>
        <w:snapToGrid w:val="0"/>
        <w:spacing w:before="162" w:line="226"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14.3乙方提供的伴随服务的费用应包含在合同价款中，甲方不再另行支付。</w:t>
      </w:r>
    </w:p>
    <w:p w14:paraId="54F88D6F">
      <w:pPr>
        <w:kinsoku w:val="0"/>
        <w:autoSpaceDE w:val="0"/>
        <w:autoSpaceDN w:val="0"/>
        <w:adjustRightInd w:val="0"/>
        <w:snapToGrid w:val="0"/>
        <w:spacing w:before="163" w:line="228" w:lineRule="auto"/>
        <w:ind w:left="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15.违约责任</w:t>
      </w:r>
    </w:p>
    <w:p w14:paraId="5E8F862A">
      <w:pPr>
        <w:kinsoku w:val="0"/>
        <w:autoSpaceDE w:val="0"/>
        <w:autoSpaceDN w:val="0"/>
        <w:adjustRightInd w:val="0"/>
        <w:snapToGrid w:val="0"/>
        <w:spacing w:before="27" w:line="228"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15.1质量瑕疵的补救措施和索赔</w:t>
      </w:r>
    </w:p>
    <w:p w14:paraId="68873386">
      <w:pPr>
        <w:kinsoku w:val="0"/>
        <w:autoSpaceDE w:val="0"/>
        <w:autoSpaceDN w:val="0"/>
        <w:adjustRightInd w:val="0"/>
        <w:snapToGrid w:val="0"/>
        <w:spacing w:before="162" w:line="377" w:lineRule="auto"/>
        <w:ind w:right="17" w:firstLine="430"/>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0"/>
          <w:kern w:val="0"/>
          <w:sz w:val="20"/>
          <w:szCs w:val="20"/>
          <w:lang w:val="en-US" w:eastAsia="en-US" w:bidi="ar-SA"/>
        </w:rPr>
        <w:t>（1）如果乙方提供的产品不符合质量标准或存在产品质量缺陷</w:t>
      </w:r>
      <w:r>
        <w:rPr>
          <w:rFonts w:ascii="宋体" w:hAnsi="宋体" w:eastAsia="宋体" w:cs="宋体"/>
          <w:snapToGrid w:val="0"/>
          <w:color w:val="000000"/>
          <w:spacing w:val="9"/>
          <w:kern w:val="0"/>
          <w:sz w:val="20"/>
          <w:szCs w:val="20"/>
          <w:lang w:val="en-US" w:eastAsia="en-US" w:bidi="ar-SA"/>
        </w:rPr>
        <w:t>，而甲方在合同条款第9条或</w:t>
      </w:r>
      <w:r>
        <w:rPr>
          <w:rFonts w:ascii="宋体" w:hAnsi="宋体" w:eastAsia="宋体" w:cs="宋体"/>
          <w:snapToGrid w:val="0"/>
          <w:color w:val="000000"/>
          <w:spacing w:val="10"/>
          <w:kern w:val="0"/>
          <w:sz w:val="20"/>
          <w:szCs w:val="20"/>
          <w:lang w:val="en-US" w:eastAsia="en-US" w:bidi="ar-SA"/>
        </w:rPr>
        <w:t>合同的其他条款规定的检验、安装、调试、验收和质量保证期内，根据法定质量检测部门出具的</w:t>
      </w:r>
      <w:r>
        <w:rPr>
          <w:rFonts w:ascii="宋体" w:hAnsi="宋体" w:eastAsia="宋体" w:cs="宋体"/>
          <w:snapToGrid w:val="0"/>
          <w:color w:val="000000"/>
          <w:spacing w:val="7"/>
          <w:kern w:val="0"/>
          <w:sz w:val="20"/>
          <w:szCs w:val="20"/>
          <w:lang w:val="en-US" w:eastAsia="en-US" w:bidi="ar-SA"/>
        </w:rPr>
        <w:t>检验证书向乙方提出了索赔，乙方应按照甲方</w:t>
      </w:r>
      <w:r>
        <w:rPr>
          <w:rFonts w:ascii="宋体" w:hAnsi="宋体" w:eastAsia="宋体" w:cs="宋体"/>
          <w:snapToGrid w:val="0"/>
          <w:color w:val="000000"/>
          <w:spacing w:val="6"/>
          <w:kern w:val="0"/>
          <w:sz w:val="20"/>
          <w:szCs w:val="20"/>
          <w:lang w:val="en-US" w:eastAsia="en-US" w:bidi="ar-SA"/>
        </w:rPr>
        <w:t>同意的下列一种或几种方式结合起来解决索赔事宜：</w:t>
      </w:r>
    </w:p>
    <w:p w14:paraId="3A606CD0">
      <w:pPr>
        <w:kinsoku w:val="0"/>
        <w:autoSpaceDE w:val="0"/>
        <w:autoSpaceDN w:val="0"/>
        <w:adjustRightInd w:val="0"/>
        <w:snapToGrid w:val="0"/>
        <w:spacing w:before="1" w:line="225" w:lineRule="auto"/>
        <w:ind w:left="4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①乙方同意退货并将货款退还给甲方，由此发生的一切费用和损失由乙方承担。</w:t>
      </w:r>
    </w:p>
    <w:p w14:paraId="66A174EF">
      <w:pPr>
        <w:kinsoku w:val="0"/>
        <w:autoSpaceDE w:val="0"/>
        <w:autoSpaceDN w:val="0"/>
        <w:adjustRightInd w:val="0"/>
        <w:snapToGrid w:val="0"/>
        <w:spacing w:before="164" w:line="225" w:lineRule="auto"/>
        <w:ind w:left="41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②根据货物的质量状况以及甲方所遭受的损失，经过甲乙双方商定降低货物的价格。</w:t>
      </w:r>
    </w:p>
    <w:p w14:paraId="2D667A65">
      <w:pPr>
        <w:kinsoku w:val="0"/>
        <w:autoSpaceDE w:val="0"/>
        <w:autoSpaceDN w:val="0"/>
        <w:adjustRightInd w:val="0"/>
        <w:snapToGrid w:val="0"/>
        <w:spacing w:before="165" w:line="377" w:lineRule="auto"/>
        <w:ind w:firstLine="41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③乙方应在接到甲方通知后七日内负责采用符合合同规定的规格、质量</w:t>
      </w:r>
      <w:r>
        <w:rPr>
          <w:rFonts w:ascii="宋体" w:hAnsi="宋体" w:eastAsia="宋体" w:cs="宋体"/>
          <w:snapToGrid w:val="0"/>
          <w:color w:val="000000"/>
          <w:spacing w:val="6"/>
          <w:kern w:val="0"/>
          <w:sz w:val="20"/>
          <w:szCs w:val="20"/>
          <w:lang w:val="en-US" w:eastAsia="en-US" w:bidi="ar-SA"/>
        </w:rPr>
        <w:t>和性能要求的新零件、</w:t>
      </w:r>
      <w:r>
        <w:rPr>
          <w:rFonts w:ascii="宋体" w:hAnsi="宋体" w:eastAsia="宋体" w:cs="宋体"/>
          <w:snapToGrid w:val="0"/>
          <w:color w:val="000000"/>
          <w:spacing w:val="10"/>
          <w:kern w:val="0"/>
          <w:sz w:val="20"/>
          <w:szCs w:val="20"/>
          <w:lang w:val="en-US" w:eastAsia="en-US" w:bidi="ar-SA"/>
        </w:rPr>
        <w:t>部件和设备来更换有缺陷的部分或修补缺陷部分，其费用由乙方负担。同时，乙方应在约定的质</w:t>
      </w:r>
      <w:r>
        <w:rPr>
          <w:rFonts w:ascii="宋体" w:hAnsi="宋体" w:eastAsia="宋体" w:cs="宋体"/>
          <w:snapToGrid w:val="0"/>
          <w:color w:val="000000"/>
          <w:spacing w:val="9"/>
          <w:kern w:val="0"/>
          <w:sz w:val="20"/>
          <w:szCs w:val="20"/>
          <w:lang w:val="en-US" w:eastAsia="en-US" w:bidi="ar-SA"/>
        </w:rPr>
        <w:t>量保证期基础上相应延长修补和更换件的质量保证期。</w:t>
      </w:r>
    </w:p>
    <w:p w14:paraId="203CFF25">
      <w:pPr>
        <w:kinsoku w:val="0"/>
        <w:autoSpaceDE w:val="0"/>
        <w:autoSpaceDN w:val="0"/>
        <w:adjustRightInd w:val="0"/>
        <w:snapToGrid w:val="0"/>
        <w:spacing w:line="377" w:lineRule="auto"/>
        <w:ind w:right="68" w:firstLine="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（2）如果在甲方发出索赔通知后十日内乙方未作答复，上述索赔应视为已被乙方接受。如果</w:t>
      </w:r>
      <w:r>
        <w:rPr>
          <w:rFonts w:ascii="宋体" w:hAnsi="宋体" w:eastAsia="宋体" w:cs="宋体"/>
          <w:snapToGrid w:val="0"/>
          <w:color w:val="000000"/>
          <w:spacing w:val="10"/>
          <w:kern w:val="0"/>
          <w:sz w:val="20"/>
          <w:szCs w:val="20"/>
          <w:lang w:val="en-US" w:eastAsia="en-US" w:bidi="ar-SA"/>
        </w:rPr>
        <w:t>乙方未能在甲方发出索赔通知后十日内或甲方同意延长的期限内，按照上述规定的任何一种方法</w:t>
      </w:r>
      <w:r>
        <w:rPr>
          <w:rFonts w:ascii="宋体" w:hAnsi="宋体" w:eastAsia="宋体" w:cs="宋体"/>
          <w:snapToGrid w:val="0"/>
          <w:color w:val="000000"/>
          <w:spacing w:val="9"/>
          <w:kern w:val="0"/>
          <w:sz w:val="20"/>
          <w:szCs w:val="20"/>
          <w:lang w:val="en-US" w:eastAsia="en-US" w:bidi="ar-SA"/>
        </w:rPr>
        <w:t>采取补救措施，甲方有权从应付货款中扣除索赔金额或者没收质量保证金，如不足以弥补甲方损</w:t>
      </w:r>
      <w:r>
        <w:rPr>
          <w:rFonts w:ascii="宋体" w:hAnsi="宋体" w:eastAsia="宋体" w:cs="宋体"/>
          <w:snapToGrid w:val="0"/>
          <w:color w:val="000000"/>
          <w:spacing w:val="6"/>
          <w:kern w:val="0"/>
          <w:sz w:val="20"/>
          <w:szCs w:val="20"/>
          <w:lang w:val="en-US" w:eastAsia="en-US" w:bidi="ar-SA"/>
        </w:rPr>
        <w:t>失的，甲方有权进一步要求乙方赔偿。</w:t>
      </w:r>
    </w:p>
    <w:p w14:paraId="7219B4B6">
      <w:pPr>
        <w:kinsoku w:val="0"/>
        <w:autoSpaceDE w:val="0"/>
        <w:autoSpaceDN w:val="0"/>
        <w:adjustRightInd w:val="0"/>
        <w:snapToGrid w:val="0"/>
        <w:spacing w:before="1" w:line="226" w:lineRule="auto"/>
        <w:ind w:left="4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15.2迟延交货的违约责任</w:t>
      </w:r>
    </w:p>
    <w:p w14:paraId="2A3AAA3C">
      <w:pPr>
        <w:kinsoku w:val="0"/>
        <w:autoSpaceDE w:val="0"/>
        <w:autoSpaceDN w:val="0"/>
        <w:adjustRightInd w:val="0"/>
        <w:snapToGrid w:val="0"/>
        <w:spacing w:before="163" w:line="377" w:lineRule="auto"/>
        <w:ind w:left="3" w:right="68" w:firstLine="42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（1）乙方应按照本合同规定的时间、地点交货和提供服务。在履行合同过程中，如果乙方遇</w:t>
      </w:r>
      <w:r>
        <w:rPr>
          <w:rFonts w:ascii="宋体" w:hAnsi="宋体" w:eastAsia="宋体" w:cs="宋体"/>
          <w:snapToGrid w:val="0"/>
          <w:color w:val="000000"/>
          <w:spacing w:val="10"/>
          <w:kern w:val="0"/>
          <w:sz w:val="20"/>
          <w:szCs w:val="20"/>
          <w:lang w:val="en-US" w:eastAsia="en-US" w:bidi="ar-SA"/>
        </w:rPr>
        <w:t>到可能妨碍按时交货和提供服务的情形时，应及时以书面形式将迟延的事实、可能迟延的期限和</w:t>
      </w:r>
      <w:r>
        <w:rPr>
          <w:rFonts w:ascii="宋体" w:hAnsi="宋体" w:eastAsia="宋体" w:cs="宋体"/>
          <w:snapToGrid w:val="0"/>
          <w:color w:val="000000"/>
          <w:spacing w:val="9"/>
          <w:kern w:val="0"/>
          <w:sz w:val="20"/>
          <w:szCs w:val="20"/>
          <w:lang w:val="en-US" w:eastAsia="en-US" w:bidi="ar-SA"/>
        </w:rPr>
        <w:t>理由通知甲方。甲方在收到乙方通知后，应尽快对情况进行评价，并确定是否同意迟延交货时间</w:t>
      </w:r>
      <w:r>
        <w:rPr>
          <w:rFonts w:ascii="宋体" w:hAnsi="宋体" w:eastAsia="宋体" w:cs="宋体"/>
          <w:snapToGrid w:val="0"/>
          <w:color w:val="000000"/>
          <w:spacing w:val="7"/>
          <w:kern w:val="0"/>
          <w:sz w:val="20"/>
          <w:szCs w:val="20"/>
          <w:lang w:val="en-US" w:eastAsia="en-US" w:bidi="ar-SA"/>
        </w:rPr>
        <w:t>或延期提供服务。</w:t>
      </w:r>
    </w:p>
    <w:p w14:paraId="629878A6">
      <w:pPr>
        <w:spacing w:line="377" w:lineRule="auto"/>
        <w:rPr>
          <w:sz w:val="20"/>
          <w:szCs w:val="20"/>
        </w:rPr>
        <w:sectPr>
          <w:pgSz w:w="12240" w:h="15840"/>
          <w:pgMar w:top="400" w:right="1633" w:bottom="0" w:left="1708" w:header="0" w:footer="0" w:gutter="0"/>
          <w:pgNumType w:fmt="numberInDash"/>
          <w:cols w:space="720" w:num="1"/>
        </w:sectPr>
      </w:pPr>
    </w:p>
    <w:p w14:paraId="3973A6E3">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4F341708">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7056A70E">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458FFC1A">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32137B70">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5273CA5D">
      <w:pPr>
        <w:kinsoku w:val="0"/>
        <w:autoSpaceDE w:val="0"/>
        <w:autoSpaceDN w:val="0"/>
        <w:adjustRightInd w:val="0"/>
        <w:snapToGrid w:val="0"/>
        <w:spacing w:before="65" w:line="377" w:lineRule="auto"/>
        <w:ind w:firstLine="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（2）除本合同第19条规定情况外，如果乙方没有按照合同规定的时间交货和提供服务，甲方</w:t>
      </w:r>
      <w:r>
        <w:rPr>
          <w:rFonts w:ascii="宋体" w:hAnsi="宋体" w:eastAsia="宋体" w:cs="宋体"/>
          <w:snapToGrid w:val="0"/>
          <w:color w:val="000000"/>
          <w:spacing w:val="10"/>
          <w:kern w:val="0"/>
          <w:sz w:val="20"/>
          <w:szCs w:val="20"/>
          <w:lang w:val="en-US" w:eastAsia="en-US" w:bidi="ar-SA"/>
        </w:rPr>
        <w:t>有权从货款中扣除误期赔偿费而不影响合同项下的其他补救方法，赔偿费按每周（一周按七日计</w:t>
      </w:r>
      <w:r>
        <w:rPr>
          <w:rFonts w:ascii="宋体" w:hAnsi="宋体" w:eastAsia="宋体" w:cs="宋体"/>
          <w:snapToGrid w:val="0"/>
          <w:color w:val="000000"/>
          <w:spacing w:val="7"/>
          <w:kern w:val="0"/>
          <w:sz w:val="20"/>
          <w:szCs w:val="20"/>
          <w:lang w:val="en-US" w:eastAsia="en-US" w:bidi="ar-SA"/>
        </w:rPr>
        <w:t>算，不足七日按一周计算）赔偿迟交货物的交货价或延期服务的服务费用的百分之零点五（0.</w:t>
      </w:r>
      <w:r>
        <w:rPr>
          <w:rFonts w:ascii="宋体" w:hAnsi="宋体" w:eastAsia="宋体" w:cs="宋体"/>
          <w:snapToGrid w:val="0"/>
          <w:color w:val="000000"/>
          <w:spacing w:val="6"/>
          <w:kern w:val="0"/>
          <w:sz w:val="20"/>
          <w:szCs w:val="20"/>
          <w:lang w:val="en-US" w:eastAsia="en-US" w:bidi="ar-SA"/>
        </w:rPr>
        <w:t>5%）</w:t>
      </w:r>
      <w:r>
        <w:rPr>
          <w:rFonts w:ascii="宋体" w:hAnsi="宋体" w:eastAsia="宋体" w:cs="宋体"/>
          <w:snapToGrid w:val="0"/>
          <w:color w:val="000000"/>
          <w:spacing w:val="9"/>
          <w:kern w:val="0"/>
          <w:sz w:val="20"/>
          <w:szCs w:val="20"/>
          <w:lang w:val="en-US" w:eastAsia="en-US" w:bidi="ar-SA"/>
        </w:rPr>
        <w:t>计收，直至交货或提供服务为止。但误期赔偿费的最高限额不超过合同价的百分之五（5%</w:t>
      </w:r>
      <w:r>
        <w:rPr>
          <w:rFonts w:ascii="宋体" w:hAnsi="宋体" w:eastAsia="宋体" w:cs="宋体"/>
          <w:snapToGrid w:val="0"/>
          <w:color w:val="000000"/>
          <w:spacing w:val="8"/>
          <w:kern w:val="0"/>
          <w:sz w:val="20"/>
          <w:szCs w:val="20"/>
          <w:lang w:val="en-US" w:eastAsia="en-US" w:bidi="ar-SA"/>
        </w:rPr>
        <w:t>）。一</w:t>
      </w:r>
      <w:r>
        <w:rPr>
          <w:rFonts w:ascii="宋体" w:hAnsi="宋体" w:eastAsia="宋体" w:cs="宋体"/>
          <w:snapToGrid w:val="0"/>
          <w:color w:val="000000"/>
          <w:spacing w:val="7"/>
          <w:kern w:val="0"/>
          <w:sz w:val="20"/>
          <w:szCs w:val="20"/>
          <w:lang w:val="en-US" w:eastAsia="en-US" w:bidi="ar-SA"/>
        </w:rPr>
        <w:t>旦达到误期赔偿的最高限额，甲方可以终止合同。</w:t>
      </w:r>
    </w:p>
    <w:p w14:paraId="55C157D6">
      <w:pPr>
        <w:kinsoku w:val="0"/>
        <w:autoSpaceDE w:val="0"/>
        <w:autoSpaceDN w:val="0"/>
        <w:adjustRightInd w:val="0"/>
        <w:snapToGrid w:val="0"/>
        <w:spacing w:before="1" w:line="377" w:lineRule="auto"/>
        <w:ind w:left="3" w:right="85" w:firstLine="42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（3）如果乙方迟延交货，甲方有权终止全部或部分合同，并依其认为适当的条件和方法购买</w:t>
      </w:r>
      <w:r>
        <w:rPr>
          <w:rFonts w:ascii="宋体" w:hAnsi="宋体" w:eastAsia="宋体" w:cs="宋体"/>
          <w:snapToGrid w:val="0"/>
          <w:color w:val="000000"/>
          <w:spacing w:val="10"/>
          <w:kern w:val="0"/>
          <w:sz w:val="20"/>
          <w:szCs w:val="20"/>
          <w:lang w:val="en-US" w:eastAsia="en-US" w:bidi="ar-SA"/>
        </w:rPr>
        <w:t>与未交货物类似的货物，乙方应对购买类似货物所超出的那部分费用负责。但是，乙方应继续执</w:t>
      </w:r>
      <w:r>
        <w:rPr>
          <w:rFonts w:ascii="宋体" w:hAnsi="宋体" w:eastAsia="宋体" w:cs="宋体"/>
          <w:snapToGrid w:val="0"/>
          <w:color w:val="000000"/>
          <w:spacing w:val="7"/>
          <w:kern w:val="0"/>
          <w:sz w:val="20"/>
          <w:szCs w:val="20"/>
          <w:lang w:val="en-US" w:eastAsia="en-US" w:bidi="ar-SA"/>
        </w:rPr>
        <w:t>行合同中未终止的部分。</w:t>
      </w:r>
    </w:p>
    <w:p w14:paraId="54DA09A9">
      <w:pPr>
        <w:kinsoku w:val="0"/>
        <w:autoSpaceDE w:val="0"/>
        <w:autoSpaceDN w:val="0"/>
        <w:adjustRightInd w:val="0"/>
        <w:snapToGrid w:val="0"/>
        <w:spacing w:line="229" w:lineRule="auto"/>
        <w:ind w:left="1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16.合同的变更</w:t>
      </w:r>
    </w:p>
    <w:p w14:paraId="4CE7EAE9">
      <w:pPr>
        <w:kinsoku w:val="0"/>
        <w:autoSpaceDE w:val="0"/>
        <w:autoSpaceDN w:val="0"/>
        <w:adjustRightInd w:val="0"/>
        <w:snapToGrid w:val="0"/>
        <w:spacing w:before="22" w:line="378" w:lineRule="auto"/>
        <w:ind w:left="4" w:right="84" w:firstLine="43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16.1在合同履行过程中，甲、乙双方可就合同履行的时间、地点和方式</w:t>
      </w:r>
      <w:r>
        <w:rPr>
          <w:rFonts w:ascii="宋体" w:hAnsi="宋体" w:eastAsia="宋体" w:cs="宋体"/>
          <w:snapToGrid w:val="0"/>
          <w:color w:val="000000"/>
          <w:spacing w:val="6"/>
          <w:kern w:val="0"/>
          <w:sz w:val="20"/>
          <w:szCs w:val="20"/>
          <w:lang w:val="en-US" w:eastAsia="en-US" w:bidi="ar-SA"/>
        </w:rPr>
        <w:t>等协商进行变更。协</w:t>
      </w:r>
      <w:r>
        <w:rPr>
          <w:rFonts w:ascii="宋体" w:hAnsi="宋体" w:eastAsia="宋体" w:cs="宋体"/>
          <w:snapToGrid w:val="0"/>
          <w:color w:val="000000"/>
          <w:spacing w:val="8"/>
          <w:kern w:val="0"/>
          <w:sz w:val="20"/>
          <w:szCs w:val="20"/>
          <w:lang w:val="en-US" w:eastAsia="en-US" w:bidi="ar-SA"/>
        </w:rPr>
        <w:t>商一致后，双方应签订书面的补充协议。</w:t>
      </w:r>
    </w:p>
    <w:p w14:paraId="4498BDE2">
      <w:pPr>
        <w:kinsoku w:val="0"/>
        <w:autoSpaceDE w:val="0"/>
        <w:autoSpaceDN w:val="0"/>
        <w:adjustRightInd w:val="0"/>
        <w:snapToGrid w:val="0"/>
        <w:spacing w:before="1" w:line="376" w:lineRule="auto"/>
        <w:ind w:left="17" w:right="85" w:firstLine="41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16.2在不改变合同其他条款的前提下，甲方有权在合同价款百分之十的</w:t>
      </w:r>
      <w:r>
        <w:rPr>
          <w:rFonts w:ascii="宋体" w:hAnsi="宋体" w:eastAsia="宋体" w:cs="宋体"/>
          <w:snapToGrid w:val="0"/>
          <w:color w:val="000000"/>
          <w:spacing w:val="6"/>
          <w:kern w:val="0"/>
          <w:sz w:val="20"/>
          <w:szCs w:val="20"/>
          <w:lang w:val="en-US" w:eastAsia="en-US" w:bidi="ar-SA"/>
        </w:rPr>
        <w:t>范围内追加与合同标</w:t>
      </w:r>
      <w:r>
        <w:rPr>
          <w:rFonts w:ascii="宋体" w:hAnsi="宋体" w:eastAsia="宋体" w:cs="宋体"/>
          <w:snapToGrid w:val="0"/>
          <w:color w:val="000000"/>
          <w:spacing w:val="9"/>
          <w:kern w:val="0"/>
          <w:sz w:val="20"/>
          <w:szCs w:val="20"/>
          <w:lang w:val="en-US" w:eastAsia="en-US" w:bidi="ar-SA"/>
        </w:rPr>
        <w:t>的相同的货物或服务，并就此与乙方签订补充合同</w:t>
      </w:r>
      <w:r>
        <w:rPr>
          <w:rFonts w:ascii="宋体" w:hAnsi="宋体" w:eastAsia="宋体" w:cs="宋体"/>
          <w:snapToGrid w:val="0"/>
          <w:color w:val="000000"/>
          <w:spacing w:val="8"/>
          <w:kern w:val="0"/>
          <w:sz w:val="20"/>
          <w:szCs w:val="20"/>
          <w:lang w:val="en-US" w:eastAsia="en-US" w:bidi="ar-SA"/>
        </w:rPr>
        <w:t>，乙方不得拒绝。</w:t>
      </w:r>
    </w:p>
    <w:p w14:paraId="4A4ECE06">
      <w:pPr>
        <w:kinsoku w:val="0"/>
        <w:autoSpaceDE w:val="0"/>
        <w:autoSpaceDN w:val="0"/>
        <w:adjustRightInd w:val="0"/>
        <w:snapToGrid w:val="0"/>
        <w:spacing w:line="226" w:lineRule="auto"/>
        <w:ind w:right="9"/>
        <w:jc w:val="righ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16.3除双方签署书面协议，并成为合同不可分</w:t>
      </w:r>
      <w:r>
        <w:rPr>
          <w:rFonts w:ascii="宋体" w:hAnsi="宋体" w:eastAsia="宋体" w:cs="宋体"/>
          <w:snapToGrid w:val="0"/>
          <w:color w:val="000000"/>
          <w:spacing w:val="8"/>
          <w:kern w:val="0"/>
          <w:sz w:val="20"/>
          <w:szCs w:val="20"/>
          <w:lang w:val="en-US" w:eastAsia="en-US" w:bidi="ar-SA"/>
        </w:rPr>
        <w:t>割的一部分外，本合同条件不得有任何变更。</w:t>
      </w:r>
    </w:p>
    <w:p w14:paraId="1A4B844C">
      <w:pPr>
        <w:kinsoku w:val="0"/>
        <w:autoSpaceDE w:val="0"/>
        <w:autoSpaceDN w:val="0"/>
        <w:adjustRightInd w:val="0"/>
        <w:snapToGrid w:val="0"/>
        <w:spacing w:before="162" w:line="228" w:lineRule="auto"/>
        <w:ind w:left="1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17.合同中止与终止</w:t>
      </w:r>
    </w:p>
    <w:p w14:paraId="2B59814F">
      <w:pPr>
        <w:kinsoku w:val="0"/>
        <w:autoSpaceDE w:val="0"/>
        <w:autoSpaceDN w:val="0"/>
        <w:adjustRightInd w:val="0"/>
        <w:snapToGrid w:val="0"/>
        <w:spacing w:before="27" w:line="228" w:lineRule="auto"/>
        <w:ind w:left="43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17.1合同的中止</w:t>
      </w:r>
    </w:p>
    <w:p w14:paraId="35F7EAE6">
      <w:pPr>
        <w:kinsoku w:val="0"/>
        <w:autoSpaceDE w:val="0"/>
        <w:autoSpaceDN w:val="0"/>
        <w:adjustRightInd w:val="0"/>
        <w:snapToGrid w:val="0"/>
        <w:spacing w:before="161" w:line="227" w:lineRule="auto"/>
        <w:jc w:val="righ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（1）合同在履行过程中，因采购计划调整，甲</w:t>
      </w:r>
      <w:r>
        <w:rPr>
          <w:rFonts w:ascii="宋体" w:hAnsi="宋体" w:eastAsia="宋体" w:cs="宋体"/>
          <w:snapToGrid w:val="0"/>
          <w:color w:val="000000"/>
          <w:spacing w:val="3"/>
          <w:kern w:val="0"/>
          <w:sz w:val="20"/>
          <w:szCs w:val="20"/>
          <w:lang w:val="en-US" w:eastAsia="en-US" w:bidi="ar-SA"/>
        </w:rPr>
        <w:t>方可以要求中止履行，待计划确定后继续履行；</w:t>
      </w:r>
    </w:p>
    <w:p w14:paraId="2077337D">
      <w:pPr>
        <w:kinsoku w:val="0"/>
        <w:autoSpaceDE w:val="0"/>
        <w:autoSpaceDN w:val="0"/>
        <w:adjustRightInd w:val="0"/>
        <w:snapToGrid w:val="0"/>
        <w:spacing w:before="161" w:line="378" w:lineRule="auto"/>
        <w:ind w:right="84" w:firstLine="42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（2）合同履行过程中因供应商就采购过程或结果提起投诉的，甲方认为有必要或财政部门责</w:t>
      </w:r>
      <w:r>
        <w:rPr>
          <w:rFonts w:ascii="宋体" w:hAnsi="宋体" w:eastAsia="宋体" w:cs="宋体"/>
          <w:snapToGrid w:val="0"/>
          <w:color w:val="000000"/>
          <w:spacing w:val="8"/>
          <w:kern w:val="0"/>
          <w:sz w:val="20"/>
          <w:szCs w:val="20"/>
          <w:lang w:val="en-US" w:eastAsia="en-US" w:bidi="ar-SA"/>
        </w:rPr>
        <w:t>令中止的，应当中止合同的履行。</w:t>
      </w:r>
    </w:p>
    <w:p w14:paraId="3F1A2DDE">
      <w:pPr>
        <w:kinsoku w:val="0"/>
        <w:autoSpaceDE w:val="0"/>
        <w:autoSpaceDN w:val="0"/>
        <w:adjustRightInd w:val="0"/>
        <w:snapToGrid w:val="0"/>
        <w:spacing w:before="1" w:line="229" w:lineRule="auto"/>
        <w:ind w:left="43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17.2合同的终止</w:t>
      </w:r>
    </w:p>
    <w:p w14:paraId="770D28A1">
      <w:pPr>
        <w:kinsoku w:val="0"/>
        <w:autoSpaceDE w:val="0"/>
        <w:autoSpaceDN w:val="0"/>
        <w:adjustRightInd w:val="0"/>
        <w:snapToGrid w:val="0"/>
        <w:spacing w:before="159" w:line="228"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（1）合同因有效期限届满而终止；</w:t>
      </w:r>
    </w:p>
    <w:p w14:paraId="5E27D7C1">
      <w:pPr>
        <w:kinsoku w:val="0"/>
        <w:autoSpaceDE w:val="0"/>
        <w:autoSpaceDN w:val="0"/>
        <w:adjustRightInd w:val="0"/>
        <w:snapToGrid w:val="0"/>
        <w:spacing w:before="160" w:line="377" w:lineRule="auto"/>
        <w:ind w:left="5" w:right="49" w:firstLine="4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（2）乙方未能依照本合同约定条件履行合同，已构成根本性违约的，甲方有权终止本合同，并追究乙方的违约责任。</w:t>
      </w:r>
    </w:p>
    <w:p w14:paraId="42644C0B">
      <w:pPr>
        <w:kinsoku w:val="0"/>
        <w:autoSpaceDE w:val="0"/>
        <w:autoSpaceDN w:val="0"/>
        <w:adjustRightInd w:val="0"/>
        <w:snapToGrid w:val="0"/>
        <w:spacing w:before="2" w:line="377" w:lineRule="auto"/>
        <w:ind w:right="85" w:firstLine="42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（3）如果乙方丧失履约能力或被宣告破产，甲方可在任何时候以书面形式通知乙方终止合同而不给乙方补偿。</w:t>
      </w:r>
    </w:p>
    <w:p w14:paraId="197772DC">
      <w:pPr>
        <w:kinsoku w:val="0"/>
        <w:autoSpaceDE w:val="0"/>
        <w:autoSpaceDN w:val="0"/>
        <w:adjustRightInd w:val="0"/>
        <w:snapToGrid w:val="0"/>
        <w:spacing w:before="1" w:line="376" w:lineRule="auto"/>
        <w:ind w:right="84" w:firstLine="42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（4）如果乙方在履行合同过程中有不正当竞争行为，甲方有权解除合同，并按《中华人民共</w:t>
      </w:r>
      <w:r>
        <w:rPr>
          <w:rFonts w:ascii="宋体" w:hAnsi="宋体" w:eastAsia="宋体" w:cs="宋体"/>
          <w:snapToGrid w:val="0"/>
          <w:color w:val="000000"/>
          <w:spacing w:val="9"/>
          <w:kern w:val="0"/>
          <w:sz w:val="20"/>
          <w:szCs w:val="20"/>
          <w:lang w:val="en-US" w:eastAsia="en-US" w:bidi="ar-SA"/>
        </w:rPr>
        <w:t>和国反不正当竞争法》规定由有关部门追究其法律责任。</w:t>
      </w:r>
    </w:p>
    <w:p w14:paraId="3C2ACAB7">
      <w:pPr>
        <w:kinsoku w:val="0"/>
        <w:autoSpaceDE w:val="0"/>
        <w:autoSpaceDN w:val="0"/>
        <w:adjustRightInd w:val="0"/>
        <w:snapToGrid w:val="0"/>
        <w:spacing w:before="2" w:line="377" w:lineRule="auto"/>
        <w:ind w:left="1" w:right="87" w:firstLine="42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（5）如果合同的履行将损害国家利益或社会公共利益，甲方有权终止合同的履行，给乙方造成损失的予以相应补偿。</w:t>
      </w:r>
    </w:p>
    <w:p w14:paraId="19B45DB4">
      <w:pPr>
        <w:kinsoku w:val="0"/>
        <w:autoSpaceDE w:val="0"/>
        <w:autoSpaceDN w:val="0"/>
        <w:adjustRightInd w:val="0"/>
        <w:snapToGrid w:val="0"/>
        <w:spacing w:line="228" w:lineRule="auto"/>
        <w:ind w:left="1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18.合同转让和分包</w:t>
      </w:r>
    </w:p>
    <w:p w14:paraId="06C884ED">
      <w:pPr>
        <w:kinsoku w:val="0"/>
        <w:autoSpaceDE w:val="0"/>
        <w:autoSpaceDN w:val="0"/>
        <w:adjustRightInd w:val="0"/>
        <w:snapToGrid w:val="0"/>
        <w:spacing w:before="24" w:line="228" w:lineRule="auto"/>
        <w:ind w:left="43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5"/>
          <w:kern w:val="0"/>
          <w:sz w:val="20"/>
          <w:szCs w:val="20"/>
          <w:lang w:val="en-US" w:eastAsia="en-US" w:bidi="ar-SA"/>
        </w:rPr>
        <w:t>18.1乙方不得以任何形式将合同转包。</w:t>
      </w:r>
    </w:p>
    <w:p w14:paraId="185D7EA7">
      <w:pPr>
        <w:kinsoku w:val="0"/>
        <w:autoSpaceDE w:val="0"/>
        <w:autoSpaceDN w:val="0"/>
        <w:adjustRightInd w:val="0"/>
        <w:snapToGrid w:val="0"/>
        <w:spacing w:before="161" w:line="227" w:lineRule="auto"/>
        <w:ind w:left="43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18.2乙方未在响应文件中说明，且未经甲方书面同意，乙方不得将合同的主体、关键性工作</w:t>
      </w:r>
    </w:p>
    <w:p w14:paraId="05ECA711">
      <w:pPr>
        <w:spacing w:line="227" w:lineRule="auto"/>
        <w:rPr>
          <w:sz w:val="20"/>
          <w:szCs w:val="20"/>
        </w:rPr>
        <w:sectPr>
          <w:pgSz w:w="12240" w:h="15840"/>
          <w:pgMar w:top="400" w:right="1616" w:bottom="0" w:left="1709" w:header="0" w:footer="0" w:gutter="0"/>
          <w:pgNumType w:fmt="numberInDash"/>
          <w:cols w:space="720" w:num="1"/>
        </w:sectPr>
      </w:pPr>
    </w:p>
    <w:p w14:paraId="0742A8DF">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28F522A4">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4EC0E560">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4B47C77D">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5F7B7340">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4E97A8F8">
      <w:pPr>
        <w:kinsoku w:val="0"/>
        <w:autoSpaceDE w:val="0"/>
        <w:autoSpaceDN w:val="0"/>
        <w:adjustRightInd w:val="0"/>
        <w:snapToGrid w:val="0"/>
        <w:spacing w:before="65" w:line="228" w:lineRule="auto"/>
        <w:ind w:left="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分包给他人。</w:t>
      </w:r>
    </w:p>
    <w:p w14:paraId="48884C9B">
      <w:pPr>
        <w:kinsoku w:val="0"/>
        <w:autoSpaceDE w:val="0"/>
        <w:autoSpaceDN w:val="0"/>
        <w:adjustRightInd w:val="0"/>
        <w:snapToGrid w:val="0"/>
        <w:spacing w:before="160" w:line="378" w:lineRule="auto"/>
        <w:ind w:left="1" w:right="51" w:firstLine="43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18.3根据政府采购支持中小企业发展政策规定，经甲方同意，获得政府</w:t>
      </w:r>
      <w:r>
        <w:rPr>
          <w:rFonts w:ascii="宋体" w:hAnsi="宋体" w:eastAsia="宋体" w:cs="宋体"/>
          <w:snapToGrid w:val="0"/>
          <w:color w:val="000000"/>
          <w:spacing w:val="6"/>
          <w:kern w:val="0"/>
          <w:sz w:val="20"/>
          <w:szCs w:val="20"/>
          <w:lang w:val="en-US" w:eastAsia="en-US" w:bidi="ar-SA"/>
        </w:rPr>
        <w:t>采购合同的大型企业</w:t>
      </w:r>
      <w:r>
        <w:rPr>
          <w:rFonts w:ascii="宋体" w:hAnsi="宋体" w:eastAsia="宋体" w:cs="宋体"/>
          <w:snapToGrid w:val="0"/>
          <w:color w:val="000000"/>
          <w:spacing w:val="7"/>
          <w:kern w:val="0"/>
          <w:sz w:val="20"/>
          <w:szCs w:val="20"/>
          <w:lang w:val="en-US" w:eastAsia="en-US" w:bidi="ar-SA"/>
        </w:rPr>
        <w:t>可依法向中小企业分包。</w:t>
      </w:r>
    </w:p>
    <w:p w14:paraId="0D582D55">
      <w:pPr>
        <w:kinsoku w:val="0"/>
        <w:autoSpaceDE w:val="0"/>
        <w:autoSpaceDN w:val="0"/>
        <w:adjustRightInd w:val="0"/>
        <w:snapToGrid w:val="0"/>
        <w:spacing w:line="227" w:lineRule="auto"/>
        <w:ind w:left="1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19.不可抗力</w:t>
      </w:r>
    </w:p>
    <w:p w14:paraId="1A7C1D57">
      <w:pPr>
        <w:kinsoku w:val="0"/>
        <w:autoSpaceDE w:val="0"/>
        <w:autoSpaceDN w:val="0"/>
        <w:adjustRightInd w:val="0"/>
        <w:snapToGrid w:val="0"/>
        <w:spacing w:before="24" w:line="227" w:lineRule="auto"/>
        <w:ind w:left="43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19.1不可抗力是指合同双方不可预见、不可避免、不可克服的自然灾害和社会事件。</w:t>
      </w:r>
    </w:p>
    <w:p w14:paraId="7B39F8BC">
      <w:pPr>
        <w:kinsoku w:val="0"/>
        <w:autoSpaceDE w:val="0"/>
        <w:autoSpaceDN w:val="0"/>
        <w:adjustRightInd w:val="0"/>
        <w:snapToGrid w:val="0"/>
        <w:spacing w:before="161" w:line="378" w:lineRule="auto"/>
        <w:ind w:left="1" w:right="51" w:firstLine="43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19.2任何一方对由于不可抗力造成的部分或全部不能履行合同不承担违</w:t>
      </w:r>
      <w:r>
        <w:rPr>
          <w:rFonts w:ascii="宋体" w:hAnsi="宋体" w:eastAsia="宋体" w:cs="宋体"/>
          <w:snapToGrid w:val="0"/>
          <w:color w:val="000000"/>
          <w:spacing w:val="6"/>
          <w:kern w:val="0"/>
          <w:sz w:val="20"/>
          <w:szCs w:val="20"/>
          <w:lang w:val="en-US" w:eastAsia="en-US" w:bidi="ar-SA"/>
        </w:rPr>
        <w:t>约责任。但迟延履行</w:t>
      </w:r>
      <w:r>
        <w:rPr>
          <w:rFonts w:ascii="宋体" w:hAnsi="宋体" w:eastAsia="宋体" w:cs="宋体"/>
          <w:snapToGrid w:val="0"/>
          <w:color w:val="000000"/>
          <w:spacing w:val="8"/>
          <w:kern w:val="0"/>
          <w:sz w:val="20"/>
          <w:szCs w:val="20"/>
          <w:lang w:val="en-US" w:eastAsia="en-US" w:bidi="ar-SA"/>
        </w:rPr>
        <w:t>后发生不可抗力的，不能免除责任。</w:t>
      </w:r>
    </w:p>
    <w:p w14:paraId="7C0D0437">
      <w:pPr>
        <w:kinsoku w:val="0"/>
        <w:autoSpaceDE w:val="0"/>
        <w:autoSpaceDN w:val="0"/>
        <w:adjustRightInd w:val="0"/>
        <w:snapToGrid w:val="0"/>
        <w:spacing w:before="1" w:line="376" w:lineRule="auto"/>
        <w:ind w:left="1" w:right="54" w:firstLine="43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19.3遇有不可抗力的一方，应在三日内将事件的情况以书面形式</w:t>
      </w:r>
      <w:r>
        <w:rPr>
          <w:rFonts w:ascii="宋体" w:hAnsi="宋体" w:eastAsia="宋体" w:cs="宋体"/>
          <w:snapToGrid w:val="0"/>
          <w:color w:val="000000"/>
          <w:spacing w:val="6"/>
          <w:kern w:val="0"/>
          <w:sz w:val="20"/>
          <w:szCs w:val="20"/>
          <w:lang w:val="en-US" w:eastAsia="en-US" w:bidi="ar-SA"/>
        </w:rPr>
        <w:t>通知另一方，并在事件发生</w:t>
      </w:r>
      <w:r>
        <w:rPr>
          <w:rFonts w:ascii="宋体" w:hAnsi="宋体" w:eastAsia="宋体" w:cs="宋体"/>
          <w:snapToGrid w:val="0"/>
          <w:color w:val="000000"/>
          <w:spacing w:val="9"/>
          <w:kern w:val="0"/>
          <w:sz w:val="20"/>
          <w:szCs w:val="20"/>
          <w:lang w:val="en-US" w:eastAsia="en-US" w:bidi="ar-SA"/>
        </w:rPr>
        <w:t>后十日内，向另一方提交合同不能履行或部分不能履行或需要延期履行理由的报告。</w:t>
      </w:r>
    </w:p>
    <w:p w14:paraId="63764C6E">
      <w:pPr>
        <w:kinsoku w:val="0"/>
        <w:autoSpaceDE w:val="0"/>
        <w:autoSpaceDN w:val="0"/>
        <w:adjustRightInd w:val="0"/>
        <w:snapToGrid w:val="0"/>
        <w:spacing w:before="1" w:line="227" w:lineRule="auto"/>
        <w:ind w:left="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20.解决争议的方法</w:t>
      </w:r>
    </w:p>
    <w:p w14:paraId="08C53581">
      <w:pPr>
        <w:kinsoku w:val="0"/>
        <w:autoSpaceDE w:val="0"/>
        <w:autoSpaceDN w:val="0"/>
        <w:adjustRightInd w:val="0"/>
        <w:snapToGrid w:val="0"/>
        <w:spacing w:before="26" w:line="377" w:lineRule="auto"/>
        <w:ind w:left="3" w:firstLine="41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20.1合同各方应通过友好协商，解决在执行合同过程中所发生的或与合同有关的一切争端。</w:t>
      </w:r>
      <w:r>
        <w:rPr>
          <w:rFonts w:ascii="宋体" w:hAnsi="宋体" w:eastAsia="宋体" w:cs="宋体"/>
          <w:snapToGrid w:val="0"/>
          <w:color w:val="000000"/>
          <w:spacing w:val="9"/>
          <w:kern w:val="0"/>
          <w:sz w:val="20"/>
          <w:szCs w:val="20"/>
          <w:lang w:val="en-US" w:eastAsia="en-US" w:bidi="ar-SA"/>
        </w:rPr>
        <w:t>如从协商开始后十日内仍不能解决，可以向财政部门提请调解。</w:t>
      </w:r>
    </w:p>
    <w:p w14:paraId="1A020800">
      <w:pPr>
        <w:kinsoku w:val="0"/>
        <w:autoSpaceDE w:val="0"/>
        <w:autoSpaceDN w:val="0"/>
        <w:adjustRightInd w:val="0"/>
        <w:snapToGrid w:val="0"/>
        <w:spacing w:before="1" w:line="226"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20.2调解不成可以按</w:t>
      </w:r>
      <w:r>
        <w:rPr>
          <w:rFonts w:ascii="宋体" w:hAnsi="宋体" w:eastAsia="宋体" w:cs="宋体"/>
          <w:b/>
          <w:bCs/>
          <w:snapToGrid w:val="0"/>
          <w:color w:val="000000"/>
          <w:spacing w:val="8"/>
          <w:kern w:val="0"/>
          <w:sz w:val="20"/>
          <w:szCs w:val="20"/>
          <w:lang w:val="en-US" w:eastAsia="en-US" w:bidi="ar-SA"/>
        </w:rPr>
        <w:t>政府采购合同专用条款</w:t>
      </w:r>
      <w:r>
        <w:rPr>
          <w:rFonts w:ascii="宋体" w:hAnsi="宋体" w:eastAsia="宋体" w:cs="宋体"/>
          <w:snapToGrid w:val="0"/>
          <w:color w:val="000000"/>
          <w:spacing w:val="8"/>
          <w:kern w:val="0"/>
          <w:sz w:val="20"/>
          <w:szCs w:val="20"/>
          <w:lang w:val="en-US" w:eastAsia="en-US" w:bidi="ar-SA"/>
        </w:rPr>
        <w:t>中规定下列方式之一提起仲裁或诉讼：</w:t>
      </w:r>
    </w:p>
    <w:p w14:paraId="3AF64CBB">
      <w:pPr>
        <w:kinsoku w:val="0"/>
        <w:autoSpaceDE w:val="0"/>
        <w:autoSpaceDN w:val="0"/>
        <w:adjustRightInd w:val="0"/>
        <w:snapToGrid w:val="0"/>
        <w:spacing w:before="162" w:line="227"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（1）向甲方所在地仲裁机构提起仲裁；</w:t>
      </w:r>
    </w:p>
    <w:p w14:paraId="30354B84">
      <w:pPr>
        <w:kinsoku w:val="0"/>
        <w:autoSpaceDE w:val="0"/>
        <w:autoSpaceDN w:val="0"/>
        <w:adjustRightInd w:val="0"/>
        <w:snapToGrid w:val="0"/>
        <w:spacing w:before="163" w:line="228" w:lineRule="auto"/>
        <w:ind w:left="43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（2）向甲方所在地人民法院提起诉讼。</w:t>
      </w:r>
    </w:p>
    <w:p w14:paraId="5FF8DB83">
      <w:pPr>
        <w:kinsoku w:val="0"/>
        <w:autoSpaceDE w:val="0"/>
        <w:autoSpaceDN w:val="0"/>
        <w:adjustRightInd w:val="0"/>
        <w:snapToGrid w:val="0"/>
        <w:spacing w:before="162" w:line="377" w:lineRule="auto"/>
        <w:ind w:left="2" w:right="51" w:firstLine="4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20.3如仲裁或诉讼事项不影响合同其它部分的履行，则在仲裁或诉讼期间，除正在进行仲裁</w:t>
      </w:r>
      <w:r>
        <w:rPr>
          <w:rFonts w:ascii="宋体" w:hAnsi="宋体" w:eastAsia="宋体" w:cs="宋体"/>
          <w:snapToGrid w:val="0"/>
          <w:color w:val="000000"/>
          <w:spacing w:val="8"/>
          <w:kern w:val="0"/>
          <w:sz w:val="20"/>
          <w:szCs w:val="20"/>
          <w:lang w:val="en-US" w:eastAsia="en-US" w:bidi="ar-SA"/>
        </w:rPr>
        <w:t>或诉讼的部分外，合同的其它部分应继续执行。</w:t>
      </w:r>
    </w:p>
    <w:p w14:paraId="5E2929B9">
      <w:pPr>
        <w:kinsoku w:val="0"/>
        <w:autoSpaceDE w:val="0"/>
        <w:autoSpaceDN w:val="0"/>
        <w:adjustRightInd w:val="0"/>
        <w:snapToGrid w:val="0"/>
        <w:spacing w:line="227" w:lineRule="auto"/>
        <w:ind w:left="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21.法律适用</w:t>
      </w:r>
    </w:p>
    <w:p w14:paraId="0230DD7F">
      <w:pPr>
        <w:kinsoku w:val="0"/>
        <w:autoSpaceDE w:val="0"/>
        <w:autoSpaceDN w:val="0"/>
        <w:adjustRightInd w:val="0"/>
        <w:snapToGrid w:val="0"/>
        <w:spacing w:before="27" w:line="377" w:lineRule="auto"/>
        <w:ind w:right="54" w:firstLine="42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21.1本合同适用中华人民共和国现行法律、行政法规和规章，如合同条款与法律、行政法规</w:t>
      </w:r>
      <w:r>
        <w:rPr>
          <w:rFonts w:ascii="宋体" w:hAnsi="宋体" w:eastAsia="宋体" w:cs="宋体"/>
          <w:snapToGrid w:val="0"/>
          <w:color w:val="000000"/>
          <w:spacing w:val="9"/>
          <w:kern w:val="0"/>
          <w:sz w:val="20"/>
          <w:szCs w:val="20"/>
          <w:lang w:val="en-US" w:eastAsia="en-US" w:bidi="ar-SA"/>
        </w:rPr>
        <w:t>和规章不一致的，按照法律、行政法规和规章修改本合同。</w:t>
      </w:r>
    </w:p>
    <w:p w14:paraId="33205B71">
      <w:pPr>
        <w:kinsoku w:val="0"/>
        <w:autoSpaceDE w:val="0"/>
        <w:autoSpaceDN w:val="0"/>
        <w:adjustRightInd w:val="0"/>
        <w:snapToGrid w:val="0"/>
        <w:spacing w:line="229" w:lineRule="auto"/>
        <w:ind w:left="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22.通知</w:t>
      </w:r>
    </w:p>
    <w:p w14:paraId="2E3B1196">
      <w:pPr>
        <w:kinsoku w:val="0"/>
        <w:autoSpaceDE w:val="0"/>
        <w:autoSpaceDN w:val="0"/>
        <w:adjustRightInd w:val="0"/>
        <w:snapToGrid w:val="0"/>
        <w:spacing w:before="24" w:line="377" w:lineRule="auto"/>
        <w:ind w:right="51" w:firstLine="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22.1本合同一方给另一方的通知均应采用书面形式，传真或快递送到本合同中规定的对方的地址和办理签收手续，</w:t>
      </w:r>
    </w:p>
    <w:p w14:paraId="7CACB7C1">
      <w:pPr>
        <w:kinsoku w:val="0"/>
        <w:autoSpaceDE w:val="0"/>
        <w:autoSpaceDN w:val="0"/>
        <w:adjustRightInd w:val="0"/>
        <w:snapToGrid w:val="0"/>
        <w:spacing w:before="1" w:line="226"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22.2通知以送到之日或通知书中规定的生效之日</w:t>
      </w:r>
      <w:r>
        <w:rPr>
          <w:rFonts w:ascii="宋体" w:hAnsi="宋体" w:eastAsia="宋体" w:cs="宋体"/>
          <w:snapToGrid w:val="0"/>
          <w:color w:val="000000"/>
          <w:spacing w:val="8"/>
          <w:kern w:val="0"/>
          <w:sz w:val="20"/>
          <w:szCs w:val="20"/>
          <w:lang w:val="en-US" w:eastAsia="en-US" w:bidi="ar-SA"/>
        </w:rPr>
        <w:t>起生效，两者中以较迟之日为准。</w:t>
      </w:r>
    </w:p>
    <w:p w14:paraId="1C2F0632">
      <w:pPr>
        <w:kinsoku w:val="0"/>
        <w:autoSpaceDE w:val="0"/>
        <w:autoSpaceDN w:val="0"/>
        <w:adjustRightInd w:val="0"/>
        <w:snapToGrid w:val="0"/>
        <w:spacing w:before="163" w:line="228" w:lineRule="auto"/>
        <w:ind w:left="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23.合同生效</w:t>
      </w:r>
    </w:p>
    <w:p w14:paraId="213F3CA7">
      <w:pPr>
        <w:kinsoku w:val="0"/>
        <w:autoSpaceDE w:val="0"/>
        <w:autoSpaceDN w:val="0"/>
        <w:adjustRightInd w:val="0"/>
        <w:snapToGrid w:val="0"/>
        <w:spacing w:before="26" w:line="227"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23.1本合同在合同各方签字盖章后生效</w:t>
      </w:r>
    </w:p>
    <w:p w14:paraId="20B6EF4F">
      <w:pPr>
        <w:kinsoku w:val="0"/>
        <w:autoSpaceDE w:val="0"/>
        <w:autoSpaceDN w:val="0"/>
        <w:adjustRightInd w:val="0"/>
        <w:snapToGrid w:val="0"/>
        <w:spacing w:before="162" w:line="227" w:lineRule="auto"/>
        <w:ind w:left="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24.附则</w:t>
      </w:r>
    </w:p>
    <w:p w14:paraId="308AEA81">
      <w:pPr>
        <w:kinsoku w:val="0"/>
        <w:autoSpaceDE w:val="0"/>
        <w:autoSpaceDN w:val="0"/>
        <w:adjustRightInd w:val="0"/>
        <w:snapToGrid w:val="0"/>
        <w:spacing w:before="25" w:line="227"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24.1本合同未尽事宜，见</w:t>
      </w:r>
      <w:r>
        <w:rPr>
          <w:rFonts w:ascii="宋体" w:hAnsi="宋体" w:eastAsia="宋体" w:cs="宋体"/>
          <w:b/>
          <w:bCs/>
          <w:snapToGrid w:val="0"/>
          <w:color w:val="000000"/>
          <w:spacing w:val="7"/>
          <w:kern w:val="0"/>
          <w:sz w:val="20"/>
          <w:szCs w:val="20"/>
          <w:lang w:val="en-US" w:eastAsia="en-US" w:bidi="ar-SA"/>
        </w:rPr>
        <w:t>政府采购合同专用条款。</w:t>
      </w:r>
    </w:p>
    <w:p w14:paraId="156F4C7B">
      <w:pPr>
        <w:spacing w:line="227" w:lineRule="auto"/>
        <w:rPr>
          <w:sz w:val="20"/>
          <w:szCs w:val="20"/>
        </w:rPr>
        <w:sectPr>
          <w:pgSz w:w="12240" w:h="15840"/>
          <w:pgMar w:top="400" w:right="1649" w:bottom="0" w:left="1709" w:header="0" w:footer="0" w:gutter="0"/>
          <w:pgNumType w:fmt="numberInDash"/>
          <w:cols w:space="720" w:num="1"/>
        </w:sectPr>
      </w:pPr>
    </w:p>
    <w:p w14:paraId="1BBEA527">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07D475F8">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75146C6D">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4B7D305F">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4CD0823C">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09055034">
      <w:pPr>
        <w:widowControl/>
        <w:kinsoku w:val="0"/>
        <w:autoSpaceDE w:val="0"/>
        <w:autoSpaceDN w:val="0"/>
        <w:adjustRightInd w:val="0"/>
        <w:snapToGrid w:val="0"/>
        <w:spacing w:before="91" w:line="224" w:lineRule="auto"/>
        <w:ind w:left="24"/>
        <w:jc w:val="left"/>
        <w:textAlignment w:val="baseline"/>
        <w:rPr>
          <w:rFonts w:ascii="黑体" w:hAnsi="黑体" w:eastAsia="黑体" w:cs="黑体"/>
          <w:snapToGrid w:val="0"/>
          <w:color w:val="000000"/>
          <w:kern w:val="0"/>
          <w:sz w:val="28"/>
          <w:szCs w:val="28"/>
          <w:lang w:eastAsia="en-US"/>
        </w:rPr>
      </w:pPr>
      <w:r>
        <w:rPr>
          <w:rFonts w:ascii="黑体" w:hAnsi="黑体" w:eastAsia="黑体" w:cs="黑体"/>
          <w:b/>
          <w:bCs/>
          <w:snapToGrid w:val="0"/>
          <w:color w:val="000000"/>
          <w:spacing w:val="-4"/>
          <w:kern w:val="0"/>
          <w:sz w:val="28"/>
          <w:szCs w:val="28"/>
          <w:lang w:eastAsia="en-US"/>
        </w:rPr>
        <w:t>三、政府采购合同专用条款</w:t>
      </w:r>
    </w:p>
    <w:p w14:paraId="3E107D5A">
      <w:pPr>
        <w:kinsoku w:val="0"/>
        <w:autoSpaceDE w:val="0"/>
        <w:autoSpaceDN w:val="0"/>
        <w:adjustRightInd w:val="0"/>
        <w:snapToGrid w:val="0"/>
        <w:spacing w:before="12" w:line="227" w:lineRule="auto"/>
        <w:ind w:left="285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7"/>
          <w:kern w:val="0"/>
          <w:sz w:val="20"/>
          <w:szCs w:val="20"/>
          <w:lang w:val="en-US" w:eastAsia="en-US" w:bidi="ar-SA"/>
        </w:rPr>
        <w:t>政府采购合同专用条款（货物类）</w:t>
      </w:r>
    </w:p>
    <w:p w14:paraId="6C853D9E">
      <w:pPr>
        <w:widowControl/>
        <w:kinsoku w:val="0"/>
        <w:autoSpaceDE w:val="0"/>
        <w:autoSpaceDN w:val="0"/>
        <w:adjustRightInd w:val="0"/>
        <w:snapToGrid w:val="0"/>
        <w:spacing w:line="132" w:lineRule="exact"/>
        <w:jc w:val="left"/>
        <w:textAlignment w:val="baseline"/>
        <w:rPr>
          <w:rFonts w:ascii="Arial" w:hAnsi="Arial" w:eastAsia="Arial" w:cs="Arial"/>
          <w:snapToGrid w:val="0"/>
          <w:color w:val="000000"/>
          <w:kern w:val="0"/>
          <w:szCs w:val="21"/>
          <w:lang w:eastAsia="en-US"/>
        </w:rPr>
      </w:pPr>
    </w:p>
    <w:tbl>
      <w:tblPr>
        <w:tblStyle w:val="86"/>
        <w:tblW w:w="84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3"/>
        <w:gridCol w:w="3116"/>
        <w:gridCol w:w="3172"/>
      </w:tblGrid>
      <w:tr w14:paraId="07BF7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133" w:type="dxa"/>
            <w:vAlign w:val="top"/>
          </w:tcPr>
          <w:p w14:paraId="708E17EA">
            <w:pPr>
              <w:kinsoku w:val="0"/>
              <w:autoSpaceDE w:val="0"/>
              <w:autoSpaceDN w:val="0"/>
              <w:adjustRightInd w:val="0"/>
              <w:snapToGrid w:val="0"/>
              <w:spacing w:before="35" w:line="228" w:lineRule="auto"/>
              <w:ind w:left="54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6"/>
                <w:kern w:val="0"/>
                <w:sz w:val="20"/>
                <w:szCs w:val="20"/>
                <w:lang w:val="en-US" w:eastAsia="en-US" w:bidi="ar-SA"/>
              </w:rPr>
              <w:t>通用条款号</w:t>
            </w:r>
          </w:p>
        </w:tc>
        <w:tc>
          <w:tcPr>
            <w:tcW w:w="3116" w:type="dxa"/>
            <w:vAlign w:val="top"/>
          </w:tcPr>
          <w:p w14:paraId="2CA76242">
            <w:pPr>
              <w:kinsoku w:val="0"/>
              <w:autoSpaceDE w:val="0"/>
              <w:autoSpaceDN w:val="0"/>
              <w:adjustRightInd w:val="0"/>
              <w:snapToGrid w:val="0"/>
              <w:spacing w:before="35" w:line="228" w:lineRule="auto"/>
              <w:ind w:left="114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6"/>
                <w:kern w:val="0"/>
                <w:sz w:val="20"/>
                <w:szCs w:val="20"/>
                <w:lang w:val="en-US" w:eastAsia="en-US" w:bidi="ar-SA"/>
              </w:rPr>
              <w:t>条款名称</w:t>
            </w:r>
          </w:p>
        </w:tc>
        <w:tc>
          <w:tcPr>
            <w:tcW w:w="3172" w:type="dxa"/>
            <w:vAlign w:val="top"/>
          </w:tcPr>
          <w:p w14:paraId="1602730E">
            <w:pPr>
              <w:kinsoku w:val="0"/>
              <w:autoSpaceDE w:val="0"/>
              <w:autoSpaceDN w:val="0"/>
              <w:adjustRightInd w:val="0"/>
              <w:snapToGrid w:val="0"/>
              <w:spacing w:before="35" w:line="228" w:lineRule="auto"/>
              <w:ind w:left="96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6"/>
                <w:kern w:val="0"/>
                <w:sz w:val="20"/>
                <w:szCs w:val="20"/>
                <w:lang w:val="en-US" w:eastAsia="en-US" w:bidi="ar-SA"/>
              </w:rPr>
              <w:t>编列内容规定</w:t>
            </w:r>
          </w:p>
        </w:tc>
      </w:tr>
      <w:tr w14:paraId="5A7A9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2133" w:type="dxa"/>
            <w:vAlign w:val="top"/>
          </w:tcPr>
          <w:p w14:paraId="6A357C01">
            <w:pPr>
              <w:kinsoku w:val="0"/>
              <w:autoSpaceDE w:val="0"/>
              <w:autoSpaceDN w:val="0"/>
              <w:adjustRightInd w:val="0"/>
              <w:snapToGrid w:val="0"/>
              <w:spacing w:before="31" w:line="228" w:lineRule="auto"/>
              <w:ind w:left="41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2"/>
                <w:kern w:val="0"/>
                <w:sz w:val="20"/>
                <w:szCs w:val="20"/>
                <w:lang w:val="en-US" w:eastAsia="en-US" w:bidi="ar-SA"/>
              </w:rPr>
              <w:t>第1.2（6）款</w:t>
            </w:r>
          </w:p>
        </w:tc>
        <w:tc>
          <w:tcPr>
            <w:tcW w:w="3116" w:type="dxa"/>
            <w:vAlign w:val="top"/>
          </w:tcPr>
          <w:p w14:paraId="1C1565BE">
            <w:pPr>
              <w:kinsoku w:val="0"/>
              <w:autoSpaceDE w:val="0"/>
              <w:autoSpaceDN w:val="0"/>
              <w:adjustRightInd w:val="0"/>
              <w:snapToGrid w:val="0"/>
              <w:spacing w:before="32" w:line="228" w:lineRule="auto"/>
              <w:ind w:left="114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项目现场</w:t>
            </w:r>
          </w:p>
        </w:tc>
        <w:tc>
          <w:tcPr>
            <w:tcW w:w="3172" w:type="dxa"/>
            <w:vAlign w:val="top"/>
          </w:tcPr>
          <w:p w14:paraId="7AD39AC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DF1C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2133" w:type="dxa"/>
            <w:vAlign w:val="top"/>
          </w:tcPr>
          <w:p w14:paraId="71963253">
            <w:pPr>
              <w:widowControl/>
              <w:kinsoku w:val="0"/>
              <w:autoSpaceDE w:val="0"/>
              <w:autoSpaceDN w:val="0"/>
              <w:adjustRightInd w:val="0"/>
              <w:snapToGrid w:val="0"/>
              <w:spacing w:line="312" w:lineRule="auto"/>
              <w:jc w:val="left"/>
              <w:textAlignment w:val="baseline"/>
              <w:rPr>
                <w:rFonts w:ascii="Arial" w:hAnsi="Arial" w:eastAsia="Arial" w:cs="Arial"/>
                <w:snapToGrid w:val="0"/>
                <w:color w:val="000000"/>
                <w:kern w:val="0"/>
                <w:sz w:val="21"/>
                <w:szCs w:val="21"/>
                <w:lang w:eastAsia="en-US"/>
              </w:rPr>
            </w:pPr>
          </w:p>
          <w:p w14:paraId="3B92B442">
            <w:pPr>
              <w:kinsoku w:val="0"/>
              <w:autoSpaceDE w:val="0"/>
              <w:autoSpaceDN w:val="0"/>
              <w:adjustRightInd w:val="0"/>
              <w:snapToGrid w:val="0"/>
              <w:spacing w:before="65" w:line="228" w:lineRule="auto"/>
              <w:ind w:left="65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20"/>
                <w:szCs w:val="20"/>
                <w:lang w:val="en-US" w:eastAsia="en-US" w:bidi="ar-SA"/>
              </w:rPr>
              <w:t>第5.1条</w:t>
            </w:r>
          </w:p>
        </w:tc>
        <w:tc>
          <w:tcPr>
            <w:tcW w:w="3116" w:type="dxa"/>
            <w:vAlign w:val="top"/>
          </w:tcPr>
          <w:p w14:paraId="39E48316">
            <w:pPr>
              <w:widowControl/>
              <w:kinsoku w:val="0"/>
              <w:autoSpaceDE w:val="0"/>
              <w:autoSpaceDN w:val="0"/>
              <w:adjustRightInd w:val="0"/>
              <w:snapToGrid w:val="0"/>
              <w:spacing w:line="312" w:lineRule="auto"/>
              <w:jc w:val="left"/>
              <w:textAlignment w:val="baseline"/>
              <w:rPr>
                <w:rFonts w:ascii="Arial" w:hAnsi="Arial" w:eastAsia="Arial" w:cs="Arial"/>
                <w:snapToGrid w:val="0"/>
                <w:color w:val="000000"/>
                <w:kern w:val="0"/>
                <w:sz w:val="21"/>
                <w:szCs w:val="21"/>
                <w:lang w:eastAsia="en-US"/>
              </w:rPr>
            </w:pPr>
          </w:p>
          <w:p w14:paraId="2616E2CE">
            <w:pPr>
              <w:kinsoku w:val="0"/>
              <w:autoSpaceDE w:val="0"/>
              <w:autoSpaceDN w:val="0"/>
              <w:adjustRightInd w:val="0"/>
              <w:snapToGrid w:val="0"/>
              <w:spacing w:before="65" w:line="228" w:lineRule="auto"/>
              <w:ind w:left="20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履行合同的时间、地点及方式</w:t>
            </w:r>
          </w:p>
        </w:tc>
        <w:tc>
          <w:tcPr>
            <w:tcW w:w="3172" w:type="dxa"/>
            <w:vAlign w:val="top"/>
          </w:tcPr>
          <w:p w14:paraId="4EA5EC8E">
            <w:pPr>
              <w:kinsoku w:val="0"/>
              <w:autoSpaceDE w:val="0"/>
              <w:autoSpaceDN w:val="0"/>
              <w:adjustRightInd w:val="0"/>
              <w:snapToGrid w:val="0"/>
              <w:spacing w:before="31" w:line="227" w:lineRule="auto"/>
              <w:ind w:left="118"/>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spacing w:val="7"/>
                <w:kern w:val="0"/>
                <w:sz w:val="20"/>
                <w:szCs w:val="20"/>
                <w:lang w:val="en-US" w:eastAsia="en-US" w:bidi="ar-SA"/>
              </w:rPr>
              <w:t>交货时间：</w:t>
            </w:r>
          </w:p>
          <w:p w14:paraId="062FB7E9">
            <w:pPr>
              <w:kinsoku w:val="0"/>
              <w:autoSpaceDE w:val="0"/>
              <w:autoSpaceDN w:val="0"/>
              <w:adjustRightInd w:val="0"/>
              <w:snapToGrid w:val="0"/>
              <w:spacing w:before="162" w:line="227" w:lineRule="auto"/>
              <w:ind w:left="118"/>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spacing w:val="7"/>
                <w:kern w:val="0"/>
                <w:sz w:val="20"/>
                <w:szCs w:val="20"/>
                <w:lang w:val="en-US" w:eastAsia="en-US" w:bidi="ar-SA"/>
              </w:rPr>
              <w:t>交货地点：</w:t>
            </w:r>
          </w:p>
          <w:p w14:paraId="54B07702">
            <w:pPr>
              <w:kinsoku w:val="0"/>
              <w:autoSpaceDE w:val="0"/>
              <w:autoSpaceDN w:val="0"/>
              <w:adjustRightInd w:val="0"/>
              <w:snapToGrid w:val="0"/>
              <w:spacing w:before="164" w:line="227" w:lineRule="auto"/>
              <w:ind w:left="118"/>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spacing w:val="7"/>
                <w:kern w:val="0"/>
                <w:sz w:val="20"/>
                <w:szCs w:val="20"/>
                <w:lang w:val="en-US" w:eastAsia="en-US" w:bidi="ar-SA"/>
              </w:rPr>
              <w:t>交货方式：</w:t>
            </w:r>
          </w:p>
        </w:tc>
      </w:tr>
      <w:tr w14:paraId="2881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2133" w:type="dxa"/>
            <w:vAlign w:val="top"/>
          </w:tcPr>
          <w:p w14:paraId="15C1A8B0">
            <w:pPr>
              <w:kinsoku w:val="0"/>
              <w:autoSpaceDE w:val="0"/>
              <w:autoSpaceDN w:val="0"/>
              <w:adjustRightInd w:val="0"/>
              <w:snapToGrid w:val="0"/>
              <w:spacing w:before="33" w:line="228" w:lineRule="auto"/>
              <w:ind w:left="5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2"/>
                <w:kern w:val="0"/>
                <w:sz w:val="20"/>
                <w:szCs w:val="20"/>
                <w:lang w:val="en-US" w:eastAsia="en-US" w:bidi="ar-SA"/>
              </w:rPr>
              <w:t>第9.2(1)款</w:t>
            </w:r>
          </w:p>
        </w:tc>
        <w:tc>
          <w:tcPr>
            <w:tcW w:w="3116" w:type="dxa"/>
            <w:vAlign w:val="top"/>
          </w:tcPr>
          <w:p w14:paraId="70A8ABAC">
            <w:pPr>
              <w:kinsoku w:val="0"/>
              <w:autoSpaceDE w:val="0"/>
              <w:autoSpaceDN w:val="0"/>
              <w:adjustRightInd w:val="0"/>
              <w:snapToGrid w:val="0"/>
              <w:spacing w:before="33" w:line="228" w:lineRule="auto"/>
              <w:ind w:left="104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质量保证期</w:t>
            </w:r>
          </w:p>
        </w:tc>
        <w:tc>
          <w:tcPr>
            <w:tcW w:w="3172" w:type="dxa"/>
            <w:vAlign w:val="top"/>
          </w:tcPr>
          <w:p w14:paraId="1D27C55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D0C1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2133" w:type="dxa"/>
            <w:vAlign w:val="top"/>
          </w:tcPr>
          <w:p w14:paraId="20517F8B">
            <w:pPr>
              <w:kinsoku w:val="0"/>
              <w:autoSpaceDE w:val="0"/>
              <w:autoSpaceDN w:val="0"/>
              <w:adjustRightInd w:val="0"/>
              <w:snapToGrid w:val="0"/>
              <w:spacing w:before="35" w:line="228" w:lineRule="auto"/>
              <w:ind w:left="5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2"/>
                <w:kern w:val="0"/>
                <w:sz w:val="20"/>
                <w:szCs w:val="20"/>
                <w:lang w:val="en-US" w:eastAsia="en-US" w:bidi="ar-SA"/>
              </w:rPr>
              <w:t>第9.2(3)款</w:t>
            </w:r>
          </w:p>
        </w:tc>
        <w:tc>
          <w:tcPr>
            <w:tcW w:w="3116" w:type="dxa"/>
            <w:vAlign w:val="top"/>
          </w:tcPr>
          <w:p w14:paraId="34781E92">
            <w:pPr>
              <w:kinsoku w:val="0"/>
              <w:autoSpaceDE w:val="0"/>
              <w:autoSpaceDN w:val="0"/>
              <w:adjustRightInd w:val="0"/>
              <w:snapToGrid w:val="0"/>
              <w:spacing w:before="35" w:line="230" w:lineRule="auto"/>
              <w:ind w:left="115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响应时间</w:t>
            </w:r>
          </w:p>
        </w:tc>
        <w:tc>
          <w:tcPr>
            <w:tcW w:w="3172" w:type="dxa"/>
            <w:vAlign w:val="top"/>
          </w:tcPr>
          <w:p w14:paraId="3ABF996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CC99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2133" w:type="dxa"/>
            <w:vAlign w:val="top"/>
          </w:tcPr>
          <w:p w14:paraId="5117B658">
            <w:pPr>
              <w:kinsoku w:val="0"/>
              <w:autoSpaceDE w:val="0"/>
              <w:autoSpaceDN w:val="0"/>
              <w:adjustRightInd w:val="0"/>
              <w:snapToGrid w:val="0"/>
              <w:spacing w:before="238" w:line="228" w:lineRule="auto"/>
              <w:ind w:left="59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
                <w:kern w:val="0"/>
                <w:sz w:val="20"/>
                <w:szCs w:val="20"/>
                <w:lang w:val="en-US" w:eastAsia="en-US" w:bidi="ar-SA"/>
              </w:rPr>
              <w:t>第13.5条</w:t>
            </w:r>
          </w:p>
        </w:tc>
        <w:tc>
          <w:tcPr>
            <w:tcW w:w="3116" w:type="dxa"/>
            <w:vAlign w:val="top"/>
          </w:tcPr>
          <w:p w14:paraId="2D7C9263">
            <w:pPr>
              <w:kinsoku w:val="0"/>
              <w:autoSpaceDE w:val="0"/>
              <w:autoSpaceDN w:val="0"/>
              <w:adjustRightInd w:val="0"/>
              <w:snapToGrid w:val="0"/>
              <w:spacing w:before="239" w:line="226" w:lineRule="auto"/>
              <w:ind w:left="40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合同价款支付方式和条件</w:t>
            </w:r>
          </w:p>
        </w:tc>
        <w:tc>
          <w:tcPr>
            <w:tcW w:w="3172" w:type="dxa"/>
            <w:vAlign w:val="top"/>
          </w:tcPr>
          <w:p w14:paraId="33C62C42">
            <w:pPr>
              <w:kinsoku w:val="0"/>
              <w:autoSpaceDE w:val="0"/>
              <w:autoSpaceDN w:val="0"/>
              <w:adjustRightInd w:val="0"/>
              <w:snapToGrid w:val="0"/>
              <w:spacing w:before="34" w:line="228" w:lineRule="auto"/>
              <w:ind w:left="115"/>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spacing w:val="8"/>
                <w:kern w:val="0"/>
                <w:sz w:val="20"/>
                <w:szCs w:val="20"/>
                <w:lang w:val="en-US" w:eastAsia="en-US" w:bidi="ar-SA"/>
              </w:rPr>
              <w:t>支付方式：</w:t>
            </w:r>
          </w:p>
          <w:p w14:paraId="7BB114F5">
            <w:pPr>
              <w:kinsoku w:val="0"/>
              <w:autoSpaceDE w:val="0"/>
              <w:autoSpaceDN w:val="0"/>
              <w:adjustRightInd w:val="0"/>
              <w:snapToGrid w:val="0"/>
              <w:spacing w:before="160" w:line="228" w:lineRule="auto"/>
              <w:ind w:left="114"/>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spacing w:val="8"/>
                <w:kern w:val="0"/>
                <w:sz w:val="20"/>
                <w:szCs w:val="20"/>
                <w:lang w:val="en-US" w:eastAsia="en-US" w:bidi="ar-SA"/>
              </w:rPr>
              <w:t>付款条件：</w:t>
            </w:r>
          </w:p>
        </w:tc>
      </w:tr>
      <w:tr w14:paraId="285BC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2133" w:type="dxa"/>
            <w:vAlign w:val="top"/>
          </w:tcPr>
          <w:p w14:paraId="6FE215E4">
            <w:pPr>
              <w:kinsoku w:val="0"/>
              <w:autoSpaceDE w:val="0"/>
              <w:autoSpaceDN w:val="0"/>
              <w:adjustRightInd w:val="0"/>
              <w:snapToGrid w:val="0"/>
              <w:spacing w:before="36" w:line="228" w:lineRule="auto"/>
              <w:ind w:left="46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第14.2(5)款</w:t>
            </w:r>
          </w:p>
        </w:tc>
        <w:tc>
          <w:tcPr>
            <w:tcW w:w="3116" w:type="dxa"/>
            <w:vAlign w:val="top"/>
          </w:tcPr>
          <w:p w14:paraId="35A9241A">
            <w:pPr>
              <w:kinsoku w:val="0"/>
              <w:autoSpaceDE w:val="0"/>
              <w:autoSpaceDN w:val="0"/>
              <w:adjustRightInd w:val="0"/>
              <w:snapToGrid w:val="0"/>
              <w:spacing w:before="36" w:line="228" w:lineRule="auto"/>
              <w:ind w:left="114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伴随服务</w:t>
            </w:r>
          </w:p>
        </w:tc>
        <w:tc>
          <w:tcPr>
            <w:tcW w:w="3172" w:type="dxa"/>
            <w:vAlign w:val="top"/>
          </w:tcPr>
          <w:p w14:paraId="7F7393F9">
            <w:pPr>
              <w:kinsoku w:val="0"/>
              <w:autoSpaceDE w:val="0"/>
              <w:autoSpaceDN w:val="0"/>
              <w:adjustRightInd w:val="0"/>
              <w:snapToGrid w:val="0"/>
              <w:spacing w:before="36" w:line="227" w:lineRule="auto"/>
              <w:ind w:left="11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详见第</w:t>
            </w:r>
            <w:r>
              <w:rPr>
                <w:rFonts w:hint="eastAsia" w:ascii="宋体" w:hAnsi="宋体" w:eastAsia="宋体" w:cs="宋体"/>
                <w:snapToGrid w:val="0"/>
                <w:color w:val="000000"/>
                <w:spacing w:val="8"/>
                <w:kern w:val="0"/>
                <w:sz w:val="20"/>
                <w:szCs w:val="20"/>
                <w:lang w:val="en-US" w:eastAsia="zh-CN" w:bidi="ar-SA"/>
              </w:rPr>
              <w:t>五</w:t>
            </w:r>
            <w:r>
              <w:rPr>
                <w:rFonts w:ascii="宋体" w:hAnsi="宋体" w:eastAsia="宋体" w:cs="宋体"/>
                <w:snapToGrid w:val="0"/>
                <w:color w:val="000000"/>
                <w:spacing w:val="8"/>
                <w:kern w:val="0"/>
                <w:sz w:val="20"/>
                <w:szCs w:val="20"/>
                <w:lang w:val="en-US" w:eastAsia="en-US" w:bidi="ar-SA"/>
              </w:rPr>
              <w:t>章采购需求</w:t>
            </w:r>
          </w:p>
        </w:tc>
      </w:tr>
      <w:tr w14:paraId="4BB9B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2133" w:type="dxa"/>
            <w:vAlign w:val="top"/>
          </w:tcPr>
          <w:p w14:paraId="5A4432DE">
            <w:pPr>
              <w:kinsoku w:val="0"/>
              <w:autoSpaceDE w:val="0"/>
              <w:autoSpaceDN w:val="0"/>
              <w:adjustRightInd w:val="0"/>
              <w:snapToGrid w:val="0"/>
              <w:spacing w:before="35" w:line="228" w:lineRule="auto"/>
              <w:ind w:left="59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
                <w:kern w:val="0"/>
                <w:sz w:val="20"/>
                <w:szCs w:val="20"/>
                <w:lang w:val="en-US" w:eastAsia="en-US" w:bidi="ar-SA"/>
              </w:rPr>
              <w:t>第20.2条</w:t>
            </w:r>
          </w:p>
        </w:tc>
        <w:tc>
          <w:tcPr>
            <w:tcW w:w="3116" w:type="dxa"/>
            <w:vAlign w:val="top"/>
          </w:tcPr>
          <w:p w14:paraId="407C0180">
            <w:pPr>
              <w:kinsoku w:val="0"/>
              <w:autoSpaceDE w:val="0"/>
              <w:autoSpaceDN w:val="0"/>
              <w:adjustRightInd w:val="0"/>
              <w:snapToGrid w:val="0"/>
              <w:spacing w:before="35" w:line="228" w:lineRule="auto"/>
              <w:ind w:left="82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解决争议的方式</w:t>
            </w:r>
          </w:p>
        </w:tc>
        <w:tc>
          <w:tcPr>
            <w:tcW w:w="3172" w:type="dxa"/>
            <w:vAlign w:val="top"/>
          </w:tcPr>
          <w:p w14:paraId="02FC821B">
            <w:pPr>
              <w:kinsoku w:val="0"/>
              <w:autoSpaceDE w:val="0"/>
              <w:autoSpaceDN w:val="0"/>
              <w:adjustRightInd w:val="0"/>
              <w:snapToGrid w:val="0"/>
              <w:spacing w:before="35" w:line="228" w:lineRule="auto"/>
              <w:ind w:left="13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
                <w:kern w:val="0"/>
                <w:sz w:val="20"/>
                <w:szCs w:val="20"/>
                <w:lang w:val="en-US" w:eastAsia="en-US" w:bidi="ar-SA"/>
              </w:rPr>
              <w:t>□仲裁□诉讼</w:t>
            </w:r>
          </w:p>
        </w:tc>
      </w:tr>
      <w:tr w14:paraId="24D18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2133" w:type="dxa"/>
            <w:vAlign w:val="top"/>
          </w:tcPr>
          <w:p w14:paraId="44CA5529">
            <w:pPr>
              <w:kinsoku w:val="0"/>
              <w:autoSpaceDE w:val="0"/>
              <w:autoSpaceDN w:val="0"/>
              <w:adjustRightInd w:val="0"/>
              <w:snapToGrid w:val="0"/>
              <w:spacing w:before="34" w:line="228" w:lineRule="auto"/>
              <w:ind w:left="59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
                <w:kern w:val="0"/>
                <w:sz w:val="20"/>
                <w:szCs w:val="20"/>
                <w:lang w:val="en-US" w:eastAsia="en-US" w:bidi="ar-SA"/>
              </w:rPr>
              <w:t>第24.1条</w:t>
            </w:r>
          </w:p>
        </w:tc>
        <w:tc>
          <w:tcPr>
            <w:tcW w:w="3116" w:type="dxa"/>
            <w:vAlign w:val="top"/>
          </w:tcPr>
          <w:p w14:paraId="06EB89C3">
            <w:pPr>
              <w:kinsoku w:val="0"/>
              <w:autoSpaceDE w:val="0"/>
              <w:autoSpaceDN w:val="0"/>
              <w:adjustRightInd w:val="0"/>
              <w:snapToGrid w:val="0"/>
              <w:spacing w:before="35" w:line="228" w:lineRule="auto"/>
              <w:ind w:left="93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合同未尽事项</w:t>
            </w:r>
          </w:p>
        </w:tc>
        <w:tc>
          <w:tcPr>
            <w:tcW w:w="3172" w:type="dxa"/>
            <w:vAlign w:val="top"/>
          </w:tcPr>
          <w:p w14:paraId="3386671A">
            <w:pPr>
              <w:kinsoku w:val="0"/>
              <w:autoSpaceDE w:val="0"/>
              <w:autoSpaceDN w:val="0"/>
              <w:adjustRightInd w:val="0"/>
              <w:snapToGrid w:val="0"/>
              <w:spacing w:before="35" w:line="228" w:lineRule="auto"/>
              <w:ind w:left="11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另行约定</w:t>
            </w:r>
          </w:p>
        </w:tc>
      </w:tr>
    </w:tbl>
    <w:p w14:paraId="3464E07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1057B218">
      <w:pPr>
        <w:rPr>
          <w:rFonts w:ascii="Arial" w:hAnsi="Arial" w:eastAsia="Arial" w:cs="Arial"/>
          <w:sz w:val="21"/>
          <w:szCs w:val="21"/>
        </w:rPr>
        <w:sectPr>
          <w:pgSz w:w="12240" w:h="15840"/>
          <w:pgMar w:top="400" w:right="1836" w:bottom="0" w:left="1693" w:header="0" w:footer="0" w:gutter="0"/>
          <w:pgNumType w:fmt="numberInDash"/>
          <w:cols w:space="720" w:num="1"/>
        </w:sectPr>
      </w:pPr>
    </w:p>
    <w:p w14:paraId="1B0832EC">
      <w:pPr>
        <w:spacing w:line="360" w:lineRule="auto"/>
        <w:jc w:val="both"/>
        <w:rPr>
          <w:rFonts w:hint="eastAsia" w:ascii="Calibri" w:hAnsi="Calibri" w:cs="Times New Roman" w:eastAsiaTheme="minorEastAsia"/>
          <w:b/>
          <w:bCs/>
          <w:color w:val="000000" w:themeColor="text1"/>
          <w:kern w:val="1"/>
          <w:sz w:val="30"/>
          <w:szCs w:val="30"/>
          <w:lang w:val="en-US" w:eastAsia="zh-CN" w:bidi="ar-SA"/>
          <w14:textFill>
            <w14:solidFill>
              <w14:schemeClr w14:val="tx1"/>
            </w14:solidFill>
          </w14:textFill>
        </w:rPr>
      </w:pPr>
    </w:p>
    <w:p w14:paraId="031F0F0E">
      <w:pPr>
        <w:pStyle w:val="2"/>
        <w:numPr>
          <w:ilvl w:val="0"/>
          <w:numId w:val="3"/>
        </w:numPr>
        <w:bidi w:val="0"/>
        <w:rPr>
          <w:rFonts w:hint="eastAsia" w:ascii="Calibri" w:hAnsi="Calibri" w:cs="Times New Roman" w:eastAsiaTheme="minorEastAsia"/>
          <w:b/>
          <w:bCs/>
          <w:color w:val="000000" w:themeColor="text1"/>
          <w:kern w:val="1"/>
          <w:sz w:val="30"/>
          <w:szCs w:val="30"/>
          <w:lang w:val="en-US" w:eastAsia="zh-CN" w:bidi="ar-SA"/>
          <w14:textFill>
            <w14:solidFill>
              <w14:schemeClr w14:val="tx1"/>
            </w14:solidFill>
          </w14:textFill>
        </w:rPr>
      </w:pPr>
      <w:bookmarkStart w:id="136" w:name="_Toc17316"/>
      <w:bookmarkStart w:id="137" w:name="_Toc13930"/>
      <w:r>
        <w:rPr>
          <w:rFonts w:hint="eastAsia" w:ascii="Calibri" w:hAnsi="Calibri" w:cs="Times New Roman" w:eastAsiaTheme="minorEastAsia"/>
          <w:b/>
          <w:bCs/>
          <w:color w:val="000000" w:themeColor="text1"/>
          <w:kern w:val="1"/>
          <w:sz w:val="30"/>
          <w:szCs w:val="30"/>
          <w:lang w:val="en-US" w:eastAsia="zh-CN" w:bidi="ar-SA"/>
          <w14:textFill>
            <w14:solidFill>
              <w14:schemeClr w14:val="tx1"/>
            </w14:solidFill>
          </w14:textFill>
        </w:rPr>
        <w:t>采购需求</w:t>
      </w:r>
      <w:bookmarkEnd w:id="136"/>
      <w:bookmarkEnd w:id="137"/>
    </w:p>
    <w:p w14:paraId="59E8E5F8">
      <w:pPr>
        <w:widowControl w:val="0"/>
        <w:autoSpaceDE w:val="0"/>
        <w:autoSpaceDN w:val="0"/>
        <w:adjustRightInd w:val="0"/>
        <w:rPr>
          <w:rFonts w:hint="eastAsia" w:ascii="黑体" w:hAnsi="Times New Roman" w:eastAsia="黑体" w:cs="Times New Roman"/>
          <w:color w:val="auto"/>
          <w:kern w:val="2"/>
          <w:lang w:val="en-US" w:eastAsia="zh-CN" w:bidi="ar-SA"/>
        </w:rPr>
      </w:pPr>
      <w:bookmarkStart w:id="138" w:name="_Toc519518699"/>
      <w:bookmarkEnd w:id="138"/>
      <w:bookmarkStart w:id="139" w:name="_Toc413143797"/>
      <w:bookmarkEnd w:id="139"/>
      <w:bookmarkStart w:id="140" w:name="_Toc519518690"/>
      <w:bookmarkEnd w:id="140"/>
      <w:bookmarkStart w:id="141" w:name="_Toc519518700"/>
      <w:bookmarkEnd w:id="141"/>
    </w:p>
    <w:p w14:paraId="5C898C2D">
      <w:pPr>
        <w:widowControl/>
        <w:kinsoku w:val="0"/>
        <w:autoSpaceDE w:val="0"/>
        <w:autoSpaceDN w:val="0"/>
        <w:adjustRightInd w:val="0"/>
        <w:snapToGrid w:val="0"/>
        <w:spacing w:before="137" w:line="219" w:lineRule="auto"/>
        <w:ind w:left="3348"/>
        <w:jc w:val="left"/>
        <w:textAlignment w:val="baseline"/>
        <w:rPr>
          <w:rFonts w:ascii="宋体" w:hAnsi="宋体" w:eastAsia="宋体" w:cs="宋体"/>
          <w:snapToGrid w:val="0"/>
          <w:color w:val="000000"/>
          <w:kern w:val="0"/>
          <w:sz w:val="28"/>
          <w:szCs w:val="28"/>
          <w:lang w:eastAsia="en-US"/>
        </w:rPr>
      </w:pPr>
      <w:r>
        <w:rPr>
          <w:rFonts w:ascii="宋体" w:hAnsi="宋体" w:eastAsia="宋体" w:cs="宋体"/>
          <w:b/>
          <w:bCs/>
          <w:snapToGrid w:val="0"/>
          <w:color w:val="000000"/>
          <w:spacing w:val="9"/>
          <w:kern w:val="0"/>
          <w:sz w:val="28"/>
          <w:szCs w:val="28"/>
          <w:lang w:eastAsia="en-US"/>
        </w:rPr>
        <w:t>第一节采购清单一览表</w:t>
      </w:r>
    </w:p>
    <w:p w14:paraId="66835FA1">
      <w:pPr>
        <w:widowControl/>
        <w:kinsoku w:val="0"/>
        <w:autoSpaceDE w:val="0"/>
        <w:autoSpaceDN w:val="0"/>
        <w:adjustRightInd w:val="0"/>
        <w:snapToGrid w:val="0"/>
        <w:spacing w:line="177" w:lineRule="exact"/>
        <w:jc w:val="left"/>
        <w:textAlignment w:val="baseline"/>
        <w:rPr>
          <w:rFonts w:ascii="Arial" w:hAnsi="Arial" w:eastAsia="Arial" w:cs="Arial"/>
          <w:snapToGrid w:val="0"/>
          <w:color w:val="000000"/>
          <w:kern w:val="0"/>
          <w:szCs w:val="21"/>
          <w:lang w:eastAsia="en-US"/>
        </w:rPr>
      </w:pPr>
    </w:p>
    <w:tbl>
      <w:tblPr>
        <w:tblStyle w:val="86"/>
        <w:tblW w:w="10020" w:type="dxa"/>
        <w:tblInd w:w="-5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0"/>
        <w:gridCol w:w="753"/>
        <w:gridCol w:w="840"/>
        <w:gridCol w:w="2385"/>
        <w:gridCol w:w="610"/>
        <w:gridCol w:w="814"/>
        <w:gridCol w:w="1124"/>
        <w:gridCol w:w="1279"/>
        <w:gridCol w:w="601"/>
        <w:gridCol w:w="1044"/>
      </w:tblGrid>
      <w:tr w14:paraId="73FA3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70" w:type="dxa"/>
            <w:vMerge w:val="restart"/>
            <w:tcBorders>
              <w:bottom w:val="nil"/>
            </w:tcBorders>
            <w:vAlign w:val="top"/>
          </w:tcPr>
          <w:p w14:paraId="7F20D86A">
            <w:pPr>
              <w:widowControl/>
              <w:kinsoku w:val="0"/>
              <w:autoSpaceDE w:val="0"/>
              <w:autoSpaceDN w:val="0"/>
              <w:adjustRightInd w:val="0"/>
              <w:snapToGrid w:val="0"/>
              <w:spacing w:line="361" w:lineRule="auto"/>
              <w:jc w:val="left"/>
              <w:textAlignment w:val="baseline"/>
              <w:rPr>
                <w:rFonts w:ascii="Arial" w:hAnsi="Arial" w:eastAsia="Arial" w:cs="Arial"/>
                <w:snapToGrid w:val="0"/>
                <w:color w:val="000000"/>
                <w:kern w:val="0"/>
                <w:sz w:val="24"/>
                <w:szCs w:val="24"/>
                <w:lang w:eastAsia="en-US"/>
              </w:rPr>
            </w:pPr>
          </w:p>
          <w:p w14:paraId="05996E58">
            <w:pPr>
              <w:kinsoku w:val="0"/>
              <w:autoSpaceDE w:val="0"/>
              <w:autoSpaceDN w:val="0"/>
              <w:adjustRightInd w:val="0"/>
              <w:snapToGrid w:val="0"/>
              <w:spacing w:before="68" w:line="221" w:lineRule="auto"/>
              <w:ind w:left="1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包号</w:t>
            </w:r>
          </w:p>
        </w:tc>
        <w:tc>
          <w:tcPr>
            <w:tcW w:w="753" w:type="dxa"/>
            <w:vMerge w:val="restart"/>
            <w:tcBorders>
              <w:bottom w:val="nil"/>
            </w:tcBorders>
            <w:vAlign w:val="top"/>
          </w:tcPr>
          <w:p w14:paraId="0F3AEA55">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p>
          <w:p w14:paraId="62112AA1">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包名称</w:t>
            </w:r>
          </w:p>
        </w:tc>
        <w:tc>
          <w:tcPr>
            <w:tcW w:w="3225" w:type="dxa"/>
            <w:gridSpan w:val="2"/>
            <w:vMerge w:val="restart"/>
            <w:tcBorders>
              <w:bottom w:val="nil"/>
            </w:tcBorders>
            <w:vAlign w:val="top"/>
          </w:tcPr>
          <w:p w14:paraId="0A9985EF">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p>
          <w:p w14:paraId="27FA77CE">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分项项目名称</w:t>
            </w:r>
          </w:p>
        </w:tc>
        <w:tc>
          <w:tcPr>
            <w:tcW w:w="610" w:type="dxa"/>
            <w:vMerge w:val="restart"/>
            <w:vAlign w:val="top"/>
          </w:tcPr>
          <w:p w14:paraId="16ECE2F7">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p>
          <w:p w14:paraId="6D51B18F">
            <w:pPr>
              <w:kinsoku w:val="0"/>
              <w:autoSpaceDE w:val="0"/>
              <w:autoSpaceDN w:val="0"/>
              <w:adjustRightInd w:val="0"/>
              <w:snapToGrid w:val="0"/>
              <w:spacing w:before="68" w:line="219" w:lineRule="auto"/>
              <w:jc w:val="both"/>
              <w:textAlignment w:val="baseline"/>
              <w:rPr>
                <w:rFonts w:hint="default" w:ascii="宋体" w:hAnsi="宋体" w:eastAsia="宋体" w:cs="宋体"/>
                <w:b/>
                <w:bCs/>
                <w:snapToGrid w:val="0"/>
                <w:color w:val="000000"/>
                <w:spacing w:val="-5"/>
                <w:kern w:val="0"/>
                <w:sz w:val="24"/>
                <w:szCs w:val="24"/>
                <w:lang w:val="en-US" w:eastAsia="zh-CN" w:bidi="ar-SA"/>
              </w:rPr>
            </w:pPr>
            <w:r>
              <w:rPr>
                <w:rFonts w:hint="eastAsia" w:ascii="宋体" w:hAnsi="宋体" w:eastAsia="宋体" w:cs="宋体"/>
                <w:b/>
                <w:bCs/>
                <w:snapToGrid w:val="0"/>
                <w:color w:val="000000"/>
                <w:spacing w:val="-5"/>
                <w:kern w:val="0"/>
                <w:sz w:val="24"/>
                <w:szCs w:val="24"/>
                <w:lang w:val="en-US" w:eastAsia="zh-CN" w:bidi="ar-SA"/>
              </w:rPr>
              <w:t>单位</w:t>
            </w:r>
          </w:p>
        </w:tc>
        <w:tc>
          <w:tcPr>
            <w:tcW w:w="814" w:type="dxa"/>
            <w:vMerge w:val="restart"/>
            <w:tcBorders>
              <w:bottom w:val="nil"/>
            </w:tcBorders>
            <w:vAlign w:val="top"/>
          </w:tcPr>
          <w:p w14:paraId="03B39C8A">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p>
          <w:p w14:paraId="1DA24A6E">
            <w:pPr>
              <w:kinsoku w:val="0"/>
              <w:autoSpaceDE w:val="0"/>
              <w:autoSpaceDN w:val="0"/>
              <w:adjustRightInd w:val="0"/>
              <w:snapToGrid w:val="0"/>
              <w:spacing w:before="68" w:line="219" w:lineRule="auto"/>
              <w:jc w:val="both"/>
              <w:textAlignment w:val="baseline"/>
              <w:rPr>
                <w:rFonts w:ascii="宋体" w:hAnsi="宋体" w:eastAsia="宋体" w:cs="宋体"/>
                <w:b/>
                <w:bCs/>
                <w:snapToGrid w:val="0"/>
                <w:color w:val="000000"/>
                <w:spacing w:val="-5"/>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数量</w:t>
            </w:r>
          </w:p>
        </w:tc>
        <w:tc>
          <w:tcPr>
            <w:tcW w:w="1124" w:type="dxa"/>
            <w:vMerge w:val="restart"/>
            <w:vAlign w:val="top"/>
          </w:tcPr>
          <w:p w14:paraId="0C8C6887">
            <w:pPr>
              <w:kinsoku w:val="0"/>
              <w:autoSpaceDE w:val="0"/>
              <w:autoSpaceDN w:val="0"/>
              <w:adjustRightInd w:val="0"/>
              <w:snapToGrid w:val="0"/>
              <w:spacing w:before="68" w:line="219" w:lineRule="auto"/>
              <w:jc w:val="both"/>
              <w:textAlignment w:val="baseline"/>
              <w:rPr>
                <w:rFonts w:ascii="宋体" w:hAnsi="宋体" w:eastAsia="宋体" w:cs="宋体"/>
                <w:b/>
                <w:bCs/>
                <w:snapToGrid w:val="0"/>
                <w:color w:val="000000"/>
                <w:spacing w:val="-5"/>
                <w:kern w:val="0"/>
                <w:sz w:val="24"/>
                <w:szCs w:val="24"/>
                <w:lang w:val="en-US" w:eastAsia="en-US" w:bidi="ar-SA"/>
              </w:rPr>
            </w:pPr>
            <w:r>
              <w:rPr>
                <w:rFonts w:hint="eastAsia" w:ascii="宋体" w:hAnsi="宋体" w:eastAsia="宋体" w:cs="宋体"/>
                <w:b/>
                <w:bCs/>
                <w:snapToGrid w:val="0"/>
                <w:color w:val="000000"/>
                <w:spacing w:val="-5"/>
                <w:kern w:val="0"/>
                <w:sz w:val="24"/>
                <w:szCs w:val="24"/>
                <w:lang w:val="en-US" w:eastAsia="zh-CN" w:bidi="ar-SA"/>
              </w:rPr>
              <w:t>采购预算（元）</w:t>
            </w:r>
          </w:p>
        </w:tc>
        <w:tc>
          <w:tcPr>
            <w:tcW w:w="1279" w:type="dxa"/>
            <w:vMerge w:val="restart"/>
            <w:vAlign w:val="top"/>
          </w:tcPr>
          <w:p w14:paraId="15F28757">
            <w:pPr>
              <w:kinsoku w:val="0"/>
              <w:autoSpaceDE w:val="0"/>
              <w:autoSpaceDN w:val="0"/>
              <w:adjustRightInd w:val="0"/>
              <w:snapToGrid w:val="0"/>
              <w:spacing w:before="68" w:line="219" w:lineRule="auto"/>
              <w:jc w:val="both"/>
              <w:textAlignment w:val="baseline"/>
              <w:rPr>
                <w:rFonts w:ascii="宋体" w:hAnsi="宋体" w:eastAsia="宋体" w:cs="宋体"/>
                <w:b/>
                <w:bCs/>
                <w:snapToGrid w:val="0"/>
                <w:color w:val="000000"/>
                <w:spacing w:val="-5"/>
                <w:kern w:val="0"/>
                <w:sz w:val="24"/>
                <w:szCs w:val="24"/>
                <w:lang w:val="en-US" w:eastAsia="en-US" w:bidi="ar-SA"/>
              </w:rPr>
            </w:pPr>
            <w:r>
              <w:rPr>
                <w:rFonts w:hint="eastAsia" w:ascii="宋体" w:hAnsi="宋体" w:eastAsia="宋体" w:cs="宋体"/>
                <w:b/>
                <w:bCs/>
                <w:snapToGrid w:val="0"/>
                <w:color w:val="000000"/>
                <w:spacing w:val="-5"/>
                <w:kern w:val="0"/>
                <w:sz w:val="24"/>
                <w:szCs w:val="24"/>
                <w:lang w:val="en-US" w:eastAsia="zh-CN" w:bidi="ar-SA"/>
              </w:rPr>
              <w:t>最高限价（元）</w:t>
            </w:r>
          </w:p>
        </w:tc>
        <w:tc>
          <w:tcPr>
            <w:tcW w:w="1645" w:type="dxa"/>
            <w:gridSpan w:val="2"/>
            <w:vAlign w:val="top"/>
          </w:tcPr>
          <w:p w14:paraId="4D7BDEEA">
            <w:pPr>
              <w:kinsoku w:val="0"/>
              <w:autoSpaceDE w:val="0"/>
              <w:autoSpaceDN w:val="0"/>
              <w:adjustRightInd w:val="0"/>
              <w:snapToGrid w:val="0"/>
              <w:spacing w:before="129" w:line="219"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交货要求</w:t>
            </w:r>
          </w:p>
        </w:tc>
      </w:tr>
      <w:tr w14:paraId="2202B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70" w:type="dxa"/>
            <w:vMerge w:val="continue"/>
            <w:tcBorders>
              <w:top w:val="nil"/>
            </w:tcBorders>
            <w:vAlign w:val="top"/>
          </w:tcPr>
          <w:p w14:paraId="0C5838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753" w:type="dxa"/>
            <w:vMerge w:val="continue"/>
            <w:tcBorders>
              <w:top w:val="nil"/>
            </w:tcBorders>
            <w:vAlign w:val="top"/>
          </w:tcPr>
          <w:p w14:paraId="64A72F6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3225" w:type="dxa"/>
            <w:gridSpan w:val="2"/>
            <w:vMerge w:val="continue"/>
            <w:tcBorders>
              <w:top w:val="nil"/>
            </w:tcBorders>
            <w:vAlign w:val="top"/>
          </w:tcPr>
          <w:p w14:paraId="767103F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10" w:type="dxa"/>
            <w:vMerge w:val="continue"/>
            <w:vAlign w:val="top"/>
          </w:tcPr>
          <w:p w14:paraId="513E892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814" w:type="dxa"/>
            <w:vMerge w:val="continue"/>
            <w:tcBorders>
              <w:top w:val="nil"/>
            </w:tcBorders>
            <w:vAlign w:val="top"/>
          </w:tcPr>
          <w:p w14:paraId="394EAD4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124" w:type="dxa"/>
            <w:vMerge w:val="continue"/>
            <w:tcBorders>
              <w:bottom w:val="single" w:color="auto" w:sz="4" w:space="0"/>
            </w:tcBorders>
            <w:vAlign w:val="top"/>
          </w:tcPr>
          <w:p w14:paraId="6A0B475A">
            <w:pPr>
              <w:kinsoku w:val="0"/>
              <w:autoSpaceDE w:val="0"/>
              <w:autoSpaceDN w:val="0"/>
              <w:adjustRightInd w:val="0"/>
              <w:snapToGrid w:val="0"/>
              <w:spacing w:before="189" w:line="221" w:lineRule="auto"/>
              <w:ind w:left="321"/>
              <w:jc w:val="left"/>
              <w:textAlignment w:val="baseline"/>
              <w:rPr>
                <w:rFonts w:ascii="宋体" w:hAnsi="宋体" w:eastAsia="宋体" w:cs="宋体"/>
                <w:b/>
                <w:bCs/>
                <w:snapToGrid w:val="0"/>
                <w:color w:val="000000"/>
                <w:spacing w:val="5"/>
                <w:kern w:val="0"/>
                <w:sz w:val="24"/>
                <w:szCs w:val="24"/>
                <w:lang w:val="en-US" w:eastAsia="en-US" w:bidi="ar-SA"/>
              </w:rPr>
            </w:pPr>
          </w:p>
        </w:tc>
        <w:tc>
          <w:tcPr>
            <w:tcW w:w="1279" w:type="dxa"/>
            <w:vMerge w:val="continue"/>
            <w:tcBorders>
              <w:bottom w:val="single" w:color="auto" w:sz="4" w:space="0"/>
            </w:tcBorders>
            <w:vAlign w:val="top"/>
          </w:tcPr>
          <w:p w14:paraId="6A8CDBBC">
            <w:pPr>
              <w:kinsoku w:val="0"/>
              <w:autoSpaceDE w:val="0"/>
              <w:autoSpaceDN w:val="0"/>
              <w:adjustRightInd w:val="0"/>
              <w:snapToGrid w:val="0"/>
              <w:spacing w:before="189" w:line="221" w:lineRule="auto"/>
              <w:ind w:left="321"/>
              <w:jc w:val="left"/>
              <w:textAlignment w:val="baseline"/>
              <w:rPr>
                <w:rFonts w:ascii="宋体" w:hAnsi="宋体" w:eastAsia="宋体" w:cs="宋体"/>
                <w:b/>
                <w:bCs/>
                <w:snapToGrid w:val="0"/>
                <w:color w:val="000000"/>
                <w:spacing w:val="5"/>
                <w:kern w:val="0"/>
                <w:sz w:val="24"/>
                <w:szCs w:val="24"/>
                <w:lang w:val="en-US" w:eastAsia="en-US" w:bidi="ar-SA"/>
              </w:rPr>
            </w:pPr>
          </w:p>
        </w:tc>
        <w:tc>
          <w:tcPr>
            <w:tcW w:w="601" w:type="dxa"/>
            <w:vAlign w:val="top"/>
          </w:tcPr>
          <w:p w14:paraId="1C210A3D">
            <w:pPr>
              <w:kinsoku w:val="0"/>
              <w:autoSpaceDE w:val="0"/>
              <w:autoSpaceDN w:val="0"/>
              <w:adjustRightInd w:val="0"/>
              <w:snapToGrid w:val="0"/>
              <w:spacing w:before="189" w:line="221"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时间</w:t>
            </w:r>
          </w:p>
        </w:tc>
        <w:tc>
          <w:tcPr>
            <w:tcW w:w="1044" w:type="dxa"/>
            <w:vAlign w:val="top"/>
          </w:tcPr>
          <w:p w14:paraId="223B95A1">
            <w:pPr>
              <w:kinsoku w:val="0"/>
              <w:autoSpaceDE w:val="0"/>
              <w:autoSpaceDN w:val="0"/>
              <w:adjustRightInd w:val="0"/>
              <w:snapToGrid w:val="0"/>
              <w:spacing w:before="191" w:line="224"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地点</w:t>
            </w:r>
          </w:p>
        </w:tc>
      </w:tr>
      <w:tr w14:paraId="2B9E2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570" w:type="dxa"/>
            <w:vMerge w:val="restart"/>
            <w:tcBorders>
              <w:bottom w:val="nil"/>
            </w:tcBorders>
            <w:vAlign w:val="top"/>
          </w:tcPr>
          <w:p w14:paraId="228B3555">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4E306282">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0802012A">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17EBE875">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1E9159E1">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3173CAE2">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3516E233">
            <w:pPr>
              <w:kinsoku w:val="0"/>
              <w:autoSpaceDE w:val="0"/>
              <w:autoSpaceDN w:val="0"/>
              <w:adjustRightInd w:val="0"/>
              <w:snapToGrid w:val="0"/>
              <w:spacing w:before="68" w:line="242" w:lineRule="auto"/>
              <w:ind w:right="164"/>
              <w:jc w:val="both"/>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包1</w:t>
            </w:r>
          </w:p>
        </w:tc>
        <w:tc>
          <w:tcPr>
            <w:tcW w:w="753" w:type="dxa"/>
            <w:vMerge w:val="restart"/>
            <w:tcBorders>
              <w:bottom w:val="nil"/>
            </w:tcBorders>
            <w:vAlign w:val="top"/>
          </w:tcPr>
          <w:p w14:paraId="3D8B9A1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DCFA0B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5A51D27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20A327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41A74B1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衡山县2026年城乡饮用水水质监测能力提升项目</w:t>
            </w:r>
          </w:p>
        </w:tc>
        <w:tc>
          <w:tcPr>
            <w:tcW w:w="840" w:type="dxa"/>
            <w:vAlign w:val="top"/>
          </w:tcPr>
          <w:p w14:paraId="31B3F57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1</w:t>
            </w:r>
          </w:p>
        </w:tc>
        <w:tc>
          <w:tcPr>
            <w:tcW w:w="2385" w:type="dxa"/>
            <w:vAlign w:val="center"/>
          </w:tcPr>
          <w:p w14:paraId="318D341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多参数水质分析仪（65参数型）</w:t>
            </w:r>
          </w:p>
        </w:tc>
        <w:tc>
          <w:tcPr>
            <w:tcW w:w="610" w:type="dxa"/>
            <w:vAlign w:val="center"/>
          </w:tcPr>
          <w:p w14:paraId="45A5ABC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right w:val="single" w:color="auto" w:sz="4" w:space="0"/>
            </w:tcBorders>
            <w:vAlign w:val="center"/>
          </w:tcPr>
          <w:p w14:paraId="176F89B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2</w:t>
            </w:r>
          </w:p>
        </w:tc>
        <w:tc>
          <w:tcPr>
            <w:tcW w:w="1124" w:type="dxa"/>
            <w:tcBorders>
              <w:top w:val="single" w:color="auto" w:sz="4" w:space="0"/>
              <w:left w:val="single" w:color="auto" w:sz="4" w:space="0"/>
              <w:bottom w:val="single" w:color="auto" w:sz="4" w:space="0"/>
              <w:right w:val="single" w:color="auto" w:sz="4" w:space="0"/>
            </w:tcBorders>
            <w:vAlign w:val="center"/>
          </w:tcPr>
          <w:p w14:paraId="52F0F7E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80000</w:t>
            </w:r>
          </w:p>
        </w:tc>
        <w:tc>
          <w:tcPr>
            <w:tcW w:w="1279" w:type="dxa"/>
            <w:vMerge w:val="restart"/>
            <w:tcBorders>
              <w:top w:val="single" w:color="auto" w:sz="4" w:space="0"/>
              <w:left w:val="single" w:color="auto" w:sz="4" w:space="0"/>
              <w:right w:val="single" w:color="auto" w:sz="4" w:space="0"/>
            </w:tcBorders>
            <w:vAlign w:val="top"/>
          </w:tcPr>
          <w:p w14:paraId="1A58A5C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D8B465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0D6F8B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8F87BC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55B90AC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3B0420C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9540162">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2496C72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874EA9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637BA42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5E719D4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654684B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2BA93D6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5E1AA19D">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850525.00</w:t>
            </w:r>
          </w:p>
        </w:tc>
        <w:tc>
          <w:tcPr>
            <w:tcW w:w="601" w:type="dxa"/>
            <w:vMerge w:val="restart"/>
            <w:tcBorders>
              <w:left w:val="single" w:color="auto" w:sz="4" w:space="0"/>
              <w:bottom w:val="nil"/>
            </w:tcBorders>
            <w:vAlign w:val="top"/>
          </w:tcPr>
          <w:p w14:paraId="55B6BE5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2B932B2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374ABF1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0B58F7D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5416CE1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B0155C4">
            <w:pPr>
              <w:kinsoku w:val="0"/>
              <w:autoSpaceDE w:val="0"/>
              <w:autoSpaceDN w:val="0"/>
              <w:adjustRightInd w:val="0"/>
              <w:snapToGrid w:val="0"/>
              <w:spacing w:before="68" w:line="242" w:lineRule="auto"/>
              <w:ind w:right="164"/>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自合同签订之日起30日内</w:t>
            </w:r>
          </w:p>
        </w:tc>
        <w:tc>
          <w:tcPr>
            <w:tcW w:w="1044" w:type="dxa"/>
            <w:vMerge w:val="restart"/>
            <w:tcBorders>
              <w:bottom w:val="nil"/>
            </w:tcBorders>
            <w:vAlign w:val="top"/>
          </w:tcPr>
          <w:p w14:paraId="0130318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AC0FCD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54F62C8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58C156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786A92A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27C4752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衡山县疾病预防控制中心（衡山县卫生综合监督执法局）</w:t>
            </w:r>
          </w:p>
        </w:tc>
      </w:tr>
      <w:tr w14:paraId="440F9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570" w:type="dxa"/>
            <w:vMerge w:val="continue"/>
            <w:tcBorders>
              <w:top w:val="nil"/>
              <w:bottom w:val="nil"/>
            </w:tcBorders>
            <w:vAlign w:val="top"/>
          </w:tcPr>
          <w:p w14:paraId="39F10877">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tcBorders>
              <w:top w:val="nil"/>
              <w:bottom w:val="nil"/>
            </w:tcBorders>
            <w:vAlign w:val="top"/>
          </w:tcPr>
          <w:p w14:paraId="76E03CF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vAlign w:val="top"/>
          </w:tcPr>
          <w:p w14:paraId="63F1F0A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2</w:t>
            </w:r>
          </w:p>
        </w:tc>
        <w:tc>
          <w:tcPr>
            <w:tcW w:w="2385" w:type="dxa"/>
            <w:vAlign w:val="center"/>
          </w:tcPr>
          <w:p w14:paraId="14FBBD87">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便携式微生物快速水质检测箱</w:t>
            </w:r>
          </w:p>
        </w:tc>
        <w:tc>
          <w:tcPr>
            <w:tcW w:w="610" w:type="dxa"/>
            <w:vAlign w:val="center"/>
          </w:tcPr>
          <w:p w14:paraId="36113E5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right w:val="single" w:color="auto" w:sz="4" w:space="0"/>
            </w:tcBorders>
            <w:vAlign w:val="center"/>
          </w:tcPr>
          <w:p w14:paraId="6B65B08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2</w:t>
            </w:r>
          </w:p>
        </w:tc>
        <w:tc>
          <w:tcPr>
            <w:tcW w:w="1124" w:type="dxa"/>
            <w:tcBorders>
              <w:top w:val="single" w:color="auto" w:sz="4" w:space="0"/>
              <w:left w:val="single" w:color="auto" w:sz="4" w:space="0"/>
              <w:bottom w:val="single" w:color="auto" w:sz="4" w:space="0"/>
              <w:right w:val="single" w:color="auto" w:sz="4" w:space="0"/>
            </w:tcBorders>
            <w:vAlign w:val="center"/>
          </w:tcPr>
          <w:p w14:paraId="3D279F3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3CE6209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24000</w:t>
            </w:r>
          </w:p>
          <w:p w14:paraId="526C4B2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1279" w:type="dxa"/>
            <w:vMerge w:val="continue"/>
            <w:tcBorders>
              <w:left w:val="single" w:color="auto" w:sz="4" w:space="0"/>
              <w:right w:val="single" w:color="auto" w:sz="4" w:space="0"/>
            </w:tcBorders>
            <w:vAlign w:val="top"/>
          </w:tcPr>
          <w:p w14:paraId="00F1CE22">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tcBorders>
              <w:top w:val="nil"/>
              <w:left w:val="single" w:color="auto" w:sz="4" w:space="0"/>
              <w:bottom w:val="nil"/>
            </w:tcBorders>
            <w:vAlign w:val="top"/>
          </w:tcPr>
          <w:p w14:paraId="6FB01CA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tcBorders>
              <w:top w:val="nil"/>
              <w:bottom w:val="nil"/>
            </w:tcBorders>
            <w:vAlign w:val="top"/>
          </w:tcPr>
          <w:p w14:paraId="4CEB8E4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9C43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70" w:type="dxa"/>
            <w:vMerge w:val="continue"/>
            <w:tcBorders>
              <w:top w:val="nil"/>
              <w:bottom w:val="nil"/>
            </w:tcBorders>
            <w:vAlign w:val="top"/>
          </w:tcPr>
          <w:p w14:paraId="56264532">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tcBorders>
              <w:top w:val="nil"/>
              <w:bottom w:val="nil"/>
            </w:tcBorders>
            <w:vAlign w:val="top"/>
          </w:tcPr>
          <w:p w14:paraId="5713426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vAlign w:val="top"/>
          </w:tcPr>
          <w:p w14:paraId="743465B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3</w:t>
            </w:r>
          </w:p>
        </w:tc>
        <w:tc>
          <w:tcPr>
            <w:tcW w:w="2385" w:type="dxa"/>
            <w:vAlign w:val="center"/>
          </w:tcPr>
          <w:p w14:paraId="5412A4B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低本底αβ测量仪</w:t>
            </w:r>
          </w:p>
        </w:tc>
        <w:tc>
          <w:tcPr>
            <w:tcW w:w="610" w:type="dxa"/>
            <w:vAlign w:val="center"/>
          </w:tcPr>
          <w:p w14:paraId="4E73F70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right w:val="single" w:color="auto" w:sz="4" w:space="0"/>
            </w:tcBorders>
            <w:vAlign w:val="center"/>
          </w:tcPr>
          <w:p w14:paraId="17AF8C9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tcBorders>
              <w:top w:val="single" w:color="auto" w:sz="4" w:space="0"/>
              <w:left w:val="single" w:color="auto" w:sz="4" w:space="0"/>
              <w:bottom w:val="single" w:color="auto" w:sz="4" w:space="0"/>
              <w:right w:val="single" w:color="auto" w:sz="4" w:space="0"/>
            </w:tcBorders>
            <w:vAlign w:val="center"/>
          </w:tcPr>
          <w:p w14:paraId="6AD9B70F">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177800</w:t>
            </w:r>
          </w:p>
        </w:tc>
        <w:tc>
          <w:tcPr>
            <w:tcW w:w="1279" w:type="dxa"/>
            <w:vMerge w:val="continue"/>
            <w:tcBorders>
              <w:left w:val="single" w:color="auto" w:sz="4" w:space="0"/>
              <w:right w:val="single" w:color="auto" w:sz="4" w:space="0"/>
            </w:tcBorders>
            <w:vAlign w:val="top"/>
          </w:tcPr>
          <w:p w14:paraId="2289CDC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tcBorders>
              <w:top w:val="nil"/>
              <w:left w:val="single" w:color="auto" w:sz="4" w:space="0"/>
              <w:bottom w:val="nil"/>
            </w:tcBorders>
            <w:vAlign w:val="top"/>
          </w:tcPr>
          <w:p w14:paraId="3F88652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tcBorders>
              <w:top w:val="nil"/>
              <w:bottom w:val="nil"/>
            </w:tcBorders>
            <w:vAlign w:val="top"/>
          </w:tcPr>
          <w:p w14:paraId="48027A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58DEC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70" w:type="dxa"/>
            <w:vMerge w:val="continue"/>
            <w:tcBorders>
              <w:top w:val="nil"/>
              <w:bottom w:val="nil"/>
            </w:tcBorders>
            <w:vAlign w:val="top"/>
          </w:tcPr>
          <w:p w14:paraId="6FD0C530">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tcBorders>
              <w:top w:val="nil"/>
              <w:bottom w:val="nil"/>
            </w:tcBorders>
            <w:vAlign w:val="top"/>
          </w:tcPr>
          <w:p w14:paraId="17F67AB2">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bottom w:val="single" w:color="auto" w:sz="4" w:space="0"/>
            </w:tcBorders>
            <w:vAlign w:val="top"/>
          </w:tcPr>
          <w:p w14:paraId="43E12A8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4</w:t>
            </w:r>
          </w:p>
        </w:tc>
        <w:tc>
          <w:tcPr>
            <w:tcW w:w="2385" w:type="dxa"/>
            <w:tcBorders>
              <w:bottom w:val="single" w:color="auto" w:sz="4" w:space="0"/>
            </w:tcBorders>
            <w:vAlign w:val="center"/>
          </w:tcPr>
          <w:p w14:paraId="6F96214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水样蒸发仪</w:t>
            </w:r>
          </w:p>
        </w:tc>
        <w:tc>
          <w:tcPr>
            <w:tcW w:w="610" w:type="dxa"/>
            <w:tcBorders>
              <w:bottom w:val="single" w:color="auto" w:sz="4" w:space="0"/>
            </w:tcBorders>
            <w:vAlign w:val="center"/>
          </w:tcPr>
          <w:p w14:paraId="749CA82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bottom w:val="single" w:color="auto" w:sz="4" w:space="0"/>
              <w:right w:val="single" w:color="auto" w:sz="4" w:space="0"/>
            </w:tcBorders>
            <w:vAlign w:val="center"/>
          </w:tcPr>
          <w:p w14:paraId="71510757">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tcBorders>
              <w:top w:val="single" w:color="auto" w:sz="4" w:space="0"/>
              <w:left w:val="single" w:color="auto" w:sz="4" w:space="0"/>
              <w:bottom w:val="single" w:color="auto" w:sz="4" w:space="0"/>
              <w:right w:val="single" w:color="auto" w:sz="4" w:space="0"/>
            </w:tcBorders>
            <w:vAlign w:val="center"/>
          </w:tcPr>
          <w:p w14:paraId="5DF963DA">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118925</w:t>
            </w:r>
          </w:p>
        </w:tc>
        <w:tc>
          <w:tcPr>
            <w:tcW w:w="1279" w:type="dxa"/>
            <w:vMerge w:val="continue"/>
            <w:tcBorders>
              <w:left w:val="single" w:color="auto" w:sz="4" w:space="0"/>
              <w:right w:val="single" w:color="auto" w:sz="4" w:space="0"/>
            </w:tcBorders>
            <w:vAlign w:val="top"/>
          </w:tcPr>
          <w:p w14:paraId="11125F8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tcBorders>
              <w:top w:val="nil"/>
              <w:left w:val="single" w:color="auto" w:sz="4" w:space="0"/>
              <w:bottom w:val="nil"/>
            </w:tcBorders>
            <w:vAlign w:val="top"/>
          </w:tcPr>
          <w:p w14:paraId="6369D89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tcBorders>
              <w:top w:val="nil"/>
              <w:bottom w:val="nil"/>
            </w:tcBorders>
            <w:vAlign w:val="top"/>
          </w:tcPr>
          <w:p w14:paraId="7151637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6ED3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570" w:type="dxa"/>
            <w:vMerge w:val="continue"/>
            <w:vAlign w:val="top"/>
          </w:tcPr>
          <w:p w14:paraId="607B5859">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7508C20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5F8973A3">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5</w:t>
            </w:r>
          </w:p>
        </w:tc>
        <w:tc>
          <w:tcPr>
            <w:tcW w:w="2385" w:type="dxa"/>
            <w:tcBorders>
              <w:top w:val="single" w:color="auto" w:sz="4" w:space="0"/>
              <w:bottom w:val="single" w:color="auto" w:sz="4" w:space="0"/>
            </w:tcBorders>
            <w:vAlign w:val="center"/>
          </w:tcPr>
          <w:p w14:paraId="77E164A8">
            <w:pPr>
              <w:kinsoku w:val="0"/>
              <w:autoSpaceDE w:val="0"/>
              <w:autoSpaceDN w:val="0"/>
              <w:adjustRightInd w:val="0"/>
              <w:snapToGrid w:val="0"/>
              <w:spacing w:before="68" w:line="242" w:lineRule="auto"/>
              <w:ind w:right="164"/>
              <w:jc w:val="both"/>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全自动高锰酸盐指数分析仪</w:t>
            </w:r>
          </w:p>
        </w:tc>
        <w:tc>
          <w:tcPr>
            <w:tcW w:w="610" w:type="dxa"/>
            <w:tcBorders>
              <w:top w:val="single" w:color="auto" w:sz="4" w:space="0"/>
              <w:bottom w:val="single" w:color="auto" w:sz="4" w:space="0"/>
            </w:tcBorders>
            <w:vAlign w:val="center"/>
          </w:tcPr>
          <w:p w14:paraId="51884F1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top w:val="single" w:color="auto" w:sz="4" w:space="0"/>
              <w:bottom w:val="single" w:color="auto" w:sz="4" w:space="0"/>
            </w:tcBorders>
            <w:vAlign w:val="center"/>
          </w:tcPr>
          <w:p w14:paraId="14440C6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tcBorders>
              <w:top w:val="single" w:color="auto" w:sz="4" w:space="0"/>
            </w:tcBorders>
            <w:vAlign w:val="center"/>
          </w:tcPr>
          <w:p w14:paraId="6035C079">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296200</w:t>
            </w:r>
          </w:p>
        </w:tc>
        <w:tc>
          <w:tcPr>
            <w:tcW w:w="1279" w:type="dxa"/>
            <w:vMerge w:val="continue"/>
            <w:tcBorders>
              <w:left w:val="single" w:color="auto" w:sz="4" w:space="0"/>
              <w:right w:val="single" w:color="auto" w:sz="4" w:space="0"/>
            </w:tcBorders>
            <w:vAlign w:val="top"/>
          </w:tcPr>
          <w:p w14:paraId="0DA6375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vAlign w:val="top"/>
          </w:tcPr>
          <w:p w14:paraId="577104A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0AFAE17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3F4DB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570" w:type="dxa"/>
            <w:vMerge w:val="continue"/>
            <w:vAlign w:val="top"/>
          </w:tcPr>
          <w:p w14:paraId="17DFEDD1">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7EF9980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4576B6B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6</w:t>
            </w:r>
          </w:p>
        </w:tc>
        <w:tc>
          <w:tcPr>
            <w:tcW w:w="2385" w:type="dxa"/>
            <w:tcBorders>
              <w:top w:val="single" w:color="auto" w:sz="4" w:space="0"/>
              <w:bottom w:val="single" w:color="auto" w:sz="4" w:space="0"/>
            </w:tcBorders>
            <w:vAlign w:val="center"/>
          </w:tcPr>
          <w:p w14:paraId="51F43CFA">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紫外可见分光光度计</w:t>
            </w:r>
          </w:p>
        </w:tc>
        <w:tc>
          <w:tcPr>
            <w:tcW w:w="610" w:type="dxa"/>
            <w:tcBorders>
              <w:top w:val="single" w:color="auto" w:sz="4" w:space="0"/>
              <w:bottom w:val="single" w:color="auto" w:sz="4" w:space="0"/>
            </w:tcBorders>
            <w:vAlign w:val="center"/>
          </w:tcPr>
          <w:p w14:paraId="5AC1204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top w:val="single" w:color="auto" w:sz="4" w:space="0"/>
              <w:bottom w:val="single" w:color="auto" w:sz="4" w:space="0"/>
            </w:tcBorders>
            <w:vAlign w:val="center"/>
          </w:tcPr>
          <w:p w14:paraId="0E0DFA1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4A4E512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50000</w:t>
            </w:r>
          </w:p>
        </w:tc>
        <w:tc>
          <w:tcPr>
            <w:tcW w:w="1279" w:type="dxa"/>
            <w:vMerge w:val="continue"/>
            <w:tcBorders>
              <w:left w:val="single" w:color="auto" w:sz="4" w:space="0"/>
              <w:right w:val="single" w:color="auto" w:sz="4" w:space="0"/>
            </w:tcBorders>
            <w:vAlign w:val="top"/>
          </w:tcPr>
          <w:p w14:paraId="418DC79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vAlign w:val="top"/>
          </w:tcPr>
          <w:p w14:paraId="2A3DB9E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563C22F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67BA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570" w:type="dxa"/>
            <w:vMerge w:val="continue"/>
            <w:vAlign w:val="top"/>
          </w:tcPr>
          <w:p w14:paraId="753AC544">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6C91E64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30DB7D2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7</w:t>
            </w:r>
          </w:p>
        </w:tc>
        <w:tc>
          <w:tcPr>
            <w:tcW w:w="2385" w:type="dxa"/>
            <w:tcBorders>
              <w:top w:val="single" w:color="auto" w:sz="4" w:space="0"/>
              <w:bottom w:val="single" w:color="auto" w:sz="4" w:space="0"/>
            </w:tcBorders>
            <w:vAlign w:val="center"/>
          </w:tcPr>
          <w:p w14:paraId="501BD78C">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高速离心机（标配6×50mL角转子，转子额定转速≥12000r/min）</w:t>
            </w:r>
          </w:p>
        </w:tc>
        <w:tc>
          <w:tcPr>
            <w:tcW w:w="610" w:type="dxa"/>
            <w:tcBorders>
              <w:top w:val="single" w:color="auto" w:sz="4" w:space="0"/>
              <w:bottom w:val="single" w:color="auto" w:sz="4" w:space="0"/>
            </w:tcBorders>
            <w:vAlign w:val="center"/>
          </w:tcPr>
          <w:p w14:paraId="798E072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top w:val="single" w:color="auto" w:sz="4" w:space="0"/>
              <w:bottom w:val="single" w:color="auto" w:sz="4" w:space="0"/>
            </w:tcBorders>
            <w:vAlign w:val="center"/>
          </w:tcPr>
          <w:p w14:paraId="3143D3A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1E8CB86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8800</w:t>
            </w:r>
          </w:p>
        </w:tc>
        <w:tc>
          <w:tcPr>
            <w:tcW w:w="1279" w:type="dxa"/>
            <w:vMerge w:val="continue"/>
            <w:tcBorders>
              <w:left w:val="single" w:color="auto" w:sz="4" w:space="0"/>
              <w:right w:val="single" w:color="auto" w:sz="4" w:space="0"/>
            </w:tcBorders>
            <w:vAlign w:val="top"/>
          </w:tcPr>
          <w:p w14:paraId="524D6C7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vAlign w:val="top"/>
          </w:tcPr>
          <w:p w14:paraId="7640D7D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467873A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37812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70" w:type="dxa"/>
            <w:vMerge w:val="continue"/>
            <w:vAlign w:val="top"/>
          </w:tcPr>
          <w:p w14:paraId="1D11860D">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424BF45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3AD3558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8</w:t>
            </w:r>
          </w:p>
        </w:tc>
        <w:tc>
          <w:tcPr>
            <w:tcW w:w="2385" w:type="dxa"/>
            <w:tcBorders>
              <w:top w:val="single" w:color="auto" w:sz="4" w:space="0"/>
              <w:bottom w:val="single" w:color="auto" w:sz="4" w:space="0"/>
            </w:tcBorders>
            <w:vAlign w:val="center"/>
          </w:tcPr>
          <w:p w14:paraId="6C439F8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ICP-MS检测器</w:t>
            </w:r>
          </w:p>
        </w:tc>
        <w:tc>
          <w:tcPr>
            <w:tcW w:w="610" w:type="dxa"/>
            <w:tcBorders>
              <w:top w:val="single" w:color="auto" w:sz="4" w:space="0"/>
              <w:bottom w:val="single" w:color="auto" w:sz="4" w:space="0"/>
            </w:tcBorders>
            <w:vAlign w:val="center"/>
          </w:tcPr>
          <w:p w14:paraId="5469CD1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个</w:t>
            </w:r>
          </w:p>
        </w:tc>
        <w:tc>
          <w:tcPr>
            <w:tcW w:w="814" w:type="dxa"/>
            <w:tcBorders>
              <w:top w:val="single" w:color="auto" w:sz="4" w:space="0"/>
              <w:bottom w:val="single" w:color="auto" w:sz="4" w:space="0"/>
            </w:tcBorders>
            <w:vAlign w:val="center"/>
          </w:tcPr>
          <w:p w14:paraId="2B09C74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23234BE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36000</w:t>
            </w:r>
          </w:p>
        </w:tc>
        <w:tc>
          <w:tcPr>
            <w:tcW w:w="1279" w:type="dxa"/>
            <w:vMerge w:val="continue"/>
            <w:tcBorders>
              <w:left w:val="single" w:color="auto" w:sz="4" w:space="0"/>
              <w:right w:val="single" w:color="auto" w:sz="4" w:space="0"/>
            </w:tcBorders>
            <w:vAlign w:val="top"/>
          </w:tcPr>
          <w:p w14:paraId="7E1A33B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vAlign w:val="top"/>
          </w:tcPr>
          <w:p w14:paraId="7C5FAA8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6DA9C5A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3FCE1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70" w:type="dxa"/>
            <w:vMerge w:val="continue"/>
            <w:vAlign w:val="top"/>
          </w:tcPr>
          <w:p w14:paraId="042C2B51">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54A2A37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550AF96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9</w:t>
            </w:r>
          </w:p>
        </w:tc>
        <w:tc>
          <w:tcPr>
            <w:tcW w:w="2385" w:type="dxa"/>
            <w:tcBorders>
              <w:top w:val="single" w:color="auto" w:sz="4" w:space="0"/>
              <w:bottom w:val="single" w:color="auto" w:sz="4" w:space="0"/>
            </w:tcBorders>
            <w:vAlign w:val="center"/>
          </w:tcPr>
          <w:p w14:paraId="4CF8745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ICP-MS样品锥</w:t>
            </w:r>
          </w:p>
        </w:tc>
        <w:tc>
          <w:tcPr>
            <w:tcW w:w="610" w:type="dxa"/>
            <w:tcBorders>
              <w:top w:val="single" w:color="auto" w:sz="4" w:space="0"/>
              <w:bottom w:val="single" w:color="auto" w:sz="4" w:space="0"/>
            </w:tcBorders>
            <w:vAlign w:val="center"/>
          </w:tcPr>
          <w:p w14:paraId="1CF1D7F2">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个</w:t>
            </w:r>
          </w:p>
        </w:tc>
        <w:tc>
          <w:tcPr>
            <w:tcW w:w="814" w:type="dxa"/>
            <w:tcBorders>
              <w:top w:val="single" w:color="auto" w:sz="4" w:space="0"/>
              <w:bottom w:val="single" w:color="auto" w:sz="4" w:space="0"/>
            </w:tcBorders>
            <w:vAlign w:val="center"/>
          </w:tcPr>
          <w:p w14:paraId="71EC30D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389DB2A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8500</w:t>
            </w:r>
          </w:p>
        </w:tc>
        <w:tc>
          <w:tcPr>
            <w:tcW w:w="1279" w:type="dxa"/>
            <w:vMerge w:val="continue"/>
            <w:tcBorders>
              <w:left w:val="single" w:color="auto" w:sz="4" w:space="0"/>
              <w:right w:val="single" w:color="auto" w:sz="4" w:space="0"/>
            </w:tcBorders>
            <w:vAlign w:val="top"/>
          </w:tcPr>
          <w:p w14:paraId="442B686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26C25DE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0BF121D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E9E3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70" w:type="dxa"/>
            <w:vMerge w:val="continue"/>
            <w:vAlign w:val="top"/>
          </w:tcPr>
          <w:p w14:paraId="7136AF49">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39A6C23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2E08E9D1">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10</w:t>
            </w:r>
          </w:p>
        </w:tc>
        <w:tc>
          <w:tcPr>
            <w:tcW w:w="2385" w:type="dxa"/>
            <w:tcBorders>
              <w:top w:val="single" w:color="auto" w:sz="4" w:space="0"/>
              <w:bottom w:val="single" w:color="auto" w:sz="4" w:space="0"/>
            </w:tcBorders>
            <w:vAlign w:val="center"/>
          </w:tcPr>
          <w:p w14:paraId="7F0124A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ICP-MS截取锥</w:t>
            </w:r>
          </w:p>
        </w:tc>
        <w:tc>
          <w:tcPr>
            <w:tcW w:w="610" w:type="dxa"/>
            <w:tcBorders>
              <w:top w:val="single" w:color="auto" w:sz="4" w:space="0"/>
              <w:bottom w:val="single" w:color="auto" w:sz="4" w:space="0"/>
            </w:tcBorders>
            <w:vAlign w:val="center"/>
          </w:tcPr>
          <w:p w14:paraId="2C526F2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个</w:t>
            </w:r>
          </w:p>
        </w:tc>
        <w:tc>
          <w:tcPr>
            <w:tcW w:w="814" w:type="dxa"/>
            <w:tcBorders>
              <w:top w:val="single" w:color="auto" w:sz="4" w:space="0"/>
              <w:bottom w:val="single" w:color="auto" w:sz="4" w:space="0"/>
            </w:tcBorders>
            <w:vAlign w:val="center"/>
          </w:tcPr>
          <w:p w14:paraId="6543122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22BFD65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6500</w:t>
            </w:r>
          </w:p>
        </w:tc>
        <w:tc>
          <w:tcPr>
            <w:tcW w:w="1279" w:type="dxa"/>
            <w:vMerge w:val="continue"/>
            <w:tcBorders>
              <w:left w:val="single" w:color="auto" w:sz="4" w:space="0"/>
              <w:right w:val="single" w:color="auto" w:sz="4" w:space="0"/>
            </w:tcBorders>
            <w:vAlign w:val="top"/>
          </w:tcPr>
          <w:p w14:paraId="2B43881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6251751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26E370F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784AA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70" w:type="dxa"/>
            <w:vMerge w:val="continue"/>
            <w:vAlign w:val="top"/>
          </w:tcPr>
          <w:p w14:paraId="64B2AC66">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475EC99D">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531F3875">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11</w:t>
            </w:r>
          </w:p>
        </w:tc>
        <w:tc>
          <w:tcPr>
            <w:tcW w:w="2385" w:type="dxa"/>
            <w:tcBorders>
              <w:top w:val="single" w:color="auto" w:sz="4" w:space="0"/>
              <w:bottom w:val="single" w:color="auto" w:sz="4" w:space="0"/>
            </w:tcBorders>
            <w:vAlign w:val="center"/>
          </w:tcPr>
          <w:p w14:paraId="3F97B71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ICP-MS泵管</w:t>
            </w:r>
          </w:p>
        </w:tc>
        <w:tc>
          <w:tcPr>
            <w:tcW w:w="610" w:type="dxa"/>
            <w:tcBorders>
              <w:top w:val="single" w:color="auto" w:sz="4" w:space="0"/>
              <w:bottom w:val="single" w:color="auto" w:sz="4" w:space="0"/>
            </w:tcBorders>
            <w:vAlign w:val="center"/>
          </w:tcPr>
          <w:p w14:paraId="214CEF4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套</w:t>
            </w:r>
          </w:p>
        </w:tc>
        <w:tc>
          <w:tcPr>
            <w:tcW w:w="814" w:type="dxa"/>
            <w:tcBorders>
              <w:top w:val="single" w:color="auto" w:sz="4" w:space="0"/>
              <w:bottom w:val="single" w:color="auto" w:sz="4" w:space="0"/>
            </w:tcBorders>
            <w:vAlign w:val="center"/>
          </w:tcPr>
          <w:p w14:paraId="37CC50F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7F6158A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1500</w:t>
            </w:r>
          </w:p>
        </w:tc>
        <w:tc>
          <w:tcPr>
            <w:tcW w:w="1279" w:type="dxa"/>
            <w:vMerge w:val="continue"/>
            <w:tcBorders>
              <w:left w:val="single" w:color="auto" w:sz="4" w:space="0"/>
              <w:right w:val="single" w:color="auto" w:sz="4" w:space="0"/>
            </w:tcBorders>
            <w:vAlign w:val="top"/>
          </w:tcPr>
          <w:p w14:paraId="3B2E4FE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39D5876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35D07BD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85DA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70" w:type="dxa"/>
            <w:vMerge w:val="continue"/>
            <w:vAlign w:val="top"/>
          </w:tcPr>
          <w:p w14:paraId="69706B62">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77A2822A">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453543E4">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12</w:t>
            </w:r>
          </w:p>
        </w:tc>
        <w:tc>
          <w:tcPr>
            <w:tcW w:w="2385" w:type="dxa"/>
            <w:tcBorders>
              <w:top w:val="single" w:color="auto" w:sz="4" w:space="0"/>
              <w:bottom w:val="single" w:color="auto" w:sz="4" w:space="0"/>
            </w:tcBorders>
            <w:vAlign w:val="center"/>
          </w:tcPr>
          <w:p w14:paraId="5E04C66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ICP-MS调谐液</w:t>
            </w:r>
          </w:p>
        </w:tc>
        <w:tc>
          <w:tcPr>
            <w:tcW w:w="610" w:type="dxa"/>
            <w:tcBorders>
              <w:top w:val="single" w:color="auto" w:sz="4" w:space="0"/>
              <w:bottom w:val="single" w:color="auto" w:sz="4" w:space="0"/>
            </w:tcBorders>
            <w:vAlign w:val="center"/>
          </w:tcPr>
          <w:p w14:paraId="3F7AA1E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瓶</w:t>
            </w:r>
          </w:p>
        </w:tc>
        <w:tc>
          <w:tcPr>
            <w:tcW w:w="814" w:type="dxa"/>
            <w:tcBorders>
              <w:top w:val="single" w:color="auto" w:sz="4" w:space="0"/>
              <w:bottom w:val="single" w:color="auto" w:sz="4" w:space="0"/>
            </w:tcBorders>
            <w:vAlign w:val="center"/>
          </w:tcPr>
          <w:p w14:paraId="5A8683B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00B8197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3800</w:t>
            </w:r>
          </w:p>
        </w:tc>
        <w:tc>
          <w:tcPr>
            <w:tcW w:w="1279" w:type="dxa"/>
            <w:vMerge w:val="continue"/>
            <w:tcBorders>
              <w:left w:val="single" w:color="auto" w:sz="4" w:space="0"/>
              <w:right w:val="single" w:color="auto" w:sz="4" w:space="0"/>
            </w:tcBorders>
            <w:vAlign w:val="top"/>
          </w:tcPr>
          <w:p w14:paraId="076E896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0292DE6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09AF059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3D805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570" w:type="dxa"/>
            <w:vMerge w:val="continue"/>
            <w:vAlign w:val="top"/>
          </w:tcPr>
          <w:p w14:paraId="27AE8AA5">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3CC912A9">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2261B6FC">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13</w:t>
            </w:r>
          </w:p>
        </w:tc>
        <w:tc>
          <w:tcPr>
            <w:tcW w:w="2385" w:type="dxa"/>
            <w:tcBorders>
              <w:top w:val="single" w:color="auto" w:sz="4" w:space="0"/>
              <w:bottom w:val="single" w:color="auto" w:sz="4" w:space="0"/>
            </w:tcBorders>
            <w:vAlign w:val="center"/>
          </w:tcPr>
          <w:p w14:paraId="3C29584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阴阳离子A18色谱柱+配套保护柱整套</w:t>
            </w:r>
          </w:p>
        </w:tc>
        <w:tc>
          <w:tcPr>
            <w:tcW w:w="610" w:type="dxa"/>
            <w:tcBorders>
              <w:top w:val="single" w:color="auto" w:sz="4" w:space="0"/>
              <w:bottom w:val="single" w:color="auto" w:sz="4" w:space="0"/>
            </w:tcBorders>
            <w:vAlign w:val="center"/>
          </w:tcPr>
          <w:p w14:paraId="4BBCC7A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套</w:t>
            </w:r>
          </w:p>
        </w:tc>
        <w:tc>
          <w:tcPr>
            <w:tcW w:w="814" w:type="dxa"/>
            <w:tcBorders>
              <w:top w:val="single" w:color="auto" w:sz="4" w:space="0"/>
              <w:bottom w:val="single" w:color="auto" w:sz="4" w:space="0"/>
            </w:tcBorders>
            <w:vAlign w:val="center"/>
          </w:tcPr>
          <w:p w14:paraId="60D574A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52D9DA1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34000</w:t>
            </w:r>
          </w:p>
        </w:tc>
        <w:tc>
          <w:tcPr>
            <w:tcW w:w="1279" w:type="dxa"/>
            <w:vMerge w:val="continue"/>
            <w:tcBorders>
              <w:left w:val="single" w:color="auto" w:sz="4" w:space="0"/>
              <w:right w:val="single" w:color="auto" w:sz="4" w:space="0"/>
            </w:tcBorders>
            <w:vAlign w:val="top"/>
          </w:tcPr>
          <w:p w14:paraId="5170537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3208744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56D7749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7DA38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0" w:type="dxa"/>
            <w:vMerge w:val="continue"/>
            <w:vAlign w:val="top"/>
          </w:tcPr>
          <w:p w14:paraId="7207812F">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zh-CN" w:bidi="ar-SA"/>
              </w:rPr>
            </w:pPr>
          </w:p>
        </w:tc>
        <w:tc>
          <w:tcPr>
            <w:tcW w:w="753" w:type="dxa"/>
            <w:vMerge w:val="continue"/>
            <w:vAlign w:val="top"/>
          </w:tcPr>
          <w:p w14:paraId="36C8452A">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67C4420D">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14</w:t>
            </w:r>
          </w:p>
        </w:tc>
        <w:tc>
          <w:tcPr>
            <w:tcW w:w="2385" w:type="dxa"/>
            <w:tcBorders>
              <w:top w:val="single" w:color="auto" w:sz="4" w:space="0"/>
              <w:bottom w:val="single" w:color="auto" w:sz="4" w:space="0"/>
            </w:tcBorders>
            <w:vAlign w:val="center"/>
          </w:tcPr>
          <w:p w14:paraId="1937FA8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顶空瓶瓶盖垫片</w:t>
            </w:r>
          </w:p>
        </w:tc>
        <w:tc>
          <w:tcPr>
            <w:tcW w:w="610" w:type="dxa"/>
            <w:tcBorders>
              <w:top w:val="single" w:color="auto" w:sz="4" w:space="0"/>
              <w:bottom w:val="single" w:color="auto" w:sz="4" w:space="0"/>
            </w:tcBorders>
            <w:vAlign w:val="center"/>
          </w:tcPr>
          <w:p w14:paraId="3089636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片</w:t>
            </w:r>
          </w:p>
        </w:tc>
        <w:tc>
          <w:tcPr>
            <w:tcW w:w="814" w:type="dxa"/>
            <w:tcBorders>
              <w:top w:val="single" w:color="auto" w:sz="4" w:space="0"/>
              <w:bottom w:val="single" w:color="auto" w:sz="4" w:space="0"/>
            </w:tcBorders>
            <w:vAlign w:val="center"/>
          </w:tcPr>
          <w:p w14:paraId="5860319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500</w:t>
            </w:r>
          </w:p>
        </w:tc>
        <w:tc>
          <w:tcPr>
            <w:tcW w:w="1124" w:type="dxa"/>
            <w:vAlign w:val="center"/>
          </w:tcPr>
          <w:p w14:paraId="4AA807F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4500</w:t>
            </w:r>
          </w:p>
        </w:tc>
        <w:tc>
          <w:tcPr>
            <w:tcW w:w="1279" w:type="dxa"/>
            <w:vMerge w:val="continue"/>
            <w:tcBorders>
              <w:left w:val="single" w:color="auto" w:sz="4" w:space="0"/>
              <w:right w:val="single" w:color="auto" w:sz="4" w:space="0"/>
            </w:tcBorders>
            <w:vAlign w:val="top"/>
          </w:tcPr>
          <w:p w14:paraId="40E1C32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0FD5D14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36C26B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5D390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0020" w:type="dxa"/>
            <w:gridSpan w:val="10"/>
            <w:vAlign w:val="top"/>
          </w:tcPr>
          <w:p w14:paraId="6F87FA8C">
            <w:pPr>
              <w:widowControl/>
              <w:kinsoku w:val="0"/>
              <w:autoSpaceDE w:val="0"/>
              <w:autoSpaceDN w:val="0"/>
              <w:adjustRightInd w:val="0"/>
              <w:snapToGrid w:val="0"/>
              <w:spacing w:before="154" w:line="219" w:lineRule="auto"/>
              <w:ind w:left="50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0"/>
                <w:kern w:val="0"/>
                <w:sz w:val="22"/>
                <w:szCs w:val="22"/>
                <w:lang w:eastAsia="en-US"/>
              </w:rPr>
              <w:t>注：1</w:t>
            </w:r>
            <w:r>
              <w:rPr>
                <w:rFonts w:ascii="宋体" w:hAnsi="宋体" w:eastAsia="宋体" w:cs="宋体"/>
                <w:snapToGrid w:val="0"/>
                <w:color w:val="000000"/>
                <w:kern w:val="0"/>
                <w:sz w:val="24"/>
                <w:szCs w:val="24"/>
                <w:lang w:eastAsia="en-US"/>
              </w:rPr>
              <w:t>.“包”为最小合同单位。每“包”内容应细化到具体的标的。</w:t>
            </w:r>
          </w:p>
          <w:p w14:paraId="510B3021">
            <w:pPr>
              <w:widowControl/>
              <w:kinsoku w:val="0"/>
              <w:autoSpaceDE w:val="0"/>
              <w:autoSpaceDN w:val="0"/>
              <w:adjustRightInd w:val="0"/>
              <w:snapToGrid w:val="0"/>
              <w:spacing w:before="277" w:line="219" w:lineRule="auto"/>
              <w:ind w:left="914"/>
              <w:jc w:val="left"/>
              <w:textAlignment w:val="baseline"/>
              <w:rPr>
                <w:rFonts w:ascii="宋体" w:hAnsi="宋体" w:eastAsia="宋体" w:cs="宋体"/>
                <w:snapToGrid w:val="0"/>
                <w:color w:val="000000"/>
                <w:kern w:val="0"/>
                <w:sz w:val="24"/>
                <w:szCs w:val="24"/>
                <w:lang w:eastAsia="en-US"/>
              </w:rPr>
            </w:pPr>
            <w:r>
              <w:rPr>
                <w:rFonts w:ascii="Times New Roman" w:hAnsi="Times New Roman" w:eastAsia="Times New Roman" w:cs="Times New Roman"/>
                <w:snapToGrid w:val="0"/>
                <w:color w:val="000000"/>
                <w:kern w:val="0"/>
                <w:sz w:val="24"/>
                <w:szCs w:val="24"/>
                <w:lang w:eastAsia="en-US"/>
              </w:rPr>
              <w:t>2.</w:t>
            </w:r>
            <w:r>
              <w:rPr>
                <w:rFonts w:ascii="宋体" w:hAnsi="宋体" w:eastAsia="宋体" w:cs="宋体"/>
                <w:snapToGrid w:val="0"/>
                <w:color w:val="000000"/>
                <w:kern w:val="0"/>
                <w:sz w:val="24"/>
                <w:szCs w:val="24"/>
                <w:lang w:eastAsia="en-US"/>
              </w:rPr>
              <w:t>货物的主要技术参数或规格：详见第</w:t>
            </w:r>
            <w:r>
              <w:rPr>
                <w:rFonts w:ascii="宋体" w:hAnsi="宋体" w:eastAsia="宋体" w:cs="宋体"/>
                <w:snapToGrid w:val="0"/>
                <w:color w:val="000000"/>
                <w:spacing w:val="-1"/>
                <w:kern w:val="0"/>
                <w:sz w:val="24"/>
                <w:szCs w:val="24"/>
                <w:lang w:eastAsia="en-US"/>
              </w:rPr>
              <w:t>二节“技术要求”中的具体技术参数。</w:t>
            </w:r>
          </w:p>
          <w:p w14:paraId="5FEB5B52">
            <w:pPr>
              <w:widowControl/>
              <w:kinsoku w:val="0"/>
              <w:autoSpaceDE w:val="0"/>
              <w:autoSpaceDN w:val="0"/>
              <w:adjustRightInd w:val="0"/>
              <w:snapToGrid w:val="0"/>
              <w:spacing w:before="271" w:line="293" w:lineRule="auto"/>
              <w:ind w:left="504" w:right="532" w:firstLine="409"/>
              <w:jc w:val="left"/>
              <w:textAlignment w:val="baseline"/>
              <w:rPr>
                <w:rFonts w:ascii="宋体" w:hAnsi="宋体" w:eastAsia="宋体" w:cs="宋体"/>
                <w:snapToGrid w:val="0"/>
                <w:color w:val="000000"/>
                <w:kern w:val="0"/>
                <w:sz w:val="24"/>
                <w:szCs w:val="24"/>
                <w:lang w:eastAsia="en-US"/>
              </w:rPr>
            </w:pPr>
            <w:r>
              <w:rPr>
                <w:rFonts w:ascii="Times New Roman" w:hAnsi="Times New Roman" w:eastAsia="Times New Roman" w:cs="Times New Roman"/>
                <w:snapToGrid w:val="0"/>
                <w:color w:val="000000"/>
                <w:kern w:val="0"/>
                <w:sz w:val="24"/>
                <w:szCs w:val="24"/>
                <w:lang w:eastAsia="en-US"/>
              </w:rPr>
              <w:t>3.</w:t>
            </w:r>
            <w:r>
              <w:rPr>
                <w:rFonts w:ascii="宋体" w:hAnsi="宋体" w:eastAsia="宋体" w:cs="宋体"/>
                <w:snapToGrid w:val="0"/>
                <w:color w:val="000000"/>
                <w:kern w:val="0"/>
                <w:sz w:val="24"/>
                <w:szCs w:val="24"/>
                <w:lang w:eastAsia="en-US"/>
              </w:rPr>
              <w:t>供应商应在响应文件“分项报价明细表”中按标的名称顺序逐项填写，且每个标的均需</w:t>
            </w:r>
            <w:r>
              <w:rPr>
                <w:rFonts w:ascii="宋体" w:hAnsi="宋体" w:eastAsia="宋体" w:cs="宋体"/>
                <w:snapToGrid w:val="0"/>
                <w:color w:val="000000"/>
                <w:spacing w:val="-2"/>
                <w:kern w:val="0"/>
                <w:sz w:val="24"/>
                <w:szCs w:val="24"/>
                <w:lang w:eastAsia="en-US"/>
              </w:rPr>
              <w:t>按</w:t>
            </w:r>
            <w:r>
              <w:rPr>
                <w:rFonts w:hint="eastAsia" w:ascii="宋体" w:hAnsi="宋体" w:eastAsia="宋体" w:cs="宋体"/>
                <w:snapToGrid w:val="0"/>
                <w:color w:val="000000"/>
                <w:spacing w:val="-2"/>
                <w:kern w:val="0"/>
                <w:sz w:val="24"/>
                <w:szCs w:val="24"/>
                <w:lang w:val="en-US" w:eastAsia="zh-CN"/>
              </w:rPr>
              <w:t>招标</w:t>
            </w:r>
            <w:r>
              <w:rPr>
                <w:rFonts w:ascii="宋体" w:hAnsi="宋体" w:eastAsia="宋体" w:cs="宋体"/>
                <w:snapToGrid w:val="0"/>
                <w:color w:val="000000"/>
                <w:spacing w:val="-2"/>
                <w:kern w:val="0"/>
                <w:sz w:val="24"/>
                <w:szCs w:val="24"/>
                <w:lang w:eastAsia="en-US"/>
              </w:rPr>
              <w:t>文件规定报价。如有缺项、漏项，其</w:t>
            </w:r>
            <w:r>
              <w:rPr>
                <w:rFonts w:ascii="宋体" w:hAnsi="宋体" w:eastAsia="宋体" w:cs="宋体"/>
                <w:b/>
                <w:bCs/>
                <w:snapToGrid w:val="0"/>
                <w:color w:val="000000"/>
                <w:spacing w:val="-2"/>
                <w:kern w:val="0"/>
                <w:sz w:val="24"/>
                <w:szCs w:val="24"/>
                <w:lang w:eastAsia="en-US"/>
              </w:rPr>
              <w:t>响</w:t>
            </w:r>
            <w:r>
              <w:rPr>
                <w:rFonts w:ascii="宋体" w:hAnsi="宋体" w:eastAsia="宋体" w:cs="宋体"/>
                <w:b/>
                <w:bCs/>
                <w:snapToGrid w:val="0"/>
                <w:color w:val="000000"/>
                <w:spacing w:val="-3"/>
                <w:kern w:val="0"/>
                <w:sz w:val="24"/>
                <w:szCs w:val="24"/>
                <w:lang w:eastAsia="en-US"/>
              </w:rPr>
              <w:t>应无效。</w:t>
            </w:r>
          </w:p>
          <w:p w14:paraId="53609B0C">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4"/>
                <w:szCs w:val="24"/>
                <w:lang w:eastAsia="zh-CN"/>
              </w:rPr>
            </w:pPr>
          </w:p>
        </w:tc>
      </w:tr>
    </w:tbl>
    <w:p w14:paraId="11EC6737">
      <w:pPr>
        <w:spacing w:line="293" w:lineRule="auto"/>
        <w:rPr>
          <w:rFonts w:ascii="宋体" w:hAnsi="宋体" w:eastAsia="宋体" w:cs="宋体"/>
          <w:kern w:val="2"/>
          <w:sz w:val="21"/>
          <w:szCs w:val="21"/>
        </w:rPr>
      </w:pPr>
    </w:p>
    <w:p w14:paraId="4560CEC4">
      <w:pPr>
        <w:widowControl/>
        <w:numPr>
          <w:ilvl w:val="0"/>
          <w:numId w:val="4"/>
        </w:numPr>
        <w:kinsoku w:val="0"/>
        <w:autoSpaceDE w:val="0"/>
        <w:autoSpaceDN w:val="0"/>
        <w:adjustRightInd w:val="0"/>
        <w:snapToGrid w:val="0"/>
        <w:spacing w:before="137" w:line="219" w:lineRule="auto"/>
        <w:ind w:left="3348"/>
        <w:jc w:val="left"/>
        <w:textAlignment w:val="baseline"/>
        <w:rPr>
          <w:rFonts w:hint="default" w:ascii="宋体" w:hAnsi="宋体" w:eastAsia="宋体" w:cs="宋体"/>
          <w:b/>
          <w:bCs/>
          <w:snapToGrid w:val="0"/>
          <w:color w:val="000000"/>
          <w:spacing w:val="9"/>
          <w:kern w:val="0"/>
          <w:sz w:val="28"/>
          <w:szCs w:val="28"/>
          <w:lang w:val="en-US" w:eastAsia="zh-CN"/>
        </w:rPr>
      </w:pPr>
      <w:r>
        <w:rPr>
          <w:rFonts w:hint="eastAsia" w:ascii="宋体" w:hAnsi="宋体" w:eastAsia="宋体" w:cs="宋体"/>
          <w:b/>
          <w:bCs/>
          <w:snapToGrid w:val="0"/>
          <w:color w:val="000000"/>
          <w:spacing w:val="9"/>
          <w:kern w:val="0"/>
          <w:sz w:val="28"/>
          <w:szCs w:val="28"/>
          <w:lang w:val="en-US" w:eastAsia="zh-CN"/>
        </w:rPr>
        <w:t>技术要求</w:t>
      </w:r>
    </w:p>
    <w:p w14:paraId="4DDE1F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一、说明</w:t>
      </w:r>
    </w:p>
    <w:p w14:paraId="584F31C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7" w:line="360" w:lineRule="auto"/>
        <w:ind w:firstLine="480" w:firstLineChars="200"/>
        <w:jc w:val="left"/>
        <w:textAlignment w:val="baseline"/>
        <w:rPr>
          <w:rFonts w:hint="eastAsia"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color w:val="000000"/>
          <w:kern w:val="2"/>
          <w:sz w:val="24"/>
          <w:szCs w:val="24"/>
          <w:lang w:val="en-US" w:eastAsia="zh-CN"/>
        </w:rPr>
        <w:t>1、本项目全部设备、耗材技术参数依据《生活饮用水卫生标准》（GB5749-2022）、《生活饮用水标准检验方法》（GB/T5750-2023）、HJ水质放射性检测系列现行强制性国家标准编制；允许同等性能国产设备等效替代，替代产品全部量化指标不得低于本文件最低要求。</w:t>
      </w:r>
    </w:p>
    <w:p w14:paraId="0139092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7" w:line="360" w:lineRule="auto"/>
        <w:ind w:firstLine="482" w:firstLineChars="200"/>
        <w:jc w:val="left"/>
        <w:textAlignment w:val="baseline"/>
        <w:rPr>
          <w:rFonts w:hint="default" w:ascii="宋体" w:hAnsi="宋体" w:eastAsia="宋体" w:cs="宋体"/>
          <w:b/>
          <w:bCs/>
          <w:snapToGrid w:val="0"/>
          <w:color w:val="000000"/>
          <w:spacing w:val="9"/>
          <w:kern w:val="0"/>
          <w:sz w:val="28"/>
          <w:szCs w:val="28"/>
          <w:lang w:val="en-US" w:eastAsia="zh-CN"/>
        </w:rPr>
      </w:pPr>
      <w:r>
        <w:rPr>
          <w:rFonts w:hint="eastAsia" w:ascii="宋体" w:hAnsi="宋体" w:eastAsia="宋体" w:cs="宋体"/>
          <w:b/>
          <w:bCs/>
          <w:color w:val="000000"/>
          <w:kern w:val="0"/>
          <w:sz w:val="24"/>
          <w:szCs w:val="24"/>
          <w:lang w:val="en-US" w:eastAsia="zh-CN" w:bidi="ar"/>
        </w:rPr>
        <w:t>二、设备清单参数要求</w:t>
      </w:r>
    </w:p>
    <w:tbl>
      <w:tblPr>
        <w:tblStyle w:val="28"/>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453"/>
        <w:gridCol w:w="1583"/>
        <w:gridCol w:w="6203"/>
      </w:tblGrid>
      <w:tr w14:paraId="58D0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56" w:hRule="atLeast"/>
          <w:tblHeader/>
        </w:trPr>
        <w:tc>
          <w:tcPr>
            <w:tcW w:w="1453" w:type="dxa"/>
            <w:shd w:val="clear" w:color="auto" w:fill="auto"/>
            <w:tcMar>
              <w:top w:w="150" w:type="dxa"/>
              <w:left w:w="0" w:type="dxa"/>
              <w:bottom w:w="150" w:type="dxa"/>
              <w:right w:w="300" w:type="dxa"/>
            </w:tcMar>
            <w:vAlign w:val="center"/>
          </w:tcPr>
          <w:p w14:paraId="2479CDF2">
            <w:pPr>
              <w:keepNext w:val="0"/>
              <w:keepLines w:val="0"/>
              <w:widowControl/>
              <w:suppressLineNumbers w:val="0"/>
              <w:wordWrap/>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bCs/>
                <w:kern w:val="0"/>
                <w:sz w:val="24"/>
                <w:szCs w:val="24"/>
                <w:lang w:val="en-US" w:eastAsia="zh-CN" w:bidi="ar"/>
              </w:rPr>
              <w:t>设备名称</w:t>
            </w:r>
          </w:p>
        </w:tc>
        <w:tc>
          <w:tcPr>
            <w:tcW w:w="1583" w:type="dxa"/>
            <w:shd w:val="clear" w:color="auto" w:fill="auto"/>
            <w:tcMar>
              <w:top w:w="150" w:type="dxa"/>
              <w:left w:w="0" w:type="dxa"/>
              <w:bottom w:w="150" w:type="dxa"/>
              <w:right w:w="300" w:type="dxa"/>
            </w:tcMar>
            <w:vAlign w:val="center"/>
          </w:tcPr>
          <w:p w14:paraId="5A3E4FE5">
            <w:pPr>
              <w:keepNext w:val="0"/>
              <w:keepLines w:val="0"/>
              <w:widowControl/>
              <w:suppressLineNumbers w:val="0"/>
              <w:wordWrap/>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bCs/>
                <w:kern w:val="0"/>
                <w:sz w:val="24"/>
                <w:szCs w:val="24"/>
                <w:lang w:val="en-US" w:eastAsia="zh-CN" w:bidi="ar"/>
              </w:rPr>
              <w:t>参数类别</w:t>
            </w:r>
          </w:p>
        </w:tc>
        <w:tc>
          <w:tcPr>
            <w:tcW w:w="6203" w:type="dxa"/>
            <w:shd w:val="clear" w:color="auto" w:fill="auto"/>
            <w:tcMar>
              <w:top w:w="150" w:type="dxa"/>
              <w:left w:w="0" w:type="dxa"/>
              <w:bottom w:w="150" w:type="dxa"/>
              <w:right w:w="300" w:type="dxa"/>
            </w:tcMar>
            <w:vAlign w:val="center"/>
          </w:tcPr>
          <w:p w14:paraId="5DF63550">
            <w:pPr>
              <w:keepNext w:val="0"/>
              <w:keepLines w:val="0"/>
              <w:widowControl/>
              <w:suppressLineNumbers w:val="0"/>
              <w:wordWrap/>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bCs/>
                <w:kern w:val="0"/>
                <w:sz w:val="24"/>
                <w:szCs w:val="24"/>
                <w:lang w:val="en-US" w:eastAsia="zh-CN" w:bidi="ar"/>
              </w:rPr>
              <w:t>详细技术参数</w:t>
            </w:r>
          </w:p>
        </w:tc>
      </w:tr>
      <w:tr w14:paraId="2E9D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19" w:hRule="atLeast"/>
        </w:trPr>
        <w:tc>
          <w:tcPr>
            <w:tcW w:w="1453" w:type="dxa"/>
            <w:vMerge w:val="restart"/>
            <w:shd w:val="clear" w:color="auto" w:fill="auto"/>
            <w:tcMar>
              <w:top w:w="150" w:type="dxa"/>
              <w:left w:w="0" w:type="dxa"/>
              <w:bottom w:w="150" w:type="dxa"/>
              <w:right w:w="300" w:type="dxa"/>
            </w:tcMar>
            <w:vAlign w:val="top"/>
          </w:tcPr>
          <w:p w14:paraId="376F6F20">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多参数水质分析仪(65参数型,2台)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711BF16F">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测试项目</w:t>
            </w:r>
          </w:p>
        </w:tc>
        <w:tc>
          <w:tcPr>
            <w:tcW w:w="6203" w:type="dxa"/>
            <w:shd w:val="clear" w:color="auto" w:fill="auto"/>
            <w:tcMar>
              <w:top w:w="150" w:type="dxa"/>
              <w:left w:w="0" w:type="dxa"/>
              <w:bottom w:w="150" w:type="dxa"/>
              <w:right w:w="300" w:type="dxa"/>
            </w:tcMar>
            <w:vAlign w:val="top"/>
          </w:tcPr>
          <w:p w14:paraId="24F8BD57">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整机支持≥65项生活饮用水常规、消毒、重金属、理化指标检测，覆盖消毒副产物、氮盐、阴阳离子、高低量程硬度、重金属、有机污染物等类别；必须完整包含以下检测项目：pH、色度、浊度、游离氯、总氯、化合性余氯、二氧化氯、亚氯酸盐、臭氧(DPD法)、臭氧(靛蓝法)、耗氧量、氨氮(纳氏试剂法)、氨氮(水杨酸法)、亚硝酸盐氮、硝酸盐氮、氟化物、氯化剂、总硬度(高量程)、镁硬度(高量程)、钙硬度(高量程)、硫酸盐、总碱度、六价铬、总铬、挥发酚、铁、锰(甲醛肟法)、锰(高碘酸钾法)、铝、有效氯(高量程)、有效氯(低量程)、总硬度(低量程)、镁硬度(低量程)、钙硬度(低量程)、溶解氧、镍、铜、氰化物、硅酸盐、硫化物、总磷、磷酸盐、锌、CODCr(低量程)、CODCr(高量程)、活性氧、氰尿酸、碘、溴、钛、铅、钡、联氨、钼、钼酸盐、过氧化氢、亚硫酸盐、甲醛、镉、三价铬、铍、银、钴、钾、尿素；各项检测显色、分析方式全部符合GB/T5750-2023《生活饮用水标准检验方法》，仪器软硬件架构支持后期免费新增检测项目拓展。</w:t>
            </w:r>
          </w:p>
        </w:tc>
      </w:tr>
      <w:tr w14:paraId="5FB1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849" w:hRule="atLeast"/>
        </w:trPr>
        <w:tc>
          <w:tcPr>
            <w:tcW w:w="1453" w:type="dxa"/>
            <w:vMerge w:val="continue"/>
            <w:shd w:val="clear" w:color="auto" w:fill="auto"/>
            <w:tcMar>
              <w:top w:w="150" w:type="dxa"/>
              <w:left w:w="0" w:type="dxa"/>
              <w:bottom w:w="150" w:type="dxa"/>
              <w:right w:w="300" w:type="dxa"/>
            </w:tcMar>
            <w:vAlign w:val="top"/>
          </w:tcPr>
          <w:p w14:paraId="4D91DF49">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CB7A144">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核心测试范围</w:t>
            </w:r>
          </w:p>
        </w:tc>
        <w:tc>
          <w:tcPr>
            <w:tcW w:w="6203" w:type="dxa"/>
            <w:shd w:val="clear" w:color="auto" w:fill="auto"/>
            <w:tcMar>
              <w:top w:w="150" w:type="dxa"/>
              <w:left w:w="0" w:type="dxa"/>
              <w:bottom w:w="150" w:type="dxa"/>
              <w:right w:w="300" w:type="dxa"/>
            </w:tcMar>
            <w:vAlign w:val="top"/>
          </w:tcPr>
          <w:p w14:paraId="060357FB">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设备各指标测量区间匹配GB/T5750-2023国标限值，关键指标量程如下：①消毒类：游离氯0.01-5.00mg/L、总氯0.01-5.00mg/L、二氧化氯0.02-10.00mg/L、臭氧0.01-10.00mg/L；②基础理化：pH6.00~8.50、色度0.0~500.0度、浊度0.00~2000NTU、溶解氧0.2-6.0mg/L；③氮类污染物：氨氮0.02~6.00mg/L、亚硝酸盐氮0.003~0.200mg/L、硝酸盐氮0.50~15.00mg/L；④金属与毒理：六价铬0.004~1.000mg/L、氰化物0.002~0.200mg/L、铁0.10-3.00mg/L、锰0.10-3.00mg/L；⑤硬度与盐类：高低量程总/钙/镁硬度、氯化物0.2-20.0mg/L、硫酸盐5-80mg/L；⑥有机物：高低量程CODCr、甲醛0.05-1.00mg/L、尿素0.00-6.00mg/L。</w:t>
            </w:r>
          </w:p>
        </w:tc>
      </w:tr>
      <w:tr w14:paraId="3123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223961C3">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22BF9B64">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检测方法标准</w:t>
            </w:r>
          </w:p>
        </w:tc>
        <w:tc>
          <w:tcPr>
            <w:tcW w:w="6203" w:type="dxa"/>
            <w:shd w:val="clear" w:color="auto" w:fill="auto"/>
            <w:tcMar>
              <w:top w:w="150" w:type="dxa"/>
              <w:left w:w="0" w:type="dxa"/>
              <w:bottom w:w="150" w:type="dxa"/>
              <w:right w:w="300" w:type="dxa"/>
            </w:tcMar>
            <w:vAlign w:val="top"/>
          </w:tcPr>
          <w:p w14:paraId="0300B6D8">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游离氯、二氧化氯检测方法执行GB/T5750.11-2023；pH、色度、浊度检测方法执行GB/T5750.4-2023。全部检测方法及出具数据须符合现行国家标准(GB/T5750-2023)及《生活饮用水卫生标准》(GB5749-2022)要求。</w:t>
            </w:r>
          </w:p>
        </w:tc>
      </w:tr>
      <w:tr w14:paraId="19E7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0" w:hRule="atLeast"/>
        </w:trPr>
        <w:tc>
          <w:tcPr>
            <w:tcW w:w="1453" w:type="dxa"/>
            <w:vMerge w:val="continue"/>
            <w:shd w:val="clear" w:color="auto" w:fill="auto"/>
            <w:tcMar>
              <w:top w:w="150" w:type="dxa"/>
              <w:left w:w="0" w:type="dxa"/>
              <w:bottom w:w="150" w:type="dxa"/>
              <w:right w:w="300" w:type="dxa"/>
            </w:tcMar>
            <w:vAlign w:val="top"/>
          </w:tcPr>
          <w:p w14:paraId="1AE148F8">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8E5AD5E">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光学与精度</w:t>
            </w:r>
          </w:p>
        </w:tc>
        <w:tc>
          <w:tcPr>
            <w:tcW w:w="6203" w:type="dxa"/>
            <w:shd w:val="clear" w:color="auto" w:fill="auto"/>
            <w:tcMar>
              <w:top w:w="150" w:type="dxa"/>
              <w:left w:w="0" w:type="dxa"/>
              <w:bottom w:w="150" w:type="dxa"/>
              <w:right w:w="300" w:type="dxa"/>
            </w:tcMar>
            <w:vAlign w:val="top"/>
          </w:tcPr>
          <w:p w14:paraId="11F06529">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仪器重复性±0.003A；检测波长380nm、420nm、520nm、610nm、白光自动切换；90°散射法+透射光测浊度，浊度精度≤0.001NTU。</w:t>
            </w:r>
          </w:p>
        </w:tc>
      </w:tr>
      <w:tr w14:paraId="4524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10344FED">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25384771">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数据存储与输出</w:t>
            </w:r>
          </w:p>
        </w:tc>
        <w:tc>
          <w:tcPr>
            <w:tcW w:w="6203" w:type="dxa"/>
            <w:shd w:val="clear" w:color="auto" w:fill="auto"/>
            <w:tcMar>
              <w:top w:w="150" w:type="dxa"/>
              <w:left w:w="0" w:type="dxa"/>
              <w:bottom w:w="150" w:type="dxa"/>
              <w:right w:w="300" w:type="dxa"/>
            </w:tcMar>
            <w:vAlign w:val="top"/>
          </w:tcPr>
          <w:p w14:paraId="55BC1C0C">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存储≥2000组数据，完整记录日期、水样编号、水样来源；支持USB导出数据至配套PC管理软件。</w:t>
            </w:r>
          </w:p>
        </w:tc>
      </w:tr>
      <w:tr w14:paraId="608A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3931BA6">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0972F4FD">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操作与显示</w:t>
            </w:r>
          </w:p>
        </w:tc>
        <w:tc>
          <w:tcPr>
            <w:tcW w:w="6203" w:type="dxa"/>
            <w:shd w:val="clear" w:color="auto" w:fill="auto"/>
            <w:tcMar>
              <w:top w:w="150" w:type="dxa"/>
              <w:left w:w="0" w:type="dxa"/>
              <w:bottom w:w="150" w:type="dxa"/>
              <w:right w:w="300" w:type="dxa"/>
            </w:tcMar>
            <w:vAlign w:val="top"/>
          </w:tcPr>
          <w:p w14:paraId="2160158D">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配备≥5.0寸高清彩色触摸屏；支持单次/连续/稳定读数模式，自带信号平均、光强配比功能。</w:t>
            </w:r>
          </w:p>
        </w:tc>
      </w:tr>
      <w:tr w14:paraId="78AD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3" w:hRule="atLeast"/>
        </w:trPr>
        <w:tc>
          <w:tcPr>
            <w:tcW w:w="1453" w:type="dxa"/>
            <w:vMerge w:val="continue"/>
            <w:shd w:val="clear" w:color="auto" w:fill="auto"/>
            <w:tcMar>
              <w:top w:w="150" w:type="dxa"/>
              <w:left w:w="0" w:type="dxa"/>
              <w:bottom w:w="150" w:type="dxa"/>
              <w:right w:w="300" w:type="dxa"/>
            </w:tcMar>
            <w:vAlign w:val="top"/>
          </w:tcPr>
          <w:p w14:paraId="7984207E">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5FEDDCDE">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供电与环境</w:t>
            </w:r>
          </w:p>
        </w:tc>
        <w:tc>
          <w:tcPr>
            <w:tcW w:w="6203" w:type="dxa"/>
            <w:shd w:val="clear" w:color="auto" w:fill="auto"/>
            <w:tcMar>
              <w:top w:w="150" w:type="dxa"/>
              <w:left w:w="0" w:type="dxa"/>
              <w:bottom w:w="150" w:type="dxa"/>
              <w:right w:w="300" w:type="dxa"/>
            </w:tcMar>
            <w:vAlign w:val="top"/>
          </w:tcPr>
          <w:p w14:paraId="70614EBE">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适用环境0-50℃、0-90%RH(无冷凝)；锂电池容量≥17000mAh，支持电池/USB/适配器多模式供电，带电量指示灯，整机IP67防水。</w:t>
            </w:r>
          </w:p>
        </w:tc>
      </w:tr>
      <w:tr w14:paraId="02B2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3" w:hRule="atLeast"/>
        </w:trPr>
        <w:tc>
          <w:tcPr>
            <w:tcW w:w="1453" w:type="dxa"/>
            <w:vMerge w:val="continue"/>
            <w:shd w:val="clear" w:color="auto" w:fill="auto"/>
            <w:tcMar>
              <w:top w:w="150" w:type="dxa"/>
              <w:left w:w="0" w:type="dxa"/>
              <w:bottom w:w="150" w:type="dxa"/>
              <w:right w:w="300" w:type="dxa"/>
            </w:tcMar>
            <w:vAlign w:val="top"/>
          </w:tcPr>
          <w:p w14:paraId="7BB64867">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42E70BE0">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耗材与校准</w:t>
            </w:r>
          </w:p>
        </w:tc>
        <w:tc>
          <w:tcPr>
            <w:tcW w:w="6203" w:type="dxa"/>
            <w:shd w:val="clear" w:color="auto" w:fill="auto"/>
            <w:tcMar>
              <w:top w:w="150" w:type="dxa"/>
              <w:left w:w="0" w:type="dxa"/>
              <w:bottom w:w="150" w:type="dxa"/>
              <w:right w:w="300" w:type="dxa"/>
            </w:tcMar>
            <w:vAlign w:val="top"/>
          </w:tcPr>
          <w:p w14:paraId="0BC81CBD">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配套预制试剂，单套试剂可完成≥100次检测；</w:t>
            </w:r>
            <w:r>
              <w:rPr>
                <w:rFonts w:hint="eastAsia" w:ascii="宋体" w:hAnsi="宋体" w:eastAsia="宋体" w:cs="宋体"/>
                <w:kern w:val="1"/>
                <w:sz w:val="24"/>
                <w:szCs w:val="24"/>
                <w:vertAlign w:val="baseline"/>
                <w:lang w:val="en-US" w:eastAsia="zh-CN" w:bidi="ar-SA"/>
              </w:rPr>
              <w:t>光源设计使用寿命长，在正常维护下可满足设备全生命周期使用要求</w:t>
            </w:r>
            <w:r>
              <w:rPr>
                <w:rFonts w:ascii="宋体" w:hAnsi="宋体" w:eastAsia="宋体" w:cs="宋体"/>
                <w:kern w:val="1"/>
                <w:sz w:val="24"/>
                <w:szCs w:val="24"/>
                <w:vertAlign w:val="baseline"/>
                <w:lang w:val="en-US" w:eastAsia="zh-CN" w:bidi="ar-SA"/>
              </w:rPr>
              <w:t>，支持自定义校准。</w:t>
            </w:r>
          </w:p>
        </w:tc>
      </w:tr>
      <w:tr w14:paraId="6BEC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6C2CDCE3">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便携式微生物快速水质检测箱(2</w:t>
            </w:r>
            <w:r>
              <w:rPr>
                <w:rFonts w:hint="eastAsia" w:ascii="Calibri" w:hAnsi="Calibri" w:eastAsia="宋体" w:cs="Times New Roman"/>
                <w:b/>
                <w:kern w:val="2"/>
                <w:sz w:val="21"/>
                <w:szCs w:val="24"/>
                <w:vertAlign w:val="baseline"/>
                <w:lang w:val="en-US" w:eastAsia="zh-CN" w:bidi="ar-SA"/>
              </w:rPr>
              <w:t>台</w:t>
            </w:r>
            <w:r>
              <w:rPr>
                <w:rFonts w:ascii="Calibri" w:hAnsi="Calibri" w:eastAsia="宋体" w:cs="Times New Roman"/>
                <w:b/>
                <w:kern w:val="2"/>
                <w:sz w:val="21"/>
                <w:szCs w:val="24"/>
                <w:vertAlign w:val="baseline"/>
                <w:lang w:val="en-US" w:eastAsia="zh-CN" w:bidi="ar-SA"/>
              </w:rPr>
              <w:t>)</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73EC9C50">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检测指标</w:t>
            </w:r>
          </w:p>
        </w:tc>
        <w:tc>
          <w:tcPr>
            <w:tcW w:w="6203" w:type="dxa"/>
            <w:shd w:val="clear" w:color="auto" w:fill="auto"/>
            <w:tcMar>
              <w:top w:w="150" w:type="dxa"/>
              <w:left w:w="0" w:type="dxa"/>
              <w:bottom w:w="150" w:type="dxa"/>
              <w:right w:w="300" w:type="dxa"/>
            </w:tcMar>
            <w:vAlign w:val="top"/>
          </w:tcPr>
          <w:p w14:paraId="52C35DC1">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可检测大肠菌群、菌落总数、耐热大肠菌群，检测结果判定符合GB5749-2022《生活饮用水卫生标准》限值要求，检测过程符合相关技术规范。</w:t>
            </w:r>
          </w:p>
        </w:tc>
      </w:tr>
      <w:tr w14:paraId="4D7B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2D53B4E7">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6A7DFD53">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检测原理</w:t>
            </w:r>
          </w:p>
        </w:tc>
        <w:tc>
          <w:tcPr>
            <w:tcW w:w="6203" w:type="dxa"/>
            <w:shd w:val="clear" w:color="auto" w:fill="auto"/>
            <w:tcMar>
              <w:top w:w="150" w:type="dxa"/>
              <w:left w:w="0" w:type="dxa"/>
              <w:bottom w:w="150" w:type="dxa"/>
              <w:right w:w="300" w:type="dxa"/>
            </w:tcMar>
            <w:vAlign w:val="top"/>
          </w:tcPr>
          <w:p w14:paraId="72AB5C15">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纸片培养基显色法，乳糖发酵产酸判定阳性</w:t>
            </w:r>
            <w:r>
              <w:rPr>
                <w:rFonts w:hint="eastAsia" w:ascii="宋体" w:hAnsi="宋体" w:eastAsia="宋体" w:cs="宋体"/>
                <w:kern w:val="1"/>
                <w:sz w:val="24"/>
                <w:szCs w:val="24"/>
                <w:vertAlign w:val="baseline"/>
                <w:lang w:val="en-US" w:eastAsia="zh-CN" w:bidi="ar-SA"/>
              </w:rPr>
              <w:t>。</w:t>
            </w:r>
          </w:p>
        </w:tc>
      </w:tr>
      <w:tr w14:paraId="0112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EFF0D9F">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013B9FC6">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培养条件</w:t>
            </w:r>
          </w:p>
        </w:tc>
        <w:tc>
          <w:tcPr>
            <w:tcW w:w="6203" w:type="dxa"/>
            <w:shd w:val="clear" w:color="auto" w:fill="auto"/>
            <w:tcMar>
              <w:top w:w="150" w:type="dxa"/>
              <w:left w:w="0" w:type="dxa"/>
              <w:bottom w:w="150" w:type="dxa"/>
              <w:right w:w="300" w:type="dxa"/>
            </w:tcMar>
            <w:vAlign w:val="top"/>
          </w:tcPr>
          <w:p w14:paraId="0791F395">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36℃±1℃恒温培养15~24h可判读结果。</w:t>
            </w:r>
          </w:p>
        </w:tc>
      </w:tr>
      <w:tr w14:paraId="3D58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4BC00289">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7F4AA70">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全套配套配置</w:t>
            </w:r>
          </w:p>
        </w:tc>
        <w:tc>
          <w:tcPr>
            <w:tcW w:w="6203" w:type="dxa"/>
            <w:shd w:val="clear" w:color="auto" w:fill="auto"/>
            <w:tcMar>
              <w:top w:w="150" w:type="dxa"/>
              <w:left w:w="0" w:type="dxa"/>
              <w:bottom w:w="150" w:type="dxa"/>
              <w:right w:w="300" w:type="dxa"/>
            </w:tcMar>
            <w:vAlign w:val="top"/>
          </w:tcPr>
          <w:p w14:paraId="1EF57A23">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大肠菌群测试片、菌落总数测试片、记号笔、无菌吸管、生理盐水、镊子、不锈钢酒精灯、酒精棉球、无菌手套、剪刀、无菌采样袋、标签、1ml/5ml移液器及枪头、一体化内置生化培养箱全套物资。</w:t>
            </w:r>
          </w:p>
        </w:tc>
      </w:tr>
      <w:tr w14:paraId="7D42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0468E357">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低本底αβ测量仪(1台)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7F3DC3D2">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0"/>
                <w:sz w:val="24"/>
                <w:szCs w:val="24"/>
                <w:vertAlign w:val="baseline"/>
                <w:lang w:val="en-US" w:eastAsia="zh-CN" w:bidi="ar"/>
              </w:rPr>
              <w:t>适用标准</w:t>
            </w:r>
          </w:p>
        </w:tc>
        <w:tc>
          <w:tcPr>
            <w:tcW w:w="6203" w:type="dxa"/>
            <w:shd w:val="clear" w:color="auto" w:fill="auto"/>
            <w:tcMar>
              <w:top w:w="150" w:type="dxa"/>
              <w:left w:w="0" w:type="dxa"/>
              <w:bottom w:w="150" w:type="dxa"/>
              <w:right w:w="300" w:type="dxa"/>
            </w:tcMar>
            <w:vAlign w:val="top"/>
          </w:tcPr>
          <w:p w14:paraId="1F5029C8">
            <w:pPr>
              <w:keepNext w:val="0"/>
              <w:keepLines w:val="0"/>
              <w:pageBreakBefore w:val="0"/>
              <w:widowControl w:val="0"/>
              <w:kinsoku/>
              <w:wordWrap/>
              <w:overflowPunct/>
              <w:topLinePunct w:val="0"/>
              <w:bidi w:val="0"/>
              <w:spacing w:line="240" w:lineRule="auto"/>
              <w:ind w:left="0" w:leftChars="0"/>
              <w:jc w:val="both"/>
              <w:rPr>
                <w:rFonts w:ascii="Calibri" w:hAnsi="Calibri" w:eastAsia="宋体" w:cs="Times New Roman"/>
                <w:kern w:val="0"/>
                <w:sz w:val="24"/>
                <w:szCs w:val="24"/>
                <w:lang w:val="en-US" w:eastAsia="zh-CN" w:bidi="ar"/>
              </w:rPr>
            </w:pPr>
            <w:r>
              <w:rPr>
                <w:rFonts w:hint="eastAsia" w:ascii="宋体" w:hAnsi="宋体" w:eastAsia="宋体" w:cs="宋体"/>
                <w:color w:val="auto"/>
                <w:kern w:val="2"/>
                <w:sz w:val="24"/>
                <w:szCs w:val="24"/>
                <w:highlight w:val="none"/>
                <w:lang w:val="en-US" w:eastAsia="zh-CN" w:bidi="ar-SA"/>
              </w:rPr>
              <w:t>符合标准：GB5749-2022《生活饮用水卫生标准》、GB/T5750.13-2023《生活饮用水标准检验方法放射性指标》、GB3838-2002《地表水环境质量标准》、HJ898-2017《水中总α放射性测定厚源法》HJ899-2017《水中总β放射性测定厚源法》要求。</w:t>
            </w:r>
          </w:p>
        </w:tc>
      </w:tr>
      <w:tr w14:paraId="696E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2" w:hRule="atLeast"/>
        </w:trPr>
        <w:tc>
          <w:tcPr>
            <w:tcW w:w="1453" w:type="dxa"/>
            <w:vMerge w:val="continue"/>
            <w:shd w:val="clear" w:color="auto" w:fill="auto"/>
            <w:tcMar>
              <w:top w:w="150" w:type="dxa"/>
              <w:left w:w="0" w:type="dxa"/>
              <w:bottom w:w="150" w:type="dxa"/>
              <w:right w:w="300" w:type="dxa"/>
            </w:tcMar>
            <w:vAlign w:val="top"/>
          </w:tcPr>
          <w:p w14:paraId="4C02346B">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04AE6829">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0"/>
                <w:sz w:val="24"/>
                <w:szCs w:val="24"/>
                <w:vertAlign w:val="baseline"/>
                <w:lang w:val="en-US" w:eastAsia="zh-CN" w:bidi="ar"/>
              </w:rPr>
              <w:t>核心探测指标​</w:t>
            </w:r>
          </w:p>
        </w:tc>
        <w:tc>
          <w:tcPr>
            <w:tcW w:w="6203" w:type="dxa"/>
            <w:shd w:val="clear" w:color="auto" w:fill="auto"/>
            <w:tcMar>
              <w:top w:w="150" w:type="dxa"/>
              <w:left w:w="0" w:type="dxa"/>
              <w:bottom w:w="150" w:type="dxa"/>
              <w:right w:w="300" w:type="dxa"/>
            </w:tcMar>
            <w:vAlign w:val="top"/>
          </w:tcPr>
          <w:p w14:paraId="4211CAAF">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1.探测器技术：主探测器采用塑料闪烁体与光电倍增管等组成；</w:t>
            </w:r>
          </w:p>
          <w:p w14:paraId="70414464">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2.反符合探测器闪烁体反符合效率大于99%，采用高频同轴接口，高频通过性强，屏蔽效果好，可保留原始信号信息；</w:t>
            </w:r>
          </w:p>
          <w:p w14:paraId="24417429">
            <w:pPr>
              <w:pageBreakBefore w:val="0"/>
              <w:kinsoku/>
              <w:wordWrap/>
              <w:overflowPunct/>
              <w:topLinePunct w:val="0"/>
              <w:bidi w:val="0"/>
              <w:snapToGrid/>
              <w:spacing w:line="400" w:lineRule="exact"/>
              <w:rPr>
                <w:rFonts w:ascii="Calibri" w:hAnsi="Calibri" w:eastAsia="宋体" w:cs="Times New Roman"/>
                <w:kern w:val="0"/>
                <w:sz w:val="24"/>
                <w:szCs w:val="24"/>
                <w:vertAlign w:val="baseline"/>
                <w:lang w:val="en-US" w:eastAsia="zh-CN" w:bidi="ar"/>
              </w:rPr>
            </w:pPr>
            <w:r>
              <w:rPr>
                <w:rFonts w:hint="eastAsia" w:ascii="宋体" w:hAnsi="宋体" w:eastAsia="宋体" w:cs="宋体"/>
                <w:color w:val="auto"/>
                <w:kern w:val="2"/>
                <w:sz w:val="24"/>
                <w:szCs w:val="24"/>
              </w:rPr>
              <w:t>3.控制器：可扩展至不少于4个独立测量通道，模块化插槽式设计，采用高速高性能同步采集控制器；控制器与计算机可通过有线网络及可选无线通讯方式连接，同时配备USB通信接口。</w:t>
            </w:r>
          </w:p>
        </w:tc>
      </w:tr>
      <w:tr w14:paraId="7B2D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2" w:hRule="atLeast"/>
        </w:trPr>
        <w:tc>
          <w:tcPr>
            <w:tcW w:w="1453" w:type="dxa"/>
            <w:vMerge w:val="continue"/>
            <w:shd w:val="clear" w:color="auto" w:fill="auto"/>
            <w:tcMar>
              <w:top w:w="150" w:type="dxa"/>
              <w:left w:w="0" w:type="dxa"/>
              <w:bottom w:w="150" w:type="dxa"/>
              <w:right w:w="300" w:type="dxa"/>
            </w:tcMar>
            <w:vAlign w:val="top"/>
          </w:tcPr>
          <w:p w14:paraId="14C881EA">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34825380">
            <w:pPr>
              <w:keepNext w:val="0"/>
              <w:keepLines w:val="0"/>
              <w:widowControl/>
              <w:suppressLineNumbers w:val="0"/>
              <w:spacing w:beforeAutospacing="1" w:afterAutospacing="1"/>
              <w:jc w:val="left"/>
              <w:rPr>
                <w:rFonts w:ascii="Calibri" w:hAnsi="Calibri" w:eastAsia="宋体" w:cs="Times New Roman"/>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资质与合规性要求</w:t>
            </w:r>
          </w:p>
        </w:tc>
        <w:tc>
          <w:tcPr>
            <w:tcW w:w="6203" w:type="dxa"/>
            <w:shd w:val="clear" w:color="auto" w:fill="auto"/>
            <w:tcMar>
              <w:top w:w="150" w:type="dxa"/>
              <w:left w:w="0" w:type="dxa"/>
              <w:bottom w:w="150" w:type="dxa"/>
              <w:right w:w="300" w:type="dxa"/>
            </w:tcMar>
            <w:vAlign w:val="top"/>
          </w:tcPr>
          <w:p w14:paraId="7098EDED">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highlight w:val="none"/>
              </w:rPr>
              <w:t>低本</w:t>
            </w:r>
            <w:r>
              <w:rPr>
                <w:rFonts w:hint="eastAsia" w:ascii="宋体" w:hAnsi="宋体" w:eastAsia="宋体" w:cs="宋体"/>
                <w:color w:val="auto"/>
                <w:kern w:val="2"/>
                <w:sz w:val="24"/>
                <w:szCs w:val="24"/>
              </w:rPr>
              <w:t>底α/β测量仪属国家强制检定计量器具，用于生活饮用水放射性指标检测。为保障仪器量值准确及使用安全，投标人须提供以下证明材料（加盖投标人公章）：</w:t>
            </w:r>
          </w:p>
          <w:p w14:paraId="6E3B1F2C">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（1）投标</w:t>
            </w:r>
            <w:r>
              <w:rPr>
                <w:rFonts w:hint="eastAsia" w:ascii="宋体" w:hAnsi="宋体" w:eastAsia="宋体" w:cs="宋体"/>
                <w:color w:val="auto"/>
                <w:kern w:val="2"/>
                <w:sz w:val="24"/>
                <w:szCs w:val="24"/>
                <w:lang w:val="en-US" w:eastAsia="zh-CN"/>
              </w:rPr>
              <w:t>人所投</w:t>
            </w:r>
            <w:r>
              <w:rPr>
                <w:rFonts w:hint="eastAsia" w:ascii="宋体" w:hAnsi="宋体" w:eastAsia="宋体" w:cs="宋体"/>
                <w:color w:val="auto"/>
                <w:kern w:val="2"/>
                <w:sz w:val="24"/>
                <w:szCs w:val="24"/>
              </w:rPr>
              <w:t>产品制造商或投标人自身持有的有效《辐射安全许可证》复印件（二者其一即可）；</w:t>
            </w:r>
          </w:p>
          <w:p w14:paraId="5A46AE46">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（2）投标产品有效的《计量器具型式批准证书》（CPA）复印件，CPA证书须在有效期内，且证书所列型号与投标产品完全一致；</w:t>
            </w:r>
          </w:p>
          <w:p w14:paraId="1DAD7F87">
            <w:pPr>
              <w:pageBreakBefore w:val="0"/>
              <w:kinsoku/>
              <w:wordWrap/>
              <w:overflowPunct/>
              <w:topLinePunct w:val="0"/>
              <w:bidi w:val="0"/>
              <w:snapToGrid/>
              <w:spacing w:line="400" w:lineRule="exact"/>
              <w:rPr>
                <w:rFonts w:ascii="Calibri" w:hAnsi="Calibri" w:eastAsia="宋体" w:cs="Times New Roman"/>
                <w:kern w:val="0"/>
                <w:sz w:val="24"/>
                <w:szCs w:val="24"/>
                <w:vertAlign w:val="baseline"/>
                <w:lang w:val="en-US" w:eastAsia="zh-CN" w:bidi="ar"/>
              </w:rPr>
            </w:pPr>
            <w:r>
              <w:rPr>
                <w:rFonts w:hint="eastAsia" w:ascii="宋体" w:hAnsi="宋体" w:eastAsia="宋体" w:cs="宋体"/>
                <w:color w:val="auto"/>
                <w:kern w:val="2"/>
                <w:sz w:val="24"/>
                <w:szCs w:val="24"/>
              </w:rPr>
              <w:t>（3）</w:t>
            </w:r>
            <w:r>
              <w:rPr>
                <w:rFonts w:ascii="宋体" w:hAnsi="宋体" w:eastAsia="宋体" w:cs="宋体"/>
                <w:kern w:val="2"/>
                <w:sz w:val="24"/>
                <w:szCs w:val="24"/>
              </w:rPr>
              <w:t>投标产品配套使用放射标准源的，提供有效的放射性同位素豁免备案证明；若产品不标配放射标准源，投标人提供无标配放射源书面声明即可。</w:t>
            </w:r>
          </w:p>
        </w:tc>
      </w:tr>
      <w:tr w14:paraId="69A7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B03D1B3">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03D54B7">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功能要求</w:t>
            </w:r>
          </w:p>
        </w:tc>
        <w:tc>
          <w:tcPr>
            <w:tcW w:w="6203" w:type="dxa"/>
            <w:shd w:val="clear" w:color="auto" w:fill="auto"/>
            <w:tcMar>
              <w:top w:w="150" w:type="dxa"/>
              <w:left w:w="0" w:type="dxa"/>
              <w:bottom w:w="150" w:type="dxa"/>
              <w:right w:w="300" w:type="dxa"/>
            </w:tcMar>
            <w:vAlign w:val="top"/>
          </w:tcPr>
          <w:p w14:paraId="3F330141">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控制器：可拓展到四个以上通道，模块化设计，标准插道式控制器，采用高速高性能同步采集控制器；控制器与计算机可通过无线方式通信连接，通信距离≥300米（无障碍），同时配备USB通信接口；</w:t>
            </w:r>
          </w:p>
          <w:p w14:paraId="5CD4B358">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2、可配置自动进样系统，实现大量样品全天候无人值守自动测量；机械手定位重复精度≤±1mm；单次样品取放时间＜2min；一次待测样品数≥100个；可程控运行状态并实时监测；具备自动/手动两种运行模式；进样过程避光设计，不因环境光引起测量误差。（需提供相关证明材料（包括但不限于技术参数响应表、产品检测报告、产品彩页/说明书等中任一种即可），佐证所投产品可配置自动进样系统；中标后，中标供应商应在安装调试完成后</w:t>
            </w:r>
            <w:r>
              <w:rPr>
                <w:rFonts w:hint="eastAsia" w:ascii="宋体" w:hAnsi="宋体" w:eastAsia="宋体" w:cs="宋体"/>
                <w:b/>
                <w:bCs/>
                <w:color w:val="auto"/>
                <w:kern w:val="2"/>
                <w:sz w:val="24"/>
                <w:szCs w:val="24"/>
                <w:lang w:val="en-US" w:eastAsia="zh-CN"/>
              </w:rPr>
              <w:t>配合采购人进行功能演示</w:t>
            </w:r>
            <w:r>
              <w:rPr>
                <w:rFonts w:hint="eastAsia" w:ascii="宋体" w:hAnsi="宋体" w:eastAsia="宋体" w:cs="宋体"/>
                <w:color w:val="auto"/>
                <w:kern w:val="2"/>
                <w:sz w:val="24"/>
                <w:szCs w:val="24"/>
                <w:lang w:val="en-US" w:eastAsia="zh-CN"/>
              </w:rPr>
              <w:t>，演示结果作为验收参考。）</w:t>
            </w:r>
          </w:p>
          <w:p w14:paraId="3CF8D668">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3、铅室：配备上、下分体式屏蔽铅室，采用分层结构，有效屏蔽环境γ及宇宙射线本底。</w:t>
            </w:r>
          </w:p>
          <w:p w14:paraId="1106CB0C">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4、控制软件：</w:t>
            </w:r>
          </w:p>
          <w:p w14:paraId="524FE4AF">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4.1纯中文界面，全面的仪器控制和监测：包括高压控制，阈值控制，采样控制，通信控制，通信中断监测，高压信息监测，实时计数波动曲线。</w:t>
            </w:r>
          </w:p>
          <w:p w14:paraId="15BD5A68">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4.2分步送样技术：可同时也可单独测量样品，分别给出两个样品中的总α、总β的活度浓度，提高测量的灵活性和仪器使用效率。</w:t>
            </w:r>
          </w:p>
          <w:p w14:paraId="51037501">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4.3纯中文界面。</w:t>
            </w:r>
          </w:p>
          <w:p w14:paraId="4800D265">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4.4支持半衰期活度校正，支持工作源测量、标准源测量、本底测量、气溶胶样品、一般样品测量和生物样品测量等≥5种测量方式，样品测量中自动计算平均值，活度浓度，标准误差，探测限和相对误差等。</w:t>
            </w:r>
          </w:p>
          <w:p w14:paraId="5BCA1B59">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4.5预留α、β气溶胶测量组件端口：气溶胶准确度:≤±2.5%；精度：±1‰/24h；相对误差小于2.5%。</w:t>
            </w:r>
          </w:p>
          <w:p w14:paraId="0FBFD47C">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4.6预留土壤（含稀土）测量组件端口：重复性：总(α+β)活度≥135.39Bq/L，重复性限r≤9.86。</w:t>
            </w:r>
          </w:p>
          <w:p w14:paraId="7870CFC6">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4.7预留土壤（含稀土）测量组件端口：允许差：总（α+β）≥100，相对允许差8%。</w:t>
            </w:r>
          </w:p>
          <w:p w14:paraId="20B4638D">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4.8每个通道可以单独测量不同的样品。</w:t>
            </w:r>
          </w:p>
          <w:p w14:paraId="4436CB3A">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▲4.9采集模式：具有核脉冲峰值采样功能，支持断点续采（用户可暂停并继续采集）。</w:t>
            </w:r>
          </w:p>
          <w:p w14:paraId="241072B3">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5.1对⁹⁰Sr-⁹⁰Yβ源，2π效率比≥58%时，β本底≤0.10cm⁻²·min⁻¹；</w:t>
            </w:r>
          </w:p>
          <w:p w14:paraId="20A0FC4D">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5.2对²³⁹Pu（或²⁴¹Am）α源，2π效率比≥85%时，α本底≤0.003cm⁻²·min⁻¹；</w:t>
            </w:r>
          </w:p>
          <w:p w14:paraId="455B2E30">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5.3α/β串道比：α进入β道≤2.5%，β进入α道≤0.3%；</w:t>
            </w:r>
          </w:p>
          <w:p w14:paraId="025FDC1E">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5.4标配KClβ标准源、²⁴¹Amα标准物质各一套。</w:t>
            </w:r>
          </w:p>
          <w:p w14:paraId="66ECC179">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5.5效率稳定性：仪器连续通电24h，α探测效率变化≤3%，β≤8%；</w:t>
            </w:r>
          </w:p>
          <w:p w14:paraId="603BDCAE">
            <w:pPr>
              <w:pageBreakBefore w:val="0"/>
              <w:kinsoku/>
              <w:wordWrap/>
              <w:overflowPunct/>
              <w:topLinePunct w:val="0"/>
              <w:bidi w:val="0"/>
              <w:snapToGrid/>
              <w:spacing w:line="400" w:lineRule="exact"/>
              <w:rPr>
                <w:rFonts w:ascii="宋体" w:hAnsi="宋体" w:eastAsia="宋体" w:cs="宋体"/>
                <w:kern w:val="1"/>
                <w:sz w:val="24"/>
                <w:szCs w:val="24"/>
                <w:vertAlign w:val="baseline"/>
                <w:lang w:val="en-US" w:eastAsia="zh-CN" w:bidi="ar-SA"/>
              </w:rPr>
            </w:pPr>
            <w:r>
              <w:rPr>
                <w:rFonts w:hint="eastAsia" w:ascii="宋体" w:hAnsi="宋体" w:eastAsia="宋体" w:cs="宋体"/>
                <w:color w:val="auto"/>
                <w:kern w:val="2"/>
                <w:sz w:val="24"/>
                <w:szCs w:val="24"/>
                <w:lang w:val="en-US" w:eastAsia="zh-CN"/>
              </w:rPr>
              <w:t>5.6灵敏度/最低探测限：α≤5×10⁻⁴Bq，β≤1×10⁻³Bq。</w:t>
            </w:r>
          </w:p>
        </w:tc>
      </w:tr>
      <w:tr w14:paraId="1AD6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82C02F4">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006FB6D5">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0"/>
                <w:sz w:val="24"/>
                <w:szCs w:val="24"/>
                <w:vertAlign w:val="baseline"/>
                <w:lang w:val="en-US" w:eastAsia="zh-CN" w:bidi="ar"/>
              </w:rPr>
              <w:t>标准配套</w:t>
            </w:r>
          </w:p>
        </w:tc>
        <w:tc>
          <w:tcPr>
            <w:tcW w:w="6203" w:type="dxa"/>
            <w:shd w:val="clear" w:color="auto" w:fill="auto"/>
            <w:tcMar>
              <w:top w:w="150" w:type="dxa"/>
              <w:left w:w="0" w:type="dxa"/>
              <w:bottom w:w="150" w:type="dxa"/>
              <w:right w:w="300" w:type="dxa"/>
            </w:tcMar>
            <w:vAlign w:val="top"/>
          </w:tcPr>
          <w:p w14:paraId="61422AB2">
            <w:pPr>
              <w:keepNext w:val="0"/>
              <w:keepLines w:val="0"/>
              <w:widowControl/>
              <w:suppressLineNumbers w:val="0"/>
              <w:spacing w:beforeAutospacing="1" w:afterAutospacing="1"/>
              <w:jc w:val="left"/>
              <w:rPr>
                <w:rFonts w:ascii="宋体" w:hAnsi="宋体" w:eastAsia="宋体" w:cs="宋体"/>
                <w:kern w:val="1"/>
                <w:sz w:val="24"/>
                <w:szCs w:val="24"/>
                <w:vertAlign w:val="baseline"/>
                <w:lang w:val="en-US" w:eastAsia="zh-CN" w:bidi="ar-SA"/>
              </w:rPr>
            </w:pPr>
            <w:r>
              <w:rPr>
                <w:rFonts w:hint="eastAsia" w:ascii="宋体" w:hAnsi="宋体" w:eastAsia="宋体" w:cs="宋体"/>
                <w:kern w:val="1"/>
                <w:sz w:val="24"/>
                <w:szCs w:val="24"/>
                <w:vertAlign w:val="baseline"/>
                <w:lang w:val="en-US" w:eastAsia="zh-CN" w:bidi="ar-SA"/>
              </w:rPr>
              <w:t>上下屏蔽铅室1套、αβ标准粉末源1套（附带国家一级校准证书、通用样品盘、配套计算机、打印机、出厂计量检定报告，满足饮用水总α、总β全套检测使用。</w:t>
            </w:r>
          </w:p>
        </w:tc>
      </w:tr>
      <w:tr w14:paraId="4AF5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68A4F3C5">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水样蒸发仪(1台)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33376387">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配套组件</w:t>
            </w:r>
          </w:p>
        </w:tc>
        <w:tc>
          <w:tcPr>
            <w:tcW w:w="6203" w:type="dxa"/>
            <w:shd w:val="clear" w:color="auto" w:fill="auto"/>
            <w:tcMar>
              <w:top w:w="150" w:type="dxa"/>
              <w:left w:w="0" w:type="dxa"/>
              <w:bottom w:w="150" w:type="dxa"/>
              <w:right w:w="300" w:type="dxa"/>
            </w:tcMar>
            <w:vAlign w:val="top"/>
          </w:tcPr>
          <w:p w14:paraId="33643876">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1.全自动水样蒸发仪主机1台；2.使用说明书1套；3.合格证1份；4.定制蒸发皿≥8套；5.配套附件1套。</w:t>
            </w:r>
          </w:p>
        </w:tc>
      </w:tr>
      <w:tr w14:paraId="4988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7644B1FF">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4599E23B">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工作原理</w:t>
            </w:r>
          </w:p>
        </w:tc>
        <w:tc>
          <w:tcPr>
            <w:tcW w:w="6203" w:type="dxa"/>
            <w:shd w:val="clear" w:color="auto" w:fill="auto"/>
            <w:tcMar>
              <w:top w:w="150" w:type="dxa"/>
              <w:left w:w="0" w:type="dxa"/>
              <w:bottom w:w="150" w:type="dxa"/>
              <w:right w:w="300" w:type="dxa"/>
            </w:tcMar>
            <w:vAlign w:val="top"/>
          </w:tcPr>
          <w:p w14:paraId="4D7A1909">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kern w:val="1"/>
                <w:sz w:val="24"/>
                <w:szCs w:val="24"/>
                <w:vertAlign w:val="baseline"/>
                <w:lang w:val="en-US" w:eastAsia="zh-CN" w:bidi="ar-SA"/>
              </w:rPr>
              <w:t>▲</w:t>
            </w:r>
            <w:r>
              <w:rPr>
                <w:rFonts w:hint="eastAsia" w:ascii="宋体" w:hAnsi="宋体" w:eastAsia="宋体" w:cs="宋体"/>
                <w:color w:val="auto"/>
                <w:kern w:val="2"/>
                <w:sz w:val="24"/>
                <w:szCs w:val="24"/>
                <w:lang w:val="en-US" w:eastAsia="zh-CN"/>
              </w:rPr>
              <w:t>1、具备自动进样及液位控制功能，可自动调节进样速率和加热功率，实现对样品的蒸发、灰化等处理，最终得到所需样品。（投标时须在响应表中说明上述功能。中标后，中标供应商应在安装调试完成后</w:t>
            </w:r>
            <w:r>
              <w:rPr>
                <w:rFonts w:hint="eastAsia" w:ascii="宋体" w:hAnsi="宋体" w:eastAsia="宋体" w:cs="宋体"/>
                <w:b/>
                <w:bCs/>
                <w:color w:val="auto"/>
                <w:kern w:val="2"/>
                <w:sz w:val="24"/>
                <w:szCs w:val="24"/>
                <w:lang w:val="en-US" w:eastAsia="zh-CN"/>
              </w:rPr>
              <w:t>配合采购人进行功能演示</w:t>
            </w:r>
            <w:r>
              <w:rPr>
                <w:rFonts w:hint="eastAsia" w:ascii="宋体" w:hAnsi="宋体" w:eastAsia="宋体" w:cs="宋体"/>
                <w:color w:val="auto"/>
                <w:kern w:val="2"/>
                <w:sz w:val="24"/>
                <w:szCs w:val="24"/>
                <w:lang w:val="en-US" w:eastAsia="zh-CN"/>
              </w:rPr>
              <w:t>，演示结果作为验收参考）</w:t>
            </w:r>
          </w:p>
          <w:p w14:paraId="66B53C13">
            <w:pPr>
              <w:pageBreakBefore w:val="0"/>
              <w:kinsoku/>
              <w:wordWrap/>
              <w:overflowPunct/>
              <w:topLinePunct w:val="0"/>
              <w:bidi w:val="0"/>
              <w:snapToGrid/>
              <w:spacing w:line="400" w:lineRule="exact"/>
              <w:rPr>
                <w:rFonts w:ascii="Calibri" w:hAnsi="Calibri" w:eastAsia="宋体" w:cs="Times New Roman"/>
                <w:kern w:val="0"/>
                <w:sz w:val="24"/>
                <w:szCs w:val="24"/>
                <w:lang w:val="en-US" w:eastAsia="zh-CN" w:bidi="ar"/>
              </w:rPr>
            </w:pPr>
            <w:r>
              <w:rPr>
                <w:rFonts w:hint="eastAsia" w:ascii="宋体" w:hAnsi="宋体" w:eastAsia="宋体" w:cs="宋体"/>
                <w:color w:val="auto"/>
                <w:kern w:val="2"/>
                <w:sz w:val="24"/>
                <w:szCs w:val="24"/>
                <w:lang w:val="en-US" w:eastAsia="zh-CN"/>
              </w:rPr>
              <w:t>2、前处理技术：配备全自动放射性水样蒸发浓缩赶酸仪，可对放射性α、β及其他放射性水样进行全自动蒸发浓缩处理，可完成不小于四个样品同时处理，保证各蒸发皿中的样品之间互不干扰。</w:t>
            </w:r>
          </w:p>
        </w:tc>
      </w:tr>
      <w:tr w14:paraId="1D90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453EF139">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E1B3E53">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温控蒸发性能</w:t>
            </w:r>
          </w:p>
        </w:tc>
        <w:tc>
          <w:tcPr>
            <w:tcW w:w="6203" w:type="dxa"/>
            <w:shd w:val="clear" w:color="auto" w:fill="auto"/>
            <w:tcMar>
              <w:top w:w="150" w:type="dxa"/>
              <w:left w:w="0" w:type="dxa"/>
              <w:bottom w:w="150" w:type="dxa"/>
              <w:right w:w="300" w:type="dxa"/>
            </w:tcMar>
            <w:vAlign w:val="top"/>
          </w:tcPr>
          <w:p w14:paraId="52A5B7A2">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具有定量蒸发、高温灰化、管道清洗等处理功能。蒸发温度(0-100)℃±2.0℃，灰化温度(0-500)℃±5.0℃.蒸发速度2L/4-6h（蒸发完成自动进入灰化阶段）</w:t>
            </w:r>
          </w:p>
        </w:tc>
      </w:tr>
      <w:tr w14:paraId="0408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1D089D1B">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4963704">
            <w:pPr>
              <w:keepNext w:val="0"/>
              <w:keepLines w:val="0"/>
              <w:widowControl/>
              <w:suppressLineNumbers w:val="0"/>
              <w:spacing w:before="0" w:beforeAutospacing="1" w:after="0" w:afterAutospacing="1"/>
              <w:ind w:left="0" w:leftChars="0" w:right="0" w:rightChars="0"/>
              <w:jc w:val="center"/>
              <w:rPr>
                <w:rFonts w:ascii="Calibri" w:hAnsi="Calibri" w:eastAsia="宋体" w:cs="Times New Roman"/>
                <w:kern w:val="0"/>
                <w:sz w:val="24"/>
                <w:szCs w:val="24"/>
                <w:lang w:val="en-US" w:eastAsia="zh-CN" w:bidi="ar"/>
              </w:rPr>
            </w:pPr>
            <w:r>
              <w:rPr>
                <w:rFonts w:hint="eastAsia" w:ascii="宋体" w:hAnsi="宋体" w:eastAsia="宋体" w:cs="宋体"/>
                <w:kern w:val="0"/>
                <w:sz w:val="24"/>
                <w:szCs w:val="24"/>
                <w:vertAlign w:val="baseline"/>
                <w:lang w:val="en-US" w:eastAsia="zh-CN" w:bidi="ar"/>
              </w:rPr>
              <w:t>排风系统</w:t>
            </w:r>
          </w:p>
        </w:tc>
        <w:tc>
          <w:tcPr>
            <w:tcW w:w="6203" w:type="dxa"/>
            <w:shd w:val="clear" w:color="auto" w:fill="auto"/>
            <w:tcMar>
              <w:top w:w="150" w:type="dxa"/>
              <w:left w:w="0" w:type="dxa"/>
              <w:bottom w:w="150" w:type="dxa"/>
              <w:right w:w="300" w:type="dxa"/>
            </w:tcMar>
            <w:vAlign w:val="top"/>
          </w:tcPr>
          <w:p w14:paraId="5A03DF7F">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▲每个蒸发位独立排风系统，自带通风管道接口，酸气集中排出，避免酸气进入机箱和实验室内；电路模块独立设计，整机具备防腐耐酸耐高温保护。</w:t>
            </w:r>
          </w:p>
        </w:tc>
      </w:tr>
      <w:tr w14:paraId="41CB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7" w:hRule="atLeast"/>
        </w:trPr>
        <w:tc>
          <w:tcPr>
            <w:tcW w:w="1453" w:type="dxa"/>
            <w:vMerge w:val="continue"/>
            <w:shd w:val="clear" w:color="auto" w:fill="auto"/>
            <w:tcMar>
              <w:top w:w="150" w:type="dxa"/>
              <w:left w:w="0" w:type="dxa"/>
              <w:bottom w:w="150" w:type="dxa"/>
              <w:right w:w="300" w:type="dxa"/>
            </w:tcMar>
            <w:vAlign w:val="top"/>
          </w:tcPr>
          <w:p w14:paraId="3C7DE32C">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28C5795">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控制系统</w:t>
            </w:r>
          </w:p>
        </w:tc>
        <w:tc>
          <w:tcPr>
            <w:tcW w:w="6203" w:type="dxa"/>
            <w:shd w:val="clear" w:color="auto" w:fill="auto"/>
            <w:tcMar>
              <w:top w:w="150" w:type="dxa"/>
              <w:left w:w="0" w:type="dxa"/>
              <w:bottom w:w="150" w:type="dxa"/>
              <w:right w:w="300" w:type="dxa"/>
            </w:tcMar>
            <w:vAlign w:val="top"/>
          </w:tcPr>
          <w:p w14:paraId="598D0415">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color w:val="auto"/>
                <w:kern w:val="2"/>
                <w:sz w:val="24"/>
                <w:szCs w:val="24"/>
                <w:lang w:val="en-US" w:eastAsia="zh-CN"/>
              </w:rPr>
              <w:t>配备</w:t>
            </w:r>
            <w:r>
              <w:rPr>
                <w:rFonts w:hint="eastAsia" w:ascii="宋体" w:hAnsi="宋体" w:eastAsia="宋体" w:cs="宋体"/>
                <w:color w:val="auto"/>
                <w:kern w:val="2"/>
                <w:sz w:val="24"/>
                <w:szCs w:val="24"/>
              </w:rPr>
              <w:t>触摸电容显示屏，支持多点触控模式</w:t>
            </w:r>
            <w:r>
              <w:rPr>
                <w:rFonts w:hint="eastAsia" w:ascii="宋体" w:hAnsi="宋体" w:eastAsia="宋体" w:cs="宋体"/>
                <w:color w:val="auto"/>
                <w:kern w:val="2"/>
                <w:sz w:val="24"/>
                <w:szCs w:val="24"/>
                <w:lang w:val="en-US" w:eastAsia="zh-CN"/>
              </w:rPr>
              <w:t>，超声波液位感应，</w:t>
            </w:r>
            <w:r>
              <w:rPr>
                <w:rFonts w:hint="eastAsia" w:ascii="宋体" w:hAnsi="宋体" w:eastAsia="宋体" w:cs="宋体"/>
                <w:color w:val="auto"/>
                <w:kern w:val="2"/>
                <w:sz w:val="24"/>
                <w:szCs w:val="24"/>
              </w:rPr>
              <w:t>PID精准调控，各温度控制系统之间相互独立</w:t>
            </w:r>
          </w:p>
        </w:tc>
      </w:tr>
      <w:tr w14:paraId="162D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2F6F5333">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全自动高锰酸盐指数分析仪(1台)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5BEFEE63">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b/>
                <w:bCs/>
                <w:color w:val="auto"/>
                <w:kern w:val="2"/>
                <w:sz w:val="24"/>
                <w:szCs w:val="24"/>
                <w:highlight w:val="none"/>
                <w:lang w:val="en" w:eastAsia="zh-CN"/>
              </w:rPr>
              <w:t>仪器用途</w:t>
            </w:r>
          </w:p>
        </w:tc>
        <w:tc>
          <w:tcPr>
            <w:tcW w:w="6203" w:type="dxa"/>
            <w:shd w:val="clear" w:color="auto" w:fill="auto"/>
            <w:tcMar>
              <w:top w:w="150" w:type="dxa"/>
              <w:left w:w="0" w:type="dxa"/>
              <w:bottom w:w="150" w:type="dxa"/>
              <w:right w:w="300" w:type="dxa"/>
            </w:tcMar>
            <w:vAlign w:val="top"/>
          </w:tcPr>
          <w:p w14:paraId="34BD813E">
            <w:pPr>
              <w:widowControl/>
              <w:numPr>
                <w:ilvl w:val="0"/>
                <w:numId w:val="5"/>
              </w:numPr>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适用于饮用水、水源水、地下水和地表水等水体的高锰酸盐指数测定，符合GB/T5750.7-2023《生活饮用水标准检验方法第7部分：有机物综合指标》、HJ1445-2026《水质高锰酸盐指数的测定草酸钠还原酸性滴定法》及HJ1446-2026《水质高锰酸盐指数的测定草酸钠还原碱性滴定法》。</w:t>
            </w:r>
          </w:p>
          <w:p w14:paraId="00275339">
            <w:pPr>
              <w:widowControl/>
              <w:numPr>
                <w:ilvl w:val="0"/>
                <w:numId w:val="5"/>
              </w:numPr>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b w:val="0"/>
                <w:bCs w:val="0"/>
                <w:color w:val="auto"/>
                <w:kern w:val="2"/>
                <w:sz w:val="24"/>
                <w:szCs w:val="24"/>
                <w:highlight w:val="none"/>
              </w:rPr>
              <w:t>适用于乙二胺四乙酸二钠滴定法测定生活饮用水及其水源水、地表水、瓶装水等的总硬度分析，符合GB/T5750.4-2023。</w:t>
            </w:r>
          </w:p>
          <w:p w14:paraId="1B7D033A">
            <w:pPr>
              <w:widowControl/>
              <w:numPr>
                <w:ilvl w:val="0"/>
                <w:numId w:val="5"/>
              </w:numPr>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rPr>
              <w:t>适用于食盐中碘的含量测定，采用直接滴定法，符合GB/T13025.7-2012及GB5009.42-2025。</w:t>
            </w:r>
          </w:p>
        </w:tc>
      </w:tr>
      <w:tr w14:paraId="1986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337F333">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31C8B29">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检测性能</w:t>
            </w:r>
          </w:p>
        </w:tc>
        <w:tc>
          <w:tcPr>
            <w:tcW w:w="6203" w:type="dxa"/>
            <w:shd w:val="clear" w:color="auto" w:fill="auto"/>
            <w:tcMar>
              <w:top w:w="150" w:type="dxa"/>
              <w:left w:w="0" w:type="dxa"/>
              <w:bottom w:w="150" w:type="dxa"/>
              <w:right w:w="300" w:type="dxa"/>
            </w:tcMar>
            <w:vAlign w:val="top"/>
          </w:tcPr>
          <w:p w14:paraId="17F4CF71">
            <w:pPr>
              <w:widowControl/>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rPr>
              <w:t>1</w:t>
            </w:r>
            <w:r>
              <w:rPr>
                <w:rFonts w:hint="eastAsia" w:ascii="宋体" w:hAnsi="宋体" w:eastAsia="宋体" w:cs="宋体"/>
                <w:b/>
                <w:bCs/>
                <w:color w:val="auto"/>
                <w:kern w:val="2"/>
                <w:sz w:val="24"/>
                <w:szCs w:val="24"/>
                <w:highlight w:val="none"/>
              </w:rPr>
              <w:t>高锰酸盐指数方法</w:t>
            </w:r>
          </w:p>
          <w:p w14:paraId="7B7FF73B">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方法原理：酸性及碱性高锰酸钾滴定法</w:t>
            </w:r>
          </w:p>
          <w:p w14:paraId="437DB6BF">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线性范围：0.5-5.0mg/L</w:t>
            </w:r>
          </w:p>
          <w:p w14:paraId="7B8176D1">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检出限：≤0.05mg/L</w:t>
            </w:r>
          </w:p>
          <w:p w14:paraId="60E45A38">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精密度：≤3%（3.0mg/L的葡萄糖标准溶液）</w:t>
            </w:r>
          </w:p>
          <w:p w14:paraId="1F02531C">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准确度：在质控样品规定的范围内</w:t>
            </w:r>
          </w:p>
          <w:p w14:paraId="23AEAF73">
            <w:pPr>
              <w:widowControl/>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rPr>
              <w:t>2.</w:t>
            </w:r>
            <w:r>
              <w:rPr>
                <w:rFonts w:hint="eastAsia" w:ascii="宋体" w:hAnsi="宋体" w:eastAsia="宋体" w:cs="宋体"/>
                <w:b/>
                <w:bCs/>
                <w:color w:val="auto"/>
                <w:kern w:val="2"/>
                <w:sz w:val="24"/>
                <w:szCs w:val="24"/>
                <w:highlight w:val="none"/>
              </w:rPr>
              <w:t>总硬度方法</w:t>
            </w:r>
          </w:p>
          <w:p w14:paraId="1E036D44">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方法原理：乙二胺四乙酸二钠滴定法</w:t>
            </w:r>
          </w:p>
          <w:p w14:paraId="5C82AB75">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线性范围：5.0-400mg/L</w:t>
            </w:r>
          </w:p>
          <w:p w14:paraId="2D7FBD6A">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检出限：≤1mg/L</w:t>
            </w:r>
          </w:p>
          <w:p w14:paraId="1E9C7FD5">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精密度：≤1%（100.0mg/L）</w:t>
            </w:r>
          </w:p>
          <w:p w14:paraId="055ECEF4">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准确度：在质控样品规定的范围内</w:t>
            </w:r>
          </w:p>
          <w:p w14:paraId="4ADFF1E9">
            <w:pPr>
              <w:widowControl/>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rPr>
              <w:t>3.</w:t>
            </w:r>
            <w:r>
              <w:rPr>
                <w:rFonts w:hint="eastAsia" w:ascii="宋体" w:hAnsi="宋体" w:eastAsia="宋体" w:cs="宋体"/>
                <w:b/>
                <w:bCs/>
                <w:color w:val="auto"/>
                <w:kern w:val="2"/>
                <w:sz w:val="24"/>
                <w:szCs w:val="24"/>
                <w:highlight w:val="none"/>
              </w:rPr>
              <w:t>盐碘方法</w:t>
            </w:r>
          </w:p>
          <w:p w14:paraId="1220309C">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方法原理：直接滴定法（容量法）</w:t>
            </w:r>
          </w:p>
          <w:p w14:paraId="207E5611">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最低检测浓度：0.5mg/kg</w:t>
            </w:r>
          </w:p>
          <w:p w14:paraId="218BA06A">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精密度（RSD）：≤1.5%（20mg/kg食盐样品）</w:t>
            </w:r>
          </w:p>
          <w:p w14:paraId="6D097C92">
            <w:pPr>
              <w:widowControl/>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rPr>
              <w:t>准确度：误差在±2mg/kg以内</w:t>
            </w:r>
          </w:p>
        </w:tc>
      </w:tr>
      <w:tr w14:paraId="5A07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69A06259">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328B3728">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滴定系统</w:t>
            </w:r>
          </w:p>
        </w:tc>
        <w:tc>
          <w:tcPr>
            <w:tcW w:w="6203" w:type="dxa"/>
            <w:shd w:val="clear" w:color="auto" w:fill="auto"/>
            <w:tcMar>
              <w:top w:w="150" w:type="dxa"/>
              <w:left w:w="0" w:type="dxa"/>
              <w:bottom w:w="150" w:type="dxa"/>
              <w:right w:w="300" w:type="dxa"/>
            </w:tcMar>
            <w:vAlign w:val="top"/>
          </w:tcPr>
          <w:p w14:paraId="4BBD8413">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rPr>
              <w:t>★滴定系统各管路采用独立控制的加液泵，滴定终点自动判定，判定精度不低于人眼识别水平，符合GB/T5750.7-2023标准要求；仪器具备滴定过程监控记录功能，支持滴定数据自动存储追溯，可保存滴定过程相关记录供验收查阅。具有≥2个加液臂，每个加液臂内置≥4根出液管路。每个滴定位同时满足酸法、碱法测试。加液臂及管路设计应有效防止试剂泄漏造成仪器内部污染。（</w:t>
            </w:r>
            <w:r>
              <w:rPr>
                <w:rFonts w:ascii="宋体" w:hAnsi="宋体" w:eastAsia="宋体" w:cs="宋体"/>
                <w:kern w:val="2"/>
                <w:sz w:val="24"/>
                <w:szCs w:val="24"/>
              </w:rPr>
              <w:t>投标时须在响应表中说明上述功能。中标后，</w:t>
            </w:r>
            <w:r>
              <w:rPr>
                <w:rFonts w:hint="eastAsia" w:ascii="宋体" w:hAnsi="宋体" w:eastAsia="宋体" w:cs="宋体"/>
                <w:kern w:val="2"/>
                <w:sz w:val="24"/>
                <w:szCs w:val="24"/>
                <w:lang w:eastAsia="zh-CN"/>
              </w:rPr>
              <w:t>中标供应商</w:t>
            </w:r>
            <w:r>
              <w:rPr>
                <w:rFonts w:ascii="宋体" w:hAnsi="宋体" w:eastAsia="宋体" w:cs="宋体"/>
                <w:kern w:val="2"/>
                <w:sz w:val="24"/>
                <w:szCs w:val="24"/>
              </w:rPr>
              <w:t>应在安装调试完成后</w:t>
            </w:r>
            <w:r>
              <w:rPr>
                <w:rFonts w:ascii="宋体" w:hAnsi="宋体" w:eastAsia="宋体" w:cs="宋体"/>
                <w:b/>
                <w:kern w:val="2"/>
                <w:sz w:val="24"/>
                <w:szCs w:val="24"/>
              </w:rPr>
              <w:t>配合采购人进行功能演示</w:t>
            </w:r>
            <w:r>
              <w:rPr>
                <w:rFonts w:ascii="宋体" w:hAnsi="宋体" w:eastAsia="宋体" w:cs="宋体"/>
                <w:kern w:val="2"/>
                <w:sz w:val="24"/>
                <w:szCs w:val="24"/>
              </w:rPr>
              <w:t>，演示结果作为验收参考</w:t>
            </w:r>
            <w:r>
              <w:rPr>
                <w:rFonts w:hint="eastAsia" w:ascii="宋体" w:hAnsi="宋体" w:eastAsia="宋体" w:cs="宋体"/>
                <w:b w:val="0"/>
                <w:bCs w:val="0"/>
                <w:color w:val="auto"/>
                <w:kern w:val="2"/>
                <w:sz w:val="24"/>
                <w:szCs w:val="24"/>
                <w:highlight w:val="none"/>
                <w:lang w:val="en-US" w:eastAsia="zh-CN"/>
              </w:rPr>
              <w:t>）</w:t>
            </w:r>
          </w:p>
          <w:p w14:paraId="50A006E2">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rPr>
              <w:t>（2）</w:t>
            </w:r>
            <w:r>
              <w:rPr>
                <w:rFonts w:hint="eastAsia" w:ascii="宋体" w:hAnsi="宋体" w:eastAsia="宋体" w:cs="宋体"/>
                <w:b w:val="0"/>
                <w:bCs w:val="0"/>
                <w:color w:val="auto"/>
                <w:kern w:val="2"/>
                <w:sz w:val="24"/>
                <w:szCs w:val="24"/>
                <w:highlight w:val="none"/>
              </w:rPr>
              <w:t>系统配备滴定分析视频溯源功能，滴定过程实时记录显示样品杯内样品试剂颜色变化，具备滴定视频存储查阅功能。</w:t>
            </w:r>
          </w:p>
          <w:p w14:paraId="5CF69EC5">
            <w:pPr>
              <w:widowControl/>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lang w:val="en-US" w:eastAsia="zh-CN"/>
              </w:rPr>
              <w:t>（3）</w:t>
            </w:r>
            <w:r>
              <w:rPr>
                <w:rFonts w:hint="eastAsia" w:ascii="宋体" w:hAnsi="宋体" w:eastAsia="宋体" w:cs="宋体"/>
                <w:b w:val="0"/>
                <w:bCs w:val="0"/>
                <w:color w:val="auto"/>
                <w:kern w:val="2"/>
                <w:sz w:val="24"/>
                <w:szCs w:val="24"/>
                <w:highlight w:val="none"/>
              </w:rPr>
              <w:t>仪器具备“一键检测”功能，无人值守，自动完成试剂添加、水浴加热、滴定分析</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rPr>
              <w:t>自动分析并计算结果。</w:t>
            </w:r>
          </w:p>
        </w:tc>
      </w:tr>
      <w:tr w14:paraId="70D7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12" w:hRule="atLeast"/>
        </w:trPr>
        <w:tc>
          <w:tcPr>
            <w:tcW w:w="1453" w:type="dxa"/>
            <w:vMerge w:val="continue"/>
            <w:shd w:val="clear" w:color="auto" w:fill="auto"/>
            <w:tcMar>
              <w:top w:w="150" w:type="dxa"/>
              <w:left w:w="0" w:type="dxa"/>
              <w:bottom w:w="150" w:type="dxa"/>
              <w:right w:w="300" w:type="dxa"/>
            </w:tcMar>
            <w:vAlign w:val="top"/>
          </w:tcPr>
          <w:p w14:paraId="4C4011B5">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87002CE">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消解系统</w:t>
            </w:r>
          </w:p>
        </w:tc>
        <w:tc>
          <w:tcPr>
            <w:tcW w:w="6203" w:type="dxa"/>
            <w:shd w:val="clear" w:color="auto" w:fill="auto"/>
            <w:tcMar>
              <w:top w:w="150" w:type="dxa"/>
              <w:left w:w="0" w:type="dxa"/>
              <w:bottom w:w="150" w:type="dxa"/>
              <w:right w:w="300" w:type="dxa"/>
            </w:tcMar>
            <w:vAlign w:val="top"/>
          </w:tcPr>
          <w:p w14:paraId="48CBEAA6">
            <w:pPr>
              <w:widowControl/>
              <w:numPr>
                <w:ilvl w:val="0"/>
                <w:numId w:val="6"/>
              </w:numPr>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消解部分包括≥12位微沸水浴及水浴补水系统。加液完成后的样品会被机械臂移至沸水浴消解，消解位与滴定位、加液位并排一侧分布，减少运行行程。</w:t>
            </w:r>
          </w:p>
          <w:p w14:paraId="1967EE9F">
            <w:pPr>
              <w:widowControl/>
              <w:numPr>
                <w:ilvl w:val="0"/>
                <w:numId w:val="6"/>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rPr>
              <w:t>采用微沸水浴氧化设计，减少爆沸导致的水体蒸发，通过水汽防溢结构设计降低蒸气逸散，大功率高效水浴系统，通过PWM闭环控温技术实现精确恒温。</w:t>
            </w:r>
          </w:p>
          <w:p w14:paraId="10A67BD3">
            <w:pPr>
              <w:widowControl/>
              <w:numPr>
                <w:ilvl w:val="0"/>
                <w:numId w:val="6"/>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rPr>
              <w:t>多重水位监测及自动给水系统可根据水浴箱液面自动补水，补给用水缺水时系统预警提示并停止后续检测。试剂液位辅助监测功能，实时显示试剂液面，试剂即将使用完毕时自动报警提示并停止测定。</w:t>
            </w:r>
          </w:p>
          <w:p w14:paraId="157D6514">
            <w:pPr>
              <w:widowControl/>
              <w:numPr>
                <w:ilvl w:val="0"/>
                <w:numId w:val="6"/>
              </w:numPr>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rPr>
              <w:t>防挂液设计，基本消除试剂添加过程中的液滴悬挂，避免加液臂移动过程中试剂液滴低落引入的飞溅腐蚀。</w:t>
            </w:r>
          </w:p>
        </w:tc>
      </w:tr>
      <w:tr w14:paraId="676F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 w:hRule="atLeast"/>
        </w:trPr>
        <w:tc>
          <w:tcPr>
            <w:tcW w:w="1453" w:type="dxa"/>
            <w:vMerge w:val="continue"/>
            <w:shd w:val="clear" w:color="auto" w:fill="auto"/>
            <w:tcMar>
              <w:top w:w="150" w:type="dxa"/>
              <w:left w:w="0" w:type="dxa"/>
              <w:bottom w:w="150" w:type="dxa"/>
              <w:right w:w="300" w:type="dxa"/>
            </w:tcMar>
            <w:vAlign w:val="top"/>
          </w:tcPr>
          <w:p w14:paraId="30ADDCEF">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61C7463F">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样品转移系统</w:t>
            </w:r>
          </w:p>
        </w:tc>
        <w:tc>
          <w:tcPr>
            <w:tcW w:w="6203" w:type="dxa"/>
            <w:shd w:val="clear" w:color="auto" w:fill="auto"/>
            <w:tcMar>
              <w:top w:w="150" w:type="dxa"/>
              <w:left w:w="0" w:type="dxa"/>
              <w:bottom w:w="150" w:type="dxa"/>
              <w:right w:w="300" w:type="dxa"/>
            </w:tcMar>
            <w:vAlign w:val="top"/>
          </w:tcPr>
          <w:p w14:paraId="20D486B5">
            <w:pPr>
              <w:widowControl/>
              <w:numPr>
                <w:ilvl w:val="0"/>
                <w:numId w:val="7"/>
              </w:numPr>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配备≥48孔位样品盘，单次测定取样量≥100mL，注射进样系统，实时精确控制进样量。</w:t>
            </w:r>
          </w:p>
          <w:p w14:paraId="7834A0C0">
            <w:pPr>
              <w:widowControl/>
              <w:numPr>
                <w:ilvl w:val="0"/>
                <w:numId w:val="7"/>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rPr>
              <w:t>仪器可自动快速判定样品中氯离子含量，智能选择检测方法。</w:t>
            </w:r>
          </w:p>
          <w:p w14:paraId="2D05A47B">
            <w:pPr>
              <w:widowControl/>
              <w:numPr>
                <w:ilvl w:val="0"/>
                <w:numId w:val="7"/>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rPr>
              <w:t>高精度机械臂，自动抓取样品，自动识别是否抓取成功；自适应电动夹爪，无需额外气源设备，实现样品转移静音运行。</w:t>
            </w:r>
          </w:p>
          <w:p w14:paraId="4C37D5EE">
            <w:pPr>
              <w:widowControl/>
              <w:numPr>
                <w:ilvl w:val="0"/>
                <w:numId w:val="0"/>
              </w:numPr>
              <w:spacing w:line="360" w:lineRule="auto"/>
              <w:ind w:left="0" w:leftChars="0" w:firstLine="0" w:firstLineChars="0"/>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rPr>
              <w:t>▲（4）试剂添加单元配备≥6套注射泵，分别用于草酸钠、氢氧化钠、硫酸、高锰酸钾等试剂的添加，最小加液体积≤20μL。（</w:t>
            </w:r>
            <w:r>
              <w:rPr>
                <w:rFonts w:ascii="宋体" w:hAnsi="宋体" w:eastAsia="宋体" w:cs="宋体"/>
                <w:kern w:val="2"/>
                <w:sz w:val="24"/>
                <w:szCs w:val="24"/>
              </w:rPr>
              <w:t>投标时须在响应表中说明上述功能。中标后，</w:t>
            </w:r>
            <w:r>
              <w:rPr>
                <w:rFonts w:hint="eastAsia" w:ascii="宋体" w:hAnsi="宋体" w:eastAsia="宋体" w:cs="宋体"/>
                <w:kern w:val="2"/>
                <w:sz w:val="24"/>
                <w:szCs w:val="24"/>
                <w:lang w:eastAsia="zh-CN"/>
              </w:rPr>
              <w:t>中标供应商</w:t>
            </w:r>
            <w:r>
              <w:rPr>
                <w:rFonts w:ascii="宋体" w:hAnsi="宋体" w:eastAsia="宋体" w:cs="宋体"/>
                <w:kern w:val="2"/>
                <w:sz w:val="24"/>
                <w:szCs w:val="24"/>
              </w:rPr>
              <w:t>应在安装调试完成后</w:t>
            </w:r>
            <w:r>
              <w:rPr>
                <w:rFonts w:ascii="宋体" w:hAnsi="宋体" w:eastAsia="宋体" w:cs="宋体"/>
                <w:b/>
                <w:kern w:val="2"/>
                <w:sz w:val="24"/>
                <w:szCs w:val="24"/>
              </w:rPr>
              <w:t>配合采购人进行功能演示</w:t>
            </w:r>
            <w:r>
              <w:rPr>
                <w:rFonts w:ascii="宋体" w:hAnsi="宋体" w:eastAsia="宋体" w:cs="宋体"/>
                <w:kern w:val="2"/>
                <w:sz w:val="24"/>
                <w:szCs w:val="24"/>
              </w:rPr>
              <w:t>，演示结果作为验收参考</w:t>
            </w:r>
            <w:r>
              <w:rPr>
                <w:rFonts w:hint="eastAsia" w:ascii="宋体" w:hAnsi="宋体" w:eastAsia="宋体" w:cs="宋体"/>
                <w:b w:val="0"/>
                <w:bCs w:val="0"/>
                <w:color w:val="auto"/>
                <w:kern w:val="2"/>
                <w:sz w:val="24"/>
                <w:szCs w:val="24"/>
                <w:highlight w:val="none"/>
              </w:rPr>
              <w:t>）</w:t>
            </w:r>
          </w:p>
        </w:tc>
      </w:tr>
      <w:tr w14:paraId="1E38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0D6FB488">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42E7D64C">
            <w:pPr>
              <w:keepNext w:val="0"/>
              <w:keepLines w:val="0"/>
              <w:widowControl/>
              <w:suppressLineNumbers w:val="0"/>
              <w:spacing w:beforeAutospacing="1" w:afterAutospacing="1"/>
              <w:jc w:val="both"/>
              <w:rPr>
                <w:rFonts w:hint="eastAsia"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软件及通讯</w:t>
            </w:r>
          </w:p>
          <w:p w14:paraId="192BD846">
            <w:pPr>
              <w:keepNext w:val="0"/>
              <w:keepLines w:val="0"/>
              <w:widowControl/>
              <w:suppressLineNumbers w:val="0"/>
              <w:spacing w:beforeAutospacing="1" w:afterAutospacing="1"/>
              <w:jc w:val="both"/>
              <w:rPr>
                <w:rFonts w:ascii="Calibri" w:hAnsi="Calibri" w:eastAsia="宋体" w:cs="Times New Roman"/>
                <w:kern w:val="0"/>
                <w:sz w:val="24"/>
                <w:szCs w:val="24"/>
                <w:lang w:val="en-US" w:eastAsia="zh-CN" w:bidi="ar"/>
              </w:rPr>
            </w:pPr>
          </w:p>
        </w:tc>
        <w:tc>
          <w:tcPr>
            <w:tcW w:w="6203" w:type="dxa"/>
            <w:shd w:val="clear" w:color="auto" w:fill="auto"/>
            <w:tcMar>
              <w:top w:w="150" w:type="dxa"/>
              <w:left w:w="0" w:type="dxa"/>
              <w:bottom w:w="150" w:type="dxa"/>
              <w:right w:w="300" w:type="dxa"/>
            </w:tcMar>
            <w:vAlign w:val="top"/>
          </w:tcPr>
          <w:p w14:paraId="7F42DDBE">
            <w:pPr>
              <w:widowControl/>
              <w:numPr>
                <w:ilvl w:val="0"/>
                <w:numId w:val="0"/>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工作站自动控制系统对全部功能操作进行控制，软件运行于Windows操作系统。整机支持LAN、WIFI通讯连接，支持实验室LIMS系统数据上传对接。数据自动存储、溯源查阅、支持PDF/Word/Excel等格式报表输出与报表打印，支持报告个性化定制，软件版本在线升级。</w:t>
            </w:r>
          </w:p>
          <w:p w14:paraId="10C064F4">
            <w:pPr>
              <w:widowControl/>
              <w:numPr>
                <w:ilvl w:val="0"/>
                <w:numId w:val="0"/>
              </w:numPr>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lang w:val="en-US" w:eastAsia="zh-CN"/>
              </w:rPr>
              <w:t>▲（2）具有实验区及滴定视频监控功能，实现人机分离时实时在工作站软件上查看仪器运行画面，并具备保存溯源功能。（</w:t>
            </w:r>
            <w:r>
              <w:rPr>
                <w:rFonts w:hint="eastAsia" w:ascii="宋体" w:hAnsi="宋体" w:eastAsia="宋体" w:cs="宋体"/>
                <w:b w:val="0"/>
                <w:bCs w:val="0"/>
                <w:color w:val="auto"/>
                <w:kern w:val="2"/>
                <w:sz w:val="24"/>
                <w:szCs w:val="24"/>
                <w:highlight w:val="none"/>
              </w:rPr>
              <w:t>投标时须在响应表中说明上述功能。中标后，</w:t>
            </w:r>
            <w:r>
              <w:rPr>
                <w:rFonts w:hint="eastAsia" w:ascii="宋体" w:hAnsi="宋体" w:eastAsia="宋体" w:cs="宋体"/>
                <w:b w:val="0"/>
                <w:bCs w:val="0"/>
                <w:color w:val="auto"/>
                <w:kern w:val="2"/>
                <w:sz w:val="24"/>
                <w:szCs w:val="24"/>
                <w:highlight w:val="none"/>
                <w:lang w:eastAsia="zh-CN"/>
              </w:rPr>
              <w:t>中标供应商</w:t>
            </w:r>
            <w:r>
              <w:rPr>
                <w:rFonts w:hint="eastAsia" w:ascii="宋体" w:hAnsi="宋体" w:eastAsia="宋体" w:cs="宋体"/>
                <w:b w:val="0"/>
                <w:bCs w:val="0"/>
                <w:color w:val="auto"/>
                <w:kern w:val="2"/>
                <w:sz w:val="24"/>
                <w:szCs w:val="24"/>
                <w:highlight w:val="none"/>
              </w:rPr>
              <w:t>应在安装调试完成后</w:t>
            </w:r>
            <w:r>
              <w:rPr>
                <w:rFonts w:hint="eastAsia" w:ascii="宋体" w:hAnsi="宋体" w:eastAsia="宋体" w:cs="宋体"/>
                <w:b/>
                <w:bCs/>
                <w:color w:val="auto"/>
                <w:kern w:val="2"/>
                <w:sz w:val="24"/>
                <w:szCs w:val="24"/>
                <w:highlight w:val="none"/>
              </w:rPr>
              <w:t>配合采购人进行功能演示</w:t>
            </w:r>
            <w:r>
              <w:rPr>
                <w:rFonts w:hint="eastAsia" w:ascii="宋体" w:hAnsi="宋体" w:eastAsia="宋体" w:cs="宋体"/>
                <w:b w:val="0"/>
                <w:bCs w:val="0"/>
                <w:color w:val="auto"/>
                <w:kern w:val="2"/>
                <w:sz w:val="24"/>
                <w:szCs w:val="24"/>
                <w:highlight w:val="none"/>
              </w:rPr>
              <w:t>，演示结果作为验收参考</w:t>
            </w:r>
            <w:r>
              <w:rPr>
                <w:rFonts w:hint="eastAsia" w:ascii="宋体" w:hAnsi="宋体" w:eastAsia="宋体" w:cs="宋体"/>
                <w:b w:val="0"/>
                <w:bCs w:val="0"/>
                <w:color w:val="auto"/>
                <w:kern w:val="2"/>
                <w:sz w:val="24"/>
                <w:szCs w:val="24"/>
                <w:highlight w:val="none"/>
                <w:lang w:val="en-US" w:eastAsia="zh-CN"/>
              </w:rPr>
              <w:t>）</w:t>
            </w:r>
          </w:p>
        </w:tc>
      </w:tr>
      <w:tr w14:paraId="4E8F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3BB24294">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2680A50B">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配套及质保</w:t>
            </w:r>
          </w:p>
        </w:tc>
        <w:tc>
          <w:tcPr>
            <w:tcW w:w="6203" w:type="dxa"/>
            <w:shd w:val="clear" w:color="auto" w:fill="auto"/>
            <w:tcMar>
              <w:top w:w="150" w:type="dxa"/>
              <w:left w:w="0" w:type="dxa"/>
              <w:bottom w:w="150" w:type="dxa"/>
              <w:right w:w="300" w:type="dxa"/>
            </w:tcMar>
            <w:vAlign w:val="top"/>
          </w:tcPr>
          <w:p w14:paraId="43CEADD3">
            <w:pPr>
              <w:keepNext w:val="0"/>
              <w:keepLines w:val="0"/>
              <w:widowControl/>
              <w:suppressLineNumbers w:val="0"/>
              <w:spacing w:beforeAutospacing="1" w:afterAutospacing="1"/>
              <w:jc w:val="both"/>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配套工作站、说明书、</w:t>
            </w:r>
            <w:r>
              <w:rPr>
                <w:rFonts w:hint="eastAsia" w:ascii="宋体" w:hAnsi="宋体" w:eastAsia="宋体" w:cs="宋体"/>
                <w:b w:val="0"/>
                <w:bCs w:val="0"/>
                <w:color w:val="auto"/>
                <w:kern w:val="2"/>
                <w:sz w:val="24"/>
                <w:szCs w:val="24"/>
                <w:highlight w:val="none"/>
                <w:lang w:bidi="ar"/>
              </w:rPr>
              <w:t>备件包</w:t>
            </w:r>
            <w:r>
              <w:rPr>
                <w:rFonts w:hint="eastAsia" w:ascii="宋体" w:hAnsi="宋体" w:eastAsia="宋体" w:cs="宋体"/>
                <w:kern w:val="1"/>
                <w:sz w:val="24"/>
                <w:szCs w:val="24"/>
                <w:vertAlign w:val="baseline"/>
                <w:lang w:val="en-US" w:eastAsia="zh-CN" w:bidi="ar-SA"/>
              </w:rPr>
              <w:t>、磁力</w:t>
            </w:r>
            <w:r>
              <w:rPr>
                <w:rFonts w:hint="eastAsia" w:ascii="宋体" w:hAnsi="宋体" w:eastAsia="宋体" w:cs="宋体"/>
                <w:b w:val="0"/>
                <w:bCs w:val="0"/>
                <w:color w:val="auto"/>
                <w:kern w:val="2"/>
                <w:sz w:val="24"/>
                <w:szCs w:val="24"/>
                <w:highlight w:val="none"/>
                <w:lang w:bidi="ar"/>
              </w:rPr>
              <w:t>搅拌子</w:t>
            </w:r>
            <w:r>
              <w:rPr>
                <w:rFonts w:hint="eastAsia" w:ascii="宋体" w:hAnsi="宋体" w:eastAsia="宋体" w:cs="宋体"/>
                <w:kern w:val="1"/>
                <w:sz w:val="24"/>
                <w:szCs w:val="24"/>
                <w:vertAlign w:val="baseline"/>
                <w:lang w:val="en-US" w:eastAsia="zh-CN" w:bidi="ar-SA"/>
              </w:rPr>
              <w:t>、配套品牌电脑、装机试剂；</w:t>
            </w:r>
            <w:r>
              <w:rPr>
                <w:rFonts w:hint="eastAsia" w:ascii="宋体" w:hAnsi="宋体" w:eastAsia="宋体" w:cs="宋体"/>
                <w:kern w:val="1"/>
                <w:sz w:val="24"/>
                <w:szCs w:val="24"/>
                <w:lang w:val="en-US" w:eastAsia="zh-CN" w:bidi="ar-SA"/>
              </w:rPr>
              <w:t>整机免费质保≥3年，质保期内提供免费上门维修及软件升级服务</w:t>
            </w:r>
            <w:r>
              <w:rPr>
                <w:rFonts w:hint="eastAsia" w:ascii="宋体" w:hAnsi="宋体" w:eastAsia="宋体" w:cs="宋体"/>
                <w:kern w:val="1"/>
                <w:sz w:val="24"/>
                <w:szCs w:val="24"/>
                <w:vertAlign w:val="baseline"/>
                <w:lang w:val="en-US" w:eastAsia="zh-CN" w:bidi="ar-SA"/>
              </w:rPr>
              <w:t>。</w:t>
            </w:r>
          </w:p>
        </w:tc>
      </w:tr>
      <w:tr w14:paraId="03BC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4514DC9E">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紫外可见分光光度计(1台)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4CEE838F">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整机结构</w:t>
            </w:r>
          </w:p>
        </w:tc>
        <w:tc>
          <w:tcPr>
            <w:tcW w:w="6203" w:type="dxa"/>
            <w:shd w:val="clear" w:color="auto" w:fill="auto"/>
            <w:tcMar>
              <w:top w:w="150" w:type="dxa"/>
              <w:left w:w="0" w:type="dxa"/>
              <w:bottom w:w="150" w:type="dxa"/>
              <w:right w:w="300" w:type="dxa"/>
            </w:tcMar>
            <w:vAlign w:val="top"/>
          </w:tcPr>
          <w:p w14:paraId="1144E1AF">
            <w:pPr>
              <w:keepNext w:val="0"/>
              <w:keepLines w:val="0"/>
              <w:widowControl/>
              <w:suppressLineNumbers w:val="0"/>
              <w:spacing w:beforeAutospacing="1" w:afterAutospacing="1"/>
              <w:jc w:val="left"/>
              <w:rPr>
                <w:rFonts w:ascii="宋体" w:hAnsi="宋体" w:eastAsia="宋体" w:cs="宋体"/>
                <w:kern w:val="1"/>
                <w:sz w:val="24"/>
                <w:szCs w:val="24"/>
                <w:vertAlign w:val="baseline"/>
                <w:lang w:val="en-US" w:eastAsia="zh-CN" w:bidi="ar-SA"/>
              </w:rPr>
            </w:pPr>
            <w:r>
              <w:rPr>
                <w:rFonts w:ascii="宋体" w:hAnsi="宋体" w:eastAsia="宋体" w:cs="宋体"/>
                <w:kern w:val="1"/>
                <w:sz w:val="24"/>
                <w:szCs w:val="24"/>
                <w:vertAlign w:val="baseline"/>
                <w:lang w:val="en-US" w:eastAsia="zh-CN" w:bidi="ar-SA"/>
              </w:rPr>
              <w:t>双光束比例监测光路，单色器焦距≥160mm，全息光栅≥1200线/mm；光谱带宽1.8~2.0nm；配备≥8英寸彩色触控屏；自动0%/100%基线校准，标配8联池自动样品架。</w:t>
            </w:r>
          </w:p>
        </w:tc>
      </w:tr>
      <w:tr w14:paraId="0F72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454D5186">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133A37F">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光谱参数</w:t>
            </w:r>
          </w:p>
        </w:tc>
        <w:tc>
          <w:tcPr>
            <w:tcW w:w="6203" w:type="dxa"/>
            <w:shd w:val="clear" w:color="auto" w:fill="auto"/>
            <w:tcMar>
              <w:top w:w="150" w:type="dxa"/>
              <w:left w:w="0" w:type="dxa"/>
              <w:bottom w:w="150" w:type="dxa"/>
              <w:right w:w="300" w:type="dxa"/>
            </w:tcMar>
            <w:vAlign w:val="top"/>
          </w:tcPr>
          <w:p w14:paraId="55233192">
            <w:pPr>
              <w:keepNext w:val="0"/>
              <w:keepLines w:val="0"/>
              <w:widowControl/>
              <w:suppressLineNumbers w:val="0"/>
              <w:spacing w:beforeAutospacing="1" w:afterAutospacing="1"/>
              <w:jc w:val="left"/>
              <w:rPr>
                <w:rFonts w:ascii="宋体" w:hAnsi="宋体" w:eastAsia="宋体" w:cs="宋体"/>
                <w:kern w:val="1"/>
                <w:sz w:val="24"/>
                <w:szCs w:val="24"/>
                <w:vertAlign w:val="baseline"/>
                <w:lang w:val="en-US" w:eastAsia="zh-CN" w:bidi="ar-SA"/>
              </w:rPr>
            </w:pPr>
            <w:r>
              <w:rPr>
                <w:rFonts w:ascii="宋体" w:hAnsi="宋体" w:eastAsia="宋体" w:cs="宋体"/>
                <w:kern w:val="1"/>
                <w:sz w:val="24"/>
                <w:szCs w:val="24"/>
                <w:vertAlign w:val="baseline"/>
                <w:lang w:val="en-US" w:eastAsia="zh-CN" w:bidi="ar-SA"/>
              </w:rPr>
              <w:t>波长范围190~1100nm；波长准确度±0.5nm，波长重复性≤0.2nm；220nm处杂散光≤0.05%T。</w:t>
            </w:r>
          </w:p>
        </w:tc>
      </w:tr>
      <w:tr w14:paraId="7DCC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3DA91A7B">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2D02F6F2">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光度性能</w:t>
            </w:r>
          </w:p>
        </w:tc>
        <w:tc>
          <w:tcPr>
            <w:tcW w:w="6203" w:type="dxa"/>
            <w:shd w:val="clear" w:color="auto" w:fill="auto"/>
            <w:tcMar>
              <w:top w:w="150" w:type="dxa"/>
              <w:left w:w="0" w:type="dxa"/>
              <w:bottom w:w="150" w:type="dxa"/>
              <w:right w:w="300" w:type="dxa"/>
            </w:tcMar>
            <w:vAlign w:val="top"/>
          </w:tcPr>
          <w:p w14:paraId="00F43DD0">
            <w:pPr>
              <w:keepNext w:val="0"/>
              <w:keepLines w:val="0"/>
              <w:widowControl/>
              <w:suppressLineNumbers w:val="0"/>
              <w:spacing w:beforeAutospacing="1" w:afterAutospacing="1"/>
              <w:jc w:val="left"/>
              <w:rPr>
                <w:rFonts w:ascii="宋体" w:hAnsi="宋体" w:eastAsia="宋体" w:cs="宋体"/>
                <w:kern w:val="1"/>
                <w:sz w:val="24"/>
                <w:szCs w:val="24"/>
                <w:vertAlign w:val="baseline"/>
                <w:lang w:val="en-US" w:eastAsia="zh-CN" w:bidi="ar-SA"/>
              </w:rPr>
            </w:pPr>
            <w:r>
              <w:rPr>
                <w:rFonts w:ascii="宋体" w:hAnsi="宋体" w:eastAsia="宋体" w:cs="宋体"/>
                <w:kern w:val="1"/>
                <w:sz w:val="24"/>
                <w:szCs w:val="24"/>
                <w:vertAlign w:val="baseline"/>
                <w:lang w:val="en-US" w:eastAsia="zh-CN" w:bidi="ar-SA"/>
              </w:rPr>
              <w:t>透光率0.0~200.0%T、吸光度-0.301~4.000A；光度准确度±0.3%T，光度重复性≤0.15%T；基线漂移≤0.0009Abs/0.5h；基线平直度±0.0015A（200~1100nm）。</w:t>
            </w:r>
          </w:p>
        </w:tc>
      </w:tr>
      <w:tr w14:paraId="1ED9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45F1E27D">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5D56228F">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光源供电</w:t>
            </w:r>
          </w:p>
        </w:tc>
        <w:tc>
          <w:tcPr>
            <w:tcW w:w="6203" w:type="dxa"/>
            <w:shd w:val="clear" w:color="auto" w:fill="auto"/>
            <w:tcMar>
              <w:top w:w="150" w:type="dxa"/>
              <w:left w:w="0" w:type="dxa"/>
              <w:bottom w:w="150" w:type="dxa"/>
              <w:right w:w="300" w:type="dxa"/>
            </w:tcMar>
            <w:vAlign w:val="top"/>
          </w:tcPr>
          <w:p w14:paraId="6CDF3BF0">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长寿命氘灯+钨灯，氘灯拆装无需光路校准；AC220V±22V，额定功率≤200W。</w:t>
            </w:r>
          </w:p>
        </w:tc>
      </w:tr>
      <w:tr w14:paraId="2150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15119861">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高速离心机(1台)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25E08896">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整机系统</w:t>
            </w:r>
          </w:p>
        </w:tc>
        <w:tc>
          <w:tcPr>
            <w:tcW w:w="6203" w:type="dxa"/>
            <w:shd w:val="clear" w:color="auto" w:fill="auto"/>
            <w:tcMar>
              <w:top w:w="150" w:type="dxa"/>
              <w:left w:w="0" w:type="dxa"/>
              <w:bottom w:w="150" w:type="dxa"/>
              <w:right w:w="300" w:type="dxa"/>
            </w:tcMar>
            <w:vAlign w:val="top"/>
          </w:tcPr>
          <w:p w14:paraId="4A5FB124">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无刷直流变频免维护电机；配备≥7英寸彩色触控屏，支持数据导出及程序升级；全钢防腐机壳、304不锈钢一体离心腔，电子门锁，支持停电手动开门。</w:t>
            </w:r>
          </w:p>
        </w:tc>
      </w:tr>
      <w:tr w14:paraId="10FE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68F2EAD8">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3F4EB4A1">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安全保护</w:t>
            </w:r>
          </w:p>
        </w:tc>
        <w:tc>
          <w:tcPr>
            <w:tcW w:w="6203" w:type="dxa"/>
            <w:shd w:val="clear" w:color="auto" w:fill="auto"/>
            <w:tcMar>
              <w:top w:w="150" w:type="dxa"/>
              <w:left w:w="0" w:type="dxa"/>
              <w:bottom w:w="150" w:type="dxa"/>
              <w:right w:w="300" w:type="dxa"/>
            </w:tcMar>
            <w:vAlign w:val="top"/>
          </w:tcPr>
          <w:p w14:paraId="06F8653F">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具备超速、超温、不平衡、气溶胶溢出多重声光报警；三级减震，可存储≥99组程序，10档升降速。</w:t>
            </w:r>
          </w:p>
        </w:tc>
      </w:tr>
      <w:tr w14:paraId="051E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304330BE">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9501729">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运行参数</w:t>
            </w:r>
          </w:p>
        </w:tc>
        <w:tc>
          <w:tcPr>
            <w:tcW w:w="6203" w:type="dxa"/>
            <w:shd w:val="clear" w:color="auto" w:fill="auto"/>
            <w:tcMar>
              <w:top w:w="150" w:type="dxa"/>
              <w:left w:w="0" w:type="dxa"/>
              <w:bottom w:w="150" w:type="dxa"/>
              <w:right w:w="300" w:type="dxa"/>
            </w:tcMar>
            <w:vAlign w:val="top"/>
          </w:tcPr>
          <w:p w14:paraId="713C741A">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标配6×50mL角转子，该转子额定转速≥12000r/min；整机最高转速≥16500r/min；整机噪音≤60dB(A)；最大容量≥4×100mL。</w:t>
            </w:r>
          </w:p>
        </w:tc>
      </w:tr>
      <w:tr w14:paraId="2F42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2" w:hRule="atLeast"/>
        </w:trPr>
        <w:tc>
          <w:tcPr>
            <w:tcW w:w="1453" w:type="dxa"/>
            <w:shd w:val="clear" w:color="auto" w:fill="auto"/>
            <w:tcMar>
              <w:top w:w="150" w:type="dxa"/>
              <w:left w:w="0" w:type="dxa"/>
              <w:bottom w:w="150" w:type="dxa"/>
              <w:right w:w="300" w:type="dxa"/>
            </w:tcMar>
            <w:vAlign w:val="top"/>
          </w:tcPr>
          <w:p w14:paraId="7EDAF37D">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ICP-MS样品锥</w:t>
            </w:r>
          </w:p>
        </w:tc>
        <w:tc>
          <w:tcPr>
            <w:tcW w:w="1583" w:type="dxa"/>
            <w:shd w:val="clear" w:color="auto" w:fill="auto"/>
            <w:tcMar>
              <w:top w:w="150" w:type="dxa"/>
              <w:left w:w="0" w:type="dxa"/>
              <w:bottom w:w="150" w:type="dxa"/>
              <w:right w:w="300" w:type="dxa"/>
            </w:tcMar>
            <w:vAlign w:val="top"/>
          </w:tcPr>
          <w:p w14:paraId="3C5E407A">
            <w:pPr>
              <w:keepNext w:val="0"/>
              <w:keepLines w:val="0"/>
              <w:widowControl/>
              <w:suppressLineNumbers w:val="0"/>
              <w:spacing w:beforeAutospacing="1" w:afterAutospacing="1"/>
              <w:jc w:val="left"/>
              <w:rPr>
                <w:rFonts w:hint="eastAsia"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技术参数</w:t>
            </w:r>
          </w:p>
        </w:tc>
        <w:tc>
          <w:tcPr>
            <w:tcW w:w="6203" w:type="dxa"/>
            <w:shd w:val="clear" w:color="auto" w:fill="auto"/>
            <w:tcMar>
              <w:top w:w="150" w:type="dxa"/>
              <w:left w:w="0" w:type="dxa"/>
              <w:bottom w:w="150" w:type="dxa"/>
              <w:right w:w="300" w:type="dxa"/>
            </w:tcMar>
            <w:vAlign w:val="top"/>
          </w:tcPr>
          <w:p w14:paraId="1D459B86">
            <w:pPr>
              <w:keepNext w:val="0"/>
              <w:keepLines w:val="0"/>
              <w:widowControl/>
              <w:suppressLineNumbers w:val="0"/>
              <w:spacing w:beforeAutospacing="1" w:afterAutospacing="1"/>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基材：高纯金属镍，无镀层、无重金属杂质析出；2.中心锥孔内径≥1.0mm；3.通用外螺纹固定结构，密封平面平整，等离子工况下无漏气、变形；4.耐高温等离子腐蚀，长期检测无扩孔，可稳定完成饮用水痕量重金属测试。</w:t>
            </w:r>
          </w:p>
        </w:tc>
      </w:tr>
      <w:tr w14:paraId="6079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shd w:val="clear" w:color="auto" w:fill="auto"/>
            <w:tcMar>
              <w:top w:w="150" w:type="dxa"/>
              <w:left w:w="0" w:type="dxa"/>
              <w:bottom w:w="150" w:type="dxa"/>
              <w:right w:w="300" w:type="dxa"/>
            </w:tcMar>
            <w:vAlign w:val="top"/>
          </w:tcPr>
          <w:p w14:paraId="2FD6EDFE">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ICP-MS截取锥</w:t>
            </w:r>
          </w:p>
        </w:tc>
        <w:tc>
          <w:tcPr>
            <w:tcW w:w="1583" w:type="dxa"/>
            <w:shd w:val="clear" w:color="auto" w:fill="auto"/>
            <w:tcMar>
              <w:top w:w="150" w:type="dxa"/>
              <w:left w:w="0" w:type="dxa"/>
              <w:bottom w:w="150" w:type="dxa"/>
              <w:right w:w="300" w:type="dxa"/>
            </w:tcMar>
            <w:vAlign w:val="top"/>
          </w:tcPr>
          <w:p w14:paraId="74065ACE">
            <w:pPr>
              <w:keepNext w:val="0"/>
              <w:keepLines w:val="0"/>
              <w:widowControl/>
              <w:suppressLineNumbers w:val="0"/>
              <w:jc w:val="center"/>
              <w:rPr>
                <w:rFonts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技术参数</w:t>
            </w:r>
          </w:p>
        </w:tc>
        <w:tc>
          <w:tcPr>
            <w:tcW w:w="6203" w:type="dxa"/>
            <w:shd w:val="clear" w:color="auto" w:fill="auto"/>
            <w:tcMar>
              <w:top w:w="150" w:type="dxa"/>
              <w:left w:w="0" w:type="dxa"/>
              <w:bottom w:w="150" w:type="dxa"/>
              <w:right w:w="300" w:type="dxa"/>
            </w:tcMar>
            <w:vAlign w:val="top"/>
          </w:tcPr>
          <w:p w14:paraId="3B284E52">
            <w:pPr>
              <w:keepNext w:val="0"/>
              <w:keepLines w:val="0"/>
              <w:widowControl/>
              <w:suppressLineNumbers w:val="0"/>
              <w:spacing w:beforeAutospacing="1" w:afterAutospacing="1"/>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1.基材：高纯金属镍；2.中心锥孔内径≥0.9mm；3.配套通用密封安装结构，离子提取稳定；4.耐受高基体水样连续检测，无信号漂移、记忆效应。</w:t>
            </w:r>
          </w:p>
        </w:tc>
      </w:tr>
      <w:tr w14:paraId="41CD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1" w:hRule="atLeast"/>
        </w:trPr>
        <w:tc>
          <w:tcPr>
            <w:tcW w:w="1453" w:type="dxa"/>
            <w:shd w:val="clear" w:color="auto" w:fill="auto"/>
            <w:tcMar>
              <w:top w:w="150" w:type="dxa"/>
              <w:left w:w="0" w:type="dxa"/>
              <w:bottom w:w="150" w:type="dxa"/>
              <w:right w:w="300" w:type="dxa"/>
            </w:tcMar>
            <w:vAlign w:val="top"/>
          </w:tcPr>
          <w:p w14:paraId="4E4D380B">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ICP-MS泵管</w:t>
            </w:r>
          </w:p>
        </w:tc>
        <w:tc>
          <w:tcPr>
            <w:tcW w:w="1583" w:type="dxa"/>
            <w:shd w:val="clear" w:color="auto" w:fill="auto"/>
            <w:tcMar>
              <w:top w:w="150" w:type="dxa"/>
              <w:left w:w="0" w:type="dxa"/>
              <w:bottom w:w="150" w:type="dxa"/>
              <w:right w:w="300" w:type="dxa"/>
            </w:tcMar>
            <w:vAlign w:val="top"/>
          </w:tcPr>
          <w:p w14:paraId="6D9229ED">
            <w:pPr>
              <w:keepNext w:val="0"/>
              <w:keepLines w:val="0"/>
              <w:widowControl/>
              <w:suppressLineNumbers w:val="0"/>
              <w:jc w:val="center"/>
              <w:rPr>
                <w:rFonts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技术参数</w:t>
            </w:r>
          </w:p>
        </w:tc>
        <w:tc>
          <w:tcPr>
            <w:tcW w:w="6203" w:type="dxa"/>
            <w:shd w:val="clear" w:color="auto" w:fill="auto"/>
            <w:tcMar>
              <w:top w:w="150" w:type="dxa"/>
              <w:left w:w="0" w:type="dxa"/>
              <w:bottom w:w="150" w:type="dxa"/>
              <w:right w:w="300" w:type="dxa"/>
            </w:tcMar>
            <w:vAlign w:val="top"/>
          </w:tcPr>
          <w:p w14:paraId="35AF9AF6">
            <w:pPr>
              <w:keepNext w:val="0"/>
              <w:keepLines w:val="0"/>
              <w:widowControl/>
              <w:suppressLineNumbers w:val="0"/>
              <w:spacing w:beforeAutospacing="1" w:afterAutospacing="1"/>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1.分为进样管路、废液排出管路两套；2.材质：耐硝酸、盐酸腐蚀弹性软管（耐腐材质均可）；3.适配</w:t>
            </w:r>
            <w:r>
              <w:rPr>
                <w:rFonts w:hint="eastAsia" w:ascii="宋体" w:hAnsi="宋体" w:eastAsia="宋体" w:cs="宋体"/>
                <w:kern w:val="1"/>
                <w:sz w:val="24"/>
                <w:szCs w:val="24"/>
                <w:lang w:val="en-US" w:eastAsia="zh-CN" w:bidi="ar-SA"/>
              </w:rPr>
              <w:t>通用标准</w:t>
            </w:r>
            <w:r>
              <w:rPr>
                <w:rFonts w:ascii="宋体" w:hAnsi="宋体" w:eastAsia="宋体" w:cs="宋体"/>
                <w:kern w:val="1"/>
                <w:sz w:val="24"/>
                <w:szCs w:val="24"/>
                <w:lang w:val="en-US" w:eastAsia="zh-CN" w:bidi="ar-SA"/>
              </w:rPr>
              <w:t>蠕动泵辊轴卡扣规格，长期往复蠕动不硬化、不渗漏；4.低吸附、低记忆效应，适配高低浓度水质样品连续进样。</w:t>
            </w:r>
          </w:p>
        </w:tc>
      </w:tr>
      <w:tr w14:paraId="753B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shd w:val="clear" w:color="auto" w:fill="auto"/>
            <w:tcMar>
              <w:top w:w="150" w:type="dxa"/>
              <w:left w:w="0" w:type="dxa"/>
              <w:bottom w:w="150" w:type="dxa"/>
              <w:right w:w="300" w:type="dxa"/>
            </w:tcMar>
            <w:vAlign w:val="top"/>
          </w:tcPr>
          <w:p w14:paraId="1AE9DC33">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ICP-MS调谐液</w:t>
            </w:r>
          </w:p>
        </w:tc>
        <w:tc>
          <w:tcPr>
            <w:tcW w:w="1583" w:type="dxa"/>
            <w:shd w:val="clear" w:color="auto" w:fill="auto"/>
            <w:tcMar>
              <w:top w:w="150" w:type="dxa"/>
              <w:left w:w="0" w:type="dxa"/>
              <w:bottom w:w="150" w:type="dxa"/>
              <w:right w:w="300" w:type="dxa"/>
            </w:tcMar>
            <w:vAlign w:val="top"/>
          </w:tcPr>
          <w:p w14:paraId="6CC50DB0">
            <w:pPr>
              <w:keepNext w:val="0"/>
              <w:keepLines w:val="0"/>
              <w:widowControl/>
              <w:suppressLineNumbers w:val="0"/>
              <w:jc w:val="center"/>
              <w:rPr>
                <w:rFonts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技术参数</w:t>
            </w:r>
          </w:p>
        </w:tc>
        <w:tc>
          <w:tcPr>
            <w:tcW w:w="6203" w:type="dxa"/>
            <w:shd w:val="clear" w:color="auto" w:fill="auto"/>
            <w:tcMar>
              <w:top w:w="150" w:type="dxa"/>
              <w:left w:w="0" w:type="dxa"/>
              <w:bottom w:w="150" w:type="dxa"/>
              <w:right w:w="300" w:type="dxa"/>
            </w:tcMar>
            <w:vAlign w:val="top"/>
          </w:tcPr>
          <w:p w14:paraId="68BF32CB">
            <w:pPr>
              <w:keepNext w:val="0"/>
              <w:keepLines w:val="0"/>
              <w:widowControl/>
              <w:suppressLineNumbers w:val="0"/>
              <w:spacing w:beforeAutospacing="1" w:afterAutospacing="1"/>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溶液基体：5%稀硝酸水溶液；2.混合目标元素包含Li、Y、Ce、Tl、Co；3.标准浓度10ppb，液体均匀无沉淀，常温保质期不少于12个月；4.可完成仪器灵敏度、质量轴、氧化物/双电荷干扰校正，满足饮用水重金属检测仪器调谐需求。</w:t>
            </w:r>
          </w:p>
        </w:tc>
      </w:tr>
      <w:tr w14:paraId="0DEA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shd w:val="clear" w:color="auto" w:fill="auto"/>
            <w:tcMar>
              <w:top w:w="150" w:type="dxa"/>
              <w:left w:w="0" w:type="dxa"/>
              <w:bottom w:w="150" w:type="dxa"/>
              <w:right w:w="300" w:type="dxa"/>
            </w:tcMar>
            <w:vAlign w:val="top"/>
          </w:tcPr>
          <w:p w14:paraId="21336BDC">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离子色谱配套色谱柱组件​</w:t>
            </w:r>
          </w:p>
        </w:tc>
        <w:tc>
          <w:tcPr>
            <w:tcW w:w="1583" w:type="dxa"/>
            <w:shd w:val="clear" w:color="auto" w:fill="auto"/>
            <w:tcMar>
              <w:top w:w="150" w:type="dxa"/>
              <w:left w:w="0" w:type="dxa"/>
              <w:bottom w:w="150" w:type="dxa"/>
              <w:right w:w="300" w:type="dxa"/>
            </w:tcMar>
            <w:vAlign w:val="top"/>
          </w:tcPr>
          <w:p w14:paraId="1C5FA66D">
            <w:pPr>
              <w:keepNext w:val="0"/>
              <w:keepLines w:val="0"/>
              <w:widowControl/>
              <w:suppressLineNumbers w:val="0"/>
              <w:spacing w:before="0" w:beforeAutospacing="1" w:after="0" w:afterAutospacing="1"/>
              <w:ind w:left="0" w:right="0"/>
              <w:jc w:val="center"/>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性能要求</w:t>
            </w:r>
          </w:p>
        </w:tc>
        <w:tc>
          <w:tcPr>
            <w:tcW w:w="6203" w:type="dxa"/>
            <w:shd w:val="clear" w:color="auto" w:fill="auto"/>
            <w:tcMar>
              <w:top w:w="150" w:type="dxa"/>
              <w:left w:w="0" w:type="dxa"/>
              <w:bottom w:w="150" w:type="dxa"/>
              <w:right w:w="300" w:type="dxa"/>
            </w:tcMar>
            <w:vAlign w:val="top"/>
          </w:tcPr>
          <w:p w14:paraId="0F491A6D">
            <w:pPr>
              <w:keepNext w:val="0"/>
              <w:keepLines w:val="0"/>
              <w:widowControl/>
              <w:suppressLineNumbers w:val="0"/>
              <w:spacing w:before="0" w:beforeAutospacing="1" w:after="0" w:afterAutospacing="1"/>
              <w:ind w:left="0" w:right="0"/>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w:t>
            </w:r>
            <w:r>
              <w:rPr>
                <w:rFonts w:ascii="宋体" w:hAnsi="宋体" w:eastAsia="宋体" w:cs="宋体"/>
                <w:kern w:val="2"/>
                <w:sz w:val="24"/>
                <w:szCs w:val="24"/>
              </w:rPr>
              <w:t>阴离子分离色谱柱配套同规格保护柱整套；2.耐受常规水系淋洗液，可实现饮用水中氟离子、氯离子、硝酸盐、硫酸盐等常规阴阳离子有效分离，峰形与分离度满足GB/T5750-2023生活饮用水离子检测标准，同等分离性能色谱柱均可，不限定填料型号与仪器品牌。</w:t>
            </w:r>
          </w:p>
        </w:tc>
      </w:tr>
      <w:tr w14:paraId="3B3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453" w:type="dxa"/>
            <w:shd w:val="clear" w:color="auto" w:fill="auto"/>
            <w:tcMar>
              <w:top w:w="150" w:type="dxa"/>
              <w:left w:w="0" w:type="dxa"/>
              <w:bottom w:w="150" w:type="dxa"/>
              <w:right w:w="300" w:type="dxa"/>
            </w:tcMar>
            <w:vAlign w:val="top"/>
          </w:tcPr>
          <w:p w14:paraId="1E52EF7B">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顶空瓶瓶盖垫片(500片)​</w:t>
            </w:r>
          </w:p>
        </w:tc>
        <w:tc>
          <w:tcPr>
            <w:tcW w:w="1583" w:type="dxa"/>
            <w:shd w:val="clear" w:color="auto" w:fill="auto"/>
            <w:tcMar>
              <w:top w:w="150" w:type="dxa"/>
              <w:left w:w="0" w:type="dxa"/>
              <w:bottom w:w="150" w:type="dxa"/>
              <w:right w:w="300" w:type="dxa"/>
            </w:tcMar>
            <w:vAlign w:val="top"/>
          </w:tcPr>
          <w:p w14:paraId="332D46EA">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材质性能</w:t>
            </w:r>
          </w:p>
        </w:tc>
        <w:tc>
          <w:tcPr>
            <w:tcW w:w="6203" w:type="dxa"/>
            <w:shd w:val="clear" w:color="auto" w:fill="auto"/>
            <w:tcMar>
              <w:top w:w="150" w:type="dxa"/>
              <w:left w:w="0" w:type="dxa"/>
              <w:bottom w:w="150" w:type="dxa"/>
              <w:right w:w="300" w:type="dxa"/>
            </w:tcMar>
            <w:vAlign w:val="top"/>
          </w:tcPr>
          <w:p w14:paraId="76F17C4F">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宋体" w:hAnsi="宋体" w:eastAsia="宋体" w:cs="宋体"/>
                <w:kern w:val="1"/>
                <w:sz w:val="24"/>
                <w:szCs w:val="24"/>
              </w:rPr>
              <w:t>1.耐有机溶剂、耐高温；2.低挥发性、无杂质析出，不干扰水中挥发性有机物检测；3.适配通用标准顶空瓶规格，不限制特定品牌仪器配套瓶体。</w:t>
            </w:r>
          </w:p>
        </w:tc>
      </w:tr>
    </w:tbl>
    <w:p w14:paraId="2A3982FF">
      <w:pPr>
        <w:widowControl/>
        <w:numPr>
          <w:ilvl w:val="0"/>
          <w:numId w:val="0"/>
        </w:numPr>
        <w:kinsoku w:val="0"/>
        <w:autoSpaceDE w:val="0"/>
        <w:autoSpaceDN w:val="0"/>
        <w:adjustRightInd w:val="0"/>
        <w:snapToGrid w:val="0"/>
        <w:spacing w:before="137" w:line="219" w:lineRule="auto"/>
        <w:jc w:val="left"/>
        <w:textAlignment w:val="baseline"/>
        <w:rPr>
          <w:rFonts w:hint="default" w:ascii="宋体" w:hAnsi="宋体" w:eastAsia="宋体" w:cs="宋体"/>
          <w:b/>
          <w:bCs/>
          <w:snapToGrid w:val="0"/>
          <w:color w:val="0000FF"/>
          <w:spacing w:val="9"/>
          <w:kern w:val="0"/>
          <w:sz w:val="28"/>
          <w:szCs w:val="28"/>
          <w:lang w:val="en-US" w:eastAsia="zh-CN"/>
        </w:rPr>
      </w:pPr>
    </w:p>
    <w:p w14:paraId="02E254E6">
      <w:pPr>
        <w:widowControl/>
        <w:kinsoku w:val="0"/>
        <w:autoSpaceDE w:val="0"/>
        <w:autoSpaceDN w:val="0"/>
        <w:adjustRightInd w:val="0"/>
        <w:snapToGrid w:val="0"/>
        <w:spacing w:before="116" w:line="219" w:lineRule="auto"/>
        <w:ind w:left="3274"/>
        <w:jc w:val="left"/>
        <w:textAlignment w:val="baseline"/>
        <w:rPr>
          <w:rFonts w:ascii="宋体" w:hAnsi="宋体" w:eastAsia="宋体" w:cs="宋体"/>
          <w:snapToGrid w:val="0"/>
          <w:color w:val="000000"/>
          <w:kern w:val="0"/>
          <w:sz w:val="28"/>
          <w:szCs w:val="28"/>
          <w:lang w:eastAsia="en-US"/>
        </w:rPr>
      </w:pPr>
      <w:r>
        <w:rPr>
          <w:rFonts w:ascii="宋体" w:hAnsi="宋体" w:eastAsia="宋体" w:cs="宋体"/>
          <w:b/>
          <w:bCs/>
          <w:snapToGrid w:val="0"/>
          <w:color w:val="000000"/>
          <w:spacing w:val="17"/>
          <w:kern w:val="0"/>
          <w:sz w:val="28"/>
          <w:szCs w:val="28"/>
          <w:lang w:eastAsia="en-US"/>
        </w:rPr>
        <w:t>第三节商务要求</w:t>
      </w:r>
    </w:p>
    <w:p w14:paraId="11C27738">
      <w:pPr>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val="en-US" w:eastAsia="en-US" w:bidi="ar-SA"/>
        </w:rPr>
      </w:pPr>
    </w:p>
    <w:p w14:paraId="28624A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一</w:t>
      </w:r>
      <w:r>
        <w:rPr>
          <w:rFonts w:ascii="Arial" w:hAnsi="Arial" w:eastAsia="宋体" w:cs="Times New Roman"/>
          <w:b/>
          <w:bCs/>
          <w:color w:val="000000"/>
          <w:kern w:val="2"/>
          <w:sz w:val="24"/>
          <w:szCs w:val="24"/>
          <w:lang w:val="en-US" w:eastAsia="zh-CN" w:bidi="ar-SA"/>
        </w:rPr>
        <w:t>、供货范围</w:t>
      </w:r>
    </w:p>
    <w:p w14:paraId="221168C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1、成交供应商须提供清单全部货物及配套完整服务，包含运输、装卸、安装、调试、整机试运行、上门计量检定、售后维修、终身技术支持、免费操作人员培训等，所有费用全部包含在投标总价内，采购人无需额外付费；所有设备交付后可直接开展法定城乡饮用水水质监测工作。</w:t>
      </w:r>
    </w:p>
    <w:p w14:paraId="4E5C150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2、</w:t>
      </w:r>
      <w:r>
        <w:rPr>
          <w:rFonts w:hint="eastAsia" w:ascii="Times New Roman" w:hAnsi="Times New Roman" w:eastAsia="宋体" w:cs="Times New Roman"/>
          <w:color w:val="000000"/>
          <w:kern w:val="2"/>
          <w:sz w:val="24"/>
          <w:szCs w:val="24"/>
        </w:rPr>
        <w:t>本项目拒绝进口产品参与响应。进口产品指通过中国海关报关验放进入中国境内且产自关境外的产品。供应商所投产品均须为国产产品，提供进口产品的，响应无效</w:t>
      </w:r>
      <w:r>
        <w:rPr>
          <w:rFonts w:ascii="Times New Roman" w:hAnsi="Times New Roman" w:eastAsia="宋体" w:cs="Times New Roman"/>
          <w:color w:val="000000"/>
          <w:kern w:val="2"/>
          <w:sz w:val="24"/>
          <w:szCs w:val="24"/>
        </w:rPr>
        <w:t>。</w:t>
      </w:r>
    </w:p>
    <w:p w14:paraId="1AEA29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二</w:t>
      </w:r>
      <w:r>
        <w:rPr>
          <w:rFonts w:ascii="Arial" w:hAnsi="Arial" w:eastAsia="宋体" w:cs="Times New Roman"/>
          <w:b/>
          <w:bCs/>
          <w:color w:val="000000"/>
          <w:kern w:val="2"/>
          <w:sz w:val="24"/>
          <w:szCs w:val="24"/>
          <w:lang w:val="en-US" w:eastAsia="zh-CN" w:bidi="ar-SA"/>
        </w:rPr>
        <w:t>、质量保证</w:t>
      </w:r>
    </w:p>
    <w:p w14:paraId="060A42E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1、</w:t>
      </w:r>
      <w:r>
        <w:rPr>
          <w:rFonts w:ascii="Times New Roman" w:hAnsi="Times New Roman" w:eastAsia="宋体" w:cs="Times New Roman"/>
          <w:color w:val="000000"/>
          <w:kern w:val="2"/>
          <w:sz w:val="24"/>
          <w:szCs w:val="24"/>
        </w:rPr>
        <w:t>货物质量要求：所有货物均为全新、未使用过的原装正品，符合国家最新质量检测标准、《生活饮用水卫生标准》（GB5749-2022）</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《生活饮用水标准检验方法》（</w:t>
      </w:r>
      <w:r>
        <w:rPr>
          <w:rFonts w:hint="eastAsia" w:ascii="Times New Roman" w:hAnsi="Times New Roman" w:eastAsia="宋体" w:cs="Times New Roman"/>
          <w:color w:val="000000"/>
          <w:kern w:val="2"/>
          <w:sz w:val="24"/>
          <w:szCs w:val="24"/>
          <w:lang w:eastAsia="zh-CN"/>
        </w:rPr>
        <w:t>GB/T5750-2023</w:t>
      </w:r>
      <w:r>
        <w:rPr>
          <w:rFonts w:ascii="Times New Roman" w:hAnsi="Times New Roman" w:eastAsia="宋体" w:cs="Times New Roman"/>
          <w:color w:val="000000"/>
          <w:kern w:val="2"/>
          <w:sz w:val="24"/>
          <w:szCs w:val="24"/>
        </w:rPr>
        <w:t>）及本项目技术要求，具备完整的出厂合格证、产品说明书、技术资料等文件。</w:t>
      </w:r>
    </w:p>
    <w:p w14:paraId="6B47D5F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2、</w:t>
      </w:r>
      <w:r>
        <w:rPr>
          <w:rFonts w:hint="eastAsia" w:ascii="Times New Roman" w:hAnsi="Times New Roman" w:eastAsia="宋体" w:cs="Times New Roman"/>
          <w:color w:val="000000"/>
          <w:kern w:val="2"/>
          <w:sz w:val="24"/>
          <w:szCs w:val="24"/>
        </w:rPr>
        <w:t>对于需适配采购人现有设备的耗材，中标人须承诺无条件配合上机验证，验证不合格的须无条件退换，相关费用由中标人承担</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需提供承诺函</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rPr>
        <w:t>。</w:t>
      </w:r>
    </w:p>
    <w:p w14:paraId="7A27A20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知识产权要求：供应商须保证采购人在使用本项目货物及相关服务的任何时候，不会受到第三方关于专利权、商标权、著作权等知识产权的侵权主张或纠纷，否则由此产生的全部法律责任、经济损失均由供应商承担。</w:t>
      </w:r>
    </w:p>
    <w:p w14:paraId="7207F06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4、</w:t>
      </w:r>
      <w:r>
        <w:rPr>
          <w:rFonts w:ascii="Times New Roman" w:hAnsi="Times New Roman" w:eastAsia="宋体" w:cs="Times New Roman"/>
          <w:color w:val="000000"/>
          <w:kern w:val="2"/>
          <w:sz w:val="24"/>
          <w:szCs w:val="24"/>
        </w:rPr>
        <w:t>一致性要求：</w:t>
      </w:r>
      <w:r>
        <w:rPr>
          <w:rFonts w:hint="eastAsia" w:ascii="Times New Roman" w:hAnsi="Times New Roman" w:eastAsia="宋体" w:cs="Times New Roman"/>
          <w:color w:val="000000"/>
          <w:kern w:val="2"/>
          <w:sz w:val="24"/>
          <w:szCs w:val="24"/>
          <w:lang w:val="en-US" w:eastAsia="zh-CN"/>
        </w:rPr>
        <w:t>成交</w:t>
      </w:r>
      <w:r>
        <w:rPr>
          <w:rFonts w:ascii="Times New Roman" w:hAnsi="Times New Roman" w:eastAsia="宋体" w:cs="Times New Roman"/>
          <w:color w:val="000000"/>
          <w:kern w:val="2"/>
          <w:sz w:val="24"/>
          <w:szCs w:val="24"/>
        </w:rPr>
        <w:t>供应商提供的所有货物、技术参数、配置，均须与响应文件承诺、本项目采购清单、技术要求完全一致，不得擅自变更、调换配置，否则按供应商违约处理。</w:t>
      </w:r>
    </w:p>
    <w:p w14:paraId="3A2630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三</w:t>
      </w:r>
      <w:r>
        <w:rPr>
          <w:rFonts w:ascii="Arial" w:hAnsi="Arial" w:eastAsia="宋体" w:cs="Times New Roman"/>
          <w:b/>
          <w:bCs/>
          <w:color w:val="000000"/>
          <w:kern w:val="2"/>
          <w:sz w:val="24"/>
          <w:szCs w:val="24"/>
          <w:lang w:val="en-US" w:eastAsia="zh-CN" w:bidi="ar-SA"/>
        </w:rPr>
        <w:t>、设备运输、保险及保管</w:t>
      </w:r>
    </w:p>
    <w:p w14:paraId="2EDCACE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1、</w:t>
      </w:r>
      <w:r>
        <w:rPr>
          <w:rFonts w:ascii="Times New Roman" w:hAnsi="Times New Roman" w:eastAsia="宋体" w:cs="Times New Roman"/>
          <w:color w:val="000000"/>
          <w:kern w:val="2"/>
          <w:sz w:val="24"/>
          <w:szCs w:val="24"/>
        </w:rPr>
        <w:t>运输责任：供应商负责将采购清单内的全部货物安全、完整地运送至采购人指定的交货地点（</w:t>
      </w:r>
      <w:r>
        <w:rPr>
          <w:rFonts w:hint="eastAsia" w:ascii="Times New Roman" w:hAnsi="Times New Roman" w:eastAsia="宋体" w:cs="Times New Roman"/>
          <w:color w:val="000000"/>
          <w:kern w:val="2"/>
          <w:sz w:val="24"/>
          <w:szCs w:val="24"/>
          <w:lang w:eastAsia="zh-CN"/>
        </w:rPr>
        <w:t>衡山县疾病预防控制中心（衡山县卫生综合监督执法局</w:t>
      </w:r>
      <w:r>
        <w:rPr>
          <w:rFonts w:ascii="Times New Roman" w:hAnsi="Times New Roman" w:eastAsia="宋体" w:cs="Times New Roman"/>
          <w:color w:val="000000"/>
          <w:kern w:val="2"/>
          <w:sz w:val="24"/>
          <w:szCs w:val="24"/>
        </w:rPr>
        <w:t>），承担全部运输费用、装卸费用、二次搬运费用。运输方式须符合国家相关运输标准，确保货物在运输过程中无损坏、无受潮、无丢失、无变形。</w:t>
      </w:r>
    </w:p>
    <w:p w14:paraId="219F28C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2、</w:t>
      </w:r>
      <w:r>
        <w:rPr>
          <w:rFonts w:ascii="Times New Roman" w:hAnsi="Times New Roman" w:eastAsia="宋体" w:cs="Times New Roman"/>
          <w:color w:val="000000"/>
          <w:kern w:val="2"/>
          <w:sz w:val="24"/>
          <w:szCs w:val="24"/>
        </w:rPr>
        <w:t>包装要求：货物的包装须符合国家最新包装标准，具备防潮、防震、防锈、防破损的保护措施，适合长途运输和多次装卸。包装上须清晰标注货物名称、型号、数量、产地、收货单位等信息，包装费用全部由供应商承担。</w:t>
      </w:r>
    </w:p>
    <w:p w14:paraId="19B299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保险要求：供应商须为全部货物投保足额的货物运输险、财产一切险，保险金额不低于合同总价，保险期限覆盖从货物发出至最终验收合格交付采购人止。如运输、保管过程中发生货物损坏、丢失，全部损失由供应商承担，供应商须在3个工作日内完成更换、补齐，相关费用全部由供应商承担。</w:t>
      </w:r>
    </w:p>
    <w:p w14:paraId="0EFD5FE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4、</w:t>
      </w:r>
      <w:r>
        <w:rPr>
          <w:rFonts w:ascii="Times New Roman" w:hAnsi="Times New Roman" w:eastAsia="宋体" w:cs="Times New Roman"/>
          <w:color w:val="000000"/>
          <w:kern w:val="2"/>
          <w:sz w:val="24"/>
          <w:szCs w:val="24"/>
        </w:rPr>
        <w:t>保管责任：货物到达交货地点后，至最终验收合格交付采购人前，全部货物的保管责任、安全责任均由供应商承担，期间发生的货物损坏、丢失、被盗等全部损失由供应商承担。</w:t>
      </w:r>
    </w:p>
    <w:p w14:paraId="6BE3E4C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5、</w:t>
      </w:r>
      <w:r>
        <w:rPr>
          <w:rFonts w:ascii="Times New Roman" w:hAnsi="Times New Roman" w:eastAsia="宋体" w:cs="Times New Roman"/>
          <w:color w:val="000000"/>
          <w:kern w:val="2"/>
          <w:sz w:val="24"/>
          <w:szCs w:val="24"/>
        </w:rPr>
        <w:t>安全责任：供应商负责为其派出的所有人员购买足额的人身意外保险，承担运输、装卸、安装、调试、培训等全部过程中的安全责任。如发生人员伤亡、财产损失等安全事故，全部责任和经济损失均由供应商承担，与采购人无关。</w:t>
      </w:r>
    </w:p>
    <w:p w14:paraId="52079F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四</w:t>
      </w:r>
      <w:r>
        <w:rPr>
          <w:rFonts w:ascii="Arial" w:hAnsi="Arial" w:eastAsia="宋体" w:cs="Times New Roman"/>
          <w:b/>
          <w:bCs/>
          <w:color w:val="000000"/>
          <w:kern w:val="2"/>
          <w:sz w:val="24"/>
          <w:szCs w:val="24"/>
          <w:lang w:val="en-US" w:eastAsia="zh-CN" w:bidi="ar-SA"/>
        </w:rPr>
        <w:t>、验收标准和方法</w:t>
      </w:r>
    </w:p>
    <w:p w14:paraId="11EF3B4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1、</w:t>
      </w:r>
      <w:r>
        <w:rPr>
          <w:rFonts w:ascii="Times New Roman" w:hAnsi="Times New Roman" w:eastAsia="宋体" w:cs="Times New Roman"/>
          <w:color w:val="000000"/>
          <w:kern w:val="2"/>
          <w:sz w:val="24"/>
          <w:szCs w:val="24"/>
          <w:lang w:val="en-US" w:eastAsia="zh-CN"/>
        </w:rPr>
        <w:t>本项目验收分为到货验收、安装调试验收、最终验收三个阶段，所有验收环节均须采购人、供应商双方共同参与，验收记录双方签字确认后存档，存档期限不少于5年。</w:t>
      </w:r>
    </w:p>
    <w:p w14:paraId="43C6949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2、</w:t>
      </w:r>
      <w:r>
        <w:rPr>
          <w:rFonts w:ascii="Times New Roman" w:hAnsi="Times New Roman" w:eastAsia="宋体" w:cs="Times New Roman"/>
          <w:color w:val="000000"/>
          <w:kern w:val="2"/>
          <w:sz w:val="24"/>
          <w:szCs w:val="24"/>
        </w:rPr>
        <w:t>到货验收：货物送达采购人指定地点后，双方在3个工作日内共同开箱查验，核对货物的品牌、型号、规格、数量、产地、出厂合格证、技术资料等，须与采购清单、合同约定完全一致，且无进口产品、无外观破损、无缺件漏项。验收不合格的，采购人有权拒收货物，供应商须在3个工作日内完成更换、补齐，直至到货验收合格，相关费用全部由供应商承担。</w:t>
      </w:r>
    </w:p>
    <w:p w14:paraId="64C61F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安装调试验收：到货验收合格后，供应商须在15个工作日内完成全部设备的安装、调试，提交安装调试报告，采购人对设备的技术参数、性能指标进行全面核验，须完全符合本项目技术要求、国家及行业标准。调试合格后，双方签署安装调试确认单，设备进入30日历天的试运行期。</w:t>
      </w:r>
    </w:p>
    <w:p w14:paraId="5B137A4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4、</w:t>
      </w:r>
      <w:r>
        <w:rPr>
          <w:rFonts w:ascii="Times New Roman" w:hAnsi="Times New Roman" w:eastAsia="宋体" w:cs="Times New Roman"/>
          <w:color w:val="000000"/>
          <w:kern w:val="2"/>
          <w:sz w:val="24"/>
          <w:szCs w:val="24"/>
        </w:rPr>
        <w:t>最终验收：试运行期内设备运行稳定，各项性能指标符合要求，无故障、无质量问题，试运行期满后，采购人在5个工作日内组织最终验收。验收合格的，双方签署最终验收报告；验收不合格的，供应商须在7个工作日内完成返工、更换，直至验收合格，相关返工、检测、运输等全部费用由供应商承担。</w:t>
      </w:r>
    </w:p>
    <w:p w14:paraId="021CA1A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5、</w:t>
      </w:r>
      <w:r>
        <w:rPr>
          <w:rFonts w:ascii="Times New Roman" w:hAnsi="Times New Roman" w:eastAsia="宋体" w:cs="Times New Roman"/>
          <w:color w:val="000000"/>
          <w:kern w:val="2"/>
          <w:sz w:val="24"/>
          <w:szCs w:val="24"/>
        </w:rPr>
        <w:t>验收标准：国家有强制性规定的，按国家最新强制性标准执行；无强制性规定的，按本项目采购清单、技术要求、合同约定执行。验收过程中产生的所有检测费用、验收费用均由供应商承担，最终验收报告作为申请付款的核心凭证。</w:t>
      </w:r>
    </w:p>
    <w:p w14:paraId="6B986F3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6、</w:t>
      </w:r>
      <w:r>
        <w:rPr>
          <w:rFonts w:ascii="Times New Roman" w:hAnsi="Times New Roman" w:eastAsia="宋体" w:cs="Times New Roman"/>
          <w:color w:val="000000"/>
          <w:kern w:val="2"/>
          <w:sz w:val="24"/>
          <w:szCs w:val="24"/>
        </w:rPr>
        <w:t>纠纷处理：验收过程中产生质量纠纷的，由双方共同委托具备法定资质的计量检测机构进行检测，检测结果为最终判定依据。如为供应商原因导致的不合格，检测费用、返工费用、采购人的全部损失均由供应商承担；否则由采购人承担。</w:t>
      </w:r>
    </w:p>
    <w:p w14:paraId="172773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五</w:t>
      </w:r>
      <w:r>
        <w:rPr>
          <w:rFonts w:ascii="Arial" w:hAnsi="Arial" w:eastAsia="宋体" w:cs="Times New Roman"/>
          <w:b/>
          <w:bCs/>
          <w:color w:val="000000"/>
          <w:kern w:val="2"/>
          <w:sz w:val="24"/>
          <w:szCs w:val="24"/>
          <w:lang w:val="en-US" w:eastAsia="zh-CN" w:bidi="ar-SA"/>
        </w:rPr>
        <w:t>、售后服务要求</w:t>
      </w:r>
    </w:p>
    <w:p w14:paraId="065F7FF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val="en-US" w:eastAsia="zh-CN"/>
        </w:rPr>
        <w:t>1、</w:t>
      </w:r>
      <w:r>
        <w:rPr>
          <w:rFonts w:ascii="Times New Roman" w:hAnsi="Times New Roman" w:eastAsia="宋体" w:cs="Times New Roman"/>
          <w:color w:val="000000"/>
          <w:kern w:val="2"/>
          <w:sz w:val="24"/>
          <w:szCs w:val="24"/>
        </w:rPr>
        <w:t>质保期约定：</w:t>
      </w:r>
    </w:p>
    <w:p w14:paraId="57E656D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val="en-US" w:eastAsia="zh-CN"/>
        </w:rPr>
      </w:pPr>
      <w:r>
        <w:rPr>
          <w:rFonts w:ascii="Times New Roman" w:hAnsi="Times New Roman" w:eastAsia="宋体" w:cs="Times New Roman"/>
          <w:color w:val="000000"/>
          <w:kern w:val="2"/>
          <w:sz w:val="24"/>
          <w:szCs w:val="24"/>
        </w:rPr>
        <w:t>（1）</w:t>
      </w:r>
      <w:r>
        <w:rPr>
          <w:rFonts w:hint="eastAsia" w:ascii="Times New Roman" w:hAnsi="Times New Roman" w:eastAsia="宋体" w:cs="Times New Roman"/>
          <w:color w:val="000000"/>
          <w:kern w:val="2"/>
          <w:sz w:val="24"/>
          <w:szCs w:val="24"/>
        </w:rPr>
        <w:t>全自动高锰酸盐指数分析仪整机免费质保≥3年；其余所有设备整机免费质保≥1年；质保期自最终验收合格之日起计算。</w:t>
      </w:r>
    </w:p>
    <w:p w14:paraId="1C3F61A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ascii="Times New Roman" w:hAnsi="Times New Roman" w:eastAsia="宋体" w:cs="Times New Roman"/>
          <w:color w:val="000000"/>
          <w:kern w:val="2"/>
          <w:sz w:val="24"/>
          <w:szCs w:val="24"/>
        </w:rPr>
        <w:t>（</w:t>
      </w:r>
      <w:r>
        <w:rPr>
          <w:rFonts w:hint="eastAsia" w:ascii="Times New Roman" w:hAnsi="Times New Roman" w:eastAsia="宋体" w:cs="Times New Roman"/>
          <w:color w:val="000000"/>
          <w:kern w:val="2"/>
          <w:sz w:val="24"/>
          <w:szCs w:val="24"/>
          <w:lang w:val="en-US" w:eastAsia="zh-CN"/>
        </w:rPr>
        <w:t>2</w:t>
      </w:r>
      <w:r>
        <w:rPr>
          <w:rFonts w:ascii="Times New Roman" w:hAnsi="Times New Roman" w:eastAsia="宋体" w:cs="Times New Roman"/>
          <w:color w:val="000000"/>
          <w:kern w:val="2"/>
          <w:sz w:val="24"/>
          <w:szCs w:val="24"/>
        </w:rPr>
        <w:t>）</w:t>
      </w:r>
      <w:r>
        <w:rPr>
          <w:rFonts w:hint="eastAsia" w:ascii="Times New Roman" w:hAnsi="Times New Roman" w:eastAsia="宋体" w:cs="Times New Roman"/>
          <w:color w:val="000000"/>
          <w:kern w:val="2"/>
          <w:sz w:val="24"/>
          <w:szCs w:val="24"/>
        </w:rPr>
        <w:t>所有设备的配套软件提供免费升级服务期限与整机质保对齐，质保期满后供应商应提供终身技术支持与成本价升级服务，确保数据合规性</w:t>
      </w:r>
      <w:r>
        <w:rPr>
          <w:rFonts w:ascii="Times New Roman" w:hAnsi="Times New Roman" w:eastAsia="宋体" w:cs="Times New Roman"/>
          <w:color w:val="000000"/>
          <w:kern w:val="2"/>
          <w:sz w:val="24"/>
          <w:szCs w:val="24"/>
        </w:rPr>
        <w:t>；</w:t>
      </w:r>
    </w:p>
    <w:p w14:paraId="14492D0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w:t>
      </w: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）质保期内，设备出现任何质量问题（人为破坏、自然灾害等不可抗力除外），供应商负责免费维修、免费更换损坏的零部件，直至设备恢复正常运行，所有费用均由供应商承担</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不向采购人收取任何费用。</w:t>
      </w:r>
    </w:p>
    <w:p w14:paraId="4CB3927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val="en-US" w:eastAsia="zh-CN"/>
        </w:rPr>
        <w:t>2、</w:t>
      </w:r>
      <w:r>
        <w:rPr>
          <w:rFonts w:ascii="Times New Roman" w:hAnsi="Times New Roman" w:eastAsia="宋体" w:cs="Times New Roman"/>
          <w:color w:val="000000"/>
          <w:kern w:val="2"/>
          <w:sz w:val="24"/>
          <w:szCs w:val="24"/>
        </w:rPr>
        <w:t>维修服务响应：</w:t>
      </w:r>
    </w:p>
    <w:p w14:paraId="14C2B8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ascii="Times New Roman" w:hAnsi="Times New Roman" w:eastAsia="宋体" w:cs="Times New Roman"/>
          <w:color w:val="000000"/>
          <w:kern w:val="2"/>
          <w:sz w:val="24"/>
          <w:szCs w:val="24"/>
        </w:rPr>
        <w:t>（1）质保期内</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设备发生故障，供应商接到采购人的电话、书面等通知后，须在1小时内作出响应，提供远程技术支持；</w:t>
      </w:r>
    </w:p>
    <w:p w14:paraId="42CF9B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ascii="Times New Roman" w:hAnsi="Times New Roman" w:eastAsia="宋体" w:cs="Times New Roman"/>
          <w:color w:val="000000"/>
          <w:kern w:val="2"/>
          <w:sz w:val="24"/>
          <w:szCs w:val="24"/>
        </w:rPr>
        <w:t>（2）</w:t>
      </w:r>
      <w:r>
        <w:rPr>
          <w:rFonts w:hint="eastAsia" w:ascii="Times New Roman" w:hAnsi="Times New Roman" w:eastAsia="宋体" w:cs="Times New Roman"/>
          <w:color w:val="000000"/>
          <w:kern w:val="2"/>
          <w:sz w:val="24"/>
          <w:szCs w:val="24"/>
        </w:rPr>
        <w:t>如需现场维修，供应商须24小时（工作日）内派遣持证专业技术人员抵达现场；法定节假日优先远程支持，重大监测应急故障可协商提供备用设备</w:t>
      </w:r>
      <w:r>
        <w:rPr>
          <w:rFonts w:ascii="Times New Roman" w:hAnsi="Times New Roman" w:eastAsia="宋体" w:cs="Times New Roman"/>
          <w:color w:val="000000"/>
          <w:kern w:val="2"/>
          <w:sz w:val="24"/>
          <w:szCs w:val="24"/>
        </w:rPr>
        <w:t>；</w:t>
      </w:r>
    </w:p>
    <w:p w14:paraId="78093E3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（3）如供应商未按约定时限到达现场，或无法在48小时内解决设备故障，采购人有权委托第三方单位进行维修，产生的全部维修费用、配件费用均由供应商承担，采购人有权从质保金中直接扣除。</w:t>
      </w:r>
    </w:p>
    <w:p w14:paraId="6474891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质保期满后服务：</w:t>
      </w:r>
    </w:p>
    <w:p w14:paraId="23DC1F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ascii="Times New Roman" w:hAnsi="Times New Roman" w:eastAsia="宋体" w:cs="Times New Roman"/>
          <w:color w:val="000000"/>
          <w:kern w:val="2"/>
          <w:sz w:val="24"/>
          <w:szCs w:val="24"/>
        </w:rPr>
        <w:t>（1）质保期满后，供应商须提供终身维修、技术支持服务，仅收取更换零配件的成本费用，不得额外收取技术服务费、上门费等其他费用；</w:t>
      </w:r>
    </w:p>
    <w:p w14:paraId="6A7E1C6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（2）供应商须长期稳定提供设备的原厂零配件、耗材，确保设备的正常使用，零配件、耗材的价格不得高于市场同期同类产品的平均价格。</w:t>
      </w:r>
    </w:p>
    <w:p w14:paraId="1AA0698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服务保障：供应商须在响应文件中明确提供本项目的售后服务机构地址、负责人、联系电话、邮箱等信息，确保售后服务渠道畅通，采购人可随时联系到售后服务人员。</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1"/>
        <w:gridCol w:w="4198"/>
      </w:tblGrid>
      <w:tr w14:paraId="000A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21" w:type="dxa"/>
          </w:tcPr>
          <w:p w14:paraId="5E68133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en-US"/>
              </w:rPr>
              <w:t>单位：</w:t>
            </w:r>
          </w:p>
        </w:tc>
        <w:tc>
          <w:tcPr>
            <w:tcW w:w="4198" w:type="dxa"/>
          </w:tcPr>
          <w:p w14:paraId="0E1277BA">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r w14:paraId="3D01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21" w:type="dxa"/>
          </w:tcPr>
          <w:p w14:paraId="0174D10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en-US"/>
              </w:rPr>
              <w:t>地址：</w:t>
            </w:r>
          </w:p>
        </w:tc>
        <w:tc>
          <w:tcPr>
            <w:tcW w:w="4198" w:type="dxa"/>
          </w:tcPr>
          <w:p w14:paraId="353710DF">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r w14:paraId="0C75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21" w:type="dxa"/>
          </w:tcPr>
          <w:p w14:paraId="5F6C74D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eastAsia="en-US"/>
              </w:rPr>
              <w:t>联系人：</w:t>
            </w:r>
          </w:p>
        </w:tc>
        <w:tc>
          <w:tcPr>
            <w:tcW w:w="4198" w:type="dxa"/>
          </w:tcPr>
          <w:p w14:paraId="61E0A358">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r w14:paraId="603F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21" w:type="dxa"/>
          </w:tcPr>
          <w:p w14:paraId="6BFC12C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eastAsia="en-US"/>
              </w:rPr>
              <w:t>电话：</w:t>
            </w:r>
          </w:p>
        </w:tc>
        <w:tc>
          <w:tcPr>
            <w:tcW w:w="4198" w:type="dxa"/>
          </w:tcPr>
          <w:p w14:paraId="43BCC971">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r w14:paraId="30DA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4221" w:type="dxa"/>
          </w:tcPr>
          <w:p w14:paraId="3C6A9BD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en-US"/>
              </w:rPr>
              <w:t>邮编</w:t>
            </w:r>
            <w:r>
              <w:rPr>
                <w:rFonts w:hint="eastAsia" w:ascii="Times New Roman" w:hAnsi="Times New Roman" w:eastAsia="宋体" w:cs="Times New Roman"/>
                <w:color w:val="000000"/>
                <w:kern w:val="2"/>
                <w:sz w:val="24"/>
                <w:szCs w:val="24"/>
                <w:lang w:eastAsia="zh-CN"/>
              </w:rPr>
              <w:t>：</w:t>
            </w:r>
          </w:p>
        </w:tc>
        <w:tc>
          <w:tcPr>
            <w:tcW w:w="4198" w:type="dxa"/>
          </w:tcPr>
          <w:p w14:paraId="09038B3C">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bl>
    <w:p w14:paraId="3F1D05A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Times New Roman" w:hAnsi="Times New Roman" w:eastAsia="宋体" w:cs="Times New Roman"/>
          <w:color w:val="000000"/>
          <w:kern w:val="2"/>
          <w:sz w:val="24"/>
          <w:szCs w:val="24"/>
        </w:rPr>
      </w:pPr>
    </w:p>
    <w:p w14:paraId="6E72DA2A">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培训服务：</w:t>
      </w:r>
    </w:p>
    <w:p w14:paraId="4DCCB9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1</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供应商须在设备安装调试完成后，为采购人的管理人员、操作人员、维护人员提供全面、系统的免费培训，确保参训人员能熟练掌握设备的操作、日常维护、故障排查、数据处理等技能，能独立完成日常水质监测工作；</w:t>
      </w:r>
    </w:p>
    <w:p w14:paraId="01F4B07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2</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培训内容须包括：设备的工作原理、结构组成、操作规范、日常检查与维护保养、常见故障排查与处理、检测数据的分析与导出、软件的使用与升级等；</w:t>
      </w:r>
    </w:p>
    <w:p w14:paraId="00D418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3</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培训方式：现场实操培训为主，结合理论讲解，培训时长不少于2个工作日，直至所有参训人员考核合格为止；</w:t>
      </w:r>
    </w:p>
    <w:p w14:paraId="1004AE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4</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供应商须提供完整的培训资料，包括设备操作手册、维护手册、培训课件、考核标准等，所有资料须提供纸质版和电子版；</w:t>
      </w:r>
    </w:p>
    <w:p w14:paraId="34F6656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auto"/>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5</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质保期内，供应商须根据采购人的需求，提供免费的复训服务，确保操作人员能持续</w:t>
      </w:r>
      <w:r>
        <w:rPr>
          <w:rFonts w:ascii="Times New Roman" w:hAnsi="Times New Roman" w:eastAsia="宋体" w:cs="Times New Roman"/>
          <w:color w:val="auto"/>
          <w:kern w:val="2"/>
          <w:sz w:val="24"/>
          <w:szCs w:val="24"/>
        </w:rPr>
        <w:t>掌握设备的使用技能。</w:t>
      </w:r>
    </w:p>
    <w:p w14:paraId="41D4BBB3">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Calibri" w:hAnsi="Calibri" w:eastAsia="宋体" w:cs="Times New Roman"/>
          <w:color w:val="auto"/>
          <w:kern w:val="2"/>
        </w:rPr>
      </w:pPr>
      <w:r>
        <w:rPr>
          <w:rFonts w:ascii="Arial" w:hAnsi="Arial" w:eastAsia="宋体" w:cs="Times New Roman"/>
          <w:b/>
          <w:bCs/>
          <w:color w:val="auto"/>
          <w:kern w:val="2"/>
          <w:sz w:val="24"/>
          <w:szCs w:val="24"/>
          <w:lang w:val="en-US" w:eastAsia="zh-CN" w:bidi="ar-SA"/>
        </w:rPr>
        <w:t>付款方式</w:t>
      </w:r>
    </w:p>
    <w:p w14:paraId="226439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1、全部设备到货并安装调试完毕验收合格后，付至合同总价的95%；</w:t>
      </w:r>
    </w:p>
    <w:p w14:paraId="31119D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2、剩余5%作为质量保障金，自最终验收合格之日起满1年且无质量问题后无息付清。</w:t>
      </w:r>
    </w:p>
    <w:p w14:paraId="38FD5F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七、</w:t>
      </w:r>
      <w:r>
        <w:rPr>
          <w:rFonts w:ascii="Arial" w:hAnsi="Arial" w:eastAsia="宋体" w:cs="Times New Roman"/>
          <w:b/>
          <w:bCs/>
          <w:color w:val="000000"/>
          <w:kern w:val="2"/>
          <w:sz w:val="24"/>
          <w:szCs w:val="24"/>
          <w:lang w:val="en-US" w:eastAsia="zh-CN" w:bidi="ar-SA"/>
        </w:rPr>
        <w:t>其他说明</w:t>
      </w:r>
    </w:p>
    <w:p w14:paraId="245309A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eastAsia="en-US"/>
        </w:rPr>
        <w:t>1、现场踏勘：现场踏勘：采购人不统一组织集中踏勘；各供应商如需实地踏勘实验室，可自行联系采购人，踏勘产生的交通、人工、安全等全部费用与风险由投标人自行承担。</w:t>
      </w:r>
    </w:p>
    <w:p w14:paraId="627E6B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eastAsia="en-US"/>
        </w:rPr>
        <w:t>2、其他未尽事宜，双方协商解决。</w:t>
      </w:r>
    </w:p>
    <w:p w14:paraId="608DD4F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val="en-US" w:eastAsia="zh-CN"/>
        </w:rPr>
        <w:t>3、</w:t>
      </w:r>
      <w:r>
        <w:rPr>
          <w:rFonts w:hint="eastAsia" w:ascii="Times New Roman" w:hAnsi="Times New Roman" w:eastAsia="宋体" w:cs="Times New Roman"/>
          <w:color w:val="000000"/>
          <w:kern w:val="2"/>
          <w:sz w:val="24"/>
          <w:szCs w:val="24"/>
          <w:lang w:eastAsia="en-US"/>
        </w:rPr>
        <w:t>对于上述项目要求，供应商应在响应文件中进行回应，作出承诺及说明。</w:t>
      </w:r>
    </w:p>
    <w:p w14:paraId="093AD6A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default"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color w:val="000000"/>
          <w:kern w:val="2"/>
          <w:sz w:val="24"/>
          <w:szCs w:val="24"/>
          <w:lang w:val="en-US" w:eastAsia="zh-CN"/>
        </w:rPr>
        <w:t>4、</w:t>
      </w:r>
      <w:r>
        <w:rPr>
          <w:rFonts w:hint="eastAsia" w:ascii="Times New Roman" w:hAnsi="Times New Roman" w:eastAsia="宋体" w:cs="Times New Roman"/>
          <w:color w:val="000000"/>
          <w:kern w:val="2"/>
          <w:sz w:val="24"/>
          <w:szCs w:val="24"/>
          <w:lang w:eastAsia="en-US"/>
        </w:rPr>
        <w:t>如遇不可抗力或其他客观因素导致履约延迟，供需双方协商一致后可顺延履约期限。</w:t>
      </w:r>
    </w:p>
    <w:p w14:paraId="1B972908">
      <w:pPr>
        <w:widowControl w:val="0"/>
        <w:spacing w:after="120"/>
        <w:jc w:val="both"/>
        <w:rPr>
          <w:rFonts w:ascii="宋体" w:hAnsi="宋体" w:eastAsia="宋体" w:cs="宋体"/>
          <w:b/>
          <w:color w:val="000000"/>
          <w:kern w:val="2"/>
          <w:sz w:val="21"/>
          <w:szCs w:val="21"/>
          <w:lang w:val="en-US" w:eastAsia="zh-CN" w:bidi="ar-SA"/>
        </w:rPr>
      </w:pPr>
    </w:p>
    <w:p w14:paraId="4810D0D5">
      <w:pPr>
        <w:widowControl w:val="0"/>
        <w:spacing w:after="120"/>
        <w:jc w:val="both"/>
        <w:rPr>
          <w:rFonts w:ascii="宋体" w:hAnsi="宋体" w:eastAsia="宋体" w:cs="宋体"/>
          <w:b/>
          <w:color w:val="000000"/>
          <w:kern w:val="2"/>
          <w:sz w:val="21"/>
          <w:szCs w:val="21"/>
          <w:lang w:val="en-US" w:eastAsia="zh-CN" w:bidi="ar-SA"/>
        </w:rPr>
      </w:pPr>
    </w:p>
    <w:p w14:paraId="6443D751">
      <w:pPr>
        <w:widowControl w:val="0"/>
        <w:spacing w:after="120"/>
        <w:jc w:val="both"/>
        <w:rPr>
          <w:rFonts w:hint="eastAsia" w:ascii="Times New Roman" w:hAnsi="Times New Roman" w:eastAsia="宋体" w:cs="Times New Roman"/>
          <w:kern w:val="2"/>
          <w:sz w:val="21"/>
          <w:szCs w:val="24"/>
          <w:lang w:val="en-US" w:eastAsia="zh-CN" w:bidi="ar-SA"/>
        </w:rPr>
      </w:pPr>
    </w:p>
    <w:p w14:paraId="4A1D8B1F">
      <w:pPr>
        <w:widowControl w:val="0"/>
        <w:spacing w:after="120"/>
        <w:jc w:val="both"/>
        <w:rPr>
          <w:rFonts w:hint="eastAsia" w:ascii="Times New Roman" w:hAnsi="Times New Roman" w:eastAsia="宋体" w:cs="Times New Roman"/>
          <w:kern w:val="2"/>
          <w:sz w:val="21"/>
          <w:szCs w:val="24"/>
          <w:lang w:val="en-US" w:eastAsia="zh-CN" w:bidi="ar-SA"/>
        </w:rPr>
      </w:pPr>
    </w:p>
    <w:p w14:paraId="12364961">
      <w:pPr>
        <w:widowControl w:val="0"/>
        <w:spacing w:after="120"/>
        <w:jc w:val="both"/>
        <w:rPr>
          <w:rFonts w:hint="eastAsia" w:ascii="Times New Roman" w:hAnsi="Times New Roman" w:eastAsia="宋体" w:cs="Times New Roman"/>
          <w:kern w:val="2"/>
          <w:sz w:val="21"/>
          <w:szCs w:val="24"/>
          <w:lang w:val="en-US" w:eastAsia="zh-CN" w:bidi="ar-SA"/>
        </w:rPr>
      </w:pPr>
    </w:p>
    <w:p w14:paraId="4F28D8D7">
      <w:pPr>
        <w:widowControl w:val="0"/>
        <w:spacing w:after="120"/>
        <w:jc w:val="both"/>
        <w:rPr>
          <w:rFonts w:hint="eastAsia" w:ascii="Times New Roman" w:hAnsi="Times New Roman" w:eastAsia="宋体" w:cs="Times New Roman"/>
          <w:kern w:val="2"/>
          <w:sz w:val="21"/>
          <w:szCs w:val="24"/>
          <w:lang w:val="en-US" w:eastAsia="zh-CN" w:bidi="ar-SA"/>
        </w:rPr>
      </w:pPr>
    </w:p>
    <w:p w14:paraId="50B0F66E">
      <w:pPr>
        <w:widowControl w:val="0"/>
        <w:spacing w:after="120"/>
        <w:jc w:val="both"/>
        <w:rPr>
          <w:rFonts w:hint="eastAsia" w:ascii="Times New Roman" w:hAnsi="Times New Roman" w:eastAsia="宋体" w:cs="Times New Roman"/>
          <w:kern w:val="2"/>
          <w:sz w:val="21"/>
          <w:szCs w:val="24"/>
          <w:lang w:val="en-US" w:eastAsia="zh-CN" w:bidi="ar-SA"/>
        </w:rPr>
      </w:pPr>
    </w:p>
    <w:p w14:paraId="14492373">
      <w:pPr>
        <w:widowControl w:val="0"/>
        <w:spacing w:after="120"/>
        <w:jc w:val="both"/>
        <w:rPr>
          <w:rFonts w:hint="eastAsia" w:ascii="Times New Roman" w:hAnsi="Times New Roman" w:eastAsia="宋体" w:cs="Times New Roman"/>
          <w:kern w:val="2"/>
          <w:sz w:val="21"/>
          <w:szCs w:val="24"/>
          <w:lang w:val="en-US" w:eastAsia="zh-CN" w:bidi="ar-SA"/>
        </w:rPr>
      </w:pPr>
    </w:p>
    <w:p w14:paraId="43FA9E7A">
      <w:pPr>
        <w:widowControl w:val="0"/>
        <w:spacing w:after="120"/>
        <w:jc w:val="both"/>
        <w:rPr>
          <w:rFonts w:hint="eastAsia" w:ascii="Times New Roman" w:hAnsi="Times New Roman" w:eastAsia="宋体" w:cs="Times New Roman"/>
          <w:kern w:val="2"/>
          <w:sz w:val="21"/>
          <w:szCs w:val="24"/>
          <w:lang w:val="en-US" w:eastAsia="zh-CN" w:bidi="ar-SA"/>
        </w:rPr>
      </w:pPr>
    </w:p>
    <w:p w14:paraId="2A30F350">
      <w:pPr>
        <w:widowControl w:val="0"/>
        <w:spacing w:after="120"/>
        <w:jc w:val="both"/>
        <w:rPr>
          <w:rFonts w:hint="eastAsia" w:ascii="Times New Roman" w:hAnsi="Times New Roman" w:eastAsia="宋体" w:cs="Times New Roman"/>
          <w:kern w:val="2"/>
          <w:sz w:val="21"/>
          <w:szCs w:val="24"/>
          <w:lang w:val="en-US" w:eastAsia="zh-CN" w:bidi="ar-SA"/>
        </w:rPr>
      </w:pPr>
    </w:p>
    <w:p w14:paraId="76AB1B7F">
      <w:pPr>
        <w:pStyle w:val="95"/>
        <w:rPr>
          <w:rStyle w:val="30"/>
          <w:rFonts w:ascii="宋体" w:hAnsi="宋体" w:eastAsia="宋体" w:cs="宋体"/>
          <w:b/>
          <w:color w:val="000000" w:themeColor="text1"/>
          <w:szCs w:val="21"/>
          <w14:textFill>
            <w14:solidFill>
              <w14:schemeClr w14:val="tx1"/>
            </w14:solidFill>
          </w14:textFill>
        </w:rPr>
      </w:pPr>
    </w:p>
    <w:p w14:paraId="2CF45D63">
      <w:pPr>
        <w:pStyle w:val="95"/>
        <w:rPr>
          <w:rStyle w:val="30"/>
          <w:rFonts w:ascii="宋体" w:hAnsi="宋体" w:eastAsia="宋体" w:cs="宋体"/>
          <w:b/>
          <w:color w:val="000000" w:themeColor="text1"/>
          <w:szCs w:val="21"/>
          <w14:textFill>
            <w14:solidFill>
              <w14:schemeClr w14:val="tx1"/>
            </w14:solidFill>
          </w14:textFill>
        </w:rPr>
      </w:pPr>
    </w:p>
    <w:p w14:paraId="1FE0570B">
      <w:pPr>
        <w:pStyle w:val="2"/>
        <w:bidi w:val="0"/>
        <w:rPr>
          <w:sz w:val="30"/>
          <w:szCs w:val="30"/>
        </w:rPr>
      </w:pPr>
      <w:bookmarkStart w:id="142" w:name="_Toc25306"/>
      <w:bookmarkStart w:id="143" w:name="_Toc172193619"/>
      <w:r>
        <w:rPr>
          <w:rFonts w:hint="eastAsia"/>
          <w:sz w:val="30"/>
          <w:szCs w:val="30"/>
        </w:rPr>
        <w:t>第六章响应文件组成</w:t>
      </w:r>
      <w:bookmarkEnd w:id="142"/>
      <w:bookmarkEnd w:id="143"/>
    </w:p>
    <w:p w14:paraId="771E6B02">
      <w:pPr>
        <w:pStyle w:val="2"/>
        <w:bidi w:val="0"/>
        <w:rPr>
          <w:rFonts w:hint="eastAsia" w:cs="Times New Roman"/>
          <w:sz w:val="30"/>
          <w:szCs w:val="30"/>
          <w:lang w:val="en-US" w:eastAsia="zh-CN"/>
        </w:rPr>
      </w:pPr>
    </w:p>
    <w:p w14:paraId="4F1F5593">
      <w:pPr>
        <w:spacing w:line="360" w:lineRule="auto"/>
        <w:ind w:right="23" w:rightChars="11"/>
        <w:rPr>
          <w:rFonts w:hint="eastAsia" w:ascii="宋体" w:hAnsi="Calibri" w:eastAsia="宋体" w:cs="Times New Roman"/>
          <w:color w:val="auto"/>
          <w:kern w:val="1"/>
          <w:sz w:val="22"/>
          <w:szCs w:val="22"/>
        </w:rPr>
      </w:pPr>
      <w:r>
        <w:rPr>
          <w:rFonts w:hint="eastAsia" w:ascii="宋体" w:hAnsi="Calibri" w:eastAsia="宋体" w:cs="Times New Roman"/>
          <w:color w:val="auto"/>
          <w:kern w:val="1"/>
          <w:sz w:val="22"/>
          <w:szCs w:val="22"/>
        </w:rPr>
        <w:t>供应商的响应文件应包含以下</w:t>
      </w:r>
      <w:r>
        <w:rPr>
          <w:rFonts w:hint="eastAsia" w:ascii="宋体" w:hAnsi="Calibri" w:eastAsia="宋体" w:cs="Times New Roman"/>
          <w:color w:val="auto"/>
          <w:kern w:val="1"/>
          <w:sz w:val="22"/>
          <w:szCs w:val="22"/>
          <w:lang w:eastAsia="zh-CN"/>
        </w:rPr>
        <w:t>十</w:t>
      </w:r>
      <w:r>
        <w:rPr>
          <w:rFonts w:hint="eastAsia" w:ascii="宋体" w:hAnsi="Calibri" w:eastAsia="宋体" w:cs="Times New Roman"/>
          <w:color w:val="auto"/>
          <w:kern w:val="1"/>
          <w:sz w:val="22"/>
          <w:szCs w:val="22"/>
        </w:rPr>
        <w:t>个部分：</w:t>
      </w:r>
    </w:p>
    <w:p w14:paraId="1677AAAC">
      <w:pPr>
        <w:adjustRightInd w:val="0"/>
        <w:snapToGrid w:val="0"/>
        <w:spacing w:line="360" w:lineRule="auto"/>
        <w:jc w:val="left"/>
        <w:outlineLvl w:val="0"/>
        <w:rPr>
          <w:rFonts w:hint="eastAsia" w:ascii="宋体" w:hAnsi="宋体" w:eastAsia="宋体" w:cs="宋体"/>
          <w:b/>
          <w:color w:val="000000"/>
          <w:kern w:val="1"/>
          <w:sz w:val="22"/>
          <w:szCs w:val="22"/>
        </w:rPr>
      </w:pPr>
      <w:bookmarkStart w:id="144" w:name="_Toc24098"/>
      <w:bookmarkStart w:id="145" w:name="_Toc2316"/>
      <w:bookmarkStart w:id="146" w:name="_Toc16474"/>
      <w:r>
        <w:rPr>
          <w:rFonts w:hint="eastAsia" w:ascii="宋体" w:hAnsi="宋体" w:eastAsia="宋体" w:cs="宋体"/>
          <w:b/>
          <w:color w:val="000000"/>
          <w:kern w:val="1"/>
          <w:sz w:val="22"/>
          <w:szCs w:val="22"/>
        </w:rPr>
        <w:t>一、磋商响应声明</w:t>
      </w:r>
      <w:bookmarkEnd w:id="144"/>
      <w:bookmarkEnd w:id="145"/>
      <w:bookmarkEnd w:id="146"/>
    </w:p>
    <w:p w14:paraId="1686D0E7">
      <w:pPr>
        <w:adjustRightInd w:val="0"/>
        <w:snapToGrid w:val="0"/>
        <w:spacing w:line="360" w:lineRule="auto"/>
        <w:ind w:firstLine="440" w:firstLineChars="200"/>
        <w:jc w:val="left"/>
        <w:rPr>
          <w:rFonts w:hint="eastAsia" w:ascii="宋体" w:hAnsi="宋体" w:eastAsia="宋体" w:cs="宋体"/>
          <w:color w:val="000000"/>
          <w:kern w:val="1"/>
          <w:sz w:val="22"/>
          <w:szCs w:val="22"/>
        </w:rPr>
      </w:pPr>
      <w:r>
        <w:rPr>
          <w:rFonts w:hint="eastAsia" w:ascii="宋体" w:hAnsi="宋体" w:eastAsia="宋体" w:cs="宋体"/>
          <w:color w:val="000000"/>
          <w:kern w:val="1"/>
          <w:sz w:val="22"/>
          <w:szCs w:val="22"/>
        </w:rPr>
        <w:t>附件</w:t>
      </w:r>
      <w:r>
        <w:rPr>
          <w:rFonts w:hint="eastAsia" w:ascii="宋体" w:hAnsi="宋体" w:eastAsia="宋体" w:cs="宋体"/>
          <w:color w:val="000000"/>
          <w:kern w:val="1"/>
          <w:sz w:val="22"/>
          <w:szCs w:val="22"/>
          <w:lang w:val="en-US" w:eastAsia="zh-CN"/>
        </w:rPr>
        <w:t>1-</w:t>
      </w:r>
      <w:r>
        <w:rPr>
          <w:rFonts w:hint="eastAsia" w:ascii="宋体" w:hAnsi="宋体" w:eastAsia="宋体" w:cs="宋体"/>
          <w:color w:val="000000"/>
          <w:kern w:val="1"/>
          <w:sz w:val="22"/>
          <w:szCs w:val="22"/>
        </w:rPr>
        <w:t>1：法定代表人身份证明</w:t>
      </w:r>
    </w:p>
    <w:p w14:paraId="7A2FB46D">
      <w:pPr>
        <w:spacing w:line="360" w:lineRule="auto"/>
        <w:ind w:right="23" w:rightChars="11" w:firstLine="440" w:firstLineChars="200"/>
        <w:rPr>
          <w:rFonts w:hint="eastAsia" w:ascii="宋体" w:hAnsi="宋体" w:eastAsia="宋体" w:cs="宋体"/>
          <w:color w:val="000000"/>
          <w:kern w:val="1"/>
          <w:sz w:val="22"/>
          <w:szCs w:val="22"/>
        </w:rPr>
      </w:pPr>
      <w:r>
        <w:rPr>
          <w:rFonts w:hint="eastAsia" w:ascii="宋体" w:hAnsi="宋体" w:eastAsia="宋体" w:cs="宋体"/>
          <w:color w:val="000000"/>
          <w:kern w:val="1"/>
          <w:sz w:val="22"/>
          <w:szCs w:val="22"/>
        </w:rPr>
        <w:t>附件</w:t>
      </w:r>
      <w:r>
        <w:rPr>
          <w:rFonts w:hint="eastAsia" w:ascii="宋体" w:hAnsi="宋体" w:eastAsia="宋体" w:cs="宋体"/>
          <w:color w:val="000000"/>
          <w:kern w:val="1"/>
          <w:sz w:val="22"/>
          <w:szCs w:val="22"/>
          <w:lang w:val="en-US" w:eastAsia="zh-CN"/>
        </w:rPr>
        <w:t>1-</w:t>
      </w:r>
      <w:r>
        <w:rPr>
          <w:rFonts w:hint="eastAsia" w:ascii="宋体" w:hAnsi="宋体" w:eastAsia="宋体" w:cs="宋体"/>
          <w:color w:val="000000"/>
          <w:kern w:val="1"/>
          <w:sz w:val="22"/>
          <w:szCs w:val="22"/>
        </w:rPr>
        <w:t>2：法定代表人授权委托书</w:t>
      </w:r>
    </w:p>
    <w:p w14:paraId="46DD7BB3">
      <w:pPr>
        <w:numPr>
          <w:ilvl w:val="0"/>
          <w:numId w:val="0"/>
        </w:numPr>
        <w:adjustRightInd w:val="0"/>
        <w:snapToGrid w:val="0"/>
        <w:spacing w:line="360" w:lineRule="auto"/>
        <w:ind w:left="0" w:leftChars="0" w:firstLine="0" w:firstLineChars="0"/>
        <w:jc w:val="left"/>
        <w:outlineLvl w:val="0"/>
        <w:rPr>
          <w:rFonts w:hint="eastAsia" w:ascii="宋体" w:hAnsi="宋体" w:eastAsia="宋体" w:cs="宋体"/>
          <w:b w:val="0"/>
          <w:bCs w:val="0"/>
          <w:kern w:val="1"/>
          <w:sz w:val="22"/>
          <w:szCs w:val="22"/>
          <w:lang w:val="en-US" w:eastAsia="zh-CN"/>
        </w:rPr>
      </w:pPr>
      <w:bookmarkStart w:id="147" w:name="_Toc21039"/>
      <w:bookmarkStart w:id="148" w:name="_Toc13481"/>
      <w:bookmarkStart w:id="149" w:name="_Toc27043"/>
      <w:r>
        <w:rPr>
          <w:rFonts w:hint="eastAsia" w:ascii="宋体" w:hAnsi="宋体" w:eastAsia="宋体" w:cs="宋体"/>
          <w:b/>
          <w:color w:val="000000"/>
          <w:kern w:val="1"/>
          <w:sz w:val="22"/>
          <w:szCs w:val="22"/>
          <w:lang w:eastAsia="zh-CN"/>
        </w:rPr>
        <w:t>二、项目免收投标保证金承诺书</w:t>
      </w:r>
      <w:bookmarkEnd w:id="147"/>
      <w:bookmarkEnd w:id="148"/>
      <w:bookmarkEnd w:id="149"/>
    </w:p>
    <w:p w14:paraId="751B05FB">
      <w:pPr>
        <w:adjustRightInd w:val="0"/>
        <w:snapToGrid w:val="0"/>
        <w:spacing w:line="360" w:lineRule="auto"/>
        <w:jc w:val="left"/>
        <w:outlineLvl w:val="0"/>
        <w:rPr>
          <w:rFonts w:hint="eastAsia" w:ascii="宋体" w:hAnsi="宋体" w:eastAsia="宋体" w:cs="宋体"/>
          <w:b/>
          <w:color w:val="000000"/>
          <w:kern w:val="1"/>
          <w:sz w:val="22"/>
          <w:szCs w:val="22"/>
        </w:rPr>
      </w:pPr>
      <w:bookmarkStart w:id="150" w:name="_Toc13505"/>
      <w:bookmarkStart w:id="151" w:name="_Toc5380"/>
      <w:bookmarkStart w:id="152" w:name="_Toc12039"/>
      <w:r>
        <w:rPr>
          <w:rFonts w:hint="eastAsia" w:ascii="宋体" w:hAnsi="宋体" w:eastAsia="宋体" w:cs="宋体"/>
          <w:b/>
          <w:color w:val="000000"/>
          <w:kern w:val="1"/>
          <w:sz w:val="22"/>
          <w:szCs w:val="22"/>
        </w:rPr>
        <w:t>三、供应商的资格证明材料</w:t>
      </w:r>
      <w:bookmarkEnd w:id="150"/>
      <w:bookmarkEnd w:id="151"/>
      <w:bookmarkEnd w:id="152"/>
    </w:p>
    <w:p w14:paraId="19125496">
      <w:pPr>
        <w:adjustRightInd w:val="0"/>
        <w:snapToGrid w:val="0"/>
        <w:spacing w:line="360" w:lineRule="auto"/>
        <w:ind w:firstLine="440" w:firstLineChars="200"/>
        <w:jc w:val="left"/>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附件3</w:t>
      </w:r>
      <w:r>
        <w:rPr>
          <w:rFonts w:hint="eastAsia" w:ascii="宋体" w:hAnsi="宋体" w:eastAsia="宋体" w:cs="宋体"/>
          <w:color w:val="auto"/>
          <w:kern w:val="1"/>
          <w:sz w:val="22"/>
          <w:szCs w:val="22"/>
          <w:highlight w:val="none"/>
          <w:lang w:val="en-US" w:eastAsia="zh-CN"/>
        </w:rPr>
        <w:t>-1</w:t>
      </w:r>
      <w:r>
        <w:rPr>
          <w:rFonts w:hint="eastAsia" w:ascii="宋体" w:hAnsi="宋体" w:eastAsia="宋体" w:cs="宋体"/>
          <w:color w:val="auto"/>
          <w:kern w:val="1"/>
          <w:sz w:val="22"/>
          <w:szCs w:val="22"/>
          <w:highlight w:val="none"/>
        </w:rPr>
        <w:t>：供应商基本情况表</w:t>
      </w:r>
    </w:p>
    <w:p w14:paraId="1AA6717E">
      <w:pPr>
        <w:adjustRightInd w:val="0"/>
        <w:snapToGrid w:val="0"/>
        <w:spacing w:line="360" w:lineRule="auto"/>
        <w:ind w:firstLine="440" w:firstLineChars="200"/>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附件</w:t>
      </w:r>
      <w:r>
        <w:rPr>
          <w:rFonts w:hint="eastAsia" w:ascii="宋体" w:hAnsi="宋体" w:eastAsia="宋体" w:cs="宋体"/>
          <w:color w:val="auto"/>
          <w:kern w:val="1"/>
          <w:sz w:val="22"/>
          <w:szCs w:val="22"/>
          <w:highlight w:val="none"/>
          <w:lang w:val="en-US" w:eastAsia="zh-CN"/>
        </w:rPr>
        <w:t>3-2</w:t>
      </w:r>
      <w:r>
        <w:rPr>
          <w:rFonts w:hint="eastAsia" w:ascii="宋体" w:hAnsi="宋体" w:eastAsia="宋体" w:cs="宋体"/>
          <w:color w:val="auto"/>
          <w:kern w:val="1"/>
          <w:sz w:val="22"/>
          <w:szCs w:val="22"/>
          <w:highlight w:val="none"/>
        </w:rPr>
        <w:t>：磋商文件规定的基本资格条件证明资料</w:t>
      </w:r>
    </w:p>
    <w:p w14:paraId="423EC158">
      <w:pPr>
        <w:adjustRightInd w:val="0"/>
        <w:snapToGrid w:val="0"/>
        <w:spacing w:line="360" w:lineRule="auto"/>
        <w:ind w:firstLine="440" w:firstLineChars="200"/>
        <w:jc w:val="left"/>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附件</w:t>
      </w:r>
      <w:r>
        <w:rPr>
          <w:rFonts w:hint="eastAsia" w:ascii="宋体" w:hAnsi="宋体" w:eastAsia="宋体" w:cs="宋体"/>
          <w:color w:val="auto"/>
          <w:kern w:val="1"/>
          <w:sz w:val="22"/>
          <w:szCs w:val="22"/>
          <w:highlight w:val="none"/>
          <w:lang w:val="en-US" w:eastAsia="zh-CN"/>
        </w:rPr>
        <w:t>3-2-1</w:t>
      </w:r>
      <w:r>
        <w:rPr>
          <w:rFonts w:hint="eastAsia" w:ascii="宋体" w:hAnsi="宋体" w:eastAsia="宋体" w:cs="宋体"/>
          <w:color w:val="auto"/>
          <w:kern w:val="1"/>
          <w:sz w:val="22"/>
          <w:szCs w:val="22"/>
          <w:highlight w:val="none"/>
        </w:rPr>
        <w:t>：供应商资格声明</w:t>
      </w:r>
    </w:p>
    <w:p w14:paraId="1EDE8925">
      <w:pPr>
        <w:adjustRightInd w:val="0"/>
        <w:snapToGrid w:val="0"/>
        <w:spacing w:line="360" w:lineRule="auto"/>
        <w:ind w:firstLine="440" w:firstLineChars="200"/>
        <w:jc w:val="left"/>
        <w:rPr>
          <w:rFonts w:hint="eastAsia" w:ascii="Calibri" w:hAnsi="Calibri" w:eastAsia="宋体" w:cs="Times New Roman"/>
          <w:kern w:val="1"/>
          <w:sz w:val="22"/>
          <w:szCs w:val="22"/>
        </w:rPr>
      </w:pPr>
      <w:r>
        <w:rPr>
          <w:rFonts w:hint="eastAsia" w:ascii="宋体" w:hAnsi="宋体" w:eastAsia="宋体" w:cs="宋体"/>
          <w:color w:val="auto"/>
          <w:kern w:val="1"/>
          <w:sz w:val="22"/>
          <w:szCs w:val="22"/>
          <w:highlight w:val="none"/>
        </w:rPr>
        <w:t>附件</w:t>
      </w:r>
      <w:r>
        <w:rPr>
          <w:rFonts w:hint="eastAsia" w:ascii="宋体" w:hAnsi="宋体" w:eastAsia="宋体" w:cs="宋体"/>
          <w:color w:val="auto"/>
          <w:kern w:val="1"/>
          <w:sz w:val="22"/>
          <w:szCs w:val="22"/>
          <w:highlight w:val="none"/>
          <w:lang w:val="en-US" w:eastAsia="zh-CN"/>
        </w:rPr>
        <w:t>3-2-2：</w:t>
      </w:r>
      <w:r>
        <w:rPr>
          <w:rFonts w:hint="eastAsia" w:ascii="宋体" w:hAnsi="宋体" w:eastAsia="宋体" w:cs="宋体"/>
          <w:color w:val="auto"/>
          <w:kern w:val="1"/>
          <w:sz w:val="22"/>
          <w:szCs w:val="22"/>
          <w:highlight w:val="none"/>
        </w:rPr>
        <w:t>参加政府采购活动前</w:t>
      </w:r>
      <w:r>
        <w:rPr>
          <w:rFonts w:hint="eastAsia" w:ascii="宋体" w:hAnsi="宋体" w:eastAsia="宋体" w:cs="宋体"/>
          <w:bCs/>
          <w:color w:val="auto"/>
          <w:kern w:val="1"/>
          <w:sz w:val="22"/>
          <w:szCs w:val="22"/>
          <w:highlight w:val="none"/>
        </w:rPr>
        <w:t>三年内在经营活动中没有重大违法记录的书面声明</w:t>
      </w:r>
    </w:p>
    <w:p w14:paraId="02DB29CB">
      <w:pPr>
        <w:adjustRightInd w:val="0"/>
        <w:snapToGrid w:val="0"/>
        <w:spacing w:line="360" w:lineRule="auto"/>
        <w:ind w:firstLine="440" w:firstLineChars="200"/>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附件</w:t>
      </w:r>
      <w:r>
        <w:rPr>
          <w:rFonts w:hint="eastAsia" w:ascii="宋体" w:hAnsi="宋体" w:eastAsia="宋体" w:cs="宋体"/>
          <w:color w:val="auto"/>
          <w:kern w:val="1"/>
          <w:sz w:val="22"/>
          <w:szCs w:val="22"/>
          <w:highlight w:val="none"/>
          <w:lang w:val="en-US" w:eastAsia="zh-CN"/>
        </w:rPr>
        <w:t>3-3</w:t>
      </w:r>
      <w:r>
        <w:rPr>
          <w:rFonts w:hint="eastAsia" w:ascii="宋体" w:hAnsi="宋体" w:eastAsia="宋体" w:cs="宋体"/>
          <w:color w:val="auto"/>
          <w:kern w:val="1"/>
          <w:sz w:val="22"/>
          <w:szCs w:val="22"/>
          <w:highlight w:val="none"/>
        </w:rPr>
        <w:t>：磋商文件规定的特定资格条件证明资料</w:t>
      </w:r>
    </w:p>
    <w:p w14:paraId="2715003B">
      <w:pPr>
        <w:adjustRightInd w:val="0"/>
        <w:snapToGrid w:val="0"/>
        <w:spacing w:line="360" w:lineRule="auto"/>
        <w:ind w:firstLine="440" w:firstLineChars="200"/>
        <w:rPr>
          <w:rFonts w:hint="default" w:ascii="Calibri" w:hAnsi="Calibri" w:eastAsia="宋体" w:cs="Times New Roman"/>
          <w:kern w:val="1"/>
          <w:lang w:val="en-US" w:eastAsia="zh-CN"/>
        </w:rPr>
      </w:pPr>
      <w:r>
        <w:rPr>
          <w:rFonts w:hint="eastAsia" w:ascii="宋体" w:hAnsi="宋体" w:eastAsia="宋体" w:cs="宋体"/>
          <w:bCs/>
          <w:color w:val="auto"/>
          <w:kern w:val="1"/>
          <w:sz w:val="22"/>
          <w:szCs w:val="22"/>
          <w:highlight w:val="none"/>
        </w:rPr>
        <w:t>附件</w:t>
      </w:r>
      <w:r>
        <w:rPr>
          <w:rFonts w:hint="eastAsia" w:ascii="宋体" w:hAnsi="宋体" w:eastAsia="宋体" w:cs="宋体"/>
          <w:bCs/>
          <w:color w:val="auto"/>
          <w:kern w:val="1"/>
          <w:sz w:val="22"/>
          <w:szCs w:val="22"/>
          <w:highlight w:val="none"/>
          <w:lang w:val="en-US" w:eastAsia="zh-CN"/>
        </w:rPr>
        <w:t>3-4</w:t>
      </w:r>
      <w:r>
        <w:rPr>
          <w:rFonts w:hint="eastAsia" w:ascii="宋体" w:hAnsi="宋体" w:eastAsia="宋体" w:cs="宋体"/>
          <w:bCs/>
          <w:color w:val="auto"/>
          <w:kern w:val="1"/>
          <w:sz w:val="22"/>
          <w:szCs w:val="22"/>
          <w:highlight w:val="none"/>
        </w:rPr>
        <w:t>：</w:t>
      </w:r>
      <w:r>
        <w:rPr>
          <w:rFonts w:hint="eastAsia" w:ascii="宋体" w:hAnsi="宋体" w:eastAsia="宋体" w:cs="宋体"/>
          <w:bCs/>
          <w:color w:val="auto"/>
          <w:kern w:val="1"/>
          <w:sz w:val="22"/>
          <w:szCs w:val="22"/>
          <w:highlight w:val="none"/>
          <w:lang w:eastAsia="zh-CN"/>
        </w:rPr>
        <w:t>需要补充的</w:t>
      </w:r>
      <w:r>
        <w:rPr>
          <w:rFonts w:hint="eastAsia" w:ascii="宋体" w:hAnsi="宋体" w:eastAsia="宋体" w:cs="宋体"/>
          <w:bCs/>
          <w:color w:val="auto"/>
          <w:kern w:val="1"/>
          <w:sz w:val="22"/>
          <w:szCs w:val="22"/>
          <w:highlight w:val="none"/>
        </w:rPr>
        <w:t>资格条件证明资料</w:t>
      </w:r>
    </w:p>
    <w:p w14:paraId="19A5F6C5">
      <w:pPr>
        <w:spacing w:line="360" w:lineRule="auto"/>
        <w:ind w:right="23" w:rightChars="11"/>
        <w:outlineLvl w:val="0"/>
        <w:rPr>
          <w:rFonts w:hint="eastAsia" w:ascii="宋体" w:hAnsi="宋体" w:eastAsia="宋体" w:cs="宋体"/>
          <w:b/>
          <w:color w:val="auto"/>
          <w:kern w:val="1"/>
          <w:sz w:val="22"/>
          <w:szCs w:val="22"/>
          <w:lang w:val="en-US" w:eastAsia="zh-CN"/>
        </w:rPr>
      </w:pPr>
      <w:bookmarkStart w:id="153" w:name="_Toc5985"/>
      <w:bookmarkStart w:id="154" w:name="_Toc5902"/>
      <w:bookmarkStart w:id="155" w:name="_Toc15612"/>
      <w:r>
        <w:rPr>
          <w:rFonts w:hint="eastAsia" w:ascii="宋体" w:hAnsi="宋体" w:eastAsia="宋体" w:cs="宋体"/>
          <w:b/>
          <w:color w:val="auto"/>
          <w:kern w:val="1"/>
          <w:sz w:val="22"/>
          <w:szCs w:val="22"/>
          <w:lang w:eastAsia="zh-CN"/>
        </w:rPr>
        <w:t>四、</w:t>
      </w:r>
      <w:bookmarkEnd w:id="153"/>
      <w:bookmarkEnd w:id="154"/>
      <w:bookmarkEnd w:id="155"/>
      <w:r>
        <w:rPr>
          <w:rFonts w:hint="eastAsia" w:ascii="宋体" w:hAnsi="宋体" w:eastAsia="宋体" w:cs="宋体"/>
          <w:b/>
          <w:color w:val="auto"/>
          <w:kern w:val="1"/>
          <w:sz w:val="22"/>
          <w:szCs w:val="22"/>
          <w:lang w:val="en-US" w:eastAsia="zh-CN"/>
        </w:rPr>
        <w:t>实施方案</w:t>
      </w:r>
      <w:bookmarkStart w:id="156" w:name="_Toc32221"/>
      <w:bookmarkStart w:id="157" w:name="_Toc7051"/>
      <w:bookmarkStart w:id="158" w:name="_Toc30782"/>
    </w:p>
    <w:p w14:paraId="54415C25">
      <w:pPr>
        <w:spacing w:line="360" w:lineRule="auto"/>
        <w:ind w:right="23" w:rightChars="11"/>
        <w:outlineLvl w:val="0"/>
        <w:rPr>
          <w:rFonts w:hint="eastAsia" w:ascii="宋体" w:hAnsi="宋体" w:eastAsia="宋体" w:cs="宋体"/>
          <w:b/>
          <w:color w:val="auto"/>
          <w:kern w:val="1"/>
          <w:sz w:val="22"/>
          <w:szCs w:val="22"/>
          <w:lang w:eastAsia="zh-CN"/>
        </w:rPr>
      </w:pPr>
      <w:r>
        <w:rPr>
          <w:rFonts w:hint="eastAsia" w:ascii="宋体" w:hAnsi="宋体" w:eastAsia="宋体" w:cs="宋体"/>
          <w:b/>
          <w:color w:val="auto"/>
          <w:kern w:val="1"/>
          <w:sz w:val="22"/>
          <w:szCs w:val="22"/>
          <w:lang w:eastAsia="zh-CN"/>
        </w:rPr>
        <w:t>五</w:t>
      </w:r>
      <w:r>
        <w:rPr>
          <w:rFonts w:hint="eastAsia" w:ascii="宋体" w:hAnsi="宋体" w:eastAsia="宋体" w:cs="宋体"/>
          <w:b/>
          <w:color w:val="auto"/>
          <w:kern w:val="1"/>
          <w:sz w:val="22"/>
          <w:szCs w:val="22"/>
        </w:rPr>
        <w:t>、</w:t>
      </w:r>
      <w:r>
        <w:rPr>
          <w:rFonts w:hint="eastAsia" w:ascii="宋体" w:hAnsi="宋体" w:eastAsia="宋体" w:cs="宋体"/>
          <w:b/>
          <w:color w:val="auto"/>
          <w:kern w:val="1"/>
          <w:sz w:val="22"/>
          <w:szCs w:val="22"/>
          <w:lang w:eastAsia="zh-CN"/>
        </w:rPr>
        <w:t>磋商文件规定的证明文件</w:t>
      </w:r>
      <w:bookmarkEnd w:id="156"/>
      <w:bookmarkEnd w:id="157"/>
      <w:bookmarkEnd w:id="158"/>
    </w:p>
    <w:p w14:paraId="55821A28">
      <w:pPr>
        <w:spacing w:line="360" w:lineRule="auto"/>
        <w:ind w:right="23" w:rightChars="11"/>
        <w:outlineLvl w:val="0"/>
        <w:rPr>
          <w:rFonts w:hint="eastAsia" w:ascii="宋体" w:hAnsi="宋体" w:eastAsia="宋体" w:cs="宋体"/>
          <w:b/>
          <w:bCs w:val="0"/>
          <w:color w:val="auto"/>
          <w:kern w:val="1"/>
          <w:sz w:val="22"/>
          <w:szCs w:val="22"/>
        </w:rPr>
      </w:pPr>
      <w:bookmarkStart w:id="159" w:name="_Toc28565"/>
      <w:bookmarkStart w:id="160" w:name="_Toc5416"/>
      <w:bookmarkStart w:id="161" w:name="_Toc32124"/>
      <w:r>
        <w:rPr>
          <w:rFonts w:hint="eastAsia" w:ascii="宋体" w:hAnsi="宋体" w:eastAsia="宋体" w:cs="宋体"/>
          <w:b/>
          <w:bCs w:val="0"/>
          <w:color w:val="auto"/>
          <w:kern w:val="1"/>
          <w:sz w:val="22"/>
          <w:szCs w:val="22"/>
          <w:lang w:val="en-US" w:eastAsia="zh-CN"/>
        </w:rPr>
        <w:t>六、</w:t>
      </w:r>
      <w:r>
        <w:rPr>
          <w:rFonts w:hint="eastAsia" w:ascii="宋体" w:hAnsi="宋体" w:eastAsia="宋体" w:cs="宋体"/>
          <w:b/>
          <w:bCs w:val="0"/>
          <w:color w:val="auto"/>
          <w:kern w:val="1"/>
          <w:sz w:val="22"/>
          <w:szCs w:val="22"/>
        </w:rPr>
        <w:t>技术/商务响应与偏离表</w:t>
      </w:r>
      <w:bookmarkEnd w:id="159"/>
      <w:bookmarkEnd w:id="160"/>
      <w:bookmarkEnd w:id="161"/>
    </w:p>
    <w:p w14:paraId="3806211E">
      <w:pPr>
        <w:spacing w:line="360" w:lineRule="auto"/>
        <w:ind w:right="23" w:rightChars="11"/>
        <w:outlineLvl w:val="0"/>
        <w:rPr>
          <w:rFonts w:hint="eastAsia" w:ascii="Calibri" w:hAnsi="宋体" w:eastAsia="宋体" w:cs="宋体"/>
          <w:color w:val="auto"/>
          <w:kern w:val="1"/>
          <w:sz w:val="22"/>
          <w:szCs w:val="22"/>
          <w:highlight w:val="none"/>
        </w:rPr>
      </w:pPr>
      <w:bookmarkStart w:id="162" w:name="_Toc13039"/>
      <w:bookmarkStart w:id="163" w:name="_Toc5943"/>
      <w:bookmarkStart w:id="164" w:name="_Toc25575"/>
      <w:r>
        <w:rPr>
          <w:rFonts w:hint="eastAsia" w:ascii="宋体" w:hAnsi="宋体" w:eastAsia="宋体" w:cs="宋体"/>
          <w:b/>
          <w:bCs w:val="0"/>
          <w:color w:val="auto"/>
          <w:kern w:val="1"/>
          <w:sz w:val="22"/>
          <w:szCs w:val="22"/>
          <w:lang w:eastAsia="zh-CN"/>
        </w:rPr>
        <w:t>七、</w:t>
      </w:r>
      <w:r>
        <w:rPr>
          <w:rFonts w:hint="eastAsia" w:ascii="宋体" w:hAnsi="宋体" w:eastAsia="宋体" w:cs="宋体"/>
          <w:b/>
          <w:bCs w:val="0"/>
          <w:color w:val="auto"/>
          <w:kern w:val="1"/>
          <w:sz w:val="22"/>
          <w:szCs w:val="22"/>
        </w:rPr>
        <w:t>提供享受政府采购政策的证明材料和清单表</w:t>
      </w:r>
      <w:bookmarkEnd w:id="162"/>
      <w:bookmarkEnd w:id="163"/>
      <w:bookmarkEnd w:id="164"/>
    </w:p>
    <w:p w14:paraId="53A4DB5C">
      <w:pPr>
        <w:widowControl w:val="0"/>
        <w:adjustRightInd w:val="0"/>
        <w:snapToGrid w:val="0"/>
        <w:spacing w:line="360" w:lineRule="auto"/>
        <w:ind w:firstLine="440" w:firstLineChars="200"/>
        <w:jc w:val="both"/>
        <w:outlineLvl w:val="0"/>
        <w:rPr>
          <w:rFonts w:hint="eastAsia" w:ascii="宋体" w:hAnsi="宋体" w:eastAsia="宋体" w:cs="宋体"/>
          <w:color w:val="auto"/>
          <w:kern w:val="1"/>
          <w:sz w:val="22"/>
          <w:szCs w:val="22"/>
          <w:highlight w:val="none"/>
          <w:lang w:val="en-US" w:eastAsia="zh-CN" w:bidi="ar-SA"/>
        </w:rPr>
      </w:pPr>
      <w:bookmarkStart w:id="165" w:name="_Toc14036"/>
      <w:bookmarkStart w:id="166" w:name="_Toc10963"/>
      <w:bookmarkStart w:id="167" w:name="_Toc6739"/>
      <w:r>
        <w:rPr>
          <w:rFonts w:hint="eastAsia" w:ascii="宋体" w:hAnsi="宋体" w:eastAsia="宋体" w:cs="宋体"/>
          <w:color w:val="auto"/>
          <w:kern w:val="1"/>
          <w:sz w:val="22"/>
          <w:szCs w:val="22"/>
          <w:highlight w:val="none"/>
          <w:lang w:val="en-US" w:eastAsia="zh-CN" w:bidi="ar-SA"/>
        </w:rPr>
        <w:t>附件7-1：中小企业声明函(货物）</w:t>
      </w:r>
      <w:bookmarkEnd w:id="165"/>
      <w:bookmarkEnd w:id="166"/>
      <w:bookmarkEnd w:id="167"/>
    </w:p>
    <w:p w14:paraId="75EB0102">
      <w:pPr>
        <w:widowControl w:val="0"/>
        <w:adjustRightInd w:val="0"/>
        <w:snapToGrid w:val="0"/>
        <w:spacing w:line="360" w:lineRule="auto"/>
        <w:ind w:firstLine="440" w:firstLineChars="200"/>
        <w:jc w:val="both"/>
        <w:rPr>
          <w:rFonts w:hint="eastAsia" w:ascii="宋体" w:hAnsi="宋体" w:eastAsia="宋体" w:cs="宋体"/>
          <w:color w:val="auto"/>
          <w:kern w:val="1"/>
          <w:sz w:val="22"/>
          <w:szCs w:val="22"/>
          <w:highlight w:val="none"/>
          <w:lang w:val="en-US" w:eastAsia="zh-CN" w:bidi="ar-SA"/>
        </w:rPr>
      </w:pPr>
      <w:r>
        <w:rPr>
          <w:rFonts w:hint="eastAsia" w:ascii="宋体" w:hAnsi="宋体" w:eastAsia="宋体" w:cs="宋体"/>
          <w:color w:val="auto"/>
          <w:kern w:val="1"/>
          <w:sz w:val="22"/>
          <w:szCs w:val="22"/>
          <w:highlight w:val="none"/>
          <w:lang w:val="en-US" w:eastAsia="zh-CN" w:bidi="ar-SA"/>
        </w:rPr>
        <w:t>附件7-2：残疾人福利性单位声明函</w:t>
      </w:r>
    </w:p>
    <w:p w14:paraId="5F6D088C">
      <w:pPr>
        <w:widowControl w:val="0"/>
        <w:adjustRightInd w:val="0"/>
        <w:snapToGrid w:val="0"/>
        <w:spacing w:line="360" w:lineRule="auto"/>
        <w:ind w:firstLine="440" w:firstLineChars="200"/>
        <w:jc w:val="both"/>
        <w:rPr>
          <w:rFonts w:hint="eastAsia" w:ascii="宋体" w:hAnsi="宋体" w:eastAsia="宋体" w:cs="宋体"/>
          <w:color w:val="auto"/>
          <w:kern w:val="1"/>
          <w:sz w:val="22"/>
          <w:szCs w:val="22"/>
          <w:highlight w:val="none"/>
          <w:lang w:val="en-US" w:eastAsia="zh-CN" w:bidi="ar-SA"/>
        </w:rPr>
      </w:pPr>
      <w:r>
        <w:rPr>
          <w:rFonts w:hint="eastAsia" w:ascii="宋体" w:hAnsi="宋体" w:eastAsia="宋体" w:cs="宋体"/>
          <w:color w:val="auto"/>
          <w:kern w:val="1"/>
          <w:sz w:val="22"/>
          <w:szCs w:val="22"/>
          <w:highlight w:val="none"/>
          <w:lang w:val="en-US" w:eastAsia="zh-CN" w:bidi="ar-SA"/>
        </w:rPr>
        <w:t>附件7-3：监狱企业证明资料</w:t>
      </w:r>
    </w:p>
    <w:p w14:paraId="4423C6A4">
      <w:pPr>
        <w:widowControl w:val="0"/>
        <w:adjustRightInd w:val="0"/>
        <w:snapToGrid w:val="0"/>
        <w:spacing w:line="360" w:lineRule="auto"/>
        <w:jc w:val="both"/>
        <w:outlineLvl w:val="0"/>
        <w:rPr>
          <w:rFonts w:hint="eastAsia" w:ascii="宋体" w:hAnsi="宋体" w:eastAsia="宋体" w:cs="宋体"/>
          <w:b/>
          <w:color w:val="000000"/>
          <w:kern w:val="1"/>
          <w:sz w:val="22"/>
          <w:szCs w:val="22"/>
          <w:lang w:val="en-US" w:eastAsia="zh-CN" w:bidi="ar-SA"/>
        </w:rPr>
      </w:pPr>
      <w:bookmarkStart w:id="168" w:name="_Toc30210"/>
      <w:bookmarkStart w:id="169" w:name="_Toc7913"/>
      <w:bookmarkStart w:id="170" w:name="_Toc27345"/>
      <w:r>
        <w:rPr>
          <w:rFonts w:hint="eastAsia" w:ascii="宋体" w:hAnsi="宋体" w:eastAsia="宋体" w:cs="宋体"/>
          <w:b/>
          <w:color w:val="000000"/>
          <w:kern w:val="1"/>
          <w:sz w:val="22"/>
          <w:szCs w:val="22"/>
          <w:lang w:val="en-US" w:eastAsia="zh-CN" w:bidi="ar-SA"/>
        </w:rPr>
        <w:t>八、报价一览表及分项价格表</w:t>
      </w:r>
      <w:bookmarkEnd w:id="168"/>
      <w:bookmarkEnd w:id="169"/>
      <w:bookmarkEnd w:id="170"/>
    </w:p>
    <w:p w14:paraId="4ED2B154">
      <w:pPr>
        <w:adjustRightInd w:val="0"/>
        <w:snapToGrid w:val="0"/>
        <w:spacing w:line="360" w:lineRule="auto"/>
        <w:ind w:firstLine="440" w:firstLineChars="200"/>
        <w:jc w:val="left"/>
        <w:rPr>
          <w:rFonts w:hint="eastAsia" w:ascii="宋体" w:hAnsi="宋体" w:eastAsia="宋体" w:cs="宋体"/>
          <w:bCs/>
          <w:color w:val="000000"/>
          <w:kern w:val="1"/>
          <w:sz w:val="22"/>
          <w:szCs w:val="22"/>
        </w:rPr>
      </w:pPr>
      <w:r>
        <w:rPr>
          <w:rFonts w:hint="eastAsia" w:ascii="宋体" w:hAnsi="宋体" w:eastAsia="宋体" w:cs="宋体"/>
          <w:color w:val="000000"/>
          <w:kern w:val="1"/>
          <w:sz w:val="22"/>
          <w:szCs w:val="22"/>
        </w:rPr>
        <w:t>附件</w:t>
      </w:r>
      <w:r>
        <w:rPr>
          <w:rFonts w:hint="eastAsia" w:ascii="宋体" w:hAnsi="宋体" w:eastAsia="宋体" w:cs="宋体"/>
          <w:color w:val="000000"/>
          <w:kern w:val="1"/>
          <w:sz w:val="22"/>
          <w:szCs w:val="22"/>
          <w:lang w:val="en-US" w:eastAsia="zh-CN"/>
        </w:rPr>
        <w:t>8-1</w:t>
      </w:r>
      <w:r>
        <w:rPr>
          <w:rFonts w:hint="eastAsia" w:ascii="宋体" w:hAnsi="宋体" w:eastAsia="宋体" w:cs="宋体"/>
          <w:color w:val="000000"/>
          <w:kern w:val="1"/>
          <w:sz w:val="22"/>
          <w:szCs w:val="22"/>
        </w:rPr>
        <w:t>：</w:t>
      </w:r>
      <w:r>
        <w:rPr>
          <w:rFonts w:hint="eastAsia" w:ascii="宋体" w:hAnsi="宋体" w:eastAsia="宋体" w:cs="宋体"/>
          <w:bCs/>
          <w:color w:val="000000"/>
          <w:kern w:val="1"/>
          <w:sz w:val="22"/>
          <w:szCs w:val="22"/>
        </w:rPr>
        <w:t>报价一览表</w:t>
      </w:r>
    </w:p>
    <w:p w14:paraId="46B38E0F">
      <w:pPr>
        <w:widowControl w:val="0"/>
        <w:adjustRightInd w:val="0"/>
        <w:snapToGrid w:val="0"/>
        <w:spacing w:line="360" w:lineRule="auto"/>
        <w:ind w:firstLine="440" w:firstLineChars="200"/>
        <w:jc w:val="both"/>
        <w:rPr>
          <w:rFonts w:hint="default" w:ascii="宋体" w:hAnsi="宋体" w:eastAsia="宋体" w:cs="宋体"/>
          <w:b/>
          <w:color w:val="000000"/>
          <w:kern w:val="1"/>
          <w:sz w:val="22"/>
          <w:szCs w:val="22"/>
          <w:lang w:val="en-US" w:eastAsia="zh-CN" w:bidi="ar-SA"/>
        </w:rPr>
      </w:pPr>
      <w:r>
        <w:rPr>
          <w:rFonts w:hint="eastAsia" w:ascii="宋体" w:hAnsi="宋体" w:eastAsia="宋体" w:cs="宋体"/>
          <w:color w:val="000000"/>
          <w:kern w:val="1"/>
          <w:sz w:val="22"/>
          <w:szCs w:val="22"/>
          <w:lang w:val="en-US" w:eastAsia="zh-CN" w:bidi="ar-SA"/>
        </w:rPr>
        <w:t>附件8-2：</w:t>
      </w:r>
      <w:r>
        <w:rPr>
          <w:rFonts w:hint="eastAsia" w:ascii="宋体" w:hAnsi="宋体" w:eastAsia="宋体" w:cs="宋体"/>
          <w:bCs/>
          <w:color w:val="000000"/>
          <w:kern w:val="1"/>
          <w:sz w:val="22"/>
          <w:szCs w:val="22"/>
          <w:lang w:val="en-US" w:eastAsia="zh-CN" w:bidi="ar-SA"/>
        </w:rPr>
        <w:t>分项价格表</w:t>
      </w:r>
    </w:p>
    <w:p w14:paraId="4F8ED8E7">
      <w:pPr>
        <w:spacing w:line="360" w:lineRule="auto"/>
        <w:ind w:right="23" w:rightChars="11"/>
        <w:rPr>
          <w:rFonts w:hint="eastAsia" w:ascii="宋体" w:hAnsi="宋体" w:eastAsia="宋体" w:cs="Times New Roman"/>
          <w:b/>
          <w:bCs w:val="0"/>
          <w:color w:val="auto"/>
          <w:kern w:val="1"/>
          <w:sz w:val="22"/>
          <w:szCs w:val="22"/>
        </w:rPr>
      </w:pPr>
      <w:r>
        <w:rPr>
          <w:rFonts w:hint="eastAsia" w:ascii="宋体" w:hAnsi="宋体" w:eastAsia="宋体" w:cs="Times New Roman"/>
          <w:b/>
          <w:bCs w:val="0"/>
          <w:color w:val="auto"/>
          <w:kern w:val="1"/>
          <w:sz w:val="22"/>
          <w:szCs w:val="22"/>
          <w:lang w:val="en-US" w:eastAsia="zh-CN"/>
        </w:rPr>
        <w:t>九、</w:t>
      </w:r>
      <w:r>
        <w:rPr>
          <w:rFonts w:hint="eastAsia" w:ascii="宋体" w:hAnsi="宋体" w:eastAsia="宋体" w:cs="Times New Roman"/>
          <w:b/>
          <w:bCs w:val="0"/>
          <w:color w:val="auto"/>
          <w:kern w:val="1"/>
          <w:sz w:val="22"/>
          <w:szCs w:val="22"/>
        </w:rPr>
        <w:t>供应商认为需要提供的其它资料</w:t>
      </w:r>
    </w:p>
    <w:p w14:paraId="1D9AC4AA">
      <w:pPr>
        <w:spacing w:line="360" w:lineRule="auto"/>
        <w:ind w:right="23" w:rightChars="11"/>
        <w:outlineLvl w:val="0"/>
        <w:rPr>
          <w:rFonts w:hint="eastAsia" w:ascii="宋体" w:hAnsi="宋体" w:eastAsia="宋体" w:cs="Times New Roman"/>
          <w:b/>
          <w:bCs w:val="0"/>
          <w:color w:val="auto"/>
          <w:kern w:val="1"/>
          <w:sz w:val="22"/>
          <w:szCs w:val="22"/>
        </w:rPr>
      </w:pPr>
      <w:bookmarkStart w:id="171" w:name="_Toc18721"/>
      <w:bookmarkStart w:id="172" w:name="_Toc21313"/>
      <w:bookmarkStart w:id="173" w:name="_Toc10775"/>
      <w:r>
        <w:rPr>
          <w:rFonts w:hint="eastAsia" w:ascii="宋体" w:hAnsi="宋体" w:eastAsia="宋体" w:cs="Times New Roman"/>
          <w:b/>
          <w:bCs w:val="0"/>
          <w:color w:val="auto"/>
          <w:kern w:val="1"/>
          <w:sz w:val="22"/>
          <w:szCs w:val="22"/>
          <w:lang w:val="en-US" w:eastAsia="zh-CN"/>
        </w:rPr>
        <w:t>十、</w:t>
      </w:r>
      <w:r>
        <w:rPr>
          <w:rFonts w:hint="eastAsia" w:ascii="宋体" w:hAnsi="宋体" w:eastAsia="宋体" w:cs="Times New Roman"/>
          <w:b/>
          <w:bCs w:val="0"/>
          <w:color w:val="auto"/>
          <w:kern w:val="1"/>
          <w:sz w:val="22"/>
          <w:szCs w:val="22"/>
        </w:rPr>
        <w:t>最后报价</w:t>
      </w:r>
      <w:bookmarkEnd w:id="171"/>
      <w:bookmarkEnd w:id="172"/>
      <w:bookmarkEnd w:id="173"/>
    </w:p>
    <w:p w14:paraId="04328A2F">
      <w:pPr>
        <w:spacing w:line="360" w:lineRule="auto"/>
        <w:ind w:right="23" w:rightChars="11"/>
        <w:rPr>
          <w:rFonts w:hint="eastAsia" w:ascii="宋体" w:hAnsi="宋体"/>
          <w:b/>
          <w:bCs w:val="0"/>
          <w:color w:val="auto"/>
          <w:sz w:val="21"/>
          <w:szCs w:val="21"/>
        </w:rPr>
      </w:pPr>
    </w:p>
    <w:p w14:paraId="57030E19">
      <w:pPr>
        <w:spacing w:line="360" w:lineRule="exact"/>
        <w:ind w:right="23" w:rightChars="11"/>
        <w:rPr>
          <w:rFonts w:hint="eastAsia" w:ascii="宋体" w:hAnsi="宋体"/>
          <w:b/>
          <w:color w:val="auto"/>
        </w:rPr>
      </w:pPr>
    </w:p>
    <w:p w14:paraId="3B7801B0">
      <w:pPr>
        <w:spacing w:line="360" w:lineRule="exact"/>
        <w:ind w:right="23" w:rightChars="11"/>
        <w:rPr>
          <w:rFonts w:hint="eastAsia" w:ascii="宋体" w:hAnsi="宋体"/>
          <w:b/>
          <w:color w:val="auto"/>
        </w:rPr>
      </w:pPr>
    </w:p>
    <w:p w14:paraId="057E008A">
      <w:pPr>
        <w:pStyle w:val="11"/>
        <w:rPr>
          <w:rFonts w:hint="eastAsia" w:ascii="宋体" w:hAnsi="宋体"/>
          <w:b/>
          <w:color w:val="auto"/>
        </w:rPr>
      </w:pPr>
    </w:p>
    <w:p w14:paraId="4AE7248B">
      <w:pPr>
        <w:pStyle w:val="11"/>
        <w:rPr>
          <w:rFonts w:hint="eastAsia" w:ascii="宋体" w:hAnsi="宋体"/>
          <w:b/>
          <w:color w:val="auto"/>
        </w:rPr>
      </w:pPr>
    </w:p>
    <w:p w14:paraId="6F2CE539">
      <w:pPr>
        <w:pStyle w:val="11"/>
        <w:rPr>
          <w:rFonts w:hint="eastAsia" w:ascii="宋体" w:hAnsi="宋体"/>
          <w:b/>
          <w:color w:val="auto"/>
        </w:rPr>
      </w:pPr>
    </w:p>
    <w:p w14:paraId="2325402F">
      <w:pPr>
        <w:pStyle w:val="11"/>
        <w:rPr>
          <w:rFonts w:hint="eastAsia" w:ascii="宋体" w:hAnsi="宋体"/>
          <w:b/>
          <w:color w:val="auto"/>
        </w:rPr>
      </w:pPr>
    </w:p>
    <w:p w14:paraId="59901868">
      <w:pPr>
        <w:pStyle w:val="11"/>
        <w:rPr>
          <w:rFonts w:hint="eastAsia" w:ascii="宋体" w:hAnsi="宋体"/>
          <w:b/>
          <w:color w:val="auto"/>
        </w:rPr>
      </w:pPr>
    </w:p>
    <w:p w14:paraId="122C25EE">
      <w:pPr>
        <w:pStyle w:val="6"/>
        <w:rPr>
          <w:rFonts w:hint="eastAsia"/>
        </w:rPr>
      </w:pPr>
    </w:p>
    <w:p w14:paraId="3DE55EE3">
      <w:pPr>
        <w:pStyle w:val="12"/>
        <w:adjustRightInd w:val="0"/>
        <w:snapToGrid w:val="0"/>
        <w:spacing w:line="360" w:lineRule="auto"/>
        <w:jc w:val="center"/>
        <w:outlineLvl w:val="0"/>
        <w:rPr>
          <w:rFonts w:hint="eastAsia" w:hAnsi="宋体" w:cs="宋体"/>
          <w:bCs/>
          <w:color w:val="auto"/>
          <w:sz w:val="84"/>
          <w:szCs w:val="84"/>
        </w:rPr>
      </w:pPr>
      <w:bookmarkStart w:id="174" w:name="_Toc8753"/>
      <w:bookmarkStart w:id="175" w:name="_Toc7604"/>
      <w:bookmarkStart w:id="176" w:name="_Toc11435"/>
      <w:bookmarkStart w:id="177" w:name="_Toc20596"/>
      <w:r>
        <w:rPr>
          <w:rFonts w:hint="eastAsia" w:hAnsi="宋体" w:cs="宋体"/>
          <w:bCs/>
          <w:color w:val="auto"/>
          <w:sz w:val="84"/>
          <w:szCs w:val="84"/>
        </w:rPr>
        <w:t>政府采购</w:t>
      </w:r>
      <w:bookmarkEnd w:id="174"/>
      <w:bookmarkEnd w:id="175"/>
      <w:bookmarkEnd w:id="176"/>
    </w:p>
    <w:p w14:paraId="4374BF9C">
      <w:pPr>
        <w:adjustRightInd w:val="0"/>
        <w:snapToGrid w:val="0"/>
        <w:spacing w:line="360" w:lineRule="auto"/>
        <w:jc w:val="center"/>
        <w:outlineLvl w:val="0"/>
        <w:rPr>
          <w:rFonts w:hint="eastAsia" w:ascii="宋体" w:hAnsi="宋体" w:cs="宋体"/>
          <w:bCs/>
          <w:color w:val="auto"/>
          <w:sz w:val="84"/>
          <w:szCs w:val="84"/>
        </w:rPr>
      </w:pPr>
      <w:bookmarkStart w:id="178" w:name="_Toc32677"/>
      <w:bookmarkStart w:id="179" w:name="_Toc12886"/>
      <w:bookmarkStart w:id="180" w:name="_Toc18541"/>
      <w:r>
        <w:rPr>
          <w:rFonts w:hint="eastAsia" w:ascii="宋体" w:hAnsi="宋体" w:cs="宋体"/>
          <w:bCs/>
          <w:color w:val="auto"/>
          <w:sz w:val="84"/>
          <w:szCs w:val="84"/>
          <w:lang w:val="en-US" w:eastAsia="zh-CN"/>
        </w:rPr>
        <w:t>响应</w:t>
      </w:r>
      <w:r>
        <w:rPr>
          <w:rFonts w:hint="eastAsia" w:ascii="宋体" w:hAnsi="宋体" w:cs="宋体"/>
          <w:bCs/>
          <w:color w:val="auto"/>
          <w:sz w:val="84"/>
          <w:szCs w:val="84"/>
        </w:rPr>
        <w:t>文件</w:t>
      </w:r>
      <w:bookmarkEnd w:id="178"/>
      <w:bookmarkEnd w:id="179"/>
      <w:bookmarkEnd w:id="180"/>
    </w:p>
    <w:p w14:paraId="1957864D">
      <w:pPr>
        <w:pStyle w:val="11"/>
        <w:ind w:left="0" w:leftChars="0" w:firstLine="0" w:firstLineChars="0"/>
        <w:rPr>
          <w:rFonts w:hint="eastAsia" w:ascii="宋体" w:hAnsi="宋体" w:cs="宋体"/>
          <w:color w:val="auto"/>
          <w:sz w:val="28"/>
          <w:szCs w:val="28"/>
        </w:rPr>
      </w:pPr>
    </w:p>
    <w:p w14:paraId="47961FEA">
      <w:pPr>
        <w:rPr>
          <w:rFonts w:hint="eastAsia" w:ascii="宋体" w:hAnsi="宋体" w:cs="宋体" w:eastAsiaTheme="minorEastAsia"/>
          <w:color w:val="auto"/>
          <w:sz w:val="30"/>
          <w:szCs w:val="30"/>
          <w:lang w:eastAsia="zh-CN"/>
        </w:rPr>
      </w:pPr>
    </w:p>
    <w:p w14:paraId="739C93DF">
      <w:pPr>
        <w:pStyle w:val="12"/>
        <w:keepNext w:val="0"/>
        <w:keepLines w:val="0"/>
        <w:pageBreakBefore w:val="0"/>
        <w:widowControl w:val="0"/>
        <w:kinsoku/>
        <w:wordWrap/>
        <w:overflowPunct/>
        <w:topLinePunct w:val="0"/>
        <w:autoSpaceDE/>
        <w:autoSpaceDN/>
        <w:bidi w:val="0"/>
        <w:spacing w:line="360" w:lineRule="auto"/>
        <w:ind w:firstLine="1446" w:firstLineChars="450"/>
        <w:textAlignment w:val="auto"/>
        <w:rPr>
          <w:rFonts w:hint="eastAsia" w:hAnsi="宋体" w:cs="宋体" w:eastAsiaTheme="minorEastAsia"/>
          <w:b/>
          <w:color w:val="auto"/>
          <w:sz w:val="32"/>
          <w:szCs w:val="32"/>
          <w:lang w:eastAsia="zh-CN"/>
        </w:rPr>
      </w:pPr>
      <w:r>
        <w:rPr>
          <w:rFonts w:hint="eastAsia" w:hAnsi="宋体" w:cs="宋体"/>
          <w:b/>
          <w:color w:val="auto"/>
          <w:sz w:val="32"/>
          <w:szCs w:val="32"/>
        </w:rPr>
        <w:t>采购项目名称：____________________</w:t>
      </w:r>
    </w:p>
    <w:p w14:paraId="4E86A0F1">
      <w:pPr>
        <w:pStyle w:val="12"/>
        <w:keepNext w:val="0"/>
        <w:keepLines w:val="0"/>
        <w:pageBreakBefore w:val="0"/>
        <w:widowControl w:val="0"/>
        <w:kinsoku/>
        <w:wordWrap/>
        <w:overflowPunct/>
        <w:topLinePunct w:val="0"/>
        <w:autoSpaceDE/>
        <w:autoSpaceDN/>
        <w:bidi w:val="0"/>
        <w:adjustRightInd/>
        <w:snapToGrid/>
        <w:spacing w:line="360" w:lineRule="auto"/>
        <w:ind w:firstLine="1446" w:firstLineChars="450"/>
        <w:textAlignment w:val="auto"/>
        <w:rPr>
          <w:rFonts w:hint="eastAsia" w:hAnsi="宋体" w:cs="宋体"/>
          <w:b/>
          <w:color w:val="auto"/>
          <w:sz w:val="32"/>
          <w:szCs w:val="32"/>
        </w:rPr>
      </w:pPr>
      <w:r>
        <w:rPr>
          <w:rFonts w:hint="eastAsia" w:hAnsi="宋体" w:cs="宋体"/>
          <w:b/>
          <w:color w:val="auto"/>
          <w:sz w:val="32"/>
          <w:szCs w:val="32"/>
          <w:lang w:val="en-US" w:eastAsia="zh-CN"/>
        </w:rPr>
        <w:t>采购单位名称</w:t>
      </w:r>
      <w:r>
        <w:rPr>
          <w:rFonts w:hint="eastAsia" w:hAnsi="宋体" w:cs="宋体"/>
          <w:b/>
          <w:color w:val="auto"/>
          <w:sz w:val="32"/>
          <w:szCs w:val="32"/>
        </w:rPr>
        <w:t>：____________________</w:t>
      </w:r>
    </w:p>
    <w:p w14:paraId="28F8B0DE">
      <w:pPr>
        <w:pStyle w:val="12"/>
        <w:keepNext w:val="0"/>
        <w:keepLines w:val="0"/>
        <w:pageBreakBefore w:val="0"/>
        <w:widowControl w:val="0"/>
        <w:kinsoku/>
        <w:wordWrap/>
        <w:overflowPunct/>
        <w:topLinePunct w:val="0"/>
        <w:autoSpaceDE/>
        <w:autoSpaceDN/>
        <w:bidi w:val="0"/>
        <w:adjustRightInd/>
        <w:snapToGrid/>
        <w:spacing w:line="360" w:lineRule="auto"/>
        <w:ind w:firstLine="1506" w:firstLineChars="500"/>
        <w:textAlignment w:val="auto"/>
        <w:rPr>
          <w:rFonts w:hint="eastAsia" w:hAnsi="宋体" w:cs="宋体"/>
          <w:b/>
          <w:color w:val="auto"/>
          <w:sz w:val="32"/>
          <w:szCs w:val="32"/>
          <w:lang w:eastAsia="zh-CN"/>
        </w:rPr>
      </w:pPr>
      <w:r>
        <w:rPr>
          <w:rFonts w:hint="eastAsia" w:ascii="宋体" w:hAnsi="宋体" w:cs="宋体"/>
          <w:b/>
          <w:bCs/>
          <w:color w:val="auto"/>
          <w:sz w:val="30"/>
          <w:highlight w:val="none"/>
          <w:lang w:val="en-US" w:eastAsia="zh-CN"/>
        </w:rPr>
        <w:t>采购计划编号：</w:t>
      </w:r>
      <w:r>
        <w:rPr>
          <w:rFonts w:hint="eastAsia" w:hAnsi="宋体" w:cs="宋体"/>
          <w:b/>
          <w:color w:val="auto"/>
          <w:sz w:val="32"/>
          <w:szCs w:val="32"/>
        </w:rPr>
        <w:t>____________________</w:t>
      </w:r>
    </w:p>
    <w:p w14:paraId="031F7707">
      <w:pPr>
        <w:keepNext w:val="0"/>
        <w:keepLines w:val="0"/>
        <w:pageBreakBefore w:val="0"/>
        <w:widowControl w:val="0"/>
        <w:kinsoku/>
        <w:wordWrap/>
        <w:overflowPunct/>
        <w:topLinePunct w:val="0"/>
        <w:autoSpaceDE/>
        <w:autoSpaceDN/>
        <w:bidi w:val="0"/>
        <w:adjustRightInd w:val="0"/>
        <w:snapToGrid w:val="0"/>
        <w:spacing w:line="360" w:lineRule="auto"/>
        <w:ind w:firstLine="1506" w:firstLineChars="500"/>
        <w:textAlignment w:val="auto"/>
        <w:outlineLvl w:val="9"/>
        <w:rPr>
          <w:rFonts w:hint="eastAsia" w:ascii="宋体" w:hAnsi="宋体" w:cs="宋体"/>
          <w:b/>
          <w:bCs/>
          <w:color w:val="auto"/>
          <w:sz w:val="30"/>
          <w:highlight w:val="none"/>
          <w:lang w:val="en-US" w:eastAsia="zh-CN"/>
        </w:rPr>
      </w:pPr>
      <w:r>
        <w:rPr>
          <w:rFonts w:hint="eastAsia" w:ascii="宋体" w:hAnsi="宋体" w:cs="宋体"/>
          <w:b/>
          <w:bCs/>
          <w:color w:val="auto"/>
          <w:sz w:val="30"/>
          <w:highlight w:val="none"/>
          <w:lang w:val="en-US" w:eastAsia="zh-CN"/>
        </w:rPr>
        <w:t>采购项目编号：</w:t>
      </w:r>
      <w:r>
        <w:rPr>
          <w:rFonts w:hint="eastAsia" w:ascii="宋体" w:hAnsi="宋体" w:cs="宋体" w:eastAsiaTheme="minorEastAsia"/>
          <w:b/>
          <w:color w:val="auto"/>
          <w:kern w:val="1"/>
          <w:sz w:val="32"/>
          <w:szCs w:val="32"/>
          <w:lang w:val="en-US" w:eastAsia="zh-CN" w:bidi="ar-SA"/>
        </w:rPr>
        <w:t>____________________</w:t>
      </w:r>
    </w:p>
    <w:p w14:paraId="43D1CD49">
      <w:pPr>
        <w:keepNext w:val="0"/>
        <w:keepLines w:val="0"/>
        <w:pageBreakBefore w:val="0"/>
        <w:widowControl w:val="0"/>
        <w:kinsoku/>
        <w:wordWrap/>
        <w:overflowPunct/>
        <w:topLinePunct w:val="0"/>
        <w:autoSpaceDE/>
        <w:autoSpaceDN/>
        <w:bidi w:val="0"/>
        <w:adjustRightInd w:val="0"/>
        <w:snapToGrid w:val="0"/>
        <w:spacing w:line="360" w:lineRule="auto"/>
        <w:ind w:firstLine="1446" w:firstLineChars="450"/>
        <w:textAlignment w:val="auto"/>
        <w:outlineLvl w:val="9"/>
        <w:rPr>
          <w:rFonts w:hint="eastAsia" w:ascii="宋体" w:hAnsi="宋体" w:cs="宋体"/>
          <w:color w:val="auto"/>
          <w:sz w:val="30"/>
          <w:szCs w:val="30"/>
        </w:rPr>
      </w:pPr>
      <w:r>
        <w:rPr>
          <w:rFonts w:hint="eastAsia" w:ascii="宋体" w:hAnsi="宋体" w:cs="宋体"/>
          <w:b/>
          <w:color w:val="auto"/>
          <w:sz w:val="32"/>
          <w:szCs w:val="32"/>
        </w:rPr>
        <w:t>委托代理编号：____________________</w:t>
      </w:r>
    </w:p>
    <w:p w14:paraId="147A78D3">
      <w:pPr>
        <w:pStyle w:val="12"/>
        <w:keepNext w:val="0"/>
        <w:keepLines w:val="0"/>
        <w:pageBreakBefore w:val="0"/>
        <w:widowControl w:val="0"/>
        <w:kinsoku/>
        <w:wordWrap/>
        <w:overflowPunct/>
        <w:topLinePunct w:val="0"/>
        <w:autoSpaceDE/>
        <w:autoSpaceDN/>
        <w:bidi w:val="0"/>
        <w:adjustRightInd/>
        <w:snapToGrid/>
        <w:spacing w:line="360" w:lineRule="auto"/>
        <w:ind w:firstLine="1446" w:firstLineChars="450"/>
        <w:textAlignment w:val="auto"/>
        <w:rPr>
          <w:rFonts w:hint="eastAsia" w:hAnsi="宋体" w:cs="宋体" w:eastAsiaTheme="minorEastAsia"/>
          <w:b/>
          <w:color w:val="auto"/>
          <w:sz w:val="32"/>
          <w:szCs w:val="32"/>
          <w:lang w:eastAsia="zh-CN"/>
        </w:rPr>
      </w:pPr>
      <w:r>
        <w:rPr>
          <w:rFonts w:hint="eastAsia" w:hAnsi="宋体" w:cs="宋体"/>
          <w:b/>
          <w:color w:val="auto"/>
          <w:sz w:val="32"/>
          <w:szCs w:val="32"/>
          <w:lang w:val="en-US" w:eastAsia="zh-CN"/>
        </w:rPr>
        <w:t>采购代理机构</w:t>
      </w:r>
      <w:r>
        <w:rPr>
          <w:rFonts w:hint="eastAsia" w:hAnsi="宋体" w:cs="宋体"/>
          <w:b/>
          <w:color w:val="auto"/>
          <w:sz w:val="32"/>
          <w:szCs w:val="32"/>
        </w:rPr>
        <w:t>：____________________</w:t>
      </w:r>
    </w:p>
    <w:p w14:paraId="6748BC08">
      <w:pPr>
        <w:adjustRightInd w:val="0"/>
        <w:snapToGrid w:val="0"/>
        <w:ind w:firstLine="1500" w:firstLineChars="500"/>
        <w:outlineLvl w:val="9"/>
        <w:rPr>
          <w:rFonts w:hint="eastAsia" w:ascii="宋体" w:hAnsi="宋体" w:cs="宋体"/>
          <w:color w:val="auto"/>
          <w:sz w:val="30"/>
          <w:szCs w:val="30"/>
        </w:rPr>
      </w:pPr>
    </w:p>
    <w:p w14:paraId="6D3810CF">
      <w:pPr>
        <w:adjustRightInd w:val="0"/>
        <w:snapToGrid w:val="0"/>
        <w:ind w:firstLine="1500" w:firstLineChars="500"/>
        <w:outlineLvl w:val="9"/>
        <w:rPr>
          <w:rFonts w:hint="eastAsia" w:ascii="宋体" w:hAnsi="宋体" w:cs="宋体"/>
          <w:color w:val="auto"/>
          <w:sz w:val="30"/>
          <w:szCs w:val="30"/>
        </w:rPr>
      </w:pPr>
    </w:p>
    <w:p w14:paraId="02B29FA3">
      <w:pPr>
        <w:adjustRightInd w:val="0"/>
        <w:snapToGrid w:val="0"/>
        <w:outlineLvl w:val="9"/>
        <w:rPr>
          <w:rFonts w:hint="eastAsia" w:ascii="宋体" w:hAnsi="宋体" w:cs="宋体"/>
          <w:color w:val="auto"/>
          <w:sz w:val="30"/>
          <w:szCs w:val="30"/>
        </w:rPr>
      </w:pPr>
    </w:p>
    <w:p w14:paraId="6FF7DDCC">
      <w:pPr>
        <w:adjustRightInd w:val="0"/>
        <w:snapToGrid w:val="0"/>
        <w:outlineLvl w:val="9"/>
        <w:rPr>
          <w:rFonts w:hint="eastAsia" w:ascii="宋体" w:hAnsi="宋体" w:cs="宋体"/>
          <w:color w:val="auto"/>
          <w:sz w:val="30"/>
          <w:szCs w:val="30"/>
        </w:rPr>
      </w:pPr>
    </w:p>
    <w:p w14:paraId="23D480D0">
      <w:pPr>
        <w:pStyle w:val="27"/>
        <w:rPr>
          <w:rFonts w:hint="eastAsia"/>
          <w:color w:val="auto"/>
        </w:rPr>
      </w:pPr>
    </w:p>
    <w:p w14:paraId="1577043A">
      <w:pPr>
        <w:adjustRightInd w:val="0"/>
        <w:snapToGrid w:val="0"/>
        <w:jc w:val="center"/>
        <w:outlineLvl w:val="9"/>
        <w:rPr>
          <w:rFonts w:hint="eastAsia" w:ascii="宋体" w:hAnsi="宋体" w:cs="宋体"/>
          <w:color w:val="auto"/>
          <w:sz w:val="32"/>
          <w:szCs w:val="32"/>
          <w:u w:val="single"/>
        </w:rPr>
      </w:pPr>
      <w:r>
        <w:rPr>
          <w:rFonts w:hint="eastAsia" w:ascii="宋体" w:hAnsi="宋体" w:eastAsia="宋体" w:cs="宋体"/>
          <w:color w:val="auto"/>
          <w:sz w:val="32"/>
          <w:szCs w:val="32"/>
          <w:lang w:eastAsia="zh-CN"/>
        </w:rPr>
        <w:t>供应商名称：</w:t>
      </w:r>
      <w:r>
        <w:rPr>
          <w:rFonts w:hint="eastAsia" w:ascii="宋体" w:hAnsi="宋体" w:cs="宋体"/>
          <w:color w:val="auto"/>
          <w:sz w:val="32"/>
          <w:szCs w:val="32"/>
          <w:lang w:val="en-US" w:eastAsia="zh-CN"/>
        </w:rPr>
        <w:t>(盖单位公章)</w:t>
      </w:r>
    </w:p>
    <w:p w14:paraId="23E18D00">
      <w:pPr>
        <w:adjustRightInd w:val="0"/>
        <w:snapToGrid w:val="0"/>
        <w:ind w:firstLine="4800" w:firstLineChars="1500"/>
        <w:outlineLvl w:val="9"/>
        <w:rPr>
          <w:rFonts w:hint="eastAsia" w:ascii="宋体" w:hAnsi="宋体" w:cs="宋体"/>
          <w:color w:val="auto"/>
          <w:sz w:val="32"/>
          <w:szCs w:val="32"/>
        </w:rPr>
      </w:pPr>
    </w:p>
    <w:p w14:paraId="14F1AEB0">
      <w:pPr>
        <w:adjustRightInd w:val="0"/>
        <w:snapToGrid w:val="0"/>
        <w:ind w:firstLine="4800" w:firstLineChars="1500"/>
        <w:outlineLvl w:val="9"/>
        <w:rPr>
          <w:rFonts w:hint="eastAsia" w:ascii="宋体" w:hAnsi="宋体" w:cs="宋体"/>
          <w:color w:val="auto"/>
          <w:sz w:val="32"/>
          <w:szCs w:val="32"/>
        </w:rPr>
      </w:pPr>
    </w:p>
    <w:p w14:paraId="4886A07B">
      <w:pPr>
        <w:tabs>
          <w:tab w:val="left" w:pos="7740"/>
        </w:tabs>
        <w:jc w:val="center"/>
        <w:rPr>
          <w:rFonts w:hint="eastAsia" w:ascii="宋体" w:hAnsi="宋体" w:cs="宋体"/>
          <w:color w:val="auto"/>
          <w:sz w:val="32"/>
          <w:szCs w:val="32"/>
        </w:rPr>
      </w:pPr>
      <w:r>
        <w:rPr>
          <w:rFonts w:hint="eastAsia" w:ascii="宋体" w:hAnsi="宋体" w:cs="宋体"/>
          <w:color w:val="auto"/>
          <w:sz w:val="32"/>
          <w:szCs w:val="32"/>
        </w:rPr>
        <w:t>年月日</w:t>
      </w:r>
    </w:p>
    <w:p w14:paraId="6595F280">
      <w:pPr>
        <w:keepNext/>
        <w:keepLines/>
        <w:widowControl w:val="0"/>
        <w:bidi w:val="0"/>
        <w:spacing w:line="360" w:lineRule="auto"/>
        <w:jc w:val="center"/>
        <w:outlineLvl w:val="9"/>
        <w:rPr>
          <w:rFonts w:hint="eastAsia" w:ascii="Arial" w:hAnsi="Arial" w:cs="Times New Roman" w:eastAsiaTheme="minorEastAsia"/>
          <w:b/>
          <w:bCs/>
          <w:kern w:val="1"/>
          <w:sz w:val="24"/>
          <w:szCs w:val="32"/>
          <w:lang w:val="en-US" w:eastAsia="zh-CN" w:bidi="ar-SA"/>
        </w:rPr>
      </w:pPr>
    </w:p>
    <w:p w14:paraId="7A10EFF2">
      <w:pPr>
        <w:keepNext/>
        <w:keepLines/>
        <w:widowControl w:val="0"/>
        <w:bidi w:val="0"/>
        <w:spacing w:line="360" w:lineRule="auto"/>
        <w:jc w:val="center"/>
        <w:outlineLvl w:val="9"/>
        <w:rPr>
          <w:rFonts w:hint="eastAsia" w:ascii="Arial" w:hAnsi="Arial" w:cs="Times New Roman" w:eastAsiaTheme="minorEastAsia"/>
          <w:b/>
          <w:bCs/>
          <w:kern w:val="1"/>
          <w:sz w:val="24"/>
          <w:szCs w:val="32"/>
          <w:lang w:val="en-US" w:eastAsia="zh-CN" w:bidi="ar-SA"/>
        </w:rPr>
      </w:pPr>
    </w:p>
    <w:p w14:paraId="18938125">
      <w:pPr>
        <w:rPr>
          <w:rFonts w:hint="eastAsia"/>
        </w:rPr>
      </w:pPr>
    </w:p>
    <w:p w14:paraId="755C7CB7">
      <w:pPr>
        <w:pStyle w:val="46"/>
        <w:rPr>
          <w:rFonts w:hint="eastAsia"/>
        </w:rPr>
      </w:pPr>
    </w:p>
    <w:p w14:paraId="453C6F5E">
      <w:pPr>
        <w:pStyle w:val="25"/>
        <w:outlineLvl w:val="9"/>
        <w:rPr>
          <w:rFonts w:hint="eastAsia"/>
        </w:rPr>
      </w:pPr>
    </w:p>
    <w:p w14:paraId="184A6D36">
      <w:pPr>
        <w:rPr>
          <w:rFonts w:hint="eastAsia"/>
        </w:rPr>
      </w:pPr>
    </w:p>
    <w:p w14:paraId="19E54799">
      <w:pPr>
        <w:rPr>
          <w:rFonts w:hint="eastAsia"/>
        </w:rPr>
      </w:pPr>
    </w:p>
    <w:p w14:paraId="7CFD6B59">
      <w:pPr>
        <w:keepNext/>
        <w:keepLines/>
        <w:widowControl w:val="0"/>
        <w:bidi w:val="0"/>
        <w:spacing w:line="360" w:lineRule="auto"/>
        <w:jc w:val="center"/>
        <w:outlineLvl w:val="9"/>
        <w:rPr>
          <w:rFonts w:hint="eastAsia" w:ascii="Arial" w:hAnsi="Arial" w:cs="Times New Roman" w:eastAsiaTheme="minorEastAsia"/>
          <w:b/>
          <w:bCs/>
          <w:kern w:val="1"/>
          <w:sz w:val="24"/>
          <w:szCs w:val="32"/>
          <w:lang w:val="en-US" w:eastAsia="zh-CN" w:bidi="ar-SA"/>
        </w:rPr>
      </w:pPr>
    </w:p>
    <w:p w14:paraId="0DD47AE5">
      <w:pPr>
        <w:pStyle w:val="3"/>
        <w:bidi w:val="0"/>
        <w:jc w:val="center"/>
        <w:outlineLvl w:val="0"/>
        <w:rPr>
          <w:rFonts w:hint="eastAsia"/>
        </w:rPr>
      </w:pPr>
      <w:bookmarkStart w:id="181" w:name="_Toc2252"/>
      <w:bookmarkStart w:id="182" w:name="_Toc7316"/>
      <w:bookmarkStart w:id="183" w:name="_Toc7668"/>
      <w:r>
        <w:rPr>
          <w:rFonts w:hint="eastAsia"/>
        </w:rPr>
        <w:t>一、磋商响应声明</w:t>
      </w:r>
      <w:bookmarkEnd w:id="177"/>
      <w:bookmarkEnd w:id="181"/>
      <w:bookmarkEnd w:id="182"/>
      <w:bookmarkEnd w:id="183"/>
    </w:p>
    <w:p w14:paraId="61DFC335">
      <w:pPr>
        <w:adjustRightInd w:val="0"/>
        <w:snapToGrid w:val="0"/>
        <w:spacing w:line="360" w:lineRule="auto"/>
        <w:rPr>
          <w:rFonts w:hint="eastAsia" w:ascii="宋体" w:hAnsi="宋体"/>
          <w:color w:val="auto"/>
          <w:szCs w:val="21"/>
        </w:rPr>
      </w:pPr>
      <w:r>
        <w:rPr>
          <w:rFonts w:hint="eastAsia" w:ascii="宋体" w:hAnsi="宋体"/>
          <w:color w:val="auto"/>
          <w:szCs w:val="21"/>
        </w:rPr>
        <w:t>致</w:t>
      </w:r>
      <w:r>
        <w:rPr>
          <w:rFonts w:hint="eastAsia" w:ascii="宋体" w:hAnsi="宋体"/>
          <w:color w:val="auto"/>
          <w:szCs w:val="21"/>
          <w:u w:val="single"/>
          <w:lang w:val="en-US" w:eastAsia="zh-CN"/>
        </w:rPr>
        <w:t xml:space="preserve">        </w:t>
      </w:r>
      <w:r>
        <w:rPr>
          <w:rFonts w:hint="eastAsia" w:ascii="宋体" w:hAnsi="宋体"/>
          <w:color w:val="auto"/>
          <w:szCs w:val="21"/>
        </w:rPr>
        <w:t>(采购人或采购代理机构)：</w:t>
      </w:r>
    </w:p>
    <w:p w14:paraId="473B0C3E">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我方已仔细研究了</w:t>
      </w:r>
      <w:r>
        <w:rPr>
          <w:rFonts w:hint="eastAsia" w:ascii="宋体" w:hAnsi="宋体"/>
          <w:color w:val="auto"/>
          <w:szCs w:val="21"/>
          <w:u w:val="single"/>
          <w:lang w:val="en-US" w:eastAsia="zh-CN"/>
        </w:rPr>
        <w:t xml:space="preserve">        </w:t>
      </w:r>
      <w:r>
        <w:rPr>
          <w:rFonts w:hint="eastAsia" w:ascii="宋体" w:hAnsi="宋体"/>
          <w:color w:val="auto"/>
          <w:szCs w:val="21"/>
          <w:u w:val="single"/>
        </w:rPr>
        <w:t>(</w:t>
      </w:r>
      <w:r>
        <w:rPr>
          <w:rFonts w:hint="eastAsia" w:ascii="宋体" w:hAnsi="宋体"/>
          <w:color w:val="auto"/>
          <w:szCs w:val="21"/>
        </w:rPr>
        <w:t>项目名称)的竞争性磋商文件</w:t>
      </w:r>
      <w:r>
        <w:rPr>
          <w:rFonts w:hint="eastAsia" w:ascii="宋体" w:hAnsi="宋体"/>
          <w:color w:val="auto"/>
          <w:szCs w:val="21"/>
          <w:u w:val="single"/>
          <w:lang w:val="en-US" w:eastAsia="zh-CN"/>
        </w:rPr>
        <w:t xml:space="preserve">        </w:t>
      </w:r>
      <w:r>
        <w:rPr>
          <w:rFonts w:hint="eastAsia" w:ascii="宋体" w:hAnsi="宋体"/>
          <w:color w:val="auto"/>
          <w:szCs w:val="21"/>
          <w:u w:val="single"/>
        </w:rPr>
        <w:t>（</w:t>
      </w:r>
      <w:r>
        <w:rPr>
          <w:rFonts w:hint="eastAsia" w:ascii="宋体" w:hAnsi="宋体"/>
          <w:color w:val="auto"/>
          <w:szCs w:val="21"/>
          <w:u w:val="single"/>
          <w:lang w:val="en-US" w:eastAsia="zh-CN"/>
        </w:rPr>
        <w:t>采购计划编号、采购项目编号、</w:t>
      </w:r>
      <w:r>
        <w:rPr>
          <w:rFonts w:hint="eastAsia" w:ascii="宋体" w:hAnsi="宋体" w:cs="宋体"/>
          <w:color w:val="000000" w:themeColor="text1"/>
          <w:szCs w:val="21"/>
          <w:u w:val="single"/>
          <w:lang w:eastAsia="zh-CN"/>
          <w14:textFill>
            <w14:solidFill>
              <w14:schemeClr w14:val="tx1"/>
            </w14:solidFill>
          </w14:textFill>
        </w:rPr>
        <w:t>委托代理编号</w:t>
      </w:r>
      <w:r>
        <w:rPr>
          <w:rFonts w:hint="eastAsia" w:ascii="宋体" w:hAnsi="宋体"/>
          <w:color w:val="auto"/>
          <w:szCs w:val="21"/>
        </w:rPr>
        <w:t>）的全部内容，</w:t>
      </w:r>
      <w:r>
        <w:rPr>
          <w:rFonts w:hint="eastAsia" w:hAnsi="宋体"/>
          <w:color w:val="auto"/>
          <w:szCs w:val="21"/>
        </w:rPr>
        <w:t>知悉参加竞争性磋商的风险，我方承诺接受磋商文件的全部条款且无任何异议。</w:t>
      </w:r>
    </w:p>
    <w:p w14:paraId="7FFB9B33">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一、我方同意在磋商文件中规定的提交首次响应文件截止时间起</w:t>
      </w:r>
      <w:r>
        <w:rPr>
          <w:rFonts w:hint="eastAsia" w:ascii="宋体" w:hAnsi="宋体"/>
          <w:color w:val="auto"/>
          <w:szCs w:val="21"/>
          <w:u w:val="single"/>
          <w:lang w:val="en-US" w:eastAsia="zh-CN"/>
        </w:rPr>
        <w:t xml:space="preserve">        </w:t>
      </w:r>
      <w:r>
        <w:rPr>
          <w:rFonts w:hint="eastAsia" w:hAnsi="宋体"/>
          <w:color w:val="auto"/>
          <w:sz w:val="21"/>
        </w:rPr>
        <w:t>日内(响应文件有效期)遵守本响应文件中的承诺且在此期限期满之前均具有法律约束力。</w:t>
      </w:r>
    </w:p>
    <w:p w14:paraId="7667F50B">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二、我方提交响应文件正本一份和副本一式</w:t>
      </w:r>
      <w:r>
        <w:rPr>
          <w:rFonts w:hint="eastAsia" w:ascii="宋体" w:hAnsi="宋体"/>
          <w:color w:val="auto"/>
          <w:szCs w:val="21"/>
          <w:u w:val="single"/>
          <w:lang w:val="en-US" w:eastAsia="zh-CN"/>
        </w:rPr>
        <w:t xml:space="preserve">        </w:t>
      </w:r>
      <w:r>
        <w:rPr>
          <w:rFonts w:hint="eastAsia" w:hAnsi="宋体"/>
          <w:color w:val="auto"/>
          <w:sz w:val="21"/>
        </w:rPr>
        <w:t>份</w:t>
      </w:r>
      <w:r>
        <w:rPr>
          <w:rFonts w:hint="eastAsia" w:hAnsi="宋体"/>
          <w:color w:val="auto"/>
          <w:sz w:val="21"/>
          <w:lang w:eastAsia="zh-CN"/>
        </w:rPr>
        <w:t>、</w:t>
      </w:r>
      <w:r>
        <w:rPr>
          <w:rFonts w:hint="eastAsia" w:hAnsi="宋体"/>
          <w:color w:val="auto"/>
          <w:sz w:val="21"/>
          <w:highlight w:val="none"/>
          <w:lang w:eastAsia="zh-CN"/>
        </w:rPr>
        <w:t>响应文件电子版</w:t>
      </w:r>
      <w:r>
        <w:rPr>
          <w:rFonts w:hint="eastAsia" w:ascii="宋体" w:hAnsi="宋体"/>
          <w:color w:val="auto"/>
          <w:szCs w:val="21"/>
          <w:u w:val="single"/>
          <w:lang w:val="en-US" w:eastAsia="zh-CN"/>
        </w:rPr>
        <w:t xml:space="preserve">        </w:t>
      </w:r>
      <w:r>
        <w:rPr>
          <w:rFonts w:hint="eastAsia" w:hAnsi="宋体"/>
          <w:color w:val="auto"/>
          <w:sz w:val="21"/>
          <w:highlight w:val="none"/>
          <w:u w:val="none"/>
          <w:lang w:val="en-US" w:eastAsia="zh-CN"/>
        </w:rPr>
        <w:t>份，</w:t>
      </w:r>
      <w:r>
        <w:rPr>
          <w:rFonts w:hint="eastAsia" w:hAnsi="宋体"/>
          <w:color w:val="auto"/>
          <w:sz w:val="21"/>
        </w:rPr>
        <w:t>并保证响应文件提供的数据和资料全部内容真实、合法、准确和完整，我们对此负责，并愿承担由此引起的法律责任。</w:t>
      </w:r>
    </w:p>
    <w:p w14:paraId="21DB03AF">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三、我方愿意向贵方提供任何与本项采购有关的数据、情况和技术资料。若贵方需要，我方愿意提供我方作出的一切承诺的证明资料。</w:t>
      </w:r>
    </w:p>
    <w:p w14:paraId="58DEF2DE">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四、我方愿意按磋商文件规定和磋商小组要求重新提交响应文件和最后报价。</w:t>
      </w:r>
    </w:p>
    <w:p w14:paraId="53968FF3">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五、我方承诺遵守《中华人民共和国政府采购法》的有关规定，保证在获得成交资格后，按照磋商文件确定的事项签订政府采购合同，履行双方所签订的合同，并承担合同规定的责任和义务。</w:t>
      </w:r>
    </w:p>
    <w:p w14:paraId="198200C4">
      <w:pPr>
        <w:pStyle w:val="12"/>
        <w:adjustRightInd w:val="0"/>
        <w:snapToGrid w:val="0"/>
        <w:spacing w:line="360" w:lineRule="auto"/>
        <w:ind w:firstLine="420" w:firstLineChars="200"/>
        <w:rPr>
          <w:rFonts w:hint="eastAsia" w:hAnsi="宋体" w:eastAsiaTheme="minorEastAsia"/>
          <w:color w:val="auto"/>
          <w:sz w:val="21"/>
          <w:lang w:eastAsia="zh-CN"/>
        </w:rPr>
      </w:pPr>
      <w:r>
        <w:rPr>
          <w:rFonts w:hint="eastAsia" w:hAnsi="宋体"/>
          <w:color w:val="auto"/>
          <w:sz w:val="21"/>
        </w:rPr>
        <w:t>六、我方在此声明：</w:t>
      </w:r>
    </w:p>
    <w:p w14:paraId="0DF69D20">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（一）我方与采购人或采购代理机构不存在隶属关系或者其他利害关系。</w:t>
      </w:r>
    </w:p>
    <w:p w14:paraId="7EB95A0C">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（二）我方与参加本项目的其他供应商不存在直接控股、管理关系，或者与其他供应商法定代表人（或者负责人）为同一人。</w:t>
      </w:r>
    </w:p>
    <w:p w14:paraId="5FE37B3E">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（三）我方未为本项目前期准备提供设计或咨询服务。</w:t>
      </w:r>
    </w:p>
    <w:p w14:paraId="11B24F2A">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（四）我方承诺（承诺期：成立三年以上的，为提交首次响应文件截止时间前三年内；成立不足三年的，为实际时间）：</w:t>
      </w:r>
    </w:p>
    <w:p w14:paraId="4B730137">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1、我方依法缴纳了各项税费及各项社会保障资金，没有偷税、漏税及欠缴行为。</w:t>
      </w:r>
    </w:p>
    <w:p w14:paraId="73748CA0">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2、我方在经营活动中没有存在下列重大违法记录：</w:t>
      </w:r>
    </w:p>
    <w:p w14:paraId="7ACC4A01">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(1)受到刑事处罚；</w:t>
      </w:r>
    </w:p>
    <w:p w14:paraId="37CCA9F3">
      <w:pPr>
        <w:pStyle w:val="12"/>
        <w:adjustRightInd w:val="0"/>
        <w:snapToGrid w:val="0"/>
        <w:spacing w:line="360" w:lineRule="auto"/>
        <w:ind w:firstLine="420" w:firstLineChars="200"/>
        <w:rPr>
          <w:rFonts w:hint="eastAsia" w:hAnsi="宋体"/>
          <w:color w:val="auto"/>
          <w:sz w:val="21"/>
        </w:rPr>
      </w:pPr>
      <w:r>
        <w:rPr>
          <w:rFonts w:hint="eastAsia" w:hAnsi="宋体"/>
          <w:color w:val="auto"/>
          <w:sz w:val="21"/>
        </w:rPr>
        <w:t>(2)受到三万元以上的罚款、责令停产停业、在一至三年内禁止参加政府采购活动、暂扣或者吊销许可证、暂扣或者吊销执照的行政处罚。</w:t>
      </w:r>
    </w:p>
    <w:p w14:paraId="502732CF">
      <w:pPr>
        <w:pStyle w:val="12"/>
        <w:adjustRightInd w:val="0"/>
        <w:snapToGrid w:val="0"/>
        <w:spacing w:line="360" w:lineRule="exact"/>
        <w:ind w:firstLine="420" w:firstLineChars="200"/>
        <w:rPr>
          <w:rFonts w:hint="eastAsia" w:hAnsi="宋体"/>
          <w:color w:val="auto"/>
        </w:rPr>
      </w:pPr>
    </w:p>
    <w:p w14:paraId="10D19240">
      <w:pPr>
        <w:adjustRightInd w:val="0"/>
        <w:snapToGrid w:val="0"/>
        <w:spacing w:line="360" w:lineRule="exact"/>
        <w:ind w:right="23" w:rightChars="11"/>
        <w:rPr>
          <w:rFonts w:hint="eastAsia" w:ascii="宋体" w:hAnsi="宋体"/>
          <w:color w:val="auto"/>
          <w:szCs w:val="21"/>
        </w:rPr>
      </w:pPr>
      <w:r>
        <w:rPr>
          <w:rFonts w:hint="eastAsia" w:ascii="宋体" w:hAnsi="宋体"/>
          <w:bCs/>
          <w:color w:val="auto"/>
          <w:szCs w:val="21"/>
        </w:rPr>
        <w:t>附件1：</w:t>
      </w:r>
      <w:r>
        <w:rPr>
          <w:rFonts w:hint="eastAsia" w:ascii="宋体" w:hAnsi="宋体"/>
          <w:color w:val="auto"/>
          <w:szCs w:val="21"/>
        </w:rPr>
        <w:t>法定代表人身份证明</w:t>
      </w:r>
    </w:p>
    <w:p w14:paraId="5C9BE232">
      <w:pPr>
        <w:adjustRightInd w:val="0"/>
        <w:snapToGrid w:val="0"/>
        <w:spacing w:line="360" w:lineRule="exact"/>
        <w:ind w:right="23" w:rightChars="11"/>
        <w:rPr>
          <w:rFonts w:hint="eastAsia" w:ascii="宋体" w:hAnsi="宋体"/>
          <w:color w:val="auto"/>
          <w:szCs w:val="21"/>
        </w:rPr>
      </w:pPr>
      <w:r>
        <w:rPr>
          <w:rFonts w:hint="eastAsia" w:ascii="宋体" w:hAnsi="宋体"/>
          <w:bCs/>
          <w:color w:val="auto"/>
          <w:szCs w:val="21"/>
        </w:rPr>
        <w:t>附件2</w:t>
      </w:r>
      <w:r>
        <w:rPr>
          <w:rFonts w:hint="eastAsia" w:ascii="宋体" w:hAnsi="宋体"/>
          <w:color w:val="auto"/>
          <w:szCs w:val="21"/>
        </w:rPr>
        <w:t>：法定代表人授权</w:t>
      </w:r>
      <w:r>
        <w:rPr>
          <w:rFonts w:hint="eastAsia" w:ascii="宋体" w:hAnsi="宋体"/>
          <w:color w:val="auto"/>
          <w:szCs w:val="21"/>
          <w:lang w:eastAsia="zh-CN"/>
        </w:rPr>
        <w:t>委托</w:t>
      </w:r>
      <w:r>
        <w:rPr>
          <w:rFonts w:hint="eastAsia" w:ascii="宋体" w:hAnsi="宋体"/>
          <w:color w:val="auto"/>
          <w:szCs w:val="21"/>
        </w:rPr>
        <w:t>书</w:t>
      </w:r>
    </w:p>
    <w:p w14:paraId="2C7E8016">
      <w:pPr>
        <w:pStyle w:val="12"/>
        <w:adjustRightInd w:val="0"/>
        <w:snapToGrid w:val="0"/>
        <w:spacing w:line="360" w:lineRule="exact"/>
        <w:ind w:right="23" w:rightChars="11"/>
        <w:rPr>
          <w:rFonts w:hint="eastAsia" w:hAnsi="宋体"/>
          <w:color w:val="auto"/>
          <w:sz w:val="21"/>
        </w:rPr>
      </w:pPr>
    </w:p>
    <w:p w14:paraId="34AF59D7">
      <w:pPr>
        <w:pStyle w:val="12"/>
        <w:adjustRightInd w:val="0"/>
        <w:snapToGrid w:val="0"/>
        <w:spacing w:line="360" w:lineRule="exact"/>
        <w:ind w:right="23" w:rightChars="11"/>
        <w:rPr>
          <w:rFonts w:hint="eastAsia" w:hAnsi="宋体"/>
          <w:color w:val="auto"/>
          <w:sz w:val="21"/>
        </w:rPr>
      </w:pPr>
      <w:r>
        <w:rPr>
          <w:rFonts w:hint="eastAsia" w:hAnsi="宋体"/>
        </w:rPr>
        <w:t>供应商名称</w:t>
      </w:r>
      <w:r>
        <w:rPr>
          <w:rFonts w:hint="eastAsia" w:hAnsi="宋体"/>
          <w:color w:val="auto"/>
          <w:sz w:val="21"/>
        </w:rPr>
        <w:t>(</w:t>
      </w:r>
      <w:r>
        <w:rPr>
          <w:rFonts w:hint="eastAsia"/>
          <w:color w:val="auto"/>
          <w:sz w:val="21"/>
          <w:lang w:eastAsia="zh-CN"/>
        </w:rPr>
        <w:t>盖单位公章</w:t>
      </w:r>
      <w:r>
        <w:rPr>
          <w:rFonts w:hint="eastAsia" w:hAnsi="宋体"/>
          <w:color w:val="auto"/>
          <w:sz w:val="21"/>
        </w:rPr>
        <w:t>)：</w:t>
      </w:r>
    </w:p>
    <w:p w14:paraId="289CEF92">
      <w:pPr>
        <w:adjustRightInd w:val="0"/>
        <w:snapToGrid w:val="0"/>
        <w:spacing w:line="360" w:lineRule="exact"/>
        <w:ind w:right="23" w:rightChars="11"/>
        <w:rPr>
          <w:rFonts w:hint="eastAsia" w:ascii="宋体" w:hAnsi="宋体" w:eastAsiaTheme="minorEastAsia"/>
          <w:color w:val="auto"/>
          <w:szCs w:val="21"/>
          <w:lang w:eastAsia="zh-CN"/>
        </w:rPr>
      </w:pPr>
      <w:r>
        <w:rPr>
          <w:rFonts w:hint="eastAsia" w:ascii="宋体" w:hAnsi="宋体"/>
          <w:color w:val="auto"/>
          <w:szCs w:val="21"/>
        </w:rPr>
        <w:t>法定代表人或其委托代理人(签字)：</w:t>
      </w:r>
    </w:p>
    <w:p w14:paraId="42160CDE">
      <w:pPr>
        <w:adjustRightInd w:val="0"/>
        <w:snapToGrid w:val="0"/>
        <w:spacing w:line="360" w:lineRule="exact"/>
        <w:ind w:right="23" w:rightChars="11"/>
        <w:rPr>
          <w:rFonts w:hint="eastAsia" w:ascii="宋体" w:hAnsi="宋体"/>
          <w:color w:val="auto"/>
          <w:szCs w:val="21"/>
        </w:rPr>
      </w:pPr>
      <w:r>
        <w:rPr>
          <w:rFonts w:hint="eastAsia" w:ascii="宋体" w:hAnsi="宋体"/>
          <w:color w:val="auto"/>
          <w:szCs w:val="21"/>
        </w:rPr>
        <w:t>日期：年月日</w:t>
      </w:r>
    </w:p>
    <w:p w14:paraId="371B60D4">
      <w:pPr>
        <w:pStyle w:val="3"/>
        <w:bidi w:val="0"/>
        <w:jc w:val="left"/>
        <w:outlineLvl w:val="0"/>
        <w:rPr>
          <w:rFonts w:hint="eastAsia"/>
        </w:rPr>
      </w:pPr>
      <w:r>
        <w:rPr>
          <w:rFonts w:hint="eastAsia" w:ascii="黑体" w:hAnsi="华文中宋" w:eastAsia="黑体"/>
          <w:bCs/>
          <w:color w:val="auto"/>
        </w:rPr>
        <w:br w:type="page"/>
      </w:r>
      <w:bookmarkStart w:id="184" w:name="_Toc21272"/>
      <w:bookmarkStart w:id="185" w:name="_Toc9737"/>
      <w:bookmarkStart w:id="186" w:name="_Toc18225"/>
      <w:bookmarkStart w:id="187" w:name="_Toc2952"/>
      <w:r>
        <w:rPr>
          <w:rFonts w:hint="eastAsia"/>
        </w:rPr>
        <w:t>附件1</w:t>
      </w:r>
      <w:r>
        <w:rPr>
          <w:rFonts w:hint="eastAsia"/>
          <w:lang w:val="en-US" w:eastAsia="zh-CN"/>
        </w:rPr>
        <w:t>-1</w:t>
      </w:r>
      <w:r>
        <w:rPr>
          <w:rFonts w:hint="eastAsia"/>
        </w:rPr>
        <w:t>：</w:t>
      </w:r>
      <w:bookmarkEnd w:id="184"/>
      <w:bookmarkEnd w:id="185"/>
      <w:bookmarkEnd w:id="186"/>
      <w:bookmarkEnd w:id="187"/>
    </w:p>
    <w:p w14:paraId="7D7BB15F">
      <w:pPr>
        <w:pStyle w:val="3"/>
        <w:bidi w:val="0"/>
        <w:jc w:val="center"/>
        <w:outlineLvl w:val="9"/>
        <w:rPr>
          <w:rFonts w:hint="eastAsia"/>
        </w:rPr>
      </w:pPr>
      <w:bookmarkStart w:id="188" w:name="_Toc9570"/>
      <w:r>
        <w:rPr>
          <w:rFonts w:hint="eastAsia"/>
        </w:rPr>
        <w:t>法定代表人身份证明</w:t>
      </w:r>
      <w:bookmarkEnd w:id="188"/>
    </w:p>
    <w:p w14:paraId="3FC455C0">
      <w:pPr>
        <w:autoSpaceDE w:val="0"/>
        <w:autoSpaceDN w:val="0"/>
        <w:adjustRightInd w:val="0"/>
        <w:snapToGrid w:val="0"/>
        <w:spacing w:before="157" w:beforeLines="50" w:line="360" w:lineRule="auto"/>
        <w:ind w:right="23" w:rightChars="11"/>
        <w:jc w:val="left"/>
        <w:rPr>
          <w:rFonts w:hint="eastAsia" w:ascii="宋体" w:hAnsi="宋体" w:cs="宋体" w:eastAsiaTheme="minorEastAsia"/>
          <w:color w:val="auto"/>
          <w:kern w:val="0"/>
          <w:szCs w:val="21"/>
          <w:lang w:eastAsia="zh-CN"/>
        </w:rPr>
      </w:pPr>
      <w:r>
        <w:rPr>
          <w:rFonts w:hint="eastAsia" w:ascii="宋体" w:hAnsi="宋体"/>
          <w:color w:val="auto"/>
          <w:szCs w:val="21"/>
        </w:rPr>
        <w:t>供应商</w:t>
      </w:r>
      <w:r>
        <w:rPr>
          <w:rFonts w:hint="eastAsia" w:ascii="宋体" w:hAnsi="宋体" w:cs="宋体"/>
          <w:color w:val="auto"/>
          <w:kern w:val="0"/>
          <w:szCs w:val="21"/>
        </w:rPr>
        <w:t>名称：</w:t>
      </w:r>
    </w:p>
    <w:p w14:paraId="001F49CC">
      <w:pPr>
        <w:autoSpaceDE w:val="0"/>
        <w:autoSpaceDN w:val="0"/>
        <w:adjustRightInd w:val="0"/>
        <w:snapToGrid w:val="0"/>
        <w:spacing w:before="157" w:beforeLines="50" w:line="360" w:lineRule="auto"/>
        <w:ind w:right="23" w:rightChars="11"/>
        <w:jc w:val="left"/>
        <w:rPr>
          <w:rFonts w:hint="eastAsia" w:ascii="宋体" w:hAnsi="宋体" w:cs="宋体" w:eastAsiaTheme="minorEastAsia"/>
          <w:color w:val="auto"/>
          <w:kern w:val="0"/>
          <w:szCs w:val="21"/>
          <w:lang w:eastAsia="zh-CN"/>
        </w:rPr>
      </w:pPr>
      <w:r>
        <w:rPr>
          <w:rFonts w:hint="eastAsia" w:ascii="宋体" w:hAnsi="宋体" w:cs="宋体"/>
          <w:color w:val="auto"/>
          <w:kern w:val="0"/>
          <w:szCs w:val="21"/>
        </w:rPr>
        <w:t>注册号：</w:t>
      </w:r>
    </w:p>
    <w:p w14:paraId="3E43ED16">
      <w:pPr>
        <w:autoSpaceDE w:val="0"/>
        <w:autoSpaceDN w:val="0"/>
        <w:adjustRightInd w:val="0"/>
        <w:snapToGrid w:val="0"/>
        <w:spacing w:before="157" w:beforeLines="50" w:line="360" w:lineRule="auto"/>
        <w:ind w:right="23" w:rightChars="11"/>
        <w:jc w:val="left"/>
        <w:rPr>
          <w:rFonts w:hint="eastAsia" w:ascii="宋体" w:hAnsi="宋体" w:cs="宋体" w:eastAsiaTheme="minorEastAsia"/>
          <w:color w:val="auto"/>
          <w:kern w:val="0"/>
          <w:szCs w:val="21"/>
          <w:lang w:eastAsia="zh-CN"/>
        </w:rPr>
      </w:pPr>
      <w:r>
        <w:rPr>
          <w:rFonts w:hint="eastAsia" w:ascii="宋体" w:hAnsi="宋体" w:cs="宋体"/>
          <w:color w:val="auto"/>
          <w:kern w:val="0"/>
          <w:szCs w:val="21"/>
        </w:rPr>
        <w:t>注册地址：</w:t>
      </w:r>
    </w:p>
    <w:p w14:paraId="0B72F186">
      <w:pPr>
        <w:autoSpaceDE w:val="0"/>
        <w:autoSpaceDN w:val="0"/>
        <w:adjustRightInd w:val="0"/>
        <w:snapToGrid w:val="0"/>
        <w:spacing w:before="157" w:beforeLines="50" w:line="360" w:lineRule="auto"/>
        <w:ind w:right="23" w:rightChars="11"/>
        <w:jc w:val="left"/>
        <w:rPr>
          <w:rFonts w:hint="eastAsia" w:ascii="宋体" w:hAnsi="宋体" w:cs="宋体"/>
          <w:color w:val="auto"/>
          <w:kern w:val="0"/>
          <w:szCs w:val="21"/>
        </w:rPr>
      </w:pPr>
      <w:r>
        <w:rPr>
          <w:rFonts w:hint="eastAsia" w:ascii="宋体" w:hAnsi="宋体" w:cs="宋体"/>
          <w:color w:val="auto"/>
          <w:kern w:val="0"/>
          <w:szCs w:val="21"/>
        </w:rPr>
        <w:t>成立时间：年月日</w:t>
      </w:r>
    </w:p>
    <w:p w14:paraId="71506A87">
      <w:pPr>
        <w:autoSpaceDE w:val="0"/>
        <w:autoSpaceDN w:val="0"/>
        <w:adjustRightInd w:val="0"/>
        <w:snapToGrid w:val="0"/>
        <w:spacing w:before="157" w:beforeLines="50" w:line="360" w:lineRule="auto"/>
        <w:ind w:right="23" w:rightChars="11"/>
        <w:jc w:val="left"/>
        <w:rPr>
          <w:rFonts w:hint="eastAsia" w:ascii="宋体" w:hAnsi="宋体" w:cs="宋体" w:eastAsiaTheme="minorEastAsia"/>
          <w:color w:val="auto"/>
          <w:kern w:val="0"/>
          <w:szCs w:val="21"/>
          <w:u w:val="single"/>
          <w:lang w:eastAsia="zh-CN"/>
        </w:rPr>
      </w:pPr>
      <w:r>
        <w:rPr>
          <w:rFonts w:hint="eastAsia" w:ascii="宋体" w:hAnsi="宋体" w:cs="宋体"/>
          <w:color w:val="auto"/>
          <w:kern w:val="0"/>
          <w:szCs w:val="21"/>
        </w:rPr>
        <w:t>经营期限：</w:t>
      </w:r>
    </w:p>
    <w:p w14:paraId="2EB07BCE">
      <w:pPr>
        <w:autoSpaceDE w:val="0"/>
        <w:autoSpaceDN w:val="0"/>
        <w:adjustRightInd w:val="0"/>
        <w:snapToGrid w:val="0"/>
        <w:spacing w:before="157" w:beforeLines="50" w:line="360" w:lineRule="auto"/>
        <w:ind w:right="23" w:rightChars="11"/>
        <w:jc w:val="left"/>
        <w:rPr>
          <w:rFonts w:hint="eastAsia" w:ascii="宋体" w:hAnsi="宋体" w:cs="宋体" w:eastAsiaTheme="minorEastAsia"/>
          <w:color w:val="auto"/>
          <w:kern w:val="0"/>
          <w:szCs w:val="21"/>
          <w:u w:val="single"/>
          <w:lang w:eastAsia="zh-CN"/>
        </w:rPr>
      </w:pPr>
      <w:r>
        <w:rPr>
          <w:rFonts w:hint="eastAsia" w:ascii="宋体" w:hAnsi="宋体" w:cs="宋体"/>
          <w:color w:val="auto"/>
          <w:kern w:val="0"/>
          <w:szCs w:val="21"/>
        </w:rPr>
        <w:t>经营范围：主营：；兼营：</w:t>
      </w:r>
    </w:p>
    <w:p w14:paraId="10994834">
      <w:pPr>
        <w:autoSpaceDE w:val="0"/>
        <w:autoSpaceDN w:val="0"/>
        <w:adjustRightInd w:val="0"/>
        <w:snapToGrid w:val="0"/>
        <w:spacing w:before="157" w:beforeLines="50" w:line="360" w:lineRule="auto"/>
        <w:ind w:right="23" w:rightChars="11"/>
        <w:jc w:val="left"/>
        <w:rPr>
          <w:rFonts w:hint="eastAsia" w:ascii="宋体" w:hAnsi="宋体" w:cs="宋体"/>
          <w:color w:val="auto"/>
          <w:kern w:val="0"/>
          <w:szCs w:val="21"/>
        </w:rPr>
      </w:pPr>
      <w:r>
        <w:rPr>
          <w:rFonts w:hint="eastAsia" w:ascii="宋体" w:hAnsi="宋体" w:cs="宋体"/>
          <w:color w:val="auto"/>
          <w:kern w:val="0"/>
          <w:szCs w:val="21"/>
        </w:rPr>
        <w:t>姓名：性别：年龄：系（</w:t>
      </w:r>
      <w:r>
        <w:rPr>
          <w:rFonts w:hint="eastAsia" w:ascii="宋体" w:hAnsi="宋体"/>
          <w:color w:val="auto"/>
          <w:szCs w:val="21"/>
        </w:rPr>
        <w:t>供应商</w:t>
      </w:r>
      <w:r>
        <w:rPr>
          <w:rFonts w:hint="eastAsia" w:ascii="宋体" w:hAnsi="宋体" w:cs="宋体"/>
          <w:color w:val="auto"/>
          <w:kern w:val="0"/>
          <w:szCs w:val="21"/>
        </w:rPr>
        <w:t>名称）的法定代表人。</w:t>
      </w:r>
    </w:p>
    <w:p w14:paraId="18464932">
      <w:pPr>
        <w:autoSpaceDE w:val="0"/>
        <w:autoSpaceDN w:val="0"/>
        <w:adjustRightInd w:val="0"/>
        <w:snapToGrid w:val="0"/>
        <w:spacing w:before="157" w:beforeLines="50" w:line="360" w:lineRule="auto"/>
        <w:ind w:right="23" w:rightChars="11"/>
        <w:jc w:val="left"/>
        <w:rPr>
          <w:rFonts w:hint="eastAsia" w:ascii="宋体" w:hAnsi="宋体" w:cs="宋体"/>
          <w:color w:val="auto"/>
          <w:kern w:val="0"/>
          <w:szCs w:val="21"/>
        </w:rPr>
      </w:pPr>
      <w:r>
        <w:rPr>
          <w:rFonts w:hint="eastAsia" w:ascii="宋体" w:hAnsi="宋体" w:cs="宋体"/>
          <w:color w:val="auto"/>
          <w:kern w:val="0"/>
          <w:szCs w:val="21"/>
        </w:rPr>
        <w:t>特此证明。</w:t>
      </w:r>
    </w:p>
    <w:p w14:paraId="084C7F5D">
      <w:pPr>
        <w:autoSpaceDE w:val="0"/>
        <w:autoSpaceDN w:val="0"/>
        <w:adjustRightInd w:val="0"/>
        <w:snapToGrid w:val="0"/>
        <w:spacing w:before="157" w:beforeLines="50" w:line="360" w:lineRule="auto"/>
        <w:ind w:right="23" w:rightChars="11"/>
        <w:jc w:val="left"/>
        <w:outlineLvl w:val="0"/>
        <w:rPr>
          <w:rFonts w:hint="eastAsia" w:ascii="宋体" w:hAnsi="宋体" w:cs="宋体"/>
          <w:color w:val="auto"/>
          <w:kern w:val="0"/>
          <w:szCs w:val="21"/>
        </w:rPr>
      </w:pPr>
      <w:bookmarkStart w:id="189" w:name="_Toc4970"/>
      <w:bookmarkStart w:id="190" w:name="_Toc1642"/>
      <w:bookmarkStart w:id="191" w:name="_Toc5983"/>
      <w:r>
        <w:rPr>
          <w:rFonts w:hint="eastAsia" w:ascii="宋体" w:hAnsi="宋体"/>
          <w:color w:val="auto"/>
          <w:szCs w:val="21"/>
        </w:rPr>
        <w:t>附：法定代表人身份证复印件</w:t>
      </w:r>
      <w:bookmarkEnd w:id="189"/>
      <w:bookmarkEnd w:id="190"/>
      <w:bookmarkEnd w:id="191"/>
    </w:p>
    <w:tbl>
      <w:tblPr>
        <w:tblStyle w:val="2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5E5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6DDA08B3">
            <w:pPr>
              <w:adjustRightInd w:val="0"/>
              <w:snapToGrid w:val="0"/>
              <w:spacing w:before="156" w:beforeLines="50" w:line="360" w:lineRule="auto"/>
              <w:jc w:val="center"/>
              <w:outlineLvl w:val="0"/>
              <w:rPr>
                <w:rFonts w:ascii="宋体" w:hAnsi="宋体"/>
                <w:color w:val="000000"/>
                <w:szCs w:val="21"/>
              </w:rPr>
            </w:pPr>
            <w:bookmarkStart w:id="192" w:name="_Toc420"/>
            <w:bookmarkStart w:id="193" w:name="_Toc22771"/>
            <w:bookmarkStart w:id="194" w:name="_Toc18221"/>
            <w:r>
              <w:rPr>
                <w:rFonts w:hint="eastAsia" w:ascii="宋体" w:hAnsi="宋体"/>
                <w:color w:val="000000"/>
                <w:szCs w:val="21"/>
              </w:rPr>
              <w:t>身份证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bookmarkEnd w:id="192"/>
            <w:bookmarkEnd w:id="193"/>
            <w:bookmarkEnd w:id="194"/>
          </w:p>
        </w:tc>
        <w:tc>
          <w:tcPr>
            <w:tcW w:w="3899" w:type="dxa"/>
            <w:noWrap w:val="0"/>
            <w:vAlign w:val="center"/>
          </w:tcPr>
          <w:p w14:paraId="666FEFF8">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06F26536">
      <w:pPr>
        <w:snapToGrid w:val="0"/>
        <w:spacing w:line="480" w:lineRule="auto"/>
        <w:ind w:right="23" w:rightChars="11"/>
        <w:rPr>
          <w:rFonts w:hint="eastAsia" w:ascii="宋体" w:hAnsi="宋体"/>
          <w:color w:val="auto"/>
          <w:szCs w:val="21"/>
        </w:rPr>
      </w:pPr>
    </w:p>
    <w:p w14:paraId="3E06A204">
      <w:pPr>
        <w:snapToGrid w:val="0"/>
        <w:ind w:right="23" w:rightChars="11"/>
        <w:rPr>
          <w:rFonts w:hint="eastAsia" w:ascii="宋体" w:hAnsi="宋体"/>
          <w:color w:val="auto"/>
          <w:szCs w:val="21"/>
        </w:rPr>
      </w:pPr>
    </w:p>
    <w:p w14:paraId="3DA56D0F">
      <w:pPr>
        <w:snapToGrid w:val="0"/>
        <w:ind w:right="23" w:rightChars="11"/>
        <w:rPr>
          <w:rFonts w:hint="eastAsia" w:ascii="宋体" w:hAnsi="宋体"/>
          <w:color w:val="auto"/>
          <w:szCs w:val="21"/>
        </w:rPr>
      </w:pPr>
    </w:p>
    <w:p w14:paraId="43772DB0">
      <w:pPr>
        <w:adjustRightInd w:val="0"/>
        <w:snapToGrid w:val="0"/>
        <w:spacing w:line="360" w:lineRule="auto"/>
        <w:ind w:right="23" w:rightChars="11"/>
        <w:rPr>
          <w:rFonts w:hint="eastAsia" w:ascii="宋体" w:hAnsi="宋体"/>
          <w:color w:val="auto"/>
          <w:szCs w:val="21"/>
        </w:rPr>
      </w:pPr>
    </w:p>
    <w:p w14:paraId="502E2B24">
      <w:pPr>
        <w:adjustRightInd w:val="0"/>
        <w:snapToGrid w:val="0"/>
        <w:spacing w:line="360" w:lineRule="auto"/>
        <w:ind w:right="23" w:rightChars="11"/>
        <w:rPr>
          <w:rFonts w:hint="eastAsia" w:ascii="宋体" w:hAnsi="宋体"/>
          <w:color w:val="auto"/>
          <w:szCs w:val="21"/>
        </w:rPr>
      </w:pPr>
      <w:r>
        <w:rPr>
          <w:rFonts w:hint="eastAsia" w:hAnsi="宋体"/>
        </w:rPr>
        <w:t>供应商名称</w:t>
      </w:r>
      <w:r>
        <w:rPr>
          <w:rFonts w:hint="eastAsia" w:ascii="宋体" w:hAnsi="宋体"/>
          <w:color w:val="auto"/>
          <w:szCs w:val="21"/>
        </w:rPr>
        <w:t>（</w:t>
      </w:r>
      <w:r>
        <w:rPr>
          <w:rFonts w:hint="eastAsia" w:ascii="宋体" w:hAnsi="宋体"/>
          <w:color w:val="auto"/>
          <w:szCs w:val="21"/>
          <w:lang w:eastAsia="zh-CN"/>
        </w:rPr>
        <w:t>盖单位公章</w:t>
      </w:r>
      <w:r>
        <w:rPr>
          <w:rFonts w:hint="eastAsia" w:ascii="宋体" w:hAnsi="宋体"/>
          <w:color w:val="auto"/>
          <w:szCs w:val="21"/>
        </w:rPr>
        <w:t>）：</w:t>
      </w:r>
    </w:p>
    <w:p w14:paraId="0E0ECAED">
      <w:pPr>
        <w:adjustRightInd w:val="0"/>
        <w:snapToGrid w:val="0"/>
        <w:spacing w:line="360" w:lineRule="auto"/>
        <w:ind w:right="23" w:rightChars="11"/>
        <w:rPr>
          <w:rFonts w:hint="eastAsia" w:ascii="仿宋_GB2312" w:hAnsi="宋体" w:eastAsiaTheme="minorEastAsia"/>
          <w:color w:val="auto"/>
          <w:szCs w:val="21"/>
          <w:lang w:eastAsia="zh-CN"/>
        </w:rPr>
      </w:pPr>
      <w:r>
        <w:rPr>
          <w:rFonts w:hint="eastAsia" w:ascii="宋体" w:hAnsi="宋体"/>
          <w:color w:val="auto"/>
          <w:szCs w:val="21"/>
        </w:rPr>
        <w:t>日期：年月日</w:t>
      </w:r>
    </w:p>
    <w:p w14:paraId="5A1815E9">
      <w:pPr>
        <w:adjustRightInd w:val="0"/>
        <w:snapToGrid w:val="0"/>
        <w:spacing w:before="157" w:beforeLines="50" w:line="360" w:lineRule="auto"/>
        <w:ind w:right="23" w:rightChars="11"/>
        <w:rPr>
          <w:rFonts w:hint="eastAsia" w:ascii="仿宋_GB2312" w:hAnsi="宋体" w:eastAsia="仿宋_GB2312"/>
          <w:color w:val="auto"/>
          <w:szCs w:val="21"/>
        </w:rPr>
      </w:pPr>
    </w:p>
    <w:p w14:paraId="6A61CCB2">
      <w:pPr>
        <w:adjustRightInd w:val="0"/>
        <w:snapToGrid w:val="0"/>
        <w:spacing w:before="120" w:beforeLines="50" w:line="360" w:lineRule="auto"/>
        <w:rPr>
          <w:rFonts w:hint="eastAsia" w:ascii="宋体" w:hAnsi="宋体" w:cs="宋体"/>
          <w:bCs/>
          <w:color w:val="000000"/>
          <w:sz w:val="30"/>
          <w:szCs w:val="30"/>
        </w:rPr>
      </w:pPr>
    </w:p>
    <w:p w14:paraId="14AF3659">
      <w:pPr>
        <w:adjustRightInd w:val="0"/>
        <w:snapToGrid w:val="0"/>
        <w:spacing w:before="120" w:beforeLines="50" w:line="360" w:lineRule="auto"/>
        <w:ind w:right="420"/>
        <w:rPr>
          <w:rFonts w:hint="eastAsia" w:ascii="宋体" w:hAnsi="宋体" w:eastAsia="宋体" w:cs="宋体"/>
          <w:b/>
          <w:color w:val="000000"/>
          <w:sz w:val="28"/>
          <w:szCs w:val="28"/>
          <w:lang w:eastAsia="zh-CN"/>
        </w:rPr>
      </w:pPr>
      <w:r>
        <w:rPr>
          <w:rFonts w:hint="eastAsia" w:ascii="宋体"/>
          <w:b/>
          <w:color w:val="000000"/>
          <w:sz w:val="24"/>
        </w:rPr>
        <w:t>备注：</w:t>
      </w:r>
      <w:r>
        <w:rPr>
          <w:rFonts w:hint="eastAsia" w:ascii="宋体" w:hAnsi="宋体" w:eastAsia="宋体" w:cs="宋体"/>
          <w:b/>
          <w:color w:val="000000"/>
          <w:sz w:val="24"/>
          <w:highlight w:val="none"/>
        </w:rPr>
        <w:t>请另单独准备本法定代表人身份证明原件一份，身份验证时单独提交。未递交的视同身份验证不通过，自动放弃投标</w:t>
      </w:r>
      <w:r>
        <w:rPr>
          <w:rFonts w:hint="eastAsia" w:ascii="宋体" w:hAnsi="宋体" w:eastAsia="宋体" w:cs="宋体"/>
          <w:b/>
          <w:color w:val="000000"/>
          <w:sz w:val="24"/>
          <w:highlight w:val="none"/>
          <w:lang w:eastAsia="zh-CN"/>
        </w:rPr>
        <w:t>。</w:t>
      </w:r>
    </w:p>
    <w:p w14:paraId="2E54F0C3">
      <w:pPr>
        <w:adjustRightInd w:val="0"/>
        <w:snapToGrid w:val="0"/>
        <w:spacing w:before="157" w:beforeLines="50" w:line="360" w:lineRule="auto"/>
        <w:ind w:right="23" w:rightChars="11"/>
        <w:rPr>
          <w:rFonts w:hint="eastAsia" w:ascii="仿宋_GB2312" w:hAnsi="宋体" w:eastAsia="仿宋_GB2312"/>
          <w:color w:val="auto"/>
          <w:szCs w:val="21"/>
        </w:rPr>
      </w:pPr>
    </w:p>
    <w:p w14:paraId="35996371">
      <w:pPr>
        <w:pStyle w:val="3"/>
        <w:bidi w:val="0"/>
        <w:jc w:val="left"/>
        <w:outlineLvl w:val="0"/>
        <w:rPr>
          <w:rFonts w:hint="eastAsia"/>
        </w:rPr>
      </w:pPr>
      <w:r>
        <w:rPr>
          <w:rFonts w:hint="eastAsia" w:ascii="宋体" w:hAnsi="宋体" w:cs="宋体"/>
          <w:b/>
          <w:color w:val="auto"/>
          <w:kern w:val="0"/>
          <w:szCs w:val="21"/>
        </w:rPr>
        <w:br w:type="page"/>
      </w:r>
      <w:bookmarkStart w:id="195" w:name="_Toc26681"/>
      <w:bookmarkStart w:id="196" w:name="_Toc5797"/>
      <w:bookmarkStart w:id="197" w:name="_Toc22362"/>
      <w:bookmarkStart w:id="198" w:name="_Toc22030"/>
      <w:r>
        <w:rPr>
          <w:rFonts w:hint="eastAsia"/>
        </w:rPr>
        <w:t>附件</w:t>
      </w:r>
      <w:r>
        <w:rPr>
          <w:rFonts w:hint="eastAsia"/>
          <w:lang w:val="en-US" w:eastAsia="zh-CN"/>
        </w:rPr>
        <w:t>1-2</w:t>
      </w:r>
      <w:r>
        <w:rPr>
          <w:rFonts w:hint="eastAsia"/>
        </w:rPr>
        <w:t>：</w:t>
      </w:r>
      <w:bookmarkEnd w:id="195"/>
      <w:bookmarkEnd w:id="196"/>
      <w:bookmarkEnd w:id="197"/>
      <w:bookmarkEnd w:id="198"/>
    </w:p>
    <w:p w14:paraId="44CCCEA9">
      <w:pPr>
        <w:pStyle w:val="3"/>
        <w:bidi w:val="0"/>
        <w:jc w:val="center"/>
        <w:outlineLvl w:val="9"/>
        <w:rPr>
          <w:rFonts w:hint="eastAsia"/>
        </w:rPr>
      </w:pPr>
      <w:bookmarkStart w:id="199" w:name="_Toc27361"/>
      <w:r>
        <w:rPr>
          <w:rFonts w:hint="eastAsia"/>
        </w:rPr>
        <w:t>法定代表人授权</w:t>
      </w:r>
      <w:r>
        <w:rPr>
          <w:rFonts w:hint="eastAsia"/>
          <w:lang w:eastAsia="zh-CN"/>
        </w:rPr>
        <w:t>委托</w:t>
      </w:r>
      <w:r>
        <w:rPr>
          <w:rFonts w:hint="eastAsia"/>
        </w:rPr>
        <w:t>书</w:t>
      </w:r>
      <w:bookmarkEnd w:id="199"/>
    </w:p>
    <w:p w14:paraId="214E0090">
      <w:pPr>
        <w:autoSpaceDE w:val="0"/>
        <w:autoSpaceDN w:val="0"/>
        <w:adjustRightInd w:val="0"/>
        <w:snapToGrid w:val="0"/>
        <w:spacing w:before="157"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w:t>
      </w:r>
      <w:r>
        <w:rPr>
          <w:rFonts w:hint="eastAsia" w:ascii="宋体" w:hAnsi="宋体"/>
          <w:color w:val="auto"/>
          <w:szCs w:val="21"/>
          <w:u w:val="single"/>
          <w:lang w:val="en-US" w:eastAsia="zh-CN"/>
        </w:rPr>
        <w:t xml:space="preserve">        </w:t>
      </w:r>
      <w:r>
        <w:rPr>
          <w:rFonts w:hint="eastAsia" w:ascii="宋体" w:hAnsi="宋体" w:cs="宋体"/>
          <w:color w:val="auto"/>
          <w:kern w:val="0"/>
          <w:szCs w:val="21"/>
        </w:rPr>
        <w:t>（姓名、职务）系</w:t>
      </w:r>
      <w:r>
        <w:rPr>
          <w:rFonts w:hint="eastAsia" w:ascii="宋体" w:hAnsi="宋体"/>
          <w:color w:val="auto"/>
          <w:szCs w:val="21"/>
          <w:u w:val="single"/>
          <w:lang w:val="en-US" w:eastAsia="zh-CN"/>
        </w:rPr>
        <w:t xml:space="preserve">        </w:t>
      </w:r>
      <w:r>
        <w:rPr>
          <w:rFonts w:hint="eastAsia" w:ascii="宋体" w:hAnsi="宋体" w:cs="宋体"/>
          <w:color w:val="auto"/>
          <w:kern w:val="0"/>
          <w:szCs w:val="21"/>
        </w:rPr>
        <w:t>（</w:t>
      </w:r>
      <w:r>
        <w:rPr>
          <w:rFonts w:hint="eastAsia" w:ascii="宋体" w:hAnsi="宋体"/>
          <w:color w:val="auto"/>
          <w:szCs w:val="21"/>
        </w:rPr>
        <w:t>供应商</w:t>
      </w:r>
      <w:r>
        <w:rPr>
          <w:rFonts w:hint="eastAsia" w:ascii="宋体" w:hAnsi="宋体" w:cs="宋体"/>
          <w:color w:val="auto"/>
          <w:kern w:val="0"/>
          <w:szCs w:val="21"/>
        </w:rPr>
        <w:t>名称）的法定代表人，现授权</w:t>
      </w:r>
      <w:r>
        <w:rPr>
          <w:rFonts w:hint="eastAsia" w:ascii="宋体" w:hAnsi="宋体"/>
          <w:color w:val="auto"/>
          <w:szCs w:val="21"/>
          <w:u w:val="single"/>
          <w:lang w:val="en-US" w:eastAsia="zh-CN"/>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olor w:val="auto"/>
          <w:szCs w:val="21"/>
          <w:u w:val="single"/>
          <w:lang w:val="en-US" w:eastAsia="zh-CN"/>
        </w:rPr>
        <w:t xml:space="preserve">        采购计划编号、采购项目编号、</w:t>
      </w:r>
      <w:r>
        <w:rPr>
          <w:rFonts w:hint="eastAsia" w:ascii="宋体" w:hAnsi="宋体" w:cs="宋体"/>
          <w:color w:val="000000" w:themeColor="text1"/>
          <w:szCs w:val="21"/>
          <w:u w:val="single"/>
          <w:lang w:eastAsia="zh-CN"/>
          <w14:textFill>
            <w14:solidFill>
              <w14:schemeClr w14:val="tx1"/>
            </w14:solidFill>
          </w14:textFill>
        </w:rPr>
        <w:t>委托代理编号</w:t>
      </w:r>
      <w:r>
        <w:rPr>
          <w:rFonts w:hint="eastAsia" w:ascii="宋体" w:hAnsi="宋体" w:cs="宋体"/>
          <w:color w:val="auto"/>
          <w:kern w:val="0"/>
          <w:szCs w:val="21"/>
        </w:rPr>
        <w:t>响应文件；(2)签署并重新提交响应文件及最后报价；(3)签订合同和处理有关事宜，其法律后果由我方承担；（4）询问、质疑、投诉等相关事项，其法律后果由我方承担。</w:t>
      </w:r>
    </w:p>
    <w:p w14:paraId="450E778F">
      <w:pPr>
        <w:autoSpaceDE w:val="0"/>
        <w:autoSpaceDN w:val="0"/>
        <w:adjustRightInd w:val="0"/>
        <w:snapToGrid w:val="0"/>
        <w:spacing w:before="157" w:beforeLines="50" w:line="360" w:lineRule="auto"/>
        <w:ind w:firstLine="420" w:firstLineChars="200"/>
        <w:jc w:val="left"/>
        <w:rPr>
          <w:rFonts w:hint="eastAsia" w:ascii="宋体" w:hAnsi="宋体" w:cs="宋体"/>
          <w:color w:val="auto"/>
          <w:kern w:val="0"/>
          <w:szCs w:val="21"/>
        </w:rPr>
      </w:pPr>
    </w:p>
    <w:p w14:paraId="5CCDE5CE">
      <w:pPr>
        <w:autoSpaceDE w:val="0"/>
        <w:autoSpaceDN w:val="0"/>
        <w:adjustRightInd w:val="0"/>
        <w:snapToGrid w:val="0"/>
        <w:spacing w:before="157"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w:t>
      </w:r>
    </w:p>
    <w:p w14:paraId="1C5764F2">
      <w:pPr>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14:paraId="601EAD54">
      <w:pPr>
        <w:spacing w:line="360" w:lineRule="auto"/>
        <w:ind w:firstLine="435"/>
        <w:rPr>
          <w:rFonts w:hint="eastAsia" w:ascii="宋体" w:hAnsi="宋体"/>
          <w:color w:val="auto"/>
          <w:szCs w:val="21"/>
        </w:rPr>
      </w:pPr>
      <w:r>
        <w:rPr>
          <w:rFonts w:hint="eastAsia" w:ascii="宋体" w:hAnsi="宋体"/>
          <w:color w:val="auto"/>
          <w:szCs w:val="21"/>
        </w:rPr>
        <w:t>本授权书于</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日签字生效，特此声明。</w:t>
      </w:r>
    </w:p>
    <w:p w14:paraId="0E05B3FB">
      <w:pPr>
        <w:adjustRightInd w:val="0"/>
        <w:snapToGrid w:val="0"/>
        <w:spacing w:before="157" w:beforeLines="50" w:line="360" w:lineRule="auto"/>
        <w:ind w:firstLine="420" w:firstLineChars="200"/>
        <w:outlineLvl w:val="0"/>
        <w:rPr>
          <w:rFonts w:hint="eastAsia" w:ascii="宋体" w:hAnsi="宋体"/>
          <w:color w:val="auto"/>
          <w:szCs w:val="21"/>
        </w:rPr>
      </w:pPr>
      <w:bookmarkStart w:id="200" w:name="_Toc25309"/>
      <w:bookmarkStart w:id="201" w:name="_Toc3240"/>
      <w:bookmarkStart w:id="202" w:name="_Toc31597"/>
      <w:r>
        <w:rPr>
          <w:rFonts w:hint="eastAsia" w:ascii="宋体" w:hAnsi="宋体"/>
          <w:color w:val="auto"/>
          <w:szCs w:val="21"/>
        </w:rPr>
        <w:t>附：委托代理人身份证复印件及法定代表人身份证明(附件1，原件)</w:t>
      </w:r>
      <w:bookmarkEnd w:id="200"/>
      <w:bookmarkEnd w:id="201"/>
      <w:bookmarkEnd w:id="202"/>
    </w:p>
    <w:p w14:paraId="6CBDC463">
      <w:pPr>
        <w:adjustRightInd w:val="0"/>
        <w:snapToGrid w:val="0"/>
        <w:spacing w:line="360" w:lineRule="auto"/>
        <w:ind w:right="23" w:rightChars="11"/>
        <w:rPr>
          <w:rFonts w:hint="eastAsia" w:ascii="宋体" w:hAnsi="宋体"/>
          <w:color w:val="auto"/>
          <w:szCs w:val="21"/>
        </w:rPr>
      </w:pPr>
    </w:p>
    <w:tbl>
      <w:tblPr>
        <w:tblStyle w:val="2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CC9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0C25D818">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noWrap w:val="0"/>
            <w:vAlign w:val="center"/>
          </w:tcPr>
          <w:p w14:paraId="643A6E79">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r w14:paraId="5463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6239FB60">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noWrap w:val="0"/>
            <w:vAlign w:val="center"/>
          </w:tcPr>
          <w:p w14:paraId="4635E249">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66F6543C">
      <w:pPr>
        <w:adjustRightInd w:val="0"/>
        <w:snapToGrid w:val="0"/>
        <w:spacing w:line="360" w:lineRule="auto"/>
        <w:ind w:right="23" w:rightChars="11"/>
        <w:rPr>
          <w:rFonts w:hint="eastAsia" w:ascii="宋体" w:hAnsi="宋体"/>
          <w:color w:val="auto"/>
          <w:szCs w:val="21"/>
        </w:rPr>
      </w:pPr>
    </w:p>
    <w:p w14:paraId="5C0CC8CC">
      <w:pPr>
        <w:adjustRightInd w:val="0"/>
        <w:snapToGrid w:val="0"/>
        <w:spacing w:line="360" w:lineRule="auto"/>
        <w:ind w:right="23" w:rightChars="11"/>
        <w:rPr>
          <w:rFonts w:hint="eastAsia" w:ascii="宋体" w:hAnsi="宋体"/>
          <w:color w:val="auto"/>
          <w:szCs w:val="21"/>
        </w:rPr>
      </w:pPr>
    </w:p>
    <w:p w14:paraId="261D22E3">
      <w:pPr>
        <w:adjustRightInd w:val="0"/>
        <w:snapToGrid w:val="0"/>
        <w:spacing w:line="480" w:lineRule="auto"/>
        <w:ind w:right="23" w:rightChars="11"/>
        <w:rPr>
          <w:rFonts w:hint="eastAsia" w:ascii="宋体" w:hAnsi="宋体" w:eastAsiaTheme="minorEastAsia"/>
          <w:color w:val="auto"/>
          <w:szCs w:val="21"/>
          <w:lang w:eastAsia="zh-CN"/>
        </w:rPr>
      </w:pPr>
      <w:r>
        <w:rPr>
          <w:rFonts w:hint="eastAsia" w:ascii="宋体" w:hAnsi="宋体"/>
          <w:color w:val="auto"/>
          <w:szCs w:val="21"/>
        </w:rPr>
        <w:t>法定代表人（签字）：</w:t>
      </w:r>
    </w:p>
    <w:p w14:paraId="6978BC3F">
      <w:pPr>
        <w:adjustRightInd w:val="0"/>
        <w:snapToGrid w:val="0"/>
        <w:spacing w:line="480" w:lineRule="auto"/>
        <w:ind w:right="23" w:rightChars="11"/>
        <w:rPr>
          <w:rFonts w:hint="eastAsia" w:ascii="宋体" w:hAnsi="宋体" w:eastAsiaTheme="minorEastAsia"/>
          <w:color w:val="auto"/>
          <w:szCs w:val="21"/>
          <w:lang w:eastAsia="zh-CN"/>
        </w:rPr>
      </w:pPr>
      <w:r>
        <w:rPr>
          <w:rFonts w:hint="eastAsia" w:ascii="宋体" w:hAnsi="宋体"/>
          <w:color w:val="auto"/>
          <w:szCs w:val="21"/>
        </w:rPr>
        <w:t>委托代理人（签字）：</w:t>
      </w:r>
    </w:p>
    <w:p w14:paraId="2F422609">
      <w:pPr>
        <w:adjustRightInd w:val="0"/>
        <w:snapToGrid w:val="0"/>
        <w:spacing w:line="480" w:lineRule="auto"/>
        <w:ind w:right="23" w:rightChars="11"/>
        <w:rPr>
          <w:rFonts w:hint="eastAsia" w:ascii="宋体" w:hAnsi="宋体"/>
          <w:color w:val="auto"/>
          <w:szCs w:val="21"/>
        </w:rPr>
      </w:pPr>
      <w:r>
        <w:rPr>
          <w:rFonts w:hint="eastAsia" w:ascii="宋体" w:hAnsi="宋体"/>
          <w:color w:val="auto"/>
          <w:szCs w:val="21"/>
        </w:rPr>
        <w:t>日期：年月日</w:t>
      </w:r>
    </w:p>
    <w:p w14:paraId="2F76E59F">
      <w:pPr>
        <w:spacing w:line="360" w:lineRule="exact"/>
        <w:ind w:right="23" w:rightChars="11"/>
        <w:rPr>
          <w:rFonts w:hint="eastAsia" w:ascii="宋体"/>
          <w:b/>
          <w:color w:val="auto"/>
        </w:rPr>
      </w:pPr>
    </w:p>
    <w:p w14:paraId="6E8A2916">
      <w:pPr>
        <w:pStyle w:val="12"/>
        <w:adjustRightInd w:val="0"/>
        <w:snapToGrid w:val="0"/>
        <w:spacing w:line="360" w:lineRule="auto"/>
        <w:ind w:right="23" w:rightChars="11"/>
        <w:jc w:val="center"/>
        <w:rPr>
          <w:rFonts w:ascii="宋体" w:hAnsi="宋体" w:cs="宋体"/>
          <w:b/>
          <w:color w:val="auto"/>
          <w:kern w:val="0"/>
          <w:szCs w:val="21"/>
        </w:rPr>
      </w:pPr>
    </w:p>
    <w:p w14:paraId="27985EE2">
      <w:pPr>
        <w:pStyle w:val="12"/>
        <w:adjustRightInd w:val="0"/>
        <w:snapToGrid w:val="0"/>
        <w:spacing w:line="360" w:lineRule="auto"/>
        <w:ind w:right="23" w:rightChars="11"/>
        <w:jc w:val="center"/>
        <w:rPr>
          <w:rFonts w:ascii="宋体" w:hAnsi="宋体" w:cs="宋体"/>
          <w:b/>
          <w:color w:val="auto"/>
          <w:kern w:val="0"/>
          <w:szCs w:val="21"/>
        </w:rPr>
      </w:pPr>
    </w:p>
    <w:p w14:paraId="67472AAB">
      <w:pPr>
        <w:rPr>
          <w:rFonts w:hint="eastAsia" w:ascii="宋体" w:hAnsi="宋体" w:eastAsia="宋体" w:cs="宋体"/>
          <w:color w:val="000000"/>
          <w:highlight w:val="none"/>
        </w:rPr>
      </w:pPr>
      <w:r>
        <w:rPr>
          <w:rFonts w:hint="eastAsia"/>
          <w:b/>
          <w:color w:val="000000"/>
          <w:sz w:val="24"/>
        </w:rPr>
        <w:t>备注：如为委托代理人参加开标，请另单独准备本授权委托书原件一份</w:t>
      </w:r>
      <w:r>
        <w:rPr>
          <w:rFonts w:hint="eastAsia" w:ascii="宋体"/>
          <w:b/>
          <w:color w:val="000000"/>
          <w:sz w:val="24"/>
        </w:rPr>
        <w:t>（不需要密封）</w:t>
      </w:r>
      <w:r>
        <w:rPr>
          <w:rFonts w:hint="eastAsia" w:ascii="宋体"/>
          <w:b/>
          <w:color w:val="000000"/>
          <w:sz w:val="24"/>
          <w:lang w:val="en-US" w:eastAsia="zh-CN"/>
        </w:rPr>
        <w:t>及法定代表人授权书原件</w:t>
      </w:r>
      <w:r>
        <w:rPr>
          <w:rFonts w:hint="eastAsia"/>
          <w:b/>
          <w:color w:val="000000"/>
          <w:sz w:val="24"/>
        </w:rPr>
        <w:t>一份</w:t>
      </w:r>
      <w:r>
        <w:rPr>
          <w:rFonts w:hint="eastAsia" w:ascii="宋体"/>
          <w:b/>
          <w:color w:val="000000"/>
          <w:sz w:val="24"/>
        </w:rPr>
        <w:t>（不需要密封）</w:t>
      </w:r>
      <w:r>
        <w:rPr>
          <w:rFonts w:hint="eastAsia"/>
          <w:b/>
          <w:color w:val="000000"/>
          <w:sz w:val="24"/>
        </w:rPr>
        <w:t>，开标会时单独提交。</w:t>
      </w:r>
      <w:r>
        <w:rPr>
          <w:rFonts w:hint="eastAsia" w:ascii="宋体" w:hAnsi="宋体" w:eastAsia="宋体" w:cs="宋体"/>
          <w:b/>
          <w:color w:val="000000"/>
          <w:sz w:val="24"/>
          <w:highlight w:val="none"/>
        </w:rPr>
        <w:t>未递交的视同身份验证不通过，自动放弃投标。</w:t>
      </w:r>
    </w:p>
    <w:p w14:paraId="220CE90C">
      <w:pPr>
        <w:pStyle w:val="12"/>
        <w:adjustRightInd w:val="0"/>
        <w:snapToGrid w:val="0"/>
        <w:spacing w:line="360" w:lineRule="auto"/>
        <w:ind w:right="23" w:rightChars="11"/>
        <w:jc w:val="center"/>
        <w:rPr>
          <w:rFonts w:ascii="宋体" w:hAnsi="宋体" w:cs="宋体"/>
          <w:b/>
          <w:color w:val="auto"/>
          <w:kern w:val="0"/>
          <w:szCs w:val="21"/>
        </w:rPr>
      </w:pPr>
    </w:p>
    <w:p w14:paraId="6C3F6AE0">
      <w:pPr>
        <w:pStyle w:val="12"/>
        <w:adjustRightInd w:val="0"/>
        <w:snapToGrid w:val="0"/>
        <w:spacing w:line="360" w:lineRule="auto"/>
        <w:ind w:right="23" w:rightChars="11"/>
        <w:jc w:val="center"/>
        <w:rPr>
          <w:rFonts w:ascii="宋体" w:hAnsi="宋体" w:cs="宋体"/>
          <w:b/>
          <w:color w:val="auto"/>
          <w:kern w:val="0"/>
          <w:szCs w:val="21"/>
        </w:rPr>
      </w:pPr>
    </w:p>
    <w:p w14:paraId="070754F0">
      <w:pPr>
        <w:pStyle w:val="12"/>
        <w:adjustRightInd w:val="0"/>
        <w:snapToGrid w:val="0"/>
        <w:spacing w:line="360" w:lineRule="auto"/>
        <w:ind w:right="23" w:rightChars="11"/>
        <w:jc w:val="center"/>
        <w:rPr>
          <w:rFonts w:ascii="宋体" w:hAnsi="宋体" w:cs="宋体"/>
          <w:b/>
          <w:color w:val="auto"/>
          <w:kern w:val="0"/>
          <w:szCs w:val="21"/>
        </w:rPr>
      </w:pPr>
    </w:p>
    <w:p w14:paraId="4CEEDD6A">
      <w:pPr>
        <w:pStyle w:val="12"/>
        <w:adjustRightInd w:val="0"/>
        <w:snapToGrid w:val="0"/>
        <w:spacing w:line="360" w:lineRule="auto"/>
        <w:jc w:val="center"/>
        <w:outlineLvl w:val="0"/>
        <w:rPr>
          <w:rFonts w:hint="eastAsia" w:ascii="黑体" w:hAnsi="宋体" w:eastAsia="黑体"/>
          <w:b/>
          <w:color w:val="auto"/>
          <w:sz w:val="32"/>
          <w:szCs w:val="32"/>
        </w:rPr>
      </w:pPr>
      <w:bookmarkStart w:id="203" w:name="_Toc20300"/>
      <w:bookmarkStart w:id="204" w:name="_Toc565"/>
      <w:bookmarkStart w:id="205" w:name="_Toc14155"/>
      <w:bookmarkStart w:id="206" w:name="_Toc8084"/>
      <w:r>
        <w:rPr>
          <w:rFonts w:hint="eastAsia" w:ascii="黑体" w:hAnsi="宋体" w:eastAsia="黑体"/>
          <w:b/>
          <w:color w:val="auto"/>
          <w:sz w:val="32"/>
          <w:szCs w:val="32"/>
        </w:rPr>
        <w:t>二、保证金</w:t>
      </w:r>
      <w:bookmarkEnd w:id="203"/>
      <w:bookmarkEnd w:id="204"/>
      <w:bookmarkEnd w:id="205"/>
    </w:p>
    <w:p w14:paraId="61CDED1C">
      <w:pPr>
        <w:adjustRightInd w:val="0"/>
        <w:snapToGrid w:val="0"/>
        <w:spacing w:before="156" w:beforeLines="50" w:line="360" w:lineRule="auto"/>
        <w:outlineLvl w:val="0"/>
        <w:rPr>
          <w:rFonts w:hint="default" w:ascii="黑体" w:hAnsi="华文中宋" w:eastAsia="黑体" w:cs="Times New Roman"/>
          <w:bCs/>
          <w:color w:val="auto"/>
          <w:sz w:val="32"/>
          <w:szCs w:val="32"/>
          <w:lang w:val="en-US" w:eastAsia="zh-CN"/>
        </w:rPr>
      </w:pPr>
      <w:bookmarkStart w:id="207" w:name="_Toc26385"/>
      <w:bookmarkStart w:id="208" w:name="_Toc25481"/>
      <w:bookmarkStart w:id="209" w:name="_Toc14751"/>
      <w:r>
        <w:rPr>
          <w:rFonts w:hint="eastAsia" w:ascii="黑体" w:hAnsi="华文中宋" w:eastAsia="黑体" w:cs="Times New Roman"/>
          <w:bCs/>
          <w:color w:val="auto"/>
          <w:sz w:val="32"/>
          <w:szCs w:val="32"/>
        </w:rPr>
        <w:t>附件</w:t>
      </w:r>
      <w:r>
        <w:rPr>
          <w:rFonts w:hint="eastAsia" w:ascii="黑体" w:hAnsi="华文中宋" w:eastAsia="黑体" w:cs="Times New Roman"/>
          <w:bCs/>
          <w:color w:val="auto"/>
          <w:sz w:val="32"/>
          <w:szCs w:val="32"/>
          <w:lang w:val="en-US" w:eastAsia="zh-CN"/>
        </w:rPr>
        <w:t>2</w:t>
      </w:r>
      <w:bookmarkEnd w:id="207"/>
      <w:bookmarkEnd w:id="208"/>
      <w:bookmarkEnd w:id="209"/>
    </w:p>
    <w:p w14:paraId="6FCF5562">
      <w:pPr>
        <w:pStyle w:val="3"/>
        <w:bidi w:val="0"/>
        <w:jc w:val="center"/>
        <w:outlineLvl w:val="9"/>
        <w:rPr>
          <w:rFonts w:hint="eastAsia"/>
        </w:rPr>
      </w:pPr>
      <w:r>
        <w:rPr>
          <w:rFonts w:hint="eastAsia"/>
        </w:rPr>
        <w:t>项目免收投标保证金承诺书</w:t>
      </w:r>
      <w:bookmarkEnd w:id="206"/>
    </w:p>
    <w:p w14:paraId="48EB73AC">
      <w:pPr>
        <w:keepNext w:val="0"/>
        <w:keepLines w:val="0"/>
        <w:pageBreakBefore w:val="0"/>
        <w:widowControl w:val="0"/>
        <w:kinsoku/>
        <w:wordWrap/>
        <w:overflowPunct/>
        <w:topLinePunct w:val="0"/>
        <w:autoSpaceDE/>
        <w:autoSpaceDN/>
        <w:bidi w:val="0"/>
        <w:adjustRightInd w:val="0"/>
        <w:snapToGrid w:val="0"/>
        <w:spacing w:line="480" w:lineRule="auto"/>
        <w:ind w:right="23" w:rightChars="11"/>
        <w:textAlignment w:val="auto"/>
        <w:rPr>
          <w:rFonts w:hint="eastAsia"/>
          <w:lang w:val="en-US" w:eastAsia="zh-CN"/>
        </w:rPr>
      </w:pPr>
      <w:r>
        <w:rPr>
          <w:rFonts w:hint="eastAsia"/>
          <w:lang w:val="en-US" w:eastAsia="zh-CN"/>
        </w:rPr>
        <w:t>致</w:t>
      </w:r>
      <w:r>
        <w:rPr>
          <w:rFonts w:hint="eastAsia" w:ascii="宋体" w:hAnsi="宋体"/>
          <w:color w:val="auto"/>
          <w:szCs w:val="21"/>
          <w:u w:val="single"/>
          <w:lang w:val="en-US" w:eastAsia="zh-CN"/>
        </w:rPr>
        <w:t xml:space="preserve">        </w:t>
      </w:r>
      <w:r>
        <w:rPr>
          <w:rFonts w:hint="eastAsia"/>
          <w:lang w:val="en-US" w:eastAsia="zh-CN"/>
        </w:rPr>
        <w:t>(采购人、采购代理机构)：</w:t>
      </w:r>
    </w:p>
    <w:p w14:paraId="333960B2">
      <w:pPr>
        <w:keepNext w:val="0"/>
        <w:keepLines w:val="0"/>
        <w:pageBreakBefore w:val="0"/>
        <w:widowControl w:val="0"/>
        <w:kinsoku/>
        <w:wordWrap/>
        <w:overflowPunct/>
        <w:topLinePunct w:val="0"/>
        <w:autoSpaceDE/>
        <w:autoSpaceDN/>
        <w:bidi w:val="0"/>
        <w:adjustRightInd w:val="0"/>
        <w:snapToGrid w:val="0"/>
        <w:spacing w:line="480" w:lineRule="auto"/>
        <w:ind w:right="23" w:rightChars="11" w:firstLine="420" w:firstLineChars="200"/>
        <w:textAlignment w:val="auto"/>
        <w:rPr>
          <w:rFonts w:hint="eastAsia"/>
          <w:lang w:val="en-US" w:eastAsia="zh-CN"/>
        </w:rPr>
      </w:pPr>
      <w:r>
        <w:rPr>
          <w:rFonts w:hint="eastAsia"/>
          <w:lang w:val="en-US" w:eastAsia="zh-CN"/>
        </w:rPr>
        <w:t>根据衡阳市财政局《关于进一步降低政府采购投标成本的通知》（衡财购【2022】310号）文件精神，本项目免收投标保证金。我公司承诺，如有下列情形之一的，愿意承担相关的法律责任，并接受财政部门的相关处罚。</w:t>
      </w:r>
    </w:p>
    <w:p w14:paraId="547DFEE2">
      <w:pPr>
        <w:keepNext w:val="0"/>
        <w:keepLines w:val="0"/>
        <w:pageBreakBefore w:val="0"/>
        <w:widowControl w:val="0"/>
        <w:kinsoku/>
        <w:wordWrap/>
        <w:overflowPunct/>
        <w:topLinePunct w:val="0"/>
        <w:autoSpaceDE/>
        <w:autoSpaceDN/>
        <w:bidi w:val="0"/>
        <w:adjustRightInd w:val="0"/>
        <w:snapToGrid w:val="0"/>
        <w:spacing w:line="480" w:lineRule="auto"/>
        <w:ind w:right="23" w:rightChars="11"/>
        <w:textAlignment w:val="auto"/>
        <w:rPr>
          <w:rFonts w:hint="eastAsia"/>
          <w:lang w:val="en-US" w:eastAsia="zh-CN"/>
        </w:rPr>
      </w:pPr>
      <w:r>
        <w:rPr>
          <w:rFonts w:hint="eastAsia"/>
          <w:lang w:val="en-US" w:eastAsia="zh-CN"/>
        </w:rPr>
        <w:t>（一）成交后无正当理由不与采购人签订合同的；</w:t>
      </w:r>
    </w:p>
    <w:p w14:paraId="56AB965C">
      <w:pPr>
        <w:keepNext w:val="0"/>
        <w:keepLines w:val="0"/>
        <w:pageBreakBefore w:val="0"/>
        <w:widowControl w:val="0"/>
        <w:kinsoku/>
        <w:wordWrap/>
        <w:overflowPunct/>
        <w:topLinePunct w:val="0"/>
        <w:autoSpaceDE/>
        <w:autoSpaceDN/>
        <w:bidi w:val="0"/>
        <w:adjustRightInd w:val="0"/>
        <w:snapToGrid w:val="0"/>
        <w:spacing w:line="480" w:lineRule="auto"/>
        <w:ind w:right="23" w:rightChars="11"/>
        <w:textAlignment w:val="auto"/>
        <w:rPr>
          <w:rFonts w:hint="eastAsia"/>
          <w:lang w:val="en-US" w:eastAsia="zh-CN"/>
        </w:rPr>
      </w:pPr>
      <w:r>
        <w:rPr>
          <w:rFonts w:hint="eastAsia"/>
          <w:lang w:val="en-US" w:eastAsia="zh-CN"/>
        </w:rPr>
        <w:t>（二）未经采购人同意，将成交项目分包方式履行合同的；</w:t>
      </w:r>
    </w:p>
    <w:p w14:paraId="3412122B">
      <w:pPr>
        <w:keepNext w:val="0"/>
        <w:keepLines w:val="0"/>
        <w:pageBreakBefore w:val="0"/>
        <w:widowControl w:val="0"/>
        <w:kinsoku/>
        <w:wordWrap/>
        <w:overflowPunct/>
        <w:topLinePunct w:val="0"/>
        <w:autoSpaceDE/>
        <w:autoSpaceDN/>
        <w:bidi w:val="0"/>
        <w:adjustRightInd w:val="0"/>
        <w:snapToGrid w:val="0"/>
        <w:spacing w:line="480" w:lineRule="auto"/>
        <w:ind w:right="23" w:rightChars="11"/>
        <w:textAlignment w:val="auto"/>
        <w:rPr>
          <w:rFonts w:hint="eastAsia"/>
          <w:lang w:val="en-US" w:eastAsia="zh-CN"/>
        </w:rPr>
      </w:pPr>
      <w:r>
        <w:rPr>
          <w:rFonts w:hint="eastAsia"/>
          <w:lang w:val="en-US" w:eastAsia="zh-CN"/>
        </w:rPr>
        <w:t>（三）在提交响应文件截止时间后撤回响应文件的；</w:t>
      </w:r>
    </w:p>
    <w:p w14:paraId="7FF4CB57">
      <w:pPr>
        <w:keepNext w:val="0"/>
        <w:keepLines w:val="0"/>
        <w:pageBreakBefore w:val="0"/>
        <w:widowControl w:val="0"/>
        <w:kinsoku/>
        <w:wordWrap/>
        <w:overflowPunct/>
        <w:topLinePunct w:val="0"/>
        <w:autoSpaceDE/>
        <w:autoSpaceDN/>
        <w:bidi w:val="0"/>
        <w:adjustRightInd w:val="0"/>
        <w:snapToGrid w:val="0"/>
        <w:spacing w:line="480" w:lineRule="auto"/>
        <w:ind w:right="23" w:rightChars="11"/>
        <w:textAlignment w:val="auto"/>
        <w:rPr>
          <w:rFonts w:hint="eastAsia"/>
          <w:lang w:val="en-US" w:eastAsia="zh-CN"/>
        </w:rPr>
      </w:pPr>
      <w:r>
        <w:rPr>
          <w:rFonts w:hint="eastAsia"/>
          <w:lang w:val="en-US" w:eastAsia="zh-CN"/>
        </w:rPr>
        <w:t>（四）在响应文件中提供虚假材料的；</w:t>
      </w:r>
    </w:p>
    <w:p w14:paraId="3F17C3AB">
      <w:pPr>
        <w:keepNext w:val="0"/>
        <w:keepLines w:val="0"/>
        <w:pageBreakBefore w:val="0"/>
        <w:widowControl w:val="0"/>
        <w:kinsoku/>
        <w:wordWrap/>
        <w:overflowPunct/>
        <w:topLinePunct w:val="0"/>
        <w:autoSpaceDE/>
        <w:autoSpaceDN/>
        <w:bidi w:val="0"/>
        <w:adjustRightInd w:val="0"/>
        <w:snapToGrid w:val="0"/>
        <w:spacing w:line="480" w:lineRule="auto"/>
        <w:ind w:right="23" w:rightChars="11"/>
        <w:textAlignment w:val="auto"/>
        <w:rPr>
          <w:rFonts w:hint="eastAsia"/>
          <w:lang w:val="en-US" w:eastAsia="zh-CN"/>
        </w:rPr>
      </w:pPr>
      <w:r>
        <w:rPr>
          <w:rFonts w:hint="eastAsia"/>
          <w:lang w:val="en-US" w:eastAsia="zh-CN"/>
        </w:rPr>
        <w:t>（五）与采购人、其他供应商或者采购代理机构恶意串通的；</w:t>
      </w:r>
    </w:p>
    <w:p w14:paraId="207AEBC1">
      <w:pPr>
        <w:keepNext w:val="0"/>
        <w:keepLines w:val="0"/>
        <w:pageBreakBefore w:val="0"/>
        <w:widowControl w:val="0"/>
        <w:kinsoku/>
        <w:wordWrap/>
        <w:overflowPunct/>
        <w:topLinePunct w:val="0"/>
        <w:autoSpaceDE/>
        <w:autoSpaceDN/>
        <w:bidi w:val="0"/>
        <w:adjustRightInd w:val="0"/>
        <w:snapToGrid w:val="0"/>
        <w:spacing w:line="480" w:lineRule="auto"/>
        <w:ind w:right="23" w:rightChars="11"/>
        <w:textAlignment w:val="auto"/>
        <w:rPr>
          <w:rFonts w:hint="eastAsia"/>
          <w:lang w:val="en-US" w:eastAsia="zh-CN"/>
        </w:rPr>
      </w:pPr>
      <w:r>
        <w:rPr>
          <w:rFonts w:hint="eastAsia"/>
          <w:lang w:val="en-US" w:eastAsia="zh-CN"/>
        </w:rPr>
        <w:t>（六）法律法规或者采购文件规定的其他情形。</w:t>
      </w:r>
    </w:p>
    <w:p w14:paraId="046D5E44">
      <w:pPr>
        <w:keepNext w:val="0"/>
        <w:keepLines w:val="0"/>
        <w:pageBreakBefore w:val="0"/>
        <w:widowControl w:val="0"/>
        <w:kinsoku/>
        <w:wordWrap/>
        <w:overflowPunct/>
        <w:topLinePunct w:val="0"/>
        <w:autoSpaceDE/>
        <w:autoSpaceDN/>
        <w:bidi w:val="0"/>
        <w:adjustRightInd w:val="0"/>
        <w:snapToGrid w:val="0"/>
        <w:spacing w:line="480" w:lineRule="auto"/>
        <w:ind w:right="23" w:rightChars="11"/>
        <w:textAlignment w:val="auto"/>
        <w:rPr>
          <w:rFonts w:hint="eastAsia"/>
          <w:lang w:val="en-US" w:eastAsia="zh-CN"/>
        </w:rPr>
      </w:pPr>
      <w:r>
        <w:rPr>
          <w:rFonts w:hint="eastAsia"/>
          <w:lang w:val="en-US" w:eastAsia="zh-CN"/>
        </w:rPr>
        <w:t>特此承诺！</w:t>
      </w:r>
    </w:p>
    <w:p w14:paraId="5000981F">
      <w:pPr>
        <w:keepNext w:val="0"/>
        <w:keepLines w:val="0"/>
        <w:pageBreakBefore w:val="0"/>
        <w:widowControl w:val="0"/>
        <w:kinsoku/>
        <w:wordWrap/>
        <w:overflowPunct/>
        <w:topLinePunct w:val="0"/>
        <w:autoSpaceDE/>
        <w:autoSpaceDN/>
        <w:bidi w:val="0"/>
        <w:adjustRightInd w:val="0"/>
        <w:snapToGrid w:val="0"/>
        <w:spacing w:beforeLines="50" w:line="480" w:lineRule="auto"/>
        <w:jc w:val="left"/>
        <w:textAlignment w:val="auto"/>
        <w:rPr>
          <w:rFonts w:hint="eastAsia" w:ascii="宋体" w:hAnsi="宋体"/>
          <w:color w:val="auto"/>
          <w:szCs w:val="21"/>
          <w:highlight w:val="none"/>
        </w:rPr>
      </w:pPr>
    </w:p>
    <w:p w14:paraId="5AE22B1F">
      <w:pPr>
        <w:keepNext w:val="0"/>
        <w:keepLines w:val="0"/>
        <w:pageBreakBefore w:val="0"/>
        <w:widowControl w:val="0"/>
        <w:kinsoku/>
        <w:wordWrap/>
        <w:overflowPunct/>
        <w:topLinePunct w:val="0"/>
        <w:autoSpaceDE/>
        <w:autoSpaceDN/>
        <w:bidi w:val="0"/>
        <w:adjustRightInd w:val="0"/>
        <w:snapToGrid w:val="0"/>
        <w:spacing w:beforeLines="50" w:line="480" w:lineRule="auto"/>
        <w:jc w:val="left"/>
        <w:textAlignment w:val="auto"/>
        <w:rPr>
          <w:rFonts w:ascii="宋体" w:hAnsi="宋体"/>
          <w:color w:val="auto"/>
          <w:szCs w:val="21"/>
          <w:highlight w:val="none"/>
        </w:rPr>
      </w:pPr>
      <w:r>
        <w:rPr>
          <w:rFonts w:hint="eastAsia" w:ascii="宋体" w:hAnsi="宋体"/>
          <w:color w:val="auto"/>
          <w:szCs w:val="21"/>
        </w:rPr>
        <w:t>供应商</w:t>
      </w:r>
      <w:r>
        <w:rPr>
          <w:rFonts w:hint="eastAsia" w:ascii="宋体" w:hAnsi="宋体" w:cs="宋体"/>
          <w:color w:val="auto"/>
          <w:kern w:val="0"/>
          <w:szCs w:val="21"/>
        </w:rPr>
        <w:t>名称</w:t>
      </w:r>
      <w:r>
        <w:rPr>
          <w:rFonts w:hint="eastAsia" w:ascii="宋体" w:hAnsi="宋体"/>
          <w:color w:val="auto"/>
          <w:szCs w:val="21"/>
          <w:highlight w:val="none"/>
        </w:rPr>
        <w:t>（</w:t>
      </w:r>
      <w:r>
        <w:rPr>
          <w:rFonts w:hint="eastAsia" w:ascii="宋体" w:hAnsi="宋体"/>
          <w:color w:val="auto"/>
          <w:szCs w:val="21"/>
          <w:highlight w:val="none"/>
          <w:lang w:eastAsia="zh-CN"/>
        </w:rPr>
        <w:t>盖单位公章</w:t>
      </w:r>
      <w:r>
        <w:rPr>
          <w:rFonts w:hint="eastAsia" w:ascii="宋体" w:hAnsi="宋体"/>
          <w:color w:val="auto"/>
          <w:szCs w:val="21"/>
          <w:highlight w:val="none"/>
        </w:rPr>
        <w:t>）：</w:t>
      </w:r>
    </w:p>
    <w:p w14:paraId="1AA61A7F">
      <w:pPr>
        <w:keepNext w:val="0"/>
        <w:keepLines w:val="0"/>
        <w:pageBreakBefore w:val="0"/>
        <w:widowControl w:val="0"/>
        <w:kinsoku/>
        <w:wordWrap/>
        <w:overflowPunct/>
        <w:topLinePunct w:val="0"/>
        <w:autoSpaceDE/>
        <w:autoSpaceDN/>
        <w:bidi w:val="0"/>
        <w:adjustRightInd w:val="0"/>
        <w:snapToGrid w:val="0"/>
        <w:spacing w:beforeLines="50" w:line="480" w:lineRule="auto"/>
        <w:jc w:val="left"/>
        <w:textAlignment w:val="auto"/>
        <w:rPr>
          <w:rFonts w:hint="eastAsia" w:ascii="黑体" w:hAnsi="宋体" w:eastAsia="黑体"/>
          <w:b/>
          <w:color w:val="auto"/>
          <w:sz w:val="32"/>
          <w:szCs w:val="32"/>
        </w:rPr>
      </w:pPr>
      <w:r>
        <w:rPr>
          <w:rFonts w:hint="eastAsia" w:ascii="宋体" w:hAnsi="宋体"/>
          <w:color w:val="auto"/>
          <w:szCs w:val="21"/>
          <w:highlight w:val="none"/>
        </w:rPr>
        <w:t>日期：年月日</w:t>
      </w:r>
    </w:p>
    <w:p w14:paraId="67850CA4">
      <w:pPr>
        <w:adjustRightInd w:val="0"/>
        <w:snapToGrid w:val="0"/>
        <w:spacing w:line="360" w:lineRule="auto"/>
        <w:ind w:right="23" w:rightChars="11"/>
        <w:rPr>
          <w:rFonts w:hint="eastAsia"/>
          <w:color w:val="auto"/>
        </w:rPr>
      </w:pPr>
    </w:p>
    <w:p w14:paraId="0E891698">
      <w:pPr>
        <w:adjustRightInd w:val="0"/>
        <w:snapToGrid w:val="0"/>
        <w:spacing w:line="360" w:lineRule="auto"/>
        <w:ind w:right="23" w:rightChars="11"/>
        <w:jc w:val="center"/>
        <w:outlineLvl w:val="9"/>
        <w:rPr>
          <w:rFonts w:hint="eastAsia" w:ascii="黑体" w:hAnsi="宋体" w:eastAsia="黑体"/>
          <w:b/>
          <w:color w:val="auto"/>
          <w:sz w:val="32"/>
          <w:szCs w:val="32"/>
        </w:rPr>
      </w:pPr>
    </w:p>
    <w:p w14:paraId="114841D4">
      <w:pPr>
        <w:adjustRightInd w:val="0"/>
        <w:snapToGrid w:val="0"/>
        <w:spacing w:line="360" w:lineRule="auto"/>
        <w:ind w:right="23" w:rightChars="11"/>
        <w:jc w:val="center"/>
        <w:outlineLvl w:val="9"/>
        <w:rPr>
          <w:rFonts w:hint="eastAsia" w:ascii="黑体" w:hAnsi="宋体" w:eastAsia="黑体"/>
          <w:b/>
          <w:color w:val="auto"/>
          <w:sz w:val="32"/>
          <w:szCs w:val="32"/>
        </w:rPr>
      </w:pPr>
    </w:p>
    <w:p w14:paraId="4CE49EB9">
      <w:pPr>
        <w:adjustRightInd w:val="0"/>
        <w:snapToGrid w:val="0"/>
        <w:spacing w:line="360" w:lineRule="auto"/>
        <w:ind w:right="23" w:rightChars="11"/>
        <w:jc w:val="center"/>
        <w:outlineLvl w:val="9"/>
        <w:rPr>
          <w:rFonts w:hint="eastAsia" w:ascii="黑体" w:hAnsi="宋体" w:eastAsia="黑体"/>
          <w:b/>
          <w:color w:val="auto"/>
          <w:sz w:val="32"/>
          <w:szCs w:val="32"/>
        </w:rPr>
      </w:pPr>
    </w:p>
    <w:p w14:paraId="427BA589">
      <w:pPr>
        <w:adjustRightInd w:val="0"/>
        <w:snapToGrid w:val="0"/>
        <w:spacing w:line="360" w:lineRule="auto"/>
        <w:ind w:right="23" w:rightChars="11"/>
        <w:jc w:val="center"/>
        <w:outlineLvl w:val="9"/>
        <w:rPr>
          <w:rFonts w:hint="eastAsia" w:ascii="黑体" w:hAnsi="宋体" w:eastAsia="黑体"/>
          <w:b/>
          <w:color w:val="auto"/>
          <w:sz w:val="32"/>
          <w:szCs w:val="32"/>
        </w:rPr>
      </w:pPr>
    </w:p>
    <w:p w14:paraId="58F69B54">
      <w:pPr>
        <w:adjustRightInd w:val="0"/>
        <w:snapToGrid w:val="0"/>
        <w:spacing w:line="360" w:lineRule="auto"/>
        <w:ind w:right="23" w:rightChars="11"/>
        <w:jc w:val="center"/>
        <w:outlineLvl w:val="9"/>
        <w:rPr>
          <w:rFonts w:hint="eastAsia" w:ascii="黑体" w:hAnsi="宋体" w:eastAsia="黑体"/>
          <w:b/>
          <w:color w:val="auto"/>
          <w:sz w:val="32"/>
          <w:szCs w:val="32"/>
        </w:rPr>
      </w:pPr>
    </w:p>
    <w:p w14:paraId="75920AEE">
      <w:pPr>
        <w:pStyle w:val="59"/>
        <w:rPr>
          <w:rFonts w:hint="eastAsia" w:ascii="黑体" w:hAnsi="宋体" w:eastAsia="黑体"/>
          <w:b/>
          <w:color w:val="auto"/>
          <w:sz w:val="32"/>
          <w:szCs w:val="32"/>
        </w:rPr>
      </w:pPr>
    </w:p>
    <w:p w14:paraId="6EC7860B">
      <w:pPr>
        <w:pStyle w:val="59"/>
        <w:ind w:left="0" w:leftChars="0" w:firstLine="0" w:firstLineChars="0"/>
        <w:rPr>
          <w:rFonts w:hint="eastAsia" w:ascii="黑体" w:hAnsi="宋体" w:eastAsia="黑体"/>
          <w:b/>
          <w:color w:val="auto"/>
          <w:sz w:val="32"/>
          <w:szCs w:val="32"/>
        </w:rPr>
      </w:pPr>
    </w:p>
    <w:p w14:paraId="343C9A00">
      <w:pPr>
        <w:pStyle w:val="3"/>
        <w:bidi w:val="0"/>
        <w:jc w:val="center"/>
        <w:outlineLvl w:val="0"/>
        <w:rPr>
          <w:rFonts w:hint="eastAsia"/>
        </w:rPr>
      </w:pPr>
      <w:bookmarkStart w:id="210" w:name="_Toc29638"/>
      <w:bookmarkStart w:id="211" w:name="_Toc24004"/>
      <w:bookmarkStart w:id="212" w:name="_Toc12515"/>
      <w:bookmarkStart w:id="213" w:name="_Toc17990"/>
      <w:r>
        <w:rPr>
          <w:rFonts w:hint="eastAsia"/>
        </w:rPr>
        <w:t>三、供应商的资格证明材料</w:t>
      </w:r>
      <w:bookmarkEnd w:id="210"/>
      <w:bookmarkEnd w:id="211"/>
      <w:bookmarkEnd w:id="212"/>
      <w:bookmarkEnd w:id="213"/>
    </w:p>
    <w:p w14:paraId="215E4A50">
      <w:pPr>
        <w:adjustRightInd w:val="0"/>
        <w:snapToGrid w:val="0"/>
        <w:spacing w:line="360" w:lineRule="auto"/>
        <w:ind w:right="23" w:rightChars="11"/>
        <w:outlineLvl w:val="0"/>
        <w:rPr>
          <w:rFonts w:ascii="宋体" w:hAnsi="宋体"/>
          <w:color w:val="auto"/>
          <w:szCs w:val="21"/>
          <w:highlight w:val="none"/>
        </w:rPr>
      </w:pPr>
      <w:bookmarkStart w:id="214" w:name="_Toc30691"/>
      <w:bookmarkStart w:id="215" w:name="_Toc3"/>
      <w:bookmarkStart w:id="216" w:name="_Toc1301"/>
      <w:r>
        <w:rPr>
          <w:rFonts w:hint="eastAsia" w:ascii="黑体" w:eastAsia="黑体"/>
          <w:color w:val="auto"/>
          <w:sz w:val="24"/>
        </w:rPr>
        <w:t>附件</w:t>
      </w:r>
      <w:r>
        <w:rPr>
          <w:rFonts w:hint="eastAsia" w:ascii="黑体" w:eastAsia="黑体"/>
          <w:color w:val="auto"/>
          <w:sz w:val="24"/>
          <w:lang w:val="en-US" w:eastAsia="zh-CN"/>
        </w:rPr>
        <w:t>3-1</w:t>
      </w:r>
      <w:r>
        <w:rPr>
          <w:rFonts w:hint="eastAsia" w:ascii="黑体" w:eastAsia="黑体"/>
          <w:color w:val="auto"/>
          <w:sz w:val="24"/>
        </w:rPr>
        <w:t>：</w:t>
      </w:r>
      <w:r>
        <w:rPr>
          <w:rFonts w:hint="eastAsia" w:ascii="黑体" w:hAnsi="宋体" w:eastAsia="黑体"/>
          <w:b/>
          <w:color w:val="auto"/>
          <w:sz w:val="28"/>
          <w:szCs w:val="28"/>
        </w:rPr>
        <w:t>供应商</w:t>
      </w:r>
      <w:r>
        <w:rPr>
          <w:rFonts w:hint="eastAsia" w:ascii="黑体" w:eastAsia="黑体"/>
          <w:b/>
          <w:color w:val="auto"/>
          <w:sz w:val="28"/>
          <w:szCs w:val="28"/>
        </w:rPr>
        <w:t>基本情况表</w:t>
      </w:r>
      <w:bookmarkEnd w:id="214"/>
      <w:bookmarkEnd w:id="215"/>
      <w:bookmarkEnd w:id="216"/>
    </w:p>
    <w:tbl>
      <w:tblPr>
        <w:tblStyle w:val="2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539"/>
        <w:gridCol w:w="362"/>
        <w:gridCol w:w="1143"/>
        <w:gridCol w:w="850"/>
        <w:gridCol w:w="590"/>
        <w:gridCol w:w="294"/>
        <w:gridCol w:w="1083"/>
        <w:gridCol w:w="1329"/>
        <w:gridCol w:w="2092"/>
        <w:gridCol w:w="10"/>
      </w:tblGrid>
      <w:tr w14:paraId="4760D1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3"/>
            <w:tcBorders>
              <w:top w:val="double" w:color="auto" w:sz="4" w:space="0"/>
              <w:left w:val="double" w:color="auto" w:sz="4" w:space="0"/>
              <w:bottom w:val="single" w:color="auto" w:sz="6" w:space="0"/>
              <w:right w:val="single" w:color="auto" w:sz="6" w:space="0"/>
            </w:tcBorders>
            <w:noWrap w:val="0"/>
            <w:vAlign w:val="center"/>
          </w:tcPr>
          <w:p w14:paraId="620ABD08">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2BF97CE6">
            <w:pPr>
              <w:topLinePunct/>
              <w:spacing w:line="440" w:lineRule="exact"/>
              <w:jc w:val="center"/>
              <w:rPr>
                <w:rFonts w:ascii="宋体" w:hAnsi="宋体"/>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13A63BFD">
            <w:pPr>
              <w:topLinePunct/>
              <w:spacing w:line="440" w:lineRule="exact"/>
              <w:jc w:val="center"/>
              <w:rPr>
                <w:rFonts w:ascii="宋体" w:hAnsi="宋体"/>
                <w:szCs w:val="21"/>
              </w:rPr>
            </w:pPr>
            <w:r>
              <w:rPr>
                <w:rFonts w:ascii="宋体" w:hAnsi="宋体"/>
                <w:szCs w:val="21"/>
              </w:rPr>
              <w:t>法定代表人</w:t>
            </w:r>
          </w:p>
        </w:tc>
        <w:tc>
          <w:tcPr>
            <w:tcW w:w="2102" w:type="dxa"/>
            <w:gridSpan w:val="2"/>
            <w:tcBorders>
              <w:top w:val="double" w:color="auto" w:sz="4" w:space="0"/>
              <w:left w:val="single" w:color="auto" w:sz="6" w:space="0"/>
              <w:bottom w:val="single" w:color="auto" w:sz="6" w:space="0"/>
              <w:right w:val="double" w:color="auto" w:sz="4" w:space="0"/>
            </w:tcBorders>
            <w:noWrap w:val="0"/>
            <w:vAlign w:val="center"/>
          </w:tcPr>
          <w:p w14:paraId="048E8BBD">
            <w:pPr>
              <w:topLinePunct/>
              <w:spacing w:line="440" w:lineRule="exact"/>
              <w:jc w:val="center"/>
              <w:rPr>
                <w:rFonts w:ascii="宋体" w:hAnsi="宋体"/>
                <w:szCs w:val="21"/>
              </w:rPr>
            </w:pPr>
          </w:p>
        </w:tc>
      </w:tr>
      <w:tr w14:paraId="05C0B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11" w:hRule="atLeast"/>
        </w:trPr>
        <w:tc>
          <w:tcPr>
            <w:tcW w:w="1619" w:type="dxa"/>
            <w:gridSpan w:val="3"/>
            <w:tcBorders>
              <w:top w:val="single" w:color="auto" w:sz="6" w:space="0"/>
              <w:left w:val="double" w:color="auto" w:sz="4" w:space="0"/>
              <w:bottom w:val="single" w:color="auto" w:sz="6" w:space="0"/>
              <w:right w:val="single" w:color="auto" w:sz="6" w:space="0"/>
            </w:tcBorders>
            <w:noWrap w:val="0"/>
            <w:vAlign w:val="center"/>
          </w:tcPr>
          <w:p w14:paraId="187E22FA">
            <w:pPr>
              <w:topLinePunct/>
              <w:spacing w:line="440" w:lineRule="exact"/>
              <w:jc w:val="center"/>
              <w:rPr>
                <w:rFonts w:ascii="宋体" w:hAnsi="宋体"/>
                <w:szCs w:val="21"/>
              </w:rPr>
            </w:pPr>
            <w:r>
              <w:rPr>
                <w:rFonts w:hint="eastAsia" w:ascii="宋体" w:hAnsi="宋体"/>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6288F2CA">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362875D5">
            <w:pPr>
              <w:topLinePunct/>
              <w:spacing w:line="440" w:lineRule="exact"/>
              <w:jc w:val="center"/>
              <w:rPr>
                <w:rFonts w:ascii="宋体" w:hAnsi="宋体"/>
                <w:szCs w:val="21"/>
              </w:rPr>
            </w:pPr>
            <w:r>
              <w:rPr>
                <w:rFonts w:ascii="宋体" w:hAnsi="宋体"/>
                <w:szCs w:val="21"/>
              </w:rPr>
              <w:t>邮政编码</w:t>
            </w:r>
          </w:p>
        </w:tc>
        <w:tc>
          <w:tcPr>
            <w:tcW w:w="2092" w:type="dxa"/>
            <w:tcBorders>
              <w:top w:val="single" w:color="auto" w:sz="6" w:space="0"/>
              <w:left w:val="single" w:color="auto" w:sz="6" w:space="0"/>
              <w:bottom w:val="single" w:color="auto" w:sz="6" w:space="0"/>
              <w:right w:val="double" w:color="auto" w:sz="4" w:space="0"/>
            </w:tcBorders>
            <w:noWrap w:val="0"/>
            <w:vAlign w:val="center"/>
          </w:tcPr>
          <w:p w14:paraId="18B6A361">
            <w:pPr>
              <w:topLinePunct/>
              <w:spacing w:line="440" w:lineRule="exact"/>
              <w:jc w:val="center"/>
              <w:rPr>
                <w:rFonts w:ascii="宋体" w:hAnsi="宋体"/>
                <w:szCs w:val="21"/>
              </w:rPr>
            </w:pPr>
          </w:p>
        </w:tc>
      </w:tr>
      <w:tr w14:paraId="12A77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8" w:hRule="atLeast"/>
        </w:trPr>
        <w:tc>
          <w:tcPr>
            <w:tcW w:w="1619" w:type="dxa"/>
            <w:gridSpan w:val="3"/>
            <w:tcBorders>
              <w:top w:val="single" w:color="auto" w:sz="6" w:space="0"/>
              <w:left w:val="double" w:color="auto" w:sz="4" w:space="0"/>
              <w:bottom w:val="single" w:color="auto" w:sz="6" w:space="0"/>
              <w:right w:val="single" w:color="auto" w:sz="6" w:space="0"/>
            </w:tcBorders>
            <w:noWrap w:val="0"/>
            <w:vAlign w:val="center"/>
          </w:tcPr>
          <w:p w14:paraId="5FCB1D38">
            <w:pPr>
              <w:topLinePunct/>
              <w:spacing w:line="440" w:lineRule="exact"/>
              <w:jc w:val="center"/>
              <w:rPr>
                <w:rFonts w:ascii="宋体" w:hAnsi="宋体"/>
                <w:szCs w:val="21"/>
              </w:rPr>
            </w:pPr>
            <w:r>
              <w:rPr>
                <w:rFonts w:hint="eastAsia" w:ascii="宋体" w:hAnsi="宋体"/>
                <w:szCs w:val="21"/>
              </w:rPr>
              <w:t>委托代理</w:t>
            </w:r>
            <w:r>
              <w:rPr>
                <w:rFonts w:ascii="宋体" w:hAnsi="宋体"/>
                <w:szCs w:val="21"/>
              </w:rPr>
              <w:t>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01B6DAB3">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BD992CF">
            <w:pPr>
              <w:topLinePunct/>
              <w:spacing w:line="440" w:lineRule="exact"/>
              <w:jc w:val="center"/>
              <w:rPr>
                <w:rFonts w:ascii="宋体" w:hAnsi="宋体"/>
                <w:szCs w:val="21"/>
              </w:rPr>
            </w:pPr>
            <w:r>
              <w:rPr>
                <w:rFonts w:hint="eastAsia" w:ascii="宋体" w:hAnsi="宋体"/>
                <w:szCs w:val="21"/>
              </w:rPr>
              <w:t>电子邮箱</w:t>
            </w:r>
          </w:p>
        </w:tc>
        <w:tc>
          <w:tcPr>
            <w:tcW w:w="2092" w:type="dxa"/>
            <w:tcBorders>
              <w:top w:val="single" w:color="auto" w:sz="6" w:space="0"/>
              <w:left w:val="single" w:color="auto" w:sz="6" w:space="0"/>
              <w:bottom w:val="single" w:color="auto" w:sz="6" w:space="0"/>
              <w:right w:val="double" w:color="auto" w:sz="4" w:space="0"/>
            </w:tcBorders>
            <w:noWrap w:val="0"/>
            <w:vAlign w:val="center"/>
          </w:tcPr>
          <w:p w14:paraId="0087B16E">
            <w:pPr>
              <w:topLinePunct/>
              <w:spacing w:line="440" w:lineRule="exact"/>
              <w:jc w:val="center"/>
              <w:rPr>
                <w:rFonts w:ascii="宋体" w:hAnsi="宋体"/>
                <w:szCs w:val="21"/>
              </w:rPr>
            </w:pPr>
          </w:p>
        </w:tc>
      </w:tr>
      <w:tr w14:paraId="6C4B98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8" w:hRule="atLeast"/>
        </w:trPr>
        <w:tc>
          <w:tcPr>
            <w:tcW w:w="1619" w:type="dxa"/>
            <w:gridSpan w:val="3"/>
            <w:tcBorders>
              <w:top w:val="single" w:color="auto" w:sz="6" w:space="0"/>
              <w:left w:val="double" w:color="auto" w:sz="4" w:space="0"/>
              <w:bottom w:val="single" w:color="auto" w:sz="6" w:space="0"/>
              <w:right w:val="single" w:color="auto" w:sz="6" w:space="0"/>
            </w:tcBorders>
            <w:noWrap w:val="0"/>
            <w:vAlign w:val="center"/>
          </w:tcPr>
          <w:p w14:paraId="50999B8B">
            <w:pPr>
              <w:topLinePunct/>
              <w:spacing w:line="440" w:lineRule="exact"/>
              <w:jc w:val="center"/>
              <w:rPr>
                <w:rFonts w:ascii="宋体" w:hAnsi="宋体"/>
                <w:szCs w:val="21"/>
              </w:rPr>
            </w:pPr>
            <w:r>
              <w:rPr>
                <w:rFonts w:hint="eastAsia" w:ascii="宋体" w:hAnsi="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29AF6948">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3920F050">
            <w:pPr>
              <w:topLinePunct/>
              <w:spacing w:line="440" w:lineRule="exact"/>
              <w:jc w:val="center"/>
              <w:rPr>
                <w:rFonts w:ascii="宋体" w:hAnsi="宋体"/>
                <w:szCs w:val="21"/>
              </w:rPr>
            </w:pPr>
            <w:r>
              <w:rPr>
                <w:rFonts w:hint="eastAsia" w:ascii="宋体" w:hAnsi="宋体"/>
                <w:szCs w:val="21"/>
              </w:rPr>
              <w:t>员工总人数</w:t>
            </w:r>
          </w:p>
        </w:tc>
        <w:tc>
          <w:tcPr>
            <w:tcW w:w="2092" w:type="dxa"/>
            <w:tcBorders>
              <w:top w:val="single" w:color="auto" w:sz="6" w:space="0"/>
              <w:left w:val="single" w:color="auto" w:sz="6" w:space="0"/>
              <w:bottom w:val="single" w:color="auto" w:sz="6" w:space="0"/>
              <w:right w:val="double" w:color="auto" w:sz="4" w:space="0"/>
            </w:tcBorders>
            <w:noWrap w:val="0"/>
            <w:vAlign w:val="center"/>
          </w:tcPr>
          <w:p w14:paraId="5891A6B8">
            <w:pPr>
              <w:topLinePunct/>
              <w:spacing w:line="440" w:lineRule="exact"/>
              <w:jc w:val="center"/>
              <w:rPr>
                <w:rFonts w:ascii="宋体" w:hAnsi="宋体"/>
                <w:szCs w:val="21"/>
              </w:rPr>
            </w:pPr>
          </w:p>
        </w:tc>
      </w:tr>
      <w:tr w14:paraId="58F7B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noWrap w:val="0"/>
            <w:vAlign w:val="center"/>
          </w:tcPr>
          <w:p w14:paraId="0F82C1AD">
            <w:pPr>
              <w:topLinePunct/>
              <w:spacing w:line="440" w:lineRule="exact"/>
              <w:jc w:val="center"/>
              <w:rPr>
                <w:rFonts w:ascii="宋体" w:hAnsi="宋体"/>
                <w:szCs w:val="21"/>
              </w:rPr>
            </w:pPr>
            <w:r>
              <w:rPr>
                <w:rFonts w:hint="eastAsia" w:ascii="宋体" w:hAnsi="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C885CC4">
            <w:pPr>
              <w:topLinePunct/>
              <w:spacing w:line="440" w:lineRule="exact"/>
              <w:jc w:val="center"/>
              <w:rPr>
                <w:rFonts w:ascii="宋体" w:hAnsi="宋体"/>
                <w:szCs w:val="21"/>
              </w:rPr>
            </w:pPr>
            <w:r>
              <w:rPr>
                <w:rFonts w:hint="eastAsia" w:ascii="宋体" w:hAnsi="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5DCCC90C">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582EF8A4">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421" w:type="dxa"/>
            <w:gridSpan w:val="2"/>
            <w:tcBorders>
              <w:top w:val="single" w:color="auto" w:sz="6" w:space="0"/>
              <w:left w:val="single" w:color="auto" w:sz="6" w:space="0"/>
              <w:bottom w:val="single" w:color="auto" w:sz="6" w:space="0"/>
              <w:right w:val="double" w:color="auto" w:sz="4" w:space="0"/>
            </w:tcBorders>
            <w:noWrap w:val="0"/>
            <w:vAlign w:val="center"/>
          </w:tcPr>
          <w:p w14:paraId="11F1FF97">
            <w:pPr>
              <w:topLinePunct/>
              <w:spacing w:line="440" w:lineRule="exact"/>
              <w:ind w:firstLine="105" w:firstLineChars="50"/>
              <w:jc w:val="center"/>
              <w:rPr>
                <w:rFonts w:ascii="宋体" w:hAnsi="宋体"/>
                <w:szCs w:val="21"/>
              </w:rPr>
            </w:pPr>
          </w:p>
        </w:tc>
      </w:tr>
      <w:tr w14:paraId="19DC9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noWrap w:val="0"/>
            <w:vAlign w:val="center"/>
          </w:tcPr>
          <w:p w14:paraId="40B57162">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039D427">
            <w:pPr>
              <w:topLinePunct/>
              <w:spacing w:line="440" w:lineRule="exact"/>
              <w:jc w:val="center"/>
              <w:rPr>
                <w:rFonts w:ascii="宋体" w:hAnsi="宋体"/>
                <w:szCs w:val="21"/>
              </w:rPr>
            </w:pPr>
            <w:r>
              <w:rPr>
                <w:rFonts w:hint="eastAsia" w:ascii="宋体" w:hAnsi="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1512E001">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549E5BCE">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421" w:type="dxa"/>
            <w:gridSpan w:val="2"/>
            <w:tcBorders>
              <w:top w:val="single" w:color="auto" w:sz="6" w:space="0"/>
              <w:left w:val="single" w:color="auto" w:sz="6" w:space="0"/>
              <w:bottom w:val="single" w:color="auto" w:sz="6" w:space="0"/>
              <w:right w:val="double" w:color="auto" w:sz="4" w:space="0"/>
            </w:tcBorders>
            <w:noWrap w:val="0"/>
            <w:vAlign w:val="center"/>
          </w:tcPr>
          <w:p w14:paraId="19838A30">
            <w:pPr>
              <w:topLinePunct/>
              <w:spacing w:line="440" w:lineRule="exact"/>
              <w:ind w:firstLine="105" w:firstLineChars="50"/>
              <w:jc w:val="center"/>
              <w:rPr>
                <w:rFonts w:ascii="宋体" w:hAnsi="宋体"/>
                <w:szCs w:val="21"/>
              </w:rPr>
            </w:pPr>
          </w:p>
        </w:tc>
      </w:tr>
      <w:tr w14:paraId="7320F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noWrap w:val="0"/>
            <w:vAlign w:val="center"/>
          </w:tcPr>
          <w:p w14:paraId="4869B649">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D6FF804">
            <w:pPr>
              <w:topLinePunct/>
              <w:spacing w:line="440" w:lineRule="exact"/>
              <w:jc w:val="center"/>
              <w:rPr>
                <w:rFonts w:ascii="宋体" w:hAnsi="宋体"/>
                <w:szCs w:val="21"/>
              </w:rPr>
            </w:pPr>
            <w:r>
              <w:rPr>
                <w:rFonts w:hint="eastAsia" w:ascii="宋体" w:hAnsi="宋体"/>
                <w:szCs w:val="21"/>
              </w:rPr>
              <w:t>营业范围（主营）</w:t>
            </w:r>
          </w:p>
        </w:tc>
        <w:tc>
          <w:tcPr>
            <w:tcW w:w="6238" w:type="dxa"/>
            <w:gridSpan w:val="6"/>
            <w:tcBorders>
              <w:top w:val="single" w:color="auto" w:sz="6" w:space="0"/>
              <w:left w:val="single" w:color="auto" w:sz="6" w:space="0"/>
              <w:bottom w:val="single" w:color="auto" w:sz="6" w:space="0"/>
              <w:right w:val="double" w:color="auto" w:sz="4" w:space="0"/>
            </w:tcBorders>
            <w:noWrap w:val="0"/>
            <w:vAlign w:val="center"/>
          </w:tcPr>
          <w:p w14:paraId="323B96C9">
            <w:pPr>
              <w:topLinePunct/>
              <w:spacing w:line="440" w:lineRule="exact"/>
              <w:ind w:firstLine="105" w:firstLineChars="50"/>
              <w:jc w:val="center"/>
              <w:rPr>
                <w:rFonts w:ascii="宋体" w:hAnsi="宋体"/>
                <w:szCs w:val="21"/>
              </w:rPr>
            </w:pPr>
          </w:p>
        </w:tc>
      </w:tr>
      <w:tr w14:paraId="363B52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noWrap w:val="0"/>
            <w:vAlign w:val="center"/>
          </w:tcPr>
          <w:p w14:paraId="6E71854C">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C577659">
            <w:pPr>
              <w:topLinePunct/>
              <w:spacing w:line="440" w:lineRule="exact"/>
              <w:jc w:val="center"/>
              <w:rPr>
                <w:rFonts w:ascii="宋体" w:hAnsi="宋体"/>
                <w:szCs w:val="21"/>
              </w:rPr>
            </w:pPr>
            <w:r>
              <w:rPr>
                <w:rFonts w:hint="eastAsia" w:ascii="宋体" w:hAnsi="宋体"/>
                <w:szCs w:val="21"/>
              </w:rPr>
              <w:t>营业范围（兼营）</w:t>
            </w:r>
          </w:p>
        </w:tc>
        <w:tc>
          <w:tcPr>
            <w:tcW w:w="6238" w:type="dxa"/>
            <w:gridSpan w:val="6"/>
            <w:tcBorders>
              <w:top w:val="single" w:color="auto" w:sz="6" w:space="0"/>
              <w:left w:val="single" w:color="auto" w:sz="6" w:space="0"/>
              <w:bottom w:val="single" w:color="auto" w:sz="6" w:space="0"/>
              <w:right w:val="double" w:color="auto" w:sz="4" w:space="0"/>
            </w:tcBorders>
            <w:noWrap w:val="0"/>
            <w:vAlign w:val="center"/>
          </w:tcPr>
          <w:p w14:paraId="297F95B2">
            <w:pPr>
              <w:topLinePunct/>
              <w:spacing w:line="440" w:lineRule="exact"/>
              <w:ind w:firstLine="105" w:firstLineChars="50"/>
              <w:jc w:val="center"/>
              <w:rPr>
                <w:rFonts w:ascii="宋体" w:hAnsi="宋体"/>
                <w:szCs w:val="21"/>
              </w:rPr>
            </w:pPr>
          </w:p>
        </w:tc>
      </w:tr>
      <w:tr w14:paraId="4196F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58" w:hRule="atLeast"/>
        </w:trPr>
        <w:tc>
          <w:tcPr>
            <w:tcW w:w="2762" w:type="dxa"/>
            <w:gridSpan w:val="4"/>
            <w:tcBorders>
              <w:top w:val="single" w:color="auto" w:sz="6" w:space="0"/>
              <w:left w:val="double" w:color="auto" w:sz="4" w:space="0"/>
              <w:bottom w:val="single" w:color="auto" w:sz="6" w:space="0"/>
              <w:right w:val="single" w:color="auto" w:sz="6" w:space="0"/>
            </w:tcBorders>
            <w:noWrap w:val="0"/>
            <w:vAlign w:val="center"/>
          </w:tcPr>
          <w:p w14:paraId="485351A2">
            <w:pPr>
              <w:topLinePunct/>
              <w:spacing w:line="440" w:lineRule="exact"/>
              <w:jc w:val="center"/>
              <w:rPr>
                <w:rFonts w:ascii="宋体" w:hAnsi="宋体"/>
                <w:szCs w:val="21"/>
              </w:rPr>
            </w:pPr>
            <w:r>
              <w:rPr>
                <w:rFonts w:hint="eastAsia" w:ascii="宋体" w:hAnsi="宋体"/>
                <w:szCs w:val="21"/>
              </w:rPr>
              <w:t>基本账户开户行及帐号</w:t>
            </w:r>
          </w:p>
        </w:tc>
        <w:tc>
          <w:tcPr>
            <w:tcW w:w="6238" w:type="dxa"/>
            <w:gridSpan w:val="6"/>
            <w:tcBorders>
              <w:top w:val="single" w:color="auto" w:sz="6" w:space="0"/>
              <w:left w:val="single" w:color="auto" w:sz="6" w:space="0"/>
              <w:bottom w:val="single" w:color="auto" w:sz="6" w:space="0"/>
              <w:right w:val="double" w:color="auto" w:sz="4" w:space="0"/>
            </w:tcBorders>
            <w:noWrap w:val="0"/>
            <w:vAlign w:val="center"/>
          </w:tcPr>
          <w:p w14:paraId="6E1F61D5">
            <w:pPr>
              <w:topLinePunct/>
              <w:spacing w:line="440" w:lineRule="exact"/>
              <w:jc w:val="center"/>
              <w:rPr>
                <w:rFonts w:ascii="宋体" w:hAnsi="宋体"/>
                <w:szCs w:val="21"/>
              </w:rPr>
            </w:pPr>
          </w:p>
        </w:tc>
      </w:tr>
      <w:tr w14:paraId="4C957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58" w:hRule="atLeast"/>
        </w:trPr>
        <w:tc>
          <w:tcPr>
            <w:tcW w:w="2762" w:type="dxa"/>
            <w:gridSpan w:val="4"/>
            <w:tcBorders>
              <w:top w:val="single" w:color="auto" w:sz="6" w:space="0"/>
              <w:left w:val="double" w:color="auto" w:sz="4" w:space="0"/>
              <w:bottom w:val="single" w:color="auto" w:sz="6" w:space="0"/>
              <w:right w:val="single" w:color="auto" w:sz="6" w:space="0"/>
            </w:tcBorders>
            <w:noWrap w:val="0"/>
            <w:vAlign w:val="center"/>
          </w:tcPr>
          <w:p w14:paraId="57B2F462">
            <w:pPr>
              <w:topLinePunct/>
              <w:spacing w:line="440" w:lineRule="exact"/>
              <w:jc w:val="center"/>
              <w:rPr>
                <w:rFonts w:ascii="宋体" w:hAnsi="宋体"/>
                <w:szCs w:val="21"/>
              </w:rPr>
            </w:pPr>
            <w:r>
              <w:rPr>
                <w:rFonts w:hint="eastAsia" w:ascii="宋体" w:hAnsi="宋体"/>
                <w:szCs w:val="21"/>
              </w:rPr>
              <w:t>税务登记机关</w:t>
            </w:r>
          </w:p>
        </w:tc>
        <w:tc>
          <w:tcPr>
            <w:tcW w:w="6238" w:type="dxa"/>
            <w:gridSpan w:val="6"/>
            <w:tcBorders>
              <w:top w:val="single" w:color="auto" w:sz="6" w:space="0"/>
              <w:left w:val="single" w:color="auto" w:sz="6" w:space="0"/>
              <w:bottom w:val="single" w:color="auto" w:sz="6" w:space="0"/>
              <w:right w:val="double" w:color="auto" w:sz="4" w:space="0"/>
            </w:tcBorders>
            <w:noWrap w:val="0"/>
            <w:vAlign w:val="center"/>
          </w:tcPr>
          <w:p w14:paraId="6823A8B8">
            <w:pPr>
              <w:topLinePunct/>
              <w:spacing w:line="440" w:lineRule="exact"/>
              <w:jc w:val="center"/>
              <w:rPr>
                <w:rFonts w:ascii="宋体" w:hAnsi="宋体"/>
                <w:szCs w:val="21"/>
              </w:rPr>
            </w:pPr>
          </w:p>
        </w:tc>
      </w:tr>
      <w:tr w14:paraId="727454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04" w:hRule="atLeast"/>
        </w:trPr>
        <w:tc>
          <w:tcPr>
            <w:tcW w:w="3612" w:type="dxa"/>
            <w:gridSpan w:val="5"/>
            <w:tcBorders>
              <w:top w:val="single" w:color="auto" w:sz="6" w:space="0"/>
              <w:left w:val="double" w:color="auto" w:sz="4" w:space="0"/>
              <w:bottom w:val="single" w:color="auto" w:sz="6" w:space="0"/>
              <w:right w:val="single" w:color="auto" w:sz="6" w:space="0"/>
            </w:tcBorders>
            <w:noWrap w:val="0"/>
            <w:vAlign w:val="center"/>
          </w:tcPr>
          <w:p w14:paraId="5CF9F000">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9D91FF1">
            <w:pPr>
              <w:topLinePunct/>
              <w:spacing w:line="440" w:lineRule="exact"/>
              <w:jc w:val="center"/>
              <w:rPr>
                <w:rFonts w:ascii="宋体" w:hAnsi="宋体"/>
                <w:szCs w:val="21"/>
              </w:rPr>
            </w:pPr>
            <w:r>
              <w:rPr>
                <w:rFonts w:ascii="宋体" w:hAnsi="宋体"/>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2F29F4C">
            <w:pPr>
              <w:topLinePunct/>
              <w:spacing w:line="440" w:lineRule="exact"/>
              <w:jc w:val="center"/>
              <w:rPr>
                <w:rFonts w:ascii="宋体" w:hAnsi="宋体"/>
                <w:szCs w:val="21"/>
              </w:rPr>
            </w:pPr>
            <w:r>
              <w:rPr>
                <w:rFonts w:hint="eastAsia" w:ascii="宋体" w:hAnsi="宋体"/>
                <w:szCs w:val="21"/>
              </w:rPr>
              <w:t>发证机关</w:t>
            </w:r>
          </w:p>
        </w:tc>
        <w:tc>
          <w:tcPr>
            <w:tcW w:w="3421" w:type="dxa"/>
            <w:gridSpan w:val="2"/>
            <w:tcBorders>
              <w:top w:val="single" w:color="auto" w:sz="6" w:space="0"/>
              <w:left w:val="single" w:color="auto" w:sz="6" w:space="0"/>
              <w:bottom w:val="single" w:color="auto" w:sz="6" w:space="0"/>
              <w:right w:val="double" w:color="auto" w:sz="4" w:space="0"/>
            </w:tcBorders>
            <w:noWrap w:val="0"/>
            <w:vAlign w:val="center"/>
          </w:tcPr>
          <w:p w14:paraId="4E0E3009">
            <w:pPr>
              <w:topLinePunct/>
              <w:spacing w:line="440" w:lineRule="exact"/>
              <w:jc w:val="center"/>
              <w:rPr>
                <w:rFonts w:ascii="宋体" w:hAnsi="宋体"/>
                <w:szCs w:val="21"/>
              </w:rPr>
            </w:pPr>
            <w:r>
              <w:rPr>
                <w:rFonts w:hint="eastAsia" w:ascii="宋体" w:hAnsi="宋体"/>
                <w:szCs w:val="21"/>
              </w:rPr>
              <w:t>有效期</w:t>
            </w:r>
          </w:p>
        </w:tc>
      </w:tr>
      <w:tr w14:paraId="0D7C0D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26" w:hRule="atLeast"/>
        </w:trPr>
        <w:tc>
          <w:tcPr>
            <w:tcW w:w="3612" w:type="dxa"/>
            <w:gridSpan w:val="5"/>
            <w:tcBorders>
              <w:top w:val="single" w:color="auto" w:sz="6" w:space="0"/>
              <w:left w:val="double" w:color="auto" w:sz="4" w:space="0"/>
              <w:bottom w:val="single" w:color="auto" w:sz="6" w:space="0"/>
              <w:right w:val="single" w:color="auto" w:sz="6" w:space="0"/>
            </w:tcBorders>
            <w:noWrap w:val="0"/>
            <w:vAlign w:val="center"/>
          </w:tcPr>
          <w:p w14:paraId="4EEA69D3">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A6115B8">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EA48A10">
            <w:pPr>
              <w:topLinePunct/>
              <w:spacing w:line="440" w:lineRule="exact"/>
              <w:jc w:val="center"/>
              <w:rPr>
                <w:rFonts w:ascii="宋体" w:hAnsi="宋体"/>
                <w:szCs w:val="21"/>
              </w:rPr>
            </w:pPr>
          </w:p>
        </w:tc>
        <w:tc>
          <w:tcPr>
            <w:tcW w:w="3421" w:type="dxa"/>
            <w:gridSpan w:val="2"/>
            <w:tcBorders>
              <w:top w:val="single" w:color="auto" w:sz="6" w:space="0"/>
              <w:left w:val="single" w:color="auto" w:sz="6" w:space="0"/>
              <w:bottom w:val="single" w:color="auto" w:sz="6" w:space="0"/>
              <w:right w:val="double" w:color="auto" w:sz="4" w:space="0"/>
            </w:tcBorders>
            <w:noWrap w:val="0"/>
            <w:vAlign w:val="center"/>
          </w:tcPr>
          <w:p w14:paraId="27962E96">
            <w:pPr>
              <w:topLinePunct/>
              <w:spacing w:line="440" w:lineRule="exact"/>
              <w:jc w:val="center"/>
              <w:rPr>
                <w:rFonts w:ascii="宋体" w:hAnsi="宋体"/>
                <w:szCs w:val="21"/>
              </w:rPr>
            </w:pPr>
          </w:p>
        </w:tc>
      </w:tr>
      <w:tr w14:paraId="0DBD7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26" w:hRule="atLeast"/>
        </w:trPr>
        <w:tc>
          <w:tcPr>
            <w:tcW w:w="3612" w:type="dxa"/>
            <w:gridSpan w:val="5"/>
            <w:tcBorders>
              <w:top w:val="single" w:color="auto" w:sz="6" w:space="0"/>
              <w:left w:val="double" w:color="auto" w:sz="4" w:space="0"/>
              <w:bottom w:val="single" w:color="auto" w:sz="6" w:space="0"/>
              <w:right w:val="single" w:color="auto" w:sz="6" w:space="0"/>
            </w:tcBorders>
            <w:noWrap w:val="0"/>
            <w:vAlign w:val="center"/>
          </w:tcPr>
          <w:p w14:paraId="4E40B1E1">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255BA48">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B0566AE">
            <w:pPr>
              <w:topLinePunct/>
              <w:spacing w:line="440" w:lineRule="exact"/>
              <w:jc w:val="center"/>
              <w:rPr>
                <w:rFonts w:ascii="宋体" w:hAnsi="宋体"/>
                <w:szCs w:val="21"/>
              </w:rPr>
            </w:pPr>
          </w:p>
        </w:tc>
        <w:tc>
          <w:tcPr>
            <w:tcW w:w="3421" w:type="dxa"/>
            <w:gridSpan w:val="2"/>
            <w:tcBorders>
              <w:top w:val="single" w:color="auto" w:sz="6" w:space="0"/>
              <w:left w:val="single" w:color="auto" w:sz="6" w:space="0"/>
              <w:bottom w:val="single" w:color="auto" w:sz="6" w:space="0"/>
              <w:right w:val="double" w:color="auto" w:sz="4" w:space="0"/>
            </w:tcBorders>
            <w:noWrap w:val="0"/>
            <w:vAlign w:val="center"/>
          </w:tcPr>
          <w:p w14:paraId="761E22CC">
            <w:pPr>
              <w:topLinePunct/>
              <w:spacing w:line="440" w:lineRule="exact"/>
              <w:jc w:val="center"/>
              <w:rPr>
                <w:rFonts w:ascii="宋体" w:hAnsi="宋体"/>
                <w:szCs w:val="21"/>
              </w:rPr>
            </w:pPr>
          </w:p>
        </w:tc>
      </w:tr>
      <w:tr w14:paraId="221FC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26" w:hRule="atLeast"/>
        </w:trPr>
        <w:tc>
          <w:tcPr>
            <w:tcW w:w="3612" w:type="dxa"/>
            <w:gridSpan w:val="5"/>
            <w:tcBorders>
              <w:top w:val="single" w:color="auto" w:sz="6" w:space="0"/>
              <w:left w:val="double" w:color="auto" w:sz="4" w:space="0"/>
              <w:bottom w:val="single" w:color="auto" w:sz="6" w:space="0"/>
              <w:right w:val="single" w:color="auto" w:sz="6" w:space="0"/>
            </w:tcBorders>
            <w:noWrap w:val="0"/>
            <w:vAlign w:val="center"/>
          </w:tcPr>
          <w:p w14:paraId="3889BABF">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F26C3A0">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1F57D54">
            <w:pPr>
              <w:topLinePunct/>
              <w:spacing w:line="440" w:lineRule="exact"/>
              <w:jc w:val="center"/>
              <w:rPr>
                <w:rFonts w:ascii="宋体" w:hAnsi="宋体"/>
                <w:szCs w:val="21"/>
              </w:rPr>
            </w:pPr>
          </w:p>
        </w:tc>
        <w:tc>
          <w:tcPr>
            <w:tcW w:w="3421" w:type="dxa"/>
            <w:gridSpan w:val="2"/>
            <w:tcBorders>
              <w:top w:val="single" w:color="auto" w:sz="6" w:space="0"/>
              <w:left w:val="single" w:color="auto" w:sz="6" w:space="0"/>
              <w:bottom w:val="single" w:color="auto" w:sz="6" w:space="0"/>
              <w:right w:val="double" w:color="auto" w:sz="4" w:space="0"/>
            </w:tcBorders>
            <w:noWrap w:val="0"/>
            <w:vAlign w:val="center"/>
          </w:tcPr>
          <w:p w14:paraId="1578CE1E">
            <w:pPr>
              <w:topLinePunct/>
              <w:spacing w:line="440" w:lineRule="exact"/>
              <w:jc w:val="center"/>
              <w:rPr>
                <w:rFonts w:ascii="宋体" w:hAnsi="宋体"/>
                <w:szCs w:val="21"/>
              </w:rPr>
            </w:pPr>
          </w:p>
        </w:tc>
      </w:tr>
      <w:tr w14:paraId="5FAE7D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1777" w:hRule="atLeast"/>
        </w:trPr>
        <w:tc>
          <w:tcPr>
            <w:tcW w:w="1257" w:type="dxa"/>
            <w:gridSpan w:val="2"/>
            <w:tcBorders>
              <w:top w:val="single" w:color="auto" w:sz="6" w:space="0"/>
              <w:left w:val="double" w:color="auto" w:sz="4" w:space="0"/>
              <w:bottom w:val="double" w:color="auto" w:sz="4" w:space="0"/>
              <w:right w:val="single" w:color="auto" w:sz="6" w:space="0"/>
            </w:tcBorders>
            <w:noWrap w:val="0"/>
            <w:vAlign w:val="center"/>
          </w:tcPr>
          <w:p w14:paraId="506E9496">
            <w:pPr>
              <w:topLinePunct/>
              <w:spacing w:line="440" w:lineRule="exact"/>
              <w:jc w:val="center"/>
              <w:rPr>
                <w:rFonts w:ascii="宋体" w:hAnsi="宋体"/>
                <w:szCs w:val="21"/>
              </w:rPr>
            </w:pPr>
            <w:r>
              <w:rPr>
                <w:rFonts w:ascii="宋体" w:hAnsi="宋体"/>
                <w:szCs w:val="21"/>
              </w:rPr>
              <w:t>备注</w:t>
            </w:r>
          </w:p>
        </w:tc>
        <w:tc>
          <w:tcPr>
            <w:tcW w:w="7743" w:type="dxa"/>
            <w:gridSpan w:val="8"/>
            <w:tcBorders>
              <w:top w:val="single" w:color="auto" w:sz="6" w:space="0"/>
              <w:left w:val="single" w:color="auto" w:sz="6" w:space="0"/>
              <w:bottom w:val="double" w:color="auto" w:sz="4" w:space="0"/>
              <w:right w:val="double" w:color="auto" w:sz="4" w:space="0"/>
            </w:tcBorders>
            <w:noWrap w:val="0"/>
            <w:vAlign w:val="center"/>
          </w:tcPr>
          <w:p w14:paraId="38998EAC">
            <w:pPr>
              <w:topLinePunct/>
              <w:spacing w:line="440" w:lineRule="exact"/>
            </w:pPr>
            <w:r>
              <w:rPr>
                <w:rFonts w:hint="eastAsia"/>
              </w:rPr>
              <w:t>提供营业执照、组织机构代码证和税务登记证(副本复印件)</w:t>
            </w:r>
          </w:p>
          <w:p w14:paraId="3F0EBF65">
            <w:pPr>
              <w:pStyle w:val="9"/>
            </w:pPr>
          </w:p>
        </w:tc>
      </w:tr>
    </w:tbl>
    <w:p w14:paraId="4779E221">
      <w:pPr>
        <w:adjustRightInd w:val="0"/>
        <w:snapToGrid w:val="0"/>
        <w:spacing w:beforeLines="50" w:line="360" w:lineRule="auto"/>
        <w:jc w:val="left"/>
        <w:rPr>
          <w:rFonts w:ascii="宋体" w:hAnsi="宋体"/>
          <w:color w:val="auto"/>
          <w:szCs w:val="21"/>
          <w:highlight w:val="none"/>
        </w:rPr>
        <w:sectPr>
          <w:pgSz w:w="11906" w:h="16838"/>
          <w:pgMar w:top="1418" w:right="1134" w:bottom="1134" w:left="1418" w:header="851" w:footer="992" w:gutter="0"/>
          <w:pgBorders>
            <w:top w:val="none" w:sz="0" w:space="0"/>
            <w:left w:val="none" w:sz="0" w:space="0"/>
            <w:bottom w:val="none" w:sz="0" w:space="0"/>
            <w:right w:val="none" w:sz="0" w:space="0"/>
          </w:pgBorders>
          <w:pgNumType w:fmt="numberInDash"/>
          <w:cols w:space="720" w:num="1"/>
          <w:docGrid w:linePitch="312" w:charSpace="0"/>
        </w:sectPr>
      </w:pPr>
    </w:p>
    <w:p w14:paraId="13B960D2">
      <w:pPr>
        <w:spacing w:line="480" w:lineRule="exact"/>
        <w:ind w:right="23" w:rightChars="11"/>
        <w:outlineLvl w:val="0"/>
        <w:rPr>
          <w:rFonts w:hint="eastAsia" w:ascii="黑体" w:hAnsi="Times New Roman" w:eastAsia="黑体" w:cs="Times New Roman"/>
          <w:color w:val="auto"/>
          <w:sz w:val="24"/>
          <w:lang w:eastAsia="zh-CN"/>
        </w:rPr>
      </w:pPr>
      <w:bookmarkStart w:id="217" w:name="_Toc25516"/>
      <w:bookmarkStart w:id="218" w:name="_Toc7648"/>
      <w:bookmarkStart w:id="219" w:name="_Toc14842"/>
      <w:r>
        <w:rPr>
          <w:rFonts w:hint="eastAsia" w:ascii="黑体" w:hAnsi="Times New Roman" w:eastAsia="黑体" w:cs="Times New Roman"/>
          <w:color w:val="auto"/>
          <w:sz w:val="24"/>
          <w:lang w:eastAsia="zh-CN"/>
        </w:rPr>
        <w:t>附件</w:t>
      </w:r>
      <w:r>
        <w:rPr>
          <w:rFonts w:hint="eastAsia" w:ascii="黑体" w:hAnsi="Times New Roman" w:eastAsia="黑体" w:cs="Times New Roman"/>
          <w:color w:val="auto"/>
          <w:sz w:val="24"/>
          <w:lang w:val="en-US" w:eastAsia="zh-CN"/>
        </w:rPr>
        <w:t>3</w:t>
      </w:r>
      <w:r>
        <w:rPr>
          <w:rFonts w:hint="eastAsia" w:ascii="黑体" w:hAnsi="Times New Roman" w:eastAsia="黑体" w:cs="Times New Roman"/>
          <w:color w:val="auto"/>
          <w:sz w:val="24"/>
          <w:lang w:eastAsia="zh-CN"/>
        </w:rPr>
        <w:t>-</w:t>
      </w:r>
      <w:r>
        <w:rPr>
          <w:rFonts w:hint="eastAsia" w:ascii="黑体" w:hAnsi="Times New Roman" w:eastAsia="黑体" w:cs="Times New Roman"/>
          <w:color w:val="auto"/>
          <w:sz w:val="24"/>
          <w:lang w:val="en-US" w:eastAsia="zh-CN"/>
        </w:rPr>
        <w:t>2</w:t>
      </w:r>
      <w:r>
        <w:rPr>
          <w:rFonts w:hint="eastAsia" w:ascii="黑体" w:hAnsi="Times New Roman" w:eastAsia="黑体" w:cs="Times New Roman"/>
          <w:color w:val="auto"/>
          <w:sz w:val="24"/>
          <w:lang w:eastAsia="zh-CN"/>
        </w:rPr>
        <w:t>：</w:t>
      </w:r>
      <w:bookmarkEnd w:id="217"/>
      <w:bookmarkEnd w:id="218"/>
      <w:bookmarkEnd w:id="219"/>
    </w:p>
    <w:p w14:paraId="46DC7C2E">
      <w:pPr>
        <w:spacing w:line="480" w:lineRule="exact"/>
        <w:ind w:right="23" w:rightChars="11"/>
        <w:jc w:val="center"/>
        <w:outlineLvl w:val="9"/>
        <w:rPr>
          <w:rFonts w:hint="eastAsia" w:ascii="黑体" w:eastAsia="黑体"/>
          <w:color w:val="auto"/>
          <w:sz w:val="24"/>
        </w:rPr>
      </w:pPr>
      <w:r>
        <w:rPr>
          <w:rFonts w:hint="eastAsia" w:ascii="黑体" w:eastAsia="黑体"/>
          <w:b/>
          <w:color w:val="auto"/>
          <w:sz w:val="28"/>
          <w:szCs w:val="28"/>
        </w:rPr>
        <w:t>磋商文件规定的基本资格条件证明资料</w:t>
      </w:r>
    </w:p>
    <w:p w14:paraId="001E1179">
      <w:pPr>
        <w:spacing w:line="480" w:lineRule="exact"/>
        <w:ind w:right="23" w:rightChars="11"/>
        <w:rPr>
          <w:rFonts w:hint="eastAsia" w:ascii="黑体" w:eastAsia="黑体"/>
          <w:color w:val="auto"/>
          <w:sz w:val="24"/>
        </w:rPr>
      </w:pPr>
    </w:p>
    <w:p w14:paraId="4195C5BA">
      <w:pPr>
        <w:adjustRightInd w:val="0"/>
        <w:snapToGrid w:val="0"/>
        <w:spacing w:line="360" w:lineRule="auto"/>
        <w:ind w:right="23" w:rightChars="11"/>
        <w:rPr>
          <w:rFonts w:hint="eastAsia" w:ascii="宋体" w:hAnsi="宋体" w:cs="宋体"/>
          <w:color w:val="auto"/>
          <w:kern w:val="0"/>
          <w:szCs w:val="21"/>
        </w:rPr>
      </w:pPr>
      <w:r>
        <w:rPr>
          <w:rFonts w:hint="eastAsia" w:ascii="宋体" w:hAnsi="宋体" w:cs="宋体"/>
          <w:color w:val="000000"/>
          <w:szCs w:val="21"/>
        </w:rPr>
        <w:t>备注：提供第二章磋商须知第</w:t>
      </w:r>
      <w:r>
        <w:rPr>
          <w:rFonts w:hint="eastAsia" w:ascii="宋体" w:hAnsi="宋体"/>
          <w:color w:val="auto"/>
          <w:szCs w:val="21"/>
          <w:highlight w:val="none"/>
        </w:rPr>
        <w:t>11.2款</w:t>
      </w:r>
      <w:r>
        <w:rPr>
          <w:rFonts w:hint="eastAsia" w:ascii="宋体" w:hAnsi="宋体" w:cs="宋体"/>
          <w:color w:val="000000"/>
          <w:szCs w:val="21"/>
        </w:rPr>
        <w:t>供应商资格条件证明资料的复印件</w:t>
      </w:r>
      <w:r>
        <w:rPr>
          <w:rFonts w:hint="eastAsia" w:ascii="仿宋_GB2312" w:hAnsi="宋体" w:eastAsia="仿宋_GB2312" w:cs="宋体"/>
          <w:color w:val="auto"/>
          <w:kern w:val="0"/>
          <w:szCs w:val="21"/>
          <w:highlight w:val="none"/>
        </w:rPr>
        <w:t>。</w:t>
      </w:r>
    </w:p>
    <w:p w14:paraId="2B6C6328">
      <w:pPr>
        <w:adjustRightInd w:val="0"/>
        <w:snapToGrid w:val="0"/>
        <w:spacing w:line="360" w:lineRule="auto"/>
        <w:ind w:right="23" w:rightChars="11"/>
        <w:rPr>
          <w:rFonts w:hint="eastAsia" w:ascii="仿宋_GB2312" w:hAnsi="宋体" w:eastAsia="仿宋_GB2312" w:cs="宋体"/>
          <w:color w:val="auto"/>
          <w:kern w:val="0"/>
          <w:szCs w:val="21"/>
        </w:rPr>
      </w:pPr>
    </w:p>
    <w:p w14:paraId="0F2871EB">
      <w:pPr>
        <w:adjustRightInd w:val="0"/>
        <w:snapToGrid w:val="0"/>
        <w:spacing w:line="360" w:lineRule="auto"/>
        <w:ind w:right="23" w:rightChars="11"/>
        <w:rPr>
          <w:rFonts w:hint="eastAsia" w:ascii="仿宋_GB2312" w:hAnsi="宋体" w:eastAsia="仿宋_GB2312" w:cs="宋体"/>
          <w:color w:val="auto"/>
          <w:kern w:val="0"/>
          <w:szCs w:val="21"/>
        </w:rPr>
      </w:pPr>
    </w:p>
    <w:p w14:paraId="3376D2CC">
      <w:pPr>
        <w:pStyle w:val="5"/>
        <w:bidi w:val="0"/>
        <w:jc w:val="center"/>
        <w:outlineLvl w:val="9"/>
        <w:rPr>
          <w:rFonts w:hint="eastAsia"/>
          <w:color w:val="auto"/>
        </w:rPr>
      </w:pPr>
      <w:r>
        <w:rPr>
          <w:rFonts w:hint="eastAsia"/>
          <w:color w:val="auto"/>
        </w:rPr>
        <w:t>资格审查表</w:t>
      </w:r>
    </w:p>
    <w:tbl>
      <w:tblPr>
        <w:tblStyle w:val="86"/>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2247"/>
        <w:gridCol w:w="5622"/>
      </w:tblGrid>
      <w:tr w14:paraId="35E26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650" w:type="dxa"/>
            <w:tcBorders>
              <w:right w:val="single" w:color="000000" w:sz="4" w:space="0"/>
            </w:tcBorders>
            <w:noWrap w:val="0"/>
            <w:vAlign w:val="top"/>
          </w:tcPr>
          <w:p w14:paraId="1E9745E5">
            <w:pPr>
              <w:spacing w:before="144" w:line="222" w:lineRule="auto"/>
              <w:ind w:left="143"/>
              <w:rPr>
                <w:rFonts w:ascii="宋体" w:hAnsi="宋体" w:eastAsia="宋体" w:cs="宋体"/>
                <w:b/>
                <w:bCs/>
                <w:color w:val="auto"/>
                <w:sz w:val="24"/>
                <w:szCs w:val="24"/>
              </w:rPr>
            </w:pPr>
            <w:r>
              <w:rPr>
                <w:rFonts w:ascii="宋体" w:hAnsi="宋体" w:eastAsia="宋体" w:cs="宋体"/>
                <w:b/>
                <w:bCs/>
                <w:color w:val="auto"/>
                <w:spacing w:val="-2"/>
                <w:sz w:val="24"/>
                <w:szCs w:val="24"/>
              </w:rPr>
              <w:t>序</w:t>
            </w:r>
            <w:r>
              <w:rPr>
                <w:rFonts w:ascii="宋体" w:hAnsi="宋体" w:eastAsia="宋体" w:cs="宋体"/>
                <w:b/>
                <w:bCs/>
                <w:color w:val="auto"/>
                <w:spacing w:val="-1"/>
                <w:sz w:val="24"/>
                <w:szCs w:val="24"/>
              </w:rPr>
              <w:t>号</w:t>
            </w:r>
          </w:p>
        </w:tc>
        <w:tc>
          <w:tcPr>
            <w:tcW w:w="2247" w:type="dxa"/>
            <w:tcBorders>
              <w:left w:val="single" w:color="000000" w:sz="4" w:space="0"/>
              <w:right w:val="single" w:color="000000" w:sz="4" w:space="0"/>
            </w:tcBorders>
            <w:noWrap w:val="0"/>
            <w:vAlign w:val="top"/>
          </w:tcPr>
          <w:p w14:paraId="46ADFEEF">
            <w:pPr>
              <w:spacing w:before="145" w:line="221" w:lineRule="auto"/>
              <w:ind w:left="787"/>
              <w:rPr>
                <w:rFonts w:ascii="宋体" w:hAnsi="宋体" w:eastAsia="宋体" w:cs="宋体"/>
                <w:b/>
                <w:bCs/>
                <w:color w:val="auto"/>
                <w:sz w:val="24"/>
                <w:szCs w:val="24"/>
              </w:rPr>
            </w:pPr>
            <w:r>
              <w:rPr>
                <w:rFonts w:ascii="宋体" w:hAnsi="宋体" w:eastAsia="宋体" w:cs="宋体"/>
                <w:b/>
                <w:bCs/>
                <w:color w:val="auto"/>
                <w:spacing w:val="-4"/>
                <w:sz w:val="24"/>
                <w:szCs w:val="24"/>
              </w:rPr>
              <w:t>审</w:t>
            </w:r>
            <w:r>
              <w:rPr>
                <w:rFonts w:ascii="宋体" w:hAnsi="宋体" w:eastAsia="宋体" w:cs="宋体"/>
                <w:b/>
                <w:bCs/>
                <w:color w:val="auto"/>
                <w:spacing w:val="-3"/>
                <w:sz w:val="24"/>
                <w:szCs w:val="24"/>
              </w:rPr>
              <w:t>查</w:t>
            </w:r>
            <w:r>
              <w:rPr>
                <w:rFonts w:ascii="宋体" w:hAnsi="宋体" w:eastAsia="宋体" w:cs="宋体"/>
                <w:b/>
                <w:bCs/>
                <w:color w:val="auto"/>
                <w:spacing w:val="-2"/>
                <w:sz w:val="24"/>
                <w:szCs w:val="24"/>
              </w:rPr>
              <w:t>项目</w:t>
            </w:r>
          </w:p>
        </w:tc>
        <w:tc>
          <w:tcPr>
            <w:tcW w:w="5622" w:type="dxa"/>
            <w:tcBorders>
              <w:left w:val="single" w:color="000000" w:sz="4" w:space="0"/>
            </w:tcBorders>
            <w:noWrap w:val="0"/>
            <w:vAlign w:val="top"/>
          </w:tcPr>
          <w:p w14:paraId="212548D1">
            <w:pPr>
              <w:spacing w:before="145" w:line="221" w:lineRule="auto"/>
              <w:ind w:left="2579"/>
              <w:rPr>
                <w:rFonts w:ascii="宋体" w:hAnsi="宋体" w:eastAsia="宋体" w:cs="宋体"/>
                <w:b/>
                <w:bCs/>
                <w:color w:val="auto"/>
                <w:sz w:val="24"/>
                <w:szCs w:val="24"/>
              </w:rPr>
            </w:pPr>
            <w:r>
              <w:rPr>
                <w:rFonts w:ascii="宋体" w:hAnsi="宋体" w:eastAsia="宋体" w:cs="宋体"/>
                <w:b/>
                <w:bCs/>
                <w:color w:val="auto"/>
                <w:spacing w:val="-4"/>
                <w:sz w:val="24"/>
                <w:szCs w:val="24"/>
              </w:rPr>
              <w:t>审</w:t>
            </w:r>
            <w:r>
              <w:rPr>
                <w:rFonts w:ascii="宋体" w:hAnsi="宋体" w:eastAsia="宋体" w:cs="宋体"/>
                <w:b/>
                <w:bCs/>
                <w:color w:val="auto"/>
                <w:spacing w:val="-3"/>
                <w:sz w:val="24"/>
                <w:szCs w:val="24"/>
              </w:rPr>
              <w:t>查</w:t>
            </w:r>
            <w:r>
              <w:rPr>
                <w:rFonts w:ascii="宋体" w:hAnsi="宋体" w:eastAsia="宋体" w:cs="宋体"/>
                <w:b/>
                <w:bCs/>
                <w:color w:val="auto"/>
                <w:spacing w:val="-2"/>
                <w:sz w:val="24"/>
                <w:szCs w:val="24"/>
              </w:rPr>
              <w:t>标准</w:t>
            </w:r>
          </w:p>
        </w:tc>
      </w:tr>
      <w:tr w14:paraId="6CD8D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6" w:hRule="atLeast"/>
        </w:trPr>
        <w:tc>
          <w:tcPr>
            <w:tcW w:w="650" w:type="dxa"/>
            <w:tcBorders>
              <w:right w:val="single" w:color="000000" w:sz="4" w:space="0"/>
            </w:tcBorders>
            <w:noWrap w:val="0"/>
            <w:vAlign w:val="center"/>
          </w:tcPr>
          <w:p w14:paraId="2FB41A22">
            <w:pPr>
              <w:spacing w:before="60" w:line="187" w:lineRule="auto"/>
              <w:jc w:val="center"/>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p>
        </w:tc>
        <w:tc>
          <w:tcPr>
            <w:tcW w:w="2247" w:type="dxa"/>
            <w:tcBorders>
              <w:left w:val="single" w:color="000000" w:sz="4" w:space="0"/>
              <w:right w:val="single" w:color="000000" w:sz="4" w:space="0"/>
            </w:tcBorders>
            <w:noWrap w:val="0"/>
            <w:vAlign w:val="center"/>
          </w:tcPr>
          <w:p w14:paraId="4C298A5A">
            <w:pPr>
              <w:spacing w:before="35" w:line="228" w:lineRule="auto"/>
              <w:ind w:left="112" w:right="103"/>
              <w:jc w:val="both"/>
              <w:rPr>
                <w:rFonts w:ascii="宋体" w:hAnsi="宋体" w:eastAsia="宋体" w:cs="宋体"/>
                <w:color w:val="auto"/>
                <w:spacing w:val="12"/>
                <w:sz w:val="24"/>
                <w:szCs w:val="24"/>
              </w:rPr>
            </w:pPr>
            <w:r>
              <w:rPr>
                <w:rFonts w:ascii="宋体" w:hAnsi="宋体" w:eastAsia="宋体" w:cs="宋体"/>
                <w:color w:val="auto"/>
                <w:spacing w:val="12"/>
                <w:sz w:val="24"/>
                <w:szCs w:val="24"/>
              </w:rPr>
              <w:t>具有独立承担民事责任的能力</w:t>
            </w:r>
          </w:p>
        </w:tc>
        <w:tc>
          <w:tcPr>
            <w:tcW w:w="5622" w:type="dxa"/>
            <w:tcBorders>
              <w:left w:val="single" w:color="000000" w:sz="4" w:space="0"/>
            </w:tcBorders>
            <w:noWrap w:val="0"/>
            <w:vAlign w:val="center"/>
          </w:tcPr>
          <w:p w14:paraId="03B6B062">
            <w:pPr>
              <w:keepNext w:val="0"/>
              <w:keepLines w:val="0"/>
              <w:pageBreakBefore w:val="0"/>
              <w:widowControl w:val="0"/>
              <w:kinsoku/>
              <w:wordWrap/>
              <w:overflowPunct/>
              <w:topLinePunct w:val="0"/>
              <w:autoSpaceDE/>
              <w:autoSpaceDN/>
              <w:bidi w:val="0"/>
              <w:adjustRightInd/>
              <w:snapToGrid/>
              <w:spacing w:line="252" w:lineRule="auto"/>
              <w:ind w:left="114" w:right="210" w:hanging="2"/>
              <w:jc w:val="both"/>
              <w:textAlignment w:val="auto"/>
              <w:rPr>
                <w:rFonts w:ascii="宋体" w:hAnsi="宋体" w:eastAsia="宋体" w:cs="宋体"/>
                <w:color w:val="auto"/>
                <w:spacing w:val="-4"/>
                <w:sz w:val="24"/>
                <w:szCs w:val="24"/>
              </w:rPr>
            </w:pPr>
            <w:r>
              <w:rPr>
                <w:rFonts w:ascii="宋体" w:hAnsi="宋体" w:eastAsia="宋体" w:cs="宋体"/>
                <w:color w:val="auto"/>
                <w:spacing w:val="-4"/>
                <w:sz w:val="24"/>
                <w:szCs w:val="24"/>
              </w:rPr>
              <w:t>投标人为营利法人的，应提交营业执照扫描件；投标人为依法允许经营的事业单位的，应提交事业单位法人证书扫描件；投标人为非法人组织的，应提交依法登记证书扫描件；投标人为自然人的，应提交自然人的身份证明扫描件</w:t>
            </w:r>
          </w:p>
        </w:tc>
      </w:tr>
      <w:tr w14:paraId="5E972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650" w:type="dxa"/>
            <w:tcBorders>
              <w:right w:val="single" w:color="000000" w:sz="4" w:space="0"/>
            </w:tcBorders>
            <w:noWrap w:val="0"/>
            <w:vAlign w:val="center"/>
          </w:tcPr>
          <w:p w14:paraId="1BBC869B">
            <w:pPr>
              <w:spacing w:before="60" w:line="187" w:lineRule="auto"/>
              <w:jc w:val="center"/>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w:t>
            </w:r>
          </w:p>
        </w:tc>
        <w:tc>
          <w:tcPr>
            <w:tcW w:w="2247" w:type="dxa"/>
            <w:tcBorders>
              <w:left w:val="single" w:color="000000" w:sz="4" w:space="0"/>
              <w:right w:val="single" w:color="000000" w:sz="4" w:space="0"/>
            </w:tcBorders>
            <w:noWrap w:val="0"/>
            <w:vAlign w:val="center"/>
          </w:tcPr>
          <w:p w14:paraId="07EB4936">
            <w:pPr>
              <w:spacing w:before="35" w:line="228" w:lineRule="auto"/>
              <w:ind w:left="112" w:right="103"/>
              <w:jc w:val="both"/>
              <w:rPr>
                <w:rFonts w:ascii="宋体" w:hAnsi="宋体" w:eastAsia="宋体" w:cs="宋体"/>
                <w:color w:val="auto"/>
                <w:spacing w:val="12"/>
                <w:sz w:val="24"/>
                <w:szCs w:val="24"/>
              </w:rPr>
            </w:pPr>
            <w:r>
              <w:rPr>
                <w:rFonts w:hint="eastAsia" w:ascii="宋体" w:hAnsi="宋体" w:eastAsia="宋体" w:cs="宋体"/>
                <w:i w:val="0"/>
                <w:caps w:val="0"/>
                <w:color w:val="auto"/>
                <w:spacing w:val="0"/>
                <w:kern w:val="0"/>
                <w:sz w:val="24"/>
                <w:szCs w:val="24"/>
                <w:lang w:val="en-US" w:eastAsia="zh-CN" w:bidi="ar"/>
              </w:rPr>
              <w:t>具有良好的商业信誉和健全的财务会计制度</w:t>
            </w:r>
          </w:p>
        </w:tc>
        <w:tc>
          <w:tcPr>
            <w:tcW w:w="5622" w:type="dxa"/>
            <w:tcBorders>
              <w:left w:val="single" w:color="000000" w:sz="4" w:space="0"/>
            </w:tcBorders>
            <w:noWrap w:val="0"/>
            <w:vAlign w:val="center"/>
          </w:tcPr>
          <w:p w14:paraId="17BC10F1">
            <w:pPr>
              <w:keepNext w:val="0"/>
              <w:keepLines w:val="0"/>
              <w:pageBreakBefore w:val="0"/>
              <w:widowControl w:val="0"/>
              <w:kinsoku/>
              <w:wordWrap/>
              <w:overflowPunct/>
              <w:topLinePunct w:val="0"/>
              <w:autoSpaceDE/>
              <w:autoSpaceDN/>
              <w:bidi w:val="0"/>
              <w:adjustRightInd/>
              <w:snapToGrid/>
              <w:spacing w:line="252" w:lineRule="auto"/>
              <w:ind w:left="114" w:right="210" w:hanging="2"/>
              <w:jc w:val="both"/>
              <w:textAlignment w:val="auto"/>
              <w:rPr>
                <w:rFonts w:ascii="宋体" w:hAnsi="宋体" w:eastAsia="宋体" w:cs="宋体"/>
                <w:color w:val="auto"/>
                <w:spacing w:val="-4"/>
                <w:sz w:val="24"/>
                <w:szCs w:val="24"/>
              </w:rPr>
            </w:pPr>
            <w:r>
              <w:rPr>
                <w:rFonts w:hint="eastAsia" w:ascii="宋体" w:hAnsi="宋体" w:eastAsia="宋体" w:cs="宋体"/>
                <w:i w:val="0"/>
                <w:caps w:val="0"/>
                <w:color w:val="auto"/>
                <w:spacing w:val="0"/>
                <w:kern w:val="0"/>
                <w:sz w:val="24"/>
                <w:szCs w:val="24"/>
                <w:lang w:val="en-US" w:eastAsia="zh-CN" w:bidi="ar"/>
              </w:rPr>
              <w:t>具有良好的商业信誉和健全的财务会计制度</w:t>
            </w:r>
            <w:r>
              <w:rPr>
                <w:rFonts w:ascii="宋体" w:hAnsi="宋体" w:eastAsia="宋体" w:cs="宋体"/>
                <w:color w:val="auto"/>
                <w:spacing w:val="-4"/>
                <w:sz w:val="24"/>
                <w:szCs w:val="24"/>
              </w:rPr>
              <w:t>(见</w:t>
            </w:r>
            <w:r>
              <w:rPr>
                <w:rFonts w:hint="eastAsia" w:ascii="宋体" w:hAnsi="宋体" w:eastAsia="宋体" w:cs="宋体"/>
                <w:color w:val="auto"/>
                <w:spacing w:val="-4"/>
                <w:sz w:val="24"/>
                <w:szCs w:val="24"/>
                <w:lang w:val="en-US" w:eastAsia="zh-CN"/>
              </w:rPr>
              <w:t>湖南省政府采购供应商资格承诺函或供应商资格声明</w:t>
            </w:r>
            <w:r>
              <w:rPr>
                <w:rFonts w:ascii="宋体" w:hAnsi="宋体" w:eastAsia="宋体" w:cs="宋体"/>
                <w:color w:val="auto"/>
                <w:spacing w:val="-4"/>
                <w:sz w:val="24"/>
                <w:szCs w:val="24"/>
              </w:rPr>
              <w:t>格式文件)</w:t>
            </w:r>
          </w:p>
        </w:tc>
      </w:tr>
      <w:tr w14:paraId="1B60D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trPr>
        <w:tc>
          <w:tcPr>
            <w:tcW w:w="650" w:type="dxa"/>
            <w:tcBorders>
              <w:right w:val="single" w:color="000000" w:sz="4" w:space="0"/>
            </w:tcBorders>
            <w:noWrap w:val="0"/>
            <w:vAlign w:val="center"/>
          </w:tcPr>
          <w:p w14:paraId="6DD61195">
            <w:pPr>
              <w:spacing w:before="202" w:line="187" w:lineRule="auto"/>
              <w:jc w:val="center"/>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3</w:t>
            </w:r>
          </w:p>
        </w:tc>
        <w:tc>
          <w:tcPr>
            <w:tcW w:w="2247" w:type="dxa"/>
            <w:tcBorders>
              <w:left w:val="single" w:color="000000" w:sz="4" w:space="0"/>
              <w:right w:val="single" w:color="000000" w:sz="4" w:space="0"/>
            </w:tcBorders>
            <w:noWrap w:val="0"/>
            <w:vAlign w:val="center"/>
          </w:tcPr>
          <w:p w14:paraId="484E9523">
            <w:pPr>
              <w:spacing w:before="35" w:line="228" w:lineRule="auto"/>
              <w:ind w:left="112" w:right="103"/>
              <w:jc w:val="both"/>
              <w:rPr>
                <w:rFonts w:ascii="宋体" w:hAnsi="宋体" w:eastAsia="宋体" w:cs="宋体"/>
                <w:color w:val="auto"/>
                <w:spacing w:val="12"/>
                <w:sz w:val="24"/>
                <w:szCs w:val="24"/>
              </w:rPr>
            </w:pPr>
            <w:r>
              <w:rPr>
                <w:rFonts w:ascii="宋体" w:hAnsi="宋体" w:eastAsia="宋体" w:cs="宋体"/>
                <w:color w:val="auto"/>
                <w:spacing w:val="12"/>
                <w:sz w:val="24"/>
                <w:szCs w:val="24"/>
              </w:rPr>
              <w:t>具有履行合同所必需的设备和专业技术能力</w:t>
            </w:r>
          </w:p>
        </w:tc>
        <w:tc>
          <w:tcPr>
            <w:tcW w:w="5622" w:type="dxa"/>
            <w:tcBorders>
              <w:left w:val="single" w:color="000000" w:sz="4" w:space="0"/>
            </w:tcBorders>
            <w:noWrap w:val="0"/>
            <w:vAlign w:val="center"/>
          </w:tcPr>
          <w:p w14:paraId="07762ADF">
            <w:pPr>
              <w:keepNext w:val="0"/>
              <w:keepLines w:val="0"/>
              <w:pageBreakBefore w:val="0"/>
              <w:widowControl w:val="0"/>
              <w:kinsoku/>
              <w:wordWrap/>
              <w:overflowPunct/>
              <w:topLinePunct w:val="0"/>
              <w:autoSpaceDE/>
              <w:autoSpaceDN/>
              <w:bidi w:val="0"/>
              <w:adjustRightInd/>
              <w:snapToGrid/>
              <w:spacing w:line="252" w:lineRule="auto"/>
              <w:ind w:left="114" w:right="210" w:hanging="2"/>
              <w:jc w:val="both"/>
              <w:textAlignment w:val="auto"/>
              <w:rPr>
                <w:rFonts w:hint="eastAsia" w:ascii="宋体" w:hAnsi="宋体" w:eastAsia="宋体" w:cs="宋体"/>
                <w:i w:val="0"/>
                <w:caps w:val="0"/>
                <w:color w:val="auto"/>
                <w:spacing w:val="0"/>
                <w:kern w:val="0"/>
                <w:sz w:val="24"/>
                <w:szCs w:val="24"/>
                <w:lang w:val="en-US" w:eastAsia="zh-CN" w:bidi="ar"/>
              </w:rPr>
            </w:pPr>
            <w:r>
              <w:rPr>
                <w:rFonts w:hint="eastAsia" w:ascii="宋体" w:hAnsi="宋体" w:eastAsia="宋体" w:cs="宋体"/>
                <w:i w:val="0"/>
                <w:caps w:val="0"/>
                <w:color w:val="auto"/>
                <w:spacing w:val="0"/>
                <w:kern w:val="0"/>
                <w:sz w:val="24"/>
                <w:szCs w:val="24"/>
                <w:lang w:val="en-US" w:eastAsia="zh-CN" w:bidi="ar"/>
              </w:rPr>
              <w:t>具备履行合同所必需的设备和专业技术能力的书面承诺(见湖南省政府采购供应商资格承诺函</w:t>
            </w:r>
            <w:r>
              <w:rPr>
                <w:rFonts w:hint="eastAsia" w:ascii="宋体" w:hAnsi="宋体" w:eastAsia="宋体" w:cs="宋体"/>
                <w:color w:val="auto"/>
                <w:spacing w:val="-4"/>
                <w:sz w:val="24"/>
                <w:szCs w:val="24"/>
                <w:lang w:val="en-US" w:eastAsia="zh-CN"/>
              </w:rPr>
              <w:t>或</w:t>
            </w:r>
            <w:r>
              <w:rPr>
                <w:rFonts w:hint="eastAsia" w:ascii="宋体" w:hAnsi="宋体" w:eastAsia="宋体" w:cs="宋体"/>
                <w:i w:val="0"/>
                <w:caps w:val="0"/>
                <w:color w:val="auto"/>
                <w:spacing w:val="0"/>
                <w:kern w:val="0"/>
                <w:sz w:val="24"/>
                <w:szCs w:val="24"/>
                <w:lang w:val="en-US" w:eastAsia="zh-CN" w:bidi="ar"/>
              </w:rPr>
              <w:t>供应商资格声明格式文件)</w:t>
            </w:r>
          </w:p>
        </w:tc>
      </w:tr>
      <w:tr w14:paraId="75442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50" w:type="dxa"/>
            <w:tcBorders>
              <w:right w:val="single" w:color="000000" w:sz="4" w:space="0"/>
            </w:tcBorders>
            <w:noWrap w:val="0"/>
            <w:vAlign w:val="center"/>
          </w:tcPr>
          <w:p w14:paraId="3C938130">
            <w:pPr>
              <w:spacing w:before="61" w:line="187" w:lineRule="auto"/>
              <w:jc w:val="center"/>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4</w:t>
            </w:r>
          </w:p>
        </w:tc>
        <w:tc>
          <w:tcPr>
            <w:tcW w:w="2247" w:type="dxa"/>
            <w:tcBorders>
              <w:left w:val="single" w:color="000000" w:sz="4" w:space="0"/>
              <w:right w:val="single" w:color="000000" w:sz="4" w:space="0"/>
            </w:tcBorders>
            <w:noWrap w:val="0"/>
            <w:vAlign w:val="center"/>
          </w:tcPr>
          <w:p w14:paraId="1AC36740">
            <w:pPr>
              <w:spacing w:before="35" w:line="228" w:lineRule="auto"/>
              <w:ind w:left="112" w:right="103"/>
              <w:jc w:val="both"/>
              <w:rPr>
                <w:rFonts w:ascii="宋体" w:hAnsi="宋体" w:eastAsia="宋体" w:cs="宋体"/>
                <w:color w:val="auto"/>
                <w:spacing w:val="12"/>
                <w:sz w:val="24"/>
                <w:szCs w:val="24"/>
              </w:rPr>
            </w:pPr>
            <w:r>
              <w:rPr>
                <w:rFonts w:hint="eastAsia" w:ascii="宋体" w:hAnsi="宋体" w:eastAsia="宋体" w:cs="宋体"/>
                <w:i w:val="0"/>
                <w:caps w:val="0"/>
                <w:color w:val="auto"/>
                <w:spacing w:val="0"/>
                <w:kern w:val="0"/>
                <w:sz w:val="24"/>
                <w:szCs w:val="24"/>
                <w:lang w:val="en-US" w:eastAsia="zh-CN" w:bidi="ar"/>
              </w:rPr>
              <w:t>有依法缴纳税收和社会保障资金的良好记录</w:t>
            </w:r>
          </w:p>
        </w:tc>
        <w:tc>
          <w:tcPr>
            <w:tcW w:w="5622" w:type="dxa"/>
            <w:tcBorders>
              <w:left w:val="single" w:color="000000" w:sz="4" w:space="0"/>
            </w:tcBorders>
            <w:noWrap w:val="0"/>
            <w:vAlign w:val="center"/>
          </w:tcPr>
          <w:p w14:paraId="091A40BE">
            <w:pPr>
              <w:keepNext w:val="0"/>
              <w:keepLines w:val="0"/>
              <w:pageBreakBefore w:val="0"/>
              <w:widowControl w:val="0"/>
              <w:kinsoku/>
              <w:wordWrap/>
              <w:overflowPunct/>
              <w:topLinePunct w:val="0"/>
              <w:autoSpaceDE/>
              <w:autoSpaceDN/>
              <w:bidi w:val="0"/>
              <w:adjustRightInd/>
              <w:snapToGrid/>
              <w:spacing w:line="252" w:lineRule="auto"/>
              <w:ind w:left="114" w:right="210" w:hanging="2"/>
              <w:jc w:val="both"/>
              <w:textAlignment w:val="auto"/>
              <w:rPr>
                <w:rFonts w:hint="eastAsia" w:ascii="宋体" w:hAnsi="宋体" w:eastAsia="宋体" w:cs="宋体"/>
                <w:i w:val="0"/>
                <w:caps w:val="0"/>
                <w:color w:val="auto"/>
                <w:spacing w:val="0"/>
                <w:kern w:val="0"/>
                <w:sz w:val="24"/>
                <w:szCs w:val="24"/>
                <w:lang w:val="en-US" w:eastAsia="zh-CN" w:bidi="ar"/>
              </w:rPr>
            </w:pPr>
            <w:r>
              <w:rPr>
                <w:rFonts w:hint="eastAsia" w:ascii="宋体" w:hAnsi="宋体" w:eastAsia="宋体" w:cs="宋体"/>
                <w:i w:val="0"/>
                <w:caps w:val="0"/>
                <w:color w:val="auto"/>
                <w:spacing w:val="0"/>
                <w:kern w:val="0"/>
                <w:sz w:val="24"/>
                <w:szCs w:val="24"/>
                <w:lang w:val="en-US" w:eastAsia="zh-CN" w:bidi="ar"/>
              </w:rPr>
              <w:t>有依法缴纳税收和社会保障资金的良好记录(见湖南省政府采购供应商资格承诺函</w:t>
            </w:r>
            <w:r>
              <w:rPr>
                <w:rFonts w:hint="eastAsia" w:ascii="宋体" w:hAnsi="宋体" w:eastAsia="宋体" w:cs="宋体"/>
                <w:color w:val="auto"/>
                <w:spacing w:val="-4"/>
                <w:sz w:val="24"/>
                <w:szCs w:val="24"/>
                <w:lang w:val="en-US" w:eastAsia="zh-CN"/>
              </w:rPr>
              <w:t>或</w:t>
            </w:r>
            <w:r>
              <w:rPr>
                <w:rFonts w:hint="eastAsia" w:ascii="宋体" w:hAnsi="宋体" w:eastAsia="宋体" w:cs="宋体"/>
                <w:i w:val="0"/>
                <w:caps w:val="0"/>
                <w:color w:val="auto"/>
                <w:spacing w:val="0"/>
                <w:kern w:val="0"/>
                <w:sz w:val="24"/>
                <w:szCs w:val="24"/>
                <w:lang w:val="en-US" w:eastAsia="zh-CN" w:bidi="ar"/>
              </w:rPr>
              <w:t>供应商资格声明格式文件)</w:t>
            </w:r>
          </w:p>
        </w:tc>
      </w:tr>
      <w:tr w14:paraId="6E51C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8" w:hRule="atLeast"/>
        </w:trPr>
        <w:tc>
          <w:tcPr>
            <w:tcW w:w="650" w:type="dxa"/>
            <w:tcBorders>
              <w:right w:val="single" w:color="000000" w:sz="4" w:space="0"/>
            </w:tcBorders>
            <w:noWrap w:val="0"/>
            <w:vAlign w:val="center"/>
          </w:tcPr>
          <w:p w14:paraId="4EAE9378">
            <w:pPr>
              <w:spacing w:before="61" w:line="187" w:lineRule="auto"/>
              <w:jc w:val="center"/>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5</w:t>
            </w:r>
          </w:p>
        </w:tc>
        <w:tc>
          <w:tcPr>
            <w:tcW w:w="2247" w:type="dxa"/>
            <w:tcBorders>
              <w:left w:val="single" w:color="000000" w:sz="4" w:space="0"/>
              <w:right w:val="single" w:color="000000" w:sz="4" w:space="0"/>
            </w:tcBorders>
            <w:noWrap w:val="0"/>
            <w:vAlign w:val="center"/>
          </w:tcPr>
          <w:p w14:paraId="404B3B87">
            <w:pPr>
              <w:spacing w:before="35" w:line="228" w:lineRule="auto"/>
              <w:ind w:left="112" w:right="103"/>
              <w:jc w:val="both"/>
              <w:rPr>
                <w:rFonts w:ascii="宋体" w:hAnsi="宋体" w:eastAsia="宋体" w:cs="宋体"/>
                <w:color w:val="auto"/>
                <w:spacing w:val="12"/>
                <w:sz w:val="24"/>
                <w:szCs w:val="24"/>
              </w:rPr>
            </w:pPr>
            <w:r>
              <w:rPr>
                <w:rFonts w:ascii="宋体" w:hAnsi="宋体" w:eastAsia="宋体" w:cs="宋体"/>
                <w:color w:val="auto"/>
                <w:spacing w:val="12"/>
                <w:sz w:val="24"/>
                <w:szCs w:val="24"/>
              </w:rPr>
              <w:t>参加政府采购活动前三年内，在经营活动中没有重大违法记录</w:t>
            </w:r>
          </w:p>
        </w:tc>
        <w:tc>
          <w:tcPr>
            <w:tcW w:w="5622" w:type="dxa"/>
            <w:tcBorders>
              <w:left w:val="single" w:color="000000" w:sz="4" w:space="0"/>
            </w:tcBorders>
            <w:noWrap w:val="0"/>
            <w:vAlign w:val="center"/>
          </w:tcPr>
          <w:p w14:paraId="4A2B3363">
            <w:pPr>
              <w:keepNext w:val="0"/>
              <w:keepLines w:val="0"/>
              <w:pageBreakBefore w:val="0"/>
              <w:widowControl w:val="0"/>
              <w:kinsoku/>
              <w:wordWrap/>
              <w:overflowPunct/>
              <w:topLinePunct w:val="0"/>
              <w:autoSpaceDE/>
              <w:autoSpaceDN/>
              <w:bidi w:val="0"/>
              <w:adjustRightInd/>
              <w:snapToGrid/>
              <w:spacing w:line="252" w:lineRule="auto"/>
              <w:ind w:left="114" w:right="210" w:hanging="2"/>
              <w:jc w:val="both"/>
              <w:textAlignment w:val="auto"/>
              <w:rPr>
                <w:rFonts w:ascii="宋体" w:hAnsi="宋体" w:eastAsia="宋体" w:cs="宋体"/>
                <w:color w:val="auto"/>
                <w:spacing w:val="-4"/>
                <w:sz w:val="24"/>
                <w:szCs w:val="24"/>
              </w:rPr>
            </w:pPr>
            <w:r>
              <w:rPr>
                <w:rFonts w:ascii="宋体" w:hAnsi="宋体" w:eastAsia="宋体" w:cs="宋体"/>
                <w:color w:val="auto"/>
                <w:spacing w:val="-4"/>
                <w:sz w:val="24"/>
                <w:szCs w:val="24"/>
              </w:rPr>
              <w:t>参加政府采购活动前3年内在经营活动中没有重大违法记录的书面声明</w:t>
            </w:r>
            <w:r>
              <w:rPr>
                <w:rFonts w:hint="eastAsia" w:ascii="宋体" w:hAnsi="宋体" w:eastAsia="宋体" w:cs="宋体"/>
                <w:i w:val="0"/>
                <w:caps w:val="0"/>
                <w:color w:val="auto"/>
                <w:spacing w:val="0"/>
                <w:kern w:val="0"/>
                <w:sz w:val="24"/>
                <w:szCs w:val="24"/>
                <w:lang w:val="en-US" w:eastAsia="zh-CN" w:bidi="ar"/>
              </w:rPr>
              <w:t>(见湖南省政府采购供应商资格承诺函</w:t>
            </w:r>
            <w:r>
              <w:rPr>
                <w:rFonts w:hint="eastAsia" w:ascii="宋体" w:hAnsi="宋体" w:eastAsia="宋体" w:cs="宋体"/>
                <w:color w:val="auto"/>
                <w:spacing w:val="-4"/>
                <w:sz w:val="24"/>
                <w:szCs w:val="24"/>
                <w:lang w:val="en-US" w:eastAsia="zh-CN"/>
              </w:rPr>
              <w:t>或</w:t>
            </w:r>
            <w:r>
              <w:rPr>
                <w:rFonts w:hint="eastAsia" w:ascii="宋体" w:hAnsi="宋体" w:eastAsia="宋体" w:cs="宋体"/>
                <w:i w:val="0"/>
                <w:caps w:val="0"/>
                <w:color w:val="auto"/>
                <w:spacing w:val="0"/>
                <w:kern w:val="0"/>
                <w:sz w:val="24"/>
                <w:szCs w:val="24"/>
                <w:lang w:val="en-US" w:eastAsia="zh-CN" w:bidi="ar"/>
              </w:rPr>
              <w:t>供应商资格声明格式文件)</w:t>
            </w:r>
            <w:r>
              <w:rPr>
                <w:rFonts w:ascii="宋体" w:hAnsi="宋体" w:eastAsia="宋体" w:cs="宋体"/>
                <w:color w:val="auto"/>
                <w:spacing w:val="-4"/>
                <w:sz w:val="24"/>
                <w:szCs w:val="24"/>
              </w:rPr>
              <w:t>。</w:t>
            </w:r>
          </w:p>
        </w:tc>
      </w:tr>
      <w:tr w14:paraId="5C6F7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650" w:type="dxa"/>
            <w:tcBorders>
              <w:right w:val="single" w:color="000000" w:sz="4" w:space="0"/>
            </w:tcBorders>
            <w:noWrap w:val="0"/>
            <w:vAlign w:val="center"/>
          </w:tcPr>
          <w:p w14:paraId="48C510E2">
            <w:pPr>
              <w:spacing w:before="203" w:line="187" w:lineRule="auto"/>
              <w:jc w:val="center"/>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6</w:t>
            </w:r>
          </w:p>
        </w:tc>
        <w:tc>
          <w:tcPr>
            <w:tcW w:w="2247" w:type="dxa"/>
            <w:tcBorders>
              <w:left w:val="single" w:color="000000" w:sz="4" w:space="0"/>
              <w:right w:val="single" w:color="000000" w:sz="4" w:space="0"/>
            </w:tcBorders>
            <w:noWrap w:val="0"/>
            <w:vAlign w:val="center"/>
          </w:tcPr>
          <w:p w14:paraId="65A45C52">
            <w:pPr>
              <w:spacing w:before="35" w:line="228" w:lineRule="auto"/>
              <w:ind w:left="112" w:right="103"/>
              <w:jc w:val="both"/>
              <w:rPr>
                <w:rFonts w:hint="eastAsia" w:ascii="宋体" w:hAnsi="宋体" w:eastAsia="宋体" w:cs="宋体"/>
                <w:color w:val="auto"/>
                <w:spacing w:val="12"/>
                <w:sz w:val="24"/>
                <w:szCs w:val="24"/>
                <w:lang w:eastAsia="zh-CN"/>
              </w:rPr>
            </w:pPr>
            <w:r>
              <w:rPr>
                <w:rFonts w:ascii="宋体" w:hAnsi="宋体" w:eastAsia="宋体" w:cs="宋体"/>
                <w:color w:val="auto"/>
                <w:spacing w:val="12"/>
                <w:sz w:val="24"/>
                <w:szCs w:val="24"/>
              </w:rPr>
              <w:t>法律、行政法规规定的其他条件</w:t>
            </w:r>
          </w:p>
        </w:tc>
        <w:tc>
          <w:tcPr>
            <w:tcW w:w="5622" w:type="dxa"/>
            <w:tcBorders>
              <w:left w:val="single" w:color="000000" w:sz="4" w:space="0"/>
            </w:tcBorders>
            <w:noWrap w:val="0"/>
            <w:vAlign w:val="center"/>
          </w:tcPr>
          <w:p w14:paraId="28DE52B7">
            <w:pPr>
              <w:keepNext w:val="0"/>
              <w:keepLines w:val="0"/>
              <w:pageBreakBefore w:val="0"/>
              <w:widowControl w:val="0"/>
              <w:kinsoku/>
              <w:wordWrap/>
              <w:overflowPunct/>
              <w:topLinePunct w:val="0"/>
              <w:autoSpaceDE/>
              <w:autoSpaceDN/>
              <w:bidi w:val="0"/>
              <w:adjustRightInd/>
              <w:snapToGrid/>
              <w:spacing w:line="252" w:lineRule="auto"/>
              <w:ind w:left="114" w:right="210" w:hanging="2"/>
              <w:jc w:val="both"/>
              <w:textAlignment w:val="auto"/>
              <w:rPr>
                <w:rFonts w:ascii="宋体" w:hAnsi="宋体" w:eastAsia="宋体" w:cs="宋体"/>
                <w:color w:val="auto"/>
                <w:spacing w:val="-4"/>
                <w:sz w:val="24"/>
                <w:szCs w:val="24"/>
              </w:rPr>
            </w:pPr>
            <w:r>
              <w:rPr>
                <w:rFonts w:ascii="宋体" w:hAnsi="宋体" w:eastAsia="宋体" w:cs="宋体"/>
                <w:color w:val="auto"/>
                <w:spacing w:val="-4"/>
                <w:sz w:val="24"/>
                <w:szCs w:val="24"/>
              </w:rPr>
              <w:t>提供投标人特定资格条件证明资料。具体要求见【投标须知前附表】</w:t>
            </w:r>
          </w:p>
        </w:tc>
      </w:tr>
      <w:tr w14:paraId="0A46F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650" w:type="dxa"/>
            <w:tcBorders>
              <w:right w:val="single" w:color="000000" w:sz="4" w:space="0"/>
            </w:tcBorders>
            <w:noWrap w:val="0"/>
            <w:vAlign w:val="center"/>
          </w:tcPr>
          <w:p w14:paraId="40B8F344">
            <w:pPr>
              <w:spacing w:before="206" w:line="184" w:lineRule="auto"/>
              <w:jc w:val="center"/>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7</w:t>
            </w:r>
          </w:p>
        </w:tc>
        <w:tc>
          <w:tcPr>
            <w:tcW w:w="2247" w:type="dxa"/>
            <w:tcBorders>
              <w:left w:val="single" w:color="000000" w:sz="4" w:space="0"/>
              <w:right w:val="single" w:color="000000" w:sz="4" w:space="0"/>
            </w:tcBorders>
            <w:noWrap w:val="0"/>
            <w:vAlign w:val="center"/>
          </w:tcPr>
          <w:p w14:paraId="2667F020">
            <w:pPr>
              <w:spacing w:before="35" w:line="228" w:lineRule="auto"/>
              <w:ind w:left="112" w:right="103"/>
              <w:jc w:val="both"/>
              <w:rPr>
                <w:rFonts w:hint="eastAsia" w:ascii="宋体" w:hAnsi="宋体" w:eastAsia="宋体" w:cs="宋体"/>
                <w:color w:val="auto"/>
                <w:spacing w:val="12"/>
                <w:sz w:val="24"/>
                <w:szCs w:val="24"/>
                <w:lang w:eastAsia="zh-CN"/>
              </w:rPr>
            </w:pPr>
            <w:r>
              <w:rPr>
                <w:rFonts w:ascii="宋体" w:hAnsi="宋体" w:eastAsia="宋体" w:cs="宋体"/>
                <w:color w:val="auto"/>
                <w:spacing w:val="12"/>
                <w:sz w:val="24"/>
                <w:szCs w:val="24"/>
              </w:rPr>
              <w:t>信用记录查询</w:t>
            </w:r>
          </w:p>
        </w:tc>
        <w:tc>
          <w:tcPr>
            <w:tcW w:w="5622" w:type="dxa"/>
            <w:tcBorders>
              <w:left w:val="single" w:color="000000" w:sz="4" w:space="0"/>
            </w:tcBorders>
            <w:noWrap w:val="0"/>
            <w:vAlign w:val="center"/>
          </w:tcPr>
          <w:p w14:paraId="7C66F901">
            <w:pPr>
              <w:keepNext w:val="0"/>
              <w:keepLines w:val="0"/>
              <w:pageBreakBefore w:val="0"/>
              <w:widowControl w:val="0"/>
              <w:kinsoku/>
              <w:wordWrap/>
              <w:overflowPunct/>
              <w:topLinePunct w:val="0"/>
              <w:autoSpaceDE/>
              <w:autoSpaceDN/>
              <w:bidi w:val="0"/>
              <w:adjustRightInd/>
              <w:snapToGrid/>
              <w:spacing w:line="252" w:lineRule="auto"/>
              <w:ind w:right="210"/>
              <w:jc w:val="both"/>
              <w:textAlignment w:val="auto"/>
              <w:rPr>
                <w:rFonts w:ascii="宋体" w:hAnsi="宋体" w:eastAsia="宋体" w:cs="宋体"/>
                <w:color w:val="auto"/>
                <w:spacing w:val="-4"/>
                <w:sz w:val="24"/>
                <w:szCs w:val="24"/>
              </w:rPr>
            </w:pPr>
            <w:r>
              <w:rPr>
                <w:rFonts w:ascii="宋体" w:hAnsi="宋体" w:eastAsia="宋体" w:cs="宋体"/>
                <w:color w:val="auto"/>
                <w:spacing w:val="-4"/>
                <w:sz w:val="24"/>
                <w:szCs w:val="24"/>
              </w:rPr>
              <w:t>“信用中国”网站、和中国政府采购网查询结果，提供网页截图</w:t>
            </w:r>
          </w:p>
        </w:tc>
      </w:tr>
      <w:tr w14:paraId="5ACCA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650" w:type="dxa"/>
            <w:tcBorders>
              <w:right w:val="single" w:color="000000" w:sz="4" w:space="0"/>
            </w:tcBorders>
            <w:noWrap w:val="0"/>
            <w:vAlign w:val="center"/>
          </w:tcPr>
          <w:p w14:paraId="31B59914">
            <w:pPr>
              <w:spacing w:before="204" w:line="187" w:lineRule="auto"/>
              <w:jc w:val="center"/>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8</w:t>
            </w:r>
          </w:p>
        </w:tc>
        <w:tc>
          <w:tcPr>
            <w:tcW w:w="2247" w:type="dxa"/>
            <w:tcBorders>
              <w:left w:val="single" w:color="000000" w:sz="4" w:space="0"/>
              <w:right w:val="single" w:color="000000" w:sz="4" w:space="0"/>
            </w:tcBorders>
            <w:noWrap w:val="0"/>
            <w:vAlign w:val="center"/>
          </w:tcPr>
          <w:p w14:paraId="1235EC2C">
            <w:pPr>
              <w:spacing w:before="35" w:line="228" w:lineRule="auto"/>
              <w:ind w:left="112" w:right="103"/>
              <w:jc w:val="both"/>
              <w:rPr>
                <w:rFonts w:ascii="宋体" w:hAnsi="宋体" w:eastAsia="宋体" w:cs="宋体"/>
                <w:color w:val="auto"/>
                <w:spacing w:val="12"/>
                <w:sz w:val="24"/>
                <w:szCs w:val="24"/>
              </w:rPr>
            </w:pPr>
            <w:r>
              <w:rPr>
                <w:rFonts w:ascii="宋体" w:hAnsi="宋体" w:eastAsia="宋体" w:cs="宋体"/>
                <w:color w:val="auto"/>
                <w:spacing w:val="12"/>
                <w:sz w:val="24"/>
                <w:szCs w:val="24"/>
              </w:rPr>
              <w:t>项目免收投标保证金承诺书</w:t>
            </w:r>
          </w:p>
        </w:tc>
        <w:tc>
          <w:tcPr>
            <w:tcW w:w="5622" w:type="dxa"/>
            <w:tcBorders>
              <w:left w:val="single" w:color="000000" w:sz="4" w:space="0"/>
            </w:tcBorders>
            <w:noWrap w:val="0"/>
            <w:vAlign w:val="center"/>
          </w:tcPr>
          <w:p w14:paraId="526C6B74">
            <w:pPr>
              <w:keepNext w:val="0"/>
              <w:keepLines w:val="0"/>
              <w:pageBreakBefore w:val="0"/>
              <w:widowControl w:val="0"/>
              <w:kinsoku/>
              <w:wordWrap/>
              <w:overflowPunct/>
              <w:topLinePunct w:val="0"/>
              <w:autoSpaceDE/>
              <w:autoSpaceDN/>
              <w:bidi w:val="0"/>
              <w:adjustRightInd/>
              <w:snapToGrid/>
              <w:spacing w:line="252" w:lineRule="auto"/>
              <w:ind w:left="114" w:right="210" w:hanging="2"/>
              <w:jc w:val="both"/>
              <w:textAlignment w:val="auto"/>
              <w:rPr>
                <w:rFonts w:ascii="宋体" w:hAnsi="宋体" w:eastAsia="宋体" w:cs="宋体"/>
                <w:color w:val="auto"/>
                <w:spacing w:val="-4"/>
                <w:sz w:val="24"/>
                <w:szCs w:val="24"/>
              </w:rPr>
            </w:pPr>
            <w:r>
              <w:rPr>
                <w:rFonts w:ascii="宋体" w:hAnsi="宋体" w:eastAsia="宋体" w:cs="宋体"/>
                <w:color w:val="auto"/>
                <w:spacing w:val="-4"/>
                <w:sz w:val="24"/>
                <w:szCs w:val="24"/>
              </w:rPr>
              <w:t>见项目免收投标保证金承诺书格式文件</w:t>
            </w:r>
          </w:p>
        </w:tc>
      </w:tr>
      <w:tr w14:paraId="70EEF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650" w:type="dxa"/>
            <w:tcBorders>
              <w:right w:val="single" w:color="000000" w:sz="4" w:space="0"/>
            </w:tcBorders>
            <w:noWrap w:val="0"/>
            <w:vAlign w:val="top"/>
          </w:tcPr>
          <w:p w14:paraId="043EC637">
            <w:pPr>
              <w:spacing w:before="127" w:line="222" w:lineRule="auto"/>
              <w:ind w:left="152"/>
              <w:rPr>
                <w:rFonts w:ascii="宋体" w:hAnsi="宋体" w:eastAsia="宋体" w:cs="宋体"/>
                <w:color w:val="auto"/>
                <w:sz w:val="21"/>
                <w:szCs w:val="21"/>
              </w:rPr>
            </w:pPr>
            <w:r>
              <w:rPr>
                <w:rFonts w:ascii="宋体" w:hAnsi="宋体" w:eastAsia="宋体" w:cs="宋体"/>
                <w:color w:val="auto"/>
                <w:spacing w:val="-4"/>
                <w:sz w:val="21"/>
                <w:szCs w:val="21"/>
              </w:rPr>
              <w:t>结</w:t>
            </w:r>
            <w:r>
              <w:rPr>
                <w:rFonts w:ascii="宋体" w:hAnsi="宋体" w:eastAsia="宋体" w:cs="宋体"/>
                <w:color w:val="auto"/>
                <w:spacing w:val="-2"/>
                <w:sz w:val="21"/>
                <w:szCs w:val="21"/>
              </w:rPr>
              <w:t>论</w:t>
            </w:r>
          </w:p>
        </w:tc>
        <w:tc>
          <w:tcPr>
            <w:tcW w:w="7869" w:type="dxa"/>
            <w:gridSpan w:val="2"/>
            <w:tcBorders>
              <w:left w:val="single" w:color="000000" w:sz="4" w:space="0"/>
            </w:tcBorders>
            <w:noWrap w:val="0"/>
            <w:vAlign w:val="top"/>
          </w:tcPr>
          <w:p w14:paraId="4A13B6EA">
            <w:pPr>
              <w:rPr>
                <w:rFonts w:ascii="Arial"/>
                <w:color w:val="auto"/>
                <w:sz w:val="21"/>
              </w:rPr>
            </w:pPr>
          </w:p>
        </w:tc>
      </w:tr>
    </w:tbl>
    <w:p w14:paraId="7473AA26">
      <w:pPr>
        <w:spacing w:line="480" w:lineRule="exact"/>
        <w:rPr>
          <w:rFonts w:hint="eastAsia" w:ascii="黑体" w:eastAsia="黑体"/>
          <w:color w:val="auto"/>
          <w:sz w:val="32"/>
          <w:szCs w:val="32"/>
        </w:rPr>
      </w:pPr>
    </w:p>
    <w:p w14:paraId="167B6039">
      <w:pPr>
        <w:spacing w:line="480" w:lineRule="exact"/>
        <w:rPr>
          <w:rFonts w:hint="eastAsia" w:ascii="黑体" w:eastAsia="黑体"/>
          <w:color w:val="auto"/>
          <w:sz w:val="32"/>
          <w:szCs w:val="32"/>
        </w:rPr>
      </w:pPr>
    </w:p>
    <w:p w14:paraId="0A341C0E">
      <w:pPr>
        <w:adjustRightInd w:val="0"/>
        <w:snapToGrid w:val="0"/>
        <w:spacing w:line="360" w:lineRule="auto"/>
        <w:ind w:right="23" w:rightChars="11"/>
        <w:rPr>
          <w:rFonts w:hint="eastAsia" w:ascii="仿宋_GB2312" w:hAnsi="宋体" w:eastAsia="仿宋_GB2312" w:cs="宋体"/>
          <w:color w:val="auto"/>
          <w:kern w:val="0"/>
          <w:szCs w:val="21"/>
        </w:rPr>
      </w:pPr>
    </w:p>
    <w:p w14:paraId="4FA8851A">
      <w:pPr>
        <w:rPr>
          <w:rFonts w:hint="eastAsia"/>
        </w:rPr>
      </w:pPr>
    </w:p>
    <w:p w14:paraId="201A9662">
      <w:pPr>
        <w:spacing w:line="480" w:lineRule="exact"/>
        <w:ind w:right="23" w:rightChars="11"/>
        <w:rPr>
          <w:rFonts w:hint="eastAsia" w:ascii="黑体" w:eastAsia="黑体"/>
          <w:b/>
          <w:color w:val="auto"/>
          <w:sz w:val="28"/>
          <w:szCs w:val="28"/>
        </w:rPr>
      </w:pPr>
    </w:p>
    <w:p w14:paraId="1FDE6E65">
      <w:pPr>
        <w:spacing w:line="480" w:lineRule="exact"/>
        <w:ind w:right="23" w:rightChars="11"/>
        <w:outlineLvl w:val="0"/>
        <w:rPr>
          <w:rFonts w:hint="eastAsia" w:ascii="黑体" w:eastAsia="黑体"/>
          <w:b/>
          <w:color w:val="auto"/>
          <w:sz w:val="28"/>
          <w:szCs w:val="28"/>
          <w:lang w:eastAsia="zh-CN"/>
        </w:rPr>
      </w:pPr>
      <w:bookmarkStart w:id="220" w:name="_Toc304"/>
      <w:bookmarkStart w:id="221" w:name="_Toc417"/>
      <w:bookmarkStart w:id="222" w:name="_Toc3807"/>
      <w:r>
        <w:rPr>
          <w:rFonts w:hint="eastAsia" w:ascii="黑体" w:hAnsi="Times New Roman" w:eastAsia="黑体" w:cs="Times New Roman"/>
          <w:color w:val="auto"/>
          <w:sz w:val="24"/>
          <w:lang w:eastAsia="zh-CN"/>
        </w:rPr>
        <w:t>附件</w:t>
      </w:r>
      <w:r>
        <w:rPr>
          <w:rFonts w:hint="eastAsia" w:ascii="黑体" w:hAnsi="Times New Roman" w:eastAsia="黑体" w:cs="Times New Roman"/>
          <w:color w:val="auto"/>
          <w:sz w:val="24"/>
          <w:lang w:val="en-US" w:eastAsia="zh-CN"/>
        </w:rPr>
        <w:t>3</w:t>
      </w:r>
      <w:r>
        <w:rPr>
          <w:rFonts w:hint="eastAsia" w:ascii="黑体" w:hAnsi="Times New Roman" w:eastAsia="黑体" w:cs="Times New Roman"/>
          <w:color w:val="auto"/>
          <w:sz w:val="24"/>
          <w:lang w:eastAsia="zh-CN"/>
        </w:rPr>
        <w:t>-</w:t>
      </w:r>
      <w:r>
        <w:rPr>
          <w:rFonts w:hint="eastAsia" w:ascii="黑体" w:hAnsi="Times New Roman" w:eastAsia="黑体" w:cs="Times New Roman"/>
          <w:color w:val="auto"/>
          <w:sz w:val="24"/>
          <w:lang w:val="en-US" w:eastAsia="zh-CN"/>
        </w:rPr>
        <w:t>2-1</w:t>
      </w:r>
      <w:r>
        <w:rPr>
          <w:rFonts w:hint="eastAsia" w:ascii="黑体" w:hAnsi="Times New Roman" w:eastAsia="黑体" w:cs="Times New Roman"/>
          <w:color w:val="auto"/>
          <w:sz w:val="24"/>
          <w:lang w:eastAsia="zh-CN"/>
        </w:rPr>
        <w:t>：</w:t>
      </w:r>
      <w:bookmarkEnd w:id="220"/>
      <w:bookmarkEnd w:id="221"/>
      <w:bookmarkEnd w:id="222"/>
    </w:p>
    <w:p w14:paraId="4D66FAB8">
      <w:pPr>
        <w:spacing w:line="360" w:lineRule="auto"/>
        <w:jc w:val="center"/>
        <w:rPr>
          <w:rFonts w:ascii="黑体" w:hAnsi="黑体" w:eastAsia="黑体"/>
          <w:b/>
          <w:sz w:val="28"/>
          <w:szCs w:val="28"/>
        </w:rPr>
      </w:pPr>
      <w:bookmarkStart w:id="223" w:name="_Toc13279"/>
      <w:r>
        <w:rPr>
          <w:rFonts w:hint="eastAsia" w:ascii="黑体" w:hAnsi="黑体" w:eastAsia="黑体"/>
          <w:b/>
          <w:sz w:val="28"/>
          <w:szCs w:val="28"/>
        </w:rPr>
        <w:t>供应商资格声明(格式)</w:t>
      </w:r>
    </w:p>
    <w:p w14:paraId="706738F6">
      <w:pPr>
        <w:spacing w:before="156" w:beforeLines="50" w:line="360" w:lineRule="auto"/>
        <w:rPr>
          <w:rFonts w:ascii="宋体" w:hAnsi="宋体" w:cs="宋体"/>
          <w:szCs w:val="21"/>
        </w:rPr>
      </w:pPr>
      <w:r>
        <w:rPr>
          <w:rFonts w:hint="eastAsia" w:ascii="宋体" w:hAnsi="宋体" w:cs="宋体"/>
          <w:szCs w:val="21"/>
        </w:rPr>
        <w:t>致</w:t>
      </w:r>
      <w:r>
        <w:rPr>
          <w:rFonts w:hint="eastAsia" w:ascii="宋体" w:hAnsi="宋体"/>
          <w:color w:val="auto"/>
          <w:szCs w:val="21"/>
          <w:u w:val="single"/>
          <w:lang w:val="en-US" w:eastAsia="zh-CN"/>
        </w:rPr>
        <w:t xml:space="preserve">        </w:t>
      </w:r>
      <w:r>
        <w:rPr>
          <w:rFonts w:hint="eastAsia" w:ascii="宋体" w:hAnsi="宋体" w:cs="宋体"/>
          <w:szCs w:val="21"/>
        </w:rPr>
        <w:t>(采购人、采购代理机构)：</w:t>
      </w:r>
    </w:p>
    <w:p w14:paraId="41F862DC">
      <w:pPr>
        <w:spacing w:before="156" w:beforeLines="50" w:line="360" w:lineRule="auto"/>
        <w:ind w:firstLine="420" w:firstLineChars="200"/>
        <w:rPr>
          <w:rFonts w:ascii="宋体" w:hAnsi="宋体" w:cs="宋体"/>
          <w:szCs w:val="21"/>
        </w:rPr>
      </w:pPr>
      <w:r>
        <w:rPr>
          <w:rFonts w:hint="eastAsia" w:ascii="宋体" w:hAnsi="宋体" w:cs="宋体"/>
          <w:szCs w:val="21"/>
        </w:rPr>
        <w:t>按照《中华人民共和国政府采购法》及实施条例和(项目名称)邀请函的规定，我单位郑重声明如下：</w:t>
      </w:r>
    </w:p>
    <w:p w14:paraId="3467BD18">
      <w:pPr>
        <w:spacing w:before="156" w:beforeLines="50" w:line="360" w:lineRule="auto"/>
        <w:ind w:firstLine="420" w:firstLineChars="200"/>
        <w:rPr>
          <w:rFonts w:ascii="宋体" w:hAnsi="宋体" w:cs="宋体"/>
          <w:szCs w:val="21"/>
        </w:rPr>
      </w:pPr>
      <w:r>
        <w:rPr>
          <w:rFonts w:hint="eastAsia" w:ascii="宋体" w:hAnsi="宋体" w:cs="宋体"/>
          <w:szCs w:val="21"/>
        </w:rPr>
        <w:t>一、我单位是按照中华人民共和国法律规定登记注册的，注册地点为</w:t>
      </w:r>
      <w:r>
        <w:rPr>
          <w:rFonts w:hint="eastAsia" w:ascii="宋体" w:hAnsi="宋体"/>
          <w:color w:val="auto"/>
          <w:szCs w:val="21"/>
          <w:u w:val="single"/>
          <w:lang w:val="en-US" w:eastAsia="zh-CN"/>
        </w:rPr>
        <w:t xml:space="preserve">        </w:t>
      </w:r>
      <w:r>
        <w:rPr>
          <w:rFonts w:hint="eastAsia" w:ascii="宋体" w:hAnsi="宋体" w:cs="宋体"/>
          <w:szCs w:val="21"/>
        </w:rPr>
        <w:t>，全称为</w:t>
      </w:r>
      <w:r>
        <w:rPr>
          <w:rFonts w:hint="eastAsia" w:ascii="宋体" w:hAnsi="宋体"/>
          <w:color w:val="auto"/>
          <w:szCs w:val="21"/>
          <w:u w:val="single"/>
          <w:lang w:val="en-US" w:eastAsia="zh-CN"/>
        </w:rPr>
        <w:t xml:space="preserve">        </w:t>
      </w:r>
      <w:r>
        <w:rPr>
          <w:rFonts w:hint="eastAsia" w:ascii="宋体" w:hAnsi="宋体" w:cs="宋体"/>
          <w:szCs w:val="21"/>
        </w:rPr>
        <w:t>，统一社会信用代码为</w:t>
      </w:r>
      <w:r>
        <w:rPr>
          <w:rFonts w:hint="eastAsia" w:ascii="宋体" w:hAnsi="宋体"/>
          <w:color w:val="auto"/>
          <w:szCs w:val="21"/>
          <w:u w:val="single"/>
          <w:lang w:val="en-US" w:eastAsia="zh-CN"/>
        </w:rPr>
        <w:t xml:space="preserve">        </w:t>
      </w:r>
      <w:r>
        <w:rPr>
          <w:rFonts w:hint="eastAsia" w:ascii="宋体" w:hAnsi="宋体" w:cs="宋体"/>
          <w:szCs w:val="21"/>
        </w:rPr>
        <w:t>，法定代表人</w:t>
      </w:r>
      <w:r>
        <w:rPr>
          <w:rFonts w:hint="eastAsia" w:ascii="宋体" w:hAnsi="宋体" w:cs="微软雅黑"/>
          <w:szCs w:val="21"/>
        </w:rPr>
        <w:t>（</w:t>
      </w:r>
      <w:r>
        <w:rPr>
          <w:rFonts w:hint="eastAsia" w:ascii="宋体" w:hAnsi="宋体" w:cs="微软雅黑"/>
          <w:spacing w:val="-2"/>
          <w:szCs w:val="21"/>
        </w:rPr>
        <w:t>单</w:t>
      </w:r>
      <w:r>
        <w:rPr>
          <w:rFonts w:hint="eastAsia" w:ascii="宋体" w:hAnsi="宋体" w:cs="微软雅黑"/>
          <w:szCs w:val="21"/>
        </w:rPr>
        <w:t>位</w:t>
      </w:r>
      <w:r>
        <w:rPr>
          <w:rFonts w:hint="eastAsia" w:ascii="宋体" w:hAnsi="宋体" w:cs="微软雅黑"/>
          <w:spacing w:val="-2"/>
          <w:szCs w:val="21"/>
        </w:rPr>
        <w:t>负</w:t>
      </w:r>
      <w:r>
        <w:rPr>
          <w:rFonts w:hint="eastAsia" w:ascii="宋体" w:hAnsi="宋体" w:cs="微软雅黑"/>
          <w:szCs w:val="21"/>
        </w:rPr>
        <w:t>责人</w:t>
      </w:r>
      <w:r>
        <w:rPr>
          <w:rFonts w:hint="eastAsia" w:ascii="宋体" w:hAnsi="宋体" w:cs="微软雅黑"/>
          <w:spacing w:val="-2"/>
          <w:szCs w:val="21"/>
        </w:rPr>
        <w:t>）</w:t>
      </w:r>
      <w:r>
        <w:rPr>
          <w:rFonts w:hint="eastAsia" w:ascii="宋体" w:hAnsi="宋体" w:cs="宋体"/>
          <w:szCs w:val="21"/>
        </w:rPr>
        <w:t>为</w:t>
      </w:r>
      <w:r>
        <w:rPr>
          <w:rFonts w:hint="eastAsia" w:ascii="宋体" w:hAnsi="宋体"/>
          <w:color w:val="auto"/>
          <w:szCs w:val="21"/>
          <w:u w:val="single"/>
          <w:lang w:val="en-US" w:eastAsia="zh-CN"/>
        </w:rPr>
        <w:t xml:space="preserve">        </w:t>
      </w:r>
      <w:r>
        <w:rPr>
          <w:rFonts w:hint="eastAsia" w:ascii="宋体" w:hAnsi="宋体" w:cs="宋体"/>
          <w:szCs w:val="21"/>
        </w:rPr>
        <w:t>，具有独立承担民事责任的能力。</w:t>
      </w:r>
    </w:p>
    <w:p w14:paraId="71B9DDDD">
      <w:pPr>
        <w:spacing w:before="156" w:beforeLines="50" w:line="360" w:lineRule="auto"/>
        <w:ind w:firstLine="420" w:firstLineChars="200"/>
        <w:rPr>
          <w:rFonts w:ascii="宋体" w:hAnsi="宋体" w:cs="宋体"/>
          <w:szCs w:val="21"/>
        </w:rPr>
      </w:pPr>
      <w:r>
        <w:rPr>
          <w:rFonts w:hint="eastAsia" w:ascii="宋体" w:hAnsi="宋体" w:cs="宋体"/>
          <w:szCs w:val="21"/>
        </w:rPr>
        <w:t>二</w:t>
      </w:r>
      <w:r>
        <w:rPr>
          <w:rFonts w:hint="eastAsia" w:ascii="宋体" w:hAnsi="宋体" w:cs="宋体"/>
          <w:color w:val="FF0000"/>
          <w:szCs w:val="21"/>
        </w:rPr>
        <w:t>、</w:t>
      </w:r>
      <w:r>
        <w:rPr>
          <w:rFonts w:hint="eastAsia" w:ascii="宋体" w:hAnsi="宋体" w:cs="宋体"/>
          <w:szCs w:val="21"/>
        </w:rPr>
        <w:t>我单位具有良好的商业信誉和健全的财务会计制度。</w:t>
      </w:r>
    </w:p>
    <w:p w14:paraId="7666ABF2">
      <w:pPr>
        <w:spacing w:before="156" w:beforeLines="50" w:line="360" w:lineRule="auto"/>
        <w:ind w:firstLine="420" w:firstLineChars="200"/>
        <w:rPr>
          <w:rFonts w:ascii="宋体" w:hAnsi="宋体" w:cs="宋体"/>
          <w:szCs w:val="21"/>
        </w:rPr>
      </w:pPr>
      <w:r>
        <w:rPr>
          <w:rFonts w:hint="eastAsia" w:ascii="宋体" w:hAnsi="宋体" w:cs="宋体"/>
          <w:szCs w:val="21"/>
        </w:rPr>
        <w:t>三、我单位依法进行纳税和社会保险申报并实际履行了义务。</w:t>
      </w:r>
    </w:p>
    <w:p w14:paraId="29D2F239">
      <w:pPr>
        <w:spacing w:before="156" w:beforeLines="50" w:line="360" w:lineRule="auto"/>
        <w:ind w:firstLine="420" w:firstLineChars="200"/>
        <w:rPr>
          <w:rFonts w:ascii="宋体" w:hAnsi="宋体" w:cs="宋体"/>
          <w:szCs w:val="21"/>
        </w:rPr>
      </w:pPr>
      <w:r>
        <w:rPr>
          <w:rFonts w:hint="eastAsia" w:ascii="宋体" w:hAnsi="宋体" w:cs="宋体"/>
          <w:szCs w:val="21"/>
        </w:rPr>
        <w:t>四、我单位具有履行本项目采购合同所必需的设备和专业技术能力，并具有履行合同的良好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4D9D83B8">
      <w:pPr>
        <w:spacing w:before="156" w:beforeLines="50" w:line="360" w:lineRule="auto"/>
        <w:ind w:firstLine="420" w:firstLineChars="200"/>
        <w:rPr>
          <w:rFonts w:ascii="宋体" w:hAnsi="宋体" w:cs="宋体"/>
          <w:szCs w:val="21"/>
        </w:rPr>
      </w:pPr>
      <w:r>
        <w:rPr>
          <w:rFonts w:hint="eastAsia" w:ascii="宋体" w:hAnsi="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21978963">
      <w:pPr>
        <w:spacing w:before="156" w:beforeLines="50" w:line="360" w:lineRule="auto"/>
        <w:ind w:firstLine="420" w:firstLineChars="200"/>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43D336AA">
      <w:pPr>
        <w:spacing w:before="156" w:beforeLines="50" w:line="360" w:lineRule="auto"/>
        <w:ind w:firstLine="420" w:firstLineChars="200"/>
        <w:rPr>
          <w:rFonts w:ascii="宋体" w:hAnsi="宋体" w:cs="宋体"/>
          <w:szCs w:val="21"/>
        </w:rPr>
      </w:pPr>
      <w:r>
        <w:rPr>
          <w:rFonts w:hint="eastAsia" w:ascii="宋体" w:hAnsi="宋体" w:cs="宋体"/>
          <w:szCs w:val="21"/>
        </w:rPr>
        <w:t>六、我单位具备法律、行政法规规定的其他条件。</w:t>
      </w:r>
    </w:p>
    <w:p w14:paraId="4F033BB3">
      <w:pPr>
        <w:spacing w:before="156" w:beforeLines="50" w:line="360" w:lineRule="auto"/>
        <w:ind w:firstLine="420" w:firstLineChars="200"/>
        <w:rPr>
          <w:szCs w:val="21"/>
        </w:rPr>
      </w:pPr>
      <w:r>
        <w:rPr>
          <w:rFonts w:hint="eastAsia" w:ascii="宋体" w:hAnsi="宋体" w:cs="宋体"/>
          <w:szCs w:val="21"/>
        </w:rPr>
        <w:t>七、</w:t>
      </w:r>
      <w:r>
        <w:rPr>
          <w:rFonts w:hint="eastAsia"/>
          <w:szCs w:val="21"/>
        </w:rPr>
        <w:t>与我单位存在“单位负责人为同一人或者存在直接控股、管理关系”的其他单位信息如下（如无，填写“无”）：</w:t>
      </w:r>
    </w:p>
    <w:p w14:paraId="7EA960F9">
      <w:pPr>
        <w:spacing w:before="156" w:beforeLines="50" w:line="360" w:lineRule="auto"/>
        <w:ind w:firstLine="420" w:firstLineChars="200"/>
        <w:rPr>
          <w:rFonts w:hint="eastAsia" w:eastAsiaTheme="minorEastAsia"/>
          <w:szCs w:val="21"/>
          <w:lang w:eastAsia="zh-CN"/>
        </w:rPr>
      </w:pPr>
      <w:r>
        <w:rPr>
          <w:rFonts w:hint="eastAsia" w:ascii="宋体" w:hAnsi="宋体"/>
          <w:szCs w:val="21"/>
        </w:rPr>
        <w:t>1、</w:t>
      </w:r>
      <w:r>
        <w:rPr>
          <w:rFonts w:hint="eastAsia"/>
          <w:szCs w:val="21"/>
        </w:rPr>
        <w:t>与我单位的法定代表人（单位负责人）为同一人的其他单位如下：</w:t>
      </w:r>
    </w:p>
    <w:p w14:paraId="4C35DDBA">
      <w:pPr>
        <w:spacing w:before="156" w:beforeLines="50" w:line="360" w:lineRule="auto"/>
        <w:ind w:firstLine="420" w:firstLineChars="200"/>
        <w:rPr>
          <w:rFonts w:hint="eastAsia" w:ascii="宋体" w:hAnsi="宋体" w:eastAsiaTheme="minorEastAsia"/>
          <w:szCs w:val="21"/>
          <w:lang w:eastAsia="zh-CN"/>
        </w:rPr>
      </w:pPr>
      <w:r>
        <w:rPr>
          <w:rFonts w:hint="eastAsia" w:ascii="宋体" w:hAnsi="宋体"/>
          <w:szCs w:val="21"/>
        </w:rPr>
        <w:t>2、我</w:t>
      </w:r>
      <w:r>
        <w:rPr>
          <w:rFonts w:hint="eastAsia"/>
          <w:szCs w:val="21"/>
        </w:rPr>
        <w:t>单位</w:t>
      </w:r>
      <w:r>
        <w:rPr>
          <w:rFonts w:hint="eastAsia" w:ascii="宋体" w:hAnsi="宋体"/>
          <w:szCs w:val="21"/>
        </w:rPr>
        <w:t>直接控股的其他单位如下：</w:t>
      </w:r>
    </w:p>
    <w:p w14:paraId="69DA2217">
      <w:pPr>
        <w:spacing w:before="156" w:beforeLines="50" w:line="360" w:lineRule="auto"/>
        <w:ind w:firstLine="420" w:firstLineChars="200"/>
        <w:rPr>
          <w:rFonts w:hint="eastAsia" w:eastAsiaTheme="minorEastAsia"/>
          <w:szCs w:val="21"/>
          <w:lang w:eastAsia="zh-CN"/>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p>
    <w:p w14:paraId="331ABA9A">
      <w:pPr>
        <w:spacing w:before="156" w:beforeLines="50" w:line="360" w:lineRule="auto"/>
        <w:ind w:firstLine="420" w:firstLineChars="200"/>
        <w:rPr>
          <w:szCs w:val="21"/>
        </w:rPr>
      </w:pPr>
      <w:r>
        <w:rPr>
          <w:rFonts w:hint="eastAsia" w:ascii="宋体" w:hAnsi="宋体" w:cs="宋体"/>
          <w:szCs w:val="21"/>
        </w:rPr>
        <w:t>八、</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w:t>
      </w:r>
      <w:r>
        <w:rPr>
          <w:rFonts w:hint="eastAsia" w:ascii="宋体" w:hAnsi="宋体" w:cs="宋体"/>
          <w:szCs w:val="21"/>
        </w:rPr>
        <w:t>供应商</w:t>
      </w:r>
      <w:r>
        <w:rPr>
          <w:rFonts w:ascii="宋体" w:hAnsi="宋体"/>
          <w:szCs w:val="21"/>
        </w:rPr>
        <w:t>。</w:t>
      </w:r>
    </w:p>
    <w:p w14:paraId="668C48B8">
      <w:pPr>
        <w:spacing w:before="156" w:beforeLines="50" w:line="360" w:lineRule="auto"/>
        <w:ind w:firstLine="420" w:firstLineChars="200"/>
        <w:rPr>
          <w:rFonts w:ascii="宋体" w:hAnsi="宋体"/>
          <w:szCs w:val="21"/>
        </w:rPr>
      </w:pPr>
      <w:r>
        <w:rPr>
          <w:rFonts w:hint="eastAsia" w:ascii="宋体" w:hAnsi="宋体"/>
          <w:szCs w:val="21"/>
        </w:rPr>
        <w:t>九、</w:t>
      </w:r>
      <w:r>
        <w:rPr>
          <w:rFonts w:ascii="宋体" w:hAnsi="宋体"/>
          <w:szCs w:val="21"/>
        </w:rPr>
        <w:t>我单位无以下不良信用记录情形：</w:t>
      </w:r>
    </w:p>
    <w:p w14:paraId="2157E566">
      <w:pPr>
        <w:spacing w:before="156" w:beforeLines="50" w:line="360" w:lineRule="auto"/>
        <w:ind w:firstLine="420" w:firstLineChars="200"/>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158E1CA5">
      <w:pPr>
        <w:spacing w:before="156" w:beforeLines="50" w:line="360" w:lineRule="auto"/>
        <w:ind w:firstLine="420" w:firstLineChars="200"/>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71B2A3EE">
      <w:pPr>
        <w:spacing w:before="156" w:beforeLines="50" w:line="360" w:lineRule="auto"/>
        <w:ind w:firstLine="420" w:firstLineChars="200"/>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712A7138">
      <w:pPr>
        <w:spacing w:before="156" w:beforeLines="50" w:line="360" w:lineRule="auto"/>
        <w:ind w:firstLine="420" w:firstLineChars="200"/>
        <w:rPr>
          <w:szCs w:val="21"/>
        </w:rPr>
      </w:pPr>
      <w:r>
        <w:rPr>
          <w:rFonts w:hint="eastAsia" w:ascii="宋体" w:hAnsi="宋体" w:cs="宋体"/>
          <w:szCs w:val="21"/>
        </w:rPr>
        <w:t>我单位保证上述声明的事项都是真实的，如有虚假，我单位愿意承担相应的法律责任，并承担因此所造成的一切损失。</w:t>
      </w:r>
    </w:p>
    <w:p w14:paraId="4D9C1C01">
      <w:pPr>
        <w:spacing w:before="156" w:beforeLines="50" w:line="360" w:lineRule="auto"/>
        <w:rPr>
          <w:rFonts w:ascii="宋体" w:hAnsi="宋体" w:cs="宋体"/>
          <w:szCs w:val="21"/>
        </w:rPr>
      </w:pPr>
      <w:r>
        <w:rPr>
          <w:rFonts w:hint="eastAsia" w:ascii="宋体" w:hAnsi="宋体" w:cs="宋体"/>
          <w:szCs w:val="21"/>
        </w:rPr>
        <w:t>注：第三条“良好的商业信誉”是指供应商经营状况良好，无本资格声明第九条情形。</w:t>
      </w:r>
    </w:p>
    <w:p w14:paraId="2028CB9D">
      <w:pPr>
        <w:spacing w:before="156" w:beforeLines="50" w:line="360" w:lineRule="auto"/>
        <w:rPr>
          <w:rFonts w:ascii="宋体" w:hAnsi="宋体" w:cs="宋体"/>
          <w:szCs w:val="21"/>
        </w:rPr>
      </w:pPr>
    </w:p>
    <w:p w14:paraId="0153C90D">
      <w:pPr>
        <w:spacing w:line="360" w:lineRule="auto"/>
        <w:rPr>
          <w:rFonts w:ascii="宋体" w:hAnsi="宋体" w:cs="宋体"/>
          <w:szCs w:val="21"/>
        </w:rPr>
      </w:pPr>
      <w:r>
        <w:rPr>
          <w:rFonts w:hint="eastAsia" w:ascii="宋体" w:hAnsi="宋体" w:cs="宋体"/>
          <w:szCs w:val="21"/>
        </w:rPr>
        <w:t>供应商名称（盖单位公章）：</w:t>
      </w:r>
    </w:p>
    <w:p w14:paraId="07A8C9F8">
      <w:pPr>
        <w:spacing w:line="360" w:lineRule="auto"/>
        <w:rPr>
          <w:rFonts w:ascii="宋体" w:hAnsi="宋体" w:cs="宋体"/>
          <w:b/>
          <w:bCs/>
          <w:sz w:val="44"/>
          <w:szCs w:val="44"/>
        </w:rPr>
      </w:pPr>
      <w:r>
        <w:rPr>
          <w:rFonts w:hint="eastAsia" w:ascii="宋体" w:hAnsi="宋体" w:cs="微软雅黑"/>
          <w:spacing w:val="-2"/>
          <w:szCs w:val="21"/>
        </w:rPr>
        <w:t>法</w:t>
      </w:r>
      <w:r>
        <w:rPr>
          <w:rFonts w:hint="eastAsia" w:ascii="宋体" w:hAnsi="宋体" w:cs="微软雅黑"/>
          <w:szCs w:val="21"/>
        </w:rPr>
        <w:t>定</w:t>
      </w:r>
      <w:r>
        <w:rPr>
          <w:rFonts w:hint="eastAsia" w:ascii="宋体" w:hAnsi="宋体" w:cs="微软雅黑"/>
          <w:spacing w:val="-2"/>
          <w:szCs w:val="21"/>
        </w:rPr>
        <w:t>代</w:t>
      </w:r>
      <w:r>
        <w:rPr>
          <w:rFonts w:hint="eastAsia" w:ascii="宋体" w:hAnsi="宋体" w:cs="微软雅黑"/>
          <w:szCs w:val="21"/>
        </w:rPr>
        <w:t>表</w:t>
      </w:r>
      <w:r>
        <w:rPr>
          <w:rFonts w:hint="eastAsia" w:ascii="宋体" w:hAnsi="宋体" w:cs="微软雅黑"/>
          <w:spacing w:val="-2"/>
          <w:szCs w:val="21"/>
        </w:rPr>
        <w:t>人</w:t>
      </w:r>
      <w:r>
        <w:rPr>
          <w:rFonts w:hint="eastAsia" w:ascii="宋体" w:hAnsi="宋体" w:cs="微软雅黑"/>
          <w:szCs w:val="21"/>
        </w:rPr>
        <w:t>（</w:t>
      </w:r>
      <w:r>
        <w:rPr>
          <w:rFonts w:hint="eastAsia" w:ascii="宋体" w:hAnsi="宋体" w:cs="微软雅黑"/>
          <w:spacing w:val="-2"/>
          <w:szCs w:val="21"/>
        </w:rPr>
        <w:t>单</w:t>
      </w:r>
      <w:r>
        <w:rPr>
          <w:rFonts w:hint="eastAsia" w:ascii="宋体" w:hAnsi="宋体" w:cs="微软雅黑"/>
          <w:szCs w:val="21"/>
        </w:rPr>
        <w:t>位</w:t>
      </w:r>
      <w:r>
        <w:rPr>
          <w:rFonts w:hint="eastAsia" w:ascii="宋体" w:hAnsi="宋体" w:cs="微软雅黑"/>
          <w:spacing w:val="-2"/>
          <w:szCs w:val="21"/>
        </w:rPr>
        <w:t>负</w:t>
      </w:r>
      <w:r>
        <w:rPr>
          <w:rFonts w:hint="eastAsia" w:ascii="宋体" w:hAnsi="宋体" w:cs="微软雅黑"/>
          <w:szCs w:val="21"/>
        </w:rPr>
        <w:t>责人</w:t>
      </w:r>
      <w:r>
        <w:rPr>
          <w:rFonts w:hint="eastAsia" w:ascii="宋体" w:hAnsi="宋体" w:cs="微软雅黑"/>
          <w:spacing w:val="-2"/>
          <w:szCs w:val="21"/>
        </w:rPr>
        <w:t>）</w:t>
      </w:r>
      <w:r>
        <w:rPr>
          <w:rFonts w:hint="eastAsia" w:ascii="宋体" w:hAnsi="宋体"/>
        </w:rPr>
        <w:t>或委托代理人：（签字或印章）</w:t>
      </w:r>
    </w:p>
    <w:p w14:paraId="13D0576C">
      <w:pPr>
        <w:spacing w:line="360" w:lineRule="auto"/>
        <w:rPr>
          <w:rFonts w:ascii="宋体" w:hAnsi="宋体" w:cs="宋体"/>
          <w:szCs w:val="21"/>
        </w:rPr>
      </w:pPr>
      <w:r>
        <w:rPr>
          <w:rFonts w:hint="eastAsia" w:ascii="宋体" w:hAnsi="宋体" w:cs="宋体"/>
          <w:szCs w:val="21"/>
        </w:rPr>
        <w:t>日期：年月日</w:t>
      </w:r>
    </w:p>
    <w:p w14:paraId="2AB6C101">
      <w:pPr>
        <w:pStyle w:val="11"/>
        <w:ind w:left="0" w:leftChars="0" w:firstLine="0" w:firstLineChars="0"/>
      </w:pPr>
    </w:p>
    <w:p w14:paraId="236B2909">
      <w:pPr>
        <w:pStyle w:val="6"/>
        <w:ind w:firstLine="0"/>
      </w:pPr>
    </w:p>
    <w:p w14:paraId="458B6EB9">
      <w:pPr>
        <w:pStyle w:val="45"/>
      </w:pPr>
    </w:p>
    <w:p w14:paraId="1A51439D">
      <w:pPr>
        <w:pStyle w:val="45"/>
      </w:pPr>
    </w:p>
    <w:p w14:paraId="08052566">
      <w:pPr>
        <w:pStyle w:val="45"/>
      </w:pPr>
    </w:p>
    <w:p w14:paraId="42326235">
      <w:pPr>
        <w:pStyle w:val="45"/>
      </w:pPr>
    </w:p>
    <w:p w14:paraId="1B68B96E">
      <w:pPr>
        <w:pStyle w:val="45"/>
      </w:pPr>
    </w:p>
    <w:p w14:paraId="59B2C37E">
      <w:pPr>
        <w:pStyle w:val="45"/>
      </w:pPr>
    </w:p>
    <w:p w14:paraId="10BB218A">
      <w:pPr>
        <w:pStyle w:val="45"/>
      </w:pPr>
    </w:p>
    <w:p w14:paraId="7A6ADBD5">
      <w:pPr>
        <w:pStyle w:val="45"/>
      </w:pPr>
    </w:p>
    <w:p w14:paraId="55ADFE98">
      <w:pPr>
        <w:pStyle w:val="45"/>
      </w:pPr>
    </w:p>
    <w:p w14:paraId="2618B9B1">
      <w:pPr>
        <w:pStyle w:val="45"/>
      </w:pPr>
    </w:p>
    <w:p w14:paraId="30E7E70A">
      <w:pPr>
        <w:pStyle w:val="45"/>
      </w:pPr>
    </w:p>
    <w:p w14:paraId="0E21C92F">
      <w:pPr>
        <w:pStyle w:val="45"/>
      </w:pPr>
    </w:p>
    <w:p w14:paraId="626CC880">
      <w:pPr>
        <w:pStyle w:val="45"/>
      </w:pPr>
    </w:p>
    <w:p w14:paraId="5A4F5790">
      <w:pPr>
        <w:pStyle w:val="45"/>
      </w:pPr>
    </w:p>
    <w:p w14:paraId="77CA28D0">
      <w:pPr>
        <w:pStyle w:val="45"/>
      </w:pPr>
    </w:p>
    <w:p w14:paraId="44EA6B37">
      <w:pPr>
        <w:pStyle w:val="45"/>
      </w:pPr>
    </w:p>
    <w:p w14:paraId="33C913EF">
      <w:pPr>
        <w:pStyle w:val="45"/>
      </w:pPr>
    </w:p>
    <w:p w14:paraId="0D58E2F4">
      <w:pPr>
        <w:pStyle w:val="45"/>
      </w:pPr>
    </w:p>
    <w:p w14:paraId="38756927">
      <w:pPr>
        <w:pStyle w:val="45"/>
      </w:pPr>
    </w:p>
    <w:p w14:paraId="2DDC54C0">
      <w:pPr>
        <w:widowControl/>
        <w:jc w:val="center"/>
      </w:pPr>
      <w:r>
        <w:rPr>
          <w:rFonts w:hint="eastAsia" w:ascii="黑体" w:hAnsi="仿宋" w:eastAsia="黑体" w:cs="宋体"/>
          <w:b/>
          <w:sz w:val="28"/>
          <w:szCs w:val="28"/>
        </w:rPr>
        <w:t>湖南省政府采购供应商资格承诺函（格式）</w:t>
      </w:r>
    </w:p>
    <w:p w14:paraId="02091DA1">
      <w:pPr>
        <w:widowControl/>
        <w:adjustRightInd w:val="0"/>
        <w:snapToGrid w:val="0"/>
        <w:spacing w:before="156" w:beforeLines="50" w:line="360" w:lineRule="auto"/>
        <w:ind w:firstLine="420" w:firstLineChars="200"/>
        <w:jc w:val="left"/>
        <w:rPr>
          <w:rFonts w:hint="eastAsia" w:ascii="宋体" w:hAnsi="宋体" w:cs="宋体" w:eastAsiaTheme="minorEastAsia"/>
          <w:szCs w:val="21"/>
          <w:lang w:eastAsia="zh-CN"/>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D16D70D">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按照《政府采购促进中小企业发展管理办法》（财库〔</w:t>
      </w:r>
      <w:r>
        <w:rPr>
          <w:rFonts w:ascii="宋体" w:hAnsi="宋体" w:cs="宋体"/>
          <w:szCs w:val="21"/>
        </w:rPr>
        <w:t>2020</w:t>
      </w:r>
      <w:r>
        <w:rPr>
          <w:rFonts w:hint="eastAsia" w:ascii="宋体" w:hAnsi="宋体" w:cs="宋体"/>
          <w:szCs w:val="21"/>
        </w:rPr>
        <w:t>〕</w:t>
      </w:r>
      <w:r>
        <w:rPr>
          <w:rFonts w:ascii="宋体" w:hAnsi="宋体" w:cs="宋体"/>
          <w:szCs w:val="21"/>
        </w:rPr>
        <w:t>46</w:t>
      </w:r>
      <w:r>
        <w:rPr>
          <w:rFonts w:hint="eastAsia" w:ascii="宋体" w:hAnsi="宋体" w:cs="宋体"/>
          <w:szCs w:val="21"/>
        </w:rPr>
        <w:t>号），本公司企业规模为：大型</w:t>
      </w:r>
      <w:r>
        <w:rPr>
          <w:rFonts w:hint="eastAsia" w:ascii="宋体" w:hAnsi="宋体" w:cs="宋体"/>
          <w:szCs w:val="21"/>
        </w:rPr>
        <w:sym w:font="Wingdings" w:char="00A8"/>
      </w:r>
      <w:r>
        <w:rPr>
          <w:rFonts w:hint="eastAsia" w:ascii="宋体" w:hAnsi="宋体" w:cs="宋体"/>
          <w:szCs w:val="21"/>
        </w:rPr>
        <w:t>中型</w:t>
      </w:r>
      <w:r>
        <w:rPr>
          <w:rFonts w:hint="eastAsia" w:ascii="宋体" w:hAnsi="宋体" w:cs="宋体"/>
          <w:szCs w:val="21"/>
        </w:rPr>
        <w:sym w:font="Wingdings" w:char="00A8"/>
      </w:r>
      <w:r>
        <w:rPr>
          <w:rFonts w:ascii="宋体" w:hAnsi="宋体" w:cs="宋体"/>
          <w:szCs w:val="21"/>
        </w:rPr>
        <w:t></w:t>
      </w:r>
      <w:r>
        <w:rPr>
          <w:rFonts w:hint="eastAsia" w:ascii="宋体" w:hAnsi="宋体" w:cs="宋体"/>
          <w:szCs w:val="21"/>
        </w:rPr>
        <w:t>小型</w:t>
      </w:r>
      <w:r>
        <w:rPr>
          <w:rFonts w:hint="eastAsia" w:ascii="宋体" w:hAnsi="宋体" w:cs="宋体"/>
          <w:szCs w:val="21"/>
        </w:rPr>
        <w:sym w:font="Wingdings" w:char="00A8"/>
      </w:r>
      <w:r>
        <w:rPr>
          <w:rFonts w:ascii="宋体" w:hAnsi="宋体" w:cs="宋体"/>
          <w:szCs w:val="21"/>
        </w:rPr>
        <w:t></w:t>
      </w:r>
      <w:r>
        <w:rPr>
          <w:rFonts w:hint="eastAsia" w:ascii="宋体" w:hAnsi="宋体" w:cs="宋体"/>
          <w:szCs w:val="21"/>
        </w:rPr>
        <w:t>微型</w:t>
      </w:r>
      <w:r>
        <w:rPr>
          <w:rFonts w:hint="eastAsia" w:ascii="宋体" w:hAnsi="宋体" w:cs="宋体"/>
          <w:szCs w:val="21"/>
        </w:rPr>
        <w:sym w:font="Wingdings" w:char="00A8"/>
      </w:r>
      <w:r>
        <w:rPr>
          <w:rFonts w:ascii="宋体" w:hAnsi="宋体" w:cs="宋体"/>
          <w:szCs w:val="21"/>
        </w:rPr>
        <w:t></w:t>
      </w:r>
    </w:p>
    <w:p w14:paraId="22191720">
      <w:pPr>
        <w:widowControl/>
        <w:adjustRightInd w:val="0"/>
        <w:snapToGrid w:val="0"/>
        <w:spacing w:before="156" w:beforeLines="50" w:line="360" w:lineRule="auto"/>
        <w:ind w:firstLine="420" w:firstLineChars="200"/>
        <w:jc w:val="left"/>
        <w:rPr>
          <w:rFonts w:hint="eastAsia" w:ascii="宋体" w:hAnsi="宋体" w:cs="宋体" w:eastAsiaTheme="minorEastAsia"/>
          <w:szCs w:val="21"/>
          <w:lang w:eastAsia="zh-CN"/>
        </w:rPr>
      </w:pPr>
      <w:r>
        <w:rPr>
          <w:rFonts w:ascii="宋体" w:hAnsi="宋体" w:cs="宋体"/>
          <w:szCs w:val="21"/>
        </w:rPr>
        <w:t></w:t>
      </w:r>
      <w:r>
        <w:rPr>
          <w:rFonts w:hint="eastAsia" w:ascii="宋体" w:hAnsi="宋体" w:cs="宋体"/>
          <w:szCs w:val="21"/>
        </w:rPr>
        <w:sym w:font="Wingdings" w:char="00A8"/>
      </w:r>
      <w:r>
        <w:rPr>
          <w:rFonts w:hint="eastAsia" w:ascii="宋体" w:hAnsi="宋体" w:cs="宋体"/>
          <w:szCs w:val="21"/>
        </w:rPr>
        <w:t>本公司自愿入驻湖南省政府采购电子卖场，遵守《湖南省政府采购电子卖场管理办法》（湘财购〔</w:t>
      </w:r>
      <w:r>
        <w:rPr>
          <w:rFonts w:ascii="宋体" w:hAnsi="宋体" w:cs="宋体"/>
          <w:szCs w:val="21"/>
        </w:rPr>
        <w:t>2019</w:t>
      </w:r>
      <w:r>
        <w:rPr>
          <w:rFonts w:hint="eastAsia" w:ascii="宋体" w:hAnsi="宋体" w:cs="宋体"/>
          <w:szCs w:val="21"/>
        </w:rPr>
        <w:t>〕</w:t>
      </w:r>
      <w:r>
        <w:rPr>
          <w:rFonts w:ascii="宋体" w:hAnsi="宋体" w:cs="宋体"/>
          <w:szCs w:val="21"/>
        </w:rPr>
        <w:t>27</w:t>
      </w:r>
      <w:r>
        <w:rPr>
          <w:rFonts w:hint="eastAsia" w:ascii="宋体" w:hAnsi="宋体" w:cs="宋体"/>
          <w:szCs w:val="21"/>
        </w:rPr>
        <w:t>号），如违反承诺，同意金融机构将增信保证划缴国库（非电子卖场采购活动项目不需勾选）。</w:t>
      </w:r>
    </w:p>
    <w:p w14:paraId="4005189E">
      <w:pPr>
        <w:widowControl/>
        <w:adjustRightInd w:val="0"/>
        <w:snapToGrid w:val="0"/>
        <w:spacing w:before="156" w:beforeLines="50" w:line="360" w:lineRule="auto"/>
        <w:ind w:firstLine="420" w:firstLineChars="200"/>
        <w:jc w:val="left"/>
        <w:rPr>
          <w:rFonts w:ascii="宋体" w:hAnsi="宋体" w:cs="宋体"/>
          <w:szCs w:val="21"/>
        </w:rPr>
      </w:pPr>
    </w:p>
    <w:p w14:paraId="1313B19A">
      <w:pPr>
        <w:widowControl/>
        <w:adjustRightInd w:val="0"/>
        <w:snapToGrid w:val="0"/>
        <w:spacing w:before="156" w:beforeLines="50" w:line="360" w:lineRule="auto"/>
        <w:ind w:firstLine="4620" w:firstLineChars="2200"/>
        <w:jc w:val="left"/>
        <w:rPr>
          <w:rFonts w:hint="eastAsia" w:ascii="宋体" w:hAnsi="宋体" w:cs="宋体" w:eastAsiaTheme="minorEastAsia"/>
          <w:szCs w:val="21"/>
          <w:lang w:eastAsia="zh-CN"/>
        </w:rPr>
      </w:pPr>
      <w:r>
        <w:rPr>
          <w:rFonts w:hint="eastAsia" w:ascii="宋体" w:hAnsi="宋体" w:cs="宋体"/>
          <w:szCs w:val="21"/>
        </w:rPr>
        <w:t>公司（单位）名称（盖章）</w:t>
      </w:r>
    </w:p>
    <w:p w14:paraId="30BCC538">
      <w:pPr>
        <w:widowControl/>
        <w:adjustRightInd w:val="0"/>
        <w:snapToGrid w:val="0"/>
        <w:spacing w:before="156" w:beforeLines="50" w:line="360" w:lineRule="auto"/>
        <w:ind w:firstLine="5040" w:firstLineChars="2400"/>
        <w:jc w:val="left"/>
        <w:rPr>
          <w:rFonts w:hint="eastAsia" w:ascii="宋体" w:hAnsi="宋体" w:cs="宋体" w:eastAsiaTheme="minorEastAsia"/>
          <w:szCs w:val="21"/>
          <w:lang w:eastAsia="zh-CN"/>
        </w:rPr>
      </w:pPr>
      <w:r>
        <w:rPr>
          <w:rFonts w:hint="eastAsia" w:ascii="宋体" w:hAnsi="宋体" w:cs="宋体"/>
          <w:szCs w:val="21"/>
        </w:rPr>
        <w:t>年月日</w:t>
      </w:r>
    </w:p>
    <w:p w14:paraId="0448B0F9">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机构代码</w:t>
      </w:r>
      <w:r>
        <w:rPr>
          <w:rFonts w:hint="eastAsia" w:ascii="宋体" w:hAnsi="宋体" w:cs="宋体"/>
          <w:szCs w:val="21"/>
          <w:lang w:eastAsia="zh-CN"/>
        </w:rPr>
        <w:t>：</w:t>
      </w:r>
    </w:p>
    <w:p w14:paraId="2A4EB39C">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注册登记机构</w:t>
      </w:r>
      <w:r>
        <w:rPr>
          <w:rFonts w:hint="eastAsia" w:ascii="宋体" w:hAnsi="宋体" w:cs="宋体"/>
          <w:szCs w:val="21"/>
          <w:lang w:eastAsia="zh-CN"/>
        </w:rPr>
        <w:t>：</w:t>
      </w:r>
    </w:p>
    <w:p w14:paraId="2E5A8442">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lang w:val="en-US" w:eastAsia="zh-CN"/>
        </w:rPr>
        <w:t>登记</w:t>
      </w:r>
      <w:r>
        <w:rPr>
          <w:rFonts w:hint="eastAsia" w:ascii="宋体" w:hAnsi="宋体" w:cs="宋体"/>
          <w:szCs w:val="21"/>
        </w:rPr>
        <w:t>日期</w:t>
      </w:r>
      <w:r>
        <w:rPr>
          <w:rFonts w:hint="eastAsia" w:ascii="宋体" w:hAnsi="宋体" w:cs="宋体"/>
          <w:szCs w:val="21"/>
          <w:lang w:eastAsia="zh-CN"/>
        </w:rPr>
        <w:t>：</w:t>
      </w:r>
    </w:p>
    <w:p w14:paraId="0958BC5F">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有效期</w:t>
      </w:r>
      <w:r>
        <w:rPr>
          <w:rFonts w:hint="eastAsia" w:ascii="宋体" w:hAnsi="宋体" w:cs="宋体"/>
          <w:szCs w:val="21"/>
          <w:lang w:eastAsia="zh-CN"/>
        </w:rPr>
        <w:t>：</w:t>
      </w:r>
    </w:p>
    <w:p w14:paraId="06236D4A">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注册资本</w:t>
      </w:r>
      <w:r>
        <w:rPr>
          <w:rFonts w:hint="eastAsia" w:ascii="宋体" w:hAnsi="宋体" w:cs="宋体"/>
          <w:szCs w:val="21"/>
          <w:lang w:eastAsia="zh-CN"/>
        </w:rPr>
        <w:t>：</w:t>
      </w:r>
    </w:p>
    <w:p w14:paraId="31A072A6">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地址</w:t>
      </w:r>
      <w:r>
        <w:rPr>
          <w:rFonts w:hint="eastAsia" w:ascii="宋体" w:hAnsi="宋体" w:cs="宋体"/>
          <w:szCs w:val="21"/>
          <w:lang w:eastAsia="zh-CN"/>
        </w:rPr>
        <w:t>：</w:t>
      </w:r>
    </w:p>
    <w:p w14:paraId="0D5FEADE">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经济行业</w:t>
      </w:r>
      <w:r>
        <w:rPr>
          <w:rFonts w:hint="eastAsia" w:ascii="宋体" w:hAnsi="宋体" w:cs="宋体"/>
          <w:szCs w:val="21"/>
          <w:lang w:eastAsia="zh-CN"/>
        </w:rPr>
        <w:t>：</w:t>
      </w:r>
    </w:p>
    <w:p w14:paraId="6DDD945E">
      <w:pPr>
        <w:widowControl/>
        <w:adjustRightInd w:val="0"/>
        <w:snapToGrid w:val="0"/>
        <w:spacing w:before="156" w:beforeLines="50" w:line="360" w:lineRule="auto"/>
        <w:ind w:firstLine="420" w:firstLineChars="200"/>
        <w:jc w:val="left"/>
        <w:rPr>
          <w:rFonts w:hint="eastAsia" w:ascii="宋体" w:hAnsi="宋体" w:cs="宋体" w:eastAsiaTheme="minorEastAsia"/>
          <w:szCs w:val="21"/>
          <w:lang w:eastAsia="zh-CN"/>
        </w:rPr>
      </w:pPr>
      <w:r>
        <w:rPr>
          <w:rFonts w:hint="eastAsia" w:ascii="宋体" w:hAnsi="宋体" w:cs="宋体"/>
          <w:szCs w:val="21"/>
        </w:rPr>
        <w:t>经济性质</w:t>
      </w:r>
    </w:p>
    <w:p w14:paraId="4ED986A2">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法定代表人（负责人）姓名（签字）</w:t>
      </w:r>
      <w:r>
        <w:rPr>
          <w:rFonts w:hint="eastAsia" w:ascii="宋体" w:hAnsi="宋体" w:cs="宋体"/>
          <w:szCs w:val="21"/>
          <w:lang w:eastAsia="zh-CN"/>
        </w:rPr>
        <w:t>：</w:t>
      </w:r>
    </w:p>
    <w:p w14:paraId="791129CC">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身份证号</w:t>
      </w:r>
      <w:r>
        <w:rPr>
          <w:rFonts w:hint="eastAsia" w:ascii="宋体" w:hAnsi="宋体" w:cs="宋体"/>
          <w:szCs w:val="21"/>
          <w:lang w:eastAsia="zh-CN"/>
        </w:rPr>
        <w:t>：</w:t>
      </w:r>
    </w:p>
    <w:p w14:paraId="51141ED9">
      <w:pPr>
        <w:widowControl/>
        <w:adjustRightInd w:val="0"/>
        <w:snapToGrid w:val="0"/>
        <w:spacing w:before="156" w:beforeLines="50" w:line="360" w:lineRule="auto"/>
        <w:ind w:firstLine="420" w:firstLineChars="200"/>
        <w:jc w:val="left"/>
        <w:rPr>
          <w:rFonts w:hint="eastAsia" w:ascii="宋体" w:hAnsi="宋体" w:cs="宋体" w:eastAsiaTheme="minorEastAsia"/>
          <w:szCs w:val="21"/>
          <w:lang w:eastAsia="zh-CN"/>
        </w:rPr>
      </w:pPr>
      <w:r>
        <w:rPr>
          <w:rFonts w:hint="eastAsia" w:ascii="宋体" w:hAnsi="宋体" w:cs="宋体"/>
          <w:szCs w:val="21"/>
        </w:rPr>
        <w:t>手机号：</w:t>
      </w:r>
    </w:p>
    <w:p w14:paraId="487E63EF">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授权代表人姓名（签字）</w:t>
      </w:r>
      <w:r>
        <w:rPr>
          <w:rFonts w:hint="eastAsia" w:ascii="宋体" w:hAnsi="宋体" w:cs="宋体"/>
          <w:szCs w:val="21"/>
          <w:lang w:eastAsia="zh-CN"/>
        </w:rPr>
        <w:t>：</w:t>
      </w:r>
    </w:p>
    <w:p w14:paraId="0042B85B">
      <w:pPr>
        <w:widowControl/>
        <w:adjustRightInd w:val="0"/>
        <w:snapToGrid w:val="0"/>
        <w:spacing w:before="156" w:beforeLines="50" w:line="360" w:lineRule="auto"/>
        <w:ind w:firstLine="420" w:firstLineChars="200"/>
        <w:jc w:val="left"/>
        <w:rPr>
          <w:rFonts w:hint="eastAsia" w:ascii="宋体" w:hAnsi="宋体" w:cs="宋体"/>
          <w:szCs w:val="21"/>
          <w:lang w:eastAsia="zh-CN"/>
        </w:rPr>
      </w:pPr>
      <w:r>
        <w:rPr>
          <w:rFonts w:hint="eastAsia" w:ascii="宋体" w:hAnsi="宋体" w:cs="宋体"/>
          <w:szCs w:val="21"/>
        </w:rPr>
        <w:t>身份证号</w:t>
      </w:r>
      <w:r>
        <w:rPr>
          <w:rFonts w:hint="eastAsia" w:ascii="宋体" w:hAnsi="宋体" w:cs="宋体"/>
          <w:szCs w:val="21"/>
          <w:lang w:eastAsia="zh-CN"/>
        </w:rPr>
        <w:t>：</w:t>
      </w:r>
    </w:p>
    <w:p w14:paraId="3C7B9C65">
      <w:pPr>
        <w:widowControl/>
        <w:adjustRightInd w:val="0"/>
        <w:snapToGrid w:val="0"/>
        <w:spacing w:before="156" w:beforeLines="50" w:line="360" w:lineRule="auto"/>
        <w:ind w:firstLine="420" w:firstLineChars="200"/>
        <w:jc w:val="left"/>
      </w:pPr>
      <w:r>
        <w:rPr>
          <w:rFonts w:hint="eastAsia" w:ascii="宋体" w:hAnsi="宋体" w:cs="宋体"/>
          <w:szCs w:val="21"/>
        </w:rPr>
        <w:t>手机号：</w:t>
      </w:r>
    </w:p>
    <w:p w14:paraId="5D03AA08">
      <w:pPr>
        <w:spacing w:line="480" w:lineRule="exact"/>
        <w:ind w:right="23" w:rightChars="11"/>
        <w:jc w:val="center"/>
        <w:outlineLvl w:val="9"/>
        <w:rPr>
          <w:rFonts w:hint="eastAsia" w:ascii="黑体" w:eastAsia="黑体"/>
          <w:b/>
          <w:color w:val="auto"/>
          <w:sz w:val="28"/>
          <w:szCs w:val="28"/>
        </w:rPr>
      </w:pPr>
    </w:p>
    <w:p w14:paraId="0D9BADAA">
      <w:pPr>
        <w:outlineLvl w:val="0"/>
        <w:rPr>
          <w:rFonts w:hint="eastAsia" w:ascii="黑体" w:hAnsi="Times New Roman" w:eastAsia="黑体" w:cs="Times New Roman"/>
          <w:color w:val="auto"/>
          <w:sz w:val="24"/>
          <w:lang w:eastAsia="zh-CN"/>
        </w:rPr>
      </w:pPr>
      <w:bookmarkStart w:id="224" w:name="_Toc14459"/>
      <w:bookmarkStart w:id="225" w:name="_Toc6173"/>
      <w:bookmarkStart w:id="226" w:name="_Toc21852"/>
      <w:r>
        <w:rPr>
          <w:rFonts w:hint="eastAsia" w:ascii="黑体" w:hAnsi="Times New Roman" w:eastAsia="黑体" w:cs="Times New Roman"/>
          <w:color w:val="auto"/>
          <w:sz w:val="24"/>
          <w:lang w:eastAsia="zh-CN"/>
        </w:rPr>
        <w:t>附件</w:t>
      </w:r>
      <w:r>
        <w:rPr>
          <w:rFonts w:hint="eastAsia" w:ascii="黑体" w:hAnsi="Times New Roman" w:eastAsia="黑体" w:cs="Times New Roman"/>
          <w:color w:val="auto"/>
          <w:sz w:val="24"/>
          <w:lang w:val="en-US" w:eastAsia="zh-CN"/>
        </w:rPr>
        <w:t>3-2-2</w:t>
      </w:r>
      <w:r>
        <w:rPr>
          <w:rFonts w:hint="eastAsia" w:ascii="黑体" w:hAnsi="Times New Roman" w:eastAsia="黑体" w:cs="Times New Roman"/>
          <w:color w:val="auto"/>
          <w:sz w:val="24"/>
          <w:lang w:eastAsia="zh-CN"/>
        </w:rPr>
        <w:t>：</w:t>
      </w:r>
      <w:bookmarkEnd w:id="224"/>
      <w:bookmarkEnd w:id="225"/>
      <w:bookmarkEnd w:id="226"/>
    </w:p>
    <w:p w14:paraId="16EABF11">
      <w:pPr>
        <w:adjustRightInd w:val="0"/>
        <w:snapToGrid w:val="0"/>
        <w:spacing w:line="360" w:lineRule="auto"/>
        <w:jc w:val="center"/>
        <w:outlineLvl w:val="9"/>
        <w:rPr>
          <w:rFonts w:hint="eastAsia" w:ascii="黑体" w:hAnsi="华文中宋" w:eastAsia="黑体"/>
          <w:b/>
          <w:color w:val="auto"/>
          <w:sz w:val="28"/>
          <w:szCs w:val="28"/>
        </w:rPr>
      </w:pPr>
      <w:bookmarkStart w:id="227" w:name="_Toc12994"/>
      <w:r>
        <w:rPr>
          <w:rFonts w:hint="eastAsia" w:ascii="黑体" w:hAnsi="华文中宋" w:eastAsia="黑体"/>
          <w:b/>
          <w:color w:val="auto"/>
          <w:sz w:val="28"/>
          <w:szCs w:val="28"/>
        </w:rPr>
        <w:t>参加政府采购活动前三年内在经营活动中</w:t>
      </w:r>
      <w:bookmarkEnd w:id="227"/>
    </w:p>
    <w:p w14:paraId="3633CCF1">
      <w:pPr>
        <w:adjustRightInd w:val="0"/>
        <w:snapToGrid w:val="0"/>
        <w:spacing w:line="360" w:lineRule="auto"/>
        <w:jc w:val="center"/>
        <w:outlineLvl w:val="9"/>
        <w:rPr>
          <w:rFonts w:hint="eastAsia" w:ascii="黑体" w:hAnsi="华文中宋" w:eastAsia="黑体"/>
          <w:b/>
          <w:color w:val="auto"/>
          <w:sz w:val="28"/>
          <w:szCs w:val="28"/>
        </w:rPr>
      </w:pPr>
      <w:bookmarkStart w:id="228" w:name="_Toc929"/>
      <w:bookmarkStart w:id="229" w:name="_Toc5819"/>
      <w:r>
        <w:rPr>
          <w:rFonts w:hint="eastAsia" w:ascii="黑体" w:hAnsi="华文中宋" w:eastAsia="黑体"/>
          <w:b/>
          <w:color w:val="auto"/>
          <w:sz w:val="28"/>
          <w:szCs w:val="28"/>
        </w:rPr>
        <w:t>没有重大违法记录的书面声明</w:t>
      </w:r>
      <w:bookmarkEnd w:id="228"/>
      <w:bookmarkEnd w:id="229"/>
    </w:p>
    <w:p w14:paraId="5D0EA364">
      <w:pPr>
        <w:spacing w:line="480" w:lineRule="exact"/>
        <w:ind w:right="23" w:rightChars="11"/>
        <w:rPr>
          <w:rFonts w:hint="eastAsia" w:ascii="黑体" w:eastAsia="黑体"/>
          <w:color w:val="auto"/>
          <w:sz w:val="24"/>
        </w:rPr>
      </w:pPr>
    </w:p>
    <w:p w14:paraId="5D512EF8">
      <w:pPr>
        <w:adjustRightInd w:val="0"/>
        <w:snapToGrid w:val="0"/>
        <w:spacing w:before="157" w:beforeLines="50" w:line="360" w:lineRule="auto"/>
        <w:ind w:firstLine="420" w:firstLineChars="200"/>
        <w:rPr>
          <w:rFonts w:hint="eastAsia" w:ascii="宋体" w:hAnsi="宋体"/>
          <w:bCs/>
          <w:color w:val="auto"/>
          <w:szCs w:val="21"/>
        </w:rPr>
      </w:pPr>
      <w:r>
        <w:rPr>
          <w:rFonts w:hint="eastAsia" w:ascii="宋体" w:hAnsi="宋体"/>
          <w:bCs/>
          <w:color w:val="auto"/>
          <w:szCs w:val="21"/>
        </w:rPr>
        <w:t>致</w:t>
      </w:r>
      <w:r>
        <w:rPr>
          <w:rFonts w:hint="eastAsia" w:ascii="宋体" w:hAnsi="宋体"/>
          <w:color w:val="auto"/>
          <w:szCs w:val="21"/>
          <w:u w:val="single"/>
          <w:lang w:val="en-US" w:eastAsia="zh-CN"/>
        </w:rPr>
        <w:t xml:space="preserve">        </w:t>
      </w:r>
      <w:r>
        <w:rPr>
          <w:rFonts w:hint="eastAsia" w:ascii="宋体" w:hAnsi="宋体"/>
          <w:bCs/>
          <w:color w:val="auto"/>
          <w:szCs w:val="21"/>
          <w:u w:val="single"/>
        </w:rPr>
        <w:t>(采购代理机构)</w:t>
      </w:r>
      <w:r>
        <w:rPr>
          <w:rFonts w:hint="eastAsia" w:ascii="宋体" w:hAnsi="宋体"/>
          <w:bCs/>
          <w:color w:val="auto"/>
          <w:szCs w:val="21"/>
        </w:rPr>
        <w:t>：</w:t>
      </w:r>
    </w:p>
    <w:p w14:paraId="02DA0BFB">
      <w:pPr>
        <w:adjustRightInd w:val="0"/>
        <w:snapToGrid w:val="0"/>
        <w:spacing w:before="157" w:beforeLines="50" w:line="360" w:lineRule="auto"/>
        <w:ind w:firstLine="420" w:firstLineChars="200"/>
        <w:rPr>
          <w:rFonts w:hint="eastAsia" w:ascii="宋体" w:hAnsi="宋体"/>
          <w:bCs/>
          <w:color w:val="auto"/>
          <w:szCs w:val="21"/>
        </w:rPr>
      </w:pPr>
    </w:p>
    <w:p w14:paraId="7E2A1673">
      <w:pPr>
        <w:adjustRightInd w:val="0"/>
        <w:snapToGrid w:val="0"/>
        <w:spacing w:before="157" w:beforeLines="50" w:line="360" w:lineRule="auto"/>
        <w:ind w:firstLine="420" w:firstLineChars="200"/>
        <w:rPr>
          <w:rFonts w:hint="eastAsia" w:ascii="宋体" w:hAnsi="宋体"/>
          <w:bCs/>
          <w:color w:val="auto"/>
          <w:szCs w:val="21"/>
        </w:rPr>
      </w:pPr>
      <w:r>
        <w:rPr>
          <w:rFonts w:hint="eastAsia" w:ascii="宋体" w:hAnsi="宋体"/>
          <w:bCs/>
          <w:color w:val="auto"/>
          <w:szCs w:val="21"/>
        </w:rPr>
        <w:t>我单位在参加采购活动前三年内在经营活动中没有政府采购法第二十二条第一款第（五）项所称重大违法记录，包括：</w:t>
      </w:r>
    </w:p>
    <w:p w14:paraId="57C20737">
      <w:pPr>
        <w:adjustRightInd w:val="0"/>
        <w:snapToGrid w:val="0"/>
        <w:spacing w:before="157" w:beforeLines="50" w:line="360" w:lineRule="auto"/>
        <w:ind w:firstLine="420" w:firstLineChars="200"/>
        <w:rPr>
          <w:rFonts w:hint="eastAsia" w:ascii="宋体" w:hAnsi="宋体"/>
          <w:bCs/>
          <w:color w:val="auto"/>
          <w:szCs w:val="21"/>
        </w:rPr>
      </w:pPr>
      <w:r>
        <w:rPr>
          <w:rFonts w:hint="eastAsia" w:ascii="宋体" w:hAnsi="宋体"/>
          <w:bCs/>
          <w:color w:val="auto"/>
          <w:szCs w:val="21"/>
        </w:rPr>
        <w:t>受到刑事处罚，受到三万元以上的罚款、责令停产停业、在一至三年内禁止参加政府采购活动、暂扣或者吊销许可证、暂扣或者吊销执照等情形之一的行政处罚，或者存在财政部门认定的其他重大违法记录。</w:t>
      </w:r>
    </w:p>
    <w:p w14:paraId="7A3E5796">
      <w:pPr>
        <w:adjustRightInd w:val="0"/>
        <w:snapToGrid w:val="0"/>
        <w:spacing w:before="157" w:beforeLines="50" w:line="360" w:lineRule="auto"/>
        <w:ind w:firstLine="420" w:firstLineChars="200"/>
        <w:rPr>
          <w:rFonts w:hint="eastAsia" w:ascii="宋体" w:hAnsi="宋体"/>
          <w:bCs/>
          <w:color w:val="auto"/>
          <w:szCs w:val="21"/>
        </w:rPr>
      </w:pPr>
      <w:r>
        <w:rPr>
          <w:rFonts w:hint="eastAsia" w:ascii="宋体" w:hAnsi="宋体"/>
          <w:bCs/>
          <w:color w:val="auto"/>
          <w:szCs w:val="21"/>
        </w:rPr>
        <w:t>特此声明！</w:t>
      </w:r>
    </w:p>
    <w:p w14:paraId="4D39479B">
      <w:pPr>
        <w:adjustRightInd w:val="0"/>
        <w:snapToGrid w:val="0"/>
        <w:spacing w:before="157" w:beforeLines="50" w:line="360" w:lineRule="auto"/>
        <w:ind w:firstLine="420" w:firstLineChars="200"/>
        <w:rPr>
          <w:rFonts w:hint="eastAsia" w:ascii="宋体" w:hAnsi="宋体"/>
          <w:bCs/>
          <w:color w:val="auto"/>
          <w:szCs w:val="21"/>
        </w:rPr>
      </w:pPr>
    </w:p>
    <w:p w14:paraId="62A39C5F">
      <w:pPr>
        <w:adjustRightInd w:val="0"/>
        <w:snapToGrid w:val="0"/>
        <w:spacing w:before="157" w:beforeLines="50" w:line="360" w:lineRule="auto"/>
        <w:ind w:firstLine="420" w:firstLineChars="200"/>
        <w:rPr>
          <w:rFonts w:hint="eastAsia" w:ascii="宋体" w:hAnsi="宋体"/>
          <w:bCs/>
          <w:color w:val="auto"/>
          <w:szCs w:val="21"/>
        </w:rPr>
      </w:pPr>
    </w:p>
    <w:p w14:paraId="0BC0DEDB">
      <w:pPr>
        <w:adjustRightInd w:val="0"/>
        <w:snapToGrid w:val="0"/>
        <w:spacing w:line="360" w:lineRule="auto"/>
        <w:rPr>
          <w:rFonts w:hint="eastAsia" w:ascii="宋体" w:hAnsi="宋体" w:eastAsiaTheme="minorEastAsia"/>
          <w:color w:val="auto"/>
          <w:szCs w:val="21"/>
          <w:u w:val="none"/>
          <w:lang w:val="en-US" w:eastAsia="zh-CN"/>
        </w:rPr>
      </w:pPr>
      <w:r>
        <w:rPr>
          <w:rFonts w:hint="eastAsia" w:hAnsi="宋体"/>
        </w:rPr>
        <w:t>供应商名称</w:t>
      </w:r>
      <w:r>
        <w:rPr>
          <w:rFonts w:hint="eastAsia" w:ascii="宋体" w:hAnsi="宋体"/>
          <w:color w:val="auto"/>
          <w:szCs w:val="21"/>
        </w:rPr>
        <w:t>（</w:t>
      </w:r>
      <w:r>
        <w:rPr>
          <w:rFonts w:hint="eastAsia" w:ascii="宋体" w:hAnsi="宋体"/>
          <w:color w:val="auto"/>
          <w:szCs w:val="21"/>
          <w:lang w:eastAsia="zh-CN"/>
        </w:rPr>
        <w:t>盖单位公章</w:t>
      </w:r>
      <w:r>
        <w:rPr>
          <w:rFonts w:hint="eastAsia" w:ascii="宋体" w:hAnsi="宋体"/>
          <w:color w:val="auto"/>
          <w:szCs w:val="21"/>
        </w:rPr>
        <w:t>）：</w:t>
      </w:r>
    </w:p>
    <w:p w14:paraId="7D6A889F">
      <w:pPr>
        <w:adjustRightInd w:val="0"/>
        <w:snapToGrid w:val="0"/>
        <w:spacing w:line="360" w:lineRule="auto"/>
        <w:rPr>
          <w:rFonts w:hint="eastAsia" w:ascii="宋体" w:hAnsi="宋体" w:eastAsiaTheme="minorEastAsia"/>
          <w:color w:val="auto"/>
          <w:szCs w:val="21"/>
          <w:lang w:eastAsia="zh-CN"/>
        </w:rPr>
      </w:pPr>
      <w:r>
        <w:rPr>
          <w:rFonts w:hint="eastAsia" w:ascii="宋体" w:hAnsi="宋体"/>
          <w:color w:val="auto"/>
          <w:szCs w:val="21"/>
        </w:rPr>
        <w:t>法定代表人或其委托代理人(签字)：</w:t>
      </w:r>
    </w:p>
    <w:p w14:paraId="35CA832B">
      <w:pPr>
        <w:adjustRightInd w:val="0"/>
        <w:snapToGrid w:val="0"/>
        <w:spacing w:line="360" w:lineRule="auto"/>
        <w:rPr>
          <w:rFonts w:hint="eastAsia" w:ascii="宋体" w:hAnsi="宋体"/>
          <w:b/>
          <w:color w:val="auto"/>
          <w:szCs w:val="21"/>
        </w:rPr>
      </w:pPr>
      <w:r>
        <w:rPr>
          <w:rFonts w:hint="eastAsia" w:ascii="宋体" w:hAnsi="宋体"/>
          <w:color w:val="auto"/>
          <w:szCs w:val="21"/>
        </w:rPr>
        <w:t>日期：年月日</w:t>
      </w:r>
    </w:p>
    <w:p w14:paraId="4C50AF1F">
      <w:pPr>
        <w:spacing w:line="480" w:lineRule="exact"/>
        <w:ind w:right="23" w:rightChars="11"/>
        <w:rPr>
          <w:rFonts w:hint="eastAsia" w:ascii="黑体" w:eastAsia="黑体"/>
          <w:color w:val="auto"/>
          <w:sz w:val="24"/>
        </w:rPr>
      </w:pPr>
    </w:p>
    <w:p w14:paraId="108058CC">
      <w:pPr>
        <w:keepNext w:val="0"/>
        <w:keepLines w:val="0"/>
        <w:pageBreakBefore w:val="0"/>
        <w:widowControl w:val="0"/>
        <w:kinsoku/>
        <w:wordWrap/>
        <w:overflowPunct/>
        <w:topLinePunct w:val="0"/>
        <w:autoSpaceDE/>
        <w:autoSpaceDN/>
        <w:bidi w:val="0"/>
        <w:adjustRightInd w:val="0"/>
        <w:snapToGrid w:val="0"/>
        <w:spacing w:line="360" w:lineRule="auto"/>
        <w:ind w:right="23" w:rightChars="11"/>
        <w:jc w:val="left"/>
        <w:textAlignment w:val="auto"/>
        <w:rPr>
          <w:rFonts w:hint="eastAsia" w:ascii="黑体" w:eastAsia="黑体"/>
          <w:b w:val="0"/>
          <w:bCs/>
          <w:color w:val="auto"/>
          <w:sz w:val="21"/>
          <w:szCs w:val="21"/>
          <w:lang w:eastAsia="zh-CN"/>
        </w:rPr>
      </w:pPr>
    </w:p>
    <w:p w14:paraId="2FEB7F7F">
      <w:pPr>
        <w:keepNext w:val="0"/>
        <w:keepLines w:val="0"/>
        <w:pageBreakBefore w:val="0"/>
        <w:widowControl w:val="0"/>
        <w:kinsoku/>
        <w:wordWrap/>
        <w:overflowPunct/>
        <w:topLinePunct w:val="0"/>
        <w:autoSpaceDE/>
        <w:autoSpaceDN/>
        <w:bidi w:val="0"/>
        <w:adjustRightInd w:val="0"/>
        <w:snapToGrid w:val="0"/>
        <w:spacing w:line="360" w:lineRule="auto"/>
        <w:ind w:right="23" w:rightChars="11"/>
        <w:jc w:val="left"/>
        <w:textAlignment w:val="auto"/>
        <w:rPr>
          <w:rFonts w:hint="eastAsia" w:ascii="黑体" w:eastAsia="黑体"/>
          <w:b w:val="0"/>
          <w:bCs/>
          <w:color w:val="auto"/>
          <w:sz w:val="21"/>
          <w:szCs w:val="21"/>
          <w:lang w:eastAsia="zh-CN"/>
        </w:rPr>
      </w:pPr>
    </w:p>
    <w:p w14:paraId="444D7AA7">
      <w:pPr>
        <w:keepNext w:val="0"/>
        <w:keepLines w:val="0"/>
        <w:pageBreakBefore w:val="0"/>
        <w:widowControl w:val="0"/>
        <w:kinsoku/>
        <w:wordWrap/>
        <w:overflowPunct/>
        <w:topLinePunct w:val="0"/>
        <w:autoSpaceDE/>
        <w:autoSpaceDN/>
        <w:bidi w:val="0"/>
        <w:adjustRightInd w:val="0"/>
        <w:snapToGrid w:val="0"/>
        <w:spacing w:line="360" w:lineRule="auto"/>
        <w:ind w:right="23" w:rightChars="11"/>
        <w:jc w:val="left"/>
        <w:textAlignment w:val="auto"/>
        <w:rPr>
          <w:rFonts w:hint="eastAsia" w:ascii="黑体" w:eastAsia="黑体"/>
          <w:b w:val="0"/>
          <w:bCs/>
          <w:color w:val="auto"/>
          <w:sz w:val="21"/>
          <w:szCs w:val="21"/>
          <w:lang w:eastAsia="zh-CN"/>
        </w:rPr>
      </w:pPr>
    </w:p>
    <w:p w14:paraId="05E7A994">
      <w:pPr>
        <w:keepNext w:val="0"/>
        <w:keepLines w:val="0"/>
        <w:pageBreakBefore w:val="0"/>
        <w:widowControl w:val="0"/>
        <w:kinsoku/>
        <w:wordWrap/>
        <w:overflowPunct/>
        <w:topLinePunct w:val="0"/>
        <w:autoSpaceDE/>
        <w:autoSpaceDN/>
        <w:bidi w:val="0"/>
        <w:adjustRightInd w:val="0"/>
        <w:snapToGrid w:val="0"/>
        <w:spacing w:line="360" w:lineRule="auto"/>
        <w:ind w:right="23" w:rightChars="11"/>
        <w:jc w:val="left"/>
        <w:textAlignment w:val="auto"/>
        <w:rPr>
          <w:rFonts w:hint="eastAsia" w:ascii="黑体" w:eastAsia="黑体"/>
          <w:b w:val="0"/>
          <w:bCs/>
          <w:color w:val="auto"/>
          <w:sz w:val="21"/>
          <w:szCs w:val="21"/>
          <w:lang w:eastAsia="zh-CN"/>
        </w:rPr>
      </w:pPr>
    </w:p>
    <w:p w14:paraId="74551D61">
      <w:pPr>
        <w:keepNext w:val="0"/>
        <w:keepLines w:val="0"/>
        <w:pageBreakBefore w:val="0"/>
        <w:widowControl w:val="0"/>
        <w:kinsoku/>
        <w:wordWrap/>
        <w:overflowPunct/>
        <w:topLinePunct w:val="0"/>
        <w:autoSpaceDE/>
        <w:autoSpaceDN/>
        <w:bidi w:val="0"/>
        <w:adjustRightInd w:val="0"/>
        <w:snapToGrid w:val="0"/>
        <w:spacing w:line="360" w:lineRule="auto"/>
        <w:ind w:right="23" w:rightChars="11"/>
        <w:jc w:val="left"/>
        <w:textAlignment w:val="auto"/>
        <w:rPr>
          <w:rFonts w:hint="eastAsia" w:ascii="黑体" w:eastAsia="黑体"/>
          <w:b w:val="0"/>
          <w:bCs/>
          <w:color w:val="auto"/>
          <w:sz w:val="21"/>
          <w:szCs w:val="21"/>
          <w:lang w:eastAsia="zh-CN"/>
        </w:rPr>
      </w:pPr>
    </w:p>
    <w:p w14:paraId="5A9D70F3">
      <w:pPr>
        <w:spacing w:line="480" w:lineRule="exact"/>
        <w:ind w:right="23" w:rightChars="11"/>
        <w:jc w:val="center"/>
        <w:outlineLvl w:val="9"/>
        <w:rPr>
          <w:rFonts w:hint="eastAsia" w:ascii="黑体" w:eastAsia="黑体"/>
          <w:b/>
          <w:color w:val="auto"/>
          <w:sz w:val="28"/>
          <w:szCs w:val="28"/>
        </w:rPr>
      </w:pPr>
    </w:p>
    <w:p w14:paraId="3F4F1CEA">
      <w:pPr>
        <w:pStyle w:val="46"/>
        <w:rPr>
          <w:rFonts w:hint="eastAsia"/>
        </w:rPr>
      </w:pPr>
    </w:p>
    <w:p w14:paraId="6C8804FF">
      <w:pPr>
        <w:spacing w:line="480" w:lineRule="exact"/>
        <w:ind w:right="23" w:rightChars="11"/>
        <w:jc w:val="center"/>
        <w:outlineLvl w:val="9"/>
        <w:rPr>
          <w:rFonts w:hint="eastAsia" w:ascii="黑体" w:eastAsia="黑体"/>
          <w:b/>
          <w:color w:val="auto"/>
          <w:sz w:val="28"/>
          <w:szCs w:val="28"/>
        </w:rPr>
      </w:pPr>
    </w:p>
    <w:p w14:paraId="768B2024">
      <w:pPr>
        <w:spacing w:line="480" w:lineRule="exact"/>
        <w:ind w:right="23" w:rightChars="11"/>
        <w:jc w:val="center"/>
        <w:outlineLvl w:val="9"/>
        <w:rPr>
          <w:rFonts w:hint="eastAsia" w:ascii="黑体" w:eastAsia="黑体"/>
          <w:b/>
          <w:color w:val="auto"/>
          <w:sz w:val="28"/>
          <w:szCs w:val="28"/>
        </w:rPr>
      </w:pPr>
    </w:p>
    <w:p w14:paraId="2AC91953">
      <w:pPr>
        <w:spacing w:line="480" w:lineRule="exact"/>
        <w:ind w:right="23" w:rightChars="11"/>
        <w:jc w:val="center"/>
        <w:outlineLvl w:val="9"/>
        <w:rPr>
          <w:rFonts w:hint="eastAsia" w:ascii="黑体" w:eastAsia="黑体"/>
          <w:b/>
          <w:color w:val="auto"/>
          <w:sz w:val="28"/>
          <w:szCs w:val="28"/>
        </w:rPr>
      </w:pPr>
    </w:p>
    <w:p w14:paraId="7370F911">
      <w:pPr>
        <w:spacing w:line="480" w:lineRule="exact"/>
        <w:ind w:right="23" w:rightChars="11"/>
        <w:jc w:val="center"/>
        <w:outlineLvl w:val="9"/>
        <w:rPr>
          <w:rFonts w:hint="eastAsia" w:ascii="黑体" w:eastAsia="黑体"/>
          <w:b/>
          <w:color w:val="auto"/>
          <w:sz w:val="28"/>
          <w:szCs w:val="28"/>
        </w:rPr>
      </w:pPr>
    </w:p>
    <w:p w14:paraId="6EAA6B74">
      <w:pPr>
        <w:spacing w:line="480" w:lineRule="exact"/>
        <w:ind w:right="23" w:rightChars="11"/>
        <w:outlineLvl w:val="0"/>
        <w:rPr>
          <w:rFonts w:hint="eastAsia" w:ascii="黑体" w:hAnsi="Times New Roman" w:eastAsia="黑体" w:cs="Times New Roman"/>
          <w:color w:val="auto"/>
          <w:sz w:val="24"/>
        </w:rPr>
      </w:pPr>
      <w:bookmarkStart w:id="230" w:name="_Toc29130"/>
      <w:bookmarkStart w:id="231" w:name="_Toc27167"/>
      <w:bookmarkStart w:id="232" w:name="_Toc7368"/>
      <w:r>
        <w:rPr>
          <w:rFonts w:hint="eastAsia" w:ascii="黑体" w:hAnsi="Times New Roman" w:eastAsia="黑体" w:cs="Times New Roman"/>
          <w:color w:val="auto"/>
          <w:sz w:val="24"/>
          <w:lang w:eastAsia="zh-CN"/>
        </w:rPr>
        <w:t>附</w:t>
      </w:r>
      <w:r>
        <w:rPr>
          <w:rFonts w:hint="eastAsia" w:ascii="黑体" w:hAnsi="Times New Roman" w:eastAsia="黑体" w:cs="Times New Roman"/>
          <w:color w:val="auto"/>
          <w:sz w:val="24"/>
        </w:rPr>
        <w:t>件</w:t>
      </w:r>
      <w:r>
        <w:rPr>
          <w:rFonts w:hint="eastAsia" w:ascii="黑体" w:hAnsi="Times New Roman" w:eastAsia="黑体" w:cs="Times New Roman"/>
          <w:color w:val="auto"/>
          <w:sz w:val="24"/>
          <w:lang w:val="en-US" w:eastAsia="zh-CN"/>
        </w:rPr>
        <w:t>3</w:t>
      </w:r>
      <w:r>
        <w:rPr>
          <w:rFonts w:hint="eastAsia" w:ascii="黑体" w:hAnsi="Times New Roman" w:eastAsia="黑体" w:cs="Times New Roman"/>
          <w:color w:val="auto"/>
          <w:sz w:val="24"/>
        </w:rPr>
        <w:t>-</w:t>
      </w:r>
      <w:r>
        <w:rPr>
          <w:rFonts w:hint="eastAsia" w:ascii="黑体" w:hAnsi="Times New Roman" w:eastAsia="黑体" w:cs="Times New Roman"/>
          <w:color w:val="auto"/>
          <w:sz w:val="24"/>
          <w:lang w:val="en-US" w:eastAsia="zh-CN"/>
        </w:rPr>
        <w:t>3</w:t>
      </w:r>
      <w:r>
        <w:rPr>
          <w:rFonts w:hint="eastAsia" w:ascii="黑体" w:hAnsi="Times New Roman" w:eastAsia="黑体" w:cs="Times New Roman"/>
          <w:color w:val="auto"/>
          <w:sz w:val="24"/>
        </w:rPr>
        <w:t>：</w:t>
      </w:r>
      <w:bookmarkEnd w:id="230"/>
      <w:bookmarkEnd w:id="231"/>
      <w:bookmarkEnd w:id="232"/>
    </w:p>
    <w:p w14:paraId="525541F4">
      <w:pPr>
        <w:spacing w:line="480" w:lineRule="exact"/>
        <w:ind w:right="23" w:rightChars="11"/>
        <w:jc w:val="both"/>
        <w:outlineLvl w:val="9"/>
        <w:rPr>
          <w:rFonts w:hint="eastAsia" w:ascii="黑体" w:eastAsia="黑体"/>
          <w:b/>
          <w:color w:val="auto"/>
          <w:sz w:val="28"/>
          <w:szCs w:val="28"/>
        </w:rPr>
      </w:pPr>
    </w:p>
    <w:p w14:paraId="7C368744">
      <w:pPr>
        <w:spacing w:line="480" w:lineRule="exact"/>
        <w:ind w:right="23" w:rightChars="11"/>
        <w:jc w:val="center"/>
        <w:outlineLvl w:val="9"/>
        <w:rPr>
          <w:rFonts w:hint="eastAsia" w:ascii="黑体" w:eastAsia="黑体"/>
          <w:b/>
          <w:color w:val="auto"/>
          <w:sz w:val="28"/>
          <w:szCs w:val="28"/>
        </w:rPr>
      </w:pPr>
      <w:r>
        <w:rPr>
          <w:rFonts w:hint="eastAsia" w:ascii="黑体" w:eastAsia="黑体"/>
          <w:b/>
          <w:color w:val="auto"/>
          <w:sz w:val="28"/>
          <w:szCs w:val="28"/>
        </w:rPr>
        <w:t>磋商文件规定的特定资格条件证明资料</w:t>
      </w:r>
      <w:bookmarkEnd w:id="223"/>
    </w:p>
    <w:p w14:paraId="1B7C0327">
      <w:pPr>
        <w:adjustRightInd w:val="0"/>
        <w:snapToGrid w:val="0"/>
        <w:spacing w:line="360" w:lineRule="auto"/>
        <w:ind w:right="23" w:rightChars="11"/>
        <w:rPr>
          <w:rFonts w:hint="eastAsia"/>
        </w:rPr>
      </w:pPr>
      <w:r>
        <w:rPr>
          <w:rFonts w:hint="eastAsia" w:ascii="宋体" w:hAnsi="宋体" w:cs="宋体"/>
          <w:color w:val="000000"/>
          <w:szCs w:val="21"/>
        </w:rPr>
        <w:t>备注：提供第二章磋商须知第3.1款供应商特定资格条件证明资料的复印件</w:t>
      </w:r>
      <w:r>
        <w:rPr>
          <w:rFonts w:hint="eastAsia" w:ascii="仿宋_GB2312" w:hAnsi="宋体" w:eastAsia="仿宋_GB2312" w:cs="宋体"/>
          <w:color w:val="auto"/>
          <w:kern w:val="0"/>
          <w:szCs w:val="21"/>
          <w:highlight w:val="none"/>
          <w:lang w:eastAsia="zh-CN"/>
        </w:rPr>
        <w:t>，若无需要补充的材料，本页留空即可</w:t>
      </w:r>
      <w:r>
        <w:rPr>
          <w:rFonts w:hint="eastAsia" w:ascii="仿宋_GB2312" w:hAnsi="宋体" w:eastAsia="仿宋_GB2312" w:cs="宋体"/>
          <w:color w:val="auto"/>
          <w:kern w:val="0"/>
          <w:szCs w:val="21"/>
          <w:highlight w:val="none"/>
        </w:rPr>
        <w:t>。</w:t>
      </w:r>
    </w:p>
    <w:p w14:paraId="7514BD0B">
      <w:pPr>
        <w:pStyle w:val="59"/>
        <w:rPr>
          <w:rFonts w:hint="eastAsia"/>
        </w:rPr>
      </w:pPr>
    </w:p>
    <w:p w14:paraId="4F4DADA8">
      <w:pPr>
        <w:pStyle w:val="59"/>
        <w:rPr>
          <w:rFonts w:hint="eastAsia"/>
        </w:rPr>
      </w:pPr>
    </w:p>
    <w:p w14:paraId="3331849F">
      <w:pPr>
        <w:pStyle w:val="59"/>
        <w:rPr>
          <w:rFonts w:hint="eastAsia"/>
        </w:rPr>
      </w:pPr>
    </w:p>
    <w:p w14:paraId="2022B939">
      <w:pPr>
        <w:pStyle w:val="59"/>
        <w:rPr>
          <w:rFonts w:hint="eastAsia"/>
        </w:rPr>
      </w:pPr>
    </w:p>
    <w:p w14:paraId="2D632926">
      <w:pPr>
        <w:pStyle w:val="59"/>
        <w:rPr>
          <w:rFonts w:hint="eastAsia"/>
        </w:rPr>
      </w:pPr>
    </w:p>
    <w:p w14:paraId="506587B0">
      <w:pPr>
        <w:pStyle w:val="59"/>
        <w:rPr>
          <w:rFonts w:hint="eastAsia"/>
        </w:rPr>
      </w:pPr>
    </w:p>
    <w:p w14:paraId="4620819C">
      <w:pPr>
        <w:pStyle w:val="59"/>
        <w:rPr>
          <w:rFonts w:hint="eastAsia"/>
        </w:rPr>
      </w:pPr>
    </w:p>
    <w:p w14:paraId="67558FC8">
      <w:pPr>
        <w:pStyle w:val="59"/>
        <w:rPr>
          <w:rFonts w:hint="eastAsia"/>
        </w:rPr>
      </w:pPr>
    </w:p>
    <w:p w14:paraId="23B0A8A7">
      <w:pPr>
        <w:pStyle w:val="59"/>
        <w:rPr>
          <w:rFonts w:hint="eastAsia"/>
        </w:rPr>
      </w:pPr>
    </w:p>
    <w:p w14:paraId="536CFBEE">
      <w:pPr>
        <w:pStyle w:val="59"/>
        <w:rPr>
          <w:rFonts w:hint="eastAsia"/>
        </w:rPr>
      </w:pPr>
    </w:p>
    <w:p w14:paraId="541399C0">
      <w:pPr>
        <w:pStyle w:val="59"/>
        <w:rPr>
          <w:rFonts w:hint="eastAsia"/>
        </w:rPr>
      </w:pPr>
    </w:p>
    <w:p w14:paraId="2DA6B33F">
      <w:pPr>
        <w:pStyle w:val="59"/>
        <w:rPr>
          <w:rFonts w:hint="eastAsia"/>
        </w:rPr>
      </w:pPr>
    </w:p>
    <w:p w14:paraId="7C2820D6">
      <w:pPr>
        <w:pStyle w:val="59"/>
        <w:rPr>
          <w:rFonts w:hint="eastAsia"/>
        </w:rPr>
      </w:pPr>
    </w:p>
    <w:p w14:paraId="31011271">
      <w:pPr>
        <w:pStyle w:val="59"/>
        <w:rPr>
          <w:rFonts w:hint="eastAsia"/>
        </w:rPr>
      </w:pPr>
    </w:p>
    <w:p w14:paraId="2563E753">
      <w:pPr>
        <w:pStyle w:val="59"/>
        <w:rPr>
          <w:rFonts w:hint="eastAsia"/>
        </w:rPr>
      </w:pPr>
    </w:p>
    <w:p w14:paraId="6E15F488">
      <w:pPr>
        <w:pStyle w:val="59"/>
        <w:rPr>
          <w:rFonts w:hint="eastAsia"/>
        </w:rPr>
      </w:pPr>
    </w:p>
    <w:p w14:paraId="24A244EA">
      <w:pPr>
        <w:pStyle w:val="59"/>
        <w:rPr>
          <w:rFonts w:hint="eastAsia"/>
        </w:rPr>
      </w:pPr>
    </w:p>
    <w:p w14:paraId="3FDB8C49">
      <w:pPr>
        <w:pStyle w:val="59"/>
        <w:rPr>
          <w:rFonts w:hint="eastAsia"/>
        </w:rPr>
      </w:pPr>
    </w:p>
    <w:p w14:paraId="1D0104A7">
      <w:pPr>
        <w:pStyle w:val="59"/>
        <w:rPr>
          <w:rFonts w:hint="eastAsia"/>
        </w:rPr>
      </w:pPr>
    </w:p>
    <w:p w14:paraId="0EA67583">
      <w:pPr>
        <w:pStyle w:val="59"/>
        <w:rPr>
          <w:rFonts w:hint="eastAsia"/>
        </w:rPr>
      </w:pPr>
    </w:p>
    <w:p w14:paraId="6FB247C8">
      <w:pPr>
        <w:pStyle w:val="59"/>
        <w:rPr>
          <w:rFonts w:hint="eastAsia"/>
        </w:rPr>
      </w:pPr>
    </w:p>
    <w:p w14:paraId="46BA0187">
      <w:pPr>
        <w:pStyle w:val="59"/>
        <w:rPr>
          <w:rFonts w:hint="eastAsia"/>
        </w:rPr>
      </w:pPr>
    </w:p>
    <w:p w14:paraId="6404E0EE">
      <w:pPr>
        <w:pStyle w:val="59"/>
        <w:rPr>
          <w:rFonts w:hint="eastAsia"/>
        </w:rPr>
      </w:pPr>
    </w:p>
    <w:p w14:paraId="5D45EA54">
      <w:pPr>
        <w:pStyle w:val="59"/>
        <w:rPr>
          <w:rFonts w:hint="eastAsia"/>
        </w:rPr>
      </w:pPr>
    </w:p>
    <w:p w14:paraId="233B5C00">
      <w:pPr>
        <w:pStyle w:val="59"/>
        <w:rPr>
          <w:rFonts w:hint="eastAsia"/>
        </w:rPr>
      </w:pPr>
    </w:p>
    <w:p w14:paraId="43E0B433">
      <w:pPr>
        <w:pStyle w:val="59"/>
        <w:rPr>
          <w:rFonts w:hint="eastAsia"/>
        </w:rPr>
      </w:pPr>
    </w:p>
    <w:p w14:paraId="0B7AF0B9">
      <w:pPr>
        <w:pStyle w:val="59"/>
        <w:rPr>
          <w:rFonts w:hint="eastAsia"/>
        </w:rPr>
      </w:pPr>
    </w:p>
    <w:p w14:paraId="448E77C5">
      <w:pPr>
        <w:pStyle w:val="59"/>
        <w:rPr>
          <w:rFonts w:hint="eastAsia"/>
        </w:rPr>
      </w:pPr>
    </w:p>
    <w:p w14:paraId="3846294B">
      <w:pPr>
        <w:pStyle w:val="59"/>
        <w:rPr>
          <w:rFonts w:hint="eastAsia"/>
        </w:rPr>
      </w:pPr>
    </w:p>
    <w:p w14:paraId="472C48C0">
      <w:pPr>
        <w:pStyle w:val="59"/>
        <w:rPr>
          <w:rFonts w:hint="eastAsia"/>
        </w:rPr>
      </w:pPr>
    </w:p>
    <w:p w14:paraId="45F5F4E5">
      <w:pPr>
        <w:pStyle w:val="59"/>
        <w:rPr>
          <w:rFonts w:hint="eastAsia"/>
        </w:rPr>
      </w:pPr>
    </w:p>
    <w:p w14:paraId="21B1589F">
      <w:pPr>
        <w:pStyle w:val="59"/>
        <w:rPr>
          <w:rFonts w:hint="eastAsia"/>
        </w:rPr>
      </w:pPr>
    </w:p>
    <w:p w14:paraId="42D4D512">
      <w:pPr>
        <w:pStyle w:val="59"/>
        <w:rPr>
          <w:rFonts w:hint="eastAsia"/>
        </w:rPr>
      </w:pPr>
    </w:p>
    <w:p w14:paraId="604331BE">
      <w:pPr>
        <w:pStyle w:val="59"/>
        <w:rPr>
          <w:rFonts w:hint="eastAsia"/>
        </w:rPr>
      </w:pPr>
    </w:p>
    <w:p w14:paraId="5B38F91F">
      <w:pPr>
        <w:pStyle w:val="59"/>
        <w:rPr>
          <w:rFonts w:hint="eastAsia"/>
        </w:rPr>
      </w:pPr>
    </w:p>
    <w:p w14:paraId="59159E7E">
      <w:pPr>
        <w:pStyle w:val="59"/>
        <w:ind w:left="0" w:leftChars="0" w:firstLine="0" w:firstLineChars="0"/>
        <w:rPr>
          <w:rFonts w:hint="eastAsia"/>
        </w:rPr>
      </w:pPr>
    </w:p>
    <w:p w14:paraId="7ED54387">
      <w:pPr>
        <w:spacing w:line="480" w:lineRule="exact"/>
        <w:ind w:right="23" w:rightChars="11"/>
        <w:rPr>
          <w:rFonts w:hint="eastAsia" w:ascii="黑体" w:eastAsia="黑体"/>
          <w:color w:val="auto"/>
          <w:sz w:val="24"/>
        </w:rPr>
      </w:pPr>
    </w:p>
    <w:p w14:paraId="5D76ECA3">
      <w:pPr>
        <w:spacing w:line="480" w:lineRule="exact"/>
        <w:ind w:right="23" w:rightChars="11"/>
        <w:outlineLvl w:val="0"/>
        <w:rPr>
          <w:rFonts w:hint="eastAsia" w:ascii="黑体" w:eastAsia="黑体"/>
          <w:color w:val="auto"/>
          <w:sz w:val="24"/>
          <w:lang w:val="en-US" w:eastAsia="zh-CN"/>
        </w:rPr>
      </w:pPr>
      <w:bookmarkStart w:id="233" w:name="_Toc30365"/>
      <w:bookmarkStart w:id="234" w:name="_Toc16428"/>
      <w:bookmarkStart w:id="235" w:name="_Toc24490"/>
      <w:r>
        <w:rPr>
          <w:rFonts w:hint="eastAsia" w:ascii="黑体" w:eastAsia="黑体"/>
          <w:color w:val="auto"/>
          <w:sz w:val="24"/>
        </w:rPr>
        <w:t>附件</w:t>
      </w:r>
      <w:r>
        <w:rPr>
          <w:rFonts w:hint="eastAsia" w:ascii="黑体" w:eastAsia="黑体"/>
          <w:color w:val="auto"/>
          <w:sz w:val="24"/>
          <w:lang w:val="en-US" w:eastAsia="zh-CN"/>
        </w:rPr>
        <w:t>3</w:t>
      </w:r>
      <w:r>
        <w:rPr>
          <w:rFonts w:hint="eastAsia" w:ascii="黑体" w:eastAsia="黑体"/>
          <w:color w:val="auto"/>
          <w:sz w:val="24"/>
        </w:rPr>
        <w:t>-</w:t>
      </w:r>
      <w:r>
        <w:rPr>
          <w:rFonts w:hint="eastAsia" w:ascii="黑体" w:eastAsia="黑体"/>
          <w:color w:val="auto"/>
          <w:sz w:val="24"/>
          <w:lang w:val="en-US" w:eastAsia="zh-CN"/>
        </w:rPr>
        <w:t>4</w:t>
      </w:r>
      <w:r>
        <w:rPr>
          <w:rFonts w:hint="eastAsia" w:ascii="黑体" w:eastAsia="黑体"/>
          <w:color w:val="auto"/>
          <w:sz w:val="24"/>
        </w:rPr>
        <w:t>：</w:t>
      </w:r>
      <w:bookmarkEnd w:id="233"/>
      <w:bookmarkEnd w:id="234"/>
      <w:bookmarkEnd w:id="235"/>
    </w:p>
    <w:p w14:paraId="1E750E14">
      <w:pPr>
        <w:spacing w:line="480" w:lineRule="exact"/>
        <w:ind w:right="23" w:rightChars="11"/>
        <w:jc w:val="center"/>
        <w:outlineLvl w:val="9"/>
        <w:rPr>
          <w:rFonts w:hint="eastAsia" w:ascii="黑体" w:hAnsi="宋体" w:eastAsia="黑体"/>
          <w:b/>
          <w:color w:val="auto"/>
          <w:sz w:val="28"/>
          <w:szCs w:val="28"/>
        </w:rPr>
      </w:pPr>
      <w:bookmarkStart w:id="236" w:name="_Toc16093"/>
      <w:r>
        <w:rPr>
          <w:rFonts w:hint="eastAsia" w:ascii="黑体" w:hAnsi="宋体" w:eastAsia="黑体"/>
          <w:b/>
          <w:color w:val="auto"/>
          <w:sz w:val="28"/>
          <w:szCs w:val="28"/>
          <w:lang w:eastAsia="zh-CN"/>
        </w:rPr>
        <w:t>需要补充的</w:t>
      </w:r>
      <w:r>
        <w:rPr>
          <w:rFonts w:hint="eastAsia" w:ascii="黑体" w:hAnsi="宋体" w:eastAsia="黑体"/>
          <w:b/>
          <w:color w:val="auto"/>
          <w:sz w:val="28"/>
          <w:szCs w:val="28"/>
        </w:rPr>
        <w:t>资格条件证明资料</w:t>
      </w:r>
      <w:bookmarkEnd w:id="236"/>
    </w:p>
    <w:p w14:paraId="713B47CD">
      <w:pPr>
        <w:adjustRightInd w:val="0"/>
        <w:snapToGrid w:val="0"/>
        <w:spacing w:line="360" w:lineRule="auto"/>
        <w:ind w:firstLine="420" w:firstLineChars="200"/>
        <w:outlineLvl w:val="9"/>
        <w:rPr>
          <w:rFonts w:hint="eastAsia" w:ascii="宋体" w:hAnsi="宋体"/>
          <w:color w:val="auto"/>
          <w:szCs w:val="21"/>
        </w:rPr>
      </w:pPr>
    </w:p>
    <w:p w14:paraId="2F659ACA">
      <w:pPr>
        <w:spacing w:line="480" w:lineRule="exact"/>
        <w:ind w:right="23" w:rightChars="11"/>
        <w:rPr>
          <w:rFonts w:hint="eastAsia" w:ascii="黑体" w:hAnsi="宋体" w:eastAsia="黑体"/>
          <w:b/>
          <w:color w:val="auto"/>
          <w:sz w:val="28"/>
          <w:szCs w:val="28"/>
        </w:rPr>
      </w:pPr>
    </w:p>
    <w:p w14:paraId="241DF7BB">
      <w:pPr>
        <w:adjustRightInd w:val="0"/>
        <w:snapToGrid w:val="0"/>
        <w:spacing w:line="360" w:lineRule="auto"/>
        <w:ind w:right="23" w:rightChars="11"/>
        <w:rPr>
          <w:rFonts w:hint="eastAsia" w:ascii="仿宋_GB2312" w:hAnsi="宋体" w:eastAsia="仿宋_GB2312" w:cs="宋体"/>
          <w:color w:val="auto"/>
          <w:kern w:val="0"/>
          <w:szCs w:val="21"/>
        </w:rPr>
      </w:pPr>
    </w:p>
    <w:p w14:paraId="5E700EF5">
      <w:pPr>
        <w:adjustRightInd w:val="0"/>
        <w:snapToGrid w:val="0"/>
        <w:spacing w:line="360" w:lineRule="auto"/>
        <w:ind w:right="23" w:rightChars="11"/>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备注：提供第二章磋商须知第3.1款供应商资格条件证明资料的</w:t>
      </w:r>
      <w:r>
        <w:rPr>
          <w:rFonts w:hint="eastAsia" w:ascii="仿宋_GB2312" w:hAnsi="宋体" w:eastAsia="仿宋_GB2312" w:cs="宋体"/>
          <w:color w:val="auto"/>
          <w:kern w:val="0"/>
          <w:szCs w:val="21"/>
          <w:lang w:eastAsia="zh-CN"/>
        </w:rPr>
        <w:t>补充资料</w:t>
      </w:r>
      <w:r>
        <w:rPr>
          <w:rFonts w:hint="eastAsia" w:ascii="仿宋_GB2312" w:hAnsi="宋体" w:eastAsia="仿宋_GB2312" w:cs="宋体"/>
          <w:color w:val="auto"/>
          <w:kern w:val="0"/>
          <w:szCs w:val="21"/>
        </w:rPr>
        <w:t>复印件</w:t>
      </w:r>
      <w:r>
        <w:rPr>
          <w:rFonts w:hint="eastAsia" w:ascii="仿宋_GB2312" w:hAnsi="宋体" w:eastAsia="仿宋_GB2312" w:cs="宋体"/>
          <w:color w:val="auto"/>
          <w:kern w:val="0"/>
          <w:szCs w:val="21"/>
          <w:lang w:eastAsia="zh-CN"/>
        </w:rPr>
        <w:t>，若无需要补充的材料，本页留空即可</w:t>
      </w:r>
      <w:r>
        <w:rPr>
          <w:rFonts w:hint="eastAsia" w:ascii="仿宋_GB2312" w:hAnsi="宋体" w:eastAsia="仿宋_GB2312" w:cs="宋体"/>
          <w:color w:val="auto"/>
          <w:kern w:val="0"/>
          <w:szCs w:val="21"/>
        </w:rPr>
        <w:t>。</w:t>
      </w:r>
    </w:p>
    <w:p w14:paraId="2565F11D">
      <w:pPr>
        <w:adjustRightInd w:val="0"/>
        <w:snapToGrid w:val="0"/>
        <w:spacing w:line="360" w:lineRule="auto"/>
        <w:jc w:val="center"/>
        <w:outlineLvl w:val="0"/>
        <w:rPr>
          <w:rFonts w:hint="default" w:ascii="黑体" w:eastAsia="黑体"/>
          <w:b/>
          <w:sz w:val="32"/>
          <w:szCs w:val="32"/>
          <w:lang w:val="en-US" w:eastAsia="zh-CN"/>
        </w:rPr>
      </w:pPr>
      <w:r>
        <w:rPr>
          <w:rFonts w:hint="eastAsia" w:ascii="宋体" w:hAnsi="宋体" w:eastAsia="宋体" w:cs="宋体"/>
          <w:b/>
          <w:bCs/>
          <w:color w:val="auto"/>
          <w:kern w:val="2"/>
          <w:sz w:val="22"/>
          <w:szCs w:val="22"/>
          <w:highlight w:val="none"/>
          <w:lang w:val="en-US" w:eastAsia="zh-CN" w:bidi="ar-SA"/>
        </w:rPr>
        <w:br w:type="page"/>
      </w:r>
      <w:bookmarkStart w:id="237" w:name="_Toc5103"/>
      <w:bookmarkStart w:id="238" w:name="_Toc26745"/>
      <w:bookmarkStart w:id="239" w:name="_Toc12548"/>
      <w:bookmarkStart w:id="240" w:name="_Toc21524"/>
      <w:r>
        <w:rPr>
          <w:rStyle w:val="88"/>
          <w:rFonts w:hint="eastAsia"/>
          <w:sz w:val="28"/>
          <w:szCs w:val="28"/>
        </w:rPr>
        <w:t>四、</w:t>
      </w:r>
      <w:bookmarkEnd w:id="237"/>
      <w:bookmarkEnd w:id="238"/>
      <w:r>
        <w:rPr>
          <w:rStyle w:val="88"/>
          <w:rFonts w:hint="eastAsia"/>
          <w:sz w:val="28"/>
          <w:szCs w:val="28"/>
          <w:lang w:val="en-US" w:eastAsia="zh-CN"/>
        </w:rPr>
        <w:t>实施方案</w:t>
      </w:r>
      <w:bookmarkEnd w:id="239"/>
      <w:bookmarkEnd w:id="240"/>
    </w:p>
    <w:p w14:paraId="55D9E827">
      <w:pPr>
        <w:adjustRightInd w:val="0"/>
        <w:snapToGrid w:val="0"/>
        <w:rPr>
          <w:rFonts w:hint="eastAsia" w:ascii="宋体" w:hAnsi="宋体"/>
          <w:szCs w:val="21"/>
        </w:rPr>
      </w:pPr>
    </w:p>
    <w:p w14:paraId="3B7E7E91">
      <w:pPr>
        <w:pStyle w:val="4"/>
        <w:bidi w:val="0"/>
        <w:jc w:val="center"/>
        <w:outlineLvl w:val="9"/>
        <w:rPr>
          <w:rFonts w:ascii="黑体" w:hAnsi="宋体" w:eastAsia="黑体"/>
          <w:b/>
          <w:szCs w:val="30"/>
        </w:rPr>
      </w:pPr>
    </w:p>
    <w:p w14:paraId="6D171733">
      <w:pPr>
        <w:adjustRightInd w:val="0"/>
        <w:snapToGrid w:val="0"/>
        <w:rPr>
          <w:rFonts w:ascii="宋体" w:hAnsi="宋体"/>
          <w:szCs w:val="21"/>
        </w:rPr>
      </w:pPr>
    </w:p>
    <w:p w14:paraId="2511188D">
      <w:pPr>
        <w:adjustRightInd w:val="0"/>
        <w:snapToGrid w:val="0"/>
        <w:rPr>
          <w:rFonts w:hint="eastAsia" w:ascii="宋体" w:hAnsi="宋体"/>
          <w:szCs w:val="21"/>
        </w:rPr>
      </w:pPr>
    </w:p>
    <w:p w14:paraId="675EE518">
      <w:pPr>
        <w:spacing w:line="360" w:lineRule="exact"/>
        <w:rPr>
          <w:rFonts w:ascii="宋体" w:hAnsi="宋体" w:eastAsia="宋体" w:cs="仿宋"/>
          <w:b/>
          <w:kern w:val="2"/>
          <w:sz w:val="28"/>
          <w:szCs w:val="28"/>
        </w:rPr>
      </w:pPr>
      <w:r>
        <w:rPr>
          <w:rFonts w:hint="eastAsia" w:ascii="宋体" w:hAnsi="宋体" w:eastAsia="宋体" w:cs="仿宋"/>
          <w:b/>
          <w:kern w:val="2"/>
          <w:sz w:val="28"/>
          <w:szCs w:val="28"/>
        </w:rPr>
        <w:t>注：</w:t>
      </w:r>
      <w:r>
        <w:rPr>
          <w:rFonts w:hint="eastAsia" w:ascii="宋体" w:hAnsi="宋体" w:eastAsia="宋体" w:cs="Times New Roman"/>
          <w:b/>
          <w:kern w:val="2"/>
          <w:sz w:val="28"/>
          <w:szCs w:val="28"/>
          <w:lang w:eastAsia="zh-CN"/>
        </w:rPr>
        <w:t>实施</w:t>
      </w:r>
      <w:r>
        <w:rPr>
          <w:rFonts w:hint="eastAsia" w:ascii="宋体" w:hAnsi="宋体" w:eastAsia="宋体" w:cs="Times New Roman"/>
          <w:b/>
          <w:kern w:val="2"/>
          <w:sz w:val="28"/>
          <w:szCs w:val="28"/>
        </w:rPr>
        <w:t>方案无具体格式，供应商应根据采购需求和磋商因素和标准中的相关要求自行编制内容。</w:t>
      </w:r>
    </w:p>
    <w:p w14:paraId="5F482107">
      <w:pPr>
        <w:pStyle w:val="22"/>
        <w:spacing w:after="0" w:line="340" w:lineRule="exact"/>
        <w:ind w:left="0" w:leftChars="0" w:firstLine="480" w:firstLineChars="200"/>
        <w:jc w:val="left"/>
        <w:rPr>
          <w:rFonts w:hint="eastAsia" w:ascii="宋体" w:hAnsi="宋体" w:cs="宋体"/>
          <w:sz w:val="24"/>
          <w:szCs w:val="24"/>
        </w:rPr>
      </w:pPr>
    </w:p>
    <w:p w14:paraId="4014BB8A">
      <w:pPr>
        <w:pStyle w:val="22"/>
        <w:spacing w:after="0" w:line="340" w:lineRule="exact"/>
        <w:ind w:left="0" w:leftChars="0" w:firstLine="480" w:firstLineChars="200"/>
        <w:jc w:val="left"/>
        <w:rPr>
          <w:rFonts w:hint="eastAsia" w:ascii="宋体" w:hAnsi="宋体" w:cs="宋体"/>
          <w:sz w:val="24"/>
          <w:szCs w:val="24"/>
          <w:lang w:eastAsia="zh-CN"/>
        </w:rPr>
      </w:pPr>
    </w:p>
    <w:p w14:paraId="3DD2556F">
      <w:pPr>
        <w:pStyle w:val="22"/>
        <w:spacing w:after="0" w:line="340" w:lineRule="exact"/>
        <w:ind w:left="0" w:leftChars="0" w:firstLine="560" w:firstLineChars="200"/>
        <w:jc w:val="left"/>
        <w:rPr>
          <w:rFonts w:hint="eastAsia" w:ascii="宋体" w:hAnsi="宋体" w:eastAsia="宋体" w:cs="Times New Roman"/>
          <w:b/>
          <w:kern w:val="2"/>
          <w:sz w:val="28"/>
          <w:szCs w:val="28"/>
          <w:lang w:val="en-US" w:eastAsia="zh-CN" w:bidi="ar-SA"/>
        </w:rPr>
      </w:pPr>
      <w:r>
        <w:rPr>
          <w:rFonts w:hint="eastAsia" w:ascii="宋体" w:hAnsi="宋体" w:eastAsia="宋体" w:cs="Times New Roman"/>
          <w:b/>
          <w:kern w:val="2"/>
          <w:sz w:val="28"/>
          <w:szCs w:val="28"/>
          <w:lang w:val="en-US" w:eastAsia="zh-CN" w:bidi="ar-SA"/>
        </w:rPr>
        <w:t>注：格式自拟</w:t>
      </w:r>
    </w:p>
    <w:p w14:paraId="2F5FD6B7">
      <w:pPr>
        <w:adjustRightInd w:val="0"/>
        <w:snapToGrid w:val="0"/>
        <w:rPr>
          <w:rFonts w:hint="eastAsia" w:ascii="宋体" w:hAnsi="宋体"/>
          <w:szCs w:val="21"/>
        </w:rPr>
      </w:pPr>
    </w:p>
    <w:p w14:paraId="1E8DB743">
      <w:pPr>
        <w:adjustRightInd w:val="0"/>
        <w:snapToGrid w:val="0"/>
        <w:rPr>
          <w:rFonts w:hint="eastAsia" w:ascii="宋体" w:hAnsi="宋体"/>
          <w:szCs w:val="21"/>
        </w:rPr>
      </w:pPr>
    </w:p>
    <w:p w14:paraId="4DA28318">
      <w:pPr>
        <w:adjustRightInd w:val="0"/>
        <w:snapToGrid w:val="0"/>
        <w:rPr>
          <w:rFonts w:hint="eastAsia" w:ascii="宋体" w:hAnsi="宋体"/>
          <w:szCs w:val="21"/>
        </w:rPr>
      </w:pPr>
    </w:p>
    <w:p w14:paraId="404B2195">
      <w:pPr>
        <w:adjustRightInd w:val="0"/>
        <w:snapToGrid w:val="0"/>
        <w:rPr>
          <w:rFonts w:hint="eastAsia" w:ascii="宋体" w:hAnsi="宋体"/>
          <w:szCs w:val="21"/>
        </w:rPr>
      </w:pPr>
    </w:p>
    <w:p w14:paraId="4E0B5395">
      <w:pPr>
        <w:adjustRightInd w:val="0"/>
        <w:snapToGrid w:val="0"/>
        <w:rPr>
          <w:rFonts w:hint="eastAsia" w:ascii="宋体" w:hAnsi="宋体"/>
          <w:szCs w:val="21"/>
        </w:rPr>
      </w:pPr>
    </w:p>
    <w:p w14:paraId="2CD27B6B">
      <w:pPr>
        <w:adjustRightInd w:val="0"/>
        <w:snapToGrid w:val="0"/>
        <w:rPr>
          <w:rFonts w:hint="eastAsia" w:ascii="宋体" w:hAnsi="宋体"/>
          <w:szCs w:val="21"/>
        </w:rPr>
      </w:pPr>
    </w:p>
    <w:p w14:paraId="54CFA211">
      <w:pPr>
        <w:pStyle w:val="13"/>
        <w:adjustRightInd w:val="0"/>
        <w:snapToGrid w:val="0"/>
        <w:spacing w:line="360" w:lineRule="auto"/>
        <w:outlineLvl w:val="9"/>
        <w:rPr>
          <w:rFonts w:hint="eastAsia" w:ascii="宋体" w:hAnsi="宋体" w:cs="宋体" w:eastAsiaTheme="minorEastAsia"/>
          <w:bCs/>
          <w:sz w:val="21"/>
          <w:szCs w:val="21"/>
          <w:lang w:eastAsia="zh-CN"/>
        </w:rPr>
      </w:pPr>
      <w:r>
        <w:rPr>
          <w:rFonts w:hint="eastAsia" w:ascii="宋体" w:hAnsi="宋体" w:cs="宋体"/>
          <w:sz w:val="21"/>
          <w:szCs w:val="21"/>
        </w:rPr>
        <w:t>供应商名称（</w:t>
      </w:r>
      <w:r>
        <w:rPr>
          <w:rFonts w:hint="eastAsia" w:ascii="宋体" w:hAnsi="宋体" w:cs="宋体"/>
          <w:sz w:val="21"/>
          <w:szCs w:val="21"/>
          <w:lang w:eastAsia="zh-CN"/>
        </w:rPr>
        <w:t>盖单位公章</w:t>
      </w:r>
      <w:r>
        <w:rPr>
          <w:rFonts w:hint="eastAsia" w:ascii="宋体" w:hAnsi="宋体" w:cs="宋体"/>
          <w:sz w:val="21"/>
          <w:szCs w:val="21"/>
        </w:rPr>
        <w:t>）：</w:t>
      </w:r>
    </w:p>
    <w:p w14:paraId="3CD55935">
      <w:pPr>
        <w:adjustRightInd w:val="0"/>
        <w:snapToGrid w:val="0"/>
        <w:spacing w:line="360" w:lineRule="auto"/>
        <w:outlineLvl w:val="9"/>
        <w:rPr>
          <w:rFonts w:hint="eastAsia" w:ascii="宋体" w:hAnsi="宋体" w:cs="宋体"/>
          <w:szCs w:val="21"/>
        </w:rPr>
      </w:pPr>
      <w:r>
        <w:rPr>
          <w:rFonts w:hint="eastAsia" w:ascii="宋体" w:hAnsi="宋体" w:cs="宋体"/>
          <w:szCs w:val="21"/>
        </w:rPr>
        <w:t>法定代表人或其委托代理人(签字)：_</w:t>
      </w:r>
    </w:p>
    <w:p w14:paraId="1F2CE755">
      <w:pPr>
        <w:spacing w:line="360" w:lineRule="exact"/>
        <w:rPr>
          <w:rFonts w:hint="eastAsia" w:ascii="宋体" w:hAnsi="宋体" w:cs="宋体"/>
        </w:rPr>
      </w:pPr>
      <w:r>
        <w:rPr>
          <w:rFonts w:hint="eastAsia" w:ascii="宋体" w:hAnsi="宋体" w:cs="宋体"/>
          <w:szCs w:val="21"/>
        </w:rPr>
        <w:t>日期：年月日</w:t>
      </w:r>
    </w:p>
    <w:p w14:paraId="443A908C">
      <w:pPr>
        <w:pStyle w:val="59"/>
        <w:ind w:left="0" w:leftChars="0" w:firstLine="0" w:firstLineChars="0"/>
        <w:rPr>
          <w:rFonts w:hint="eastAsia" w:ascii="宋体" w:hAnsi="宋体"/>
          <w:szCs w:val="21"/>
        </w:rPr>
      </w:pPr>
    </w:p>
    <w:p w14:paraId="137F978D">
      <w:pPr>
        <w:adjustRightInd w:val="0"/>
        <w:snapToGrid w:val="0"/>
        <w:spacing w:line="360" w:lineRule="auto"/>
        <w:jc w:val="center"/>
        <w:outlineLvl w:val="9"/>
        <w:rPr>
          <w:rFonts w:hint="eastAsia" w:ascii="黑体" w:hAnsi="宋体" w:eastAsia="黑体"/>
          <w:b/>
          <w:color w:val="auto"/>
          <w:sz w:val="32"/>
          <w:szCs w:val="32"/>
          <w:lang w:eastAsia="zh-CN"/>
        </w:rPr>
      </w:pPr>
    </w:p>
    <w:p w14:paraId="559CB69A">
      <w:pPr>
        <w:adjustRightInd w:val="0"/>
        <w:snapToGrid w:val="0"/>
        <w:spacing w:line="360" w:lineRule="auto"/>
        <w:jc w:val="center"/>
        <w:outlineLvl w:val="9"/>
        <w:rPr>
          <w:rFonts w:hint="eastAsia" w:ascii="黑体" w:hAnsi="宋体" w:eastAsia="黑体"/>
          <w:b/>
          <w:color w:val="auto"/>
          <w:sz w:val="32"/>
          <w:szCs w:val="32"/>
          <w:lang w:eastAsia="zh-CN"/>
        </w:rPr>
      </w:pPr>
    </w:p>
    <w:p w14:paraId="183489E7">
      <w:pPr>
        <w:adjustRightInd w:val="0"/>
        <w:snapToGrid w:val="0"/>
        <w:spacing w:line="360" w:lineRule="auto"/>
        <w:jc w:val="center"/>
        <w:outlineLvl w:val="9"/>
        <w:rPr>
          <w:rFonts w:hint="eastAsia" w:ascii="黑体" w:hAnsi="宋体" w:eastAsia="黑体"/>
          <w:b/>
          <w:color w:val="auto"/>
          <w:sz w:val="32"/>
          <w:szCs w:val="32"/>
          <w:lang w:eastAsia="zh-CN"/>
        </w:rPr>
      </w:pPr>
    </w:p>
    <w:p w14:paraId="5F1E940E">
      <w:pPr>
        <w:adjustRightInd w:val="0"/>
        <w:snapToGrid w:val="0"/>
        <w:spacing w:line="360" w:lineRule="auto"/>
        <w:jc w:val="center"/>
        <w:outlineLvl w:val="9"/>
        <w:rPr>
          <w:rFonts w:hint="eastAsia" w:ascii="黑体" w:hAnsi="宋体" w:eastAsia="黑体"/>
          <w:b/>
          <w:color w:val="auto"/>
          <w:sz w:val="32"/>
          <w:szCs w:val="32"/>
          <w:lang w:eastAsia="zh-CN"/>
        </w:rPr>
      </w:pPr>
    </w:p>
    <w:p w14:paraId="5C4E3875">
      <w:pPr>
        <w:adjustRightInd w:val="0"/>
        <w:snapToGrid w:val="0"/>
        <w:spacing w:line="360" w:lineRule="auto"/>
        <w:jc w:val="center"/>
        <w:outlineLvl w:val="9"/>
        <w:rPr>
          <w:rFonts w:hint="eastAsia" w:ascii="黑体" w:hAnsi="宋体" w:eastAsia="黑体"/>
          <w:b/>
          <w:color w:val="auto"/>
          <w:sz w:val="32"/>
          <w:szCs w:val="32"/>
          <w:lang w:eastAsia="zh-CN"/>
        </w:rPr>
      </w:pPr>
    </w:p>
    <w:p w14:paraId="4AB5B147">
      <w:pPr>
        <w:adjustRightInd w:val="0"/>
        <w:snapToGrid w:val="0"/>
        <w:spacing w:line="360" w:lineRule="auto"/>
        <w:jc w:val="center"/>
        <w:outlineLvl w:val="9"/>
        <w:rPr>
          <w:rFonts w:hint="eastAsia" w:ascii="黑体" w:hAnsi="宋体" w:eastAsia="黑体"/>
          <w:b/>
          <w:color w:val="auto"/>
          <w:sz w:val="32"/>
          <w:szCs w:val="32"/>
          <w:lang w:eastAsia="zh-CN"/>
        </w:rPr>
      </w:pPr>
    </w:p>
    <w:p w14:paraId="7BC9DAEB">
      <w:pPr>
        <w:adjustRightInd w:val="0"/>
        <w:snapToGrid w:val="0"/>
        <w:spacing w:line="360" w:lineRule="auto"/>
        <w:jc w:val="center"/>
        <w:outlineLvl w:val="9"/>
        <w:rPr>
          <w:rFonts w:hint="eastAsia" w:ascii="黑体" w:hAnsi="宋体" w:eastAsia="黑体"/>
          <w:b/>
          <w:color w:val="auto"/>
          <w:sz w:val="32"/>
          <w:szCs w:val="32"/>
          <w:lang w:eastAsia="zh-CN"/>
        </w:rPr>
      </w:pPr>
    </w:p>
    <w:p w14:paraId="6699D130">
      <w:pPr>
        <w:adjustRightInd w:val="0"/>
        <w:snapToGrid w:val="0"/>
        <w:spacing w:line="360" w:lineRule="auto"/>
        <w:jc w:val="center"/>
        <w:outlineLvl w:val="9"/>
        <w:rPr>
          <w:rFonts w:hint="eastAsia" w:ascii="黑体" w:hAnsi="宋体" w:eastAsia="黑体"/>
          <w:b/>
          <w:color w:val="auto"/>
          <w:sz w:val="32"/>
          <w:szCs w:val="32"/>
          <w:lang w:eastAsia="zh-CN"/>
        </w:rPr>
      </w:pPr>
    </w:p>
    <w:p w14:paraId="72DB9E86">
      <w:pPr>
        <w:adjustRightInd w:val="0"/>
        <w:snapToGrid w:val="0"/>
        <w:spacing w:line="360" w:lineRule="auto"/>
        <w:jc w:val="center"/>
        <w:outlineLvl w:val="9"/>
        <w:rPr>
          <w:rFonts w:hint="eastAsia" w:ascii="黑体" w:hAnsi="宋体" w:eastAsia="黑体"/>
          <w:b/>
          <w:color w:val="auto"/>
          <w:sz w:val="32"/>
          <w:szCs w:val="32"/>
          <w:lang w:eastAsia="zh-CN"/>
        </w:rPr>
      </w:pPr>
    </w:p>
    <w:p w14:paraId="304A7C52">
      <w:pPr>
        <w:spacing w:line="360" w:lineRule="exact"/>
        <w:rPr>
          <w:rFonts w:hint="eastAsia" w:ascii="黑体" w:hAnsi="宋体" w:eastAsia="黑体"/>
          <w:b/>
          <w:color w:val="auto"/>
          <w:sz w:val="32"/>
          <w:szCs w:val="32"/>
          <w:lang w:eastAsia="zh-CN"/>
        </w:rPr>
      </w:pPr>
      <w:r>
        <w:rPr>
          <w:rFonts w:hint="eastAsia" w:ascii="黑体" w:hAnsi="宋体" w:eastAsia="黑体"/>
          <w:b/>
          <w:color w:val="auto"/>
          <w:sz w:val="32"/>
          <w:szCs w:val="32"/>
          <w:lang w:eastAsia="zh-CN"/>
        </w:rPr>
        <w:br w:type="page"/>
      </w:r>
    </w:p>
    <w:p w14:paraId="4D8F021B">
      <w:pPr>
        <w:keepNext/>
        <w:keepLines/>
        <w:widowControl w:val="0"/>
        <w:bidi w:val="0"/>
        <w:spacing w:line="360" w:lineRule="auto"/>
        <w:jc w:val="center"/>
        <w:outlineLvl w:val="9"/>
        <w:rPr>
          <w:rFonts w:hint="eastAsia" w:ascii="Arial" w:hAnsi="Arial" w:cs="Times New Roman" w:eastAsiaTheme="minorEastAsia"/>
          <w:b/>
          <w:bCs/>
          <w:kern w:val="1"/>
          <w:sz w:val="24"/>
          <w:szCs w:val="32"/>
          <w:lang w:val="en-US" w:eastAsia="zh-CN" w:bidi="ar-SA"/>
        </w:rPr>
      </w:pPr>
    </w:p>
    <w:p w14:paraId="1752BD3C">
      <w:pPr>
        <w:pStyle w:val="3"/>
        <w:bidi w:val="0"/>
        <w:jc w:val="center"/>
        <w:outlineLvl w:val="0"/>
        <w:rPr>
          <w:rFonts w:hint="eastAsia" w:ascii="仿宋" w:hAnsi="仿宋" w:eastAsia="仿宋" w:cs="宋体"/>
          <w:b/>
          <w:sz w:val="24"/>
        </w:rPr>
      </w:pPr>
      <w:bookmarkStart w:id="241" w:name="_Toc24969"/>
      <w:bookmarkStart w:id="242" w:name="_Toc30289"/>
      <w:bookmarkStart w:id="243" w:name="_Toc23141"/>
      <w:bookmarkStart w:id="244" w:name="_Toc1062"/>
      <w:r>
        <w:rPr>
          <w:rFonts w:hint="eastAsia"/>
          <w:lang w:eastAsia="zh-CN"/>
        </w:rPr>
        <w:t>五</w:t>
      </w:r>
      <w:r>
        <w:rPr>
          <w:rFonts w:hint="eastAsia"/>
        </w:rPr>
        <w:t>、</w:t>
      </w:r>
      <w:r>
        <w:rPr>
          <w:rFonts w:hint="eastAsia"/>
          <w:lang w:eastAsia="zh-CN"/>
        </w:rPr>
        <w:t>磋商文件规定的证明文件</w:t>
      </w:r>
      <w:bookmarkEnd w:id="241"/>
      <w:bookmarkEnd w:id="242"/>
      <w:bookmarkEnd w:id="243"/>
      <w:bookmarkEnd w:id="244"/>
    </w:p>
    <w:p w14:paraId="3F864149">
      <w:pPr>
        <w:adjustRightInd w:val="0"/>
        <w:snapToGrid w:val="0"/>
        <w:spacing w:before="156" w:beforeLines="50" w:line="360" w:lineRule="auto"/>
        <w:outlineLvl w:val="9"/>
        <w:rPr>
          <w:rFonts w:hint="eastAsia" w:ascii="仿宋" w:hAnsi="仿宋" w:eastAsia="仿宋" w:cs="宋体"/>
          <w:szCs w:val="21"/>
        </w:rPr>
      </w:pPr>
      <w:r>
        <w:rPr>
          <w:rFonts w:hint="eastAsia" w:ascii="仿宋" w:hAnsi="仿宋" w:eastAsia="仿宋" w:cs="宋体"/>
          <w:b/>
          <w:szCs w:val="21"/>
        </w:rPr>
        <w:t>备注</w:t>
      </w:r>
      <w:r>
        <w:rPr>
          <w:rFonts w:hint="eastAsia" w:ascii="仿宋" w:hAnsi="仿宋" w:eastAsia="仿宋" w:cs="宋体"/>
          <w:szCs w:val="21"/>
        </w:rPr>
        <w:t>：提供第</w:t>
      </w:r>
      <w:r>
        <w:rPr>
          <w:rFonts w:hint="eastAsia" w:ascii="仿宋" w:hAnsi="仿宋" w:eastAsia="仿宋" w:cs="宋体"/>
          <w:szCs w:val="21"/>
          <w:lang w:val="en-US" w:eastAsia="zh-CN"/>
        </w:rPr>
        <w:t>三</w:t>
      </w:r>
      <w:r>
        <w:rPr>
          <w:rFonts w:hint="eastAsia" w:ascii="仿宋" w:hAnsi="仿宋" w:eastAsia="仿宋" w:cs="宋体"/>
          <w:szCs w:val="21"/>
        </w:rPr>
        <w:t>章“评分标准”规定的证明材料复印件。</w:t>
      </w:r>
    </w:p>
    <w:p w14:paraId="76B2F5DB">
      <w:pPr>
        <w:adjustRightInd w:val="0"/>
        <w:snapToGrid w:val="0"/>
        <w:spacing w:before="157" w:beforeLines="50" w:line="360" w:lineRule="auto"/>
        <w:ind w:firstLine="420" w:firstLineChars="200"/>
        <w:jc w:val="both"/>
        <w:outlineLvl w:val="9"/>
        <w:rPr>
          <w:rFonts w:hint="eastAsia" w:ascii="宋体" w:hAnsi="宋体"/>
          <w:bCs/>
          <w:color w:val="auto"/>
          <w:szCs w:val="21"/>
        </w:rPr>
      </w:pPr>
    </w:p>
    <w:p w14:paraId="19A514D6">
      <w:pPr>
        <w:pStyle w:val="59"/>
        <w:outlineLvl w:val="9"/>
        <w:rPr>
          <w:rFonts w:ascii="仿宋_GB2312" w:hAnsi="仿宋_GB2312" w:eastAsia="仿宋_GB2312" w:cs="仿宋_GB2312"/>
          <w:color w:val="auto"/>
          <w:szCs w:val="21"/>
          <w:highlight w:val="none"/>
        </w:rPr>
      </w:pPr>
    </w:p>
    <w:p w14:paraId="3A36C24A">
      <w:pPr>
        <w:pStyle w:val="59"/>
        <w:outlineLvl w:val="9"/>
        <w:rPr>
          <w:rFonts w:ascii="仿宋_GB2312" w:hAnsi="仿宋_GB2312" w:eastAsia="仿宋_GB2312" w:cs="仿宋_GB2312"/>
          <w:color w:val="auto"/>
          <w:szCs w:val="21"/>
          <w:highlight w:val="none"/>
        </w:rPr>
      </w:pPr>
    </w:p>
    <w:p w14:paraId="5B8740C3">
      <w:pPr>
        <w:pStyle w:val="59"/>
        <w:outlineLvl w:val="9"/>
        <w:rPr>
          <w:rFonts w:ascii="仿宋_GB2312" w:hAnsi="仿宋_GB2312" w:eastAsia="仿宋_GB2312" w:cs="仿宋_GB2312"/>
          <w:color w:val="auto"/>
          <w:szCs w:val="21"/>
          <w:highlight w:val="none"/>
        </w:rPr>
      </w:pPr>
    </w:p>
    <w:p w14:paraId="2F3F5460">
      <w:pPr>
        <w:pStyle w:val="59"/>
        <w:outlineLvl w:val="9"/>
        <w:rPr>
          <w:rFonts w:ascii="仿宋_GB2312" w:hAnsi="仿宋_GB2312" w:eastAsia="仿宋_GB2312" w:cs="仿宋_GB2312"/>
          <w:color w:val="auto"/>
          <w:szCs w:val="21"/>
          <w:highlight w:val="none"/>
        </w:rPr>
      </w:pPr>
    </w:p>
    <w:p w14:paraId="0E6C3FC5">
      <w:pPr>
        <w:pStyle w:val="59"/>
        <w:outlineLvl w:val="9"/>
        <w:rPr>
          <w:rFonts w:ascii="仿宋_GB2312" w:hAnsi="仿宋_GB2312" w:eastAsia="仿宋_GB2312" w:cs="仿宋_GB2312"/>
          <w:color w:val="auto"/>
          <w:szCs w:val="21"/>
          <w:highlight w:val="none"/>
        </w:rPr>
      </w:pPr>
    </w:p>
    <w:p w14:paraId="0A84853B">
      <w:pPr>
        <w:pStyle w:val="59"/>
        <w:outlineLvl w:val="9"/>
        <w:rPr>
          <w:rFonts w:ascii="仿宋_GB2312" w:hAnsi="仿宋_GB2312" w:eastAsia="仿宋_GB2312" w:cs="仿宋_GB2312"/>
          <w:color w:val="auto"/>
          <w:szCs w:val="21"/>
          <w:highlight w:val="none"/>
        </w:rPr>
      </w:pPr>
    </w:p>
    <w:p w14:paraId="479D674B">
      <w:pPr>
        <w:pStyle w:val="59"/>
        <w:outlineLvl w:val="9"/>
        <w:rPr>
          <w:rFonts w:ascii="仿宋_GB2312" w:hAnsi="仿宋_GB2312" w:eastAsia="仿宋_GB2312" w:cs="仿宋_GB2312"/>
          <w:color w:val="auto"/>
          <w:szCs w:val="21"/>
          <w:highlight w:val="none"/>
        </w:rPr>
      </w:pPr>
    </w:p>
    <w:p w14:paraId="1A2428BD">
      <w:pPr>
        <w:pStyle w:val="59"/>
        <w:outlineLvl w:val="9"/>
        <w:rPr>
          <w:rFonts w:ascii="仿宋_GB2312" w:hAnsi="仿宋_GB2312" w:eastAsia="仿宋_GB2312" w:cs="仿宋_GB2312"/>
          <w:color w:val="auto"/>
          <w:szCs w:val="21"/>
          <w:highlight w:val="none"/>
        </w:rPr>
      </w:pPr>
    </w:p>
    <w:p w14:paraId="4EAC15EF">
      <w:pPr>
        <w:pStyle w:val="59"/>
        <w:outlineLvl w:val="9"/>
        <w:rPr>
          <w:rFonts w:ascii="仿宋_GB2312" w:hAnsi="仿宋_GB2312" w:eastAsia="仿宋_GB2312" w:cs="仿宋_GB2312"/>
          <w:color w:val="auto"/>
          <w:szCs w:val="21"/>
          <w:highlight w:val="none"/>
        </w:rPr>
      </w:pPr>
    </w:p>
    <w:p w14:paraId="25D9EB3E">
      <w:pPr>
        <w:pStyle w:val="59"/>
        <w:outlineLvl w:val="9"/>
        <w:rPr>
          <w:rFonts w:ascii="仿宋_GB2312" w:hAnsi="仿宋_GB2312" w:eastAsia="仿宋_GB2312" w:cs="仿宋_GB2312"/>
          <w:color w:val="auto"/>
          <w:szCs w:val="21"/>
          <w:highlight w:val="none"/>
        </w:rPr>
      </w:pPr>
    </w:p>
    <w:p w14:paraId="54561F5E">
      <w:pPr>
        <w:pStyle w:val="59"/>
        <w:outlineLvl w:val="9"/>
        <w:rPr>
          <w:rFonts w:ascii="仿宋_GB2312" w:hAnsi="仿宋_GB2312" w:eastAsia="仿宋_GB2312" w:cs="仿宋_GB2312"/>
          <w:color w:val="auto"/>
          <w:szCs w:val="21"/>
          <w:highlight w:val="none"/>
        </w:rPr>
      </w:pPr>
    </w:p>
    <w:p w14:paraId="55BB93D2">
      <w:pPr>
        <w:pStyle w:val="59"/>
        <w:outlineLvl w:val="9"/>
        <w:rPr>
          <w:rFonts w:ascii="仿宋_GB2312" w:hAnsi="仿宋_GB2312" w:eastAsia="仿宋_GB2312" w:cs="仿宋_GB2312"/>
          <w:color w:val="auto"/>
          <w:szCs w:val="21"/>
          <w:highlight w:val="none"/>
        </w:rPr>
      </w:pPr>
    </w:p>
    <w:p w14:paraId="64E57510">
      <w:pPr>
        <w:pStyle w:val="59"/>
        <w:outlineLvl w:val="9"/>
        <w:rPr>
          <w:rFonts w:ascii="仿宋_GB2312" w:hAnsi="仿宋_GB2312" w:eastAsia="仿宋_GB2312" w:cs="仿宋_GB2312"/>
          <w:color w:val="auto"/>
          <w:szCs w:val="21"/>
          <w:highlight w:val="none"/>
        </w:rPr>
      </w:pPr>
    </w:p>
    <w:p w14:paraId="2152213F">
      <w:pPr>
        <w:pStyle w:val="59"/>
        <w:outlineLvl w:val="9"/>
        <w:rPr>
          <w:rFonts w:ascii="仿宋_GB2312" w:hAnsi="仿宋_GB2312" w:eastAsia="仿宋_GB2312" w:cs="仿宋_GB2312"/>
          <w:color w:val="auto"/>
          <w:szCs w:val="21"/>
          <w:highlight w:val="none"/>
        </w:rPr>
      </w:pPr>
    </w:p>
    <w:p w14:paraId="51221DFF">
      <w:pPr>
        <w:pStyle w:val="59"/>
        <w:outlineLvl w:val="9"/>
        <w:rPr>
          <w:rFonts w:ascii="仿宋_GB2312" w:hAnsi="仿宋_GB2312" w:eastAsia="仿宋_GB2312" w:cs="仿宋_GB2312"/>
          <w:color w:val="auto"/>
          <w:szCs w:val="21"/>
          <w:highlight w:val="none"/>
        </w:rPr>
      </w:pPr>
    </w:p>
    <w:p w14:paraId="064D0AAB">
      <w:pPr>
        <w:pStyle w:val="59"/>
        <w:outlineLvl w:val="9"/>
        <w:rPr>
          <w:rFonts w:ascii="仿宋_GB2312" w:hAnsi="仿宋_GB2312" w:eastAsia="仿宋_GB2312" w:cs="仿宋_GB2312"/>
          <w:color w:val="auto"/>
          <w:szCs w:val="21"/>
          <w:highlight w:val="none"/>
        </w:rPr>
      </w:pPr>
    </w:p>
    <w:p w14:paraId="0C92FC62">
      <w:pPr>
        <w:pStyle w:val="59"/>
        <w:outlineLvl w:val="9"/>
        <w:rPr>
          <w:rFonts w:ascii="仿宋_GB2312" w:hAnsi="仿宋_GB2312" w:eastAsia="仿宋_GB2312" w:cs="仿宋_GB2312"/>
          <w:color w:val="auto"/>
          <w:szCs w:val="21"/>
          <w:highlight w:val="none"/>
        </w:rPr>
      </w:pPr>
    </w:p>
    <w:p w14:paraId="61A73E16">
      <w:pPr>
        <w:pStyle w:val="59"/>
        <w:outlineLvl w:val="9"/>
        <w:rPr>
          <w:rFonts w:ascii="仿宋_GB2312" w:hAnsi="仿宋_GB2312" w:eastAsia="仿宋_GB2312" w:cs="仿宋_GB2312"/>
          <w:color w:val="auto"/>
          <w:szCs w:val="21"/>
          <w:highlight w:val="none"/>
        </w:rPr>
      </w:pPr>
    </w:p>
    <w:p w14:paraId="50774537">
      <w:pPr>
        <w:pStyle w:val="59"/>
        <w:outlineLvl w:val="9"/>
        <w:rPr>
          <w:rFonts w:ascii="仿宋_GB2312" w:hAnsi="仿宋_GB2312" w:eastAsia="仿宋_GB2312" w:cs="仿宋_GB2312"/>
          <w:color w:val="auto"/>
          <w:szCs w:val="21"/>
          <w:highlight w:val="none"/>
        </w:rPr>
      </w:pPr>
    </w:p>
    <w:p w14:paraId="1E91C95D">
      <w:pPr>
        <w:pStyle w:val="59"/>
        <w:outlineLvl w:val="9"/>
        <w:rPr>
          <w:rFonts w:ascii="仿宋_GB2312" w:hAnsi="仿宋_GB2312" w:eastAsia="仿宋_GB2312" w:cs="仿宋_GB2312"/>
          <w:color w:val="auto"/>
          <w:szCs w:val="21"/>
          <w:highlight w:val="none"/>
        </w:rPr>
      </w:pPr>
    </w:p>
    <w:p w14:paraId="54E18E80">
      <w:pPr>
        <w:pStyle w:val="59"/>
        <w:outlineLvl w:val="9"/>
        <w:rPr>
          <w:rFonts w:ascii="仿宋_GB2312" w:hAnsi="仿宋_GB2312" w:eastAsia="仿宋_GB2312" w:cs="仿宋_GB2312"/>
          <w:color w:val="auto"/>
          <w:szCs w:val="21"/>
          <w:highlight w:val="none"/>
        </w:rPr>
      </w:pPr>
    </w:p>
    <w:p w14:paraId="33E02DB4">
      <w:pPr>
        <w:pStyle w:val="59"/>
        <w:outlineLvl w:val="9"/>
        <w:rPr>
          <w:rFonts w:ascii="仿宋_GB2312" w:hAnsi="仿宋_GB2312" w:eastAsia="仿宋_GB2312" w:cs="仿宋_GB2312"/>
          <w:color w:val="auto"/>
          <w:szCs w:val="21"/>
          <w:highlight w:val="none"/>
        </w:rPr>
      </w:pPr>
    </w:p>
    <w:p w14:paraId="118960F5">
      <w:pPr>
        <w:pStyle w:val="59"/>
        <w:outlineLvl w:val="9"/>
        <w:rPr>
          <w:rFonts w:ascii="仿宋_GB2312" w:hAnsi="仿宋_GB2312" w:eastAsia="仿宋_GB2312" w:cs="仿宋_GB2312"/>
          <w:color w:val="auto"/>
          <w:szCs w:val="21"/>
          <w:highlight w:val="none"/>
        </w:rPr>
      </w:pPr>
    </w:p>
    <w:p w14:paraId="3AE39B6E">
      <w:pPr>
        <w:pStyle w:val="59"/>
        <w:outlineLvl w:val="9"/>
        <w:rPr>
          <w:rFonts w:ascii="仿宋_GB2312" w:hAnsi="仿宋_GB2312" w:eastAsia="仿宋_GB2312" w:cs="仿宋_GB2312"/>
          <w:color w:val="auto"/>
          <w:szCs w:val="21"/>
          <w:highlight w:val="none"/>
        </w:rPr>
      </w:pPr>
    </w:p>
    <w:p w14:paraId="0DE470BB">
      <w:pPr>
        <w:pStyle w:val="59"/>
        <w:outlineLvl w:val="9"/>
        <w:rPr>
          <w:rFonts w:ascii="仿宋_GB2312" w:hAnsi="仿宋_GB2312" w:eastAsia="仿宋_GB2312" w:cs="仿宋_GB2312"/>
          <w:color w:val="auto"/>
          <w:szCs w:val="21"/>
          <w:highlight w:val="none"/>
        </w:rPr>
      </w:pPr>
    </w:p>
    <w:p w14:paraId="6316C924">
      <w:pPr>
        <w:pStyle w:val="59"/>
        <w:outlineLvl w:val="9"/>
        <w:rPr>
          <w:rFonts w:ascii="仿宋_GB2312" w:hAnsi="仿宋_GB2312" w:eastAsia="仿宋_GB2312" w:cs="仿宋_GB2312"/>
          <w:color w:val="auto"/>
          <w:szCs w:val="21"/>
          <w:highlight w:val="none"/>
        </w:rPr>
      </w:pPr>
    </w:p>
    <w:p w14:paraId="378E167E">
      <w:pPr>
        <w:pStyle w:val="59"/>
        <w:outlineLvl w:val="9"/>
        <w:rPr>
          <w:rFonts w:ascii="仿宋_GB2312" w:hAnsi="仿宋_GB2312" w:eastAsia="仿宋_GB2312" w:cs="仿宋_GB2312"/>
          <w:color w:val="auto"/>
          <w:szCs w:val="21"/>
          <w:highlight w:val="none"/>
        </w:rPr>
      </w:pPr>
    </w:p>
    <w:p w14:paraId="623E87A1">
      <w:pPr>
        <w:pStyle w:val="59"/>
        <w:outlineLvl w:val="9"/>
        <w:rPr>
          <w:rFonts w:ascii="仿宋_GB2312" w:hAnsi="仿宋_GB2312" w:eastAsia="仿宋_GB2312" w:cs="仿宋_GB2312"/>
          <w:color w:val="auto"/>
          <w:szCs w:val="21"/>
          <w:highlight w:val="none"/>
        </w:rPr>
      </w:pPr>
    </w:p>
    <w:p w14:paraId="22838E89">
      <w:pPr>
        <w:pStyle w:val="59"/>
        <w:outlineLvl w:val="9"/>
        <w:rPr>
          <w:rFonts w:ascii="仿宋_GB2312" w:hAnsi="仿宋_GB2312" w:eastAsia="仿宋_GB2312" w:cs="仿宋_GB2312"/>
          <w:color w:val="auto"/>
          <w:szCs w:val="21"/>
          <w:highlight w:val="none"/>
        </w:rPr>
      </w:pPr>
    </w:p>
    <w:p w14:paraId="1AC95E2B">
      <w:pPr>
        <w:pStyle w:val="59"/>
        <w:outlineLvl w:val="9"/>
        <w:rPr>
          <w:rFonts w:ascii="仿宋_GB2312" w:hAnsi="仿宋_GB2312" w:eastAsia="仿宋_GB2312" w:cs="仿宋_GB2312"/>
          <w:color w:val="auto"/>
          <w:szCs w:val="21"/>
          <w:highlight w:val="none"/>
        </w:rPr>
      </w:pPr>
    </w:p>
    <w:p w14:paraId="40648EFB">
      <w:pPr>
        <w:pStyle w:val="59"/>
        <w:outlineLvl w:val="9"/>
        <w:rPr>
          <w:rFonts w:ascii="仿宋_GB2312" w:hAnsi="仿宋_GB2312" w:eastAsia="仿宋_GB2312" w:cs="仿宋_GB2312"/>
          <w:color w:val="auto"/>
          <w:szCs w:val="21"/>
          <w:highlight w:val="none"/>
        </w:rPr>
      </w:pPr>
    </w:p>
    <w:p w14:paraId="073C24D8">
      <w:pPr>
        <w:pStyle w:val="59"/>
        <w:ind w:left="0" w:leftChars="0" w:firstLine="0" w:firstLineChars="0"/>
        <w:outlineLvl w:val="9"/>
        <w:rPr>
          <w:rFonts w:ascii="仿宋_GB2312" w:hAnsi="仿宋_GB2312" w:eastAsia="仿宋_GB2312" w:cs="仿宋_GB2312"/>
          <w:color w:val="auto"/>
          <w:szCs w:val="21"/>
          <w:highlight w:val="none"/>
        </w:rPr>
      </w:pPr>
    </w:p>
    <w:p w14:paraId="5767B070">
      <w:pPr>
        <w:pStyle w:val="59"/>
        <w:ind w:left="0" w:leftChars="0" w:firstLine="0" w:firstLineChars="0"/>
        <w:outlineLvl w:val="9"/>
        <w:rPr>
          <w:rFonts w:ascii="仿宋_GB2312" w:hAnsi="仿宋_GB2312" w:eastAsia="仿宋_GB2312" w:cs="仿宋_GB2312"/>
          <w:color w:val="auto"/>
          <w:szCs w:val="21"/>
          <w:highlight w:val="none"/>
        </w:rPr>
      </w:pPr>
    </w:p>
    <w:p w14:paraId="4B5D4FCE">
      <w:pPr>
        <w:pStyle w:val="59"/>
        <w:ind w:left="0" w:leftChars="0" w:firstLine="0" w:firstLineChars="0"/>
        <w:outlineLvl w:val="9"/>
        <w:rPr>
          <w:rFonts w:ascii="仿宋_GB2312" w:hAnsi="仿宋_GB2312" w:eastAsia="仿宋_GB2312" w:cs="仿宋_GB2312"/>
          <w:color w:val="auto"/>
          <w:szCs w:val="21"/>
          <w:highlight w:val="none"/>
        </w:rPr>
      </w:pPr>
    </w:p>
    <w:p w14:paraId="76614A02">
      <w:pPr>
        <w:pStyle w:val="59"/>
        <w:ind w:left="0" w:leftChars="0" w:firstLine="0" w:firstLineChars="0"/>
        <w:outlineLvl w:val="9"/>
        <w:rPr>
          <w:rFonts w:ascii="仿宋_GB2312" w:hAnsi="仿宋_GB2312" w:eastAsia="仿宋_GB2312" w:cs="仿宋_GB2312"/>
          <w:color w:val="auto"/>
          <w:szCs w:val="21"/>
          <w:highlight w:val="none"/>
        </w:rPr>
      </w:pPr>
    </w:p>
    <w:p w14:paraId="6083D86C">
      <w:pPr>
        <w:adjustRightInd w:val="0"/>
        <w:snapToGrid w:val="0"/>
        <w:spacing w:line="360" w:lineRule="auto"/>
        <w:ind w:left="-88" w:leftChars="-42"/>
        <w:outlineLvl w:val="9"/>
        <w:rPr>
          <w:rFonts w:ascii="仿宋_GB2312" w:hAnsi="仿宋_GB2312" w:eastAsia="仿宋_GB2312" w:cs="仿宋_GB2312"/>
          <w:color w:val="auto"/>
          <w:szCs w:val="21"/>
          <w:highlight w:val="none"/>
        </w:rPr>
      </w:pPr>
    </w:p>
    <w:p w14:paraId="42D07482">
      <w:pPr>
        <w:keepNext/>
        <w:keepLines/>
        <w:widowControl w:val="0"/>
        <w:bidi w:val="0"/>
        <w:spacing w:line="360" w:lineRule="auto"/>
        <w:jc w:val="center"/>
        <w:outlineLvl w:val="9"/>
        <w:rPr>
          <w:rFonts w:hint="eastAsia" w:ascii="Arial" w:hAnsi="Arial" w:cs="Times New Roman" w:eastAsiaTheme="minorEastAsia"/>
          <w:b/>
          <w:bCs/>
          <w:kern w:val="1"/>
          <w:sz w:val="24"/>
          <w:szCs w:val="32"/>
          <w:lang w:val="en-US" w:eastAsia="zh-CN" w:bidi="ar-SA"/>
        </w:rPr>
      </w:pPr>
    </w:p>
    <w:p w14:paraId="18F79B28">
      <w:pPr>
        <w:pStyle w:val="3"/>
        <w:numPr>
          <w:ilvl w:val="0"/>
          <w:numId w:val="10"/>
        </w:numPr>
        <w:bidi w:val="0"/>
        <w:jc w:val="center"/>
        <w:outlineLvl w:val="0"/>
        <w:rPr>
          <w:rFonts w:hint="eastAsia"/>
        </w:rPr>
      </w:pPr>
      <w:bookmarkStart w:id="245" w:name="_Toc31567"/>
      <w:bookmarkStart w:id="246" w:name="_Toc19068"/>
      <w:bookmarkStart w:id="247" w:name="_Toc30612"/>
      <w:bookmarkStart w:id="248" w:name="_Toc954"/>
      <w:r>
        <w:rPr>
          <w:rFonts w:hint="eastAsia"/>
        </w:rPr>
        <w:t>技术/商务响应与偏离表</w:t>
      </w:r>
      <w:bookmarkEnd w:id="245"/>
      <w:bookmarkEnd w:id="246"/>
      <w:bookmarkEnd w:id="247"/>
      <w:bookmarkEnd w:id="248"/>
    </w:p>
    <w:p w14:paraId="33B7D3FD">
      <w:pPr>
        <w:pStyle w:val="71"/>
        <w:spacing w:line="360" w:lineRule="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项目名称：</w:t>
      </w:r>
    </w:p>
    <w:p w14:paraId="499CF35C">
      <w:pPr>
        <w:pStyle w:val="89"/>
        <w:spacing w:line="360" w:lineRule="auto"/>
        <w:rPr>
          <w:rFonts w:hint="eastAsia" w:ascii="宋体" w:hAnsi="宋体" w:cs="宋体"/>
          <w:color w:val="auto"/>
          <w:szCs w:val="21"/>
        </w:rPr>
      </w:pPr>
      <w:r>
        <w:rPr>
          <w:rFonts w:hint="eastAsia" w:ascii="宋体" w:hAnsi="宋体" w:cs="宋体"/>
          <w:color w:val="auto"/>
          <w:szCs w:val="21"/>
        </w:rPr>
        <w:t>包号：</w:t>
      </w:r>
    </w:p>
    <w:p w14:paraId="2A3B0BB6">
      <w:pPr>
        <w:widowControl w:val="0"/>
        <w:spacing w:line="360" w:lineRule="auto"/>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采购项目编号：</w:t>
      </w:r>
    </w:p>
    <w:p w14:paraId="02946D2D">
      <w:pPr>
        <w:widowControl w:val="0"/>
        <w:spacing w:line="360" w:lineRule="auto"/>
        <w:jc w:val="both"/>
        <w:rPr>
          <w:rFonts w:hint="eastAsia" w:ascii="宋体" w:hAnsi="宋体" w:cs="宋体"/>
          <w:color w:val="auto"/>
          <w:szCs w:val="21"/>
          <w:lang w:val="en-US" w:eastAsia="zh-CN"/>
        </w:rPr>
      </w:pPr>
      <w:r>
        <w:rPr>
          <w:rFonts w:hint="eastAsia" w:ascii="宋体" w:hAnsi="宋体" w:eastAsia="宋体" w:cs="宋体"/>
          <w:color w:val="auto"/>
          <w:kern w:val="2"/>
          <w:sz w:val="21"/>
          <w:szCs w:val="21"/>
          <w:lang w:val="en-US" w:eastAsia="zh-CN" w:bidi="ar-SA"/>
        </w:rPr>
        <w:t>委托代理编号：</w:t>
      </w:r>
    </w:p>
    <w:p w14:paraId="313946CA">
      <w:pPr>
        <w:adjustRightInd w:val="0"/>
        <w:snapToGrid w:val="0"/>
        <w:ind w:left="-88" w:leftChars="-42" w:right="23" w:rightChars="11" w:firstLine="315" w:firstLineChars="150"/>
        <w:rPr>
          <w:rFonts w:hint="eastAsia" w:ascii="宋体" w:hAnsi="宋体"/>
          <w:color w:val="auto"/>
          <w:szCs w:val="21"/>
          <w:u w:val="single"/>
        </w:rPr>
      </w:pPr>
    </w:p>
    <w:tbl>
      <w:tblPr>
        <w:tblStyle w:val="28"/>
        <w:tblW w:w="9503"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28" w:type="dxa"/>
          <w:bottom w:w="0" w:type="dxa"/>
          <w:right w:w="28" w:type="dxa"/>
        </w:tblCellMar>
      </w:tblPr>
      <w:tblGrid>
        <w:gridCol w:w="634"/>
        <w:gridCol w:w="1601"/>
        <w:gridCol w:w="1171"/>
        <w:gridCol w:w="3461"/>
        <w:gridCol w:w="1517"/>
        <w:gridCol w:w="1119"/>
      </w:tblGrid>
      <w:tr w14:paraId="69D6503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tcBorders>
              <w:top w:val="double" w:color="auto" w:sz="2" w:space="0"/>
              <w:left w:val="double" w:color="auto" w:sz="2" w:space="0"/>
              <w:bottom w:val="single" w:color="auto" w:sz="6" w:space="0"/>
              <w:right w:val="single" w:color="auto" w:sz="6" w:space="0"/>
            </w:tcBorders>
            <w:noWrap w:val="0"/>
            <w:vAlign w:val="center"/>
          </w:tcPr>
          <w:p w14:paraId="46A0C9E8">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序号</w:t>
            </w:r>
          </w:p>
        </w:tc>
        <w:tc>
          <w:tcPr>
            <w:tcW w:w="1601" w:type="dxa"/>
            <w:tcBorders>
              <w:top w:val="double" w:color="auto" w:sz="2" w:space="0"/>
              <w:left w:val="single" w:color="auto" w:sz="6" w:space="0"/>
              <w:bottom w:val="single" w:color="auto" w:sz="6" w:space="0"/>
              <w:right w:val="single" w:color="auto" w:sz="6" w:space="0"/>
            </w:tcBorders>
            <w:noWrap w:val="0"/>
            <w:vAlign w:val="center"/>
          </w:tcPr>
          <w:p w14:paraId="3E49175B">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磋商文件条目号</w:t>
            </w:r>
          </w:p>
        </w:tc>
        <w:tc>
          <w:tcPr>
            <w:tcW w:w="1171" w:type="dxa"/>
            <w:tcBorders>
              <w:top w:val="double" w:color="auto" w:sz="2" w:space="0"/>
              <w:left w:val="single" w:color="auto" w:sz="6" w:space="0"/>
              <w:bottom w:val="single" w:color="auto" w:sz="6" w:space="0"/>
              <w:right w:val="single" w:color="auto" w:sz="6" w:space="0"/>
            </w:tcBorders>
            <w:noWrap w:val="0"/>
            <w:vAlign w:val="center"/>
          </w:tcPr>
          <w:p w14:paraId="48C3B656">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采购规格/商务条款</w:t>
            </w:r>
          </w:p>
        </w:tc>
        <w:tc>
          <w:tcPr>
            <w:tcW w:w="3461" w:type="dxa"/>
            <w:tcBorders>
              <w:top w:val="double" w:color="auto" w:sz="2" w:space="0"/>
              <w:left w:val="single" w:color="auto" w:sz="6" w:space="0"/>
              <w:bottom w:val="single" w:color="auto" w:sz="6" w:space="0"/>
              <w:right w:val="single" w:color="auto" w:sz="6" w:space="0"/>
            </w:tcBorders>
            <w:noWrap w:val="0"/>
            <w:vAlign w:val="center"/>
          </w:tcPr>
          <w:p w14:paraId="3B9BE807">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响应文件的规格/商务条款</w:t>
            </w:r>
          </w:p>
        </w:tc>
        <w:tc>
          <w:tcPr>
            <w:tcW w:w="1517" w:type="dxa"/>
            <w:tcBorders>
              <w:top w:val="double" w:color="auto" w:sz="2" w:space="0"/>
              <w:left w:val="single" w:color="auto" w:sz="6" w:space="0"/>
              <w:bottom w:val="single" w:color="auto" w:sz="6" w:space="0"/>
              <w:right w:val="single" w:color="auto" w:sz="6" w:space="0"/>
            </w:tcBorders>
            <w:noWrap w:val="0"/>
            <w:vAlign w:val="center"/>
          </w:tcPr>
          <w:p w14:paraId="5F01FBD3">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响应与偏离</w:t>
            </w:r>
          </w:p>
        </w:tc>
        <w:tc>
          <w:tcPr>
            <w:tcW w:w="1119" w:type="dxa"/>
            <w:tcBorders>
              <w:top w:val="double" w:color="auto" w:sz="2" w:space="0"/>
              <w:left w:val="single" w:color="auto" w:sz="6" w:space="0"/>
              <w:bottom w:val="single" w:color="auto" w:sz="6" w:space="0"/>
              <w:right w:val="double" w:color="auto" w:sz="2" w:space="0"/>
            </w:tcBorders>
            <w:noWrap w:val="0"/>
            <w:vAlign w:val="center"/>
          </w:tcPr>
          <w:p w14:paraId="54BC70C6">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说明</w:t>
            </w:r>
          </w:p>
        </w:tc>
      </w:tr>
      <w:tr w14:paraId="368AC2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noWrap w:val="0"/>
            <w:vAlign w:val="top"/>
          </w:tcPr>
          <w:p w14:paraId="57A913C8">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601" w:type="dxa"/>
            <w:tcBorders>
              <w:top w:val="single" w:color="auto" w:sz="6" w:space="0"/>
              <w:left w:val="single" w:color="auto" w:sz="6" w:space="0"/>
              <w:bottom w:val="single" w:color="auto" w:sz="6" w:space="0"/>
              <w:right w:val="single" w:color="auto" w:sz="6" w:space="0"/>
            </w:tcBorders>
            <w:noWrap w:val="0"/>
            <w:vAlign w:val="center"/>
          </w:tcPr>
          <w:p w14:paraId="3DDDD1DD">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171" w:type="dxa"/>
            <w:tcBorders>
              <w:top w:val="single" w:color="auto" w:sz="6" w:space="0"/>
              <w:left w:val="single" w:color="auto" w:sz="6" w:space="0"/>
              <w:bottom w:val="single" w:color="auto" w:sz="6" w:space="0"/>
              <w:right w:val="single" w:color="auto" w:sz="6" w:space="0"/>
            </w:tcBorders>
            <w:noWrap w:val="0"/>
            <w:vAlign w:val="center"/>
          </w:tcPr>
          <w:p w14:paraId="671216DB">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3461" w:type="dxa"/>
            <w:tcBorders>
              <w:top w:val="single" w:color="auto" w:sz="6" w:space="0"/>
              <w:left w:val="single" w:color="auto" w:sz="6" w:space="0"/>
              <w:bottom w:val="single" w:color="auto" w:sz="6" w:space="0"/>
              <w:right w:val="single" w:color="auto" w:sz="6" w:space="0"/>
            </w:tcBorders>
            <w:noWrap w:val="0"/>
            <w:vAlign w:val="center"/>
          </w:tcPr>
          <w:p w14:paraId="14A12ED8">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517" w:type="dxa"/>
            <w:tcBorders>
              <w:top w:val="single" w:color="auto" w:sz="6" w:space="0"/>
              <w:left w:val="single" w:color="auto" w:sz="6" w:space="0"/>
              <w:bottom w:val="single" w:color="auto" w:sz="6" w:space="0"/>
              <w:right w:val="single" w:color="auto" w:sz="6" w:space="0"/>
            </w:tcBorders>
            <w:noWrap w:val="0"/>
            <w:vAlign w:val="center"/>
          </w:tcPr>
          <w:p w14:paraId="552DB682">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119" w:type="dxa"/>
            <w:tcBorders>
              <w:top w:val="single" w:color="auto" w:sz="6" w:space="0"/>
              <w:left w:val="single" w:color="auto" w:sz="6" w:space="0"/>
              <w:bottom w:val="single" w:color="auto" w:sz="6" w:space="0"/>
              <w:right w:val="double" w:color="auto" w:sz="2" w:space="0"/>
            </w:tcBorders>
            <w:noWrap w:val="0"/>
            <w:vAlign w:val="center"/>
          </w:tcPr>
          <w:p w14:paraId="55A2A62B">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r>
      <w:tr w14:paraId="7101ACD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noWrap w:val="0"/>
            <w:vAlign w:val="top"/>
          </w:tcPr>
          <w:p w14:paraId="3BD542CF">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601" w:type="dxa"/>
            <w:tcBorders>
              <w:top w:val="single" w:color="auto" w:sz="6" w:space="0"/>
              <w:left w:val="single" w:color="auto" w:sz="6" w:space="0"/>
              <w:bottom w:val="single" w:color="auto" w:sz="6" w:space="0"/>
              <w:right w:val="single" w:color="auto" w:sz="6" w:space="0"/>
            </w:tcBorders>
            <w:noWrap w:val="0"/>
            <w:vAlign w:val="center"/>
          </w:tcPr>
          <w:p w14:paraId="32B76DB3">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171" w:type="dxa"/>
            <w:tcBorders>
              <w:top w:val="single" w:color="auto" w:sz="6" w:space="0"/>
              <w:left w:val="single" w:color="auto" w:sz="6" w:space="0"/>
              <w:bottom w:val="single" w:color="auto" w:sz="6" w:space="0"/>
              <w:right w:val="single" w:color="auto" w:sz="6" w:space="0"/>
            </w:tcBorders>
            <w:noWrap w:val="0"/>
            <w:vAlign w:val="center"/>
          </w:tcPr>
          <w:p w14:paraId="1F8A33BE">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3461" w:type="dxa"/>
            <w:tcBorders>
              <w:top w:val="single" w:color="auto" w:sz="6" w:space="0"/>
              <w:left w:val="single" w:color="auto" w:sz="6" w:space="0"/>
              <w:bottom w:val="single" w:color="auto" w:sz="6" w:space="0"/>
              <w:right w:val="single" w:color="auto" w:sz="6" w:space="0"/>
            </w:tcBorders>
            <w:noWrap w:val="0"/>
            <w:vAlign w:val="center"/>
          </w:tcPr>
          <w:p w14:paraId="7307C659">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517" w:type="dxa"/>
            <w:tcBorders>
              <w:top w:val="single" w:color="auto" w:sz="6" w:space="0"/>
              <w:left w:val="single" w:color="auto" w:sz="6" w:space="0"/>
              <w:bottom w:val="single" w:color="auto" w:sz="6" w:space="0"/>
              <w:right w:val="single" w:color="auto" w:sz="6" w:space="0"/>
            </w:tcBorders>
            <w:noWrap w:val="0"/>
            <w:vAlign w:val="center"/>
          </w:tcPr>
          <w:p w14:paraId="0ECD49CF">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119" w:type="dxa"/>
            <w:tcBorders>
              <w:top w:val="single" w:color="auto" w:sz="6" w:space="0"/>
              <w:left w:val="single" w:color="auto" w:sz="6" w:space="0"/>
              <w:bottom w:val="single" w:color="auto" w:sz="6" w:space="0"/>
              <w:right w:val="double" w:color="auto" w:sz="2" w:space="0"/>
            </w:tcBorders>
            <w:noWrap w:val="0"/>
            <w:vAlign w:val="center"/>
          </w:tcPr>
          <w:p w14:paraId="63AA1B8F">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r>
      <w:tr w14:paraId="28B1F13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noWrap w:val="0"/>
            <w:vAlign w:val="top"/>
          </w:tcPr>
          <w:p w14:paraId="187385F8">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601" w:type="dxa"/>
            <w:tcBorders>
              <w:top w:val="single" w:color="auto" w:sz="6" w:space="0"/>
              <w:left w:val="single" w:color="auto" w:sz="6" w:space="0"/>
              <w:bottom w:val="single" w:color="auto" w:sz="6" w:space="0"/>
              <w:right w:val="single" w:color="auto" w:sz="6" w:space="0"/>
            </w:tcBorders>
            <w:noWrap w:val="0"/>
            <w:vAlign w:val="center"/>
          </w:tcPr>
          <w:p w14:paraId="3272C41E">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171" w:type="dxa"/>
            <w:tcBorders>
              <w:top w:val="single" w:color="auto" w:sz="6" w:space="0"/>
              <w:left w:val="single" w:color="auto" w:sz="6" w:space="0"/>
              <w:bottom w:val="single" w:color="auto" w:sz="6" w:space="0"/>
              <w:right w:val="single" w:color="auto" w:sz="6" w:space="0"/>
            </w:tcBorders>
            <w:noWrap w:val="0"/>
            <w:vAlign w:val="center"/>
          </w:tcPr>
          <w:p w14:paraId="11277984">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3461" w:type="dxa"/>
            <w:tcBorders>
              <w:top w:val="single" w:color="auto" w:sz="6" w:space="0"/>
              <w:left w:val="single" w:color="auto" w:sz="6" w:space="0"/>
              <w:bottom w:val="single" w:color="auto" w:sz="6" w:space="0"/>
              <w:right w:val="single" w:color="auto" w:sz="6" w:space="0"/>
            </w:tcBorders>
            <w:noWrap w:val="0"/>
            <w:vAlign w:val="center"/>
          </w:tcPr>
          <w:p w14:paraId="7B44DB9C">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517" w:type="dxa"/>
            <w:tcBorders>
              <w:top w:val="single" w:color="auto" w:sz="6" w:space="0"/>
              <w:left w:val="single" w:color="auto" w:sz="6" w:space="0"/>
              <w:bottom w:val="single" w:color="auto" w:sz="6" w:space="0"/>
              <w:right w:val="single" w:color="auto" w:sz="6" w:space="0"/>
            </w:tcBorders>
            <w:noWrap w:val="0"/>
            <w:vAlign w:val="center"/>
          </w:tcPr>
          <w:p w14:paraId="78385743">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119" w:type="dxa"/>
            <w:tcBorders>
              <w:top w:val="single" w:color="auto" w:sz="6" w:space="0"/>
              <w:left w:val="single" w:color="auto" w:sz="6" w:space="0"/>
              <w:bottom w:val="single" w:color="auto" w:sz="6" w:space="0"/>
              <w:right w:val="double" w:color="auto" w:sz="2" w:space="0"/>
            </w:tcBorders>
            <w:noWrap w:val="0"/>
            <w:vAlign w:val="center"/>
          </w:tcPr>
          <w:p w14:paraId="35679557">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r>
      <w:tr w14:paraId="269680D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noWrap w:val="0"/>
            <w:vAlign w:val="top"/>
          </w:tcPr>
          <w:p w14:paraId="0DEBCA25">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601" w:type="dxa"/>
            <w:tcBorders>
              <w:top w:val="single" w:color="auto" w:sz="6" w:space="0"/>
              <w:left w:val="single" w:color="auto" w:sz="6" w:space="0"/>
              <w:bottom w:val="single" w:color="auto" w:sz="6" w:space="0"/>
              <w:right w:val="single" w:color="auto" w:sz="6" w:space="0"/>
            </w:tcBorders>
            <w:noWrap w:val="0"/>
            <w:vAlign w:val="center"/>
          </w:tcPr>
          <w:p w14:paraId="688C615B">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171" w:type="dxa"/>
            <w:tcBorders>
              <w:top w:val="single" w:color="auto" w:sz="6" w:space="0"/>
              <w:left w:val="single" w:color="auto" w:sz="6" w:space="0"/>
              <w:bottom w:val="single" w:color="auto" w:sz="6" w:space="0"/>
              <w:right w:val="single" w:color="auto" w:sz="6" w:space="0"/>
            </w:tcBorders>
            <w:noWrap w:val="0"/>
            <w:vAlign w:val="center"/>
          </w:tcPr>
          <w:p w14:paraId="211E8E3B">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4978" w:type="dxa"/>
            <w:gridSpan w:val="2"/>
            <w:vMerge w:val="restart"/>
            <w:tcBorders>
              <w:top w:val="single" w:color="auto" w:sz="6" w:space="0"/>
              <w:left w:val="single" w:color="auto" w:sz="6" w:space="0"/>
              <w:right w:val="single" w:color="auto" w:sz="6" w:space="0"/>
            </w:tcBorders>
            <w:noWrap w:val="0"/>
            <w:vAlign w:val="center"/>
          </w:tcPr>
          <w:p w14:paraId="110D38A8">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r>
              <w:rPr>
                <w:rFonts w:hint="eastAsia" w:ascii="宋体" w:hAnsi="宋体" w:eastAsia="宋体"/>
                <w:b/>
                <w:color w:val="auto"/>
                <w:sz w:val="21"/>
                <w:szCs w:val="21"/>
                <w:highlight w:val="none"/>
              </w:rPr>
              <w:t>投标人保证：除本采购技术/商务列出的偏离外，我单位对</w:t>
            </w:r>
            <w:r>
              <w:rPr>
                <w:rFonts w:hint="eastAsia" w:ascii="宋体" w:hAnsi="宋体" w:eastAsia="宋体"/>
                <w:b/>
                <w:color w:val="auto"/>
                <w:sz w:val="21"/>
                <w:szCs w:val="21"/>
                <w:highlight w:val="none"/>
                <w:lang w:eastAsia="zh-CN"/>
              </w:rPr>
              <w:t>磋商</w:t>
            </w:r>
            <w:r>
              <w:rPr>
                <w:rFonts w:hint="eastAsia" w:ascii="宋体" w:hAnsi="宋体" w:eastAsia="宋体"/>
                <w:b/>
                <w:color w:val="auto"/>
                <w:sz w:val="21"/>
                <w:szCs w:val="21"/>
                <w:highlight w:val="none"/>
              </w:rPr>
              <w:t>文件的其他技术/商务条款完全响应，无偏离。</w:t>
            </w:r>
          </w:p>
        </w:tc>
        <w:tc>
          <w:tcPr>
            <w:tcW w:w="1119" w:type="dxa"/>
            <w:tcBorders>
              <w:top w:val="single" w:color="auto" w:sz="6" w:space="0"/>
              <w:left w:val="single" w:color="auto" w:sz="6" w:space="0"/>
              <w:bottom w:val="single" w:color="auto" w:sz="6" w:space="0"/>
              <w:right w:val="double" w:color="auto" w:sz="2" w:space="0"/>
            </w:tcBorders>
            <w:noWrap w:val="0"/>
            <w:vAlign w:val="center"/>
          </w:tcPr>
          <w:p w14:paraId="15EBA28F">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r>
      <w:tr w14:paraId="7C4BA70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double" w:color="auto" w:sz="2" w:space="0"/>
              <w:right w:val="single" w:color="auto" w:sz="6" w:space="0"/>
            </w:tcBorders>
            <w:noWrap w:val="0"/>
            <w:vAlign w:val="top"/>
          </w:tcPr>
          <w:p w14:paraId="08BED43D">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601" w:type="dxa"/>
            <w:tcBorders>
              <w:top w:val="single" w:color="auto" w:sz="6" w:space="0"/>
              <w:left w:val="single" w:color="auto" w:sz="6" w:space="0"/>
              <w:bottom w:val="double" w:color="auto" w:sz="2" w:space="0"/>
              <w:right w:val="single" w:color="auto" w:sz="6" w:space="0"/>
            </w:tcBorders>
            <w:noWrap w:val="0"/>
            <w:vAlign w:val="center"/>
          </w:tcPr>
          <w:p w14:paraId="6C390BD4">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c>
          <w:tcPr>
            <w:tcW w:w="1171" w:type="dxa"/>
            <w:tcBorders>
              <w:top w:val="single" w:color="auto" w:sz="6" w:space="0"/>
              <w:left w:val="single" w:color="auto" w:sz="6" w:space="0"/>
              <w:bottom w:val="double" w:color="auto" w:sz="2" w:space="0"/>
              <w:right w:val="single" w:color="auto" w:sz="6" w:space="0"/>
            </w:tcBorders>
            <w:noWrap w:val="0"/>
            <w:vAlign w:val="center"/>
          </w:tcPr>
          <w:p w14:paraId="2E86D377">
            <w:pPr>
              <w:keepNext w:val="0"/>
              <w:keepLines w:val="0"/>
              <w:widowControl w:val="0"/>
              <w:suppressLineNumbers w:val="0"/>
              <w:adjustRightInd w:val="0"/>
              <w:snapToGrid w:val="0"/>
              <w:spacing w:before="0" w:beforeAutospacing="0" w:after="0" w:afterAutospacing="0"/>
              <w:ind w:left="-88" w:leftChars="-42" w:right="0"/>
              <w:jc w:val="left"/>
              <w:rPr>
                <w:rFonts w:hint="eastAsia" w:ascii="宋体" w:hAnsi="宋体" w:eastAsia="宋体" w:cs="宋体"/>
                <w:kern w:val="2"/>
                <w:sz w:val="21"/>
                <w:szCs w:val="21"/>
              </w:rPr>
            </w:pPr>
          </w:p>
        </w:tc>
        <w:tc>
          <w:tcPr>
            <w:tcW w:w="4978" w:type="dxa"/>
            <w:gridSpan w:val="2"/>
            <w:vMerge w:val="continue"/>
            <w:tcBorders>
              <w:left w:val="single" w:color="auto" w:sz="6" w:space="0"/>
              <w:bottom w:val="double" w:color="auto" w:sz="2" w:space="0"/>
              <w:right w:val="single" w:color="auto" w:sz="6" w:space="0"/>
            </w:tcBorders>
            <w:noWrap w:val="0"/>
            <w:vAlign w:val="center"/>
          </w:tcPr>
          <w:p w14:paraId="62BC599F">
            <w:pPr>
              <w:keepNext w:val="0"/>
              <w:keepLines w:val="0"/>
              <w:widowControl w:val="0"/>
              <w:suppressLineNumbers w:val="0"/>
              <w:adjustRightInd w:val="0"/>
              <w:snapToGrid w:val="0"/>
              <w:spacing w:before="0" w:beforeAutospacing="0" w:after="0" w:afterAutospacing="0"/>
              <w:ind w:left="-88" w:leftChars="-42" w:right="0"/>
              <w:jc w:val="left"/>
              <w:rPr>
                <w:rFonts w:hint="eastAsia" w:ascii="宋体" w:hAnsi="宋体" w:eastAsia="宋体" w:cs="宋体"/>
                <w:kern w:val="2"/>
                <w:sz w:val="21"/>
                <w:szCs w:val="21"/>
              </w:rPr>
            </w:pPr>
          </w:p>
        </w:tc>
        <w:tc>
          <w:tcPr>
            <w:tcW w:w="1119" w:type="dxa"/>
            <w:tcBorders>
              <w:top w:val="single" w:color="auto" w:sz="6" w:space="0"/>
              <w:left w:val="single" w:color="auto" w:sz="6" w:space="0"/>
              <w:bottom w:val="double" w:color="auto" w:sz="2" w:space="0"/>
              <w:right w:val="double" w:color="auto" w:sz="2" w:space="0"/>
            </w:tcBorders>
            <w:noWrap w:val="0"/>
            <w:vAlign w:val="center"/>
          </w:tcPr>
          <w:p w14:paraId="4900E96F">
            <w:pPr>
              <w:keepNext w:val="0"/>
              <w:keepLines w:val="0"/>
              <w:widowControl w:val="0"/>
              <w:suppressLineNumbers w:val="0"/>
              <w:adjustRightInd w:val="0"/>
              <w:snapToGrid w:val="0"/>
              <w:spacing w:before="0" w:beforeAutospacing="0" w:after="0" w:afterAutospacing="0"/>
              <w:ind w:left="-88" w:leftChars="-42" w:right="0"/>
              <w:jc w:val="center"/>
              <w:rPr>
                <w:rFonts w:hint="eastAsia" w:ascii="宋体" w:hAnsi="宋体" w:eastAsia="宋体" w:cs="宋体"/>
                <w:kern w:val="2"/>
                <w:sz w:val="21"/>
                <w:szCs w:val="21"/>
              </w:rPr>
            </w:pPr>
          </w:p>
        </w:tc>
      </w:tr>
    </w:tbl>
    <w:p w14:paraId="3136AE2A">
      <w:pPr>
        <w:adjustRightInd w:val="0"/>
        <w:snapToGrid w:val="0"/>
        <w:spacing w:line="360" w:lineRule="auto"/>
        <w:ind w:left="-88" w:leftChars="-42" w:right="23" w:rightChars="11"/>
        <w:rPr>
          <w:rFonts w:hint="eastAsia" w:ascii="仿宋_GB2312" w:hAnsi="宋体" w:eastAsia="仿宋_GB2312"/>
          <w:color w:val="auto"/>
          <w:szCs w:val="21"/>
        </w:rPr>
      </w:pPr>
    </w:p>
    <w:p w14:paraId="00A8E903">
      <w:pPr>
        <w:adjustRightInd w:val="0"/>
        <w:snapToGrid w:val="0"/>
        <w:spacing w:line="360" w:lineRule="auto"/>
        <w:ind w:left="-88" w:leftChars="-42" w:right="23" w:rightChars="11"/>
        <w:rPr>
          <w:rFonts w:hint="eastAsia" w:ascii="仿宋_GB2312" w:hAnsi="宋体" w:eastAsia="仿宋_GB2312"/>
          <w:color w:val="auto"/>
          <w:szCs w:val="21"/>
        </w:rPr>
      </w:pPr>
      <w:r>
        <w:rPr>
          <w:rFonts w:hint="eastAsia" w:ascii="仿宋_GB2312" w:hAnsi="宋体" w:eastAsia="仿宋_GB2312"/>
          <w:color w:val="auto"/>
          <w:szCs w:val="21"/>
        </w:rPr>
        <w:t>说明：1、“响应与偏离”应注明“响应”或“偏离”。</w:t>
      </w:r>
    </w:p>
    <w:p w14:paraId="2ED2E406">
      <w:pPr>
        <w:numPr>
          <w:ilvl w:val="0"/>
          <w:numId w:val="11"/>
        </w:numPr>
        <w:adjustRightInd w:val="0"/>
        <w:snapToGrid w:val="0"/>
        <w:spacing w:line="360" w:lineRule="auto"/>
        <w:ind w:left="0" w:leftChars="0" w:right="23" w:rightChars="11" w:firstLine="0" w:firstLineChars="0"/>
        <w:rPr>
          <w:rFonts w:hint="eastAsia" w:ascii="仿宋_GB2312" w:hAnsi="宋体" w:eastAsia="仿宋_GB2312"/>
          <w:color w:val="auto"/>
          <w:szCs w:val="21"/>
        </w:rPr>
      </w:pPr>
      <w:r>
        <w:rPr>
          <w:rFonts w:hint="eastAsia" w:ascii="仿宋_GB2312" w:hAnsi="宋体" w:eastAsia="仿宋_GB2312"/>
          <w:color w:val="auto"/>
          <w:szCs w:val="21"/>
        </w:rPr>
        <w:t>属磋商文件规定可能变动的内容在“说明”栏中注明。</w:t>
      </w:r>
    </w:p>
    <w:p w14:paraId="7B497D35">
      <w:pPr>
        <w:pStyle w:val="48"/>
        <w:numPr>
          <w:ilvl w:val="0"/>
          <w:numId w:val="11"/>
        </w:numPr>
        <w:ind w:left="0" w:leftChars="0" w:firstLine="0" w:firstLineChars="0"/>
        <w:rPr>
          <w:rFonts w:hint="eastAsia" w:ascii="宋体" w:hAnsi="宋体"/>
          <w:color w:val="auto"/>
          <w:sz w:val="21"/>
          <w:szCs w:val="21"/>
        </w:rPr>
      </w:pPr>
      <w:r>
        <w:rPr>
          <w:rFonts w:hint="eastAsia" w:ascii="仿宋_GB2312" w:hAnsi="宋体" w:eastAsia="仿宋_GB2312" w:cs="Times New Roman"/>
          <w:color w:val="auto"/>
          <w:kern w:val="2"/>
          <w:sz w:val="21"/>
          <w:szCs w:val="21"/>
          <w:lang w:val="en-US" w:eastAsia="zh-CN" w:bidi="ar-SA"/>
        </w:rPr>
        <w:t>投标人保证：除本商务、技术条款偏离表列出的偏离外，我单位对磋商文件的其他商务、技术条款完全响应，无偏离。</w:t>
      </w:r>
    </w:p>
    <w:p w14:paraId="671B55CF">
      <w:pPr>
        <w:pStyle w:val="48"/>
        <w:widowControl/>
        <w:numPr>
          <w:ilvl w:val="0"/>
          <w:numId w:val="0"/>
        </w:numPr>
        <w:adjustRightInd w:val="0"/>
        <w:snapToGrid w:val="0"/>
        <w:jc w:val="both"/>
        <w:textAlignment w:val="baseline"/>
        <w:rPr>
          <w:rFonts w:hint="eastAsia" w:ascii="仿宋_GB2312" w:hAnsi="宋体" w:eastAsia="仿宋_GB2312" w:cs="Times New Roman"/>
          <w:color w:val="auto"/>
          <w:kern w:val="2"/>
          <w:sz w:val="21"/>
          <w:szCs w:val="21"/>
          <w:lang w:val="en-US" w:eastAsia="zh-CN" w:bidi="ar-SA"/>
        </w:rPr>
      </w:pPr>
    </w:p>
    <w:p w14:paraId="57FA156D">
      <w:pPr>
        <w:pStyle w:val="48"/>
        <w:widowControl/>
        <w:numPr>
          <w:ilvl w:val="0"/>
          <w:numId w:val="0"/>
        </w:numPr>
        <w:adjustRightInd w:val="0"/>
        <w:snapToGrid w:val="0"/>
        <w:jc w:val="both"/>
        <w:textAlignment w:val="baseline"/>
        <w:rPr>
          <w:rFonts w:hint="eastAsia" w:ascii="仿宋_GB2312" w:hAnsi="宋体" w:eastAsia="仿宋_GB2312" w:cs="Times New Roman"/>
          <w:color w:val="auto"/>
          <w:kern w:val="2"/>
          <w:sz w:val="21"/>
          <w:szCs w:val="21"/>
          <w:lang w:val="en-US" w:eastAsia="zh-CN" w:bidi="ar-SA"/>
        </w:rPr>
      </w:pPr>
    </w:p>
    <w:p w14:paraId="7D3DEEB8">
      <w:pPr>
        <w:pStyle w:val="13"/>
        <w:adjustRightInd w:val="0"/>
        <w:snapToGrid w:val="0"/>
        <w:spacing w:line="360" w:lineRule="auto"/>
        <w:ind w:right="23" w:rightChars="11"/>
        <w:outlineLvl w:val="9"/>
        <w:rPr>
          <w:rFonts w:hint="eastAsia" w:ascii="宋体" w:hAnsi="宋体" w:eastAsiaTheme="minorEastAsia"/>
          <w:bCs/>
          <w:color w:val="auto"/>
          <w:sz w:val="21"/>
          <w:szCs w:val="21"/>
          <w:lang w:eastAsia="zh-CN"/>
        </w:rPr>
      </w:pPr>
      <w:r>
        <w:rPr>
          <w:rFonts w:hint="eastAsia" w:ascii="宋体" w:hAnsi="宋体" w:cs="Times New Roman"/>
          <w:color w:val="auto"/>
          <w:sz w:val="21"/>
          <w:szCs w:val="21"/>
        </w:rPr>
        <w:t>供应商名称（</w:t>
      </w:r>
      <w:r>
        <w:rPr>
          <w:rFonts w:hint="eastAsia" w:ascii="宋体" w:hAnsi="宋体" w:cs="Times New Roman"/>
          <w:color w:val="auto"/>
          <w:sz w:val="21"/>
          <w:szCs w:val="21"/>
          <w:lang w:eastAsia="zh-CN"/>
        </w:rPr>
        <w:t>盖单位公章</w:t>
      </w:r>
      <w:r>
        <w:rPr>
          <w:rFonts w:hint="eastAsia" w:ascii="宋体" w:hAnsi="宋体"/>
          <w:color w:val="auto"/>
          <w:sz w:val="21"/>
          <w:szCs w:val="21"/>
        </w:rPr>
        <w:t>）：</w:t>
      </w:r>
    </w:p>
    <w:p w14:paraId="29D93F7E">
      <w:pPr>
        <w:adjustRightInd w:val="0"/>
        <w:snapToGrid w:val="0"/>
        <w:spacing w:line="360" w:lineRule="auto"/>
        <w:ind w:right="23" w:rightChars="11"/>
        <w:outlineLvl w:val="9"/>
        <w:rPr>
          <w:rFonts w:hint="eastAsia" w:ascii="宋体" w:hAnsi="宋体" w:eastAsiaTheme="minorEastAsia"/>
          <w:color w:val="auto"/>
          <w:szCs w:val="21"/>
          <w:lang w:eastAsia="zh-CN"/>
        </w:rPr>
      </w:pPr>
      <w:r>
        <w:rPr>
          <w:rFonts w:hint="eastAsia" w:ascii="宋体" w:hAnsi="宋体"/>
          <w:color w:val="auto"/>
          <w:szCs w:val="21"/>
        </w:rPr>
        <w:t>法定代表人或其委托代理人(签字)：</w:t>
      </w:r>
    </w:p>
    <w:p w14:paraId="3729A00A">
      <w:pPr>
        <w:adjustRightInd w:val="0"/>
        <w:snapToGrid w:val="0"/>
        <w:spacing w:line="360" w:lineRule="auto"/>
        <w:ind w:right="23" w:rightChars="11"/>
        <w:outlineLvl w:val="9"/>
        <w:rPr>
          <w:rFonts w:hint="eastAsia" w:ascii="宋体" w:hAnsi="宋体"/>
          <w:color w:val="auto"/>
          <w:szCs w:val="21"/>
        </w:rPr>
      </w:pPr>
      <w:r>
        <w:rPr>
          <w:rFonts w:hint="eastAsia" w:ascii="宋体" w:hAnsi="宋体"/>
          <w:color w:val="auto"/>
          <w:szCs w:val="21"/>
        </w:rPr>
        <w:t>日期：年月日</w:t>
      </w:r>
    </w:p>
    <w:p w14:paraId="2D896D89">
      <w:pPr>
        <w:adjustRightInd w:val="0"/>
        <w:snapToGrid w:val="0"/>
        <w:spacing w:line="360" w:lineRule="auto"/>
        <w:ind w:right="23" w:rightChars="11"/>
        <w:outlineLvl w:val="9"/>
        <w:rPr>
          <w:rFonts w:hint="eastAsia" w:ascii="宋体" w:hAnsi="宋体"/>
          <w:color w:val="auto"/>
          <w:szCs w:val="21"/>
        </w:rPr>
      </w:pPr>
    </w:p>
    <w:p w14:paraId="6BC9F77C">
      <w:pPr>
        <w:tabs>
          <w:tab w:val="left" w:pos="3600"/>
        </w:tabs>
        <w:adjustRightInd w:val="0"/>
        <w:snapToGrid w:val="0"/>
        <w:ind w:right="23" w:rightChars="11"/>
        <w:jc w:val="center"/>
        <w:outlineLvl w:val="9"/>
        <w:rPr>
          <w:rFonts w:hint="eastAsia"/>
          <w:color w:val="auto"/>
        </w:rPr>
      </w:pPr>
    </w:p>
    <w:p w14:paraId="60B1888D">
      <w:pPr>
        <w:pStyle w:val="17"/>
        <w:rPr>
          <w:rFonts w:hint="eastAsia"/>
          <w:color w:val="auto"/>
        </w:rPr>
      </w:pPr>
    </w:p>
    <w:p w14:paraId="041AC219">
      <w:pPr>
        <w:pStyle w:val="17"/>
        <w:rPr>
          <w:rFonts w:hint="eastAsia"/>
          <w:color w:val="auto"/>
        </w:rPr>
      </w:pPr>
    </w:p>
    <w:p w14:paraId="60702099">
      <w:pPr>
        <w:pStyle w:val="17"/>
        <w:rPr>
          <w:rFonts w:hint="eastAsia"/>
          <w:color w:val="auto"/>
        </w:rPr>
      </w:pPr>
    </w:p>
    <w:p w14:paraId="447CE1F4">
      <w:pPr>
        <w:pStyle w:val="17"/>
        <w:rPr>
          <w:rFonts w:hint="eastAsia"/>
          <w:color w:val="auto"/>
        </w:rPr>
      </w:pPr>
    </w:p>
    <w:p w14:paraId="36AA05A1">
      <w:pPr>
        <w:pStyle w:val="17"/>
        <w:rPr>
          <w:rFonts w:hint="eastAsia"/>
          <w:color w:val="auto"/>
        </w:rPr>
      </w:pPr>
    </w:p>
    <w:p w14:paraId="250B542D">
      <w:pPr>
        <w:pStyle w:val="17"/>
        <w:rPr>
          <w:rFonts w:hint="eastAsia"/>
          <w:color w:val="auto"/>
        </w:rPr>
      </w:pPr>
    </w:p>
    <w:p w14:paraId="16F5E56A">
      <w:pPr>
        <w:pStyle w:val="17"/>
        <w:rPr>
          <w:rFonts w:hint="eastAsia"/>
          <w:color w:val="auto"/>
        </w:rPr>
      </w:pPr>
    </w:p>
    <w:p w14:paraId="5A54418C">
      <w:pPr>
        <w:pStyle w:val="17"/>
        <w:rPr>
          <w:rFonts w:hint="eastAsia"/>
          <w:color w:val="auto"/>
        </w:rPr>
      </w:pPr>
    </w:p>
    <w:p w14:paraId="4FCF86F1">
      <w:pPr>
        <w:pStyle w:val="17"/>
        <w:rPr>
          <w:rFonts w:hint="eastAsia"/>
          <w:color w:val="auto"/>
        </w:rPr>
      </w:pPr>
    </w:p>
    <w:p w14:paraId="4DAA2915">
      <w:pPr>
        <w:pStyle w:val="17"/>
        <w:rPr>
          <w:rFonts w:hint="eastAsia"/>
          <w:color w:val="auto"/>
        </w:rPr>
      </w:pPr>
    </w:p>
    <w:p w14:paraId="19001540">
      <w:pPr>
        <w:pStyle w:val="17"/>
        <w:rPr>
          <w:rFonts w:hint="eastAsia"/>
          <w:color w:val="auto"/>
        </w:rPr>
      </w:pPr>
    </w:p>
    <w:p w14:paraId="2C64CECC">
      <w:pPr>
        <w:pStyle w:val="17"/>
        <w:rPr>
          <w:rFonts w:hint="eastAsia"/>
          <w:color w:val="auto"/>
        </w:rPr>
      </w:pPr>
    </w:p>
    <w:p w14:paraId="337A4078">
      <w:pPr>
        <w:pStyle w:val="17"/>
        <w:rPr>
          <w:rFonts w:hint="eastAsia"/>
          <w:color w:val="auto"/>
        </w:rPr>
      </w:pPr>
    </w:p>
    <w:p w14:paraId="3765F7BD">
      <w:pPr>
        <w:pStyle w:val="17"/>
        <w:rPr>
          <w:rFonts w:hint="eastAsia"/>
          <w:color w:val="auto"/>
        </w:rPr>
      </w:pPr>
    </w:p>
    <w:p w14:paraId="4FADD529">
      <w:pPr>
        <w:pStyle w:val="17"/>
        <w:rPr>
          <w:rFonts w:hint="eastAsia"/>
          <w:color w:val="auto"/>
        </w:rPr>
      </w:pPr>
    </w:p>
    <w:p w14:paraId="5D19A0FB">
      <w:pPr>
        <w:pStyle w:val="17"/>
        <w:rPr>
          <w:rFonts w:hint="eastAsia"/>
          <w:color w:val="auto"/>
        </w:rPr>
      </w:pPr>
    </w:p>
    <w:p w14:paraId="082ABC16">
      <w:pPr>
        <w:pStyle w:val="17"/>
        <w:rPr>
          <w:rFonts w:hint="eastAsia"/>
          <w:color w:val="auto"/>
        </w:rPr>
      </w:pPr>
    </w:p>
    <w:p w14:paraId="46D8E7AA">
      <w:pPr>
        <w:pStyle w:val="17"/>
        <w:rPr>
          <w:rFonts w:hint="eastAsia"/>
          <w:color w:val="auto"/>
        </w:rPr>
      </w:pPr>
    </w:p>
    <w:p w14:paraId="066B8A15">
      <w:pPr>
        <w:pStyle w:val="17"/>
        <w:rPr>
          <w:rFonts w:hint="eastAsia"/>
          <w:color w:val="auto"/>
        </w:rPr>
      </w:pPr>
    </w:p>
    <w:p w14:paraId="6729D5C6">
      <w:pPr>
        <w:pStyle w:val="17"/>
        <w:jc w:val="both"/>
        <w:rPr>
          <w:rFonts w:hint="eastAsia"/>
          <w:color w:val="auto"/>
        </w:rPr>
      </w:pPr>
    </w:p>
    <w:p w14:paraId="5DFF5F4D">
      <w:pPr>
        <w:pStyle w:val="17"/>
        <w:rPr>
          <w:rFonts w:hint="eastAsia"/>
          <w:color w:val="auto"/>
        </w:rPr>
      </w:pPr>
    </w:p>
    <w:p w14:paraId="6479D05C">
      <w:pPr>
        <w:pStyle w:val="17"/>
        <w:rPr>
          <w:rFonts w:hint="eastAsia"/>
          <w:color w:val="auto"/>
        </w:rPr>
      </w:pPr>
    </w:p>
    <w:p w14:paraId="6AE4611D">
      <w:pPr>
        <w:rPr>
          <w:rFonts w:hint="eastAsia"/>
        </w:rPr>
      </w:pPr>
    </w:p>
    <w:p w14:paraId="799E0193">
      <w:pPr>
        <w:keepNext/>
        <w:keepLines/>
        <w:widowControl w:val="0"/>
        <w:bidi w:val="0"/>
        <w:spacing w:line="360" w:lineRule="auto"/>
        <w:jc w:val="center"/>
        <w:outlineLvl w:val="9"/>
        <w:rPr>
          <w:rFonts w:hint="default" w:ascii="Arial" w:hAnsi="Arial" w:cs="Times New Roman" w:eastAsiaTheme="minorEastAsia"/>
          <w:b/>
          <w:bCs/>
          <w:kern w:val="1"/>
          <w:sz w:val="24"/>
          <w:szCs w:val="32"/>
          <w:lang w:val="en-US" w:eastAsia="zh-CN" w:bidi="ar-SA"/>
        </w:rPr>
      </w:pPr>
    </w:p>
    <w:p w14:paraId="14A444B3">
      <w:pPr>
        <w:pStyle w:val="3"/>
        <w:bidi w:val="0"/>
        <w:jc w:val="center"/>
        <w:outlineLvl w:val="0"/>
        <w:rPr>
          <w:rFonts w:hint="eastAsia"/>
        </w:rPr>
      </w:pPr>
      <w:bookmarkStart w:id="249" w:name="_Toc15319"/>
      <w:bookmarkStart w:id="250" w:name="_Toc4882"/>
      <w:bookmarkStart w:id="251" w:name="_Toc32089"/>
      <w:bookmarkStart w:id="252" w:name="_Toc24081"/>
      <w:r>
        <w:rPr>
          <w:rFonts w:hint="eastAsia"/>
        </w:rPr>
        <w:t>七、提供享受政府采购政策的证明材料和清单表</w:t>
      </w:r>
      <w:bookmarkEnd w:id="249"/>
      <w:bookmarkEnd w:id="250"/>
      <w:bookmarkEnd w:id="251"/>
      <w:bookmarkEnd w:id="252"/>
    </w:p>
    <w:p w14:paraId="5E660B9D">
      <w:pPr>
        <w:outlineLvl w:val="0"/>
        <w:rPr>
          <w:rFonts w:hint="eastAsia" w:ascii="宋体" w:hAnsi="宋体" w:cs="宋体"/>
          <w:color w:val="auto"/>
          <w:szCs w:val="21"/>
          <w:highlight w:val="none"/>
        </w:rPr>
      </w:pPr>
      <w:bookmarkStart w:id="253" w:name="_Toc29072"/>
      <w:bookmarkStart w:id="254" w:name="_Toc5678"/>
      <w:bookmarkStart w:id="255" w:name="_Toc27260"/>
      <w:r>
        <w:rPr>
          <w:rFonts w:hint="eastAsia" w:ascii="宋体" w:hAnsi="宋体" w:cs="宋体"/>
          <w:color w:val="auto"/>
          <w:sz w:val="30"/>
          <w:szCs w:val="30"/>
          <w:highlight w:val="none"/>
        </w:rPr>
        <w:t>附件</w:t>
      </w:r>
      <w:r>
        <w:rPr>
          <w:rFonts w:hint="eastAsia" w:ascii="宋体" w:hAnsi="宋体" w:cs="宋体"/>
          <w:color w:val="auto"/>
          <w:sz w:val="30"/>
          <w:szCs w:val="30"/>
          <w:highlight w:val="none"/>
          <w:lang w:val="en-US" w:eastAsia="zh-CN"/>
        </w:rPr>
        <w:t>7</w:t>
      </w:r>
      <w:r>
        <w:rPr>
          <w:rFonts w:hint="eastAsia" w:ascii="宋体" w:hAnsi="宋体" w:cs="宋体"/>
          <w:color w:val="auto"/>
          <w:sz w:val="30"/>
          <w:szCs w:val="30"/>
          <w:highlight w:val="none"/>
        </w:rPr>
        <w:t>-1</w:t>
      </w:r>
      <w:bookmarkEnd w:id="253"/>
      <w:bookmarkEnd w:id="254"/>
      <w:bookmarkEnd w:id="255"/>
    </w:p>
    <w:p w14:paraId="1837FC3F">
      <w:pPr>
        <w:widowControl/>
        <w:adjustRightInd w:val="0"/>
        <w:snapToGrid w:val="0"/>
        <w:spacing w:line="360" w:lineRule="auto"/>
        <w:jc w:val="center"/>
        <w:rPr>
          <w:rFonts w:ascii="黑体" w:hAnsi="黑体" w:eastAsia="黑体" w:cs="宋体"/>
          <w:b/>
          <w:bCs/>
          <w:spacing w:val="6"/>
          <w:kern w:val="0"/>
          <w:sz w:val="28"/>
          <w:szCs w:val="28"/>
        </w:rPr>
      </w:pPr>
      <w:r>
        <w:rPr>
          <w:rFonts w:hint="eastAsia" w:ascii="黑体" w:hAnsi="黑体" w:eastAsia="黑体" w:cs="黑体"/>
          <w:b/>
          <w:bCs/>
          <w:spacing w:val="6"/>
          <w:kern w:val="0"/>
          <w:sz w:val="28"/>
          <w:szCs w:val="28"/>
        </w:rPr>
        <w:t>中小企业声明函（货物）</w:t>
      </w:r>
    </w:p>
    <w:p w14:paraId="1745545C">
      <w:pPr>
        <w:widowControl/>
        <w:adjustRightInd w:val="0"/>
        <w:snapToGrid w:val="0"/>
        <w:spacing w:line="360" w:lineRule="auto"/>
        <w:jc w:val="center"/>
        <w:rPr>
          <w:rFonts w:eastAsia="宋体" w:cs="Times New Roman"/>
          <w:kern w:val="2"/>
          <w:szCs w:val="22"/>
        </w:rPr>
      </w:pPr>
      <w:r>
        <w:rPr>
          <w:rFonts w:hint="eastAsia" w:ascii="宋体" w:hAnsi="宋体" w:eastAsia="宋体" w:cs="宋体"/>
          <w:b/>
          <w:spacing w:val="6"/>
          <w:kern w:val="0"/>
          <w:szCs w:val="21"/>
        </w:rPr>
        <w:t>(除专门面向中小企业采购情形外，不满足以下条件的无需提供)</w:t>
      </w:r>
    </w:p>
    <w:p w14:paraId="2408DA0F">
      <w:pPr>
        <w:widowControl/>
        <w:adjustRightInd w:val="0"/>
        <w:snapToGrid w:val="0"/>
        <w:spacing w:before="120" w:beforeLines="50" w:line="360" w:lineRule="auto"/>
        <w:ind w:firstLine="504" w:firstLineChars="200"/>
        <w:jc w:val="left"/>
        <w:rPr>
          <w:rFonts w:ascii="宋体" w:hAnsi="宋体" w:eastAsia="宋体" w:cs="宋体"/>
          <w:spacing w:val="6"/>
          <w:kern w:val="0"/>
          <w:sz w:val="24"/>
          <w:szCs w:val="24"/>
        </w:rPr>
      </w:pPr>
      <w:r>
        <w:rPr>
          <w:rFonts w:hint="eastAsia" w:ascii="宋体" w:hAnsi="宋体" w:eastAsia="宋体" w:cs="宋体"/>
          <w:spacing w:val="6"/>
          <w:kern w:val="0"/>
          <w:sz w:val="24"/>
          <w:szCs w:val="24"/>
        </w:rPr>
        <w:t>本公司（联合体）郑重声明，根据《政府采购促进中小企业发展管理办法》（财库﹝2020﹞46号）的规定，本公司（联合体）参加</w:t>
      </w:r>
      <w:r>
        <w:rPr>
          <w:rFonts w:hint="eastAsia" w:ascii="宋体" w:hAnsi="宋体" w:eastAsia="宋体" w:cs="宋体"/>
          <w:spacing w:val="6"/>
          <w:kern w:val="0"/>
          <w:sz w:val="24"/>
          <w:szCs w:val="24"/>
          <w:u w:val="single"/>
        </w:rPr>
        <w:t>（单位名称）</w:t>
      </w:r>
      <w:r>
        <w:rPr>
          <w:rFonts w:hint="eastAsia" w:ascii="宋体" w:hAnsi="宋体" w:eastAsia="宋体" w:cs="宋体"/>
          <w:spacing w:val="6"/>
          <w:kern w:val="0"/>
          <w:sz w:val="24"/>
          <w:szCs w:val="24"/>
        </w:rPr>
        <w:t>的</w:t>
      </w:r>
      <w:r>
        <w:rPr>
          <w:rFonts w:hint="eastAsia" w:ascii="宋体" w:hAnsi="宋体" w:eastAsia="宋体" w:cs="宋体"/>
          <w:spacing w:val="6"/>
          <w:kern w:val="0"/>
          <w:sz w:val="24"/>
          <w:szCs w:val="24"/>
          <w:u w:val="single"/>
        </w:rPr>
        <w:t>（项目名称）</w:t>
      </w:r>
      <w:r>
        <w:rPr>
          <w:rFonts w:hint="eastAsia" w:ascii="宋体" w:hAnsi="宋体" w:eastAsia="宋体" w:cs="宋体"/>
          <w:spacing w:val="6"/>
          <w:kern w:val="0"/>
          <w:sz w:val="24"/>
          <w:szCs w:val="24"/>
        </w:rPr>
        <w:t>采购活动，提供的货物全部由符合政策要求的中小企业制造。相关企业（含联合体中的中小企业、签订分包意向协议的中小企业）的具体情况如下：</w:t>
      </w:r>
    </w:p>
    <w:p w14:paraId="367A1688">
      <w:pPr>
        <w:widowControl/>
        <w:adjustRightInd w:val="0"/>
        <w:snapToGrid w:val="0"/>
        <w:spacing w:before="120" w:beforeLines="50" w:line="240" w:lineRule="auto"/>
        <w:ind w:firstLine="504" w:firstLineChars="200"/>
        <w:jc w:val="left"/>
        <w:rPr>
          <w:rFonts w:ascii="宋体" w:hAnsi="宋体" w:eastAsia="宋体" w:cs="宋体"/>
          <w:spacing w:val="6"/>
          <w:kern w:val="0"/>
          <w:sz w:val="24"/>
          <w:szCs w:val="24"/>
        </w:rPr>
      </w:pPr>
      <w:r>
        <w:rPr>
          <w:rFonts w:hint="eastAsia" w:ascii="宋体" w:hAnsi="宋体" w:eastAsia="宋体" w:cs="宋体"/>
          <w:spacing w:val="6"/>
          <w:kern w:val="0"/>
          <w:sz w:val="24"/>
          <w:szCs w:val="24"/>
        </w:rPr>
        <w:t>1.</w:t>
      </w:r>
      <w:r>
        <w:rPr>
          <w:rFonts w:hint="eastAsia" w:ascii="宋体" w:hAnsi="宋体" w:eastAsia="宋体" w:cs="宋体"/>
          <w:spacing w:val="6"/>
          <w:kern w:val="0"/>
          <w:sz w:val="24"/>
          <w:szCs w:val="24"/>
          <w:u w:val="single"/>
        </w:rPr>
        <w:t>（标的名称）</w:t>
      </w:r>
      <w:r>
        <w:rPr>
          <w:rFonts w:hint="eastAsia" w:ascii="宋体" w:hAnsi="宋体" w:eastAsia="宋体" w:cs="宋体"/>
          <w:spacing w:val="6"/>
          <w:kern w:val="0"/>
          <w:sz w:val="24"/>
          <w:szCs w:val="24"/>
        </w:rPr>
        <w:t>，属于</w:t>
      </w:r>
      <w:r>
        <w:rPr>
          <w:rFonts w:hint="eastAsia" w:ascii="宋体" w:hAnsi="宋体" w:eastAsia="宋体" w:cs="宋体"/>
          <w:spacing w:val="6"/>
          <w:kern w:val="0"/>
          <w:sz w:val="24"/>
          <w:szCs w:val="24"/>
          <w:u w:val="single"/>
        </w:rPr>
        <w:t>（标的所属行业）行业</w:t>
      </w:r>
      <w:r>
        <w:rPr>
          <w:rFonts w:hint="eastAsia" w:ascii="宋体" w:hAnsi="宋体" w:eastAsia="宋体" w:cs="宋体"/>
          <w:spacing w:val="6"/>
          <w:kern w:val="0"/>
          <w:sz w:val="24"/>
          <w:szCs w:val="24"/>
        </w:rPr>
        <w:t>；制造商为</w:t>
      </w:r>
      <w:r>
        <w:rPr>
          <w:rFonts w:hint="eastAsia" w:ascii="宋体" w:hAnsi="宋体" w:eastAsia="宋体" w:cs="宋体"/>
          <w:spacing w:val="6"/>
          <w:kern w:val="0"/>
          <w:sz w:val="24"/>
          <w:szCs w:val="24"/>
          <w:u w:val="single"/>
        </w:rPr>
        <w:t>（企业名称）</w:t>
      </w:r>
      <w:r>
        <w:rPr>
          <w:rFonts w:hint="eastAsia" w:ascii="宋体" w:hAnsi="宋体" w:eastAsia="宋体" w:cs="宋体"/>
          <w:spacing w:val="6"/>
          <w:kern w:val="0"/>
          <w:sz w:val="24"/>
          <w:szCs w:val="24"/>
        </w:rPr>
        <w:t>，从业人员人，营业收入为万元，资产总额为万元，属于</w:t>
      </w:r>
      <w:r>
        <w:rPr>
          <w:rFonts w:hint="eastAsia" w:ascii="宋体" w:hAnsi="宋体" w:eastAsia="宋体" w:cs="宋体"/>
          <w:spacing w:val="6"/>
          <w:kern w:val="0"/>
          <w:sz w:val="24"/>
          <w:szCs w:val="24"/>
          <w:u w:val="single"/>
        </w:rPr>
        <w:t>（中型企业、小型企业、微型企业）</w:t>
      </w:r>
      <w:r>
        <w:rPr>
          <w:rFonts w:hint="eastAsia" w:ascii="宋体" w:hAnsi="宋体" w:eastAsia="宋体" w:cs="宋体"/>
          <w:spacing w:val="6"/>
          <w:kern w:val="0"/>
          <w:sz w:val="24"/>
          <w:szCs w:val="24"/>
        </w:rPr>
        <w:t>；</w:t>
      </w:r>
    </w:p>
    <w:p w14:paraId="1E132A08">
      <w:pPr>
        <w:widowControl/>
        <w:adjustRightInd w:val="0"/>
        <w:snapToGrid w:val="0"/>
        <w:spacing w:before="120" w:beforeLines="50" w:line="240" w:lineRule="auto"/>
        <w:ind w:firstLine="504" w:firstLineChars="200"/>
        <w:jc w:val="left"/>
        <w:rPr>
          <w:rFonts w:ascii="宋体" w:hAnsi="宋体" w:eastAsia="宋体" w:cs="宋体"/>
          <w:spacing w:val="6"/>
          <w:kern w:val="0"/>
          <w:sz w:val="24"/>
          <w:szCs w:val="24"/>
        </w:rPr>
      </w:pPr>
      <w:r>
        <w:rPr>
          <w:rFonts w:hint="eastAsia" w:ascii="宋体" w:hAnsi="宋体" w:eastAsia="宋体" w:cs="宋体"/>
          <w:spacing w:val="6"/>
          <w:kern w:val="0"/>
          <w:sz w:val="24"/>
          <w:szCs w:val="24"/>
        </w:rPr>
        <w:t>2.</w:t>
      </w:r>
      <w:r>
        <w:rPr>
          <w:rFonts w:hint="eastAsia" w:ascii="宋体" w:hAnsi="宋体" w:eastAsia="宋体" w:cs="宋体"/>
          <w:spacing w:val="6"/>
          <w:kern w:val="0"/>
          <w:sz w:val="24"/>
          <w:szCs w:val="24"/>
          <w:u w:val="single"/>
        </w:rPr>
        <w:t>（标的名称）</w:t>
      </w:r>
      <w:r>
        <w:rPr>
          <w:rFonts w:hint="eastAsia" w:ascii="宋体" w:hAnsi="宋体" w:eastAsia="宋体" w:cs="宋体"/>
          <w:spacing w:val="6"/>
          <w:kern w:val="0"/>
          <w:sz w:val="24"/>
          <w:szCs w:val="24"/>
        </w:rPr>
        <w:t>，属于</w:t>
      </w:r>
      <w:r>
        <w:rPr>
          <w:rFonts w:hint="eastAsia" w:ascii="宋体" w:hAnsi="宋体" w:eastAsia="宋体" w:cs="宋体"/>
          <w:spacing w:val="6"/>
          <w:kern w:val="0"/>
          <w:sz w:val="24"/>
          <w:szCs w:val="24"/>
          <w:u w:val="single"/>
        </w:rPr>
        <w:t>（标的所属行业）行业</w:t>
      </w:r>
      <w:r>
        <w:rPr>
          <w:rFonts w:hint="eastAsia" w:ascii="宋体" w:hAnsi="宋体" w:eastAsia="宋体" w:cs="宋体"/>
          <w:spacing w:val="6"/>
          <w:kern w:val="0"/>
          <w:sz w:val="24"/>
          <w:szCs w:val="24"/>
        </w:rPr>
        <w:t>；制造商为</w:t>
      </w:r>
      <w:r>
        <w:rPr>
          <w:rFonts w:hint="eastAsia" w:ascii="宋体" w:hAnsi="宋体" w:eastAsia="宋体" w:cs="宋体"/>
          <w:spacing w:val="6"/>
          <w:kern w:val="0"/>
          <w:sz w:val="24"/>
          <w:szCs w:val="24"/>
          <w:u w:val="single"/>
        </w:rPr>
        <w:t>（企业名称）</w:t>
      </w:r>
      <w:r>
        <w:rPr>
          <w:rFonts w:hint="eastAsia" w:ascii="宋体" w:hAnsi="宋体" w:eastAsia="宋体" w:cs="宋体"/>
          <w:spacing w:val="6"/>
          <w:kern w:val="0"/>
          <w:sz w:val="24"/>
          <w:szCs w:val="24"/>
        </w:rPr>
        <w:t>，从业人员人，营业收入为万元，资产总额为万元，属于</w:t>
      </w:r>
      <w:r>
        <w:rPr>
          <w:rFonts w:hint="eastAsia" w:ascii="宋体" w:hAnsi="宋体" w:eastAsia="宋体" w:cs="宋体"/>
          <w:spacing w:val="6"/>
          <w:kern w:val="0"/>
          <w:sz w:val="24"/>
          <w:szCs w:val="24"/>
          <w:u w:val="single"/>
        </w:rPr>
        <w:t>（中型企业、小型企业、微型企业）</w:t>
      </w:r>
      <w:r>
        <w:rPr>
          <w:rFonts w:hint="eastAsia" w:ascii="宋体" w:hAnsi="宋体" w:eastAsia="宋体" w:cs="宋体"/>
          <w:spacing w:val="6"/>
          <w:kern w:val="0"/>
          <w:sz w:val="24"/>
          <w:szCs w:val="24"/>
        </w:rPr>
        <w:t>；</w:t>
      </w:r>
    </w:p>
    <w:p w14:paraId="1AA4987F">
      <w:pPr>
        <w:widowControl/>
        <w:adjustRightInd w:val="0"/>
        <w:snapToGrid w:val="0"/>
        <w:spacing w:before="120" w:beforeLines="50" w:line="240" w:lineRule="auto"/>
        <w:ind w:firstLine="504" w:firstLineChars="200"/>
        <w:jc w:val="left"/>
        <w:rPr>
          <w:rFonts w:ascii="宋体" w:hAnsi="宋体" w:eastAsia="宋体" w:cs="宋体"/>
          <w:spacing w:val="6"/>
          <w:kern w:val="0"/>
          <w:sz w:val="24"/>
          <w:szCs w:val="24"/>
        </w:rPr>
      </w:pPr>
      <w:r>
        <w:rPr>
          <w:rFonts w:hint="eastAsia" w:ascii="宋体" w:hAnsi="宋体" w:eastAsia="宋体" w:cs="宋体"/>
          <w:spacing w:val="6"/>
          <w:kern w:val="0"/>
          <w:sz w:val="24"/>
          <w:szCs w:val="24"/>
        </w:rPr>
        <w:t>……</w:t>
      </w:r>
    </w:p>
    <w:p w14:paraId="7DEE6DF6">
      <w:pPr>
        <w:widowControl/>
        <w:adjustRightInd w:val="0"/>
        <w:snapToGrid w:val="0"/>
        <w:spacing w:before="120" w:beforeLines="50" w:line="240" w:lineRule="auto"/>
        <w:ind w:firstLine="504" w:firstLineChars="200"/>
        <w:jc w:val="left"/>
        <w:rPr>
          <w:rFonts w:ascii="宋体" w:hAnsi="宋体" w:eastAsia="宋体" w:cs="宋体"/>
          <w:spacing w:val="6"/>
          <w:kern w:val="0"/>
          <w:sz w:val="24"/>
          <w:szCs w:val="24"/>
        </w:rPr>
      </w:pPr>
      <w:r>
        <w:rPr>
          <w:rFonts w:hint="eastAsia" w:ascii="宋体" w:hAnsi="宋体" w:eastAsia="宋体" w:cs="宋体"/>
          <w:spacing w:val="6"/>
          <w:kern w:val="0"/>
          <w:sz w:val="24"/>
          <w:szCs w:val="24"/>
        </w:rPr>
        <w:t>以上企业，不属于大企业的分支机构，不存在控股股东为大企业的情形，也不存在与大企业的负责人为同一人的情形。</w:t>
      </w:r>
    </w:p>
    <w:p w14:paraId="610A0EA5">
      <w:pPr>
        <w:widowControl/>
        <w:adjustRightInd w:val="0"/>
        <w:snapToGrid w:val="0"/>
        <w:spacing w:before="120" w:beforeLines="50" w:line="240" w:lineRule="auto"/>
        <w:ind w:firstLine="504" w:firstLineChars="200"/>
        <w:jc w:val="left"/>
        <w:rPr>
          <w:rFonts w:ascii="宋体" w:hAnsi="宋体" w:eastAsia="宋体" w:cs="宋体"/>
          <w:spacing w:val="6"/>
          <w:kern w:val="0"/>
          <w:sz w:val="24"/>
          <w:szCs w:val="24"/>
        </w:rPr>
      </w:pPr>
      <w:r>
        <w:rPr>
          <w:rFonts w:hint="eastAsia" w:ascii="宋体" w:hAnsi="宋体" w:eastAsia="宋体" w:cs="宋体"/>
          <w:spacing w:val="6"/>
          <w:kern w:val="0"/>
          <w:sz w:val="24"/>
          <w:szCs w:val="24"/>
        </w:rPr>
        <w:t>本企业对上述声明内容的真实性负责。如有虚假，将依法承担相应责任。</w:t>
      </w:r>
    </w:p>
    <w:p w14:paraId="140C7772">
      <w:pPr>
        <w:spacing w:line="360" w:lineRule="auto"/>
        <w:ind w:firstLine="480" w:firstLineChars="200"/>
        <w:jc w:val="center"/>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投标人名称</w:t>
      </w:r>
      <w:r>
        <w:rPr>
          <w:rFonts w:hint="eastAsia" w:ascii="宋体" w:hAnsi="宋体" w:eastAsia="宋体" w:cs="宋体"/>
          <w:i w:val="0"/>
          <w:iCs w:val="0"/>
          <w:sz w:val="24"/>
          <w:szCs w:val="24"/>
          <w:highlight w:val="none"/>
          <w:lang w:eastAsia="zh-CN"/>
        </w:rPr>
        <w:t>（</w:t>
      </w:r>
      <w:r>
        <w:rPr>
          <w:rFonts w:hint="eastAsia" w:ascii="宋体" w:hAnsi="宋体" w:eastAsia="宋体" w:cs="宋体"/>
          <w:i w:val="0"/>
          <w:iCs w:val="0"/>
          <w:sz w:val="24"/>
          <w:szCs w:val="24"/>
          <w:highlight w:val="none"/>
        </w:rPr>
        <w:t>盖章</w:t>
      </w:r>
      <w:r>
        <w:rPr>
          <w:rFonts w:hint="eastAsia" w:ascii="宋体" w:hAnsi="宋体" w:eastAsia="宋体" w:cs="宋体"/>
          <w:i w:val="0"/>
          <w:iCs w:val="0"/>
          <w:sz w:val="24"/>
          <w:szCs w:val="24"/>
          <w:highlight w:val="none"/>
          <w:lang w:eastAsia="zh-CN"/>
        </w:rPr>
        <w:t>）</w:t>
      </w:r>
      <w:r>
        <w:rPr>
          <w:rFonts w:hint="eastAsia" w:ascii="宋体" w:hAnsi="宋体" w:eastAsia="宋体" w:cs="宋体"/>
          <w:i w:val="0"/>
          <w:iCs w:val="0"/>
          <w:sz w:val="24"/>
          <w:szCs w:val="24"/>
          <w:highlight w:val="none"/>
        </w:rPr>
        <w:t>:</w:t>
      </w:r>
    </w:p>
    <w:p w14:paraId="1141B7B3">
      <w:pPr>
        <w:spacing w:line="360" w:lineRule="auto"/>
        <w:ind w:firstLine="5520" w:firstLineChars="2300"/>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lang w:eastAsia="zh-CN"/>
        </w:rPr>
        <w:t>：</w:t>
      </w:r>
    </w:p>
    <w:p w14:paraId="4E905CF9">
      <w:pPr>
        <w:adjustRightInd w:val="0"/>
        <w:snapToGrid w:val="0"/>
        <w:spacing w:line="360" w:lineRule="auto"/>
        <w:jc w:val="right"/>
        <w:rPr>
          <w:rFonts w:ascii="仿宋_GB2312" w:hAnsi="宋体" w:eastAsia="仿宋_GB2312" w:cs="Times New Roman"/>
          <w:b/>
          <w:kern w:val="2"/>
          <w:sz w:val="24"/>
          <w:szCs w:val="24"/>
        </w:rPr>
      </w:pPr>
    </w:p>
    <w:p w14:paraId="693ABE3B">
      <w:pPr>
        <w:adjustRightInd w:val="0"/>
        <w:snapToGrid w:val="0"/>
        <w:spacing w:line="360" w:lineRule="auto"/>
        <w:rPr>
          <w:rFonts w:ascii="仿宋_GB2312" w:hAnsi="宋体" w:eastAsia="仿宋_GB2312" w:cs="Times New Roman"/>
          <w:b/>
          <w:kern w:val="2"/>
          <w:szCs w:val="21"/>
        </w:rPr>
      </w:pPr>
    </w:p>
    <w:p w14:paraId="2659DC65">
      <w:pPr>
        <w:adjustRightInd w:val="0"/>
        <w:snapToGrid w:val="0"/>
        <w:spacing w:line="360" w:lineRule="auto"/>
        <w:rPr>
          <w:rFonts w:ascii="仿宋_GB2312" w:hAnsi="宋体" w:eastAsia="仿宋_GB2312" w:cs="Times New Roman"/>
          <w:b/>
          <w:kern w:val="2"/>
          <w:szCs w:val="21"/>
        </w:rPr>
      </w:pPr>
    </w:p>
    <w:p w14:paraId="2B1A6091">
      <w:pPr>
        <w:adjustRightInd w:val="0"/>
        <w:snapToGrid w:val="0"/>
        <w:spacing w:line="360" w:lineRule="auto"/>
        <w:rPr>
          <w:rFonts w:ascii="仿宋_GB2312" w:hAnsi="宋体" w:eastAsia="仿宋_GB2312" w:cs="Times New Roman"/>
          <w:kern w:val="2"/>
          <w:szCs w:val="21"/>
        </w:rPr>
      </w:pPr>
      <w:r>
        <w:rPr>
          <w:rFonts w:hint="eastAsia" w:ascii="仿宋_GB2312" w:hAnsi="宋体" w:eastAsia="仿宋_GB2312" w:cs="Times New Roman"/>
          <w:b/>
          <w:kern w:val="2"/>
          <w:szCs w:val="21"/>
        </w:rPr>
        <w:t>备注</w:t>
      </w:r>
      <w:r>
        <w:rPr>
          <w:rFonts w:hint="eastAsia" w:ascii="仿宋_GB2312" w:hAnsi="宋体" w:eastAsia="仿宋_GB2312" w:cs="Times New Roman"/>
          <w:kern w:val="2"/>
          <w:szCs w:val="21"/>
        </w:rPr>
        <w:t>：填写前请认真阅读</w:t>
      </w:r>
      <w:r>
        <w:rPr>
          <w:rFonts w:hint="eastAsia" w:ascii="仿宋_GB2312" w:hAnsi="宋体" w:eastAsia="仿宋_GB2312" w:cs="宋体"/>
          <w:spacing w:val="6"/>
          <w:kern w:val="0"/>
          <w:szCs w:val="21"/>
        </w:rPr>
        <w:t>《工业和信息化部、国家统计局、国家发展和改革委员会、财政部关于印发中小企业划型标准规定的通知》（工信部联企业[2011]300号）和</w:t>
      </w:r>
      <w:r>
        <w:rPr>
          <w:rFonts w:hint="eastAsia" w:ascii="仿宋_GB2312" w:hAnsi="宋体" w:eastAsia="仿宋_GB2312" w:cs="Times New Roman"/>
          <w:spacing w:val="6"/>
          <w:kern w:val="2"/>
          <w:szCs w:val="21"/>
        </w:rPr>
        <w:t>《政府采购促进中小企业发展管理办法》（财库﹝2020﹞46号）</w:t>
      </w:r>
      <w:r>
        <w:rPr>
          <w:rFonts w:hint="eastAsia" w:ascii="仿宋_GB2312" w:hAnsi="宋体" w:eastAsia="仿宋_GB2312" w:cs="Times New Roman"/>
          <w:kern w:val="2"/>
          <w:szCs w:val="21"/>
        </w:rPr>
        <w:t>相关规定。</w:t>
      </w:r>
    </w:p>
    <w:p w14:paraId="689E1AAF">
      <w:pPr>
        <w:rPr>
          <w:rFonts w:hint="eastAsia" w:ascii="宋体" w:hAnsi="宋体" w:eastAsia="宋体" w:cs="Times New Roman"/>
          <w:b/>
          <w:kern w:val="2"/>
          <w:sz w:val="24"/>
          <w:szCs w:val="22"/>
        </w:rPr>
      </w:pPr>
      <w:r>
        <w:rPr>
          <w:rFonts w:hint="eastAsia" w:ascii="仿宋_GB2312" w:hAnsi="宋体" w:eastAsia="仿宋_GB2312" w:cs="Times New Roman"/>
          <w:kern w:val="2"/>
          <w:szCs w:val="21"/>
        </w:rPr>
        <w:br w:type="page"/>
      </w:r>
    </w:p>
    <w:p w14:paraId="55F8FEEA">
      <w:pPr>
        <w:rPr>
          <w:rFonts w:hint="eastAsia" w:ascii="宋体" w:hAnsi="宋体" w:eastAsia="宋体" w:cs="Times New Roman"/>
          <w:b/>
          <w:kern w:val="2"/>
          <w:sz w:val="24"/>
          <w:szCs w:val="22"/>
        </w:rPr>
      </w:pPr>
    </w:p>
    <w:p w14:paraId="74E4DF37">
      <w:pPr>
        <w:rPr>
          <w:rFonts w:hint="eastAsia" w:ascii="宋体" w:hAnsi="宋体" w:eastAsia="宋体" w:cs="Times New Roman"/>
          <w:b/>
          <w:kern w:val="2"/>
          <w:sz w:val="24"/>
          <w:szCs w:val="22"/>
        </w:rPr>
      </w:pPr>
    </w:p>
    <w:p w14:paraId="2813D187">
      <w:pPr>
        <w:rPr>
          <w:rFonts w:hint="eastAsia" w:ascii="宋体" w:hAnsi="宋体" w:eastAsia="宋体" w:cs="Times New Roman"/>
          <w:b/>
          <w:kern w:val="2"/>
          <w:sz w:val="24"/>
          <w:szCs w:val="22"/>
        </w:rPr>
      </w:pPr>
    </w:p>
    <w:p w14:paraId="3210B3CB">
      <w:pPr>
        <w:tabs>
          <w:tab w:val="left" w:pos="3600"/>
        </w:tabs>
        <w:adjustRightInd w:val="0"/>
        <w:snapToGrid w:val="0"/>
        <w:spacing w:line="360" w:lineRule="auto"/>
        <w:jc w:val="both"/>
        <w:outlineLvl w:val="9"/>
        <w:rPr>
          <w:rFonts w:hint="eastAsia" w:ascii="宋体" w:hAnsi="宋体" w:cs="宋体"/>
          <w:b/>
          <w:color w:val="auto"/>
          <w:spacing w:val="6"/>
          <w:kern w:val="0"/>
          <w:sz w:val="28"/>
          <w:szCs w:val="28"/>
          <w:highlight w:val="none"/>
        </w:rPr>
      </w:pPr>
    </w:p>
    <w:p w14:paraId="3455F19F">
      <w:pPr>
        <w:spacing w:before="0" w:after="0"/>
        <w:jc w:val="both"/>
        <w:outlineLvl w:val="0"/>
        <w:rPr>
          <w:rFonts w:hint="default" w:ascii="宋体" w:hAnsi="宋体" w:eastAsia="宋体" w:cs="宋体"/>
          <w:b w:val="0"/>
          <w:bCs w:val="0"/>
          <w:color w:val="auto"/>
          <w:kern w:val="2"/>
          <w:sz w:val="30"/>
          <w:szCs w:val="30"/>
          <w:highlight w:val="none"/>
          <w:lang w:val="en-US" w:eastAsia="zh-CN" w:bidi="ar-SA"/>
        </w:rPr>
      </w:pPr>
      <w:bookmarkStart w:id="256" w:name="_Toc22423"/>
      <w:bookmarkStart w:id="257" w:name="_Toc171"/>
      <w:bookmarkStart w:id="258" w:name="_Toc21318"/>
      <w:r>
        <w:rPr>
          <w:rFonts w:hint="eastAsia" w:ascii="宋体" w:hAnsi="宋体" w:eastAsia="宋体" w:cs="宋体"/>
          <w:b w:val="0"/>
          <w:bCs w:val="0"/>
          <w:color w:val="auto"/>
          <w:kern w:val="2"/>
          <w:sz w:val="30"/>
          <w:szCs w:val="30"/>
          <w:highlight w:val="none"/>
          <w:lang w:val="en-US" w:eastAsia="zh-CN" w:bidi="ar-SA"/>
        </w:rPr>
        <w:t>附件7-2</w:t>
      </w:r>
      <w:bookmarkEnd w:id="256"/>
      <w:bookmarkEnd w:id="257"/>
      <w:bookmarkEnd w:id="258"/>
    </w:p>
    <w:p w14:paraId="6050D54A">
      <w:pPr>
        <w:spacing w:before="0" w:after="0"/>
        <w:jc w:val="center"/>
        <w:outlineLvl w:val="9"/>
        <w:rPr>
          <w:rFonts w:hint="eastAsia" w:ascii="宋体" w:hAnsi="宋体" w:cs="宋体"/>
          <w:color w:val="000000"/>
          <w:sz w:val="28"/>
          <w:szCs w:val="28"/>
          <w:highlight w:val="none"/>
        </w:rPr>
      </w:pPr>
      <w:r>
        <w:rPr>
          <w:rFonts w:hint="eastAsia" w:ascii="宋体" w:hAnsi="宋体" w:cs="宋体"/>
          <w:color w:val="000000"/>
          <w:sz w:val="28"/>
          <w:szCs w:val="28"/>
          <w:highlight w:val="none"/>
        </w:rPr>
        <w:t>残疾人福利性单位声明函</w:t>
      </w:r>
    </w:p>
    <w:p w14:paraId="42E8D539">
      <w:pPr>
        <w:adjustRightInd w:val="0"/>
        <w:snapToGrid w:val="0"/>
        <w:spacing w:line="360" w:lineRule="auto"/>
        <w:jc w:val="center"/>
        <w:rPr>
          <w:rFonts w:hint="eastAsia" w:ascii="宋体" w:hAnsi="宋体" w:eastAsia="宋体" w:cs="宋体"/>
          <w:b/>
          <w:color w:val="000000"/>
          <w:spacing w:val="6"/>
          <w:szCs w:val="21"/>
          <w:highlight w:val="none"/>
        </w:rPr>
      </w:pPr>
      <w:r>
        <w:rPr>
          <w:rFonts w:hint="eastAsia" w:ascii="宋体" w:hAnsi="宋体" w:eastAsia="宋体" w:cs="宋体"/>
          <w:b/>
          <w:color w:val="000000"/>
          <w:spacing w:val="6"/>
          <w:szCs w:val="21"/>
          <w:highlight w:val="none"/>
        </w:rPr>
        <w:t>【不属于残疾人福利性单位的无需填写】</w:t>
      </w:r>
    </w:p>
    <w:p w14:paraId="70BEEE4D">
      <w:pPr>
        <w:adjustRightInd w:val="0"/>
        <w:snapToGrid w:val="0"/>
        <w:spacing w:line="360" w:lineRule="auto"/>
        <w:ind w:firstLine="444" w:firstLineChars="200"/>
        <w:rPr>
          <w:rFonts w:hint="eastAsia" w:ascii="宋体" w:hAnsi="宋体" w:eastAsia="宋体" w:cs="宋体"/>
          <w:color w:val="000000"/>
          <w:spacing w:val="6"/>
          <w:szCs w:val="21"/>
          <w:highlight w:val="none"/>
        </w:rPr>
      </w:pPr>
    </w:p>
    <w:p w14:paraId="69241659">
      <w:pPr>
        <w:adjustRightInd w:val="0"/>
        <w:snapToGrid w:val="0"/>
        <w:spacing w:line="360" w:lineRule="auto"/>
        <w:ind w:firstLine="444" w:firstLineChars="200"/>
        <w:rPr>
          <w:rFonts w:hint="eastAsia" w:ascii="宋体" w:hAnsi="宋体" w:eastAsia="宋体" w:cs="宋体"/>
          <w:color w:val="000000"/>
          <w:spacing w:val="6"/>
          <w:szCs w:val="21"/>
          <w:highlight w:val="none"/>
        </w:rPr>
      </w:pPr>
      <w:r>
        <w:rPr>
          <w:rFonts w:hint="eastAsia" w:ascii="宋体" w:hAnsi="宋体" w:eastAsia="宋体" w:cs="宋体"/>
          <w:color w:val="000000"/>
          <w:spacing w:val="6"/>
          <w:szCs w:val="21"/>
          <w:highlight w:val="none"/>
        </w:rPr>
        <w:t>本单位郑重声明，根据《财政部民政部中国残疾人联合会关于促进残疾人就业政府采购政策的通知》（财库</w:t>
      </w:r>
      <w:r>
        <w:rPr>
          <w:rFonts w:hint="eastAsia" w:ascii="宋体" w:hAnsi="宋体" w:eastAsia="宋体" w:cs="宋体"/>
          <w:color w:val="000000"/>
          <w:szCs w:val="21"/>
          <w:highlight w:val="none"/>
        </w:rPr>
        <w:t>〔2017〕141</w:t>
      </w:r>
      <w:r>
        <w:rPr>
          <w:rFonts w:hint="eastAsia" w:ascii="宋体" w:hAnsi="宋体" w:eastAsia="宋体" w:cs="宋体"/>
          <w:color w:val="000000"/>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646C70D">
      <w:pPr>
        <w:adjustRightInd w:val="0"/>
        <w:snapToGrid w:val="0"/>
        <w:spacing w:line="360" w:lineRule="auto"/>
        <w:ind w:firstLine="444" w:firstLineChars="200"/>
        <w:rPr>
          <w:rFonts w:hint="eastAsia" w:ascii="宋体" w:hAnsi="宋体" w:eastAsia="宋体" w:cs="宋体"/>
          <w:color w:val="000000"/>
          <w:spacing w:val="6"/>
          <w:szCs w:val="21"/>
          <w:highlight w:val="none"/>
        </w:rPr>
      </w:pPr>
      <w:r>
        <w:rPr>
          <w:rFonts w:hint="eastAsia" w:ascii="宋体" w:hAnsi="宋体" w:eastAsia="宋体" w:cs="宋体"/>
          <w:color w:val="000000"/>
          <w:spacing w:val="6"/>
          <w:szCs w:val="21"/>
          <w:highlight w:val="none"/>
        </w:rPr>
        <w:t>本单位对上述声明的真实性负责。如有虚假，将依法承担相应责任。</w:t>
      </w:r>
    </w:p>
    <w:p w14:paraId="1B127E6B">
      <w:pPr>
        <w:adjustRightInd w:val="0"/>
        <w:snapToGrid w:val="0"/>
        <w:spacing w:line="360" w:lineRule="auto"/>
        <w:ind w:firstLine="444" w:firstLineChars="200"/>
        <w:rPr>
          <w:rFonts w:hint="eastAsia" w:ascii="宋体" w:hAnsi="宋体" w:eastAsia="宋体" w:cs="宋体"/>
          <w:color w:val="000000"/>
          <w:spacing w:val="6"/>
          <w:szCs w:val="21"/>
          <w:highlight w:val="none"/>
        </w:rPr>
      </w:pPr>
    </w:p>
    <w:p w14:paraId="6D275550">
      <w:pPr>
        <w:adjustRightInd w:val="0"/>
        <w:snapToGrid w:val="0"/>
        <w:spacing w:line="360" w:lineRule="auto"/>
        <w:ind w:firstLine="444" w:firstLineChars="200"/>
        <w:rPr>
          <w:rFonts w:hint="eastAsia" w:ascii="宋体" w:hAnsi="宋体" w:eastAsia="宋体" w:cs="宋体"/>
          <w:color w:val="000000"/>
          <w:spacing w:val="6"/>
          <w:szCs w:val="21"/>
          <w:highlight w:val="none"/>
        </w:rPr>
      </w:pPr>
    </w:p>
    <w:p w14:paraId="0D0BC389">
      <w:pPr>
        <w:tabs>
          <w:tab w:val="left" w:pos="4860"/>
        </w:tabs>
        <w:adjustRightInd w:val="0"/>
        <w:snapToGrid w:val="0"/>
        <w:spacing w:line="360" w:lineRule="auto"/>
        <w:ind w:right="1560" w:firstLine="444" w:firstLineChars="200"/>
        <w:jc w:val="center"/>
        <w:rPr>
          <w:rFonts w:hint="eastAsia" w:ascii="宋体" w:hAnsi="宋体" w:eastAsia="宋体" w:cs="宋体"/>
          <w:color w:val="000000"/>
          <w:spacing w:val="6"/>
          <w:szCs w:val="21"/>
          <w:highlight w:val="none"/>
        </w:rPr>
      </w:pPr>
      <w:r>
        <w:rPr>
          <w:rFonts w:hint="eastAsia" w:ascii="宋体" w:hAnsi="宋体" w:eastAsia="宋体" w:cs="宋体"/>
          <w:color w:val="000000"/>
          <w:spacing w:val="6"/>
          <w:szCs w:val="21"/>
          <w:highlight w:val="none"/>
        </w:rPr>
        <w:t>单位名称（盖章）：</w:t>
      </w:r>
    </w:p>
    <w:p w14:paraId="106E24C0">
      <w:pPr>
        <w:tabs>
          <w:tab w:val="left" w:pos="4860"/>
        </w:tabs>
        <w:adjustRightInd w:val="0"/>
        <w:snapToGrid w:val="0"/>
        <w:spacing w:line="360" w:lineRule="auto"/>
        <w:ind w:right="1560" w:firstLine="444" w:firstLineChars="200"/>
        <w:jc w:val="center"/>
        <w:rPr>
          <w:rFonts w:hint="eastAsia" w:ascii="宋体" w:hAnsi="宋体" w:eastAsia="宋体" w:cs="宋体"/>
          <w:color w:val="000000"/>
          <w:spacing w:val="6"/>
          <w:szCs w:val="21"/>
          <w:highlight w:val="none"/>
        </w:rPr>
      </w:pPr>
      <w:r>
        <w:rPr>
          <w:rFonts w:hint="eastAsia" w:ascii="宋体" w:hAnsi="宋体" w:eastAsia="宋体" w:cs="宋体"/>
          <w:color w:val="000000"/>
          <w:spacing w:val="6"/>
          <w:szCs w:val="21"/>
          <w:highlight w:val="none"/>
        </w:rPr>
        <w:t>日期：</w:t>
      </w:r>
    </w:p>
    <w:p w14:paraId="4E2C686B">
      <w:pPr>
        <w:widowControl/>
        <w:adjustRightInd w:val="0"/>
        <w:snapToGrid w:val="0"/>
        <w:spacing w:line="360" w:lineRule="auto"/>
        <w:jc w:val="left"/>
        <w:rPr>
          <w:rFonts w:hint="eastAsia" w:ascii="宋体" w:hAnsi="宋体" w:eastAsia="宋体" w:cs="宋体"/>
          <w:color w:val="000000"/>
          <w:kern w:val="0"/>
          <w:szCs w:val="21"/>
          <w:highlight w:val="none"/>
        </w:rPr>
      </w:pPr>
    </w:p>
    <w:p w14:paraId="7B651815">
      <w:pPr>
        <w:widowControl/>
        <w:adjustRightInd w:val="0"/>
        <w:snapToGrid w:val="0"/>
        <w:spacing w:line="360" w:lineRule="auto"/>
        <w:rPr>
          <w:rFonts w:hint="eastAsia" w:ascii="宋体" w:hAnsi="宋体" w:eastAsia="宋体" w:cs="宋体"/>
          <w:color w:val="000000"/>
          <w:kern w:val="0"/>
          <w:szCs w:val="21"/>
          <w:highlight w:val="none"/>
        </w:rPr>
      </w:pPr>
    </w:p>
    <w:p w14:paraId="2B081414">
      <w:pPr>
        <w:adjustRightInd w:val="0"/>
        <w:snapToGrid w:val="0"/>
        <w:spacing w:line="360" w:lineRule="auto"/>
        <w:rPr>
          <w:rFonts w:ascii="仿宋_GB2312" w:hAnsi="宋体" w:eastAsia="仿宋_GB2312" w:cs="Times New Roman"/>
          <w:kern w:val="2"/>
          <w:szCs w:val="21"/>
        </w:rPr>
      </w:pPr>
    </w:p>
    <w:p w14:paraId="55B36152">
      <w:pPr>
        <w:spacing w:line="360" w:lineRule="auto"/>
        <w:jc w:val="left"/>
        <w:rPr>
          <w:rFonts w:ascii="宋体" w:hAnsi="宋体" w:eastAsia="宋体" w:cs="宋体"/>
          <w:kern w:val="2"/>
          <w:szCs w:val="21"/>
        </w:rPr>
      </w:pPr>
      <w:r>
        <w:rPr>
          <w:rFonts w:hint="eastAsia" w:ascii="宋体" w:hAnsi="宋体" w:eastAsia="宋体" w:cs="宋体"/>
          <w:b/>
          <w:kern w:val="2"/>
          <w:szCs w:val="21"/>
        </w:rPr>
        <w:t>备注</w:t>
      </w:r>
      <w:r>
        <w:rPr>
          <w:rFonts w:hint="eastAsia" w:ascii="宋体" w:hAnsi="宋体" w:eastAsia="宋体" w:cs="宋体"/>
          <w:kern w:val="2"/>
          <w:szCs w:val="21"/>
        </w:rPr>
        <w:t>：填写前请认真阅读《关于促进残疾人就业政府采购政策的通知》（财库〔2017〕141号）相关规定。</w:t>
      </w:r>
    </w:p>
    <w:p w14:paraId="70F51B62">
      <w:pPr>
        <w:widowControl/>
        <w:adjustRightInd w:val="0"/>
        <w:snapToGrid w:val="0"/>
        <w:spacing w:line="360" w:lineRule="auto"/>
        <w:rPr>
          <w:rFonts w:hint="eastAsia" w:ascii="宋体" w:hAnsi="宋体" w:eastAsia="宋体" w:cs="宋体"/>
          <w:color w:val="000000"/>
          <w:kern w:val="0"/>
          <w:szCs w:val="21"/>
          <w:highlight w:val="none"/>
        </w:rPr>
      </w:pPr>
    </w:p>
    <w:p w14:paraId="4824717E">
      <w:pPr>
        <w:spacing w:before="0" w:after="0"/>
        <w:jc w:val="both"/>
        <w:outlineLvl w:val="9"/>
        <w:rPr>
          <w:rFonts w:hint="eastAsia" w:ascii="宋体" w:hAnsi="宋体" w:eastAsia="宋体" w:cs="宋体"/>
          <w:b w:val="0"/>
          <w:bCs w:val="0"/>
          <w:color w:val="auto"/>
          <w:kern w:val="2"/>
          <w:sz w:val="30"/>
          <w:szCs w:val="30"/>
          <w:highlight w:val="none"/>
          <w:lang w:val="en-US" w:eastAsia="zh-CN" w:bidi="ar-SA"/>
        </w:rPr>
      </w:pPr>
    </w:p>
    <w:p w14:paraId="4B702AA9">
      <w:pPr>
        <w:spacing w:before="0" w:after="0"/>
        <w:jc w:val="both"/>
        <w:outlineLvl w:val="9"/>
        <w:rPr>
          <w:rFonts w:hint="eastAsia" w:ascii="宋体" w:hAnsi="宋体" w:eastAsia="宋体" w:cs="宋体"/>
          <w:b w:val="0"/>
          <w:bCs w:val="0"/>
          <w:color w:val="auto"/>
          <w:kern w:val="2"/>
          <w:sz w:val="30"/>
          <w:szCs w:val="30"/>
          <w:highlight w:val="none"/>
          <w:lang w:val="en-US" w:eastAsia="zh-CN" w:bidi="ar-SA"/>
        </w:rPr>
      </w:pPr>
    </w:p>
    <w:p w14:paraId="710A933C">
      <w:pPr>
        <w:spacing w:before="0" w:after="0"/>
        <w:jc w:val="both"/>
        <w:outlineLvl w:val="9"/>
        <w:rPr>
          <w:rFonts w:hint="eastAsia" w:ascii="宋体" w:hAnsi="宋体" w:eastAsia="宋体" w:cs="宋体"/>
          <w:b w:val="0"/>
          <w:bCs w:val="0"/>
          <w:color w:val="auto"/>
          <w:kern w:val="2"/>
          <w:sz w:val="30"/>
          <w:szCs w:val="30"/>
          <w:highlight w:val="none"/>
          <w:lang w:val="en-US" w:eastAsia="zh-CN" w:bidi="ar-SA"/>
        </w:rPr>
      </w:pPr>
    </w:p>
    <w:p w14:paraId="23D95BCE">
      <w:pPr>
        <w:spacing w:before="0" w:after="0"/>
        <w:jc w:val="both"/>
        <w:outlineLvl w:val="9"/>
        <w:rPr>
          <w:rFonts w:hint="eastAsia" w:ascii="宋体" w:hAnsi="宋体" w:eastAsia="宋体" w:cs="宋体"/>
          <w:b w:val="0"/>
          <w:bCs w:val="0"/>
          <w:color w:val="auto"/>
          <w:kern w:val="2"/>
          <w:sz w:val="30"/>
          <w:szCs w:val="30"/>
          <w:highlight w:val="none"/>
          <w:lang w:val="en-US" w:eastAsia="zh-CN" w:bidi="ar-SA"/>
        </w:rPr>
      </w:pPr>
    </w:p>
    <w:p w14:paraId="10A24ACB">
      <w:pPr>
        <w:pStyle w:val="11"/>
        <w:rPr>
          <w:rFonts w:hint="eastAsia" w:ascii="宋体" w:hAnsi="宋体" w:eastAsia="宋体" w:cs="宋体"/>
          <w:b w:val="0"/>
          <w:bCs w:val="0"/>
          <w:color w:val="auto"/>
          <w:kern w:val="2"/>
          <w:sz w:val="30"/>
          <w:szCs w:val="30"/>
          <w:highlight w:val="none"/>
          <w:lang w:val="en-US" w:eastAsia="zh-CN" w:bidi="ar-SA"/>
        </w:rPr>
      </w:pPr>
    </w:p>
    <w:p w14:paraId="5FBEC375">
      <w:pPr>
        <w:pStyle w:val="11"/>
        <w:rPr>
          <w:rFonts w:hint="eastAsia" w:ascii="宋体" w:hAnsi="宋体" w:eastAsia="宋体" w:cs="宋体"/>
          <w:b w:val="0"/>
          <w:bCs w:val="0"/>
          <w:color w:val="auto"/>
          <w:kern w:val="2"/>
          <w:sz w:val="30"/>
          <w:szCs w:val="30"/>
          <w:highlight w:val="none"/>
          <w:lang w:val="en-US" w:eastAsia="zh-CN" w:bidi="ar-SA"/>
        </w:rPr>
      </w:pPr>
    </w:p>
    <w:p w14:paraId="13D2C29B">
      <w:pPr>
        <w:pStyle w:val="11"/>
        <w:rPr>
          <w:rFonts w:hint="eastAsia" w:ascii="宋体" w:hAnsi="宋体" w:eastAsia="宋体" w:cs="宋体"/>
          <w:b w:val="0"/>
          <w:bCs w:val="0"/>
          <w:color w:val="auto"/>
          <w:kern w:val="2"/>
          <w:sz w:val="30"/>
          <w:szCs w:val="30"/>
          <w:highlight w:val="none"/>
          <w:lang w:val="en-US" w:eastAsia="zh-CN" w:bidi="ar-SA"/>
        </w:rPr>
      </w:pPr>
    </w:p>
    <w:p w14:paraId="3DB9ED06">
      <w:pPr>
        <w:pStyle w:val="11"/>
        <w:rPr>
          <w:rFonts w:hint="eastAsia" w:ascii="宋体" w:hAnsi="宋体" w:eastAsia="宋体" w:cs="宋体"/>
          <w:b w:val="0"/>
          <w:bCs w:val="0"/>
          <w:color w:val="auto"/>
          <w:kern w:val="2"/>
          <w:sz w:val="30"/>
          <w:szCs w:val="30"/>
          <w:highlight w:val="none"/>
          <w:lang w:val="en-US" w:eastAsia="zh-CN" w:bidi="ar-SA"/>
        </w:rPr>
      </w:pPr>
    </w:p>
    <w:p w14:paraId="4B8B680D">
      <w:pPr>
        <w:spacing w:before="0" w:after="0"/>
        <w:jc w:val="both"/>
        <w:outlineLvl w:val="9"/>
        <w:rPr>
          <w:rFonts w:hint="eastAsia" w:ascii="宋体" w:hAnsi="宋体" w:eastAsia="宋体" w:cs="宋体"/>
          <w:b w:val="0"/>
          <w:bCs w:val="0"/>
          <w:color w:val="auto"/>
          <w:kern w:val="2"/>
          <w:sz w:val="30"/>
          <w:szCs w:val="30"/>
          <w:highlight w:val="none"/>
          <w:lang w:val="en-US" w:eastAsia="zh-CN" w:bidi="ar-SA"/>
        </w:rPr>
      </w:pPr>
    </w:p>
    <w:p w14:paraId="44E6B2F8">
      <w:pPr>
        <w:spacing w:before="0" w:after="0"/>
        <w:jc w:val="both"/>
        <w:outlineLvl w:val="0"/>
        <w:rPr>
          <w:rFonts w:hint="default" w:ascii="宋体" w:hAnsi="宋体" w:eastAsia="宋体" w:cs="宋体"/>
          <w:b w:val="0"/>
          <w:bCs w:val="0"/>
          <w:color w:val="auto"/>
          <w:kern w:val="2"/>
          <w:sz w:val="30"/>
          <w:szCs w:val="30"/>
          <w:highlight w:val="none"/>
          <w:lang w:val="en-US" w:eastAsia="zh-CN" w:bidi="ar-SA"/>
        </w:rPr>
      </w:pPr>
      <w:bookmarkStart w:id="259" w:name="_Toc27428"/>
      <w:bookmarkStart w:id="260" w:name="_Toc17986"/>
      <w:bookmarkStart w:id="261" w:name="_Toc1652"/>
      <w:r>
        <w:rPr>
          <w:rFonts w:hint="eastAsia" w:ascii="宋体" w:hAnsi="宋体" w:eastAsia="宋体" w:cs="宋体"/>
          <w:b w:val="0"/>
          <w:bCs w:val="0"/>
          <w:color w:val="auto"/>
          <w:kern w:val="2"/>
          <w:sz w:val="30"/>
          <w:szCs w:val="30"/>
          <w:highlight w:val="none"/>
          <w:lang w:val="en-US" w:eastAsia="zh-CN" w:bidi="ar-SA"/>
        </w:rPr>
        <w:t>附件7-3</w:t>
      </w:r>
      <w:bookmarkEnd w:id="259"/>
      <w:bookmarkEnd w:id="260"/>
      <w:bookmarkEnd w:id="261"/>
    </w:p>
    <w:p w14:paraId="0FDA5B71">
      <w:pPr>
        <w:spacing w:before="0" w:after="0"/>
        <w:jc w:val="center"/>
        <w:outlineLvl w:val="9"/>
        <w:rPr>
          <w:rFonts w:hint="eastAsia" w:ascii="宋体" w:hAnsi="宋体" w:cs="宋体"/>
          <w:color w:val="000000"/>
          <w:sz w:val="28"/>
          <w:szCs w:val="28"/>
          <w:highlight w:val="none"/>
        </w:rPr>
      </w:pPr>
    </w:p>
    <w:p w14:paraId="5FACE3CA">
      <w:pPr>
        <w:spacing w:before="0" w:after="0"/>
        <w:jc w:val="center"/>
        <w:outlineLvl w:val="9"/>
        <w:rPr>
          <w:rFonts w:hint="eastAsia" w:ascii="宋体" w:hAnsi="宋体" w:cs="宋体"/>
          <w:color w:val="000000"/>
          <w:sz w:val="28"/>
          <w:szCs w:val="28"/>
          <w:highlight w:val="none"/>
        </w:rPr>
      </w:pPr>
      <w:r>
        <w:rPr>
          <w:rFonts w:hint="eastAsia" w:ascii="宋体" w:hAnsi="宋体" w:cs="宋体"/>
          <w:color w:val="000000"/>
          <w:sz w:val="28"/>
          <w:szCs w:val="28"/>
          <w:highlight w:val="none"/>
        </w:rPr>
        <w:t>监狱企业证明资料</w:t>
      </w:r>
    </w:p>
    <w:p w14:paraId="74FC1DE6">
      <w:pPr>
        <w:adjustRightInd w:val="0"/>
        <w:snapToGrid w:val="0"/>
        <w:spacing w:line="360" w:lineRule="auto"/>
        <w:jc w:val="center"/>
        <w:rPr>
          <w:rFonts w:hint="eastAsia" w:ascii="宋体" w:hAnsi="宋体" w:eastAsia="宋体" w:cs="宋体"/>
          <w:b/>
          <w:color w:val="000000"/>
          <w:spacing w:val="6"/>
          <w:szCs w:val="21"/>
          <w:highlight w:val="none"/>
        </w:rPr>
      </w:pPr>
      <w:r>
        <w:rPr>
          <w:rFonts w:hint="eastAsia" w:ascii="宋体" w:hAnsi="宋体" w:eastAsia="宋体" w:cs="宋体"/>
          <w:b/>
          <w:color w:val="000000"/>
          <w:spacing w:val="6"/>
          <w:szCs w:val="21"/>
          <w:highlight w:val="none"/>
        </w:rPr>
        <w:t>【不属于监狱企业的无需提供】</w:t>
      </w:r>
    </w:p>
    <w:p w14:paraId="5670736A">
      <w:pPr>
        <w:adjustRightInd w:val="0"/>
        <w:snapToGrid w:val="0"/>
        <w:spacing w:line="360" w:lineRule="auto"/>
        <w:rPr>
          <w:rFonts w:hint="eastAsia" w:ascii="宋体" w:hAnsi="宋体" w:eastAsia="宋体" w:cs="宋体"/>
          <w:color w:val="000000"/>
          <w:szCs w:val="21"/>
          <w:highlight w:val="none"/>
        </w:rPr>
      </w:pPr>
    </w:p>
    <w:p w14:paraId="76C29A3B">
      <w:pPr>
        <w:adjustRightInd w:val="0"/>
        <w:snapToGrid w:val="0"/>
        <w:spacing w:line="360" w:lineRule="auto"/>
        <w:ind w:firstLine="444" w:firstLineChars="200"/>
        <w:rPr>
          <w:rFonts w:hint="eastAsia" w:ascii="宋体" w:hAnsi="宋体" w:eastAsia="宋体" w:cs="宋体"/>
          <w:color w:val="000000"/>
          <w:szCs w:val="21"/>
          <w:highlight w:val="none"/>
        </w:rPr>
      </w:pPr>
      <w:r>
        <w:rPr>
          <w:rFonts w:hint="eastAsia" w:ascii="宋体" w:hAnsi="宋体" w:eastAsia="宋体" w:cs="宋体"/>
          <w:bCs/>
          <w:color w:val="000000"/>
          <w:spacing w:val="6"/>
          <w:kern w:val="0"/>
          <w:szCs w:val="21"/>
          <w:highlight w:val="none"/>
        </w:rPr>
        <w:t>备注：</w:t>
      </w:r>
      <w:r>
        <w:rPr>
          <w:rFonts w:hint="eastAsia" w:ascii="宋体" w:hAnsi="宋体" w:eastAsia="宋体" w:cs="宋体"/>
          <w:color w:val="000000"/>
          <w:szCs w:val="21"/>
          <w:highlight w:val="none"/>
        </w:rPr>
        <w:t>按</w:t>
      </w:r>
      <w:r>
        <w:rPr>
          <w:rFonts w:hint="eastAsia" w:ascii="宋体" w:hAnsi="宋体" w:eastAsia="宋体" w:cs="宋体"/>
          <w:color w:val="000000"/>
          <w:spacing w:val="6"/>
          <w:szCs w:val="21"/>
          <w:highlight w:val="none"/>
        </w:rPr>
        <w:t>《</w:t>
      </w:r>
      <w:r>
        <w:rPr>
          <w:rFonts w:hint="eastAsia" w:ascii="宋体" w:hAnsi="宋体" w:eastAsia="宋体" w:cs="宋体"/>
          <w:color w:val="000000"/>
          <w:szCs w:val="21"/>
          <w:highlight w:val="none"/>
        </w:rPr>
        <w:t>财政部司法部关于政府采购支持监狱企业发展有关问题的通知</w:t>
      </w:r>
      <w:r>
        <w:rPr>
          <w:rFonts w:hint="eastAsia" w:ascii="宋体" w:hAnsi="宋体" w:eastAsia="宋体" w:cs="宋体"/>
          <w:color w:val="000000"/>
          <w:spacing w:val="6"/>
          <w:szCs w:val="21"/>
          <w:highlight w:val="none"/>
        </w:rPr>
        <w:t>》</w:t>
      </w:r>
      <w:r>
        <w:rPr>
          <w:rFonts w:hint="eastAsia" w:ascii="宋体" w:hAnsi="宋体" w:eastAsia="宋体" w:cs="宋体"/>
          <w:color w:val="000000"/>
          <w:szCs w:val="21"/>
          <w:highlight w:val="none"/>
        </w:rPr>
        <w:t>(财库〔2014〕68号)文件规定提供证明文件（复印件）。</w:t>
      </w:r>
    </w:p>
    <w:p w14:paraId="14A383A3">
      <w:pPr>
        <w:adjustRightInd w:val="0"/>
        <w:snapToGrid w:val="0"/>
        <w:rPr>
          <w:rFonts w:hint="eastAsia" w:ascii="宋体" w:hAnsi="宋体" w:eastAsia="宋体" w:cs="宋体"/>
          <w:color w:val="000000"/>
          <w:sz w:val="30"/>
          <w:szCs w:val="30"/>
          <w:highlight w:val="none"/>
        </w:rPr>
      </w:pPr>
    </w:p>
    <w:p w14:paraId="6A5125ED">
      <w:pPr>
        <w:adjustRightInd w:val="0"/>
        <w:snapToGrid w:val="0"/>
        <w:rPr>
          <w:rFonts w:hint="eastAsia" w:ascii="宋体" w:hAnsi="宋体" w:eastAsia="宋体" w:cs="宋体"/>
          <w:color w:val="000000"/>
          <w:sz w:val="30"/>
          <w:szCs w:val="30"/>
          <w:highlight w:val="none"/>
        </w:rPr>
      </w:pPr>
    </w:p>
    <w:p w14:paraId="04BD46E0">
      <w:pPr>
        <w:adjustRightInd w:val="0"/>
        <w:snapToGrid w:val="0"/>
        <w:rPr>
          <w:rFonts w:hint="eastAsia" w:ascii="宋体" w:hAnsi="宋体" w:eastAsia="宋体" w:cs="宋体"/>
          <w:color w:val="000000"/>
          <w:sz w:val="30"/>
          <w:szCs w:val="30"/>
          <w:highlight w:val="none"/>
        </w:rPr>
      </w:pPr>
    </w:p>
    <w:p w14:paraId="7092FBC9">
      <w:pPr>
        <w:adjustRightInd w:val="0"/>
        <w:snapToGrid w:val="0"/>
        <w:spacing w:line="360" w:lineRule="auto"/>
        <w:ind w:firstLine="420" w:firstLineChars="200"/>
        <w:rPr>
          <w:rFonts w:hint="eastAsia" w:ascii="宋体" w:hAnsi="宋体" w:cs="宋体"/>
          <w:b/>
          <w:color w:val="auto"/>
          <w:szCs w:val="21"/>
          <w:highlight w:val="none"/>
        </w:rPr>
      </w:pPr>
    </w:p>
    <w:p w14:paraId="0CB43330">
      <w:pPr>
        <w:adjustRightInd w:val="0"/>
        <w:snapToGrid w:val="0"/>
        <w:spacing w:line="360" w:lineRule="auto"/>
        <w:ind w:firstLine="525" w:firstLineChars="250"/>
        <w:rPr>
          <w:rFonts w:hint="eastAsia" w:ascii="宋体" w:hAnsi="宋体" w:cs="宋体"/>
          <w:bCs/>
          <w:color w:val="auto"/>
          <w:szCs w:val="21"/>
          <w:highlight w:val="none"/>
        </w:rPr>
      </w:pPr>
    </w:p>
    <w:p w14:paraId="30B525C8">
      <w:pPr>
        <w:adjustRightInd w:val="0"/>
        <w:snapToGrid w:val="0"/>
        <w:spacing w:line="360" w:lineRule="auto"/>
        <w:ind w:firstLine="525" w:firstLineChars="250"/>
        <w:rPr>
          <w:rFonts w:hint="eastAsia" w:ascii="宋体" w:hAnsi="宋体" w:cs="宋体"/>
          <w:bCs/>
          <w:color w:val="auto"/>
          <w:szCs w:val="21"/>
          <w:highlight w:val="none"/>
        </w:rPr>
      </w:pPr>
    </w:p>
    <w:p w14:paraId="58B73E95">
      <w:pPr>
        <w:adjustRightInd w:val="0"/>
        <w:snapToGrid w:val="0"/>
        <w:spacing w:line="360" w:lineRule="auto"/>
        <w:ind w:firstLine="525" w:firstLineChars="250"/>
        <w:rPr>
          <w:rFonts w:hint="eastAsia" w:ascii="宋体" w:hAnsi="宋体" w:cs="宋体"/>
          <w:bCs/>
          <w:color w:val="auto"/>
          <w:szCs w:val="21"/>
          <w:highlight w:val="none"/>
        </w:rPr>
      </w:pPr>
    </w:p>
    <w:p w14:paraId="34692C38">
      <w:pPr>
        <w:adjustRightInd w:val="0"/>
        <w:snapToGrid w:val="0"/>
        <w:spacing w:line="360" w:lineRule="auto"/>
        <w:ind w:firstLine="525" w:firstLineChars="250"/>
        <w:rPr>
          <w:rFonts w:hint="eastAsia" w:ascii="宋体" w:hAnsi="宋体" w:cs="宋体"/>
          <w:bCs/>
          <w:color w:val="auto"/>
          <w:szCs w:val="21"/>
          <w:highlight w:val="none"/>
        </w:rPr>
      </w:pPr>
    </w:p>
    <w:p w14:paraId="7D9532BB">
      <w:pPr>
        <w:adjustRightInd w:val="0"/>
        <w:snapToGrid w:val="0"/>
        <w:spacing w:line="360" w:lineRule="auto"/>
        <w:rPr>
          <w:rFonts w:hint="eastAsia" w:ascii="宋体" w:hAnsi="宋体" w:cs="宋体"/>
          <w:bCs/>
          <w:color w:val="auto"/>
          <w:szCs w:val="21"/>
          <w:highlight w:val="none"/>
        </w:rPr>
      </w:pPr>
    </w:p>
    <w:p w14:paraId="68FBA160">
      <w:pPr>
        <w:pStyle w:val="11"/>
        <w:ind w:left="0" w:leftChars="0" w:firstLine="0" w:firstLineChars="0"/>
        <w:rPr>
          <w:rFonts w:hint="eastAsia"/>
          <w:color w:val="auto"/>
          <w:highlight w:val="none"/>
        </w:rPr>
      </w:pPr>
    </w:p>
    <w:p w14:paraId="187697CC">
      <w:pPr>
        <w:pStyle w:val="59"/>
        <w:rPr>
          <w:rFonts w:hint="eastAsia"/>
        </w:rPr>
      </w:pPr>
    </w:p>
    <w:p w14:paraId="4697F0E3">
      <w:pPr>
        <w:pStyle w:val="59"/>
        <w:rPr>
          <w:rFonts w:hint="eastAsia"/>
        </w:rPr>
      </w:pPr>
    </w:p>
    <w:p w14:paraId="68086F1F">
      <w:pPr>
        <w:pStyle w:val="59"/>
        <w:rPr>
          <w:rFonts w:hint="eastAsia"/>
        </w:rPr>
      </w:pPr>
    </w:p>
    <w:p w14:paraId="161E9629">
      <w:pPr>
        <w:pStyle w:val="59"/>
        <w:rPr>
          <w:rFonts w:hint="eastAsia"/>
        </w:rPr>
      </w:pPr>
    </w:p>
    <w:p w14:paraId="53733DB0">
      <w:pPr>
        <w:pStyle w:val="59"/>
        <w:rPr>
          <w:rFonts w:hint="eastAsia"/>
        </w:rPr>
      </w:pPr>
    </w:p>
    <w:p w14:paraId="69C3A1E6">
      <w:pPr>
        <w:pStyle w:val="59"/>
        <w:rPr>
          <w:rFonts w:hint="eastAsia"/>
        </w:rPr>
      </w:pPr>
    </w:p>
    <w:p w14:paraId="49552105">
      <w:pPr>
        <w:pStyle w:val="59"/>
        <w:rPr>
          <w:rFonts w:hint="eastAsia"/>
        </w:rPr>
      </w:pPr>
    </w:p>
    <w:p w14:paraId="0462B23E">
      <w:pPr>
        <w:pStyle w:val="59"/>
        <w:rPr>
          <w:rFonts w:hint="eastAsia"/>
        </w:rPr>
      </w:pPr>
    </w:p>
    <w:p w14:paraId="4AC778B1">
      <w:pPr>
        <w:pStyle w:val="59"/>
        <w:rPr>
          <w:rFonts w:hint="eastAsia"/>
        </w:rPr>
      </w:pPr>
    </w:p>
    <w:p w14:paraId="2AA98AD1">
      <w:pPr>
        <w:pStyle w:val="59"/>
        <w:rPr>
          <w:rFonts w:hint="eastAsia"/>
        </w:rPr>
      </w:pPr>
    </w:p>
    <w:p w14:paraId="38831AAA">
      <w:pPr>
        <w:pStyle w:val="59"/>
        <w:rPr>
          <w:rFonts w:hint="eastAsia"/>
        </w:rPr>
      </w:pPr>
    </w:p>
    <w:p w14:paraId="46CAFD08">
      <w:pPr>
        <w:pStyle w:val="59"/>
        <w:rPr>
          <w:rFonts w:hint="eastAsia"/>
        </w:rPr>
      </w:pPr>
    </w:p>
    <w:p w14:paraId="7E13A937">
      <w:pPr>
        <w:pStyle w:val="59"/>
        <w:rPr>
          <w:rFonts w:hint="eastAsia"/>
        </w:rPr>
      </w:pPr>
    </w:p>
    <w:p w14:paraId="706852A2">
      <w:pPr>
        <w:pStyle w:val="59"/>
        <w:rPr>
          <w:rFonts w:hint="eastAsia"/>
        </w:rPr>
      </w:pPr>
    </w:p>
    <w:p w14:paraId="501FBA98">
      <w:pPr>
        <w:pStyle w:val="59"/>
        <w:rPr>
          <w:rFonts w:hint="eastAsia"/>
        </w:rPr>
      </w:pPr>
    </w:p>
    <w:p w14:paraId="2412165C">
      <w:pPr>
        <w:pStyle w:val="59"/>
        <w:rPr>
          <w:rFonts w:hint="eastAsia"/>
        </w:rPr>
      </w:pPr>
    </w:p>
    <w:p w14:paraId="195F51C7">
      <w:pPr>
        <w:pStyle w:val="59"/>
        <w:rPr>
          <w:rFonts w:hint="eastAsia"/>
        </w:rPr>
      </w:pPr>
    </w:p>
    <w:p w14:paraId="5AA0F9DB">
      <w:pPr>
        <w:pStyle w:val="59"/>
        <w:rPr>
          <w:rFonts w:hint="eastAsia"/>
        </w:rPr>
      </w:pPr>
    </w:p>
    <w:p w14:paraId="257D79DC">
      <w:pPr>
        <w:pStyle w:val="59"/>
        <w:rPr>
          <w:rFonts w:hint="eastAsia"/>
        </w:rPr>
      </w:pPr>
    </w:p>
    <w:p w14:paraId="0CFD5EAF">
      <w:pPr>
        <w:rPr>
          <w:rFonts w:ascii="宋体" w:hAnsi="宋体" w:eastAsia="宋体" w:cs="Times New Roman"/>
          <w:b/>
          <w:kern w:val="2"/>
          <w:sz w:val="24"/>
          <w:szCs w:val="22"/>
        </w:rPr>
      </w:pPr>
      <w:r>
        <w:rPr>
          <w:rFonts w:hint="eastAsia" w:ascii="宋体" w:hAnsi="宋体" w:eastAsia="宋体" w:cs="Times New Roman"/>
          <w:b/>
          <w:kern w:val="2"/>
          <w:sz w:val="24"/>
          <w:szCs w:val="22"/>
        </w:rPr>
        <w:t>附件8</w:t>
      </w:r>
    </w:p>
    <w:p w14:paraId="3CF3E303">
      <w:pPr>
        <w:rPr>
          <w:rFonts w:eastAsia="宋体" w:cs="Times New Roman"/>
          <w:kern w:val="2"/>
          <w:szCs w:val="22"/>
        </w:rPr>
      </w:pPr>
    </w:p>
    <w:p w14:paraId="79B2365E">
      <w:pPr>
        <w:adjustRightInd w:val="0"/>
        <w:snapToGrid w:val="0"/>
        <w:spacing w:before="50" w:line="360" w:lineRule="auto"/>
        <w:jc w:val="center"/>
        <w:rPr>
          <w:rFonts w:ascii="黑体" w:hAnsi="华文中宋" w:eastAsia="黑体" w:cs="宋体"/>
          <w:bCs/>
          <w:spacing w:val="6"/>
          <w:kern w:val="0"/>
          <w:sz w:val="28"/>
          <w:szCs w:val="28"/>
        </w:rPr>
      </w:pPr>
      <w:r>
        <w:rPr>
          <w:rFonts w:hint="eastAsia" w:ascii="黑体" w:hAnsi="华文中宋" w:eastAsia="黑体" w:cs="宋体"/>
          <w:bCs/>
          <w:spacing w:val="6"/>
          <w:kern w:val="0"/>
          <w:sz w:val="28"/>
          <w:szCs w:val="28"/>
        </w:rPr>
        <w:t>“节能产品”、“环境标志产品”证明材料</w:t>
      </w:r>
    </w:p>
    <w:p w14:paraId="289B12CF">
      <w:pPr>
        <w:adjustRightInd w:val="0"/>
        <w:snapToGrid w:val="0"/>
        <w:spacing w:before="50" w:line="360" w:lineRule="auto"/>
        <w:jc w:val="center"/>
        <w:rPr>
          <w:rFonts w:ascii="宋体" w:hAnsi="宋体" w:eastAsia="宋体" w:cs="Times New Roman"/>
          <w:b/>
          <w:kern w:val="2"/>
          <w:szCs w:val="22"/>
        </w:rPr>
      </w:pPr>
      <w:r>
        <w:rPr>
          <w:rFonts w:hint="eastAsia" w:ascii="宋体" w:hAnsi="宋体" w:eastAsia="宋体" w:cs="Times New Roman"/>
          <w:b/>
          <w:spacing w:val="6"/>
          <w:kern w:val="2"/>
          <w:szCs w:val="21"/>
        </w:rPr>
        <w:t>(不属于强制采购或者优先采购产品的无需提供)</w:t>
      </w:r>
    </w:p>
    <w:p w14:paraId="5D7E781D">
      <w:pPr>
        <w:rPr>
          <w:rFonts w:eastAsia="宋体" w:cs="Times New Roman"/>
          <w:kern w:val="2"/>
          <w:szCs w:val="22"/>
        </w:rPr>
      </w:pPr>
    </w:p>
    <w:p w14:paraId="45467690">
      <w:pPr>
        <w:adjustRightInd w:val="0"/>
        <w:snapToGrid w:val="0"/>
        <w:spacing w:line="600" w:lineRule="auto"/>
        <w:ind w:firstLine="420" w:firstLineChars="200"/>
        <w:rPr>
          <w:rFonts w:ascii="宋体" w:hAnsi="宋体" w:eastAsia="宋体" w:cs="Times New Roman"/>
          <w:kern w:val="2"/>
          <w:szCs w:val="22"/>
        </w:rPr>
      </w:pPr>
      <w:r>
        <w:rPr>
          <w:rFonts w:hint="eastAsia" w:ascii="宋体" w:hAnsi="宋体" w:eastAsia="宋体" w:cs="Times New Roman"/>
          <w:kern w:val="2"/>
          <w:szCs w:val="22"/>
        </w:rPr>
        <w:t>说明：1、供应商提供的产品属于下列情形，应提供相关证明材料（财政部发布的最新一期的《节能产品政府采购品目清单》或者《环境标志产品政府采购品目清单》所在页复印件以及国家确定的认证机构出具的处于有效期之内的节能产品、环境标志产品认证证书复印件，并提供产品清单表。</w:t>
      </w:r>
    </w:p>
    <w:p w14:paraId="0DDCDDF3">
      <w:pPr>
        <w:adjustRightInd w:val="0"/>
        <w:snapToGrid w:val="0"/>
        <w:spacing w:line="600" w:lineRule="auto"/>
        <w:ind w:firstLine="840" w:firstLineChars="400"/>
        <w:rPr>
          <w:rFonts w:ascii="宋体" w:hAnsi="宋体" w:eastAsia="宋体" w:cs="Times New Roman"/>
          <w:kern w:val="2"/>
          <w:szCs w:val="22"/>
        </w:rPr>
      </w:pPr>
      <w:r>
        <w:rPr>
          <w:rFonts w:hint="eastAsia" w:ascii="宋体" w:hAnsi="宋体" w:eastAsia="宋体" w:cs="Times New Roman"/>
          <w:kern w:val="2"/>
          <w:szCs w:val="22"/>
        </w:rPr>
        <w:t>(1)符合政府采购强制采购政策的(《节能产品政府采购品目清单》中标记★符号节能产品及其他强制采购产品)。（财政部发布的最新一期目录所在页）。</w:t>
      </w:r>
    </w:p>
    <w:p w14:paraId="347BA23A">
      <w:pPr>
        <w:adjustRightInd w:val="0"/>
        <w:snapToGrid w:val="0"/>
        <w:spacing w:line="600" w:lineRule="auto"/>
        <w:ind w:firstLine="840" w:firstLineChars="400"/>
        <w:rPr>
          <w:rFonts w:ascii="宋体" w:hAnsi="宋体" w:eastAsia="宋体" w:cs="Times New Roman"/>
          <w:kern w:val="2"/>
          <w:szCs w:val="22"/>
        </w:rPr>
      </w:pPr>
      <w:r>
        <w:rPr>
          <w:rFonts w:hint="eastAsia" w:ascii="宋体" w:hAnsi="宋体" w:eastAsia="宋体" w:cs="Times New Roman"/>
          <w:kern w:val="2"/>
          <w:szCs w:val="22"/>
        </w:rPr>
        <w:t>(2)符合政府采购优先采购政策的(《节能产品政府采购品目清单》中非标记★符号节能产品，《环境标志产品政府采购品目清单》中环境标志产品。（财政部发布的最新一期目录所在页）。</w:t>
      </w:r>
    </w:p>
    <w:p w14:paraId="3E9971C7">
      <w:pPr>
        <w:adjustRightInd w:val="0"/>
        <w:snapToGrid w:val="0"/>
        <w:spacing w:line="600" w:lineRule="auto"/>
        <w:ind w:firstLine="945" w:firstLineChars="450"/>
        <w:rPr>
          <w:rFonts w:ascii="宋体" w:hAnsi="宋体" w:eastAsia="宋体" w:cs="Times New Roman"/>
          <w:kern w:val="2"/>
          <w:szCs w:val="22"/>
        </w:rPr>
      </w:pPr>
      <w:r>
        <w:rPr>
          <w:rFonts w:hint="eastAsia" w:ascii="宋体" w:hAnsi="宋体" w:eastAsia="宋体" w:cs="Times New Roman"/>
          <w:kern w:val="2"/>
          <w:szCs w:val="22"/>
        </w:rPr>
        <w:t>2、未按上述要求提供，评审时不予以考虑。</w:t>
      </w:r>
    </w:p>
    <w:p w14:paraId="4C264BF3">
      <w:pPr>
        <w:pStyle w:val="59"/>
        <w:rPr>
          <w:rFonts w:hint="eastAsia"/>
        </w:rPr>
      </w:pPr>
    </w:p>
    <w:p w14:paraId="735B74BC">
      <w:pPr>
        <w:pStyle w:val="59"/>
        <w:rPr>
          <w:rFonts w:hint="eastAsia"/>
        </w:rPr>
      </w:pPr>
    </w:p>
    <w:p w14:paraId="16B6B13D">
      <w:pPr>
        <w:pStyle w:val="59"/>
        <w:rPr>
          <w:rFonts w:hint="eastAsia"/>
        </w:rPr>
      </w:pPr>
    </w:p>
    <w:p w14:paraId="6E4F0164">
      <w:pPr>
        <w:pStyle w:val="59"/>
        <w:rPr>
          <w:rFonts w:hint="eastAsia"/>
        </w:rPr>
      </w:pPr>
    </w:p>
    <w:p w14:paraId="305E5AA2">
      <w:pPr>
        <w:pStyle w:val="59"/>
        <w:rPr>
          <w:rFonts w:hint="eastAsia"/>
        </w:rPr>
      </w:pPr>
    </w:p>
    <w:p w14:paraId="76757034">
      <w:pPr>
        <w:pStyle w:val="59"/>
        <w:rPr>
          <w:rFonts w:hint="eastAsia"/>
        </w:rPr>
      </w:pPr>
    </w:p>
    <w:p w14:paraId="4C75DB88">
      <w:pPr>
        <w:pStyle w:val="59"/>
        <w:rPr>
          <w:rFonts w:hint="eastAsia"/>
        </w:rPr>
      </w:pPr>
    </w:p>
    <w:p w14:paraId="2CC643DD">
      <w:pPr>
        <w:pStyle w:val="59"/>
        <w:rPr>
          <w:rFonts w:hint="eastAsia"/>
        </w:rPr>
      </w:pPr>
    </w:p>
    <w:p w14:paraId="5E7D3FAB">
      <w:pPr>
        <w:pStyle w:val="3"/>
        <w:bidi w:val="0"/>
        <w:jc w:val="both"/>
        <w:outlineLvl w:val="0"/>
        <w:rPr>
          <w:rFonts w:hint="eastAsia"/>
          <w:lang w:eastAsia="zh-CN"/>
        </w:rPr>
      </w:pPr>
      <w:bookmarkStart w:id="262" w:name="_Toc27490"/>
      <w:bookmarkStart w:id="263" w:name="_Toc20454"/>
    </w:p>
    <w:p w14:paraId="66EC50FA">
      <w:pPr>
        <w:rPr>
          <w:rFonts w:hint="eastAsia"/>
          <w:lang w:eastAsia="zh-CN"/>
        </w:rPr>
      </w:pPr>
    </w:p>
    <w:p w14:paraId="39E3B088">
      <w:pPr>
        <w:rPr>
          <w:rFonts w:hint="eastAsia"/>
          <w:lang w:eastAsia="zh-CN"/>
        </w:rPr>
      </w:pPr>
    </w:p>
    <w:p w14:paraId="70B9A7EC">
      <w:pPr>
        <w:pStyle w:val="3"/>
        <w:bidi w:val="0"/>
        <w:jc w:val="center"/>
        <w:outlineLvl w:val="0"/>
        <w:rPr>
          <w:rFonts w:hint="eastAsia"/>
        </w:rPr>
      </w:pPr>
      <w:bookmarkStart w:id="264" w:name="_Toc10774"/>
      <w:bookmarkStart w:id="265" w:name="_Toc844"/>
      <w:r>
        <w:rPr>
          <w:rFonts w:hint="eastAsia"/>
          <w:lang w:eastAsia="zh-CN"/>
        </w:rPr>
        <w:t>八</w:t>
      </w:r>
      <w:r>
        <w:rPr>
          <w:rFonts w:hint="eastAsia"/>
        </w:rPr>
        <w:t>、报价一览表及报价文件</w:t>
      </w:r>
      <w:bookmarkEnd w:id="262"/>
      <w:bookmarkEnd w:id="263"/>
      <w:bookmarkEnd w:id="264"/>
      <w:bookmarkEnd w:id="265"/>
    </w:p>
    <w:p w14:paraId="79C88FBF">
      <w:pPr>
        <w:adjustRightInd w:val="0"/>
        <w:snapToGrid w:val="0"/>
        <w:spacing w:line="360" w:lineRule="auto"/>
        <w:jc w:val="left"/>
        <w:rPr>
          <w:rFonts w:hint="eastAsia" w:ascii="宋体" w:hAnsi="宋体" w:eastAsia="宋体" w:cs="宋体"/>
          <w:bCs/>
          <w:color w:val="000000"/>
          <w:kern w:val="1"/>
          <w:sz w:val="22"/>
          <w:szCs w:val="22"/>
        </w:rPr>
      </w:pPr>
      <w:bookmarkStart w:id="266" w:name="_Toc6732"/>
      <w:bookmarkStart w:id="267" w:name="_Toc28279"/>
      <w:r>
        <w:rPr>
          <w:rFonts w:hint="eastAsia" w:ascii="宋体" w:hAnsi="宋体" w:eastAsia="宋体" w:cs="宋体"/>
          <w:color w:val="000000"/>
          <w:kern w:val="1"/>
          <w:sz w:val="22"/>
          <w:szCs w:val="22"/>
        </w:rPr>
        <w:t>附件</w:t>
      </w:r>
      <w:r>
        <w:rPr>
          <w:rFonts w:hint="eastAsia" w:ascii="宋体" w:hAnsi="宋体" w:eastAsia="宋体" w:cs="宋体"/>
          <w:color w:val="000000"/>
          <w:kern w:val="1"/>
          <w:sz w:val="22"/>
          <w:szCs w:val="22"/>
          <w:lang w:val="en-US" w:eastAsia="zh-CN"/>
        </w:rPr>
        <w:t>8-1</w:t>
      </w:r>
      <w:r>
        <w:rPr>
          <w:rFonts w:hint="eastAsia" w:ascii="宋体" w:hAnsi="宋体" w:eastAsia="宋体" w:cs="宋体"/>
          <w:color w:val="000000"/>
          <w:kern w:val="1"/>
          <w:sz w:val="22"/>
          <w:szCs w:val="22"/>
        </w:rPr>
        <w:t>：</w:t>
      </w:r>
      <w:r>
        <w:rPr>
          <w:rFonts w:hint="eastAsia" w:ascii="宋体" w:hAnsi="宋体" w:eastAsia="宋体" w:cs="宋体"/>
          <w:bCs/>
          <w:color w:val="000000"/>
          <w:kern w:val="1"/>
          <w:sz w:val="22"/>
          <w:szCs w:val="22"/>
        </w:rPr>
        <w:t>报价一览表</w:t>
      </w:r>
    </w:p>
    <w:p w14:paraId="2CA69551">
      <w:pPr>
        <w:adjustRightInd w:val="0"/>
        <w:snapToGrid w:val="0"/>
        <w:jc w:val="both"/>
        <w:rPr>
          <w:rFonts w:hint="eastAsia" w:ascii="Arial" w:hAnsi="Arial" w:cs="Times New Roman" w:eastAsiaTheme="minorEastAsia"/>
          <w:b/>
          <w:bCs/>
          <w:kern w:val="1"/>
          <w:sz w:val="24"/>
          <w:szCs w:val="32"/>
          <w:lang w:val="en-US" w:eastAsia="zh-CN" w:bidi="ar-SA"/>
        </w:rPr>
      </w:pPr>
    </w:p>
    <w:bookmarkEnd w:id="266"/>
    <w:bookmarkEnd w:id="267"/>
    <w:p w14:paraId="43760601">
      <w:pPr>
        <w:pageBreakBefore w:val="0"/>
        <w:kinsoku/>
        <w:wordWrap/>
        <w:overflowPunct/>
        <w:bidi w:val="0"/>
        <w:adjustRightInd w:val="0"/>
        <w:snapToGrid w:val="0"/>
        <w:spacing w:before="156" w:beforeLines="50"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项目名称：</w:t>
      </w:r>
    </w:p>
    <w:p w14:paraId="4168FB1E">
      <w:pPr>
        <w:widowControl w:val="0"/>
        <w:spacing w:line="360" w:lineRule="auto"/>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采购项目编号：</w:t>
      </w:r>
    </w:p>
    <w:p w14:paraId="1FFDF337">
      <w:pPr>
        <w:pageBreakBefore w:val="0"/>
        <w:kinsoku/>
        <w:wordWrap/>
        <w:overflowPunct/>
        <w:bidi w:val="0"/>
        <w:adjustRightInd w:val="0"/>
        <w:snapToGrid w:val="0"/>
        <w:spacing w:before="156" w:beforeLines="50" w:line="360" w:lineRule="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val="en-US" w:eastAsia="zh-CN"/>
        </w:rPr>
        <w:t>委托代理</w:t>
      </w:r>
      <w:r>
        <w:rPr>
          <w:rFonts w:hint="eastAsia" w:ascii="宋体" w:hAnsi="宋体" w:eastAsia="宋体" w:cs="宋体"/>
          <w:color w:val="auto"/>
          <w:kern w:val="2"/>
          <w:sz w:val="21"/>
          <w:szCs w:val="21"/>
        </w:rPr>
        <w:t>编号：</w:t>
      </w:r>
    </w:p>
    <w:tbl>
      <w:tblPr>
        <w:tblStyle w:val="2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2932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6A9D8F3F">
            <w:pPr>
              <w:pageBreakBefore w:val="0"/>
              <w:kinsoku/>
              <w:wordWrap/>
              <w:overflowPunct/>
              <w:bidi w:val="0"/>
              <w:adjustRightInd w:val="0"/>
              <w:snapToGrid w:val="0"/>
              <w:spacing w:before="156"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报价</w:t>
            </w:r>
          </w:p>
        </w:tc>
        <w:tc>
          <w:tcPr>
            <w:tcW w:w="3119" w:type="dxa"/>
            <w:noWrap w:val="0"/>
            <w:vAlign w:val="center"/>
          </w:tcPr>
          <w:p w14:paraId="2ECFC209">
            <w:pPr>
              <w:pageBreakBefore w:val="0"/>
              <w:kinsoku/>
              <w:wordWrap/>
              <w:overflowPunct/>
              <w:bidi w:val="0"/>
              <w:adjustRightInd w:val="0"/>
              <w:snapToGrid w:val="0"/>
              <w:spacing w:before="156"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其他内容</w:t>
            </w:r>
          </w:p>
        </w:tc>
      </w:tr>
      <w:tr w14:paraId="79CD73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13BE812">
            <w:pPr>
              <w:pageBreakBefore w:val="0"/>
              <w:kinsoku/>
              <w:wordWrap/>
              <w:overflowPunct/>
              <w:bidi w:val="0"/>
              <w:adjustRightInd w:val="0"/>
              <w:snapToGrid w:val="0"/>
              <w:spacing w:before="156" w:beforeLines="50"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小写金额：</w:t>
            </w:r>
            <w:r>
              <w:rPr>
                <w:rFonts w:hint="eastAsia" w:ascii="宋体" w:hAnsi="宋体"/>
                <w:color w:val="auto"/>
                <w:szCs w:val="21"/>
                <w:u w:val="single"/>
                <w:lang w:val="en-US" w:eastAsia="zh-CN"/>
              </w:rPr>
              <w:t xml:space="preserve">        </w:t>
            </w:r>
            <w:r>
              <w:rPr>
                <w:rFonts w:hint="eastAsia" w:ascii="宋体" w:hAnsi="宋体" w:eastAsia="宋体" w:cs="宋体"/>
                <w:color w:val="auto"/>
                <w:kern w:val="0"/>
                <w:sz w:val="21"/>
                <w:szCs w:val="21"/>
              </w:rPr>
              <w:t>（人民币元）</w:t>
            </w:r>
          </w:p>
          <w:p w14:paraId="62125712">
            <w:pPr>
              <w:pageBreakBefore w:val="0"/>
              <w:kinsoku/>
              <w:wordWrap/>
              <w:overflowPunct/>
              <w:bidi w:val="0"/>
              <w:adjustRightInd w:val="0"/>
              <w:snapToGrid w:val="0"/>
              <w:spacing w:before="156" w:beforeLines="50" w:line="360" w:lineRule="auto"/>
              <w:jc w:val="center"/>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大写金额：</w:t>
            </w:r>
            <w:r>
              <w:rPr>
                <w:rFonts w:hint="eastAsia" w:ascii="宋体" w:hAnsi="宋体"/>
                <w:color w:val="auto"/>
                <w:szCs w:val="21"/>
                <w:u w:val="single"/>
                <w:lang w:val="en-US" w:eastAsia="zh-CN"/>
              </w:rPr>
              <w:t xml:space="preserve">        </w:t>
            </w:r>
            <w:bookmarkStart w:id="274" w:name="_GoBack"/>
            <w:bookmarkEnd w:id="274"/>
            <w:r>
              <w:rPr>
                <w:rFonts w:hint="eastAsia" w:ascii="宋体" w:hAnsi="宋体" w:eastAsia="宋体" w:cs="宋体"/>
                <w:color w:val="auto"/>
                <w:kern w:val="0"/>
                <w:sz w:val="21"/>
                <w:szCs w:val="21"/>
              </w:rPr>
              <w:t>（人民币元）</w:t>
            </w:r>
          </w:p>
          <w:p w14:paraId="1382B5C7">
            <w:pPr>
              <w:pageBreakBefore w:val="0"/>
              <w:kinsoku/>
              <w:wordWrap/>
              <w:overflowPunct/>
              <w:bidi w:val="0"/>
              <w:adjustRightInd w:val="0"/>
              <w:snapToGrid w:val="0"/>
              <w:spacing w:before="156" w:beforeLines="50"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（大写金额与小写金额不一致时，以大写金额为准）</w:t>
            </w:r>
          </w:p>
        </w:tc>
        <w:tc>
          <w:tcPr>
            <w:tcW w:w="3119" w:type="dxa"/>
            <w:noWrap w:val="0"/>
            <w:vAlign w:val="center"/>
          </w:tcPr>
          <w:p w14:paraId="5AB8FD78">
            <w:pPr>
              <w:pageBreakBefore w:val="0"/>
              <w:kinsoku/>
              <w:wordWrap/>
              <w:overflowPunct/>
              <w:bidi w:val="0"/>
              <w:adjustRightInd w:val="0"/>
              <w:snapToGrid w:val="0"/>
              <w:spacing w:before="156" w:beforeLines="50" w:line="360" w:lineRule="auto"/>
              <w:jc w:val="center"/>
              <w:rPr>
                <w:rFonts w:hint="eastAsia" w:ascii="宋体" w:hAnsi="宋体" w:eastAsia="宋体" w:cs="宋体"/>
                <w:color w:val="auto"/>
                <w:kern w:val="0"/>
                <w:sz w:val="21"/>
                <w:szCs w:val="21"/>
              </w:rPr>
            </w:pPr>
          </w:p>
        </w:tc>
      </w:tr>
    </w:tbl>
    <w:p w14:paraId="03F51095">
      <w:pPr>
        <w:pageBreakBefore w:val="0"/>
        <w:kinsoku/>
        <w:wordWrap/>
        <w:overflowPunct/>
        <w:bidi w:val="0"/>
        <w:adjustRightInd w:val="0"/>
        <w:snapToGrid w:val="0"/>
        <w:spacing w:before="156" w:beforeLines="50" w:line="360" w:lineRule="auto"/>
        <w:rPr>
          <w:rFonts w:hint="eastAsia" w:ascii="宋体" w:hAnsi="宋体" w:eastAsia="宋体" w:cs="宋体"/>
          <w:color w:val="auto"/>
          <w:kern w:val="2"/>
          <w:sz w:val="21"/>
          <w:szCs w:val="21"/>
        </w:rPr>
      </w:pPr>
      <w:r>
        <w:rPr>
          <w:rFonts w:hint="eastAsia" w:ascii="宋体" w:hAnsi="宋体" w:eastAsia="宋体" w:cs="宋体"/>
          <w:b/>
          <w:color w:val="auto"/>
          <w:kern w:val="2"/>
          <w:sz w:val="21"/>
          <w:szCs w:val="21"/>
        </w:rPr>
        <w:t>备注：</w:t>
      </w:r>
      <w:r>
        <w:rPr>
          <w:rFonts w:hint="eastAsia" w:ascii="宋体" w:hAnsi="宋体" w:eastAsia="宋体" w:cs="宋体"/>
          <w:color w:val="auto"/>
          <w:kern w:val="2"/>
          <w:sz w:val="21"/>
          <w:szCs w:val="21"/>
        </w:rPr>
        <w:t>（1）本表须按包填写，一个“包号”一份。</w:t>
      </w:r>
    </w:p>
    <w:p w14:paraId="17D15E26">
      <w:pPr>
        <w:adjustRightInd w:val="0"/>
        <w:snapToGrid w:val="0"/>
        <w:rPr>
          <w:rFonts w:hint="eastAsia" w:ascii="宋体" w:hAnsi="宋体" w:eastAsia="宋体" w:cs="Times New Roman"/>
          <w:b/>
          <w:kern w:val="2"/>
          <w:szCs w:val="21"/>
          <w:lang w:eastAsia="zh-CN"/>
        </w:rPr>
      </w:pPr>
    </w:p>
    <w:p w14:paraId="4831FB36">
      <w:pPr>
        <w:adjustRightInd w:val="0"/>
        <w:snapToGrid w:val="0"/>
        <w:spacing w:line="360" w:lineRule="auto"/>
        <w:ind w:left="-88" w:leftChars="-42"/>
        <w:rPr>
          <w:rFonts w:ascii="宋体" w:hAnsi="宋体" w:eastAsia="宋体" w:cs="Times New Roman"/>
          <w:kern w:val="2"/>
          <w:szCs w:val="21"/>
        </w:rPr>
      </w:pPr>
    </w:p>
    <w:p w14:paraId="04F9DBD9">
      <w:pPr>
        <w:adjustRightInd w:val="0"/>
        <w:snapToGrid w:val="0"/>
        <w:spacing w:line="360" w:lineRule="auto"/>
        <w:rPr>
          <w:rFonts w:ascii="宋体" w:hAnsi="宋体" w:eastAsia="宋体" w:cs="Times New Roman"/>
          <w:kern w:val="2"/>
          <w:szCs w:val="21"/>
        </w:rPr>
      </w:pPr>
    </w:p>
    <w:p w14:paraId="614AEFC0">
      <w:pPr>
        <w:adjustRightInd w:val="0"/>
        <w:snapToGrid w:val="0"/>
        <w:spacing w:line="360" w:lineRule="auto"/>
        <w:rPr>
          <w:rFonts w:ascii="宋体" w:hAnsi="宋体" w:eastAsia="宋体" w:cs="Times New Roman"/>
          <w:kern w:val="2"/>
          <w:szCs w:val="21"/>
          <w:u w:val="single"/>
        </w:rPr>
      </w:pPr>
      <w:r>
        <w:rPr>
          <w:rFonts w:hint="eastAsia" w:ascii="宋体" w:hAnsi="宋体" w:cs="Times New Roman"/>
          <w:color w:val="auto"/>
          <w:sz w:val="21"/>
          <w:szCs w:val="21"/>
        </w:rPr>
        <w:t>供应商名称（</w:t>
      </w:r>
      <w:r>
        <w:rPr>
          <w:rFonts w:hint="eastAsia" w:ascii="宋体" w:hAnsi="宋体" w:cs="Times New Roman"/>
          <w:color w:val="auto"/>
          <w:sz w:val="21"/>
          <w:szCs w:val="21"/>
          <w:lang w:eastAsia="zh-CN"/>
        </w:rPr>
        <w:t>盖单位公章</w:t>
      </w:r>
      <w:r>
        <w:rPr>
          <w:rFonts w:hint="eastAsia" w:ascii="宋体" w:hAnsi="宋体"/>
          <w:color w:val="auto"/>
          <w:sz w:val="21"/>
          <w:szCs w:val="21"/>
        </w:rPr>
        <w:t>）</w:t>
      </w:r>
      <w:r>
        <w:rPr>
          <w:rFonts w:hint="eastAsia" w:ascii="宋体" w:hAnsi="宋体" w:eastAsia="宋体" w:cs="Times New Roman"/>
          <w:kern w:val="2"/>
          <w:szCs w:val="21"/>
        </w:rPr>
        <w:t>：</w:t>
      </w:r>
    </w:p>
    <w:p w14:paraId="108F3E01">
      <w:pPr>
        <w:adjustRightInd w:val="0"/>
        <w:snapToGrid w:val="0"/>
        <w:spacing w:line="360" w:lineRule="auto"/>
        <w:rPr>
          <w:rFonts w:hint="eastAsia" w:ascii="宋体" w:hAnsi="宋体" w:eastAsia="宋体" w:cs="Times New Roman"/>
          <w:kern w:val="2"/>
          <w:szCs w:val="21"/>
          <w:lang w:eastAsia="zh-CN"/>
        </w:rPr>
      </w:pPr>
      <w:r>
        <w:rPr>
          <w:rFonts w:hint="eastAsia" w:ascii="宋体" w:hAnsi="宋体" w:eastAsia="宋体" w:cs="Times New Roman"/>
          <w:kern w:val="2"/>
          <w:szCs w:val="21"/>
        </w:rPr>
        <w:t>法定代表人或其委托代理人签字：</w:t>
      </w:r>
    </w:p>
    <w:p w14:paraId="4EBF5F35">
      <w:pPr>
        <w:adjustRightInd w:val="0"/>
        <w:snapToGrid w:val="0"/>
        <w:spacing w:line="360" w:lineRule="auto"/>
        <w:rPr>
          <w:rFonts w:ascii="宋体" w:hAnsi="宋体" w:eastAsia="宋体" w:cs="Times New Roman"/>
          <w:kern w:val="2"/>
          <w:szCs w:val="21"/>
        </w:rPr>
      </w:pPr>
      <w:r>
        <w:rPr>
          <w:rFonts w:hint="eastAsia" w:ascii="宋体" w:hAnsi="宋体" w:eastAsia="宋体" w:cs="Times New Roman"/>
          <w:kern w:val="2"/>
          <w:szCs w:val="21"/>
        </w:rPr>
        <w:t>日期：年月日</w:t>
      </w:r>
    </w:p>
    <w:p w14:paraId="03A78FA7">
      <w:pPr>
        <w:adjustRightInd w:val="0"/>
        <w:snapToGrid w:val="0"/>
        <w:rPr>
          <w:rFonts w:hint="eastAsia" w:ascii="黑体" w:hAnsi="宋体" w:eastAsia="黑体"/>
          <w:sz w:val="30"/>
          <w:szCs w:val="30"/>
        </w:rPr>
      </w:pPr>
    </w:p>
    <w:p w14:paraId="7AF04116">
      <w:pPr>
        <w:pStyle w:val="45"/>
        <w:rPr>
          <w:rFonts w:hint="eastAsia"/>
        </w:rPr>
      </w:pPr>
    </w:p>
    <w:p w14:paraId="0AF7F26D">
      <w:pPr>
        <w:pStyle w:val="45"/>
        <w:rPr>
          <w:rFonts w:hint="eastAsia"/>
        </w:rPr>
      </w:pPr>
    </w:p>
    <w:p w14:paraId="6E8D7B99">
      <w:pPr>
        <w:pStyle w:val="45"/>
        <w:rPr>
          <w:rFonts w:hint="eastAsia"/>
        </w:rPr>
      </w:pPr>
    </w:p>
    <w:p w14:paraId="66F43286">
      <w:pPr>
        <w:pStyle w:val="45"/>
        <w:rPr>
          <w:rFonts w:hint="eastAsia"/>
        </w:rPr>
      </w:pPr>
    </w:p>
    <w:p w14:paraId="7598346A">
      <w:pPr>
        <w:pStyle w:val="45"/>
        <w:rPr>
          <w:rFonts w:hint="eastAsia"/>
        </w:rPr>
      </w:pPr>
    </w:p>
    <w:p w14:paraId="294BD949">
      <w:pPr>
        <w:pStyle w:val="45"/>
        <w:rPr>
          <w:rFonts w:hint="eastAsia"/>
        </w:rPr>
      </w:pPr>
    </w:p>
    <w:p w14:paraId="0AE21216">
      <w:pPr>
        <w:pStyle w:val="45"/>
        <w:rPr>
          <w:rFonts w:hint="eastAsia"/>
        </w:rPr>
      </w:pPr>
    </w:p>
    <w:p w14:paraId="4A8F21B6">
      <w:pPr>
        <w:pStyle w:val="45"/>
        <w:rPr>
          <w:rFonts w:hint="eastAsia"/>
        </w:rPr>
      </w:pPr>
    </w:p>
    <w:p w14:paraId="5E19DFBC">
      <w:pPr>
        <w:pStyle w:val="45"/>
        <w:rPr>
          <w:rFonts w:hint="eastAsia"/>
        </w:rPr>
      </w:pPr>
    </w:p>
    <w:p w14:paraId="5027C4A9">
      <w:pPr>
        <w:pStyle w:val="45"/>
        <w:rPr>
          <w:rFonts w:hint="eastAsia"/>
        </w:rPr>
      </w:pPr>
    </w:p>
    <w:p w14:paraId="39C84B4A">
      <w:pPr>
        <w:pStyle w:val="45"/>
        <w:rPr>
          <w:rFonts w:hint="eastAsia"/>
        </w:rPr>
      </w:pPr>
    </w:p>
    <w:p w14:paraId="7543D58E">
      <w:pPr>
        <w:pStyle w:val="45"/>
        <w:rPr>
          <w:rFonts w:hint="eastAsia"/>
        </w:rPr>
      </w:pPr>
    </w:p>
    <w:p w14:paraId="01E8CBF4">
      <w:pPr>
        <w:pStyle w:val="45"/>
        <w:rPr>
          <w:rFonts w:hint="eastAsia"/>
        </w:rPr>
      </w:pPr>
    </w:p>
    <w:p w14:paraId="47D44126">
      <w:pPr>
        <w:pStyle w:val="45"/>
        <w:rPr>
          <w:rFonts w:hint="eastAsia"/>
        </w:rPr>
      </w:pPr>
    </w:p>
    <w:p w14:paraId="2B594662">
      <w:pPr>
        <w:pStyle w:val="45"/>
        <w:rPr>
          <w:rFonts w:hint="eastAsia"/>
        </w:rPr>
      </w:pPr>
    </w:p>
    <w:p w14:paraId="5097CACD">
      <w:pPr>
        <w:pStyle w:val="45"/>
        <w:rPr>
          <w:rFonts w:hint="eastAsia"/>
        </w:rPr>
      </w:pPr>
    </w:p>
    <w:p w14:paraId="3D6D8F56">
      <w:pPr>
        <w:pStyle w:val="45"/>
        <w:rPr>
          <w:rFonts w:hint="eastAsia"/>
        </w:rPr>
      </w:pPr>
    </w:p>
    <w:p w14:paraId="39B765D2">
      <w:pPr>
        <w:adjustRightInd w:val="0"/>
        <w:snapToGrid w:val="0"/>
        <w:jc w:val="left"/>
        <w:rPr>
          <w:rFonts w:hint="default" w:ascii="宋体" w:hAnsi="宋体" w:cs="宋体"/>
          <w:b/>
          <w:bCs/>
          <w:color w:val="000000" w:themeColor="text1"/>
          <w:sz w:val="30"/>
          <w:szCs w:val="30"/>
          <w:lang w:val="en-US" w:eastAsia="zh-CN"/>
          <w14:textFill>
            <w14:solidFill>
              <w14:schemeClr w14:val="tx1"/>
            </w14:solidFill>
          </w14:textFill>
        </w:rPr>
      </w:pPr>
      <w:r>
        <w:rPr>
          <w:rFonts w:hint="eastAsia" w:ascii="宋体" w:hAnsi="宋体" w:cs="宋体"/>
          <w:b/>
          <w:bCs/>
          <w:color w:val="000000" w:themeColor="text1"/>
          <w:sz w:val="30"/>
          <w:szCs w:val="30"/>
          <w:lang w:val="en-US" w:eastAsia="zh-CN"/>
          <w14:textFill>
            <w14:solidFill>
              <w14:schemeClr w14:val="tx1"/>
            </w14:solidFill>
          </w14:textFill>
        </w:rPr>
        <w:t>附件8-2：分项价格表</w:t>
      </w:r>
    </w:p>
    <w:p w14:paraId="75DEBE2E">
      <w:pPr>
        <w:pStyle w:val="45"/>
        <w:rPr>
          <w:rFonts w:hint="eastAsia"/>
        </w:rPr>
      </w:pPr>
    </w:p>
    <w:p w14:paraId="62A59A50">
      <w:pPr>
        <w:spacing w:line="360" w:lineRule="exact"/>
        <w:rPr>
          <w:rFonts w:ascii="宋体" w:hAnsi="宋体" w:cs="宋体"/>
          <w:b/>
          <w:color w:val="000000" w:themeColor="text1"/>
          <w14:textFill>
            <w14:solidFill>
              <w14:schemeClr w14:val="tx1"/>
            </w14:solidFill>
          </w14:textFill>
        </w:rPr>
      </w:pPr>
    </w:p>
    <w:p w14:paraId="4700AF7C">
      <w:pPr>
        <w:pageBreakBefore w:val="0"/>
        <w:kinsoku/>
        <w:wordWrap/>
        <w:overflowPunct/>
        <w:bidi w:val="0"/>
        <w:spacing w:line="360" w:lineRule="auto"/>
        <w:ind w:firstLine="210" w:firstLineChars="100"/>
        <w:rPr>
          <w:rFonts w:hint="eastAsia" w:ascii="黑体" w:hAnsi="宋体" w:eastAsia="黑体"/>
          <w:b/>
          <w:color w:val="auto"/>
          <w:kern w:val="2"/>
          <w:sz w:val="21"/>
          <w:szCs w:val="21"/>
        </w:rPr>
      </w:pPr>
      <w:r>
        <w:rPr>
          <w:rFonts w:hint="eastAsia" w:ascii="宋体" w:hAnsi="宋体" w:eastAsia="宋体" w:cs="微软雅黑"/>
          <w:color w:val="auto"/>
          <w:kern w:val="0"/>
          <w:sz w:val="21"/>
          <w:szCs w:val="21"/>
        </w:rPr>
        <w:t>备注：供应商应按</w:t>
      </w:r>
      <w:r>
        <w:rPr>
          <w:rFonts w:hint="eastAsia" w:ascii="宋体" w:hAnsi="宋体" w:eastAsia="宋体" w:cs="微软雅黑"/>
          <w:color w:val="auto"/>
          <w:kern w:val="0"/>
          <w:sz w:val="21"/>
          <w:szCs w:val="21"/>
          <w:lang w:eastAsia="zh-CN"/>
        </w:rPr>
        <w:t>磋商</w:t>
      </w:r>
      <w:r>
        <w:rPr>
          <w:rFonts w:hint="eastAsia" w:ascii="宋体" w:hAnsi="宋体" w:eastAsia="宋体" w:cs="微软雅黑"/>
          <w:color w:val="auto"/>
          <w:kern w:val="0"/>
          <w:sz w:val="21"/>
          <w:szCs w:val="21"/>
        </w:rPr>
        <w:t>文件第二章相关要求，对本节</w:t>
      </w:r>
      <w:r>
        <w:rPr>
          <w:rFonts w:hint="eastAsia" w:ascii="宋体" w:hAnsi="宋体" w:eastAsia="宋体"/>
          <w:bCs/>
          <w:color w:val="auto"/>
          <w:kern w:val="2"/>
          <w:sz w:val="21"/>
          <w:szCs w:val="21"/>
        </w:rPr>
        <w:t>“</w:t>
      </w:r>
      <w:r>
        <w:rPr>
          <w:rFonts w:hint="eastAsia" w:ascii="宋体" w:hAnsi="宋体" w:eastAsia="宋体" w:cs="微软雅黑"/>
          <w:color w:val="auto"/>
          <w:kern w:val="0"/>
          <w:sz w:val="21"/>
          <w:szCs w:val="21"/>
        </w:rPr>
        <w:t>分项报价明细表</w:t>
      </w:r>
      <w:r>
        <w:rPr>
          <w:rFonts w:hint="eastAsia" w:ascii="宋体" w:hAnsi="宋体" w:eastAsia="宋体"/>
          <w:bCs/>
          <w:color w:val="auto"/>
          <w:kern w:val="2"/>
          <w:sz w:val="21"/>
          <w:szCs w:val="21"/>
        </w:rPr>
        <w:t>”进行</w:t>
      </w:r>
      <w:r>
        <w:rPr>
          <w:rFonts w:hint="eastAsia" w:ascii="宋体" w:hAnsi="宋体" w:eastAsia="宋体" w:cs="微软雅黑"/>
          <w:color w:val="auto"/>
          <w:kern w:val="0"/>
          <w:sz w:val="21"/>
          <w:szCs w:val="21"/>
        </w:rPr>
        <w:t>编制，并说明。</w:t>
      </w:r>
    </w:p>
    <w:p w14:paraId="4D70A8A4">
      <w:pPr>
        <w:keepNext w:val="0"/>
        <w:keepLines w:val="0"/>
        <w:pageBreakBefore w:val="0"/>
        <w:widowControl w:val="0"/>
        <w:kinsoku/>
        <w:wordWrap/>
        <w:overflowPunct/>
        <w:topLinePunct w:val="0"/>
        <w:autoSpaceDE/>
        <w:autoSpaceDN/>
        <w:bidi w:val="0"/>
        <w:spacing w:before="157" w:beforeLines="50" w:after="157" w:afterLines="50" w:line="360" w:lineRule="auto"/>
        <w:ind w:left="420" w:leftChars="200" w:firstLine="560" w:firstLineChars="200"/>
        <w:jc w:val="both"/>
        <w:textAlignment w:val="auto"/>
        <w:rPr>
          <w:rFonts w:hint="eastAsia" w:ascii="Calibri" w:hAnsi="Calibri" w:eastAsia="宋体" w:cs="Times New Roman"/>
          <w:b/>
          <w:bCs/>
          <w:color w:val="auto"/>
          <w:kern w:val="2"/>
          <w:sz w:val="28"/>
          <w:szCs w:val="28"/>
          <w:lang w:val="en-US" w:eastAsia="zh-CN" w:bidi="ar-SA"/>
        </w:rPr>
      </w:pPr>
    </w:p>
    <w:p w14:paraId="76058DC9">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jc w:val="center"/>
        <w:textAlignment w:val="auto"/>
        <w:rPr>
          <w:rFonts w:hint="eastAsia" w:ascii="宋体" w:hAnsi="宋体" w:eastAsia="宋体" w:cs="宋体"/>
          <w:color w:val="auto"/>
          <w:kern w:val="2"/>
          <w:sz w:val="21"/>
          <w:szCs w:val="21"/>
          <w:lang w:eastAsia="zh-CN"/>
        </w:rPr>
      </w:pPr>
      <w:r>
        <w:rPr>
          <w:rFonts w:hint="eastAsia" w:ascii="黑体" w:hAnsi="宋体" w:eastAsia="黑体" w:cs="微软雅黑"/>
          <w:b/>
          <w:bCs/>
          <w:color w:val="auto"/>
          <w:spacing w:val="-2"/>
          <w:kern w:val="0"/>
          <w:position w:val="-3"/>
          <w:sz w:val="28"/>
          <w:szCs w:val="28"/>
        </w:rPr>
        <w:t>分</w:t>
      </w:r>
      <w:r>
        <w:rPr>
          <w:rFonts w:hint="eastAsia" w:ascii="黑体" w:hAnsi="宋体" w:eastAsia="黑体" w:cs="微软雅黑"/>
          <w:b/>
          <w:bCs/>
          <w:color w:val="auto"/>
          <w:kern w:val="0"/>
          <w:position w:val="-3"/>
          <w:sz w:val="28"/>
          <w:szCs w:val="28"/>
        </w:rPr>
        <w:t>项</w:t>
      </w:r>
      <w:r>
        <w:rPr>
          <w:rFonts w:hint="eastAsia" w:ascii="黑体" w:hAnsi="宋体" w:eastAsia="黑体" w:cs="微软雅黑"/>
          <w:b/>
          <w:bCs/>
          <w:color w:val="auto"/>
          <w:spacing w:val="-2"/>
          <w:kern w:val="0"/>
          <w:position w:val="-3"/>
          <w:sz w:val="28"/>
          <w:szCs w:val="28"/>
        </w:rPr>
        <w:t>报</w:t>
      </w:r>
      <w:r>
        <w:rPr>
          <w:rFonts w:hint="eastAsia" w:ascii="黑体" w:hAnsi="宋体" w:eastAsia="黑体" w:cs="微软雅黑"/>
          <w:b/>
          <w:bCs/>
          <w:color w:val="auto"/>
          <w:kern w:val="0"/>
          <w:position w:val="-3"/>
          <w:sz w:val="28"/>
          <w:szCs w:val="28"/>
        </w:rPr>
        <w:t>价明细表</w:t>
      </w:r>
      <w:r>
        <w:rPr>
          <w:rFonts w:hint="eastAsia" w:ascii="黑体" w:hAnsi="宋体" w:eastAsia="黑体"/>
          <w:b/>
          <w:bCs/>
          <w:color w:val="auto"/>
          <w:kern w:val="2"/>
          <w:sz w:val="28"/>
          <w:szCs w:val="28"/>
          <w:lang w:eastAsia="zh-CN"/>
        </w:rPr>
        <w:t>（货物类适用）</w:t>
      </w:r>
    </w:p>
    <w:p w14:paraId="5643081A">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项目名称：</w:t>
      </w:r>
    </w:p>
    <w:p w14:paraId="73FAAB68">
      <w:pPr>
        <w:widowControl w:val="0"/>
        <w:spacing w:line="360" w:lineRule="auto"/>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采购项目编号：</w:t>
      </w:r>
    </w:p>
    <w:p w14:paraId="5CF9FA33">
      <w:pPr>
        <w:widowControl w:val="0"/>
        <w:spacing w:line="360" w:lineRule="auto"/>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eastAsia="zh-CN"/>
        </w:rPr>
        <w:t>委托代理编号</w:t>
      </w:r>
      <w:r>
        <w:rPr>
          <w:rFonts w:hint="eastAsia" w:ascii="宋体" w:hAnsi="宋体" w:eastAsia="宋体" w:cs="宋体"/>
          <w:color w:val="auto"/>
          <w:kern w:val="2"/>
          <w:sz w:val="21"/>
          <w:szCs w:val="21"/>
        </w:rPr>
        <w:t>：</w:t>
      </w:r>
    </w:p>
    <w:tbl>
      <w:tblPr>
        <w:tblStyle w:val="28"/>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CCFB40E">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3376228B">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0"/>
                <w:position w:val="-1"/>
                <w:sz w:val="21"/>
                <w:szCs w:val="21"/>
              </w:rPr>
            </w:pPr>
            <w:r>
              <w:rPr>
                <w:rFonts w:hint="eastAsia" w:ascii="宋体" w:hAnsi="宋体" w:eastAsia="宋体" w:cs="宋体"/>
                <w:color w:val="auto"/>
                <w:kern w:val="0"/>
                <w:position w:val="-1"/>
                <w:sz w:val="2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56084866">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规格型号</w:t>
            </w:r>
          </w:p>
          <w:p w14:paraId="386F59F2">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noWrap w:val="0"/>
            <w:vAlign w:val="center"/>
          </w:tcPr>
          <w:p w14:paraId="0A6A8358">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品牌/产地</w:t>
            </w:r>
          </w:p>
        </w:tc>
        <w:tc>
          <w:tcPr>
            <w:tcW w:w="1092" w:type="dxa"/>
            <w:vMerge w:val="restart"/>
            <w:tcBorders>
              <w:top w:val="double" w:color="auto" w:sz="4" w:space="0"/>
              <w:left w:val="single" w:color="auto" w:sz="6" w:space="0"/>
              <w:right w:val="single" w:color="auto" w:sz="4" w:space="0"/>
            </w:tcBorders>
            <w:noWrap w:val="0"/>
            <w:vAlign w:val="center"/>
          </w:tcPr>
          <w:p w14:paraId="2594C417">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0"/>
                <w:position w:val="-1"/>
                <w:sz w:val="21"/>
                <w:szCs w:val="21"/>
              </w:rPr>
            </w:pPr>
            <w:r>
              <w:rPr>
                <w:rFonts w:hint="eastAsia" w:ascii="宋体" w:hAnsi="宋体" w:eastAsia="宋体" w:cs="宋体"/>
                <w:color w:val="auto"/>
                <w:kern w:val="0"/>
                <w:sz w:val="21"/>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1D106261">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0"/>
                <w:position w:val="-1"/>
                <w:sz w:val="21"/>
                <w:szCs w:val="21"/>
              </w:rPr>
            </w:pPr>
            <w:r>
              <w:rPr>
                <w:rFonts w:hint="eastAsia" w:ascii="宋体" w:hAnsi="宋体" w:eastAsia="宋体" w:cs="宋体"/>
                <w:color w:val="auto"/>
                <w:kern w:val="0"/>
                <w:position w:val="-1"/>
                <w:sz w:val="2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10072744">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0"/>
                <w:position w:val="-1"/>
                <w:sz w:val="21"/>
                <w:szCs w:val="21"/>
              </w:rPr>
            </w:pPr>
            <w:r>
              <w:rPr>
                <w:rFonts w:hint="eastAsia" w:ascii="宋体" w:hAnsi="宋体" w:eastAsia="宋体" w:cs="宋体"/>
                <w:color w:val="auto"/>
                <w:kern w:val="0"/>
                <w:position w:val="-1"/>
                <w:sz w:val="21"/>
                <w:szCs w:val="21"/>
              </w:rPr>
              <w:t>备注</w:t>
            </w:r>
          </w:p>
        </w:tc>
      </w:tr>
      <w:tr w14:paraId="20928737">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0ACCC645">
            <w:pPr>
              <w:pageBreakBefore w:val="0"/>
              <w:kinsoku/>
              <w:wordWrap/>
              <w:overflowPunct/>
              <w:autoSpaceDE w:val="0"/>
              <w:autoSpaceDN w:val="0"/>
              <w:bidi w:val="0"/>
              <w:adjustRightInd w:val="0"/>
              <w:snapToGrid w:val="0"/>
              <w:spacing w:line="360" w:lineRule="auto"/>
              <w:ind w:left="352" w:right="-20"/>
              <w:jc w:val="left"/>
              <w:rPr>
                <w:rFonts w:hint="eastAsia" w:ascii="宋体" w:hAnsi="宋体" w:eastAsia="宋体" w:cs="宋体"/>
                <w:color w:val="auto"/>
                <w:kern w:val="0"/>
                <w:sz w:val="21"/>
                <w:szCs w:val="21"/>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164D932A">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0"/>
                <w:sz w:val="21"/>
                <w:szCs w:val="21"/>
              </w:rPr>
            </w:pPr>
          </w:p>
        </w:tc>
        <w:tc>
          <w:tcPr>
            <w:tcW w:w="1200" w:type="dxa"/>
            <w:vMerge w:val="continue"/>
            <w:tcBorders>
              <w:top w:val="single" w:color="auto" w:sz="6" w:space="0"/>
              <w:left w:val="single" w:color="auto" w:sz="4" w:space="0"/>
              <w:bottom w:val="single" w:color="auto" w:sz="6" w:space="0"/>
              <w:right w:val="single" w:color="auto" w:sz="6" w:space="0"/>
            </w:tcBorders>
            <w:noWrap w:val="0"/>
            <w:vAlign w:val="center"/>
          </w:tcPr>
          <w:p w14:paraId="752713E2">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0"/>
                <w:sz w:val="21"/>
                <w:szCs w:val="21"/>
              </w:rPr>
            </w:pPr>
          </w:p>
        </w:tc>
        <w:tc>
          <w:tcPr>
            <w:tcW w:w="1092" w:type="dxa"/>
            <w:vMerge w:val="continue"/>
            <w:tcBorders>
              <w:left w:val="single" w:color="auto" w:sz="6" w:space="0"/>
              <w:bottom w:val="single" w:color="auto" w:sz="6" w:space="0"/>
              <w:right w:val="single" w:color="auto" w:sz="4" w:space="0"/>
            </w:tcBorders>
            <w:noWrap w:val="0"/>
            <w:vAlign w:val="center"/>
          </w:tcPr>
          <w:p w14:paraId="1DD81518">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0"/>
                <w:sz w:val="21"/>
                <w:szCs w:val="21"/>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05D25F71">
            <w:pPr>
              <w:pageBreakBefore w:val="0"/>
              <w:kinsoku/>
              <w:wordWrap/>
              <w:overflowPunct/>
              <w:autoSpaceDE w:val="0"/>
              <w:autoSpaceDN w:val="0"/>
              <w:bidi w:val="0"/>
              <w:adjustRightInd w:val="0"/>
              <w:snapToGrid w:val="0"/>
              <w:spacing w:line="360" w:lineRule="auto"/>
              <w:ind w:right="-20"/>
              <w:jc w:val="center"/>
              <w:rPr>
                <w:rFonts w:hint="eastAsia" w:ascii="宋体" w:hAnsi="宋体" w:eastAsia="宋体" w:cs="宋体"/>
                <w:color w:val="auto"/>
                <w:kern w:val="0"/>
                <w:sz w:val="21"/>
                <w:szCs w:val="21"/>
              </w:rPr>
            </w:pPr>
            <w:r>
              <w:rPr>
                <w:rFonts w:hint="eastAsia" w:ascii="宋体" w:hAnsi="宋体" w:eastAsia="宋体" w:cs="宋体"/>
                <w:color w:val="auto"/>
                <w:kern w:val="0"/>
                <w:position w:val="-1"/>
                <w:sz w:val="21"/>
                <w:szCs w:val="21"/>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5B05D4EA">
            <w:pPr>
              <w:pageBreakBefore w:val="0"/>
              <w:kinsoku/>
              <w:wordWrap/>
              <w:overflowPunct/>
              <w:autoSpaceDE w:val="0"/>
              <w:autoSpaceDN w:val="0"/>
              <w:bidi w:val="0"/>
              <w:adjustRightInd w:val="0"/>
              <w:snapToGrid w:val="0"/>
              <w:spacing w:line="360" w:lineRule="auto"/>
              <w:ind w:left="70"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1D6E2BD6">
            <w:pPr>
              <w:pageBreakBefore w:val="0"/>
              <w:kinsoku/>
              <w:wordWrap/>
              <w:overflowPunct/>
              <w:autoSpaceDE w:val="0"/>
              <w:autoSpaceDN w:val="0"/>
              <w:bidi w:val="0"/>
              <w:adjustRightInd w:val="0"/>
              <w:snapToGrid w:val="0"/>
              <w:spacing w:line="360" w:lineRule="auto"/>
              <w:ind w:left="422" w:right="-20"/>
              <w:jc w:val="left"/>
              <w:rPr>
                <w:rFonts w:hint="eastAsia" w:ascii="宋体" w:hAnsi="宋体" w:eastAsia="宋体" w:cs="宋体"/>
                <w:color w:val="auto"/>
                <w:kern w:val="0"/>
                <w:sz w:val="21"/>
                <w:szCs w:val="21"/>
              </w:rPr>
            </w:pPr>
          </w:p>
        </w:tc>
      </w:tr>
      <w:tr w14:paraId="4FEBC14B">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A67AF4C">
            <w:pPr>
              <w:pageBreakBefore w:val="0"/>
              <w:kinsoku/>
              <w:wordWrap/>
              <w:overflowPunct/>
              <w:bidi w:val="0"/>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2109091">
            <w:pPr>
              <w:pageBreakBefore w:val="0"/>
              <w:kinsoku/>
              <w:wordWrap/>
              <w:overflowPunct/>
              <w:autoSpaceDE w:val="0"/>
              <w:autoSpaceDN w:val="0"/>
              <w:bidi w:val="0"/>
              <w:adjustRightInd w:val="0"/>
              <w:snapToGrid w:val="0"/>
              <w:spacing w:line="360" w:lineRule="auto"/>
              <w:jc w:val="center"/>
              <w:rPr>
                <w:rFonts w:hint="eastAsia" w:ascii="宋体" w:hAnsi="宋体" w:eastAsia="宋体" w:cs="宋体"/>
                <w:color w:val="auto"/>
                <w:kern w:val="0"/>
                <w:sz w:val="21"/>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F1EA1DF">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03DADF8B">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08CCCA9D">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0E420133">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FD005E6">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4803A16">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r>
      <w:tr w14:paraId="74C1DB0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55C9910D">
            <w:pPr>
              <w:pageBreakBefore w:val="0"/>
              <w:kinsoku/>
              <w:wordWrap/>
              <w:overflowPunct/>
              <w:bidi w:val="0"/>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057054F3">
            <w:pPr>
              <w:pageBreakBefore w:val="0"/>
              <w:kinsoku/>
              <w:wordWrap/>
              <w:overflowPunct/>
              <w:autoSpaceDE w:val="0"/>
              <w:autoSpaceDN w:val="0"/>
              <w:bidi w:val="0"/>
              <w:adjustRightInd w:val="0"/>
              <w:snapToGrid w:val="0"/>
              <w:spacing w:line="360" w:lineRule="auto"/>
              <w:jc w:val="center"/>
              <w:rPr>
                <w:rFonts w:hint="eastAsia" w:ascii="宋体" w:hAnsi="宋体" w:eastAsia="宋体" w:cs="宋体"/>
                <w:color w:val="auto"/>
                <w:kern w:val="0"/>
                <w:sz w:val="21"/>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8C81EFE">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7A5865D3">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72885E0">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3FAADCFE">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66AB434E">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875837A">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r>
      <w:tr w14:paraId="39FA1DA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64E00843">
            <w:pPr>
              <w:pageBreakBefore w:val="0"/>
              <w:kinsoku/>
              <w:wordWrap/>
              <w:overflowPunct/>
              <w:bidi w:val="0"/>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4A6F519F">
            <w:pPr>
              <w:pageBreakBefore w:val="0"/>
              <w:kinsoku/>
              <w:wordWrap/>
              <w:overflowPunct/>
              <w:autoSpaceDE w:val="0"/>
              <w:autoSpaceDN w:val="0"/>
              <w:bidi w:val="0"/>
              <w:adjustRightInd w:val="0"/>
              <w:snapToGrid w:val="0"/>
              <w:spacing w:line="360" w:lineRule="auto"/>
              <w:jc w:val="center"/>
              <w:rPr>
                <w:rFonts w:hint="eastAsia" w:ascii="宋体" w:hAnsi="宋体" w:eastAsia="宋体" w:cs="宋体"/>
                <w:color w:val="auto"/>
                <w:kern w:val="0"/>
                <w:sz w:val="21"/>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31CB500">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7CAF0314">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D39EEDA">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77D140B3">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CC53BE8">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F5F6389">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r>
      <w:tr w14:paraId="448A57D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7E97DE94">
            <w:pPr>
              <w:pageBreakBefore w:val="0"/>
              <w:kinsoku/>
              <w:wordWrap/>
              <w:overflowPunct/>
              <w:bidi w:val="0"/>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347C92A7">
            <w:pPr>
              <w:pageBreakBefore w:val="0"/>
              <w:kinsoku/>
              <w:wordWrap/>
              <w:overflowPunct/>
              <w:autoSpaceDE w:val="0"/>
              <w:autoSpaceDN w:val="0"/>
              <w:bidi w:val="0"/>
              <w:adjustRightInd w:val="0"/>
              <w:snapToGrid w:val="0"/>
              <w:spacing w:line="360" w:lineRule="auto"/>
              <w:jc w:val="center"/>
              <w:rPr>
                <w:rFonts w:hint="eastAsia" w:ascii="宋体" w:hAnsi="宋体" w:eastAsia="宋体" w:cs="宋体"/>
                <w:color w:val="auto"/>
                <w:kern w:val="0"/>
                <w:sz w:val="21"/>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4CE19C04">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50775AF">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46A0433">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7BFC54F6">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09D61C72">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76CB5E35">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r>
      <w:tr w14:paraId="6799837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1C3D85C">
            <w:pPr>
              <w:pageBreakBefore w:val="0"/>
              <w:kinsoku/>
              <w:wordWrap/>
              <w:overflowPunct/>
              <w:bidi w:val="0"/>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36854DE">
            <w:pPr>
              <w:pageBreakBefore w:val="0"/>
              <w:kinsoku/>
              <w:wordWrap/>
              <w:overflowPunct/>
              <w:autoSpaceDE w:val="0"/>
              <w:autoSpaceDN w:val="0"/>
              <w:bidi w:val="0"/>
              <w:adjustRightInd w:val="0"/>
              <w:snapToGrid w:val="0"/>
              <w:spacing w:line="360" w:lineRule="auto"/>
              <w:jc w:val="center"/>
              <w:rPr>
                <w:rFonts w:hint="eastAsia" w:ascii="宋体" w:hAnsi="宋体" w:eastAsia="宋体" w:cs="宋体"/>
                <w:color w:val="auto"/>
                <w:kern w:val="0"/>
                <w:sz w:val="21"/>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0700995">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0EAB23D7">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4874DB9C">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5B757BDE">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44CA4A93">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2E3FB54">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r>
      <w:tr w14:paraId="54D0F6C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6B35C59F">
            <w:pPr>
              <w:pageBreakBefore w:val="0"/>
              <w:kinsoku/>
              <w:wordWrap/>
              <w:overflowPunct/>
              <w:bidi w:val="0"/>
              <w:spacing w:line="360" w:lineRule="auto"/>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1F3967E2">
            <w:pPr>
              <w:pageBreakBefore w:val="0"/>
              <w:kinsoku/>
              <w:wordWrap/>
              <w:overflowPunct/>
              <w:autoSpaceDE w:val="0"/>
              <w:autoSpaceDN w:val="0"/>
              <w:bidi w:val="0"/>
              <w:adjustRightInd w:val="0"/>
              <w:snapToGrid w:val="0"/>
              <w:spacing w:line="360" w:lineRule="auto"/>
              <w:ind w:left="527" w:right="507"/>
              <w:jc w:val="center"/>
              <w:rPr>
                <w:rFonts w:hint="eastAsia" w:ascii="宋体" w:hAnsi="宋体" w:eastAsia="宋体" w:cs="宋体"/>
                <w:color w:val="auto"/>
                <w:kern w:val="0"/>
                <w:sz w:val="21"/>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672B0612">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17BAF220">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25D09266">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3C7D4475">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00937076">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2BDBE60D">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r>
      <w:tr w14:paraId="6A6CB1E7">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475E9BC5">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position w:val="-1"/>
                <w:sz w:val="21"/>
                <w:szCs w:val="21"/>
              </w:rPr>
              <w:t>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1F009041">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245E01FA">
            <w:pPr>
              <w:pageBreakBefore w:val="0"/>
              <w:kinsoku/>
              <w:wordWrap/>
              <w:overflowPunct/>
              <w:autoSpaceDE w:val="0"/>
              <w:autoSpaceDN w:val="0"/>
              <w:bidi w:val="0"/>
              <w:adjustRightInd w:val="0"/>
              <w:snapToGrid w:val="0"/>
              <w:spacing w:line="360" w:lineRule="auto"/>
              <w:jc w:val="left"/>
              <w:rPr>
                <w:rFonts w:hint="eastAsia" w:ascii="宋体" w:hAnsi="宋体" w:eastAsia="宋体" w:cs="宋体"/>
                <w:color w:val="auto"/>
                <w:kern w:val="0"/>
                <w:sz w:val="21"/>
                <w:szCs w:val="21"/>
              </w:rPr>
            </w:pPr>
          </w:p>
        </w:tc>
      </w:tr>
    </w:tbl>
    <w:p w14:paraId="6DD0E21B">
      <w:pPr>
        <w:pageBreakBefore w:val="0"/>
        <w:kinsoku/>
        <w:wordWrap/>
        <w:overflowPunct/>
        <w:bidi w:val="0"/>
        <w:adjustRightInd w:val="0"/>
        <w:snapToGrid w:val="0"/>
        <w:spacing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备注：（1）</w:t>
      </w:r>
      <w:r>
        <w:rPr>
          <w:rFonts w:hint="eastAsia" w:ascii="宋体" w:hAnsi="宋体" w:eastAsia="宋体" w:cs="宋体"/>
          <w:b/>
          <w:color w:val="auto"/>
          <w:kern w:val="2"/>
          <w:sz w:val="21"/>
          <w:szCs w:val="21"/>
        </w:rPr>
        <w:t>本表应对应</w:t>
      </w:r>
      <w:r>
        <w:rPr>
          <w:rFonts w:hint="eastAsia" w:ascii="宋体" w:hAnsi="宋体" w:eastAsia="宋体" w:cs="宋体"/>
          <w:color w:val="auto"/>
          <w:kern w:val="2"/>
          <w:sz w:val="21"/>
          <w:szCs w:val="21"/>
        </w:rPr>
        <w:t>“</w:t>
      </w:r>
      <w:r>
        <w:rPr>
          <w:rFonts w:hint="eastAsia" w:ascii="宋体" w:hAnsi="宋体" w:eastAsia="宋体" w:cs="宋体"/>
          <w:b/>
          <w:color w:val="auto"/>
          <w:kern w:val="2"/>
          <w:sz w:val="21"/>
          <w:szCs w:val="21"/>
        </w:rPr>
        <w:t>报价</w:t>
      </w:r>
      <w:r>
        <w:rPr>
          <w:rFonts w:hint="eastAsia" w:ascii="宋体" w:hAnsi="宋体" w:eastAsia="宋体" w:cs="宋体"/>
          <w:b/>
          <w:color w:val="auto"/>
          <w:kern w:val="2"/>
          <w:sz w:val="21"/>
          <w:szCs w:val="21"/>
          <w:lang w:val="en-US" w:eastAsia="zh-CN"/>
        </w:rPr>
        <w:t>一览</w:t>
      </w:r>
      <w:r>
        <w:rPr>
          <w:rFonts w:hint="eastAsia" w:ascii="宋体" w:hAnsi="宋体" w:eastAsia="宋体" w:cs="宋体"/>
          <w:b/>
          <w:color w:val="auto"/>
          <w:kern w:val="2"/>
          <w:sz w:val="21"/>
          <w:szCs w:val="21"/>
        </w:rPr>
        <w:t>表</w:t>
      </w:r>
      <w:r>
        <w:rPr>
          <w:rFonts w:hint="eastAsia" w:ascii="宋体" w:hAnsi="宋体" w:eastAsia="宋体" w:cs="宋体"/>
          <w:color w:val="auto"/>
          <w:kern w:val="2"/>
          <w:sz w:val="21"/>
          <w:szCs w:val="21"/>
        </w:rPr>
        <w:t>”</w:t>
      </w:r>
      <w:r>
        <w:rPr>
          <w:rFonts w:hint="eastAsia" w:ascii="宋体" w:hAnsi="宋体" w:eastAsia="宋体" w:cs="宋体"/>
          <w:b/>
          <w:color w:val="auto"/>
          <w:kern w:val="2"/>
          <w:sz w:val="21"/>
          <w:szCs w:val="21"/>
        </w:rPr>
        <w:t>，按包填写</w:t>
      </w:r>
      <w:r>
        <w:rPr>
          <w:rFonts w:hint="eastAsia" w:ascii="宋体" w:hAnsi="宋体" w:eastAsia="宋体" w:cs="宋体"/>
          <w:color w:val="auto"/>
          <w:kern w:val="2"/>
          <w:sz w:val="21"/>
          <w:szCs w:val="21"/>
        </w:rPr>
        <w:t>。供应商如果不提供分项报价明细表，其</w:t>
      </w:r>
      <w:r>
        <w:rPr>
          <w:rFonts w:hint="eastAsia" w:ascii="宋体" w:hAnsi="宋体" w:eastAsia="宋体" w:cs="宋体"/>
          <w:b/>
          <w:color w:val="auto"/>
          <w:kern w:val="2"/>
          <w:sz w:val="21"/>
          <w:szCs w:val="21"/>
        </w:rPr>
        <w:t>响应无效</w:t>
      </w:r>
      <w:r>
        <w:rPr>
          <w:rFonts w:hint="eastAsia" w:ascii="宋体" w:hAnsi="宋体" w:eastAsia="宋体" w:cs="宋体"/>
          <w:color w:val="auto"/>
          <w:kern w:val="2"/>
          <w:sz w:val="21"/>
          <w:szCs w:val="21"/>
        </w:rPr>
        <w:t>。</w:t>
      </w:r>
    </w:p>
    <w:p w14:paraId="5B76FB69">
      <w:pPr>
        <w:pageBreakBefore w:val="0"/>
        <w:kinsoku/>
        <w:wordWrap/>
        <w:overflowPunct/>
        <w:bidi w:val="0"/>
        <w:adjustRightInd w:val="0"/>
        <w:snapToGrid w:val="0"/>
        <w:spacing w:line="360" w:lineRule="auto"/>
        <w:ind w:firstLine="420" w:firstLineChars="200"/>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（2）不得填写“免费”或“赠与”，也不得进行“零”报价，否则</w:t>
      </w:r>
      <w:r>
        <w:rPr>
          <w:rFonts w:hint="eastAsia" w:ascii="宋体" w:hAnsi="宋体" w:eastAsia="宋体" w:cs="宋体"/>
          <w:b/>
          <w:color w:val="000000"/>
          <w:kern w:val="2"/>
          <w:sz w:val="21"/>
          <w:szCs w:val="21"/>
        </w:rPr>
        <w:t>响应无效</w:t>
      </w:r>
      <w:r>
        <w:rPr>
          <w:rFonts w:hint="eastAsia" w:ascii="宋体" w:hAnsi="宋体" w:eastAsia="宋体" w:cs="宋体"/>
          <w:color w:val="000000"/>
          <w:kern w:val="2"/>
          <w:sz w:val="21"/>
          <w:szCs w:val="21"/>
        </w:rPr>
        <w:t>。</w:t>
      </w:r>
    </w:p>
    <w:p w14:paraId="763396EF">
      <w:pPr>
        <w:pStyle w:val="45"/>
        <w:rPr>
          <w:rFonts w:hint="eastAsia" w:ascii="仿宋_GB2312" w:hAnsi="宋体" w:eastAsia="仿宋_GB2312"/>
          <w:szCs w:val="21"/>
        </w:rPr>
      </w:pPr>
    </w:p>
    <w:p w14:paraId="14DA34B5">
      <w:pPr>
        <w:pStyle w:val="45"/>
        <w:rPr>
          <w:rFonts w:hint="eastAsia" w:ascii="仿宋_GB2312" w:hAnsi="宋体" w:eastAsia="仿宋_GB2312"/>
          <w:szCs w:val="21"/>
        </w:rPr>
      </w:pPr>
    </w:p>
    <w:p w14:paraId="29D3A05E">
      <w:pPr>
        <w:adjustRightInd w:val="0"/>
        <w:snapToGrid w:val="0"/>
        <w:spacing w:line="360" w:lineRule="auto"/>
        <w:rPr>
          <w:rFonts w:hint="eastAsia" w:ascii="宋体" w:hAnsi="宋体" w:cs="宋体"/>
          <w:szCs w:val="21"/>
        </w:rPr>
      </w:pPr>
      <w:r>
        <w:rPr>
          <w:rFonts w:hint="eastAsia" w:ascii="宋体" w:hAnsi="宋体" w:eastAsia="宋体" w:cs="宋体"/>
          <w:color w:val="000000"/>
          <w:kern w:val="2"/>
          <w:sz w:val="21"/>
          <w:szCs w:val="21"/>
        </w:rPr>
        <w:t>供应商名称</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eastAsia="zh-CN"/>
        </w:rPr>
        <w:t>盖单位公章</w:t>
      </w:r>
      <w:r>
        <w:rPr>
          <w:rFonts w:hint="eastAsia" w:ascii="宋体" w:hAnsi="宋体" w:eastAsia="宋体" w:cs="宋体"/>
          <w:color w:val="000000"/>
          <w:szCs w:val="21"/>
          <w:highlight w:val="none"/>
        </w:rPr>
        <w:t>）</w:t>
      </w:r>
      <w:r>
        <w:rPr>
          <w:rFonts w:hint="eastAsia" w:ascii="宋体" w:hAnsi="宋体" w:cs="宋体"/>
          <w:szCs w:val="21"/>
        </w:rPr>
        <w:t>：</w:t>
      </w:r>
    </w:p>
    <w:p w14:paraId="631CA9F8">
      <w:pPr>
        <w:adjustRightInd w:val="0"/>
        <w:snapToGrid w:val="0"/>
        <w:spacing w:line="360" w:lineRule="auto"/>
        <w:rPr>
          <w:rFonts w:hint="eastAsia" w:ascii="宋体" w:hAnsi="宋体" w:cs="宋体" w:eastAsiaTheme="minorEastAsia"/>
          <w:szCs w:val="21"/>
          <w:lang w:eastAsia="zh-CN"/>
        </w:rPr>
      </w:pPr>
      <w:r>
        <w:rPr>
          <w:rFonts w:hint="eastAsia" w:ascii="宋体" w:hAnsi="宋体" w:cs="宋体"/>
          <w:szCs w:val="21"/>
        </w:rPr>
        <w:t>法定代表人或其委托代理人签字：</w:t>
      </w:r>
    </w:p>
    <w:p w14:paraId="48D65C9C">
      <w:pPr>
        <w:adjustRightInd w:val="0"/>
        <w:snapToGrid w:val="0"/>
        <w:spacing w:line="360" w:lineRule="auto"/>
        <w:rPr>
          <w:rFonts w:hint="eastAsia" w:ascii="宋体" w:hAnsi="宋体" w:eastAsia="宋体" w:cs="宋体"/>
          <w:szCs w:val="21"/>
        </w:rPr>
        <w:sectPr>
          <w:footerReference r:id="rId7" w:type="default"/>
          <w:pgSz w:w="11906" w:h="16838"/>
          <w:pgMar w:top="232" w:right="1587" w:bottom="1474" w:left="1474" w:header="851" w:footer="992" w:gutter="0"/>
          <w:pgNumType w:fmt="numberInDash"/>
          <w:cols w:space="720" w:num="1"/>
          <w:docGrid w:type="linesAndChars" w:linePitch="315" w:charSpace="121"/>
        </w:sectPr>
      </w:pPr>
      <w:r>
        <w:rPr>
          <w:rFonts w:hint="eastAsia" w:ascii="宋体" w:hAnsi="宋体" w:cs="宋体"/>
          <w:szCs w:val="21"/>
        </w:rPr>
        <w:t>日期：年月日</w:t>
      </w:r>
    </w:p>
    <w:p w14:paraId="184B9805">
      <w:pPr>
        <w:adjustRightInd w:val="0"/>
        <w:snapToGrid w:val="0"/>
        <w:spacing w:line="360" w:lineRule="auto"/>
        <w:jc w:val="both"/>
        <w:rPr>
          <w:rFonts w:hint="eastAsia" w:ascii="黑体" w:eastAsia="黑体"/>
          <w:b/>
          <w:color w:val="auto"/>
          <w:sz w:val="32"/>
          <w:szCs w:val="32"/>
          <w:lang w:eastAsia="zh-CN"/>
        </w:rPr>
      </w:pPr>
    </w:p>
    <w:p w14:paraId="45A47E99">
      <w:pPr>
        <w:adjustRightInd w:val="0"/>
        <w:snapToGrid w:val="0"/>
        <w:spacing w:line="360" w:lineRule="auto"/>
        <w:jc w:val="center"/>
        <w:outlineLvl w:val="1"/>
        <w:rPr>
          <w:rFonts w:ascii="宋体" w:hAnsi="宋体" w:eastAsia="宋体" w:cs="Times New Roman"/>
          <w:kern w:val="2"/>
          <w:sz w:val="28"/>
          <w:szCs w:val="28"/>
        </w:rPr>
      </w:pPr>
      <w:bookmarkStart w:id="268" w:name="_Toc1590"/>
      <w:bookmarkStart w:id="269" w:name="_Toc9818"/>
      <w:r>
        <w:rPr>
          <w:rFonts w:hint="eastAsia" w:ascii="宋体" w:hAnsi="宋体" w:eastAsia="宋体" w:cs="Times New Roman"/>
          <w:b/>
          <w:bCs/>
          <w:kern w:val="2"/>
          <w:sz w:val="32"/>
          <w:szCs w:val="32"/>
          <w:lang w:eastAsia="zh-CN"/>
        </w:rPr>
        <w:t>九</w:t>
      </w:r>
      <w:r>
        <w:rPr>
          <w:rFonts w:hint="eastAsia" w:ascii="宋体" w:hAnsi="宋体" w:eastAsia="宋体" w:cs="Times New Roman"/>
          <w:b/>
          <w:bCs/>
          <w:kern w:val="2"/>
          <w:sz w:val="32"/>
          <w:szCs w:val="32"/>
        </w:rPr>
        <w:t>、</w:t>
      </w:r>
      <w:bookmarkEnd w:id="268"/>
      <w:bookmarkEnd w:id="269"/>
      <w:r>
        <w:rPr>
          <w:rFonts w:hint="eastAsia" w:ascii="宋体" w:hAnsi="宋体" w:eastAsia="宋体" w:cs="Times New Roman"/>
          <w:b/>
          <w:bCs/>
          <w:kern w:val="2"/>
          <w:sz w:val="32"/>
          <w:szCs w:val="32"/>
        </w:rPr>
        <w:t>供应商认为需要提供的其它资料</w:t>
      </w:r>
    </w:p>
    <w:p w14:paraId="3F275EF3">
      <w:pPr>
        <w:adjustRightInd w:val="0"/>
        <w:snapToGrid w:val="0"/>
        <w:spacing w:before="120" w:beforeLines="50" w:line="360" w:lineRule="auto"/>
        <w:jc w:val="center"/>
        <w:rPr>
          <w:rFonts w:ascii="宋体" w:hAnsi="宋体" w:eastAsia="宋体" w:cs="Times New Roman"/>
          <w:b/>
          <w:kern w:val="2"/>
          <w:sz w:val="24"/>
          <w:szCs w:val="22"/>
        </w:rPr>
      </w:pPr>
      <w:r>
        <w:rPr>
          <w:rFonts w:hint="eastAsia" w:ascii="宋体" w:hAnsi="宋体" w:eastAsia="宋体" w:cs="Times New Roman"/>
          <w:b/>
          <w:kern w:val="2"/>
          <w:sz w:val="24"/>
          <w:szCs w:val="22"/>
        </w:rPr>
        <w:t>（包括磋商标准中需提供的相关证明材料）</w:t>
      </w:r>
    </w:p>
    <w:p w14:paraId="5D83159C">
      <w:pPr>
        <w:adjustRightInd w:val="0"/>
        <w:snapToGrid w:val="0"/>
        <w:spacing w:before="157" w:beforeLines="50" w:line="360" w:lineRule="auto"/>
        <w:jc w:val="center"/>
        <w:outlineLvl w:val="9"/>
        <w:rPr>
          <w:rFonts w:hint="eastAsia" w:ascii="黑体" w:hAnsi="宋体" w:eastAsia="黑体"/>
          <w:b/>
          <w:color w:val="auto"/>
          <w:sz w:val="32"/>
          <w:szCs w:val="32"/>
        </w:rPr>
      </w:pPr>
    </w:p>
    <w:p w14:paraId="7E99CA77">
      <w:pPr>
        <w:adjustRightInd w:val="0"/>
        <w:snapToGrid w:val="0"/>
        <w:spacing w:before="157" w:beforeLines="50" w:line="360" w:lineRule="auto"/>
        <w:jc w:val="center"/>
        <w:outlineLvl w:val="9"/>
        <w:rPr>
          <w:rFonts w:hint="eastAsia" w:ascii="黑体" w:hAnsi="宋体" w:eastAsia="黑体"/>
          <w:b/>
          <w:color w:val="auto"/>
          <w:sz w:val="32"/>
          <w:szCs w:val="32"/>
        </w:rPr>
      </w:pPr>
    </w:p>
    <w:p w14:paraId="55A9170E">
      <w:pPr>
        <w:adjustRightInd w:val="0"/>
        <w:snapToGrid w:val="0"/>
        <w:spacing w:before="157" w:beforeLines="50" w:line="360" w:lineRule="auto"/>
        <w:jc w:val="center"/>
        <w:outlineLvl w:val="9"/>
        <w:rPr>
          <w:rFonts w:hint="eastAsia" w:ascii="黑体" w:hAnsi="宋体" w:eastAsia="黑体"/>
          <w:b/>
          <w:color w:val="auto"/>
          <w:sz w:val="32"/>
          <w:szCs w:val="32"/>
        </w:rPr>
      </w:pPr>
    </w:p>
    <w:p w14:paraId="1F495378">
      <w:pPr>
        <w:adjustRightInd w:val="0"/>
        <w:snapToGrid w:val="0"/>
        <w:spacing w:before="157" w:beforeLines="50" w:line="360" w:lineRule="auto"/>
        <w:jc w:val="center"/>
        <w:outlineLvl w:val="9"/>
        <w:rPr>
          <w:rFonts w:hint="eastAsia" w:ascii="黑体" w:hAnsi="宋体" w:eastAsia="黑体"/>
          <w:b/>
          <w:color w:val="auto"/>
          <w:sz w:val="32"/>
          <w:szCs w:val="32"/>
        </w:rPr>
      </w:pPr>
    </w:p>
    <w:p w14:paraId="672FB6A6">
      <w:pPr>
        <w:adjustRightInd w:val="0"/>
        <w:snapToGrid w:val="0"/>
        <w:spacing w:before="157" w:beforeLines="50" w:line="360" w:lineRule="auto"/>
        <w:jc w:val="center"/>
        <w:outlineLvl w:val="9"/>
        <w:rPr>
          <w:rFonts w:hint="eastAsia" w:ascii="黑体" w:hAnsi="宋体" w:eastAsia="黑体"/>
          <w:b/>
          <w:color w:val="auto"/>
          <w:sz w:val="32"/>
          <w:szCs w:val="32"/>
        </w:rPr>
      </w:pPr>
    </w:p>
    <w:p w14:paraId="55BEE421">
      <w:pPr>
        <w:adjustRightInd w:val="0"/>
        <w:snapToGrid w:val="0"/>
        <w:spacing w:before="157" w:beforeLines="50" w:line="360" w:lineRule="auto"/>
        <w:jc w:val="center"/>
        <w:outlineLvl w:val="9"/>
        <w:rPr>
          <w:rFonts w:hint="eastAsia" w:ascii="黑体" w:hAnsi="宋体" w:eastAsia="黑体"/>
          <w:b/>
          <w:color w:val="auto"/>
          <w:sz w:val="32"/>
          <w:szCs w:val="32"/>
        </w:rPr>
      </w:pPr>
    </w:p>
    <w:p w14:paraId="5002FA7C">
      <w:pPr>
        <w:adjustRightInd w:val="0"/>
        <w:snapToGrid w:val="0"/>
        <w:spacing w:before="157" w:beforeLines="50" w:line="360" w:lineRule="auto"/>
        <w:jc w:val="center"/>
        <w:outlineLvl w:val="9"/>
        <w:rPr>
          <w:rFonts w:hint="eastAsia" w:ascii="黑体" w:hAnsi="宋体" w:eastAsia="黑体"/>
          <w:b/>
          <w:color w:val="auto"/>
          <w:sz w:val="32"/>
          <w:szCs w:val="32"/>
        </w:rPr>
      </w:pPr>
    </w:p>
    <w:p w14:paraId="3606D247">
      <w:pPr>
        <w:adjustRightInd w:val="0"/>
        <w:snapToGrid w:val="0"/>
        <w:spacing w:before="157" w:beforeLines="50" w:line="360" w:lineRule="auto"/>
        <w:jc w:val="center"/>
        <w:outlineLvl w:val="0"/>
        <w:rPr>
          <w:rFonts w:hint="eastAsia" w:ascii="黑体" w:hAnsi="宋体" w:eastAsia="黑体"/>
          <w:b/>
          <w:color w:val="auto"/>
          <w:sz w:val="32"/>
          <w:szCs w:val="32"/>
        </w:rPr>
      </w:pPr>
      <w:r>
        <w:rPr>
          <w:rFonts w:hint="eastAsia" w:ascii="黑体" w:hAnsi="宋体" w:eastAsia="黑体"/>
          <w:b/>
          <w:color w:val="auto"/>
          <w:sz w:val="32"/>
          <w:szCs w:val="32"/>
        </w:rPr>
        <w:br w:type="page"/>
      </w:r>
      <w:bookmarkStart w:id="270" w:name="_Toc8674"/>
      <w:bookmarkStart w:id="271" w:name="_Toc21639"/>
      <w:bookmarkStart w:id="272" w:name="_Toc29053"/>
      <w:bookmarkStart w:id="273" w:name="_Toc2138"/>
      <w:r>
        <w:rPr>
          <w:rStyle w:val="88"/>
          <w:rFonts w:hint="eastAsia"/>
          <w:lang w:eastAsia="zh-CN"/>
        </w:rPr>
        <w:t>十</w:t>
      </w:r>
      <w:r>
        <w:rPr>
          <w:rStyle w:val="88"/>
          <w:rFonts w:hint="eastAsia"/>
        </w:rPr>
        <w:t>、最后报价</w:t>
      </w:r>
      <w:bookmarkEnd w:id="270"/>
      <w:bookmarkEnd w:id="271"/>
      <w:bookmarkEnd w:id="272"/>
      <w:bookmarkEnd w:id="273"/>
    </w:p>
    <w:p w14:paraId="55D9731E">
      <w:pPr>
        <w:adjustRightInd w:val="0"/>
        <w:snapToGrid w:val="0"/>
        <w:ind w:left="-88" w:leftChars="-42"/>
        <w:rPr>
          <w:rFonts w:hint="eastAsia" w:ascii="宋体" w:hAnsi="宋体"/>
          <w:color w:val="auto"/>
          <w:szCs w:val="21"/>
        </w:rPr>
      </w:pPr>
    </w:p>
    <w:p w14:paraId="60DB8823">
      <w:pPr>
        <w:pageBreakBefore w:val="0"/>
        <w:kinsoku/>
        <w:wordWrap/>
        <w:overflowPunct/>
        <w:bidi w:val="0"/>
        <w:adjustRightInd w:val="0"/>
        <w:snapToGrid w:val="0"/>
        <w:spacing w:before="156" w:beforeLines="50" w:line="360" w:lineRule="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项目名称：</w:t>
      </w:r>
    </w:p>
    <w:p w14:paraId="485E830C">
      <w:pPr>
        <w:widowControl w:val="0"/>
        <w:spacing w:line="360" w:lineRule="auto"/>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采购项目编号：</w:t>
      </w:r>
    </w:p>
    <w:p w14:paraId="2A65864F">
      <w:pPr>
        <w:pageBreakBefore w:val="0"/>
        <w:kinsoku/>
        <w:wordWrap/>
        <w:overflowPunct/>
        <w:bidi w:val="0"/>
        <w:adjustRightInd w:val="0"/>
        <w:snapToGrid w:val="0"/>
        <w:spacing w:before="156" w:beforeLines="50" w:line="360" w:lineRule="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val="en-US" w:eastAsia="zh-CN"/>
        </w:rPr>
        <w:t>委托代理</w:t>
      </w:r>
      <w:r>
        <w:rPr>
          <w:rFonts w:hint="eastAsia" w:ascii="宋体" w:hAnsi="宋体" w:eastAsia="宋体" w:cs="宋体"/>
          <w:color w:val="auto"/>
          <w:kern w:val="2"/>
          <w:sz w:val="21"/>
          <w:szCs w:val="21"/>
        </w:rPr>
        <w:t>编号：</w:t>
      </w:r>
    </w:p>
    <w:tbl>
      <w:tblPr>
        <w:tblStyle w:val="2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6100E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67829C58">
            <w:pPr>
              <w:pageBreakBefore w:val="0"/>
              <w:kinsoku/>
              <w:wordWrap/>
              <w:overflowPunct/>
              <w:bidi w:val="0"/>
              <w:adjustRightInd w:val="0"/>
              <w:snapToGrid w:val="0"/>
              <w:spacing w:before="156"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报价</w:t>
            </w:r>
          </w:p>
        </w:tc>
        <w:tc>
          <w:tcPr>
            <w:tcW w:w="3119" w:type="dxa"/>
            <w:noWrap w:val="0"/>
            <w:vAlign w:val="center"/>
          </w:tcPr>
          <w:p w14:paraId="067AF4A7">
            <w:pPr>
              <w:pageBreakBefore w:val="0"/>
              <w:kinsoku/>
              <w:wordWrap/>
              <w:overflowPunct/>
              <w:bidi w:val="0"/>
              <w:adjustRightInd w:val="0"/>
              <w:snapToGrid w:val="0"/>
              <w:spacing w:before="156"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其他内容</w:t>
            </w:r>
          </w:p>
        </w:tc>
      </w:tr>
      <w:tr w14:paraId="68DF7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5B66F42C">
            <w:pPr>
              <w:pageBreakBefore w:val="0"/>
              <w:kinsoku/>
              <w:wordWrap/>
              <w:overflowPunct/>
              <w:bidi w:val="0"/>
              <w:adjustRightInd w:val="0"/>
              <w:snapToGrid w:val="0"/>
              <w:spacing w:before="156" w:beforeLines="50"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小写金额：</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（人民币元）</w:t>
            </w:r>
          </w:p>
          <w:p w14:paraId="7A8F3840">
            <w:pPr>
              <w:pageBreakBefore w:val="0"/>
              <w:kinsoku/>
              <w:wordWrap/>
              <w:overflowPunct/>
              <w:bidi w:val="0"/>
              <w:adjustRightInd w:val="0"/>
              <w:snapToGrid w:val="0"/>
              <w:spacing w:before="156" w:beforeLines="50" w:line="360" w:lineRule="auto"/>
              <w:jc w:val="center"/>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大写金额：</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（人民币元）</w:t>
            </w:r>
          </w:p>
          <w:p w14:paraId="2940CA6D">
            <w:pPr>
              <w:pageBreakBefore w:val="0"/>
              <w:kinsoku/>
              <w:wordWrap/>
              <w:overflowPunct/>
              <w:bidi w:val="0"/>
              <w:adjustRightInd w:val="0"/>
              <w:snapToGrid w:val="0"/>
              <w:spacing w:before="156" w:beforeLines="50"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（大写金额与小写金额不一致时，以大写金额为准）</w:t>
            </w:r>
          </w:p>
        </w:tc>
        <w:tc>
          <w:tcPr>
            <w:tcW w:w="3119" w:type="dxa"/>
            <w:noWrap w:val="0"/>
            <w:vAlign w:val="center"/>
          </w:tcPr>
          <w:p w14:paraId="78A19055">
            <w:pPr>
              <w:pageBreakBefore w:val="0"/>
              <w:kinsoku/>
              <w:wordWrap/>
              <w:overflowPunct/>
              <w:bidi w:val="0"/>
              <w:adjustRightInd w:val="0"/>
              <w:snapToGrid w:val="0"/>
              <w:spacing w:before="156" w:beforeLines="50" w:line="360" w:lineRule="auto"/>
              <w:jc w:val="center"/>
              <w:rPr>
                <w:rFonts w:hint="eastAsia" w:ascii="宋体" w:hAnsi="宋体" w:eastAsia="宋体" w:cs="宋体"/>
                <w:color w:val="auto"/>
                <w:kern w:val="0"/>
                <w:sz w:val="21"/>
                <w:szCs w:val="21"/>
              </w:rPr>
            </w:pPr>
          </w:p>
        </w:tc>
      </w:tr>
    </w:tbl>
    <w:p w14:paraId="750E02DB">
      <w:pPr>
        <w:pageBreakBefore w:val="0"/>
        <w:kinsoku/>
        <w:wordWrap/>
        <w:overflowPunct/>
        <w:bidi w:val="0"/>
        <w:adjustRightInd w:val="0"/>
        <w:snapToGrid w:val="0"/>
        <w:spacing w:before="156" w:beforeLines="50" w:line="360" w:lineRule="auto"/>
        <w:rPr>
          <w:rFonts w:hint="eastAsia" w:ascii="宋体" w:hAnsi="宋体" w:eastAsia="宋体" w:cs="宋体"/>
          <w:color w:val="auto"/>
          <w:kern w:val="2"/>
          <w:sz w:val="21"/>
          <w:szCs w:val="21"/>
        </w:rPr>
      </w:pPr>
      <w:r>
        <w:rPr>
          <w:rFonts w:hint="eastAsia" w:ascii="宋体" w:hAnsi="宋体" w:eastAsia="宋体" w:cs="宋体"/>
          <w:b/>
          <w:color w:val="auto"/>
          <w:kern w:val="2"/>
          <w:sz w:val="21"/>
          <w:szCs w:val="21"/>
        </w:rPr>
        <w:t>备注：</w:t>
      </w:r>
      <w:r>
        <w:rPr>
          <w:rFonts w:hint="eastAsia" w:ascii="宋体" w:hAnsi="宋体" w:eastAsia="宋体" w:cs="宋体"/>
          <w:color w:val="auto"/>
          <w:kern w:val="2"/>
          <w:sz w:val="21"/>
          <w:szCs w:val="21"/>
        </w:rPr>
        <w:t>（1）本表须按包填写，一个“包号”一份。</w:t>
      </w:r>
    </w:p>
    <w:p w14:paraId="4E16DD16">
      <w:pPr>
        <w:adjustRightInd w:val="0"/>
        <w:snapToGrid w:val="0"/>
        <w:spacing w:line="360" w:lineRule="auto"/>
        <w:ind w:left="-88" w:leftChars="-42"/>
        <w:rPr>
          <w:rFonts w:ascii="宋体" w:hAnsi="宋体" w:eastAsia="宋体" w:cs="Times New Roman"/>
          <w:kern w:val="2"/>
          <w:szCs w:val="21"/>
        </w:rPr>
      </w:pPr>
    </w:p>
    <w:p w14:paraId="6D3419C4">
      <w:pPr>
        <w:adjustRightInd w:val="0"/>
        <w:snapToGrid w:val="0"/>
        <w:spacing w:line="360" w:lineRule="auto"/>
        <w:rPr>
          <w:rFonts w:ascii="宋体" w:hAnsi="宋体" w:eastAsia="宋体" w:cs="Times New Roman"/>
          <w:kern w:val="2"/>
          <w:szCs w:val="21"/>
        </w:rPr>
      </w:pPr>
    </w:p>
    <w:p w14:paraId="79379204">
      <w:pPr>
        <w:adjustRightInd w:val="0"/>
        <w:snapToGrid w:val="0"/>
        <w:spacing w:line="360" w:lineRule="auto"/>
        <w:rPr>
          <w:rFonts w:ascii="宋体" w:hAnsi="宋体" w:eastAsia="宋体" w:cs="Times New Roman"/>
          <w:kern w:val="2"/>
          <w:szCs w:val="21"/>
          <w:u w:val="single"/>
        </w:rPr>
      </w:pPr>
      <w:r>
        <w:rPr>
          <w:rFonts w:hint="eastAsia" w:ascii="宋体" w:hAnsi="宋体" w:eastAsia="宋体" w:cs="宋体"/>
          <w:color w:val="000000"/>
          <w:kern w:val="2"/>
          <w:sz w:val="21"/>
          <w:szCs w:val="21"/>
        </w:rPr>
        <w:t>供应商名称</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eastAsia="zh-CN"/>
        </w:rPr>
        <w:t>盖单位公章</w:t>
      </w:r>
      <w:r>
        <w:rPr>
          <w:rFonts w:hint="eastAsia" w:ascii="宋体" w:hAnsi="宋体" w:eastAsia="宋体" w:cs="宋体"/>
          <w:color w:val="000000"/>
          <w:szCs w:val="21"/>
          <w:highlight w:val="none"/>
        </w:rPr>
        <w:t>）</w:t>
      </w:r>
      <w:r>
        <w:rPr>
          <w:rFonts w:hint="eastAsia" w:ascii="宋体" w:hAnsi="宋体" w:eastAsia="宋体" w:cs="Times New Roman"/>
          <w:kern w:val="2"/>
          <w:szCs w:val="21"/>
        </w:rPr>
        <w:t>：</w:t>
      </w:r>
    </w:p>
    <w:p w14:paraId="5ECD6E25">
      <w:pPr>
        <w:adjustRightInd w:val="0"/>
        <w:snapToGrid w:val="0"/>
        <w:spacing w:line="360" w:lineRule="auto"/>
        <w:rPr>
          <w:rFonts w:hint="eastAsia" w:ascii="宋体" w:hAnsi="宋体" w:eastAsia="宋体" w:cs="Times New Roman"/>
          <w:kern w:val="2"/>
          <w:szCs w:val="21"/>
          <w:lang w:eastAsia="zh-CN"/>
        </w:rPr>
      </w:pPr>
      <w:r>
        <w:rPr>
          <w:rFonts w:hint="eastAsia" w:ascii="宋体" w:hAnsi="宋体" w:eastAsia="宋体" w:cs="Times New Roman"/>
          <w:kern w:val="2"/>
          <w:szCs w:val="21"/>
        </w:rPr>
        <w:t>法定代表人或其委托代理人签字：</w:t>
      </w:r>
    </w:p>
    <w:p w14:paraId="33125422">
      <w:pPr>
        <w:adjustRightInd w:val="0"/>
        <w:snapToGrid w:val="0"/>
        <w:spacing w:line="360" w:lineRule="auto"/>
        <w:rPr>
          <w:rFonts w:ascii="宋体" w:hAnsi="宋体" w:eastAsia="宋体" w:cs="Times New Roman"/>
          <w:kern w:val="2"/>
          <w:szCs w:val="21"/>
        </w:rPr>
      </w:pPr>
      <w:r>
        <w:rPr>
          <w:rFonts w:hint="eastAsia" w:ascii="宋体" w:hAnsi="宋体" w:eastAsia="宋体" w:cs="Times New Roman"/>
          <w:kern w:val="2"/>
          <w:szCs w:val="21"/>
        </w:rPr>
        <w:t>日期：年月日</w:t>
      </w:r>
    </w:p>
    <w:p w14:paraId="23B58A08">
      <w:pPr>
        <w:adjustRightInd w:val="0"/>
        <w:snapToGrid w:val="0"/>
        <w:rPr>
          <w:rFonts w:hint="eastAsia" w:ascii="黑体" w:hAnsi="宋体" w:eastAsia="黑体" w:cs="Times New Roman"/>
          <w:sz w:val="30"/>
          <w:szCs w:val="30"/>
        </w:rPr>
      </w:pPr>
    </w:p>
    <w:p w14:paraId="412FE4E4">
      <w:pPr>
        <w:snapToGrid w:val="0"/>
        <w:spacing w:line="360" w:lineRule="auto"/>
        <w:rPr>
          <w:rStyle w:val="84"/>
          <w:rFonts w:ascii="宋体" w:hAnsi="宋体"/>
          <w:color w:val="auto"/>
          <w:szCs w:val="21"/>
          <w:u w:val="single"/>
        </w:rPr>
      </w:pPr>
      <w:r>
        <w:rPr>
          <w:rStyle w:val="84"/>
          <w:rFonts w:ascii="宋体" w:hAnsi="宋体"/>
          <w:b/>
          <w:color w:val="auto"/>
          <w:szCs w:val="21"/>
        </w:rPr>
        <w:t>备注：</w:t>
      </w:r>
    </w:p>
    <w:p w14:paraId="5FACE052">
      <w:pPr>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磋商小组认为投标人的报价明显低于其他通过符合性审查投标人的报价，有可能影响服务质量或者不能诚信履约的，应当要求其在评标现场合理的时间内提供书面说明，必要时提交相关证明材料；投标人不能证明其报价合理性的，磋商小组应当将其作为无效投标处理。</w:t>
      </w:r>
    </w:p>
    <w:p w14:paraId="5FCCDF1A">
      <w:pPr>
        <w:adjustRightInd w:val="0"/>
        <w:snapToGrid w:val="0"/>
        <w:spacing w:line="360" w:lineRule="auto"/>
        <w:ind w:firstLine="422" w:firstLineChars="200"/>
        <w:rPr>
          <w:rFonts w:hint="eastAsia"/>
          <w:b/>
          <w:bCs/>
        </w:rPr>
      </w:pPr>
      <w:r>
        <w:rPr>
          <w:rFonts w:hint="eastAsia" w:ascii="宋体" w:hAnsi="宋体" w:eastAsia="宋体" w:cs="宋体"/>
          <w:b/>
          <w:bCs/>
          <w:color w:val="auto"/>
          <w:kern w:val="0"/>
          <w:szCs w:val="21"/>
        </w:rPr>
        <w:t>2、本表最后报价不随响应文件一同递交，请供应商单独准备一份加盖公章及签字的空白表格备用。本表格涉及的报价部分可以在磋商开始后在规定的时间内现场填写递交，但必须加盖单位公章且有法定代表人签字或盖章及委托代理人签字。</w:t>
      </w:r>
    </w:p>
    <w:p w14:paraId="0B2B96E0">
      <w:pPr>
        <w:rPr>
          <w:rFonts w:hint="eastAsia"/>
          <w:color w:val="auto"/>
        </w:rPr>
      </w:pPr>
    </w:p>
    <w:p w14:paraId="77DB528A">
      <w:pPr>
        <w:adjustRightInd w:val="0"/>
        <w:snapToGrid w:val="0"/>
        <w:spacing w:line="360" w:lineRule="auto"/>
        <w:rPr>
          <w:rFonts w:hint="eastAsia" w:ascii="宋体" w:hAnsi="宋体" w:eastAsia="宋体" w:cs="宋体"/>
          <w:sz w:val="22"/>
          <w:szCs w:val="22"/>
        </w:rPr>
      </w:pPr>
    </w:p>
    <w:p w14:paraId="09B9AA71">
      <w:pPr>
        <w:spacing w:line="360" w:lineRule="auto"/>
        <w:jc w:val="center"/>
        <w:outlineLvl w:val="9"/>
        <w:rPr>
          <w:rFonts w:ascii="Calibri Light" w:hAnsi="Calibri Light"/>
          <w:b/>
          <w:bCs/>
          <w:color w:val="auto"/>
          <w:sz w:val="32"/>
          <w:szCs w:val="32"/>
        </w:rPr>
      </w:pPr>
    </w:p>
    <w:sectPr>
      <w:headerReference r:id="rId8" w:type="default"/>
      <w:footerReference r:id="rId9" w:type="default"/>
      <w:endnotePr>
        <w:numFmt w:val="decimal"/>
      </w:endnotePr>
      <w:pgSz w:w="11906" w:h="16838"/>
      <w:pgMar w:top="1474" w:right="1474" w:bottom="232" w:left="1588" w:header="720"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Wingdings 2">
    <w:altName w:val="Wingdings"/>
    <w:panose1 w:val="05020102010507070707"/>
    <w:charset w:val="00"/>
    <w:family w:val="auto"/>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DAFCE">
    <w:pPr>
      <w:pStyle w:val="16"/>
      <w:tabs>
        <w:tab w:val="clear" w:pos="4153"/>
      </w:tabs>
      <w:jc w:val="center"/>
      <w:rPr>
        <w:rFonts w:hint="default"/>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A4FF1">
    <w:pPr>
      <w:pStyle w:val="16"/>
      <w:tabs>
        <w:tab w:val="clear" w:pos="4153"/>
      </w:tabs>
      <w:jc w:val="center"/>
      <w:rPr>
        <w:rFonts w:hint="default"/>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B4A7B">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B2B4A7B">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C6B17">
    <w:pPr>
      <w:spacing w:line="185" w:lineRule="auto"/>
      <w:ind w:left="1038"/>
      <w:rPr>
        <w:rFonts w:ascii="Times New Roman" w:hAnsi="Times New Roman" w:eastAsia="Times New Roman" w:cs="Times New Roman"/>
        <w:sz w:val="31"/>
        <w:szCs w:val="31"/>
      </w:rPr>
    </w:pPr>
    <w:r>
      <w:rPr>
        <w:sz w:val="31"/>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66C03">
                          <w:pPr>
                            <w:pStyle w:val="1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AB66C03">
                    <w:pPr>
                      <w:pStyle w:val="1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CD52C">
    <w:pPr>
      <w:pStyle w:val="16"/>
      <w:ind w:right="360"/>
      <w:rPr>
        <w:rFonts w:hint="eastAsia" w:eastAsiaTheme="minorEastAsia"/>
        <w:lang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02E7FE">
                          <w:pPr>
                            <w:pStyle w:val="16"/>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C02E7FE">
                    <w:pPr>
                      <w:pStyle w:val="16"/>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982E6">
    <w:pPr>
      <w:rPr>
        <w:rFonts w:eastAsia="Times New Roman"/>
      </w:rPr>
    </w:pPr>
    <w:r>
      <w:rPr>
        <w:sz w:val="21"/>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D13A9">
                          <w:pPr>
                            <w:pStyle w:val="16"/>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CED13A9">
                    <w:pPr>
                      <w:pStyle w:val="16"/>
                    </w:pPr>
                    <w:r>
                      <w:fldChar w:fldCharType="begin"/>
                    </w:r>
                    <w:r>
                      <w:instrText xml:space="preserve"> PAGE  \* MERGEFORMAT </w:instrText>
                    </w:r>
                    <w:r>
                      <w:fldChar w:fldCharType="separate"/>
                    </w:r>
                    <w:r>
                      <w:t>77</w:t>
                    </w:r>
                    <w:r>
                      <w:fldChar w:fldCharType="end"/>
                    </w:r>
                  </w:p>
                </w:txbxContent>
              </v:textbox>
            </v:shape>
          </w:pict>
        </mc:Fallback>
      </mc:AlternateContent>
    </w:r>
    <w:r>
      <w:rPr>
        <w:rFonts w:ascii="Arial" w:hAnsi="Arial" w:eastAsia="Arial" w:cs="Arial"/>
        <w:snapToGrid w:val="0"/>
      </w:rPr>
      <mc:AlternateContent>
        <mc:Choice Requires="wps">
          <w:drawing>
            <wp:anchor distT="0" distB="0" distL="114300" distR="114300" simplePos="0" relativeHeight="251660288" behindDoc="0" locked="0" layoutInCell="0" allowOverlap="1">
              <wp:simplePos x="0" y="0"/>
              <wp:positionH relativeFrom="page">
                <wp:posOffset>1062355</wp:posOffset>
              </wp:positionH>
              <wp:positionV relativeFrom="page">
                <wp:posOffset>9879330</wp:posOffset>
              </wp:positionV>
              <wp:extent cx="5437505" cy="3175"/>
              <wp:effectExtent l="0" t="0" r="0" b="0"/>
              <wp:wrapNone/>
              <wp:docPr id="7" name="任意多边形 7"/>
              <wp:cNvGraphicFramePr/>
              <a:graphic xmlns:a="http://schemas.openxmlformats.org/drawingml/2006/main">
                <a:graphicData uri="http://schemas.microsoft.com/office/word/2010/wordprocessingShape">
                  <wps:wsp>
                    <wps:cNvSpPr/>
                    <wps:spPr>
                      <a:xfrm>
                        <a:off x="0" y="0"/>
                        <a:ext cx="5437505" cy="3175"/>
                      </a:xfrm>
                      <a:custGeom>
                        <a:avLst/>
                        <a:gdLst/>
                        <a:ahLst/>
                        <a:cxnLst/>
                        <a:pathLst>
                          <a:path w="8562" h="5">
                            <a:moveTo>
                              <a:pt x="0" y="4"/>
                            </a:moveTo>
                            <a:lnTo>
                              <a:pt x="8562" y="4"/>
                            </a:lnTo>
                            <a:lnTo>
                              <a:pt x="8562" y="0"/>
                            </a:lnTo>
                            <a:lnTo>
                              <a:pt x="0" y="0"/>
                            </a:lnTo>
                            <a:lnTo>
                              <a:pt x="0" y="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3.65pt;margin-top:777.9pt;height:0.25pt;width:428.15pt;mso-position-horizontal-relative:page;mso-position-vertical-relative:page;z-index:251660288;mso-width-relative:page;mso-height-relative:page;" fillcolor="#000000" filled="t" stroked="f" coordsize="8562,5" o:allowincell="f" o:gfxdata="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SrFS9kAAAAOAQAADwAAAAAA&#10;AAABACAAAAAiAAAAZHJzL2Rvd25yZXYueG1sUEsBAhQAFAAAAAgAh07iQKh9ciUSAgAAeAQAAA4A&#10;AAAAAAAAAQAgAAAAKAEAAGRycy9lMm9Eb2MueG1sUEsFBgAAAAAGAAYAWQEAAKwFAAAAAA==&#10;" path="m0,4l8562,4,8562,0,0,0,0,4xe">
              <v:fill on="t" focussize="0,0"/>
              <v:stroke on="f"/>
              <v:imagedata o:title=""/>
              <o:lock v:ext="edit" aspectratio="f"/>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9C499">
    <w:pPr>
      <w:jc w:val="center"/>
      <w:rPr>
        <w:rFonts w:hint="eastAsia" w:eastAsiaTheme="minor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69FA7">
    <w:pPr>
      <w:pStyle w:val="18"/>
      <w:ind w:firstLine="400"/>
      <w:rPr>
        <w:rFonts w:hint="eastAsia"/>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E3147B"/>
    <w:multiLevelType w:val="singleLevel"/>
    <w:tmpl w:val="B8E3147B"/>
    <w:lvl w:ilvl="0" w:tentative="0">
      <w:start w:val="1"/>
      <w:numFmt w:val="decimal"/>
      <w:suff w:val="space"/>
      <w:lvlText w:val="%1."/>
      <w:lvlJc w:val="left"/>
    </w:lvl>
  </w:abstractNum>
  <w:abstractNum w:abstractNumId="1">
    <w:nsid w:val="DF473EBE"/>
    <w:multiLevelType w:val="singleLevel"/>
    <w:tmpl w:val="DF473EBE"/>
    <w:lvl w:ilvl="0" w:tentative="0">
      <w:start w:val="1"/>
      <w:numFmt w:val="decimal"/>
      <w:suff w:val="nothing"/>
      <w:lvlText w:val="（%1）"/>
      <w:lvlJc w:val="left"/>
    </w:lvl>
  </w:abstractNum>
  <w:abstractNum w:abstractNumId="2">
    <w:nsid w:val="EDAD5A0C"/>
    <w:multiLevelType w:val="singleLevel"/>
    <w:tmpl w:val="EDAD5A0C"/>
    <w:lvl w:ilvl="0" w:tentative="0">
      <w:start w:val="1"/>
      <w:numFmt w:val="decimal"/>
      <w:suff w:val="nothing"/>
      <w:lvlText w:val="（%1）"/>
      <w:lvlJc w:val="left"/>
    </w:lvl>
  </w:abstractNum>
  <w:abstractNum w:abstractNumId="3">
    <w:nsid w:val="00000018"/>
    <w:multiLevelType w:val="multilevel"/>
    <w:tmpl w:val="00000018"/>
    <w:lvl w:ilvl="0" w:tentative="0">
      <w:start w:val="1"/>
      <w:numFmt w:val="decimal"/>
      <w:suff w:val="space"/>
      <w:lvlText w:val="第%1章"/>
      <w:lvlJc w:val="left"/>
      <w:pPr>
        <w:ind w:left="851" w:firstLine="0"/>
      </w:pPr>
      <w:rPr>
        <w:rFonts w:hint="eastAsia" w:ascii="黑体" w:eastAsia="黑体"/>
        <w:b w:val="0"/>
        <w:i w:val="0"/>
        <w:lang w:val="en-US"/>
      </w:rPr>
    </w:lvl>
    <w:lvl w:ilvl="1" w:tentative="0">
      <w:start w:val="1"/>
      <w:numFmt w:val="chineseCountingThousand"/>
      <w:pStyle w:val="79"/>
      <w:suff w:val="space"/>
      <w:lvlText w:val="(%2)"/>
      <w:lvlJc w:val="left"/>
      <w:pPr>
        <w:ind w:left="0" w:firstLine="0"/>
      </w:pPr>
      <w:rPr>
        <w:rFonts w:hint="eastAsia" w:ascii="宋体" w:hAnsi="宋体" w:eastAsia="宋体" w:cs="Times New Roman"/>
        <w:b w:val="0"/>
        <w:bCs w:val="0"/>
        <w:i w:val="0"/>
        <w:iCs w:val="0"/>
        <w:caps w:val="0"/>
        <w:smallCaps w:val="0"/>
        <w:vanish w:val="0"/>
        <w:spacing w:val="0"/>
        <w:position w:val="0"/>
        <w:sz w:val="28"/>
        <w:u w:val="none"/>
        <w:vertAlign w:val="baseline"/>
      </w:rPr>
    </w:lvl>
    <w:lvl w:ilvl="2" w:tentative="0">
      <w:start w:val="1"/>
      <w:numFmt w:val="decimal"/>
      <w:suff w:val="space"/>
      <w:lvlText w:val="%1.%2.%3"/>
      <w:lvlJc w:val="left"/>
      <w:pPr>
        <w:ind w:left="0" w:firstLine="0"/>
      </w:pPr>
      <w:rPr>
        <w:rFonts w:hint="eastAsia" w:ascii="黑体" w:eastAsia="黑体"/>
        <w:b w:val="0"/>
        <w:i w:val="0"/>
      </w:rPr>
    </w:lvl>
    <w:lvl w:ilvl="3" w:tentative="0">
      <w:start w:val="1"/>
      <w:numFmt w:val="decimal"/>
      <w:suff w:val="space"/>
      <w:lvlText w:val="%1.%2.%3.%4"/>
      <w:lvlJc w:val="left"/>
      <w:pPr>
        <w:ind w:left="0" w:firstLine="0"/>
      </w:pPr>
      <w:rPr>
        <w:rFonts w:hint="eastAsia" w:ascii="黑体" w:eastAsia="黑体"/>
        <w:b w:val="0"/>
        <w:i w:val="0"/>
      </w:rPr>
    </w:lvl>
    <w:lvl w:ilvl="4" w:tentative="0">
      <w:start w:val="1"/>
      <w:numFmt w:val="decimal"/>
      <w:suff w:val="space"/>
      <w:lvlText w:val="%1.%2.%3.%4.%5"/>
      <w:lvlJc w:val="left"/>
      <w:pPr>
        <w:ind w:left="0" w:firstLine="0"/>
      </w:pPr>
      <w:rPr>
        <w:rFonts w:hint="eastAsia" w:ascii="黑体" w:eastAsia="黑体"/>
        <w:b w:val="0"/>
        <w:i w:val="0"/>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1FF7F26B"/>
    <w:multiLevelType w:val="singleLevel"/>
    <w:tmpl w:val="1FF7F26B"/>
    <w:lvl w:ilvl="0" w:tentative="0">
      <w:start w:val="4"/>
      <w:numFmt w:val="decimal"/>
      <w:suff w:val="nothing"/>
      <w:lvlText w:val="%1、"/>
      <w:lvlJc w:val="left"/>
    </w:lvl>
  </w:abstractNum>
  <w:abstractNum w:abstractNumId="5">
    <w:nsid w:val="23B6C31C"/>
    <w:multiLevelType w:val="singleLevel"/>
    <w:tmpl w:val="23B6C31C"/>
    <w:lvl w:ilvl="0" w:tentative="0">
      <w:start w:val="6"/>
      <w:numFmt w:val="chineseCounting"/>
      <w:suff w:val="nothing"/>
      <w:lvlText w:val="%1、"/>
      <w:lvlJc w:val="left"/>
      <w:rPr>
        <w:rFonts w:hint="eastAsia"/>
      </w:rPr>
    </w:lvl>
  </w:abstractNum>
  <w:abstractNum w:abstractNumId="6">
    <w:nsid w:val="3E3AB925"/>
    <w:multiLevelType w:val="singleLevel"/>
    <w:tmpl w:val="3E3AB925"/>
    <w:lvl w:ilvl="0" w:tentative="0">
      <w:start w:val="6"/>
      <w:numFmt w:val="chineseCounting"/>
      <w:suff w:val="nothing"/>
      <w:lvlText w:val="%1、"/>
      <w:lvlJc w:val="left"/>
      <w:rPr>
        <w:rFonts w:hint="eastAsia"/>
      </w:rPr>
    </w:lvl>
  </w:abstractNum>
  <w:abstractNum w:abstractNumId="7">
    <w:nsid w:val="45870E34"/>
    <w:multiLevelType w:val="singleLevel"/>
    <w:tmpl w:val="45870E34"/>
    <w:lvl w:ilvl="0" w:tentative="0">
      <w:start w:val="2"/>
      <w:numFmt w:val="chineseCounting"/>
      <w:suff w:val="space"/>
      <w:lvlText w:val="第%1节"/>
      <w:lvlJc w:val="left"/>
      <w:rPr>
        <w:rFonts w:hint="eastAsia"/>
      </w:rPr>
    </w:lvl>
  </w:abstractNum>
  <w:abstractNum w:abstractNumId="8">
    <w:nsid w:val="55A2CB7E"/>
    <w:multiLevelType w:val="singleLevel"/>
    <w:tmpl w:val="55A2CB7E"/>
    <w:lvl w:ilvl="0" w:tentative="0">
      <w:start w:val="5"/>
      <w:numFmt w:val="chineseCounting"/>
      <w:suff w:val="space"/>
      <w:lvlText w:val="第%1章"/>
      <w:lvlJc w:val="left"/>
      <w:rPr>
        <w:rFonts w:hint="eastAsia"/>
      </w:rPr>
    </w:lvl>
  </w:abstractNum>
  <w:abstractNum w:abstractNumId="9">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7A3EE240"/>
    <w:multiLevelType w:val="singleLevel"/>
    <w:tmpl w:val="7A3EE240"/>
    <w:lvl w:ilvl="0" w:tentative="0">
      <w:start w:val="1"/>
      <w:numFmt w:val="decimal"/>
      <w:suff w:val="nothing"/>
      <w:lvlText w:val="%1、"/>
      <w:lvlJc w:val="left"/>
    </w:lvl>
  </w:abstractNum>
  <w:num w:numId="1">
    <w:abstractNumId w:val="3"/>
  </w:num>
  <w:num w:numId="2">
    <w:abstractNumId w:val="9"/>
  </w:num>
  <w:num w:numId="3">
    <w:abstractNumId w:val="8"/>
  </w:num>
  <w:num w:numId="4">
    <w:abstractNumId w:val="7"/>
  </w:num>
  <w:num w:numId="5">
    <w:abstractNumId w:val="0"/>
  </w:num>
  <w:num w:numId="6">
    <w:abstractNumId w:val="1"/>
  </w:num>
  <w:num w:numId="7">
    <w:abstractNumId w:val="2"/>
  </w:num>
  <w:num w:numId="8">
    <w:abstractNumId w:val="4"/>
  </w:num>
  <w:num w:numId="9">
    <w:abstractNumId w:val="5"/>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yMzBlOTg4YTNiZDI3NDc5MmVhMjAxNjY1NTg2MmMifQ=="/>
  </w:docVars>
  <w:rsids>
    <w:rsidRoot w:val="00172A27"/>
    <w:rsid w:val="000C3587"/>
    <w:rsid w:val="000D0DEE"/>
    <w:rsid w:val="001037ED"/>
    <w:rsid w:val="001A7A0F"/>
    <w:rsid w:val="002960CC"/>
    <w:rsid w:val="002A33C2"/>
    <w:rsid w:val="002D269B"/>
    <w:rsid w:val="00310A35"/>
    <w:rsid w:val="0032684E"/>
    <w:rsid w:val="00347118"/>
    <w:rsid w:val="00371C0A"/>
    <w:rsid w:val="0040686C"/>
    <w:rsid w:val="00456DB1"/>
    <w:rsid w:val="00483418"/>
    <w:rsid w:val="004B2B21"/>
    <w:rsid w:val="004C6A32"/>
    <w:rsid w:val="005F1116"/>
    <w:rsid w:val="00640914"/>
    <w:rsid w:val="00656257"/>
    <w:rsid w:val="00656322"/>
    <w:rsid w:val="00674B36"/>
    <w:rsid w:val="00691FB7"/>
    <w:rsid w:val="006D5E63"/>
    <w:rsid w:val="00721418"/>
    <w:rsid w:val="007958FB"/>
    <w:rsid w:val="007E6A79"/>
    <w:rsid w:val="007E6CDA"/>
    <w:rsid w:val="00805EE6"/>
    <w:rsid w:val="008D45E7"/>
    <w:rsid w:val="00900C38"/>
    <w:rsid w:val="00923DD4"/>
    <w:rsid w:val="00950498"/>
    <w:rsid w:val="009534A7"/>
    <w:rsid w:val="009A1557"/>
    <w:rsid w:val="009C5F0E"/>
    <w:rsid w:val="009E1116"/>
    <w:rsid w:val="00A054C6"/>
    <w:rsid w:val="00A22941"/>
    <w:rsid w:val="00A4648C"/>
    <w:rsid w:val="00A61E91"/>
    <w:rsid w:val="00AC21DD"/>
    <w:rsid w:val="00B04CF1"/>
    <w:rsid w:val="00B0668F"/>
    <w:rsid w:val="00B15D0D"/>
    <w:rsid w:val="00B21AAA"/>
    <w:rsid w:val="00B53910"/>
    <w:rsid w:val="00B75213"/>
    <w:rsid w:val="00BC1F36"/>
    <w:rsid w:val="00BC797E"/>
    <w:rsid w:val="00BE206A"/>
    <w:rsid w:val="00C66425"/>
    <w:rsid w:val="00CA0101"/>
    <w:rsid w:val="00D37625"/>
    <w:rsid w:val="00D55CFD"/>
    <w:rsid w:val="00D8297D"/>
    <w:rsid w:val="00DC716F"/>
    <w:rsid w:val="00DE5272"/>
    <w:rsid w:val="00DF377D"/>
    <w:rsid w:val="00DF3D30"/>
    <w:rsid w:val="00DF60F8"/>
    <w:rsid w:val="00E13D1B"/>
    <w:rsid w:val="00E432E9"/>
    <w:rsid w:val="00E53555"/>
    <w:rsid w:val="00E53805"/>
    <w:rsid w:val="00E9367E"/>
    <w:rsid w:val="00F85C48"/>
    <w:rsid w:val="00FF3A09"/>
    <w:rsid w:val="011078C7"/>
    <w:rsid w:val="01543C57"/>
    <w:rsid w:val="01722330"/>
    <w:rsid w:val="019404F8"/>
    <w:rsid w:val="019422A6"/>
    <w:rsid w:val="01F86CD9"/>
    <w:rsid w:val="02020254"/>
    <w:rsid w:val="02076901"/>
    <w:rsid w:val="02167A86"/>
    <w:rsid w:val="028429F3"/>
    <w:rsid w:val="02A04E58"/>
    <w:rsid w:val="030014CC"/>
    <w:rsid w:val="033879A6"/>
    <w:rsid w:val="038F0F77"/>
    <w:rsid w:val="03AE3AF3"/>
    <w:rsid w:val="03CF75C5"/>
    <w:rsid w:val="03DA0B10"/>
    <w:rsid w:val="040E4592"/>
    <w:rsid w:val="04227F5F"/>
    <w:rsid w:val="045838B0"/>
    <w:rsid w:val="047F2D99"/>
    <w:rsid w:val="048E2335"/>
    <w:rsid w:val="04F35535"/>
    <w:rsid w:val="05926AFC"/>
    <w:rsid w:val="05AB5B53"/>
    <w:rsid w:val="05D47115"/>
    <w:rsid w:val="05EC26B0"/>
    <w:rsid w:val="05F40213"/>
    <w:rsid w:val="060A79EB"/>
    <w:rsid w:val="06187991"/>
    <w:rsid w:val="063D77C1"/>
    <w:rsid w:val="06A905A2"/>
    <w:rsid w:val="06DC519C"/>
    <w:rsid w:val="06F03CEA"/>
    <w:rsid w:val="077E2E6B"/>
    <w:rsid w:val="07887E30"/>
    <w:rsid w:val="078F6FF8"/>
    <w:rsid w:val="07A17FEE"/>
    <w:rsid w:val="07E160DA"/>
    <w:rsid w:val="07F20765"/>
    <w:rsid w:val="08270178"/>
    <w:rsid w:val="0882009B"/>
    <w:rsid w:val="08856DEC"/>
    <w:rsid w:val="08885563"/>
    <w:rsid w:val="08A91FE3"/>
    <w:rsid w:val="08AC1C0F"/>
    <w:rsid w:val="08D776AA"/>
    <w:rsid w:val="08FE7E80"/>
    <w:rsid w:val="090E6DE2"/>
    <w:rsid w:val="09802AC0"/>
    <w:rsid w:val="09B5244D"/>
    <w:rsid w:val="09F4422A"/>
    <w:rsid w:val="09F9539C"/>
    <w:rsid w:val="09FB71D9"/>
    <w:rsid w:val="0A3D5178"/>
    <w:rsid w:val="0A3D797F"/>
    <w:rsid w:val="0A6D44A5"/>
    <w:rsid w:val="0A805ABD"/>
    <w:rsid w:val="0ACA0AE6"/>
    <w:rsid w:val="0AFA761E"/>
    <w:rsid w:val="0B464611"/>
    <w:rsid w:val="0B4C7B10"/>
    <w:rsid w:val="0B9F01C5"/>
    <w:rsid w:val="0C370C2B"/>
    <w:rsid w:val="0C3B4D0A"/>
    <w:rsid w:val="0C603A8A"/>
    <w:rsid w:val="0C6A75EB"/>
    <w:rsid w:val="0CA13156"/>
    <w:rsid w:val="0CCE48D4"/>
    <w:rsid w:val="0D613984"/>
    <w:rsid w:val="0D870F11"/>
    <w:rsid w:val="0D9553DC"/>
    <w:rsid w:val="0DDC59AD"/>
    <w:rsid w:val="0DDC7EB9"/>
    <w:rsid w:val="0DF04D08"/>
    <w:rsid w:val="0E107158"/>
    <w:rsid w:val="0E11732B"/>
    <w:rsid w:val="0E4017EB"/>
    <w:rsid w:val="0E884F40"/>
    <w:rsid w:val="0EA90204"/>
    <w:rsid w:val="0EBD108E"/>
    <w:rsid w:val="0EEC7E16"/>
    <w:rsid w:val="0EF301DB"/>
    <w:rsid w:val="0F3330FE"/>
    <w:rsid w:val="0F700DD5"/>
    <w:rsid w:val="0F9D2C6D"/>
    <w:rsid w:val="0FCB1589"/>
    <w:rsid w:val="0FD85A54"/>
    <w:rsid w:val="0FE52B81"/>
    <w:rsid w:val="10D21978"/>
    <w:rsid w:val="10F22631"/>
    <w:rsid w:val="10FD39C4"/>
    <w:rsid w:val="11124F95"/>
    <w:rsid w:val="111D5E14"/>
    <w:rsid w:val="116C6D9B"/>
    <w:rsid w:val="11AF7876"/>
    <w:rsid w:val="11E42DD6"/>
    <w:rsid w:val="11E54D93"/>
    <w:rsid w:val="12107727"/>
    <w:rsid w:val="1235718D"/>
    <w:rsid w:val="12B427A8"/>
    <w:rsid w:val="12EF3EDA"/>
    <w:rsid w:val="12F73A92"/>
    <w:rsid w:val="131C3597"/>
    <w:rsid w:val="136E6358"/>
    <w:rsid w:val="13AC16D1"/>
    <w:rsid w:val="13BD743A"/>
    <w:rsid w:val="142B0565"/>
    <w:rsid w:val="142B0848"/>
    <w:rsid w:val="148E0DD7"/>
    <w:rsid w:val="14BA7E1E"/>
    <w:rsid w:val="14DA401C"/>
    <w:rsid w:val="14EF5D19"/>
    <w:rsid w:val="153702B2"/>
    <w:rsid w:val="15490612"/>
    <w:rsid w:val="159D573C"/>
    <w:rsid w:val="15B52109"/>
    <w:rsid w:val="15C01464"/>
    <w:rsid w:val="15C37A8C"/>
    <w:rsid w:val="15C9656A"/>
    <w:rsid w:val="160C46A9"/>
    <w:rsid w:val="163B0C02"/>
    <w:rsid w:val="167726A1"/>
    <w:rsid w:val="167E723C"/>
    <w:rsid w:val="16B40FC8"/>
    <w:rsid w:val="16D276A1"/>
    <w:rsid w:val="170542D9"/>
    <w:rsid w:val="176C3651"/>
    <w:rsid w:val="177D585E"/>
    <w:rsid w:val="17A81710"/>
    <w:rsid w:val="17AF79E2"/>
    <w:rsid w:val="17B80644"/>
    <w:rsid w:val="17C3523B"/>
    <w:rsid w:val="17D64F6F"/>
    <w:rsid w:val="17DB7ACA"/>
    <w:rsid w:val="18335069"/>
    <w:rsid w:val="18624A54"/>
    <w:rsid w:val="188920F4"/>
    <w:rsid w:val="188B340F"/>
    <w:rsid w:val="18920763"/>
    <w:rsid w:val="1953580A"/>
    <w:rsid w:val="195919B3"/>
    <w:rsid w:val="199C7AF2"/>
    <w:rsid w:val="19EA4D01"/>
    <w:rsid w:val="1A0827A8"/>
    <w:rsid w:val="1A620D3B"/>
    <w:rsid w:val="1AC5549F"/>
    <w:rsid w:val="1AC612CA"/>
    <w:rsid w:val="1B42549A"/>
    <w:rsid w:val="1BB4558C"/>
    <w:rsid w:val="1BE65886"/>
    <w:rsid w:val="1BF64C65"/>
    <w:rsid w:val="1C315590"/>
    <w:rsid w:val="1C387FA6"/>
    <w:rsid w:val="1C4C4643"/>
    <w:rsid w:val="1CA92C52"/>
    <w:rsid w:val="1CDF48C5"/>
    <w:rsid w:val="1CED6AB3"/>
    <w:rsid w:val="1D7F159D"/>
    <w:rsid w:val="1DF60118"/>
    <w:rsid w:val="1E415CA2"/>
    <w:rsid w:val="1E49508F"/>
    <w:rsid w:val="1EBB0A1A"/>
    <w:rsid w:val="1EE371AA"/>
    <w:rsid w:val="1F4F020A"/>
    <w:rsid w:val="1F550E6F"/>
    <w:rsid w:val="1F792DAF"/>
    <w:rsid w:val="1F9574BD"/>
    <w:rsid w:val="1FD26196"/>
    <w:rsid w:val="208337BA"/>
    <w:rsid w:val="209675E1"/>
    <w:rsid w:val="21076199"/>
    <w:rsid w:val="212725D3"/>
    <w:rsid w:val="214D59DE"/>
    <w:rsid w:val="216C19C6"/>
    <w:rsid w:val="216C264C"/>
    <w:rsid w:val="21902632"/>
    <w:rsid w:val="21947636"/>
    <w:rsid w:val="21AB121A"/>
    <w:rsid w:val="21B11EB3"/>
    <w:rsid w:val="21C2311E"/>
    <w:rsid w:val="21E309B4"/>
    <w:rsid w:val="21F961C3"/>
    <w:rsid w:val="22356D36"/>
    <w:rsid w:val="22503C1D"/>
    <w:rsid w:val="22590F89"/>
    <w:rsid w:val="23073349"/>
    <w:rsid w:val="23931F66"/>
    <w:rsid w:val="24A94F95"/>
    <w:rsid w:val="24E24F53"/>
    <w:rsid w:val="25090731"/>
    <w:rsid w:val="25CB3C39"/>
    <w:rsid w:val="25F67177"/>
    <w:rsid w:val="26241BA3"/>
    <w:rsid w:val="262D044F"/>
    <w:rsid w:val="26343C26"/>
    <w:rsid w:val="263C4B36"/>
    <w:rsid w:val="264B31E0"/>
    <w:rsid w:val="266145DB"/>
    <w:rsid w:val="26A83F7A"/>
    <w:rsid w:val="26B4291F"/>
    <w:rsid w:val="27174C3D"/>
    <w:rsid w:val="276A4398"/>
    <w:rsid w:val="27962024"/>
    <w:rsid w:val="27B934DD"/>
    <w:rsid w:val="27C2106B"/>
    <w:rsid w:val="27D172E0"/>
    <w:rsid w:val="28E55011"/>
    <w:rsid w:val="28F842A8"/>
    <w:rsid w:val="29DA08EE"/>
    <w:rsid w:val="29FB78E4"/>
    <w:rsid w:val="2A021238"/>
    <w:rsid w:val="2A4E61BB"/>
    <w:rsid w:val="2A5A558B"/>
    <w:rsid w:val="2AEF6839"/>
    <w:rsid w:val="2AF07C9E"/>
    <w:rsid w:val="2BFF593D"/>
    <w:rsid w:val="2C0F3B36"/>
    <w:rsid w:val="2C236C92"/>
    <w:rsid w:val="2C511149"/>
    <w:rsid w:val="2C8903AA"/>
    <w:rsid w:val="2CC413E2"/>
    <w:rsid w:val="2CE40279"/>
    <w:rsid w:val="2CF972DD"/>
    <w:rsid w:val="2D360989"/>
    <w:rsid w:val="2D5E2D49"/>
    <w:rsid w:val="2D795134"/>
    <w:rsid w:val="2D9139BA"/>
    <w:rsid w:val="2D915768"/>
    <w:rsid w:val="2E0F48DF"/>
    <w:rsid w:val="2E19424B"/>
    <w:rsid w:val="2E400F3C"/>
    <w:rsid w:val="2E5050CE"/>
    <w:rsid w:val="2F0A3A24"/>
    <w:rsid w:val="2F665F6C"/>
    <w:rsid w:val="2F7E66C7"/>
    <w:rsid w:val="2F935FD0"/>
    <w:rsid w:val="309651C4"/>
    <w:rsid w:val="309D4424"/>
    <w:rsid w:val="30F81D9C"/>
    <w:rsid w:val="31124E12"/>
    <w:rsid w:val="31555D77"/>
    <w:rsid w:val="31734CC5"/>
    <w:rsid w:val="31B913F6"/>
    <w:rsid w:val="31C322F1"/>
    <w:rsid w:val="31DB35AE"/>
    <w:rsid w:val="322F72FD"/>
    <w:rsid w:val="32B6581D"/>
    <w:rsid w:val="32CB0761"/>
    <w:rsid w:val="334943EF"/>
    <w:rsid w:val="3354737E"/>
    <w:rsid w:val="335F00B6"/>
    <w:rsid w:val="33727DEA"/>
    <w:rsid w:val="33B67CFF"/>
    <w:rsid w:val="33C02B50"/>
    <w:rsid w:val="33DE722D"/>
    <w:rsid w:val="33E056A8"/>
    <w:rsid w:val="33EB66CD"/>
    <w:rsid w:val="33EE006E"/>
    <w:rsid w:val="33F15215"/>
    <w:rsid w:val="340F388A"/>
    <w:rsid w:val="34BE7006"/>
    <w:rsid w:val="35906305"/>
    <w:rsid w:val="35DA1C76"/>
    <w:rsid w:val="35E033C0"/>
    <w:rsid w:val="360311CD"/>
    <w:rsid w:val="36467A06"/>
    <w:rsid w:val="36563B19"/>
    <w:rsid w:val="36581519"/>
    <w:rsid w:val="36AB7B81"/>
    <w:rsid w:val="37B26FFB"/>
    <w:rsid w:val="37FA7EC6"/>
    <w:rsid w:val="38312021"/>
    <w:rsid w:val="385B1E34"/>
    <w:rsid w:val="3894610C"/>
    <w:rsid w:val="38B90269"/>
    <w:rsid w:val="38EE16A9"/>
    <w:rsid w:val="39243934"/>
    <w:rsid w:val="392822D8"/>
    <w:rsid w:val="396B1563"/>
    <w:rsid w:val="39C40674"/>
    <w:rsid w:val="39E70C2A"/>
    <w:rsid w:val="3A60099C"/>
    <w:rsid w:val="3AB62358"/>
    <w:rsid w:val="3B506C62"/>
    <w:rsid w:val="3B675D5A"/>
    <w:rsid w:val="3B7B35B3"/>
    <w:rsid w:val="3CA31014"/>
    <w:rsid w:val="3CBB45AF"/>
    <w:rsid w:val="3CCF3B7B"/>
    <w:rsid w:val="3D2836D2"/>
    <w:rsid w:val="3D477BF1"/>
    <w:rsid w:val="3D5E6F89"/>
    <w:rsid w:val="3D947BD3"/>
    <w:rsid w:val="3E014D50"/>
    <w:rsid w:val="3E3D452D"/>
    <w:rsid w:val="3E5A3954"/>
    <w:rsid w:val="3E687E85"/>
    <w:rsid w:val="3E943109"/>
    <w:rsid w:val="3EAB41B0"/>
    <w:rsid w:val="3EDE27D7"/>
    <w:rsid w:val="3F051C53"/>
    <w:rsid w:val="3F1A741B"/>
    <w:rsid w:val="3F2F35E8"/>
    <w:rsid w:val="3F795834"/>
    <w:rsid w:val="3F8073EA"/>
    <w:rsid w:val="3FC32142"/>
    <w:rsid w:val="4003795C"/>
    <w:rsid w:val="40561898"/>
    <w:rsid w:val="409475F1"/>
    <w:rsid w:val="40AC5AB2"/>
    <w:rsid w:val="40CA1D32"/>
    <w:rsid w:val="40E1035D"/>
    <w:rsid w:val="40E67721"/>
    <w:rsid w:val="416C40CA"/>
    <w:rsid w:val="41962EF5"/>
    <w:rsid w:val="41B64BBA"/>
    <w:rsid w:val="41CE6D77"/>
    <w:rsid w:val="41F06AA9"/>
    <w:rsid w:val="41F93484"/>
    <w:rsid w:val="42055766"/>
    <w:rsid w:val="423E5376"/>
    <w:rsid w:val="42417305"/>
    <w:rsid w:val="4269158D"/>
    <w:rsid w:val="42716D70"/>
    <w:rsid w:val="42734A4C"/>
    <w:rsid w:val="429E3A9E"/>
    <w:rsid w:val="4303280C"/>
    <w:rsid w:val="43141248"/>
    <w:rsid w:val="438751EB"/>
    <w:rsid w:val="438C73CD"/>
    <w:rsid w:val="43EE0F7F"/>
    <w:rsid w:val="43F77AE2"/>
    <w:rsid w:val="444F55DD"/>
    <w:rsid w:val="445C6678"/>
    <w:rsid w:val="449307D9"/>
    <w:rsid w:val="44BC2C73"/>
    <w:rsid w:val="44D220AC"/>
    <w:rsid w:val="44F8579A"/>
    <w:rsid w:val="44FA7096"/>
    <w:rsid w:val="45097E82"/>
    <w:rsid w:val="459A7A64"/>
    <w:rsid w:val="459D16B5"/>
    <w:rsid w:val="46384FF2"/>
    <w:rsid w:val="464A2500"/>
    <w:rsid w:val="46563996"/>
    <w:rsid w:val="469E0050"/>
    <w:rsid w:val="46B2212C"/>
    <w:rsid w:val="46FB2A7E"/>
    <w:rsid w:val="47490A0A"/>
    <w:rsid w:val="47E26E94"/>
    <w:rsid w:val="47EA3F9B"/>
    <w:rsid w:val="483B0352"/>
    <w:rsid w:val="48625C43"/>
    <w:rsid w:val="49523BA5"/>
    <w:rsid w:val="496526C0"/>
    <w:rsid w:val="49695393"/>
    <w:rsid w:val="49BF4FB3"/>
    <w:rsid w:val="4A013479"/>
    <w:rsid w:val="4A3C41DB"/>
    <w:rsid w:val="4A3E49A0"/>
    <w:rsid w:val="4A525E27"/>
    <w:rsid w:val="4AE90539"/>
    <w:rsid w:val="4AFD5D93"/>
    <w:rsid w:val="4B006E7B"/>
    <w:rsid w:val="4B242D7C"/>
    <w:rsid w:val="4B4D08D8"/>
    <w:rsid w:val="4BA12BC2"/>
    <w:rsid w:val="4BB167B4"/>
    <w:rsid w:val="4BD37FDD"/>
    <w:rsid w:val="4C11514E"/>
    <w:rsid w:val="4C622E90"/>
    <w:rsid w:val="4C790D38"/>
    <w:rsid w:val="4C7C510F"/>
    <w:rsid w:val="4CB22BAD"/>
    <w:rsid w:val="4CBE1F07"/>
    <w:rsid w:val="4CC217B3"/>
    <w:rsid w:val="4CE74F4D"/>
    <w:rsid w:val="4D063625"/>
    <w:rsid w:val="4D4A7854"/>
    <w:rsid w:val="4DA8648A"/>
    <w:rsid w:val="4DFB1297"/>
    <w:rsid w:val="4E1F3B0C"/>
    <w:rsid w:val="4E2B3338"/>
    <w:rsid w:val="4E3E0961"/>
    <w:rsid w:val="4E455B8F"/>
    <w:rsid w:val="4E4C249D"/>
    <w:rsid w:val="4E766116"/>
    <w:rsid w:val="4E7E71EB"/>
    <w:rsid w:val="4E94790E"/>
    <w:rsid w:val="4EB32E0E"/>
    <w:rsid w:val="4F147C93"/>
    <w:rsid w:val="4F4E4E0F"/>
    <w:rsid w:val="4F816540"/>
    <w:rsid w:val="4FB37368"/>
    <w:rsid w:val="4FD572DE"/>
    <w:rsid w:val="4FEB4B20"/>
    <w:rsid w:val="501F083C"/>
    <w:rsid w:val="50243DC2"/>
    <w:rsid w:val="502B30A2"/>
    <w:rsid w:val="504402E4"/>
    <w:rsid w:val="504B541E"/>
    <w:rsid w:val="504D3319"/>
    <w:rsid w:val="505E67FC"/>
    <w:rsid w:val="50A8054F"/>
    <w:rsid w:val="50AC44E3"/>
    <w:rsid w:val="50CD5FF8"/>
    <w:rsid w:val="50DB0924"/>
    <w:rsid w:val="51114346"/>
    <w:rsid w:val="5124051D"/>
    <w:rsid w:val="512C73D2"/>
    <w:rsid w:val="51364014"/>
    <w:rsid w:val="516B238B"/>
    <w:rsid w:val="517645BA"/>
    <w:rsid w:val="51907961"/>
    <w:rsid w:val="519343B5"/>
    <w:rsid w:val="51C854F1"/>
    <w:rsid w:val="51CA78A6"/>
    <w:rsid w:val="52244A97"/>
    <w:rsid w:val="523763DA"/>
    <w:rsid w:val="524102D4"/>
    <w:rsid w:val="5322283B"/>
    <w:rsid w:val="535624E4"/>
    <w:rsid w:val="53B24037"/>
    <w:rsid w:val="5492579E"/>
    <w:rsid w:val="549402DF"/>
    <w:rsid w:val="54C57B4E"/>
    <w:rsid w:val="54D2203E"/>
    <w:rsid w:val="54DE682C"/>
    <w:rsid w:val="55111F12"/>
    <w:rsid w:val="55314161"/>
    <w:rsid w:val="557355CF"/>
    <w:rsid w:val="55A7171D"/>
    <w:rsid w:val="55CD1FB1"/>
    <w:rsid w:val="566413BC"/>
    <w:rsid w:val="56903F5F"/>
    <w:rsid w:val="56CA4A4A"/>
    <w:rsid w:val="56E526A8"/>
    <w:rsid w:val="57B82F4A"/>
    <w:rsid w:val="57C0267F"/>
    <w:rsid w:val="58043E5D"/>
    <w:rsid w:val="58156E12"/>
    <w:rsid w:val="584F1AEA"/>
    <w:rsid w:val="586B07E0"/>
    <w:rsid w:val="58896EB8"/>
    <w:rsid w:val="58DE0812"/>
    <w:rsid w:val="58DE6E9B"/>
    <w:rsid w:val="591946E0"/>
    <w:rsid w:val="5931414E"/>
    <w:rsid w:val="593E5EF4"/>
    <w:rsid w:val="598633F7"/>
    <w:rsid w:val="5987789B"/>
    <w:rsid w:val="59A2479C"/>
    <w:rsid w:val="59AF294E"/>
    <w:rsid w:val="59B241EC"/>
    <w:rsid w:val="59E821C2"/>
    <w:rsid w:val="5A783688"/>
    <w:rsid w:val="5AD07020"/>
    <w:rsid w:val="5AD365C8"/>
    <w:rsid w:val="5B136F0D"/>
    <w:rsid w:val="5B404D4C"/>
    <w:rsid w:val="5B617D1B"/>
    <w:rsid w:val="5BD55073"/>
    <w:rsid w:val="5C435E37"/>
    <w:rsid w:val="5C505C45"/>
    <w:rsid w:val="5C7B745F"/>
    <w:rsid w:val="5CDA4186"/>
    <w:rsid w:val="5CDD5A24"/>
    <w:rsid w:val="5CE0412C"/>
    <w:rsid w:val="5CEC4343"/>
    <w:rsid w:val="5D2363E2"/>
    <w:rsid w:val="5D2E44D2"/>
    <w:rsid w:val="5D861C18"/>
    <w:rsid w:val="5DA54794"/>
    <w:rsid w:val="5DCA41FA"/>
    <w:rsid w:val="5DE03A1E"/>
    <w:rsid w:val="5E062B29"/>
    <w:rsid w:val="5E131946"/>
    <w:rsid w:val="5E19246F"/>
    <w:rsid w:val="5E227B93"/>
    <w:rsid w:val="5E263F5D"/>
    <w:rsid w:val="5E7A79CF"/>
    <w:rsid w:val="5E7C3774"/>
    <w:rsid w:val="5EB145D8"/>
    <w:rsid w:val="5EEE048F"/>
    <w:rsid w:val="5EFB03E4"/>
    <w:rsid w:val="5F3833E6"/>
    <w:rsid w:val="5F5F261F"/>
    <w:rsid w:val="5F6D12E1"/>
    <w:rsid w:val="5F855656"/>
    <w:rsid w:val="601B6F8F"/>
    <w:rsid w:val="60320DB6"/>
    <w:rsid w:val="60522285"/>
    <w:rsid w:val="606F72DB"/>
    <w:rsid w:val="60A414AC"/>
    <w:rsid w:val="60D21CFD"/>
    <w:rsid w:val="60E20788"/>
    <w:rsid w:val="61161505"/>
    <w:rsid w:val="61306327"/>
    <w:rsid w:val="61BF1DCC"/>
    <w:rsid w:val="61E17D65"/>
    <w:rsid w:val="61F77E15"/>
    <w:rsid w:val="623356AB"/>
    <w:rsid w:val="6247406C"/>
    <w:rsid w:val="62E4262D"/>
    <w:rsid w:val="63147CC6"/>
    <w:rsid w:val="63430567"/>
    <w:rsid w:val="6353259C"/>
    <w:rsid w:val="637B1AF3"/>
    <w:rsid w:val="63C11F09"/>
    <w:rsid w:val="63CD1542"/>
    <w:rsid w:val="641C5084"/>
    <w:rsid w:val="641F5EA8"/>
    <w:rsid w:val="642E348E"/>
    <w:rsid w:val="64CD2D2D"/>
    <w:rsid w:val="64D33BDF"/>
    <w:rsid w:val="64EB5456"/>
    <w:rsid w:val="651B2FB3"/>
    <w:rsid w:val="65297A59"/>
    <w:rsid w:val="65343A4C"/>
    <w:rsid w:val="653D52B2"/>
    <w:rsid w:val="65442AE4"/>
    <w:rsid w:val="654C1999"/>
    <w:rsid w:val="65C75499"/>
    <w:rsid w:val="65CC6636"/>
    <w:rsid w:val="65CE2880"/>
    <w:rsid w:val="65E573EA"/>
    <w:rsid w:val="66211AC7"/>
    <w:rsid w:val="662446C4"/>
    <w:rsid w:val="6649597F"/>
    <w:rsid w:val="664D59C9"/>
    <w:rsid w:val="668A7384"/>
    <w:rsid w:val="66D24120"/>
    <w:rsid w:val="67397679"/>
    <w:rsid w:val="675E1B0E"/>
    <w:rsid w:val="67951292"/>
    <w:rsid w:val="67B07C3E"/>
    <w:rsid w:val="68721717"/>
    <w:rsid w:val="68A970D7"/>
    <w:rsid w:val="68BB130F"/>
    <w:rsid w:val="68CE5401"/>
    <w:rsid w:val="68E60B0F"/>
    <w:rsid w:val="690073BB"/>
    <w:rsid w:val="69085BD7"/>
    <w:rsid w:val="6919320E"/>
    <w:rsid w:val="692844CB"/>
    <w:rsid w:val="6942733B"/>
    <w:rsid w:val="69B71B3B"/>
    <w:rsid w:val="69C6665D"/>
    <w:rsid w:val="6A010FA4"/>
    <w:rsid w:val="6A3E141E"/>
    <w:rsid w:val="6A941E18"/>
    <w:rsid w:val="6AC31CBE"/>
    <w:rsid w:val="6AD2649C"/>
    <w:rsid w:val="6B2001CF"/>
    <w:rsid w:val="6B20545A"/>
    <w:rsid w:val="6B2D7B77"/>
    <w:rsid w:val="6B4160D3"/>
    <w:rsid w:val="6B431148"/>
    <w:rsid w:val="6B6C069F"/>
    <w:rsid w:val="6B8D6867"/>
    <w:rsid w:val="6BB32473"/>
    <w:rsid w:val="6BB362CE"/>
    <w:rsid w:val="6BD9385B"/>
    <w:rsid w:val="6C757A27"/>
    <w:rsid w:val="6CA83959"/>
    <w:rsid w:val="6CAD6E65"/>
    <w:rsid w:val="6CB0280D"/>
    <w:rsid w:val="6CBC288D"/>
    <w:rsid w:val="6CC52527"/>
    <w:rsid w:val="6CED1CB3"/>
    <w:rsid w:val="6D2356D5"/>
    <w:rsid w:val="6D421075"/>
    <w:rsid w:val="6D4E3F87"/>
    <w:rsid w:val="6D633D24"/>
    <w:rsid w:val="6D7221B9"/>
    <w:rsid w:val="6E056B89"/>
    <w:rsid w:val="6E63227E"/>
    <w:rsid w:val="6E82642B"/>
    <w:rsid w:val="6E9042AC"/>
    <w:rsid w:val="6EA77C40"/>
    <w:rsid w:val="6EEE586F"/>
    <w:rsid w:val="6F1F1ECC"/>
    <w:rsid w:val="6F6D005F"/>
    <w:rsid w:val="6FAC3760"/>
    <w:rsid w:val="6FDB4045"/>
    <w:rsid w:val="6FDC46F9"/>
    <w:rsid w:val="6FEE1E4E"/>
    <w:rsid w:val="70046389"/>
    <w:rsid w:val="704C0A9F"/>
    <w:rsid w:val="70622071"/>
    <w:rsid w:val="707B75D6"/>
    <w:rsid w:val="708738A8"/>
    <w:rsid w:val="70A93302"/>
    <w:rsid w:val="70AB7EBB"/>
    <w:rsid w:val="71A62431"/>
    <w:rsid w:val="71B21CC9"/>
    <w:rsid w:val="71BE59CD"/>
    <w:rsid w:val="71CE20ED"/>
    <w:rsid w:val="72192A04"/>
    <w:rsid w:val="72287210"/>
    <w:rsid w:val="7236618F"/>
    <w:rsid w:val="724063E2"/>
    <w:rsid w:val="72D80D10"/>
    <w:rsid w:val="73076EFF"/>
    <w:rsid w:val="735070F9"/>
    <w:rsid w:val="735760D9"/>
    <w:rsid w:val="73760167"/>
    <w:rsid w:val="73B515B8"/>
    <w:rsid w:val="73F362FF"/>
    <w:rsid w:val="741B2C62"/>
    <w:rsid w:val="74213FF1"/>
    <w:rsid w:val="743A7BA8"/>
    <w:rsid w:val="75265D63"/>
    <w:rsid w:val="7542134D"/>
    <w:rsid w:val="754765E9"/>
    <w:rsid w:val="754D4A0B"/>
    <w:rsid w:val="756D573F"/>
    <w:rsid w:val="757271FA"/>
    <w:rsid w:val="758B3E18"/>
    <w:rsid w:val="75BC66C7"/>
    <w:rsid w:val="75DF4163"/>
    <w:rsid w:val="760F67F7"/>
    <w:rsid w:val="762B1157"/>
    <w:rsid w:val="7654115E"/>
    <w:rsid w:val="76A21419"/>
    <w:rsid w:val="76DD68F5"/>
    <w:rsid w:val="76F9482C"/>
    <w:rsid w:val="77230310"/>
    <w:rsid w:val="776410A9"/>
    <w:rsid w:val="77884AB3"/>
    <w:rsid w:val="778E23D2"/>
    <w:rsid w:val="779F3BAA"/>
    <w:rsid w:val="77AA333F"/>
    <w:rsid w:val="77F43EF6"/>
    <w:rsid w:val="78197E01"/>
    <w:rsid w:val="781D5A68"/>
    <w:rsid w:val="7836450F"/>
    <w:rsid w:val="78D1381E"/>
    <w:rsid w:val="792B60CF"/>
    <w:rsid w:val="796C6412"/>
    <w:rsid w:val="796F2C32"/>
    <w:rsid w:val="7A3727B5"/>
    <w:rsid w:val="7A3E58FC"/>
    <w:rsid w:val="7A6A04A0"/>
    <w:rsid w:val="7A792DD8"/>
    <w:rsid w:val="7ABB3193"/>
    <w:rsid w:val="7AC51B7A"/>
    <w:rsid w:val="7AD3091D"/>
    <w:rsid w:val="7AD73A03"/>
    <w:rsid w:val="7B2965AD"/>
    <w:rsid w:val="7C232FFC"/>
    <w:rsid w:val="7C3F78B9"/>
    <w:rsid w:val="7C477AB2"/>
    <w:rsid w:val="7C4B7016"/>
    <w:rsid w:val="7C527615"/>
    <w:rsid w:val="7C5B379A"/>
    <w:rsid w:val="7C9C2DAE"/>
    <w:rsid w:val="7CB225D2"/>
    <w:rsid w:val="7CDC5643"/>
    <w:rsid w:val="7D1110A6"/>
    <w:rsid w:val="7D230DDA"/>
    <w:rsid w:val="7D461899"/>
    <w:rsid w:val="7D562AF1"/>
    <w:rsid w:val="7D617346"/>
    <w:rsid w:val="7DC0487A"/>
    <w:rsid w:val="7DCD6B6E"/>
    <w:rsid w:val="7DE20C95"/>
    <w:rsid w:val="7DFB0067"/>
    <w:rsid w:val="7DFC3DCF"/>
    <w:rsid w:val="7E5251D0"/>
    <w:rsid w:val="7E576F8D"/>
    <w:rsid w:val="7E7F513B"/>
    <w:rsid w:val="7ED30AD2"/>
    <w:rsid w:val="7EDB5BA8"/>
    <w:rsid w:val="7F077C7F"/>
    <w:rsid w:val="7F1E2436"/>
    <w:rsid w:val="7F6F47AA"/>
    <w:rsid w:val="7FE13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Times New Roman" w:eastAsiaTheme="minorEastAsia"/>
      <w:kern w:val="1"/>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link w:val="88"/>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kern w:val="0"/>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szCs w:val="20"/>
    </w:rPr>
  </w:style>
  <w:style w:type="paragraph" w:styleId="7">
    <w:name w:val="index 5"/>
    <w:basedOn w:val="1"/>
    <w:next w:val="1"/>
    <w:qFormat/>
    <w:uiPriority w:val="0"/>
    <w:pPr>
      <w:ind w:left="1680"/>
    </w:pPr>
  </w:style>
  <w:style w:type="paragraph" w:styleId="8">
    <w:name w:val="annotation text"/>
    <w:basedOn w:val="1"/>
    <w:link w:val="64"/>
    <w:semiHidden/>
    <w:unhideWhenUsed/>
    <w:qFormat/>
    <w:uiPriority w:val="99"/>
    <w:pPr>
      <w:jc w:val="left"/>
    </w:pPr>
  </w:style>
  <w:style w:type="paragraph" w:styleId="9">
    <w:name w:val="Body Text"/>
    <w:basedOn w:val="1"/>
    <w:qFormat/>
    <w:uiPriority w:val="0"/>
    <w:pPr>
      <w:spacing w:after="120"/>
    </w:pPr>
  </w:style>
  <w:style w:type="paragraph" w:styleId="10">
    <w:name w:val="Body Text Indent"/>
    <w:basedOn w:val="1"/>
    <w:next w:val="11"/>
    <w:link w:val="51"/>
    <w:qFormat/>
    <w:uiPriority w:val="0"/>
    <w:pPr>
      <w:widowControl w:val="0"/>
      <w:ind w:left="420"/>
      <w:jc w:val="both"/>
    </w:pPr>
    <w:rPr>
      <w:rFonts w:ascii="Calibri" w:hAnsi="Calibri" w:cs="Times New Roman" w:eastAsiaTheme="minorEastAsia"/>
      <w:kern w:val="1"/>
      <w:sz w:val="21"/>
      <w:szCs w:val="24"/>
      <w:lang w:val="en-US" w:eastAsia="zh-CN" w:bidi="ar-SA"/>
    </w:rPr>
  </w:style>
  <w:style w:type="paragraph" w:styleId="11">
    <w:name w:val="Body Text First Indent 2"/>
    <w:basedOn w:val="10"/>
    <w:next w:val="1"/>
    <w:qFormat/>
    <w:uiPriority w:val="0"/>
    <w:pPr>
      <w:ind w:firstLine="420" w:firstLineChars="200"/>
    </w:pPr>
  </w:style>
  <w:style w:type="paragraph" w:styleId="12">
    <w:name w:val="Plain Text"/>
    <w:basedOn w:val="1"/>
    <w:link w:val="52"/>
    <w:qFormat/>
    <w:uiPriority w:val="0"/>
    <w:pPr>
      <w:widowControl w:val="0"/>
      <w:jc w:val="both"/>
    </w:pPr>
    <w:rPr>
      <w:rFonts w:ascii="宋体" w:hAnsi="宋体" w:cs="Courier New" w:eastAsiaTheme="minorEastAsia"/>
      <w:kern w:val="1"/>
      <w:sz w:val="21"/>
      <w:szCs w:val="21"/>
      <w:lang w:val="en-US" w:eastAsia="zh-CN" w:bidi="ar-SA"/>
    </w:rPr>
  </w:style>
  <w:style w:type="paragraph" w:styleId="13">
    <w:name w:val="Date"/>
    <w:basedOn w:val="1"/>
    <w:next w:val="1"/>
    <w:link w:val="53"/>
    <w:qFormat/>
    <w:uiPriority w:val="0"/>
    <w:pPr>
      <w:widowControl w:val="0"/>
      <w:jc w:val="both"/>
    </w:pPr>
    <w:rPr>
      <w:rFonts w:ascii="Calibri" w:hAnsi="Calibri" w:cs="Times New Roman" w:eastAsiaTheme="minorEastAsia"/>
      <w:kern w:val="1"/>
      <w:sz w:val="24"/>
      <w:szCs w:val="20"/>
      <w:lang w:val="en-US" w:eastAsia="zh-CN" w:bidi="ar-SA"/>
    </w:rPr>
  </w:style>
  <w:style w:type="paragraph" w:styleId="14">
    <w:name w:val="Body Text Indent 2"/>
    <w:basedOn w:val="1"/>
    <w:next w:val="1"/>
    <w:qFormat/>
    <w:uiPriority w:val="0"/>
    <w:pPr>
      <w:spacing w:after="120" w:line="480" w:lineRule="auto"/>
      <w:ind w:left="420" w:leftChars="200"/>
    </w:pPr>
    <w:rPr>
      <w:kern w:val="0"/>
      <w:sz w:val="20"/>
    </w:rPr>
  </w:style>
  <w:style w:type="paragraph" w:styleId="15">
    <w:name w:val="Balloon Text"/>
    <w:basedOn w:val="1"/>
    <w:link w:val="66"/>
    <w:semiHidden/>
    <w:unhideWhenUsed/>
    <w:qFormat/>
    <w:uiPriority w:val="99"/>
    <w:rPr>
      <w:sz w:val="18"/>
      <w:szCs w:val="18"/>
    </w:rPr>
  </w:style>
  <w:style w:type="paragraph" w:styleId="16">
    <w:name w:val="footer"/>
    <w:basedOn w:val="1"/>
    <w:link w:val="63"/>
    <w:unhideWhenUsed/>
    <w:qFormat/>
    <w:uiPriority w:val="0"/>
    <w:pPr>
      <w:tabs>
        <w:tab w:val="center" w:pos="4153"/>
        <w:tab w:val="right" w:pos="8306"/>
      </w:tabs>
      <w:snapToGrid w:val="0"/>
      <w:jc w:val="left"/>
    </w:pPr>
    <w:rPr>
      <w:sz w:val="18"/>
      <w:szCs w:val="18"/>
    </w:rPr>
  </w:style>
  <w:style w:type="paragraph" w:styleId="17">
    <w:name w:val="header"/>
    <w:basedOn w:val="1"/>
    <w:next w:val="16"/>
    <w:link w:val="6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Signature"/>
    <w:basedOn w:val="1"/>
    <w:qFormat/>
    <w:uiPriority w:val="0"/>
    <w:pPr>
      <w:spacing w:line="360" w:lineRule="auto"/>
      <w:ind w:left="4320" w:firstLine="480" w:firstLineChars="200"/>
    </w:pPr>
    <w:rPr>
      <w:rFonts w:eastAsia="楷体_GB2312"/>
      <w:kern w:val="0"/>
      <w:sz w:val="20"/>
      <w:szCs w:val="20"/>
      <w:lang w:val="zh-CN"/>
    </w:rPr>
  </w:style>
  <w:style w:type="paragraph" w:styleId="19">
    <w:name w:val="toc 1"/>
    <w:next w:val="1"/>
    <w:qFormat/>
    <w:uiPriority w:val="0"/>
    <w:pPr>
      <w:widowControl w:val="0"/>
      <w:tabs>
        <w:tab w:val="right" w:leader="dot" w:pos="8296"/>
      </w:tabs>
      <w:spacing w:line="360" w:lineRule="auto"/>
      <w:jc w:val="center"/>
    </w:pPr>
    <w:rPr>
      <w:rFonts w:ascii="Times New Roman" w:hAnsi="Times New Roman" w:eastAsia="宋体" w:cs="Times New Roman"/>
      <w:b/>
      <w:kern w:val="1"/>
      <w:sz w:val="32"/>
      <w:szCs w:val="32"/>
      <w:lang w:val="en-US" w:eastAsia="zh-CN" w:bidi="ar-SA"/>
    </w:rPr>
  </w:style>
  <w:style w:type="paragraph" w:styleId="20">
    <w:name w:val="footnote text"/>
    <w:basedOn w:val="21"/>
    <w:qFormat/>
    <w:uiPriority w:val="0"/>
    <w:pPr>
      <w:widowControl/>
      <w:snapToGrid w:val="0"/>
      <w:spacing w:afterLines="100" w:line="360" w:lineRule="auto"/>
      <w:ind w:firstLine="200" w:firstLineChars="200"/>
      <w:jc w:val="left"/>
    </w:pPr>
    <w:rPr>
      <w:rFonts w:ascii="Arial" w:hAnsi="Arial" w:eastAsia="黑体"/>
      <w:sz w:val="24"/>
    </w:rPr>
  </w:style>
  <w:style w:type="paragraph" w:customStyle="1" w:styleId="21">
    <w:name w:val="Normal_15"/>
    <w:qFormat/>
    <w:uiPriority w:val="0"/>
    <w:pPr>
      <w:widowControl w:val="0"/>
      <w:jc w:val="both"/>
    </w:pPr>
    <w:rPr>
      <w:rFonts w:ascii="Calibri" w:hAnsi="Calibri" w:eastAsia="宋体" w:cs="Times New Roman"/>
      <w:lang w:val="en-US" w:eastAsia="zh-CN" w:bidi="ar-SA"/>
    </w:rPr>
  </w:style>
  <w:style w:type="paragraph" w:styleId="22">
    <w:name w:val="Body Text Indent 3"/>
    <w:basedOn w:val="1"/>
    <w:link w:val="56"/>
    <w:qFormat/>
    <w:uiPriority w:val="0"/>
    <w:pPr>
      <w:widowControl w:val="0"/>
      <w:spacing w:after="120"/>
      <w:ind w:left="420"/>
      <w:jc w:val="both"/>
    </w:pPr>
    <w:rPr>
      <w:rFonts w:ascii="Calibri" w:hAnsi="Calibri" w:cs="Times New Roman" w:eastAsiaTheme="minorEastAsia"/>
      <w:kern w:val="1"/>
      <w:sz w:val="16"/>
      <w:szCs w:val="16"/>
      <w:lang w:val="en-US" w:eastAsia="zh-CN" w:bidi="ar-SA"/>
    </w:rPr>
  </w:style>
  <w:style w:type="paragraph" w:styleId="23">
    <w:name w:val="toc 2"/>
    <w:basedOn w:val="1"/>
    <w:next w:val="1"/>
    <w:semiHidden/>
    <w:unhideWhenUsed/>
    <w:qFormat/>
    <w:uiPriority w:val="39"/>
    <w:pPr>
      <w:ind w:left="420" w:leftChars="200"/>
    </w:pPr>
  </w:style>
  <w:style w:type="paragraph" w:styleId="24">
    <w:name w:val="Normal (Web)"/>
    <w:basedOn w:val="1"/>
    <w:qFormat/>
    <w:uiPriority w:val="0"/>
    <w:pPr>
      <w:spacing w:beforeAutospacing="1" w:afterAutospacing="1"/>
    </w:pPr>
    <w:rPr>
      <w:rFonts w:ascii="宋体" w:hAnsi="宋体" w:cs="宋体" w:eastAsiaTheme="minorEastAsia"/>
      <w:kern w:val="1"/>
      <w:sz w:val="24"/>
      <w:szCs w:val="24"/>
      <w:lang w:val="en-US" w:eastAsia="zh-CN" w:bidi="ar-SA"/>
    </w:rPr>
  </w:style>
  <w:style w:type="paragraph" w:styleId="25">
    <w:name w:val="Title"/>
    <w:basedOn w:val="1"/>
    <w:next w:val="1"/>
    <w:qFormat/>
    <w:uiPriority w:val="0"/>
    <w:pPr>
      <w:spacing w:before="240" w:after="60"/>
      <w:jc w:val="center"/>
      <w:outlineLvl w:val="0"/>
    </w:pPr>
    <w:rPr>
      <w:rFonts w:ascii="Cambria" w:hAnsi="Cambria"/>
      <w:b/>
      <w:kern w:val="0"/>
      <w:sz w:val="32"/>
    </w:rPr>
  </w:style>
  <w:style w:type="paragraph" w:styleId="26">
    <w:name w:val="annotation subject"/>
    <w:basedOn w:val="8"/>
    <w:next w:val="1"/>
    <w:link w:val="65"/>
    <w:semiHidden/>
    <w:unhideWhenUsed/>
    <w:qFormat/>
    <w:uiPriority w:val="99"/>
    <w:rPr>
      <w:b/>
      <w:bCs/>
    </w:rPr>
  </w:style>
  <w:style w:type="paragraph" w:styleId="27">
    <w:name w:val="Body Text First Indent"/>
    <w:basedOn w:val="9"/>
    <w:qFormat/>
    <w:uiPriority w:val="0"/>
    <w:pPr>
      <w:ind w:firstLine="420" w:firstLineChars="100"/>
    </w:p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rFonts w:ascii="Times New Roman" w:hAnsi="Times New Roman" w:eastAsia="宋体"/>
      <w:b/>
      <w:bCs/>
      <w:kern w:val="0"/>
      <w:sz w:val="20"/>
      <w:szCs w:val="20"/>
    </w:rPr>
  </w:style>
  <w:style w:type="character" w:styleId="32">
    <w:name w:val="FollowedHyperlink"/>
    <w:basedOn w:val="30"/>
    <w:semiHidden/>
    <w:unhideWhenUsed/>
    <w:qFormat/>
    <w:uiPriority w:val="99"/>
    <w:rPr>
      <w:color w:val="800080"/>
      <w:u w:val="none"/>
    </w:rPr>
  </w:style>
  <w:style w:type="character" w:styleId="33">
    <w:name w:val="Emphasis"/>
    <w:basedOn w:val="30"/>
    <w:qFormat/>
    <w:uiPriority w:val="20"/>
    <w:rPr>
      <w:b/>
    </w:rPr>
  </w:style>
  <w:style w:type="character" w:styleId="34">
    <w:name w:val="HTML Definition"/>
    <w:basedOn w:val="30"/>
    <w:semiHidden/>
    <w:unhideWhenUsed/>
    <w:qFormat/>
    <w:uiPriority w:val="99"/>
  </w:style>
  <w:style w:type="character" w:styleId="35">
    <w:name w:val="HTML Typewriter"/>
    <w:basedOn w:val="30"/>
    <w:semiHidden/>
    <w:unhideWhenUsed/>
    <w:qFormat/>
    <w:uiPriority w:val="99"/>
    <w:rPr>
      <w:rFonts w:hint="default" w:ascii="monospace" w:hAnsi="monospace" w:eastAsia="monospace" w:cs="monospace"/>
      <w:sz w:val="20"/>
    </w:rPr>
  </w:style>
  <w:style w:type="character" w:styleId="36">
    <w:name w:val="HTML Acronym"/>
    <w:basedOn w:val="30"/>
    <w:semiHidden/>
    <w:unhideWhenUsed/>
    <w:qFormat/>
    <w:uiPriority w:val="99"/>
    <w:rPr>
      <w:sz w:val="22"/>
      <w:szCs w:val="22"/>
    </w:rPr>
  </w:style>
  <w:style w:type="character" w:styleId="37">
    <w:name w:val="HTML Variable"/>
    <w:basedOn w:val="30"/>
    <w:semiHidden/>
    <w:unhideWhenUsed/>
    <w:qFormat/>
    <w:uiPriority w:val="99"/>
  </w:style>
  <w:style w:type="character" w:styleId="38">
    <w:name w:val="Hyperlink"/>
    <w:qFormat/>
    <w:uiPriority w:val="0"/>
    <w:rPr>
      <w:rFonts w:ascii="Times New Roman" w:hAnsi="Times New Roman" w:eastAsia="宋体"/>
      <w:color w:val="0000FF"/>
      <w:kern w:val="0"/>
      <w:sz w:val="20"/>
      <w:szCs w:val="20"/>
      <w:u w:val="single"/>
    </w:rPr>
  </w:style>
  <w:style w:type="character" w:styleId="39">
    <w:name w:val="HTML Code"/>
    <w:basedOn w:val="30"/>
    <w:semiHidden/>
    <w:unhideWhenUsed/>
    <w:qFormat/>
    <w:uiPriority w:val="99"/>
    <w:rPr>
      <w:rFonts w:hint="default" w:ascii="monospace" w:hAnsi="monospace" w:eastAsia="monospace" w:cs="monospace"/>
      <w:sz w:val="20"/>
    </w:rPr>
  </w:style>
  <w:style w:type="character" w:styleId="40">
    <w:name w:val="annotation reference"/>
    <w:basedOn w:val="30"/>
    <w:semiHidden/>
    <w:unhideWhenUsed/>
    <w:qFormat/>
    <w:uiPriority w:val="99"/>
    <w:rPr>
      <w:sz w:val="21"/>
      <w:szCs w:val="21"/>
    </w:rPr>
  </w:style>
  <w:style w:type="character" w:styleId="41">
    <w:name w:val="HTML Cite"/>
    <w:basedOn w:val="30"/>
    <w:semiHidden/>
    <w:unhideWhenUsed/>
    <w:qFormat/>
    <w:uiPriority w:val="99"/>
    <w:rPr>
      <w:rFonts w:ascii="微软雅黑" w:hAnsi="微软雅黑" w:eastAsia="微软雅黑" w:cs="微软雅黑"/>
      <w:color w:val="3D4B64"/>
      <w:sz w:val="22"/>
      <w:szCs w:val="22"/>
    </w:rPr>
  </w:style>
  <w:style w:type="character" w:styleId="42">
    <w:name w:val="footnote reference"/>
    <w:basedOn w:val="30"/>
    <w:qFormat/>
    <w:uiPriority w:val="0"/>
    <w:rPr>
      <w:vertAlign w:val="superscript"/>
    </w:rPr>
  </w:style>
  <w:style w:type="character" w:styleId="43">
    <w:name w:val="HTML Keyboard"/>
    <w:basedOn w:val="30"/>
    <w:semiHidden/>
    <w:unhideWhenUsed/>
    <w:qFormat/>
    <w:uiPriority w:val="99"/>
    <w:rPr>
      <w:rFonts w:ascii="monospace" w:hAnsi="monospace" w:eastAsia="monospace" w:cs="monospace"/>
      <w:sz w:val="20"/>
    </w:rPr>
  </w:style>
  <w:style w:type="character" w:styleId="44">
    <w:name w:val="HTML Sample"/>
    <w:basedOn w:val="30"/>
    <w:semiHidden/>
    <w:unhideWhenUsed/>
    <w:qFormat/>
    <w:uiPriority w:val="99"/>
    <w:rPr>
      <w:rFonts w:hint="default" w:ascii="monospace" w:hAnsi="monospace" w:eastAsia="monospace" w:cs="monospace"/>
    </w:rPr>
  </w:style>
  <w:style w:type="paragraph" w:customStyle="1" w:styleId="4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46">
    <w:name w:val="样式2"/>
    <w:basedOn w:val="47"/>
    <w:next w:val="25"/>
    <w:qFormat/>
    <w:uiPriority w:val="0"/>
    <w:pPr>
      <w:tabs>
        <w:tab w:val="center" w:pos="4153"/>
        <w:tab w:val="right" w:pos="8306"/>
      </w:tabs>
    </w:pPr>
  </w:style>
  <w:style w:type="paragraph" w:customStyle="1" w:styleId="47">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8">
    <w:name w:val="正文格式"/>
    <w:basedOn w:val="1"/>
    <w:qFormat/>
    <w:uiPriority w:val="0"/>
    <w:pPr>
      <w:widowControl/>
      <w:adjustRightInd w:val="0"/>
      <w:snapToGrid w:val="0"/>
      <w:textAlignment w:val="baseline"/>
    </w:pPr>
    <w:rPr>
      <w:kern w:val="0"/>
    </w:rPr>
  </w:style>
  <w:style w:type="paragraph" w:customStyle="1" w:styleId="49">
    <w:name w:val="首行缩进"/>
    <w:basedOn w:val="1"/>
    <w:qFormat/>
    <w:uiPriority w:val="0"/>
    <w:pPr>
      <w:ind w:firstLine="720"/>
      <w:jc w:val="left"/>
    </w:pPr>
    <w:rPr>
      <w:sz w:val="24"/>
    </w:rPr>
  </w:style>
  <w:style w:type="paragraph" w:customStyle="1" w:styleId="50">
    <w:name w:val="font5"/>
    <w:basedOn w:val="1"/>
    <w:qFormat/>
    <w:uiPriority w:val="99"/>
    <w:pPr>
      <w:widowControl/>
      <w:spacing w:before="100" w:beforeAutospacing="1" w:after="100" w:afterAutospacing="1"/>
      <w:jc w:val="left"/>
    </w:pPr>
    <w:rPr>
      <w:rFonts w:ascii="宋体"/>
      <w:kern w:val="0"/>
      <w:sz w:val="18"/>
      <w:szCs w:val="18"/>
    </w:rPr>
  </w:style>
  <w:style w:type="character" w:customStyle="1" w:styleId="51">
    <w:name w:val="正文文本缩进 Char"/>
    <w:basedOn w:val="30"/>
    <w:link w:val="10"/>
    <w:qFormat/>
    <w:uiPriority w:val="0"/>
    <w:rPr>
      <w:rFonts w:ascii="Calibri" w:hAnsi="Calibri" w:cs="Times New Roman"/>
      <w:kern w:val="1"/>
      <w:szCs w:val="24"/>
    </w:rPr>
  </w:style>
  <w:style w:type="character" w:customStyle="1" w:styleId="52">
    <w:name w:val="纯文本 Char"/>
    <w:basedOn w:val="30"/>
    <w:link w:val="12"/>
    <w:qFormat/>
    <w:uiPriority w:val="0"/>
    <w:rPr>
      <w:rFonts w:ascii="宋体" w:hAnsi="宋体" w:cs="Courier New"/>
      <w:kern w:val="1"/>
      <w:szCs w:val="21"/>
    </w:rPr>
  </w:style>
  <w:style w:type="character" w:customStyle="1" w:styleId="53">
    <w:name w:val="日期 Char"/>
    <w:basedOn w:val="30"/>
    <w:link w:val="13"/>
    <w:qFormat/>
    <w:uiPriority w:val="0"/>
    <w:rPr>
      <w:rFonts w:ascii="Calibri" w:hAnsi="Calibri" w:cs="Times New Roman"/>
      <w:kern w:val="1"/>
      <w:sz w:val="24"/>
      <w:szCs w:val="20"/>
    </w:rPr>
  </w:style>
  <w:style w:type="paragraph" w:customStyle="1" w:styleId="54">
    <w:name w:val="Footer"/>
    <w:qFormat/>
    <w:uiPriority w:val="0"/>
    <w:pPr>
      <w:widowControl w:val="0"/>
      <w:tabs>
        <w:tab w:val="center" w:pos="4153"/>
        <w:tab w:val="right" w:pos="8306"/>
      </w:tabs>
    </w:pPr>
    <w:rPr>
      <w:rFonts w:ascii="Calibri" w:hAnsi="Calibri" w:cs="Times New Roman" w:eastAsiaTheme="minorEastAsia"/>
      <w:kern w:val="1"/>
      <w:sz w:val="18"/>
      <w:szCs w:val="18"/>
      <w:lang w:val="en-US" w:eastAsia="zh-CN" w:bidi="ar-SA"/>
    </w:rPr>
  </w:style>
  <w:style w:type="paragraph" w:customStyle="1" w:styleId="55">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Calibri" w:hAnsi="Calibri" w:cs="Times New Roman" w:eastAsiaTheme="minorEastAsia"/>
      <w:kern w:val="1"/>
      <w:sz w:val="18"/>
      <w:szCs w:val="18"/>
      <w:lang w:val="en-US" w:eastAsia="zh-CN" w:bidi="ar-SA"/>
    </w:rPr>
  </w:style>
  <w:style w:type="character" w:customStyle="1" w:styleId="56">
    <w:name w:val="正文文本缩进 3 Char"/>
    <w:basedOn w:val="30"/>
    <w:link w:val="22"/>
    <w:qFormat/>
    <w:uiPriority w:val="0"/>
    <w:rPr>
      <w:rFonts w:ascii="Calibri" w:hAnsi="Calibri" w:cs="Times New Roman"/>
      <w:kern w:val="1"/>
      <w:sz w:val="16"/>
      <w:szCs w:val="16"/>
    </w:rPr>
  </w:style>
  <w:style w:type="paragraph" w:customStyle="1" w:styleId="57">
    <w:name w:val="p0"/>
    <w:qFormat/>
    <w:uiPriority w:val="0"/>
    <w:pPr>
      <w:jc w:val="both"/>
    </w:pPr>
    <w:rPr>
      <w:rFonts w:ascii="Calibri" w:hAnsi="Calibri" w:cs="Times New Roman" w:eastAsiaTheme="minorEastAsia"/>
      <w:kern w:val="1"/>
      <w:sz w:val="21"/>
      <w:szCs w:val="21"/>
      <w:lang w:val="en-US" w:eastAsia="zh-CN" w:bidi="ar-SA"/>
    </w:rPr>
  </w:style>
  <w:style w:type="paragraph" w:styleId="58">
    <w:name w:val="List Paragraph"/>
    <w:qFormat/>
    <w:uiPriority w:val="0"/>
    <w:pPr>
      <w:widowControl w:val="0"/>
      <w:ind w:firstLine="420"/>
      <w:jc w:val="both"/>
    </w:pPr>
    <w:rPr>
      <w:rFonts w:ascii="Calibri" w:hAnsi="Calibri" w:cs="Times New Roman" w:eastAsiaTheme="minorEastAsia"/>
      <w:kern w:val="1"/>
      <w:sz w:val="21"/>
      <w:szCs w:val="24"/>
      <w:lang w:val="en-US" w:eastAsia="zh-CN" w:bidi="ar-SA"/>
    </w:rPr>
  </w:style>
  <w:style w:type="paragraph" w:customStyle="1" w:styleId="59">
    <w:name w:val="列出段落1"/>
    <w:qFormat/>
    <w:uiPriority w:val="0"/>
    <w:pPr>
      <w:widowControl w:val="0"/>
      <w:ind w:firstLine="420"/>
      <w:jc w:val="both"/>
    </w:pPr>
    <w:rPr>
      <w:rFonts w:ascii="Calibri" w:hAnsi="Calibri" w:cs="Calibri" w:eastAsiaTheme="minorEastAsia"/>
      <w:kern w:val="1"/>
      <w:sz w:val="21"/>
      <w:szCs w:val="21"/>
      <w:lang w:val="en-US" w:eastAsia="zh-CN" w:bidi="ar-SA"/>
    </w:rPr>
  </w:style>
  <w:style w:type="character" w:customStyle="1" w:styleId="60">
    <w:name w:val="页眉 Char"/>
    <w:qFormat/>
    <w:uiPriority w:val="0"/>
    <w:rPr>
      <w:kern w:val="1"/>
      <w:sz w:val="18"/>
      <w:szCs w:val="18"/>
    </w:rPr>
  </w:style>
  <w:style w:type="character" w:customStyle="1" w:styleId="61">
    <w:name w:val="页脚 Char"/>
    <w:qFormat/>
    <w:uiPriority w:val="0"/>
    <w:rPr>
      <w:rFonts w:ascii="Calibri" w:hAnsi="Calibri" w:eastAsia="Calibri"/>
      <w:kern w:val="1"/>
      <w:sz w:val="18"/>
      <w:szCs w:val="18"/>
    </w:rPr>
  </w:style>
  <w:style w:type="character" w:customStyle="1" w:styleId="62">
    <w:name w:val="页眉 Char1"/>
    <w:basedOn w:val="30"/>
    <w:link w:val="17"/>
    <w:semiHidden/>
    <w:qFormat/>
    <w:uiPriority w:val="99"/>
    <w:rPr>
      <w:rFonts w:ascii="Calibri" w:hAnsi="Calibri" w:cs="Times New Roman"/>
      <w:kern w:val="1"/>
      <w:sz w:val="18"/>
      <w:szCs w:val="18"/>
    </w:rPr>
  </w:style>
  <w:style w:type="character" w:customStyle="1" w:styleId="63">
    <w:name w:val="页脚 Char1"/>
    <w:basedOn w:val="30"/>
    <w:link w:val="16"/>
    <w:semiHidden/>
    <w:qFormat/>
    <w:uiPriority w:val="99"/>
    <w:rPr>
      <w:rFonts w:ascii="Calibri" w:hAnsi="Calibri" w:cs="Times New Roman"/>
      <w:kern w:val="1"/>
      <w:sz w:val="18"/>
      <w:szCs w:val="18"/>
    </w:rPr>
  </w:style>
  <w:style w:type="character" w:customStyle="1" w:styleId="64">
    <w:name w:val="批注文字 Char"/>
    <w:basedOn w:val="30"/>
    <w:link w:val="8"/>
    <w:semiHidden/>
    <w:qFormat/>
    <w:uiPriority w:val="99"/>
    <w:rPr>
      <w:rFonts w:ascii="Calibri" w:hAnsi="Calibri" w:cs="Times New Roman"/>
      <w:kern w:val="1"/>
      <w:szCs w:val="24"/>
    </w:rPr>
  </w:style>
  <w:style w:type="character" w:customStyle="1" w:styleId="65">
    <w:name w:val="批注主题 Char"/>
    <w:basedOn w:val="64"/>
    <w:link w:val="26"/>
    <w:semiHidden/>
    <w:qFormat/>
    <w:uiPriority w:val="99"/>
    <w:rPr>
      <w:b/>
      <w:bCs/>
    </w:rPr>
  </w:style>
  <w:style w:type="character" w:customStyle="1" w:styleId="66">
    <w:name w:val="批注框文本 Char"/>
    <w:basedOn w:val="30"/>
    <w:link w:val="15"/>
    <w:semiHidden/>
    <w:qFormat/>
    <w:uiPriority w:val="99"/>
    <w:rPr>
      <w:rFonts w:ascii="Calibri" w:hAnsi="Calibri" w:cs="Times New Roman"/>
      <w:kern w:val="1"/>
      <w:sz w:val="18"/>
      <w:szCs w:val="18"/>
    </w:rPr>
  </w:style>
  <w:style w:type="paragraph" w:customStyle="1" w:styleId="67">
    <w:name w:val="页脚1"/>
    <w:qFormat/>
    <w:uiPriority w:val="0"/>
    <w:pPr>
      <w:widowControl w:val="0"/>
      <w:tabs>
        <w:tab w:val="center" w:pos="4153"/>
        <w:tab w:val="right" w:pos="8306"/>
      </w:tabs>
    </w:pPr>
    <w:rPr>
      <w:rFonts w:ascii="Calibri" w:hAnsi="Calibri" w:cs="Times New Roman" w:eastAsiaTheme="minorEastAsia"/>
      <w:kern w:val="1"/>
      <w:sz w:val="18"/>
      <w:szCs w:val="18"/>
      <w:lang w:val="en-US" w:eastAsia="zh-CN" w:bidi="ar-SA"/>
    </w:rPr>
  </w:style>
  <w:style w:type="paragraph" w:customStyle="1" w:styleId="68">
    <w:name w:val="页眉1"/>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Calibri" w:hAnsi="Calibri" w:cs="Times New Roman" w:eastAsiaTheme="minorEastAsia"/>
      <w:kern w:val="1"/>
      <w:sz w:val="18"/>
      <w:szCs w:val="18"/>
      <w:lang w:val="en-US" w:eastAsia="zh-CN" w:bidi="ar-SA"/>
    </w:rPr>
  </w:style>
  <w:style w:type="paragraph" w:customStyle="1" w:styleId="69">
    <w:name w:val="_Style 1"/>
    <w:basedOn w:val="1"/>
    <w:qFormat/>
    <w:uiPriority w:val="34"/>
    <w:pPr>
      <w:ind w:firstLine="420" w:firstLineChars="200"/>
    </w:pPr>
    <w:rPr>
      <w:szCs w:val="22"/>
    </w:rPr>
  </w:style>
  <w:style w:type="paragraph" w:customStyle="1" w:styleId="7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72">
    <w:name w:val="1"/>
    <w:basedOn w:val="73"/>
    <w:next w:val="10"/>
    <w:qFormat/>
    <w:uiPriority w:val="0"/>
    <w:pPr>
      <w:spacing w:afterLines="50" w:line="360" w:lineRule="auto"/>
    </w:pPr>
    <w:rPr>
      <w:rFonts w:ascii="宋体" w:hAnsi="宋体"/>
      <w:b/>
      <w:sz w:val="30"/>
    </w:rPr>
  </w:style>
  <w:style w:type="paragraph" w:customStyle="1" w:styleId="73">
    <w:name w:val="正文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74">
    <w:name w:val="列表段落"/>
    <w:basedOn w:val="1"/>
    <w:qFormat/>
    <w:uiPriority w:val="0"/>
    <w:pPr>
      <w:ind w:firstLine="420" w:firstLineChars="200"/>
    </w:pPr>
  </w:style>
  <w:style w:type="paragraph" w:customStyle="1" w:styleId="75">
    <w:name w:val="Plain Text"/>
    <w:basedOn w:val="1"/>
    <w:qFormat/>
    <w:uiPriority w:val="0"/>
    <w:rPr>
      <w:rFonts w:ascii="宋体" w:hAnsi="Courier New"/>
      <w:szCs w:val="21"/>
    </w:rPr>
  </w:style>
  <w:style w:type="paragraph" w:customStyle="1" w:styleId="76">
    <w:name w:val="Table Paragraph"/>
    <w:basedOn w:val="1"/>
    <w:qFormat/>
    <w:uiPriority w:val="1"/>
    <w:rPr>
      <w:rFonts w:ascii="宋体" w:hAnsi="宋体" w:cs="宋体"/>
    </w:rPr>
  </w:style>
  <w:style w:type="paragraph" w:customStyle="1" w:styleId="77">
    <w:name w:val="论文正文"/>
    <w:qFormat/>
    <w:uiPriority w:val="0"/>
    <w:pPr>
      <w:ind w:firstLine="200" w:firstLineChars="200"/>
      <w:jc w:val="both"/>
    </w:pPr>
    <w:rPr>
      <w:rFonts w:ascii="Times New Roman" w:hAnsi="Times New Roman" w:eastAsia="宋体" w:cs="Times New Roman"/>
      <w:bCs/>
      <w:kern w:val="2"/>
      <w:sz w:val="24"/>
      <w:szCs w:val="32"/>
      <w:lang w:val="en-US" w:eastAsia="zh-CN" w:bidi="ar-SA"/>
    </w:rPr>
  </w:style>
  <w:style w:type="paragraph" w:customStyle="1" w:styleId="78">
    <w:name w:val="正文_21"/>
    <w:next w:val="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GP标题2"/>
    <w:basedOn w:val="1"/>
    <w:next w:val="80"/>
    <w:qFormat/>
    <w:uiPriority w:val="0"/>
    <w:pPr>
      <w:numPr>
        <w:ilvl w:val="1"/>
        <w:numId w:val="1"/>
      </w:numPr>
      <w:spacing w:beforeLines="50" w:afterLines="50" w:line="360" w:lineRule="auto"/>
      <w:jc w:val="left"/>
      <w:outlineLvl w:val="1"/>
    </w:pPr>
    <w:rPr>
      <w:rFonts w:ascii="宋体" w:hAnsi="宋体" w:cs="Times New Roman"/>
      <w:b/>
      <w:sz w:val="28"/>
      <w:szCs w:val="21"/>
    </w:rPr>
  </w:style>
  <w:style w:type="paragraph" w:customStyle="1" w:styleId="80">
    <w:name w:val="GP正文(首行缩进)"/>
    <w:basedOn w:val="1"/>
    <w:qFormat/>
    <w:uiPriority w:val="0"/>
    <w:pPr>
      <w:spacing w:line="360" w:lineRule="auto"/>
      <w:ind w:firstLine="200" w:firstLineChars="200"/>
      <w:jc w:val="left"/>
    </w:pPr>
    <w:rPr>
      <w:rFonts w:ascii="Times New Roman" w:hAnsi="Times New Roman" w:cs="Times New Roman"/>
      <w:sz w:val="24"/>
      <w:szCs w:val="20"/>
    </w:rPr>
  </w:style>
  <w:style w:type="paragraph" w:customStyle="1" w:styleId="81">
    <w:name w:val="Normal_11"/>
    <w:qFormat/>
    <w:uiPriority w:val="0"/>
    <w:rPr>
      <w:rFonts w:ascii="Times New Roman" w:hAnsi="Times New Roman" w:eastAsia="Times New Roman" w:cs="Times New Roman"/>
      <w:sz w:val="24"/>
      <w:szCs w:val="24"/>
      <w:lang w:val="en-US" w:eastAsia="zh-CN" w:bidi="ar-SA"/>
    </w:rPr>
  </w:style>
  <w:style w:type="paragraph" w:customStyle="1" w:styleId="82">
    <w:name w:val="WPSOffice手动目录 1"/>
    <w:qFormat/>
    <w:uiPriority w:val="0"/>
    <w:pPr>
      <w:ind w:leftChars="0"/>
    </w:pPr>
    <w:rPr>
      <w:rFonts w:ascii="Times New Roman" w:hAnsi="Times New Roman" w:eastAsia="宋体" w:cs="Times New Roman"/>
      <w:sz w:val="20"/>
      <w:szCs w:val="20"/>
    </w:rPr>
  </w:style>
  <w:style w:type="paragraph" w:customStyle="1" w:styleId="83">
    <w:name w:val="WPSOffice手动目录 2"/>
    <w:qFormat/>
    <w:uiPriority w:val="0"/>
    <w:pPr>
      <w:ind w:leftChars="200"/>
    </w:pPr>
    <w:rPr>
      <w:rFonts w:ascii="Times New Roman" w:hAnsi="Times New Roman" w:eastAsia="宋体" w:cs="Times New Roman"/>
      <w:sz w:val="20"/>
      <w:szCs w:val="20"/>
    </w:rPr>
  </w:style>
  <w:style w:type="character" w:customStyle="1" w:styleId="84">
    <w:name w:val="NormalCharacter"/>
    <w:semiHidden/>
    <w:qFormat/>
    <w:uiPriority w:val="0"/>
  </w:style>
  <w:style w:type="paragraph" w:customStyle="1" w:styleId="85">
    <w:name w:val="Table Text"/>
    <w:basedOn w:val="1"/>
    <w:semiHidden/>
    <w:qFormat/>
    <w:uiPriority w:val="0"/>
    <w:rPr>
      <w:rFonts w:ascii="宋体" w:hAnsi="宋体" w:eastAsia="宋体" w:cs="宋体"/>
      <w:sz w:val="20"/>
      <w:szCs w:val="20"/>
      <w:lang w:val="en-US" w:eastAsia="en-US" w:bidi="ar-SA"/>
    </w:rPr>
  </w:style>
  <w:style w:type="table" w:customStyle="1" w:styleId="86">
    <w:name w:val="Table Normal"/>
    <w:semiHidden/>
    <w:unhideWhenUsed/>
    <w:qFormat/>
    <w:uiPriority w:val="0"/>
    <w:tblPr>
      <w:tblCellMar>
        <w:top w:w="0" w:type="dxa"/>
        <w:left w:w="0" w:type="dxa"/>
        <w:bottom w:w="0" w:type="dxa"/>
        <w:right w:w="0" w:type="dxa"/>
      </w:tblCellMar>
    </w:tblPr>
  </w:style>
  <w:style w:type="paragraph" w:customStyle="1" w:styleId="87">
    <w:name w:val="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88">
    <w:name w:val="标题 2 Char"/>
    <w:link w:val="3"/>
    <w:qFormat/>
    <w:uiPriority w:val="0"/>
    <w:rPr>
      <w:rFonts w:ascii="Arial" w:hAnsi="Arial"/>
      <w:b/>
      <w:bCs/>
      <w:sz w:val="24"/>
      <w:szCs w:val="32"/>
    </w:rPr>
  </w:style>
  <w:style w:type="paragraph" w:customStyle="1" w:styleId="89">
    <w:name w:val="正文_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0">
    <w:name w:val="Normal_39"/>
    <w:qFormat/>
    <w:uiPriority w:val="0"/>
    <w:rPr>
      <w:rFonts w:ascii="Times New Roman" w:hAnsi="Times New Roman" w:eastAsia="Times New Roman" w:cs="Times New Roman"/>
      <w:sz w:val="24"/>
      <w:szCs w:val="24"/>
    </w:rPr>
  </w:style>
  <w:style w:type="paragraph" w:customStyle="1" w:styleId="91">
    <w:name w:val="正文_17_0"/>
    <w:next w:val="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
    <w:name w:val="正文文本_1_0"/>
    <w:next w:val="91"/>
    <w:qFormat/>
    <w:uiPriority w:val="0"/>
    <w:pPr>
      <w:widowControl w:val="0"/>
      <w:spacing w:after="120"/>
      <w:jc w:val="both"/>
    </w:pPr>
    <w:rPr>
      <w:rFonts w:ascii="Calibri" w:hAnsi="Calibri" w:eastAsia="宋体" w:cs="Times New Roman"/>
      <w:kern w:val="2"/>
      <w:sz w:val="21"/>
      <w:szCs w:val="22"/>
      <w:lang w:val="en-US" w:eastAsia="zh-CN" w:bidi="ar-SA"/>
    </w:rPr>
  </w:style>
  <w:style w:type="paragraph" w:customStyle="1" w:styleId="93">
    <w:name w:val="普通(网站)_0"/>
    <w:qFormat/>
    <w:uiPriority w:val="0"/>
    <w:pPr>
      <w:widowControl/>
      <w:spacing w:before="100" w:beforeAutospacing="1" w:after="100" w:afterAutospacing="1"/>
      <w:jc w:val="left"/>
    </w:pPr>
    <w:rPr>
      <w:rFonts w:ascii="宋体" w:hAnsi="宋体" w:eastAsia="宋体" w:cs="Times New Roman"/>
      <w:kern w:val="0"/>
      <w:sz w:val="24"/>
      <w:szCs w:val="22"/>
      <w:lang w:val="en-US" w:eastAsia="zh-CN" w:bidi="ar-SA"/>
    </w:rPr>
  </w:style>
  <w:style w:type="paragraph" w:customStyle="1" w:styleId="94">
    <w:name w:val="正文_17"/>
    <w:next w:val="95"/>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
    <w:name w:val="正文文本_1"/>
    <w:qFormat/>
    <w:uiPriority w:val="0"/>
    <w:pPr>
      <w:widowControl w:val="0"/>
      <w:spacing w:after="120"/>
      <w:jc w:val="both"/>
    </w:pPr>
    <w:rPr>
      <w:rFonts w:ascii="Calibri" w:hAnsi="Calibri" w:eastAsia="宋体" w:cs="Times New Roman"/>
      <w:kern w:val="2"/>
      <w:sz w:val="21"/>
      <w:szCs w:val="22"/>
      <w:lang w:val="en-US" w:eastAsia="zh-CN" w:bidi="ar-SA"/>
    </w:rPr>
  </w:style>
  <w:style w:type="paragraph" w:customStyle="1" w:styleId="96">
    <w:name w:val="正文缩进_0"/>
    <w:next w:val="94"/>
    <w:qFormat/>
    <w:uiPriority w:val="0"/>
    <w:pPr>
      <w:widowControl/>
      <w:ind w:firstLine="420"/>
      <w:jc w:val="left"/>
    </w:pPr>
    <w:rPr>
      <w:rFonts w:ascii="Calibri" w:hAnsi="Calibri" w:eastAsia="宋体" w:cs="Times New Roman"/>
      <w:kern w:val="0"/>
      <w:sz w:val="20"/>
      <w:szCs w:val="20"/>
      <w:lang w:val="en-US" w:eastAsia="zh-CN" w:bidi="ar-SA"/>
    </w:rPr>
  </w:style>
  <w:style w:type="paragraph" w:customStyle="1" w:styleId="97">
    <w:name w:val="正文文本缩进_0"/>
    <w:next w:val="98"/>
    <w:unhideWhenUsed/>
    <w:qFormat/>
    <w:uiPriority w:val="99"/>
    <w:pPr>
      <w:widowControl w:val="0"/>
      <w:spacing w:after="120"/>
      <w:ind w:left="420" w:leftChars="200"/>
      <w:jc w:val="both"/>
    </w:pPr>
    <w:rPr>
      <w:rFonts w:ascii="Calibri" w:hAnsi="Calibri" w:eastAsia="宋体" w:cs="Times New Roman"/>
      <w:kern w:val="2"/>
      <w:sz w:val="21"/>
      <w:szCs w:val="22"/>
      <w:lang w:val="en-US" w:eastAsia="zh-CN" w:bidi="ar-SA"/>
    </w:rPr>
  </w:style>
  <w:style w:type="paragraph" w:customStyle="1" w:styleId="98">
    <w:name w:val="font5_0"/>
    <w:qFormat/>
    <w:uiPriority w:val="0"/>
    <w:pPr>
      <w:widowControl/>
      <w:spacing w:before="100" w:beforeAutospacing="1" w:after="100" w:afterAutospacing="1"/>
      <w:jc w:val="left"/>
    </w:pPr>
    <w:rPr>
      <w:rFonts w:ascii="宋体" w:hAnsi="Calibri" w:eastAsia="宋体" w:cs="Times New Roman"/>
      <w:kern w:val="0"/>
      <w:sz w:val="18"/>
      <w:szCs w:val="18"/>
      <w:lang w:val="en-US" w:eastAsia="zh-CN" w:bidi="ar-SA"/>
    </w:rPr>
  </w:style>
  <w:style w:type="paragraph" w:customStyle="1" w:styleId="99">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80</Pages>
  <Words>3979</Words>
  <Characters>4308</Characters>
  <Lines>161</Lines>
  <Paragraphs>45</Paragraphs>
  <TotalTime>3</TotalTime>
  <ScaleCrop>false</ScaleCrop>
  <LinksUpToDate>false</LinksUpToDate>
  <CharactersWithSpaces>4346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2018-10-25T07:57:00Z</dcterms:created>
  <dc:creator>Administrator</dc:creator>
  <cp:lastModifiedBy>Administrator</cp:lastModifiedBy>
  <cp:lastPrinted>2026-07-23T09:20:00Z</cp:lastPrinted>
  <dcterms:modified xsi:type="dcterms:W3CDTF">2026-08-21T00:37:47Z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8AA98859DE314163809F5FC33F68F76D_13</vt:lpwstr>
  </property>
  <property fmtid="{D5CDD505-2E9C-101B-9397-08002B2CF9AE}" pid="4" name="KSOTemplateDocerSaveRecord">
    <vt:lpwstr>eyJoZGlkIjoiMmQyMzBlOTg4YTNiZDI3NDc5MmVhMjAxNjY1NTg2MmMiLCJ1c2VySWQiOiIzNzQyMDgwODIifQ==</vt:lpwstr>
  </property>
</Properties>
</file>