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86800">
      <w:pPr>
        <w:pStyle w:val="2"/>
        <w:adjustRightInd w:val="0"/>
        <w:snapToGrid w:val="0"/>
        <w:spacing w:before="120" w:beforeLines="50" w:line="360" w:lineRule="auto"/>
        <w:rPr>
          <w:b/>
        </w:rPr>
      </w:pPr>
      <w:r>
        <w:rPr>
          <w:rFonts w:hint="eastAsia" w:ascii="宋体" w:hAnsi="宋体" w:eastAsia="宋体" w:cs="宋体"/>
          <w:sz w:val="32"/>
          <w:szCs w:val="32"/>
        </w:rPr>
        <w:t>第三章 采购需求</w:t>
      </w:r>
      <w:bookmarkStart w:id="0" w:name="_Toc448948634"/>
    </w:p>
    <w:bookmarkEnd w:id="0"/>
    <w:p w14:paraId="0E1AB2B4">
      <w:pPr>
        <w:pStyle w:val="7"/>
        <w:spacing w:line="440" w:lineRule="exact"/>
        <w:ind w:firstLine="422"/>
        <w:rPr>
          <w:rFonts w:hint="eastAsia" w:ascii="宋体" w:hAnsi="宋体" w:cs="宋体"/>
          <w:b/>
          <w:bCs/>
          <w:color w:val="000000"/>
          <w:szCs w:val="21"/>
        </w:rPr>
      </w:pPr>
      <w:r>
        <w:rPr>
          <w:rFonts w:hint="eastAsia" w:ascii="宋体" w:hAnsi="宋体" w:cs="宋体"/>
          <w:b/>
          <w:bCs/>
          <w:color w:val="000000"/>
          <w:szCs w:val="21"/>
        </w:rPr>
        <w:t>一、项目名称</w:t>
      </w:r>
    </w:p>
    <w:p w14:paraId="314649AE">
      <w:pPr>
        <w:spacing w:line="440" w:lineRule="exact"/>
        <w:ind w:firstLine="420" w:firstLineChars="200"/>
        <w:rPr>
          <w:rFonts w:hint="eastAsia" w:ascii="宋体" w:hAnsi="宋体" w:eastAsia="宋体" w:cs="宋体"/>
          <w:color w:val="000000"/>
          <w:szCs w:val="21"/>
          <w:lang w:eastAsia="zh-CN"/>
        </w:rPr>
      </w:pPr>
      <w:r>
        <w:rPr>
          <w:rFonts w:hint="eastAsia" w:ascii="宋体" w:hAnsi="宋体" w:cs="宋体"/>
          <w:color w:val="000000"/>
          <w:szCs w:val="21"/>
          <w:lang w:eastAsia="zh-CN"/>
        </w:rPr>
        <w:t>2025年住房公积金业务信息系统“三级等保”整改项目</w:t>
      </w:r>
    </w:p>
    <w:p w14:paraId="70856B14">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二、预算金额</w:t>
      </w:r>
    </w:p>
    <w:p w14:paraId="4969DA6C">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本项目采购预算控制金额为</w:t>
      </w:r>
      <w:r>
        <w:rPr>
          <w:rFonts w:hint="eastAsia" w:hAnsi="宋体" w:cs="宋体"/>
          <w:kern w:val="0"/>
          <w:lang w:val="en-US" w:eastAsia="zh-CN"/>
        </w:rPr>
        <w:t>1393396.31元</w:t>
      </w:r>
      <w:r>
        <w:rPr>
          <w:rFonts w:hint="eastAsia" w:ascii="宋体" w:hAnsi="宋体" w:cs="宋体"/>
          <w:color w:val="000000"/>
          <w:szCs w:val="21"/>
        </w:rPr>
        <w:t>。</w:t>
      </w:r>
    </w:p>
    <w:p w14:paraId="7CED3A52">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三、项目概况</w:t>
      </w:r>
    </w:p>
    <w:p w14:paraId="33E35ADE">
      <w:pPr>
        <w:spacing w:line="440" w:lineRule="exact"/>
        <w:ind w:left="420" w:leftChars="200" w:firstLine="420" w:firstLineChars="200"/>
        <w:rPr>
          <w:rFonts w:hint="eastAsia" w:ascii="宋体" w:hAnsi="宋体" w:cs="宋体"/>
          <w:color w:val="000000"/>
          <w:szCs w:val="21"/>
        </w:rPr>
      </w:pPr>
      <w:r>
        <w:rPr>
          <w:rFonts w:hint="eastAsia" w:ascii="宋体" w:hAnsi="宋体" w:cs="宋体"/>
          <w:color w:val="000000"/>
          <w:szCs w:val="21"/>
        </w:rPr>
        <w:t>落实和贯彻公安部、省市有关部门网络安全等级保护工作要求，全面完善张家界市住房公积金管理中心信息安全防护体系，提高张家界市住房公积金管理中心整体信息安全防护水平</w:t>
      </w:r>
      <w:r>
        <w:rPr>
          <w:rFonts w:hint="eastAsia" w:ascii="宋体" w:hAnsi="宋体" w:cs="宋体"/>
          <w:color w:val="000000"/>
          <w:szCs w:val="21"/>
          <w:lang w:eastAsia="zh-CN"/>
        </w:rPr>
        <w:t>。</w:t>
      </w:r>
      <w:r>
        <w:rPr>
          <w:rFonts w:hint="eastAsia" w:ascii="宋体" w:hAnsi="宋体" w:cs="宋体"/>
          <w:color w:val="000000"/>
          <w:szCs w:val="21"/>
        </w:rPr>
        <w:t>张家界市住房公积金管理中心对住房公积金业务信息系统不满足三级等级保护要求的测评项</w:t>
      </w:r>
      <w:r>
        <w:rPr>
          <w:rFonts w:hint="eastAsia" w:ascii="宋体" w:hAnsi="宋体" w:cs="宋体"/>
          <w:color w:val="000000"/>
          <w:szCs w:val="21"/>
          <w:lang w:val="en-US" w:eastAsia="zh-CN"/>
        </w:rPr>
        <w:t>进行</w:t>
      </w:r>
      <w:r>
        <w:rPr>
          <w:rFonts w:hint="eastAsia" w:ascii="宋体" w:hAnsi="宋体" w:cs="宋体"/>
          <w:color w:val="000000"/>
          <w:szCs w:val="21"/>
        </w:rPr>
        <w:t>实施整改，提升网络安全保障能力。统筹发展和安全，坚持底线思维，深化网络安全、数据安全、应用安全等防护技术应用，落实数据安全保护、个人隐私保护、关键信息化基础设施保护、网络信息安全等级保护测评等管理制度的要求，构建纵深防御的安全防护体系</w:t>
      </w:r>
      <w:r>
        <w:rPr>
          <w:rFonts w:hint="eastAsia" w:ascii="宋体" w:hAnsi="宋体" w:cs="宋体"/>
          <w:color w:val="000000"/>
          <w:szCs w:val="21"/>
          <w:lang w:eastAsia="zh-CN"/>
        </w:rPr>
        <w:t>，</w:t>
      </w:r>
      <w:r>
        <w:rPr>
          <w:rFonts w:hint="eastAsia" w:ascii="宋体" w:hAnsi="宋体" w:cs="宋体"/>
          <w:color w:val="000000"/>
          <w:szCs w:val="21"/>
        </w:rPr>
        <w:t>满足等级保护2.0要求。</w:t>
      </w:r>
    </w:p>
    <w:p w14:paraId="3421D2E3">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四、采购清单一览表</w:t>
      </w:r>
    </w:p>
    <w:tbl>
      <w:tblPr>
        <w:tblStyle w:val="5"/>
        <w:tblW w:w="977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8"/>
        <w:gridCol w:w="2924"/>
        <w:gridCol w:w="695"/>
        <w:gridCol w:w="737"/>
        <w:gridCol w:w="1616"/>
        <w:gridCol w:w="2979"/>
      </w:tblGrid>
      <w:tr w14:paraId="73F374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828" w:type="dxa"/>
            <w:tcBorders>
              <w:tl2br w:val="nil"/>
              <w:tr2bl w:val="nil"/>
            </w:tcBorders>
            <w:vAlign w:val="center"/>
          </w:tcPr>
          <w:p w14:paraId="10A418F2">
            <w:pPr>
              <w:spacing w:line="360" w:lineRule="auto"/>
              <w:jc w:val="center"/>
              <w:rPr>
                <w:rFonts w:hint="eastAsia" w:ascii="宋体" w:hAnsi="宋体" w:cs="宋体"/>
                <w:snapToGrid w:val="0"/>
                <w:kern w:val="0"/>
                <w:szCs w:val="21"/>
              </w:rPr>
            </w:pPr>
            <w:r>
              <w:rPr>
                <w:rFonts w:hint="eastAsia" w:ascii="宋体" w:hAnsi="宋体" w:cs="宋体"/>
                <w:snapToGrid w:val="0"/>
                <w:kern w:val="0"/>
                <w:szCs w:val="21"/>
              </w:rPr>
              <w:t>序</w:t>
            </w:r>
            <w:r>
              <w:rPr>
                <w:rFonts w:hint="eastAsia" w:ascii="宋体" w:hAnsi="宋体" w:eastAsia="Arial" w:cs="宋体"/>
                <w:snapToGrid w:val="0"/>
                <w:kern w:val="0"/>
                <w:szCs w:val="21"/>
              </w:rPr>
              <w:t>号</w:t>
            </w:r>
          </w:p>
        </w:tc>
        <w:tc>
          <w:tcPr>
            <w:tcW w:w="2924" w:type="dxa"/>
            <w:tcBorders>
              <w:tl2br w:val="nil"/>
              <w:tr2bl w:val="nil"/>
            </w:tcBorders>
            <w:vAlign w:val="center"/>
          </w:tcPr>
          <w:p w14:paraId="025DC486">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名称</w:t>
            </w:r>
          </w:p>
        </w:tc>
        <w:tc>
          <w:tcPr>
            <w:tcW w:w="695" w:type="dxa"/>
            <w:tcBorders>
              <w:tl2br w:val="nil"/>
              <w:tr2bl w:val="nil"/>
            </w:tcBorders>
            <w:vAlign w:val="center"/>
          </w:tcPr>
          <w:p w14:paraId="6248FC87">
            <w:pPr>
              <w:spacing w:line="360" w:lineRule="auto"/>
              <w:jc w:val="center"/>
              <w:rPr>
                <w:rFonts w:hint="eastAsia" w:ascii="宋体" w:hAnsi="宋体" w:cs="宋体"/>
                <w:snapToGrid w:val="0"/>
                <w:kern w:val="0"/>
                <w:szCs w:val="21"/>
              </w:rPr>
            </w:pPr>
            <w:r>
              <w:rPr>
                <w:rFonts w:hint="eastAsia" w:ascii="宋体" w:hAnsi="宋体" w:cs="宋体"/>
                <w:snapToGrid w:val="0"/>
                <w:kern w:val="0"/>
                <w:szCs w:val="21"/>
              </w:rPr>
              <w:t>单位</w:t>
            </w:r>
          </w:p>
        </w:tc>
        <w:tc>
          <w:tcPr>
            <w:tcW w:w="737" w:type="dxa"/>
            <w:tcBorders>
              <w:tl2br w:val="nil"/>
              <w:tr2bl w:val="nil"/>
            </w:tcBorders>
            <w:vAlign w:val="center"/>
          </w:tcPr>
          <w:p w14:paraId="250CBB90">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数量</w:t>
            </w:r>
          </w:p>
        </w:tc>
        <w:tc>
          <w:tcPr>
            <w:tcW w:w="1616" w:type="dxa"/>
            <w:tcBorders>
              <w:tl2br w:val="nil"/>
              <w:tr2bl w:val="nil"/>
            </w:tcBorders>
            <w:vAlign w:val="center"/>
          </w:tcPr>
          <w:p w14:paraId="748438BC">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预算金额（元）</w:t>
            </w:r>
          </w:p>
        </w:tc>
        <w:tc>
          <w:tcPr>
            <w:tcW w:w="2979" w:type="dxa"/>
            <w:tcBorders>
              <w:tl2br w:val="nil"/>
              <w:tr2bl w:val="nil"/>
            </w:tcBorders>
            <w:vAlign w:val="center"/>
          </w:tcPr>
          <w:p w14:paraId="0F8171B2">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服务期限</w:t>
            </w:r>
          </w:p>
        </w:tc>
      </w:tr>
      <w:tr w14:paraId="34824F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28" w:type="dxa"/>
            <w:tcBorders>
              <w:tl2br w:val="nil"/>
              <w:tr2bl w:val="nil"/>
            </w:tcBorders>
            <w:vAlign w:val="center"/>
          </w:tcPr>
          <w:p w14:paraId="5DCE42D1">
            <w:pPr>
              <w:widowControl/>
              <w:kinsoku w:val="0"/>
              <w:autoSpaceDE w:val="0"/>
              <w:autoSpaceDN w:val="0"/>
              <w:adjustRightInd w:val="0"/>
              <w:snapToGrid w:val="0"/>
              <w:spacing w:line="360" w:lineRule="auto"/>
              <w:jc w:val="center"/>
              <w:textAlignment w:val="baseline"/>
              <w:rPr>
                <w:rFonts w:ascii="宋体" w:hAnsi="宋体" w:eastAsia="Arial" w:cs="宋体"/>
                <w:snapToGrid w:val="0"/>
                <w:kern w:val="0"/>
                <w:szCs w:val="21"/>
              </w:rPr>
            </w:pPr>
            <w:r>
              <w:rPr>
                <w:rFonts w:hint="eastAsia" w:ascii="宋体" w:hAnsi="宋体" w:eastAsia="Arial" w:cs="宋体"/>
                <w:snapToGrid w:val="0"/>
                <w:kern w:val="0"/>
                <w:szCs w:val="21"/>
              </w:rPr>
              <w:t>1</w:t>
            </w:r>
          </w:p>
        </w:tc>
        <w:tc>
          <w:tcPr>
            <w:tcW w:w="2924" w:type="dxa"/>
            <w:tcBorders>
              <w:tl2br w:val="nil"/>
              <w:tr2bl w:val="nil"/>
            </w:tcBorders>
            <w:vAlign w:val="center"/>
          </w:tcPr>
          <w:p w14:paraId="4CE62F5B">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kern w:val="0"/>
                <w:szCs w:val="21"/>
                <w:lang w:eastAsia="zh-CN"/>
              </w:rPr>
            </w:pPr>
            <w:r>
              <w:rPr>
                <w:rFonts w:hint="eastAsia" w:ascii="宋体" w:hAnsi="宋体" w:cs="宋体"/>
                <w:snapToGrid w:val="0"/>
                <w:kern w:val="0"/>
                <w:szCs w:val="21"/>
                <w:lang w:eastAsia="zh-CN"/>
              </w:rPr>
              <w:t>2025年住房公积金业务信息系统“三级等保”整改项目</w:t>
            </w:r>
          </w:p>
        </w:tc>
        <w:tc>
          <w:tcPr>
            <w:tcW w:w="695" w:type="dxa"/>
            <w:tcBorders>
              <w:tl2br w:val="nil"/>
              <w:tr2bl w:val="nil"/>
            </w:tcBorders>
            <w:vAlign w:val="center"/>
          </w:tcPr>
          <w:p w14:paraId="35B39152">
            <w:pPr>
              <w:widowControl/>
              <w:kinsoku w:val="0"/>
              <w:autoSpaceDE w:val="0"/>
              <w:autoSpaceDN w:val="0"/>
              <w:adjustRightInd w:val="0"/>
              <w:snapToGrid w:val="0"/>
              <w:spacing w:line="360" w:lineRule="auto"/>
              <w:jc w:val="center"/>
              <w:textAlignment w:val="baseline"/>
              <w:rPr>
                <w:rFonts w:ascii="宋体" w:hAnsi="宋体" w:eastAsia="Arial" w:cs="宋体"/>
                <w:snapToGrid w:val="0"/>
                <w:kern w:val="0"/>
                <w:szCs w:val="21"/>
              </w:rPr>
            </w:pPr>
            <w:r>
              <w:rPr>
                <w:rFonts w:hint="eastAsia" w:ascii="宋体" w:hAnsi="宋体" w:eastAsia="Arial" w:cs="宋体"/>
                <w:snapToGrid w:val="0"/>
                <w:kern w:val="0"/>
                <w:szCs w:val="21"/>
              </w:rPr>
              <w:t>项</w:t>
            </w:r>
          </w:p>
        </w:tc>
        <w:tc>
          <w:tcPr>
            <w:tcW w:w="737" w:type="dxa"/>
            <w:tcBorders>
              <w:tl2br w:val="nil"/>
              <w:tr2bl w:val="nil"/>
            </w:tcBorders>
            <w:vAlign w:val="center"/>
          </w:tcPr>
          <w:p w14:paraId="44DAD9C5">
            <w:pPr>
              <w:widowControl/>
              <w:kinsoku w:val="0"/>
              <w:autoSpaceDE w:val="0"/>
              <w:autoSpaceDN w:val="0"/>
              <w:adjustRightInd w:val="0"/>
              <w:snapToGrid w:val="0"/>
              <w:spacing w:line="360" w:lineRule="auto"/>
              <w:jc w:val="center"/>
              <w:textAlignment w:val="baseline"/>
              <w:rPr>
                <w:rFonts w:hint="eastAsia" w:ascii="宋体" w:hAnsi="宋体" w:cs="宋体"/>
                <w:snapToGrid w:val="0"/>
                <w:kern w:val="0"/>
                <w:szCs w:val="21"/>
              </w:rPr>
            </w:pPr>
            <w:r>
              <w:rPr>
                <w:rFonts w:hint="eastAsia" w:ascii="宋体" w:hAnsi="宋体" w:cs="宋体"/>
                <w:snapToGrid w:val="0"/>
                <w:kern w:val="0"/>
                <w:szCs w:val="21"/>
              </w:rPr>
              <w:t>1</w:t>
            </w:r>
          </w:p>
        </w:tc>
        <w:tc>
          <w:tcPr>
            <w:tcW w:w="1616" w:type="dxa"/>
            <w:tcBorders>
              <w:tl2br w:val="nil"/>
              <w:tr2bl w:val="nil"/>
            </w:tcBorders>
            <w:vAlign w:val="center"/>
          </w:tcPr>
          <w:p w14:paraId="1AE13263">
            <w:pPr>
              <w:widowControl/>
              <w:kinsoku w:val="0"/>
              <w:autoSpaceDE w:val="0"/>
              <w:autoSpaceDN w:val="0"/>
              <w:adjustRightInd w:val="0"/>
              <w:snapToGrid w:val="0"/>
              <w:spacing w:line="360" w:lineRule="auto"/>
              <w:jc w:val="center"/>
              <w:textAlignment w:val="baseline"/>
              <w:rPr>
                <w:rFonts w:hint="eastAsia" w:ascii="宋体" w:hAnsi="宋体" w:cs="宋体"/>
                <w:snapToGrid w:val="0"/>
                <w:kern w:val="0"/>
                <w:szCs w:val="21"/>
              </w:rPr>
            </w:pPr>
            <w:r>
              <w:rPr>
                <w:rFonts w:hint="eastAsia" w:hAnsi="宋体" w:cs="宋体"/>
                <w:kern w:val="0"/>
                <w:lang w:val="en-US" w:eastAsia="zh-CN"/>
              </w:rPr>
              <w:t>1393396.31</w:t>
            </w:r>
          </w:p>
        </w:tc>
        <w:tc>
          <w:tcPr>
            <w:tcW w:w="2979" w:type="dxa"/>
            <w:tcBorders>
              <w:tl2br w:val="nil"/>
              <w:tr2bl w:val="nil"/>
            </w:tcBorders>
            <w:vAlign w:val="center"/>
          </w:tcPr>
          <w:p w14:paraId="4C56AEF2">
            <w:pPr>
              <w:widowControl/>
              <w:kinsoku w:val="0"/>
              <w:autoSpaceDE w:val="0"/>
              <w:autoSpaceDN w:val="0"/>
              <w:adjustRightInd w:val="0"/>
              <w:snapToGrid w:val="0"/>
              <w:spacing w:line="360" w:lineRule="auto"/>
              <w:jc w:val="center"/>
              <w:textAlignment w:val="baseline"/>
              <w:rPr>
                <w:rFonts w:ascii="宋体" w:hAnsi="宋体" w:eastAsia="Arial" w:cs="宋体"/>
                <w:snapToGrid w:val="0"/>
                <w:kern w:val="0"/>
                <w:szCs w:val="21"/>
              </w:rPr>
            </w:pPr>
            <w:r>
              <w:rPr>
                <w:rFonts w:hint="eastAsia" w:ascii="宋体" w:hAnsi="宋体" w:eastAsia="宋体" w:cs="宋体"/>
                <w:color w:val="auto"/>
                <w:sz w:val="21"/>
                <w:szCs w:val="21"/>
                <w:u w:val="none"/>
                <w:lang w:val="en-US" w:eastAsia="zh-CN"/>
              </w:rPr>
              <w:t>本项目质量保证期（免费运维期限）为三年（从验收合格且交付之日开始计算），三年内</w:t>
            </w:r>
            <w:r>
              <w:rPr>
                <w:rFonts w:hint="eastAsia" w:ascii="宋体" w:hAnsi="宋体" w:eastAsia="宋体" w:cs="宋体"/>
                <w:color w:val="auto"/>
                <w:sz w:val="21"/>
                <w:szCs w:val="21"/>
                <w:u w:val="none"/>
              </w:rPr>
              <w:t>涉及的运行维护、升级更新等</w:t>
            </w:r>
            <w:r>
              <w:rPr>
                <w:rFonts w:hint="eastAsia" w:ascii="宋体" w:hAnsi="宋体" w:eastAsia="宋体" w:cs="宋体"/>
                <w:color w:val="auto"/>
                <w:sz w:val="21"/>
                <w:szCs w:val="21"/>
                <w:u w:val="none"/>
                <w:lang w:val="en-US" w:eastAsia="zh-CN"/>
              </w:rPr>
              <w:t>事项均由</w:t>
            </w:r>
            <w:r>
              <w:rPr>
                <w:rFonts w:hint="eastAsia" w:ascii="宋体" w:hAnsi="宋体" w:cs="宋体"/>
                <w:color w:val="auto"/>
                <w:sz w:val="21"/>
                <w:szCs w:val="21"/>
                <w:u w:val="none"/>
                <w:lang w:val="en-US" w:eastAsia="zh-CN"/>
              </w:rPr>
              <w:t>成交</w:t>
            </w:r>
            <w:r>
              <w:rPr>
                <w:rFonts w:hint="eastAsia" w:ascii="宋体" w:hAnsi="宋体" w:eastAsia="宋体" w:cs="宋体"/>
                <w:color w:val="auto"/>
                <w:sz w:val="21"/>
                <w:szCs w:val="21"/>
                <w:u w:val="none"/>
                <w:lang w:val="en-US" w:eastAsia="zh-CN"/>
              </w:rPr>
              <w:t>人负责。</w:t>
            </w:r>
          </w:p>
        </w:tc>
      </w:tr>
    </w:tbl>
    <w:p w14:paraId="06300C29">
      <w:pPr>
        <w:spacing w:line="440" w:lineRule="exact"/>
        <w:ind w:firstLine="422" w:firstLineChars="200"/>
        <w:rPr>
          <w:rFonts w:hint="default" w:eastAsia="宋体"/>
          <w:lang w:val="en-US" w:eastAsia="zh-CN"/>
        </w:rPr>
      </w:pPr>
      <w:r>
        <w:rPr>
          <w:rFonts w:hint="eastAsia"/>
          <w:b/>
          <w:bCs/>
        </w:rPr>
        <w:t>五、</w:t>
      </w:r>
      <w:r>
        <w:rPr>
          <w:rFonts w:hint="eastAsia" w:ascii="宋体" w:hAnsi="宋体" w:cs="宋体"/>
          <w:b/>
          <w:bCs/>
          <w:szCs w:val="21"/>
          <w:lang w:val="en-US" w:eastAsia="zh-CN"/>
        </w:rPr>
        <w:t>有关标准和规范（包括但不限于）</w:t>
      </w:r>
    </w:p>
    <w:p w14:paraId="5BB0833F">
      <w:pPr>
        <w:spacing w:line="440" w:lineRule="exact"/>
        <w:ind w:firstLine="420" w:firstLineChars="200"/>
        <w:rPr>
          <w:rFonts w:hint="eastAsia"/>
          <w:b w:val="0"/>
          <w:bCs w:val="0"/>
        </w:rPr>
      </w:pPr>
      <w:r>
        <w:rPr>
          <w:rFonts w:hint="eastAsia"/>
          <w:b w:val="0"/>
          <w:bCs w:val="0"/>
          <w:lang w:val="en-US" w:eastAsia="zh-CN"/>
        </w:rPr>
        <w:t>1.</w:t>
      </w:r>
      <w:r>
        <w:rPr>
          <w:rFonts w:hint="eastAsia"/>
          <w:b w:val="0"/>
          <w:bCs w:val="0"/>
        </w:rPr>
        <w:t>《中华人民共和国网络安全法》</w:t>
      </w:r>
    </w:p>
    <w:p w14:paraId="2FCE0EEA">
      <w:pPr>
        <w:spacing w:line="440" w:lineRule="exact"/>
        <w:ind w:firstLine="420" w:firstLineChars="200"/>
        <w:rPr>
          <w:rFonts w:hint="eastAsia"/>
          <w:b w:val="0"/>
          <w:bCs w:val="0"/>
        </w:rPr>
      </w:pPr>
      <w:r>
        <w:rPr>
          <w:rFonts w:hint="eastAsia"/>
          <w:b w:val="0"/>
          <w:bCs w:val="0"/>
          <w:lang w:val="en-US" w:eastAsia="zh-CN"/>
        </w:rPr>
        <w:t>2.</w:t>
      </w:r>
      <w:r>
        <w:rPr>
          <w:rFonts w:hint="eastAsia"/>
          <w:b w:val="0"/>
          <w:bCs w:val="0"/>
        </w:rPr>
        <w:t>《中华人民共和国数据安全法》</w:t>
      </w:r>
    </w:p>
    <w:p w14:paraId="02BCFA82">
      <w:pPr>
        <w:spacing w:line="440" w:lineRule="exact"/>
        <w:ind w:firstLine="420" w:firstLineChars="200"/>
        <w:rPr>
          <w:rFonts w:hint="eastAsia"/>
          <w:b w:val="0"/>
          <w:bCs w:val="0"/>
        </w:rPr>
      </w:pPr>
      <w:r>
        <w:rPr>
          <w:rFonts w:hint="eastAsia"/>
          <w:b w:val="0"/>
          <w:bCs w:val="0"/>
          <w:lang w:val="en-US" w:eastAsia="zh-CN"/>
        </w:rPr>
        <w:t>3.</w:t>
      </w:r>
      <w:r>
        <w:rPr>
          <w:rFonts w:hint="eastAsia"/>
          <w:b w:val="0"/>
          <w:bCs w:val="0"/>
        </w:rPr>
        <w:t>《中华人民共和国个人信息保护法》</w:t>
      </w:r>
    </w:p>
    <w:p w14:paraId="39A04F94">
      <w:pPr>
        <w:spacing w:line="440" w:lineRule="exact"/>
        <w:ind w:firstLine="420" w:firstLineChars="200"/>
        <w:rPr>
          <w:rFonts w:hint="eastAsia"/>
          <w:b w:val="0"/>
          <w:bCs w:val="0"/>
          <w:lang w:eastAsia="zh-CN"/>
        </w:rPr>
      </w:pPr>
      <w:r>
        <w:rPr>
          <w:rFonts w:hint="eastAsia"/>
          <w:b w:val="0"/>
          <w:bCs w:val="0"/>
          <w:lang w:val="en-US" w:eastAsia="zh-CN"/>
        </w:rPr>
        <w:t>4.</w:t>
      </w:r>
      <w:r>
        <w:rPr>
          <w:rFonts w:hint="eastAsia"/>
          <w:b w:val="0"/>
          <w:bCs w:val="0"/>
          <w:lang w:eastAsia="zh-CN"/>
        </w:rPr>
        <w:t>GB/T 22239-2019 信息安全技术 网络安全等级保护基本要求</w:t>
      </w:r>
    </w:p>
    <w:p w14:paraId="102DDFAF">
      <w:pPr>
        <w:spacing w:line="440" w:lineRule="exact"/>
        <w:ind w:firstLine="420" w:firstLineChars="200"/>
        <w:rPr>
          <w:rFonts w:hint="eastAsia"/>
          <w:b w:val="0"/>
          <w:bCs w:val="0"/>
          <w:lang w:eastAsia="zh-CN"/>
        </w:rPr>
      </w:pPr>
      <w:r>
        <w:rPr>
          <w:rFonts w:hint="eastAsia"/>
          <w:b w:val="0"/>
          <w:bCs w:val="0"/>
          <w:lang w:val="en-US" w:eastAsia="zh-CN"/>
        </w:rPr>
        <w:t>5.</w:t>
      </w:r>
      <w:r>
        <w:rPr>
          <w:rFonts w:hint="eastAsia"/>
          <w:b w:val="0"/>
          <w:bCs w:val="0"/>
          <w:lang w:eastAsia="zh-CN"/>
        </w:rPr>
        <w:t>GB/T 35273-2020 信息安全技术 个人信息安全规范</w:t>
      </w:r>
    </w:p>
    <w:p w14:paraId="247FCB31">
      <w:pPr>
        <w:spacing w:line="440" w:lineRule="exact"/>
        <w:ind w:firstLine="420" w:firstLineChars="200"/>
        <w:rPr>
          <w:rFonts w:hint="eastAsia"/>
          <w:b w:val="0"/>
          <w:bCs w:val="0"/>
          <w:lang w:eastAsia="zh-CN"/>
        </w:rPr>
      </w:pPr>
      <w:r>
        <w:rPr>
          <w:rFonts w:hint="eastAsia"/>
          <w:b w:val="0"/>
          <w:bCs w:val="0"/>
          <w:lang w:val="en-US" w:eastAsia="zh-CN"/>
        </w:rPr>
        <w:t>6.</w:t>
      </w:r>
      <w:r>
        <w:rPr>
          <w:rFonts w:hint="eastAsia"/>
          <w:b w:val="0"/>
          <w:bCs w:val="0"/>
          <w:lang w:eastAsia="zh-CN"/>
        </w:rPr>
        <w:t>GB/T 37973-2019 信息安全技术 大数据安全管理指南</w:t>
      </w:r>
    </w:p>
    <w:p w14:paraId="683B6E97">
      <w:pPr>
        <w:spacing w:line="440" w:lineRule="exact"/>
        <w:ind w:firstLine="420" w:firstLineChars="200"/>
        <w:rPr>
          <w:rFonts w:hint="eastAsia"/>
          <w:b w:val="0"/>
          <w:bCs w:val="0"/>
          <w:lang w:eastAsia="zh-CN"/>
        </w:rPr>
      </w:pPr>
      <w:r>
        <w:rPr>
          <w:rFonts w:hint="eastAsia"/>
          <w:b w:val="0"/>
          <w:bCs w:val="0"/>
          <w:lang w:val="en-US" w:eastAsia="zh-CN"/>
        </w:rPr>
        <w:t>7.</w:t>
      </w:r>
      <w:r>
        <w:rPr>
          <w:rFonts w:hint="eastAsia"/>
          <w:b w:val="0"/>
          <w:bCs w:val="0"/>
          <w:lang w:eastAsia="zh-CN"/>
        </w:rPr>
        <w:t>GB/T 39204-2020 信息安全技术 网络安全漏洞分类分级指南</w:t>
      </w:r>
    </w:p>
    <w:p w14:paraId="76E4639E">
      <w:pPr>
        <w:spacing w:line="440" w:lineRule="exact"/>
        <w:ind w:firstLine="420" w:firstLineChars="200"/>
        <w:rPr>
          <w:rFonts w:hint="eastAsia"/>
          <w:b w:val="0"/>
          <w:bCs w:val="0"/>
          <w:lang w:eastAsia="zh-CN"/>
        </w:rPr>
      </w:pPr>
      <w:r>
        <w:rPr>
          <w:rFonts w:hint="eastAsia"/>
          <w:b w:val="0"/>
          <w:bCs w:val="0"/>
          <w:lang w:val="en-US" w:eastAsia="zh-CN"/>
        </w:rPr>
        <w:t>8.</w:t>
      </w:r>
      <w:r>
        <w:rPr>
          <w:rFonts w:hint="eastAsia"/>
          <w:b w:val="0"/>
          <w:bCs w:val="0"/>
          <w:lang w:eastAsia="zh-CN"/>
        </w:rPr>
        <w:t>GB/T 40650-2021 信息安全技术 网络安全应急响应指南</w:t>
      </w:r>
    </w:p>
    <w:p w14:paraId="5833D00E">
      <w:pPr>
        <w:spacing w:line="440" w:lineRule="exact"/>
        <w:ind w:firstLine="420" w:firstLineChars="200"/>
        <w:rPr>
          <w:rFonts w:hint="eastAsia"/>
          <w:b w:val="0"/>
          <w:bCs w:val="0"/>
          <w:lang w:eastAsia="zh-CN"/>
        </w:rPr>
      </w:pPr>
      <w:r>
        <w:rPr>
          <w:rFonts w:hint="eastAsia"/>
          <w:b w:val="0"/>
          <w:bCs w:val="0"/>
          <w:lang w:val="en-US" w:eastAsia="zh-CN"/>
        </w:rPr>
        <w:t>9.</w:t>
      </w:r>
      <w:r>
        <w:rPr>
          <w:rFonts w:hint="eastAsia"/>
          <w:b w:val="0"/>
          <w:bCs w:val="0"/>
          <w:lang w:eastAsia="zh-CN"/>
        </w:rPr>
        <w:t>GB/T 42250-2022 信息安全技术 网络安全威胁信息格式规范</w:t>
      </w:r>
    </w:p>
    <w:p w14:paraId="68FAEED4">
      <w:pPr>
        <w:rPr>
          <w:rFonts w:hint="eastAsia"/>
          <w:b/>
          <w:bCs/>
        </w:rPr>
      </w:pPr>
      <w:r>
        <w:rPr>
          <w:rFonts w:hint="eastAsia"/>
          <w:b/>
          <w:bCs/>
        </w:rPr>
        <w:br w:type="page"/>
      </w:r>
    </w:p>
    <w:p w14:paraId="05716C3B">
      <w:pPr>
        <w:spacing w:line="440" w:lineRule="exact"/>
        <w:ind w:firstLine="422" w:firstLineChars="200"/>
        <w:rPr>
          <w:rFonts w:hint="eastAsia" w:ascii="宋体" w:hAnsi="宋体" w:eastAsia="宋体" w:cs="宋体"/>
          <w:b/>
          <w:bCs/>
          <w:color w:val="000000"/>
          <w:szCs w:val="21"/>
          <w:lang w:val="en-US" w:eastAsia="zh-CN"/>
        </w:rPr>
        <w:sectPr>
          <w:footerReference r:id="rId5" w:type="default"/>
          <w:pgSz w:w="11906" w:h="16838"/>
          <w:pgMar w:top="1440" w:right="1800" w:bottom="1440" w:left="1800" w:header="567" w:footer="737" w:gutter="0"/>
          <w:cols w:space="720" w:num="1"/>
          <w:docGrid w:type="lines" w:linePitch="326" w:charSpace="0"/>
        </w:sectPr>
      </w:pPr>
    </w:p>
    <w:p w14:paraId="79DBA992">
      <w:pPr>
        <w:spacing w:line="440" w:lineRule="exact"/>
        <w:ind w:firstLine="422" w:firstLineChars="200"/>
        <w:rPr>
          <w:rFonts w:hint="default"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六</w:t>
      </w:r>
      <w:r>
        <w:rPr>
          <w:rFonts w:hint="eastAsia" w:ascii="宋体" w:hAnsi="宋体" w:eastAsia="宋体" w:cs="宋体"/>
          <w:b/>
          <w:bCs/>
          <w:color w:val="000000"/>
          <w:szCs w:val="21"/>
        </w:rPr>
        <w:t>、</w:t>
      </w:r>
      <w:r>
        <w:rPr>
          <w:rFonts w:hint="eastAsia" w:ascii="宋体" w:hAnsi="宋体" w:eastAsia="宋体" w:cs="宋体"/>
          <w:b/>
          <w:bCs/>
          <w:color w:val="000000"/>
          <w:szCs w:val="21"/>
          <w:lang w:val="en-US" w:eastAsia="zh-CN"/>
        </w:rPr>
        <w:t>技术要求</w:t>
      </w:r>
    </w:p>
    <w:p w14:paraId="265BC9B4">
      <w:pPr>
        <w:spacing w:line="440" w:lineRule="exact"/>
        <w:ind w:firstLine="422" w:firstLineChars="200"/>
        <w:jc w:val="center"/>
        <w:rPr>
          <w:rFonts w:hint="eastAsia"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1．新</w:t>
      </w:r>
      <w:r>
        <w:rPr>
          <w:rFonts w:hint="eastAsia" w:ascii="宋体" w:hAnsi="宋体" w:eastAsia="宋体" w:cs="宋体"/>
          <w:b/>
          <w:bCs/>
          <w:color w:val="000000"/>
          <w:szCs w:val="21"/>
        </w:rPr>
        <w:t>设备购置</w:t>
      </w:r>
      <w:r>
        <w:rPr>
          <w:rFonts w:hint="eastAsia" w:ascii="宋体" w:hAnsi="宋体" w:eastAsia="宋体" w:cs="宋体"/>
          <w:b/>
          <w:bCs/>
          <w:color w:val="000000"/>
          <w:szCs w:val="21"/>
          <w:lang w:val="en-US" w:eastAsia="zh-CN"/>
        </w:rPr>
        <w:t>清单</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31"/>
        <w:gridCol w:w="5676"/>
        <w:gridCol w:w="698"/>
        <w:gridCol w:w="457"/>
        <w:gridCol w:w="698"/>
      </w:tblGrid>
      <w:tr w14:paraId="7CAA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7" w:type="pct"/>
            <w:shd w:val="clear" w:color="auto" w:fill="auto"/>
            <w:vAlign w:val="center"/>
          </w:tcPr>
          <w:p w14:paraId="79D169D4">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序号</w:t>
            </w:r>
          </w:p>
        </w:tc>
        <w:tc>
          <w:tcPr>
            <w:tcW w:w="417" w:type="pct"/>
            <w:shd w:val="clear" w:color="auto" w:fill="auto"/>
            <w:vAlign w:val="center"/>
          </w:tcPr>
          <w:p w14:paraId="6D0C7A4F">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设备类型</w:t>
            </w:r>
          </w:p>
        </w:tc>
        <w:tc>
          <w:tcPr>
            <w:tcW w:w="3666" w:type="pct"/>
            <w:shd w:val="clear" w:color="auto" w:fill="auto"/>
            <w:vAlign w:val="center"/>
          </w:tcPr>
          <w:p w14:paraId="4D2DF93B">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技术参数</w:t>
            </w:r>
          </w:p>
        </w:tc>
        <w:tc>
          <w:tcPr>
            <w:tcW w:w="246" w:type="pct"/>
            <w:shd w:val="clear" w:color="auto" w:fill="auto"/>
            <w:noWrap/>
            <w:vAlign w:val="center"/>
          </w:tcPr>
          <w:p w14:paraId="4C9BA0E6">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单位</w:t>
            </w:r>
          </w:p>
        </w:tc>
        <w:tc>
          <w:tcPr>
            <w:tcW w:w="206" w:type="pct"/>
            <w:shd w:val="clear" w:color="auto" w:fill="auto"/>
            <w:vAlign w:val="center"/>
          </w:tcPr>
          <w:p w14:paraId="47C3CF0D">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数量</w:t>
            </w:r>
          </w:p>
        </w:tc>
        <w:tc>
          <w:tcPr>
            <w:tcW w:w="246" w:type="pct"/>
            <w:shd w:val="clear" w:color="auto" w:fill="auto"/>
            <w:noWrap/>
            <w:vAlign w:val="center"/>
          </w:tcPr>
          <w:p w14:paraId="677AE3D4">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备注</w:t>
            </w:r>
          </w:p>
        </w:tc>
      </w:tr>
      <w:tr w14:paraId="6049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4A91654E">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1180" w:type="dxa"/>
            <w:shd w:val="clear" w:color="auto" w:fill="auto"/>
            <w:vAlign w:val="center"/>
          </w:tcPr>
          <w:p w14:paraId="6EA8A4DD">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上网行为管理</w:t>
            </w:r>
          </w:p>
        </w:tc>
        <w:tc>
          <w:tcPr>
            <w:tcW w:w="10386" w:type="dxa"/>
            <w:shd w:val="clear" w:color="auto" w:fill="auto"/>
            <w:vAlign w:val="center"/>
          </w:tcPr>
          <w:p w14:paraId="772252DF">
            <w:pPr>
              <w:pStyle w:val="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1、硬机架式独立硬件设备，国产芯片，国产操作系统，功能采用模块化结构设计,双冗余电源，硬盘容量≥1T，标配≥1个MGT口，≥6个千兆电口，≥4个千兆光口，≥2个扩展槽。</w:t>
            </w:r>
          </w:p>
          <w:p w14:paraId="26EF6F0B">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2、网络层吞吐量≥9.2G，应用层吞吐量≥5.5G，适配行为管理带宽≥500M，最大并发连接数≥800万，每秒新建连接数≥16万；支持外置Reset重置插孔，一键恢复出厂设置。支持4G扩展网卡。支持在4G接口上运行IPSec VPN。</w:t>
            </w:r>
          </w:p>
        </w:tc>
        <w:tc>
          <w:tcPr>
            <w:tcW w:w="698" w:type="dxa"/>
            <w:shd w:val="clear" w:color="auto" w:fill="auto"/>
            <w:noWrap/>
            <w:vAlign w:val="center"/>
          </w:tcPr>
          <w:p w14:paraId="0FD289E1">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65BAEEFC">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1C7086B3">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4A15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313B5A1E">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2</w:t>
            </w:r>
          </w:p>
        </w:tc>
        <w:tc>
          <w:tcPr>
            <w:tcW w:w="1180" w:type="dxa"/>
            <w:shd w:val="clear" w:color="auto" w:fill="auto"/>
            <w:vAlign w:val="center"/>
          </w:tcPr>
          <w:p w14:paraId="05F435EC">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highlight w:val="none"/>
              </w:rPr>
              <w:t>安全态势感知系统</w:t>
            </w:r>
          </w:p>
        </w:tc>
        <w:tc>
          <w:tcPr>
            <w:tcW w:w="10386" w:type="dxa"/>
            <w:shd w:val="clear" w:color="auto" w:fill="auto"/>
            <w:vAlign w:val="center"/>
          </w:tcPr>
          <w:p w14:paraId="320F88DA">
            <w:pPr>
              <w:pStyle w:val="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rPr>
              <w:t>1、硬件参数：设备硬件采用的国产CPU芯片，</w:t>
            </w:r>
            <w:r>
              <w:rPr>
                <w:rFonts w:hint="eastAsia" w:ascii="宋体" w:hAnsi="宋体" w:cs="宋体"/>
                <w:color w:val="auto"/>
                <w:kern w:val="2"/>
                <w:szCs w:val="22"/>
                <w:lang w:eastAsia="zh-CN"/>
              </w:rPr>
              <w:t>不高于</w:t>
            </w:r>
            <w:r>
              <w:rPr>
                <w:rFonts w:hint="eastAsia" w:ascii="宋体" w:hAnsi="宋体" w:eastAsia="宋体" w:cs="宋体"/>
                <w:color w:val="auto"/>
                <w:kern w:val="2"/>
                <w:szCs w:val="22"/>
              </w:rPr>
              <w:t>2U标准机架设备，≥</w:t>
            </w:r>
            <w:r>
              <w:rPr>
                <w:rFonts w:hint="eastAsia" w:ascii="宋体" w:hAnsi="宋体" w:cs="宋体"/>
                <w:color w:val="auto"/>
                <w:kern w:val="2"/>
                <w:szCs w:val="22"/>
                <w:lang w:val="en-US" w:eastAsia="zh-CN"/>
              </w:rPr>
              <w:t xml:space="preserve">10 </w:t>
            </w:r>
            <w:r>
              <w:rPr>
                <w:rFonts w:hint="eastAsia" w:ascii="宋体" w:hAnsi="宋体" w:eastAsia="宋体" w:cs="宋体"/>
                <w:color w:val="auto"/>
                <w:kern w:val="2"/>
                <w:szCs w:val="22"/>
              </w:rPr>
              <w:t>TB HDD（RAID5）硬盘存储空间：内存≥128G，CPU≥16核；具备千兆电口≥</w:t>
            </w:r>
            <w:r>
              <w:rPr>
                <w:rFonts w:hint="eastAsia" w:ascii="宋体" w:hAnsi="宋体" w:cs="宋体"/>
                <w:color w:val="auto"/>
                <w:kern w:val="2"/>
                <w:szCs w:val="22"/>
                <w:lang w:val="en-US" w:eastAsia="zh-CN"/>
              </w:rPr>
              <w:t>2</w:t>
            </w:r>
            <w:r>
              <w:rPr>
                <w:rFonts w:hint="eastAsia" w:ascii="宋体" w:hAnsi="宋体" w:eastAsia="宋体" w:cs="宋体"/>
                <w:color w:val="auto"/>
                <w:kern w:val="2"/>
                <w:szCs w:val="22"/>
              </w:rPr>
              <w:t>个、≥2个万兆光口</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配置光模块</w:t>
            </w:r>
            <w:r>
              <w:rPr>
                <w:rFonts w:hint="eastAsia" w:ascii="宋体" w:hAnsi="宋体" w:cs="宋体"/>
                <w:color w:val="auto"/>
                <w:kern w:val="2"/>
                <w:szCs w:val="22"/>
                <w:lang w:eastAsia="zh-CN"/>
              </w:rPr>
              <w:t>）、</w:t>
            </w:r>
            <w:r>
              <w:rPr>
                <w:rFonts w:hint="eastAsia" w:ascii="宋体" w:hAnsi="宋体" w:eastAsia="宋体" w:cs="宋体"/>
                <w:color w:val="auto"/>
                <w:kern w:val="2"/>
                <w:szCs w:val="22"/>
              </w:rPr>
              <w:t>≥2个USB接口；标配冗余交流电源</w:t>
            </w:r>
            <w:r>
              <w:rPr>
                <w:rFonts w:hint="eastAsia" w:ascii="宋体" w:hAnsi="宋体" w:cs="宋体"/>
                <w:color w:val="auto"/>
                <w:kern w:val="2"/>
                <w:szCs w:val="22"/>
                <w:lang w:eastAsia="zh-CN"/>
              </w:rPr>
              <w:t>。</w:t>
            </w:r>
          </w:p>
          <w:p w14:paraId="6D887EA7">
            <w:pPr>
              <w:pStyle w:val="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lang w:val="en-US" w:eastAsia="zh-CN"/>
              </w:rPr>
              <w:t>2</w:t>
            </w:r>
            <w:r>
              <w:rPr>
                <w:rFonts w:hint="eastAsia" w:ascii="宋体" w:hAnsi="宋体" w:eastAsia="宋体" w:cs="宋体"/>
                <w:color w:val="auto"/>
                <w:kern w:val="2"/>
                <w:szCs w:val="22"/>
              </w:rPr>
              <w:t>、提供态势监测、响应处置、分析研判、资产管理、集中管控、安全治理、安全审计、威胁情报管理等功能模块。单台数据采集器性能≥20000条/秒；支持10亿条数据秒级检索响应。包含≥10个日志源设备接入许可。包含</w:t>
            </w:r>
            <w:r>
              <w:rPr>
                <w:rFonts w:hint="eastAsia" w:ascii="宋体" w:hAnsi="宋体" w:eastAsia="宋体" w:cs="宋体"/>
                <w:color w:val="auto"/>
                <w:kern w:val="2"/>
                <w:szCs w:val="22"/>
                <w:lang w:val="en-US" w:eastAsia="zh-CN"/>
              </w:rPr>
              <w:t>至少</w:t>
            </w:r>
            <w:r>
              <w:rPr>
                <w:rFonts w:hint="eastAsia" w:ascii="宋体" w:hAnsi="宋体" w:eastAsia="宋体" w:cs="宋体"/>
                <w:color w:val="auto"/>
                <w:kern w:val="2"/>
                <w:szCs w:val="22"/>
              </w:rPr>
              <w:t>三年软件规则库升级服务。</w:t>
            </w:r>
          </w:p>
          <w:p w14:paraId="039509AD">
            <w:pPr>
              <w:pStyle w:val="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cs="宋体"/>
                <w:color w:val="auto"/>
                <w:kern w:val="2"/>
                <w:szCs w:val="22"/>
                <w:lang w:val="en-US" w:eastAsia="zh-CN"/>
              </w:rPr>
              <w:t>3</w:t>
            </w:r>
            <w:r>
              <w:rPr>
                <w:rFonts w:hint="eastAsia" w:ascii="宋体" w:hAnsi="宋体" w:eastAsia="宋体" w:cs="宋体"/>
                <w:color w:val="auto"/>
                <w:kern w:val="2"/>
                <w:szCs w:val="22"/>
              </w:rPr>
              <w:t>、支持态势大屏展示，包括全网态势、资产态势、漏洞态势、攻击态势，支持大屏展示时间设置，支持态势大屏中相关信息下钻跳转到对应的详细页面。</w:t>
            </w:r>
          </w:p>
          <w:p w14:paraId="722A0254">
            <w:pPr>
              <w:pStyle w:val="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cs="宋体"/>
                <w:color w:val="auto"/>
                <w:kern w:val="2"/>
                <w:szCs w:val="22"/>
                <w:lang w:val="en-US" w:eastAsia="zh-CN"/>
              </w:rPr>
              <w:t>4</w:t>
            </w:r>
            <w:r>
              <w:rPr>
                <w:rFonts w:hint="eastAsia" w:ascii="宋体" w:hAnsi="宋体" w:eastAsia="宋体" w:cs="宋体"/>
                <w:color w:val="auto"/>
                <w:kern w:val="2"/>
                <w:szCs w:val="22"/>
              </w:rPr>
              <w:t>、支持新建告警归并规则，包括基本信息、告警信息、匹配信息、归并信息等；告警信息包括但不限于告警名称、告警类型、告警级别、告警内容、置信度、标签、状态等</w:t>
            </w:r>
            <w:r>
              <w:rPr>
                <w:rFonts w:hint="eastAsia" w:ascii="宋体" w:hAnsi="宋体" w:cs="宋体"/>
                <w:color w:val="auto"/>
                <w:kern w:val="2"/>
                <w:szCs w:val="22"/>
                <w:lang w:eastAsia="zh-CN"/>
              </w:rPr>
              <w:t>。</w:t>
            </w:r>
          </w:p>
          <w:p w14:paraId="6AA71AA1">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5</w:t>
            </w:r>
            <w:r>
              <w:rPr>
                <w:rFonts w:hint="eastAsia" w:ascii="宋体" w:hAnsi="宋体" w:eastAsia="宋体" w:cs="宋体"/>
                <w:color w:val="auto"/>
                <w:kern w:val="2"/>
                <w:szCs w:val="22"/>
              </w:rPr>
              <w:t>、支持基于场景的安全策略响应编排，支持预案及案例两种场景类型，支持以列表形式展示预案信息</w:t>
            </w:r>
            <w:r>
              <w:rPr>
                <w:rFonts w:hint="eastAsia" w:ascii="宋体" w:hAnsi="宋体" w:cs="宋体"/>
                <w:color w:val="auto"/>
                <w:kern w:val="2"/>
                <w:szCs w:val="22"/>
                <w:lang w:eastAsia="zh-CN"/>
              </w:rPr>
              <w:t>，</w:t>
            </w:r>
            <w:r>
              <w:rPr>
                <w:rFonts w:hint="eastAsia" w:ascii="宋体" w:hAnsi="宋体" w:eastAsia="宋体" w:cs="宋体"/>
                <w:color w:val="auto"/>
                <w:kern w:val="2"/>
                <w:szCs w:val="22"/>
                <w:highlight w:val="none"/>
              </w:rPr>
              <w:t>支持内置至少</w:t>
            </w:r>
            <w:r>
              <w:rPr>
                <w:rFonts w:hint="eastAsia" w:ascii="宋体" w:hAnsi="宋体" w:cs="宋体"/>
                <w:color w:val="auto"/>
                <w:kern w:val="2"/>
                <w:szCs w:val="22"/>
                <w:highlight w:val="none"/>
                <w:lang w:val="en-US" w:eastAsia="zh-CN"/>
              </w:rPr>
              <w:t>不低于</w:t>
            </w:r>
            <w:r>
              <w:rPr>
                <w:rFonts w:hint="eastAsia" w:ascii="宋体" w:hAnsi="宋体" w:eastAsia="宋体" w:cs="宋体"/>
                <w:color w:val="auto"/>
                <w:kern w:val="2"/>
                <w:szCs w:val="22"/>
                <w:highlight w:val="none"/>
              </w:rPr>
              <w:t>8</w:t>
            </w:r>
            <w:r>
              <w:rPr>
                <w:rFonts w:hint="eastAsia" w:ascii="宋体" w:hAnsi="宋体" w:cs="宋体"/>
                <w:color w:val="auto"/>
                <w:kern w:val="2"/>
                <w:szCs w:val="22"/>
                <w:highlight w:val="none"/>
                <w:lang w:val="en-US" w:eastAsia="zh-CN"/>
              </w:rPr>
              <w:t>0</w:t>
            </w:r>
            <w:r>
              <w:rPr>
                <w:rFonts w:hint="eastAsia" w:ascii="宋体" w:hAnsi="宋体" w:eastAsia="宋体" w:cs="宋体"/>
                <w:color w:val="auto"/>
                <w:kern w:val="2"/>
                <w:szCs w:val="22"/>
                <w:highlight w:val="none"/>
              </w:rPr>
              <w:t>种分析模型</w:t>
            </w:r>
            <w:r>
              <w:rPr>
                <w:rFonts w:hint="eastAsia" w:ascii="宋体" w:hAnsi="宋体" w:cs="宋体"/>
                <w:color w:val="auto"/>
                <w:kern w:val="2"/>
                <w:szCs w:val="22"/>
                <w:highlight w:val="none"/>
                <w:lang w:eastAsia="zh-CN"/>
              </w:rPr>
              <w:t>。</w:t>
            </w:r>
          </w:p>
        </w:tc>
        <w:tc>
          <w:tcPr>
            <w:tcW w:w="698" w:type="dxa"/>
            <w:shd w:val="clear" w:color="auto" w:fill="auto"/>
            <w:noWrap/>
            <w:vAlign w:val="center"/>
          </w:tcPr>
          <w:p w14:paraId="081D011A">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4A3B762B">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798BBD18">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65A0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4" w:type="dxa"/>
            <w:shd w:val="clear" w:color="auto" w:fill="auto"/>
            <w:vAlign w:val="center"/>
          </w:tcPr>
          <w:p w14:paraId="5A68A804">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3</w:t>
            </w:r>
          </w:p>
        </w:tc>
        <w:tc>
          <w:tcPr>
            <w:tcW w:w="1180" w:type="dxa"/>
            <w:shd w:val="clear" w:color="auto" w:fill="auto"/>
            <w:vAlign w:val="center"/>
          </w:tcPr>
          <w:p w14:paraId="10BBF6E6">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highlight w:val="none"/>
              </w:rPr>
              <w:t>威胁探针</w:t>
            </w:r>
          </w:p>
        </w:tc>
        <w:tc>
          <w:tcPr>
            <w:tcW w:w="10386" w:type="dxa"/>
            <w:shd w:val="clear" w:color="auto" w:fill="auto"/>
            <w:vAlign w:val="center"/>
          </w:tcPr>
          <w:p w14:paraId="37F90373">
            <w:pPr>
              <w:widowControl/>
              <w:snapToGrid w:val="0"/>
              <w:spacing w:line="360" w:lineRule="auto"/>
              <w:ind w:firstLine="0" w:firstLineChars="0"/>
              <w:jc w:val="left"/>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eastAsia="zh-CN"/>
              </w:rPr>
              <w:t>不高于</w:t>
            </w:r>
            <w:r>
              <w:rPr>
                <w:rFonts w:hint="eastAsia" w:ascii="宋体" w:hAnsi="宋体" w:eastAsia="宋体" w:cs="宋体"/>
                <w:color w:val="auto"/>
              </w:rPr>
              <w:t>2U,国产CPU</w:t>
            </w:r>
            <w:r>
              <w:rPr>
                <w:rFonts w:hint="eastAsia" w:ascii="宋体" w:hAnsi="宋体" w:eastAsia="宋体" w:cs="宋体"/>
                <w:color w:val="auto"/>
                <w:kern w:val="2"/>
                <w:szCs w:val="22"/>
              </w:rPr>
              <w:t>≥</w:t>
            </w:r>
            <w:r>
              <w:rPr>
                <w:rFonts w:hint="eastAsia" w:ascii="宋体" w:hAnsi="宋体" w:eastAsia="宋体" w:cs="宋体"/>
                <w:color w:val="auto"/>
              </w:rPr>
              <w:t>1</w:t>
            </w:r>
            <w:r>
              <w:rPr>
                <w:rFonts w:hint="eastAsia" w:ascii="宋体" w:hAnsi="宋体" w:cs="宋体"/>
                <w:color w:val="auto"/>
                <w:lang w:val="en-US" w:eastAsia="zh-CN"/>
              </w:rPr>
              <w:t>颗</w:t>
            </w:r>
            <w:r>
              <w:rPr>
                <w:rFonts w:hint="eastAsia" w:ascii="宋体" w:hAnsi="宋体" w:eastAsia="宋体" w:cs="宋体"/>
                <w:color w:val="auto"/>
              </w:rPr>
              <w:t>,国产操作系统,内存</w:t>
            </w:r>
            <w:r>
              <w:rPr>
                <w:rFonts w:hint="eastAsia" w:ascii="宋体" w:hAnsi="宋体" w:eastAsia="宋体" w:cs="宋体"/>
                <w:color w:val="auto"/>
                <w:kern w:val="2"/>
                <w:szCs w:val="22"/>
              </w:rPr>
              <w:t>≥</w:t>
            </w:r>
            <w:r>
              <w:rPr>
                <w:rFonts w:hint="eastAsia" w:ascii="宋体" w:hAnsi="宋体" w:eastAsia="宋体" w:cs="宋体"/>
                <w:color w:val="auto"/>
              </w:rPr>
              <w:t>32G,机械硬盘</w:t>
            </w:r>
            <w:r>
              <w:rPr>
                <w:rFonts w:hint="eastAsia" w:ascii="宋体" w:hAnsi="宋体" w:eastAsia="宋体" w:cs="宋体"/>
                <w:color w:val="auto"/>
                <w:kern w:val="2"/>
                <w:szCs w:val="22"/>
              </w:rPr>
              <w:t>≥</w:t>
            </w:r>
            <w:r>
              <w:rPr>
                <w:rFonts w:hint="eastAsia" w:ascii="宋体" w:hAnsi="宋体" w:eastAsia="宋体" w:cs="宋体"/>
                <w:color w:val="auto"/>
              </w:rPr>
              <w:t>4TB,mSATA卡</w:t>
            </w:r>
            <w:r>
              <w:rPr>
                <w:rFonts w:hint="eastAsia" w:ascii="宋体" w:hAnsi="宋体" w:eastAsia="宋体" w:cs="宋体"/>
                <w:color w:val="auto"/>
                <w:kern w:val="2"/>
                <w:szCs w:val="22"/>
              </w:rPr>
              <w:t>≥</w:t>
            </w:r>
            <w:r>
              <w:rPr>
                <w:rFonts w:hint="eastAsia" w:ascii="宋体" w:hAnsi="宋体" w:eastAsia="宋体" w:cs="宋体"/>
                <w:color w:val="auto"/>
              </w:rPr>
              <w:t>128G,</w:t>
            </w:r>
            <w:r>
              <w:rPr>
                <w:rFonts w:hint="eastAsia" w:ascii="宋体" w:hAnsi="宋体" w:eastAsia="宋体" w:cs="宋体"/>
                <w:color w:val="auto"/>
                <w:kern w:val="2"/>
                <w:szCs w:val="22"/>
              </w:rPr>
              <w:t>≥</w:t>
            </w:r>
            <w:r>
              <w:rPr>
                <w:rFonts w:hint="eastAsia" w:ascii="宋体" w:hAnsi="宋体" w:eastAsia="宋体" w:cs="宋体"/>
                <w:color w:val="auto"/>
              </w:rPr>
              <w:t>6个千兆电口(含HA和管理口),</w:t>
            </w:r>
            <w:r>
              <w:rPr>
                <w:rFonts w:hint="eastAsia" w:ascii="宋体" w:hAnsi="宋体" w:eastAsia="宋体" w:cs="宋体"/>
                <w:color w:val="auto"/>
                <w:kern w:val="2"/>
                <w:szCs w:val="22"/>
              </w:rPr>
              <w:t>≥</w:t>
            </w:r>
            <w:r>
              <w:rPr>
                <w:rFonts w:hint="eastAsia" w:ascii="宋体" w:hAnsi="宋体" w:eastAsia="宋体" w:cs="宋体"/>
                <w:color w:val="auto"/>
              </w:rPr>
              <w:t>4个千兆光口插槽,冗余电源,</w:t>
            </w:r>
            <w:r>
              <w:rPr>
                <w:rFonts w:hint="eastAsia" w:ascii="宋体" w:hAnsi="宋体" w:eastAsia="宋体" w:cs="宋体"/>
                <w:color w:val="auto"/>
                <w:kern w:val="2"/>
                <w:szCs w:val="22"/>
              </w:rPr>
              <w:t>≥</w:t>
            </w:r>
            <w:r>
              <w:rPr>
                <w:rFonts w:hint="eastAsia" w:ascii="宋体" w:hAnsi="宋体" w:cs="宋体"/>
                <w:color w:val="auto"/>
                <w:lang w:val="en-US" w:eastAsia="zh-CN"/>
              </w:rPr>
              <w:t>3</w:t>
            </w:r>
            <w:r>
              <w:rPr>
                <w:rFonts w:hint="eastAsia" w:ascii="宋体" w:hAnsi="宋体" w:eastAsia="宋体" w:cs="宋体"/>
                <w:color w:val="auto"/>
              </w:rPr>
              <w:t>个扩展槽位,APT性能：2Gbps，探针性能：4Gbps，并发连接：</w:t>
            </w:r>
            <w:r>
              <w:rPr>
                <w:rFonts w:hint="eastAsia" w:ascii="宋体" w:hAnsi="宋体" w:eastAsia="宋体" w:cs="宋体"/>
                <w:color w:val="auto"/>
                <w:kern w:val="2"/>
                <w:szCs w:val="22"/>
              </w:rPr>
              <w:t>≥</w:t>
            </w:r>
            <w:r>
              <w:rPr>
                <w:rFonts w:hint="eastAsia" w:ascii="宋体" w:hAnsi="宋体" w:cs="宋体"/>
                <w:color w:val="auto"/>
                <w:kern w:val="2"/>
                <w:szCs w:val="22"/>
                <w:lang w:val="en-US" w:eastAsia="zh-CN"/>
              </w:rPr>
              <w:t>5</w:t>
            </w:r>
            <w:r>
              <w:rPr>
                <w:rFonts w:hint="eastAsia" w:ascii="宋体" w:hAnsi="宋体" w:eastAsia="宋体" w:cs="宋体"/>
                <w:color w:val="auto"/>
              </w:rPr>
              <w:t>0W，新建连接：</w:t>
            </w:r>
            <w:r>
              <w:rPr>
                <w:rFonts w:hint="eastAsia" w:ascii="宋体" w:hAnsi="宋体" w:eastAsia="宋体" w:cs="宋体"/>
                <w:color w:val="auto"/>
                <w:kern w:val="2"/>
                <w:szCs w:val="22"/>
              </w:rPr>
              <w:t>≥</w:t>
            </w:r>
            <w:r>
              <w:rPr>
                <w:rFonts w:hint="eastAsia" w:ascii="宋体" w:hAnsi="宋体" w:eastAsia="宋体" w:cs="宋体"/>
                <w:color w:val="auto"/>
              </w:rPr>
              <w:t>2W/S，静态检测：</w:t>
            </w:r>
            <w:r>
              <w:rPr>
                <w:rFonts w:hint="eastAsia" w:ascii="宋体" w:hAnsi="宋体" w:eastAsia="宋体" w:cs="宋体"/>
                <w:color w:val="auto"/>
                <w:kern w:val="2"/>
                <w:szCs w:val="22"/>
              </w:rPr>
              <w:t>≥</w:t>
            </w:r>
            <w:r>
              <w:rPr>
                <w:rFonts w:hint="eastAsia" w:ascii="宋体" w:hAnsi="宋体" w:eastAsia="宋体" w:cs="宋体"/>
                <w:color w:val="auto"/>
              </w:rPr>
              <w:t>5万样本/天。</w:t>
            </w:r>
          </w:p>
          <w:p w14:paraId="6A283CF4">
            <w:pPr>
              <w:widowControl/>
              <w:snapToGrid w:val="0"/>
              <w:spacing w:line="360" w:lineRule="auto"/>
              <w:ind w:firstLine="0" w:firstLineChars="0"/>
              <w:jc w:val="left"/>
              <w:rPr>
                <w:rFonts w:hint="eastAsia" w:ascii="宋体" w:hAnsi="宋体" w:eastAsia="宋体" w:cs="宋体"/>
                <w:color w:val="auto"/>
              </w:rPr>
            </w:pPr>
            <w:r>
              <w:rPr>
                <w:rFonts w:hint="eastAsia" w:ascii="宋体" w:hAnsi="宋体" w:eastAsia="宋体" w:cs="宋体"/>
                <w:color w:val="auto"/>
              </w:rPr>
              <w:t>2、支持恶意文件研判，能够按照恶意文件分类、恶意文件趋势进行统计分析。</w:t>
            </w:r>
          </w:p>
          <w:p w14:paraId="11D794C4">
            <w:pPr>
              <w:widowControl/>
              <w:snapToGrid w:val="0"/>
              <w:spacing w:line="360" w:lineRule="auto"/>
              <w:ind w:firstLine="0" w:firstLineChars="0"/>
              <w:jc w:val="left"/>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、支持恶意文件检测，采用固网恶意程序检测智慧引擎、移动恶意程序检测智慧引擎、沙箱、YARA、文件类威胁情报等多种检测方式。</w:t>
            </w:r>
          </w:p>
          <w:p w14:paraId="4490986A">
            <w:pPr>
              <w:widowControl/>
              <w:snapToGrid w:val="0"/>
              <w:spacing w:line="360" w:lineRule="auto"/>
              <w:ind w:firstLine="0" w:firstLineChars="0"/>
              <w:jc w:val="left"/>
              <w:rPr>
                <w:rFonts w:hint="eastAsia" w:ascii="宋体" w:hAnsi="宋体" w:eastAsia="宋体" w:cs="宋体"/>
                <w:color w:val="auto"/>
                <w:lang w:eastAsia="zh-CN"/>
              </w:rPr>
            </w:pPr>
            <w:r>
              <w:rPr>
                <w:rFonts w:hint="eastAsia" w:ascii="宋体" w:hAnsi="宋体" w:eastAsia="宋体" w:cs="宋体"/>
                <w:color w:val="auto"/>
                <w:lang w:val="en-US" w:eastAsia="zh-CN"/>
              </w:rPr>
              <w:t>4</w:t>
            </w:r>
            <w:r>
              <w:rPr>
                <w:rFonts w:hint="eastAsia" w:ascii="宋体" w:hAnsi="宋体" w:eastAsia="宋体" w:cs="宋体"/>
                <w:color w:val="auto"/>
              </w:rPr>
              <w:t>、采用固网恶意程序检测智慧引擎、移动恶意程序检测智慧引擎，不依赖规则库即可实现对未知恶意程序检测</w:t>
            </w:r>
            <w:r>
              <w:rPr>
                <w:rFonts w:hint="eastAsia" w:ascii="宋体" w:hAnsi="宋体" w:cs="宋体"/>
                <w:color w:val="auto"/>
                <w:lang w:eastAsia="zh-CN"/>
              </w:rPr>
              <w:t>。</w:t>
            </w:r>
          </w:p>
          <w:p w14:paraId="0517C60E">
            <w:pPr>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lang w:val="en-US" w:eastAsia="zh-CN"/>
              </w:rPr>
              <w:t>5</w:t>
            </w:r>
            <w:r>
              <w:rPr>
                <w:rFonts w:hint="eastAsia" w:ascii="宋体" w:hAnsi="宋体" w:eastAsia="宋体" w:cs="宋体"/>
                <w:color w:val="auto"/>
              </w:rPr>
              <w:t>、支持通过智慧引擎检测未知威胁，支持注入和WEBSHELL攻击检测</w:t>
            </w:r>
            <w:r>
              <w:rPr>
                <w:rFonts w:hint="eastAsia" w:ascii="宋体" w:hAnsi="宋体" w:cs="宋体"/>
                <w:color w:val="auto"/>
                <w:lang w:eastAsia="zh-CN"/>
              </w:rPr>
              <w:t>。</w:t>
            </w:r>
          </w:p>
        </w:tc>
        <w:tc>
          <w:tcPr>
            <w:tcW w:w="698" w:type="dxa"/>
            <w:shd w:val="clear" w:color="auto" w:fill="auto"/>
            <w:noWrap/>
            <w:vAlign w:val="center"/>
          </w:tcPr>
          <w:p w14:paraId="7C63548C">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3226C30A">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731A2A33">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3042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4BF4AD77">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4</w:t>
            </w:r>
          </w:p>
        </w:tc>
        <w:tc>
          <w:tcPr>
            <w:tcW w:w="1180" w:type="dxa"/>
            <w:shd w:val="clear" w:color="auto" w:fill="auto"/>
            <w:vAlign w:val="center"/>
          </w:tcPr>
          <w:p w14:paraId="5A790B43">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数据库防火墙</w:t>
            </w:r>
          </w:p>
        </w:tc>
        <w:tc>
          <w:tcPr>
            <w:tcW w:w="10386" w:type="dxa"/>
            <w:shd w:val="clear" w:color="auto" w:fill="auto"/>
            <w:vAlign w:val="center"/>
          </w:tcPr>
          <w:p w14:paraId="1D49E998">
            <w:pPr>
              <w:widowControl/>
              <w:snapToGrid w:val="0"/>
              <w:spacing w:line="360" w:lineRule="auto"/>
              <w:ind w:firstLine="0"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1、标准机架式（专用硬件平台），交流电源，≥2GE板载管理口，≥4GE板载接口，≥4GE(SFP)板载接口，不少于2×接口板卡插槽。≥2TB硬盘；要求国产化硬件。授权范围：≥10个数据库(IP+Port)授权。</w:t>
            </w:r>
          </w:p>
          <w:p w14:paraId="7AFD0EE6">
            <w:pPr>
              <w:widowControl/>
              <w:snapToGrid w:val="0"/>
              <w:spacing w:line="360" w:lineRule="auto"/>
              <w:ind w:firstLine="0"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2、支持国际主流数据库：Oracle、SQL Server、MySQL、DB2</w:t>
            </w:r>
            <w:r>
              <w:rPr>
                <w:rFonts w:hint="eastAsia" w:ascii="宋体" w:hAnsi="宋体" w:cs="宋体"/>
                <w:color w:val="auto"/>
                <w:kern w:val="2"/>
                <w:szCs w:val="22"/>
                <w:lang w:val="en-US" w:eastAsia="zh-CN"/>
              </w:rPr>
              <w:t>等</w:t>
            </w:r>
            <w:r>
              <w:rPr>
                <w:rFonts w:hint="eastAsia" w:ascii="宋体" w:hAnsi="宋体" w:eastAsia="宋体" w:cs="宋体"/>
                <w:color w:val="auto"/>
                <w:kern w:val="2"/>
                <w:szCs w:val="22"/>
              </w:rPr>
              <w:t>；支持国产数据库：SgrDB、DM、GBase 8a</w:t>
            </w:r>
            <w:r>
              <w:rPr>
                <w:rFonts w:hint="eastAsia" w:ascii="宋体" w:hAnsi="宋体" w:cs="宋体"/>
                <w:color w:val="auto"/>
                <w:kern w:val="2"/>
                <w:szCs w:val="22"/>
                <w:lang w:val="en-US" w:eastAsia="zh-CN"/>
              </w:rPr>
              <w:t>等</w:t>
            </w:r>
            <w:r>
              <w:rPr>
                <w:rFonts w:hint="eastAsia" w:ascii="宋体" w:hAnsi="宋体" w:eastAsia="宋体" w:cs="宋体"/>
                <w:color w:val="auto"/>
                <w:kern w:val="2"/>
                <w:szCs w:val="22"/>
              </w:rPr>
              <w:t>；非关系型数据库：支持MongoDB、Redis</w:t>
            </w:r>
            <w:r>
              <w:rPr>
                <w:rFonts w:hint="eastAsia" w:ascii="宋体" w:hAnsi="宋体" w:cs="宋体"/>
                <w:color w:val="auto"/>
                <w:kern w:val="2"/>
                <w:szCs w:val="22"/>
                <w:lang w:val="en-US" w:eastAsia="zh-CN"/>
              </w:rPr>
              <w:t>等</w:t>
            </w:r>
            <w:r>
              <w:rPr>
                <w:rFonts w:hint="eastAsia" w:ascii="宋体" w:hAnsi="宋体" w:eastAsia="宋体" w:cs="宋体"/>
                <w:color w:val="auto"/>
                <w:kern w:val="2"/>
                <w:szCs w:val="22"/>
              </w:rPr>
              <w:t>；支持Hive、HBase、Sentry、HDFS、Impala、ES、Spark SQL、Solr等组件。</w:t>
            </w:r>
          </w:p>
          <w:p w14:paraId="730808C0">
            <w:pPr>
              <w:widowControl/>
              <w:snapToGrid w:val="0"/>
              <w:spacing w:line="360" w:lineRule="auto"/>
              <w:ind w:firstLine="0"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 xml:space="preserve">3、支持中断会话和拦截语句两种阻断模式：中断会话：对需要阻断的访问，中断数据库连接；拦截语句：对需要拦截的访问，返回防火墙的错误提示信息，当前语句被拦截后，该会话不中断； </w:t>
            </w:r>
          </w:p>
          <w:p w14:paraId="570036A8">
            <w:pPr>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4</w:t>
            </w:r>
            <w:r>
              <w:rPr>
                <w:rFonts w:hint="eastAsia" w:ascii="宋体" w:hAnsi="宋体" w:eastAsia="宋体" w:cs="宋体"/>
                <w:color w:val="auto"/>
                <w:kern w:val="2"/>
                <w:szCs w:val="22"/>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访问数量阀值管控</w:t>
            </w:r>
            <w:r>
              <w:rPr>
                <w:rFonts w:hint="eastAsia" w:ascii="宋体" w:hAnsi="宋体" w:cs="宋体"/>
                <w:color w:val="auto"/>
                <w:kern w:val="2"/>
                <w:szCs w:val="22"/>
                <w:lang w:eastAsia="zh-CN"/>
              </w:rPr>
              <w:t>；</w:t>
            </w:r>
            <w:r>
              <w:rPr>
                <w:rFonts w:hint="eastAsia" w:ascii="宋体" w:hAnsi="宋体" w:eastAsia="宋体" w:cs="宋体"/>
                <w:color w:val="auto"/>
                <w:kern w:val="2"/>
                <w:szCs w:val="22"/>
              </w:rPr>
              <w:t>支持利用数据库漏洞攻击防护</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SQL 注入攻击防护</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敏感数据防护策略配置</w:t>
            </w:r>
            <w:r>
              <w:rPr>
                <w:rFonts w:hint="eastAsia" w:ascii="宋体" w:hAnsi="宋体" w:cs="宋体"/>
                <w:color w:val="auto"/>
                <w:kern w:val="2"/>
                <w:szCs w:val="22"/>
                <w:lang w:val="en-US" w:eastAsia="zh-CN"/>
              </w:rPr>
              <w:t>以及</w:t>
            </w:r>
            <w:r>
              <w:rPr>
                <w:rFonts w:hint="eastAsia" w:ascii="宋体" w:hAnsi="宋体" w:eastAsia="宋体" w:cs="宋体"/>
                <w:color w:val="auto"/>
                <w:kern w:val="2"/>
                <w:szCs w:val="22"/>
              </w:rPr>
              <w:t>策略自动添加</w:t>
            </w:r>
            <w:r>
              <w:rPr>
                <w:rFonts w:hint="eastAsia" w:ascii="宋体" w:hAnsi="宋体" w:cs="宋体"/>
                <w:color w:val="auto"/>
                <w:kern w:val="2"/>
                <w:szCs w:val="22"/>
                <w:lang w:eastAsia="zh-CN"/>
              </w:rPr>
              <w:t>。</w:t>
            </w:r>
          </w:p>
        </w:tc>
        <w:tc>
          <w:tcPr>
            <w:tcW w:w="698" w:type="dxa"/>
            <w:shd w:val="clear" w:color="auto" w:fill="auto"/>
            <w:noWrap/>
            <w:vAlign w:val="center"/>
          </w:tcPr>
          <w:p w14:paraId="26014C9B">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655D4453">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2</w:t>
            </w:r>
          </w:p>
        </w:tc>
        <w:tc>
          <w:tcPr>
            <w:tcW w:w="246" w:type="pct"/>
            <w:shd w:val="clear" w:color="auto" w:fill="auto"/>
            <w:noWrap/>
            <w:vAlign w:val="center"/>
          </w:tcPr>
          <w:p w14:paraId="2A677B53">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2065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069B07BE">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5</w:t>
            </w:r>
          </w:p>
        </w:tc>
        <w:tc>
          <w:tcPr>
            <w:tcW w:w="1180" w:type="dxa"/>
            <w:shd w:val="clear" w:color="auto" w:fill="auto"/>
            <w:vAlign w:val="center"/>
          </w:tcPr>
          <w:p w14:paraId="7BE7DAB7">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API风险监测系统</w:t>
            </w:r>
          </w:p>
        </w:tc>
        <w:tc>
          <w:tcPr>
            <w:tcW w:w="10386" w:type="dxa"/>
            <w:shd w:val="clear" w:color="auto" w:fill="auto"/>
            <w:vAlign w:val="center"/>
          </w:tcPr>
          <w:p w14:paraId="58327CD3">
            <w:pPr>
              <w:pStyle w:val="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1、硬件配置CPU：≥10 核；内存≥64G，≥2*960G，硬盘数据盘≥8T，阵列卡≥1G 缓存带电容保护，网口≥双口万兆 / 光（含模块），电源配置冗余电源，需配上架导轨。</w:t>
            </w:r>
          </w:p>
          <w:p w14:paraId="381BF59E">
            <w:pPr>
              <w:pStyle w:val="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lang w:val="en-US" w:eastAsia="zh-CN"/>
              </w:rPr>
              <w:t>2</w:t>
            </w:r>
            <w:r>
              <w:rPr>
                <w:rFonts w:hint="eastAsia" w:ascii="宋体" w:hAnsi="宋体" w:eastAsia="宋体" w:cs="宋体"/>
                <w:color w:val="auto"/>
                <w:kern w:val="2"/>
                <w:szCs w:val="22"/>
              </w:rPr>
              <w:t>、主机自带流量解析引擎、API 资产梳理引擎、弱点发现引擎，含硬件，解析流量≥500Mbps。</w:t>
            </w:r>
          </w:p>
          <w:p w14:paraId="3EE8F6E9">
            <w:pPr>
              <w:pStyle w:val="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lang w:val="en-US" w:eastAsia="zh-CN"/>
              </w:rPr>
              <w:t>3</w:t>
            </w:r>
            <w:r>
              <w:rPr>
                <w:rFonts w:hint="eastAsia" w:ascii="宋体" w:hAnsi="宋体" w:eastAsia="宋体" w:cs="宋体"/>
                <w:color w:val="auto"/>
                <w:kern w:val="2"/>
                <w:szCs w:val="22"/>
              </w:rPr>
              <w:t>、流量解析：支持对 http1.1 版本；支持识别主流 API 格式，包括 REST、SOAP。</w:t>
            </w:r>
          </w:p>
          <w:p w14:paraId="3FD753A9">
            <w:pPr>
              <w:pStyle w:val="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lang w:val="en-US" w:eastAsia="zh-CN"/>
              </w:rPr>
              <w:t>4</w:t>
            </w:r>
            <w:r>
              <w:rPr>
                <w:rFonts w:hint="eastAsia" w:ascii="宋体" w:hAnsi="宋体" w:eastAsia="宋体" w:cs="宋体"/>
                <w:color w:val="auto"/>
                <w:kern w:val="2"/>
                <w:szCs w:val="22"/>
              </w:rPr>
              <w:t>、应用接口资产梳理：采用自动化应用和接口发现技术，将网络流量中大量的应用和接口进行聚合归类，还原接口技术设计逻辑，对 RESTful 接口自动合并，并针对接口中请求和返回的数据内容进行提取识别、打标</w:t>
            </w:r>
            <w:r>
              <w:rPr>
                <w:rFonts w:hint="eastAsia" w:ascii="宋体" w:hAnsi="宋体" w:cs="宋体"/>
                <w:color w:val="auto"/>
                <w:kern w:val="2"/>
                <w:szCs w:val="22"/>
                <w:lang w:eastAsia="zh-CN"/>
              </w:rPr>
              <w:t>。</w:t>
            </w:r>
          </w:p>
          <w:p w14:paraId="1A8D5D4D">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5</w:t>
            </w:r>
            <w:r>
              <w:rPr>
                <w:rFonts w:hint="eastAsia" w:ascii="宋体" w:hAnsi="宋体" w:eastAsia="宋体" w:cs="宋体"/>
                <w:color w:val="auto"/>
                <w:kern w:val="2"/>
                <w:szCs w:val="22"/>
              </w:rPr>
              <w:t>、支持自动识别流量中的风险行为，覆盖常见的数据泄露类、</w:t>
            </w:r>
            <w:r>
              <w:rPr>
                <w:rFonts w:hint="eastAsia" w:ascii="宋体" w:hAnsi="宋体" w:cs="宋体"/>
                <w:color w:val="auto"/>
                <w:kern w:val="2"/>
                <w:szCs w:val="22"/>
                <w:lang w:eastAsia="zh-CN"/>
              </w:rPr>
              <w:t>账号</w:t>
            </w:r>
            <w:r>
              <w:rPr>
                <w:rFonts w:hint="eastAsia" w:ascii="宋体" w:hAnsi="宋体" w:eastAsia="宋体" w:cs="宋体"/>
                <w:color w:val="auto"/>
                <w:kern w:val="2"/>
                <w:szCs w:val="22"/>
              </w:rPr>
              <w:t>安全类、web 攻击类的风险，内置的风险行为</w:t>
            </w:r>
            <w:r>
              <w:rPr>
                <w:rFonts w:hint="eastAsia" w:ascii="宋体" w:hAnsi="宋体" w:cs="宋体"/>
                <w:color w:val="auto"/>
                <w:kern w:val="2"/>
                <w:szCs w:val="22"/>
                <w:lang w:eastAsia="zh-CN"/>
              </w:rPr>
              <w:t>；</w:t>
            </w:r>
            <w:r>
              <w:rPr>
                <w:rFonts w:hint="eastAsia" w:ascii="宋体" w:hAnsi="宋体" w:eastAsia="宋体" w:cs="宋体"/>
                <w:color w:val="auto"/>
                <w:kern w:val="2"/>
                <w:szCs w:val="22"/>
              </w:rPr>
              <w:t>敏感数据识别：内置≥130种数据标签的识别</w:t>
            </w:r>
            <w:r>
              <w:rPr>
                <w:rFonts w:hint="eastAsia" w:ascii="宋体" w:hAnsi="宋体" w:cs="宋体"/>
                <w:color w:val="auto"/>
                <w:kern w:val="2"/>
                <w:szCs w:val="22"/>
                <w:lang w:eastAsia="zh-CN"/>
              </w:rPr>
              <w:t>。</w:t>
            </w:r>
          </w:p>
        </w:tc>
        <w:tc>
          <w:tcPr>
            <w:tcW w:w="698" w:type="dxa"/>
            <w:shd w:val="clear" w:color="auto" w:fill="auto"/>
            <w:noWrap/>
            <w:vAlign w:val="center"/>
          </w:tcPr>
          <w:p w14:paraId="4001CCF5">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41A4ABEA">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5A840E96">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7621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0D3A8E90">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6</w:t>
            </w:r>
          </w:p>
        </w:tc>
        <w:tc>
          <w:tcPr>
            <w:tcW w:w="1180" w:type="dxa"/>
            <w:shd w:val="clear" w:color="auto" w:fill="auto"/>
            <w:vAlign w:val="center"/>
          </w:tcPr>
          <w:p w14:paraId="674AEF2B">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highlight w:val="none"/>
              </w:rPr>
              <w:t>主机安全防护系统</w:t>
            </w:r>
          </w:p>
        </w:tc>
        <w:tc>
          <w:tcPr>
            <w:tcW w:w="10386" w:type="dxa"/>
            <w:shd w:val="clear" w:color="auto" w:fill="auto"/>
            <w:vAlign w:val="center"/>
          </w:tcPr>
          <w:p w14:paraId="0A67B5A8">
            <w:pPr>
              <w:pStyle w:val="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1、自适应安全防御系统包含管理中心和≥50个（云）主机授权（含3年安全规则升级服务），具备资产管理、风险发现、威胁监测、安全基线、病毒查杀、微隔离等功能。</w:t>
            </w:r>
          </w:p>
          <w:p w14:paraId="122FE576">
            <w:pPr>
              <w:pStyle w:val="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rPr>
              <w:t>2、资产管理：采用ARP、PING扫描、NMAP扫描多种探查方法，主动发现未安装安全探针的主机的信息</w:t>
            </w:r>
            <w:r>
              <w:rPr>
                <w:rFonts w:hint="eastAsia" w:ascii="宋体" w:hAnsi="宋体" w:cs="宋体"/>
                <w:color w:val="auto"/>
                <w:kern w:val="2"/>
                <w:szCs w:val="22"/>
                <w:lang w:eastAsia="zh-CN"/>
              </w:rPr>
              <w:t>。</w:t>
            </w:r>
          </w:p>
          <w:p w14:paraId="092E4894">
            <w:pPr>
              <w:pStyle w:val="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rPr>
              <w:t>3、</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风险发现：支持系统漏洞扫描，上报风险等级、漏洞名称、未处理主机、已忽略主机、已修复主机</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威胁监测：支持实时检测异常IP、异常区域、异常时间、异常账号等异常登录行为</w:t>
            </w:r>
            <w:r>
              <w:rPr>
                <w:rFonts w:hint="eastAsia" w:ascii="宋体" w:hAnsi="宋体" w:cs="宋体"/>
                <w:color w:val="auto"/>
                <w:kern w:val="2"/>
                <w:szCs w:val="22"/>
                <w:lang w:eastAsia="zh-CN"/>
              </w:rPr>
              <w:t>。</w:t>
            </w:r>
          </w:p>
          <w:p w14:paraId="5042B2CA">
            <w:pPr>
              <w:pStyle w:val="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cs="宋体"/>
                <w:color w:val="auto"/>
                <w:kern w:val="2"/>
                <w:szCs w:val="22"/>
                <w:lang w:val="en-US" w:eastAsia="zh-CN"/>
              </w:rPr>
              <w:t>4</w:t>
            </w:r>
            <w:r>
              <w:rPr>
                <w:rFonts w:hint="eastAsia" w:ascii="宋体" w:hAnsi="宋体" w:eastAsia="宋体" w:cs="宋体"/>
                <w:color w:val="auto"/>
                <w:kern w:val="2"/>
                <w:szCs w:val="22"/>
              </w:rPr>
              <w:t>、安全基线：提供中标麒麟、银河麒麟</w:t>
            </w:r>
            <w:r>
              <w:rPr>
                <w:rFonts w:hint="eastAsia" w:ascii="宋体" w:hAnsi="宋体" w:cs="宋体"/>
                <w:color w:val="auto"/>
                <w:kern w:val="2"/>
                <w:szCs w:val="22"/>
                <w:lang w:eastAsia="zh-CN"/>
              </w:rPr>
              <w:t>、</w:t>
            </w:r>
            <w:r>
              <w:rPr>
                <w:rFonts w:hint="eastAsia" w:ascii="宋体" w:hAnsi="宋体" w:eastAsia="宋体" w:cs="宋体"/>
                <w:color w:val="auto"/>
                <w:kern w:val="2"/>
                <w:szCs w:val="22"/>
              </w:rPr>
              <w:t>CentOS等操作系统基线模板</w:t>
            </w:r>
            <w:r>
              <w:rPr>
                <w:rFonts w:hint="eastAsia" w:ascii="宋体" w:hAnsi="宋体" w:cs="宋体"/>
                <w:color w:val="auto"/>
                <w:kern w:val="2"/>
                <w:szCs w:val="22"/>
                <w:lang w:eastAsia="zh-CN"/>
              </w:rPr>
              <w:t>；</w:t>
            </w:r>
            <w:r>
              <w:rPr>
                <w:rFonts w:hint="eastAsia" w:ascii="宋体" w:hAnsi="宋体" w:eastAsia="宋体" w:cs="宋体"/>
                <w:color w:val="auto"/>
                <w:kern w:val="2"/>
                <w:szCs w:val="22"/>
              </w:rPr>
              <w:t>微隔离：通过源/目的地址、端口、协议（TCP、UDP、ICMP、IGMP、GGP、PUP、IDP、ND、ESP、AH、RDP、GRE、SKIP、RAW）、流量方向等维度配置放行、阻止等访问控制规则</w:t>
            </w:r>
            <w:r>
              <w:rPr>
                <w:rFonts w:hint="eastAsia" w:ascii="宋体" w:hAnsi="宋体" w:cs="宋体"/>
                <w:color w:val="auto"/>
                <w:kern w:val="2"/>
                <w:szCs w:val="22"/>
                <w:lang w:eastAsia="zh-CN"/>
              </w:rPr>
              <w:t>。</w:t>
            </w:r>
          </w:p>
          <w:p w14:paraId="2613E078">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5</w:t>
            </w:r>
            <w:r>
              <w:rPr>
                <w:rFonts w:hint="eastAsia" w:ascii="宋体" w:hAnsi="宋体" w:eastAsia="宋体" w:cs="宋体"/>
                <w:color w:val="auto"/>
                <w:kern w:val="2"/>
                <w:szCs w:val="22"/>
              </w:rPr>
              <w:t>、病毒查杀：支持实时检测内核后门、引导后门、勒索病毒、流氓程序、黑客工具等病毒</w:t>
            </w:r>
            <w:r>
              <w:rPr>
                <w:rFonts w:hint="eastAsia" w:ascii="宋体" w:hAnsi="宋体" w:cs="宋体"/>
                <w:color w:val="auto"/>
                <w:kern w:val="2"/>
                <w:szCs w:val="22"/>
                <w:lang w:eastAsia="zh-CN"/>
              </w:rPr>
              <w:t>。</w:t>
            </w:r>
          </w:p>
        </w:tc>
        <w:tc>
          <w:tcPr>
            <w:tcW w:w="698" w:type="dxa"/>
            <w:shd w:val="clear" w:color="auto" w:fill="auto"/>
            <w:noWrap/>
            <w:vAlign w:val="center"/>
          </w:tcPr>
          <w:p w14:paraId="01B9BDD2">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套</w:t>
            </w:r>
          </w:p>
        </w:tc>
        <w:tc>
          <w:tcPr>
            <w:tcW w:w="584" w:type="dxa"/>
            <w:shd w:val="clear" w:color="auto" w:fill="auto"/>
            <w:vAlign w:val="center"/>
          </w:tcPr>
          <w:p w14:paraId="01CA4FCC">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3FF7BEC4">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2E56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46BCA4C7">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7</w:t>
            </w:r>
          </w:p>
        </w:tc>
        <w:tc>
          <w:tcPr>
            <w:tcW w:w="1180" w:type="dxa"/>
            <w:shd w:val="clear" w:color="auto" w:fill="auto"/>
            <w:vAlign w:val="center"/>
          </w:tcPr>
          <w:p w14:paraId="17DC24FE">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IT智能运维管理系统</w:t>
            </w:r>
          </w:p>
        </w:tc>
        <w:tc>
          <w:tcPr>
            <w:tcW w:w="10386" w:type="dxa"/>
            <w:shd w:val="clear" w:color="auto" w:fill="auto"/>
            <w:vAlign w:val="center"/>
          </w:tcPr>
          <w:p w14:paraId="39B18D24">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提供系统平台（含管理平台、管理引擎），自定义首页、告警管理中心、告警输出、报表管理组件、系统基础管理报表、网络基础管理报表、存储基础报表、服务器硬件管理、操作系统管理、数据库管理、中间件管理、网络设备管理、标准网络性能管理、宿主机管理、存储设备管理、TOPO管理。提供授权数≥100个</w:t>
            </w:r>
            <w:r>
              <w:rPr>
                <w:rFonts w:hint="eastAsia" w:ascii="宋体" w:hAnsi="宋体" w:cs="宋体"/>
                <w:color w:val="auto"/>
                <w:kern w:val="2"/>
                <w:szCs w:val="22"/>
                <w:lang w:eastAsia="zh-CN"/>
              </w:rPr>
              <w:t>。</w:t>
            </w:r>
          </w:p>
        </w:tc>
        <w:tc>
          <w:tcPr>
            <w:tcW w:w="698" w:type="dxa"/>
            <w:shd w:val="clear" w:color="auto" w:fill="auto"/>
            <w:noWrap/>
            <w:vAlign w:val="center"/>
          </w:tcPr>
          <w:p w14:paraId="546089DC">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套</w:t>
            </w:r>
          </w:p>
        </w:tc>
        <w:tc>
          <w:tcPr>
            <w:tcW w:w="584" w:type="dxa"/>
            <w:shd w:val="clear" w:color="auto" w:fill="auto"/>
            <w:vAlign w:val="center"/>
          </w:tcPr>
          <w:p w14:paraId="765450C9">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vAlign w:val="center"/>
          </w:tcPr>
          <w:p w14:paraId="250E4614">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745C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2A2FAAD5">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8</w:t>
            </w:r>
          </w:p>
        </w:tc>
        <w:tc>
          <w:tcPr>
            <w:tcW w:w="1180" w:type="dxa"/>
            <w:shd w:val="clear" w:color="auto" w:fill="auto"/>
            <w:vAlign w:val="center"/>
          </w:tcPr>
          <w:p w14:paraId="458BFC2F">
            <w:pPr>
              <w:spacing w:line="440" w:lineRule="exact"/>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系统集成及安全整改服务</w:t>
            </w:r>
          </w:p>
          <w:p w14:paraId="2AE274B6">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p>
        </w:tc>
        <w:tc>
          <w:tcPr>
            <w:tcW w:w="10386" w:type="dxa"/>
            <w:shd w:val="clear" w:color="auto" w:fill="auto"/>
            <w:vAlign w:val="center"/>
          </w:tcPr>
          <w:p w14:paraId="6026C57E">
            <w:pPr>
              <w:pStyle w:val="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1.项目管理服务，提供合格的项目经理和项目实施团队，团队工作人员均具有相关的技术认证证书。项目服务人员必须保持稳定，如果不合格，采购方可以要求更换人员直到合格为止。</w:t>
            </w:r>
          </w:p>
          <w:p w14:paraId="63F48824">
            <w:pPr>
              <w:pStyle w:val="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2.技术文件交付，提交完整的设计方案、实施方案、竣工文档、验收文档等。</w:t>
            </w:r>
          </w:p>
          <w:p w14:paraId="67E8695D">
            <w:pPr>
              <w:pStyle w:val="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3.专业技术服务，包括但不限于如下主要内容：</w:t>
            </w:r>
          </w:p>
          <w:p w14:paraId="3BBB6295">
            <w:pPr>
              <w:pStyle w:val="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(a)新增设备的硬件安装、功能测试、割接上线，对所有网络设备的策略进行梳理、规范和优化，对所有安全设备的策略进行梳理、规范和优化。</w:t>
            </w:r>
          </w:p>
          <w:p w14:paraId="7250ACCA">
            <w:pPr>
              <w:pStyle w:val="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(b)确保新增的安全设备和原有的安全设备集成在一起，达到信息系统安全等级保护三级对于设备的相关要求，并且协助根据测评机构的要求进行安全加固。</w:t>
            </w:r>
          </w:p>
          <w:p w14:paraId="40957D8C">
            <w:pPr>
              <w:pStyle w:val="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(c)提供不少于128人天的调试、上线等服务。质保3年，每年提供不少于24人天合计72人天的深度巡检服务、优化、调整、培训服务。</w:t>
            </w:r>
          </w:p>
          <w:p w14:paraId="5F481FC0">
            <w:pPr>
              <w:pStyle w:val="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(d)如果通过等保测评缺乏设备，或者出现设备故障对业务产生了重要的安全威胁，供应商必须提供临时的性能和功能类似备机进行应急。以保证客户业务的安全运行。</w:t>
            </w:r>
          </w:p>
          <w:p w14:paraId="057F6BCF">
            <w:pPr>
              <w:pStyle w:val="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000000"/>
                <w:szCs w:val="21"/>
                <w:lang w:eastAsia="zh-CN"/>
              </w:rPr>
              <w:t>4.除了原厂服务之外，提供3年的集成商整体保修服务。</w:t>
            </w:r>
          </w:p>
        </w:tc>
        <w:tc>
          <w:tcPr>
            <w:tcW w:w="698" w:type="dxa"/>
            <w:shd w:val="clear" w:color="auto" w:fill="auto"/>
            <w:noWrap/>
            <w:vAlign w:val="center"/>
          </w:tcPr>
          <w:p w14:paraId="135A7DA8">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eastAsia="zh-CN"/>
              </w:rPr>
              <w:t>项</w:t>
            </w:r>
          </w:p>
        </w:tc>
        <w:tc>
          <w:tcPr>
            <w:tcW w:w="584" w:type="dxa"/>
            <w:shd w:val="clear" w:color="auto" w:fill="auto"/>
            <w:vAlign w:val="center"/>
          </w:tcPr>
          <w:p w14:paraId="7912AC66">
            <w:pPr>
              <w:pStyle w:val="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6A8A893F">
            <w:pPr>
              <w:widowControl/>
              <w:overflowPunct w:val="0"/>
              <w:autoSpaceDE w:val="0"/>
              <w:autoSpaceDN w:val="0"/>
              <w:adjustRightInd w:val="0"/>
              <w:snapToGrid w:val="0"/>
              <w:spacing w:line="240"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0386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035D0C2C">
            <w:pPr>
              <w:widowControl/>
              <w:overflowPunct w:val="0"/>
              <w:autoSpaceDE w:val="0"/>
              <w:autoSpaceDN w:val="0"/>
              <w:adjustRightInd w:val="0"/>
              <w:snapToGrid w:val="0"/>
              <w:spacing w:line="240" w:lineRule="auto"/>
              <w:ind w:firstLine="0" w:firstLineChars="0"/>
              <w:jc w:val="both"/>
              <w:textAlignment w:val="baseline"/>
              <w:rPr>
                <w:rFonts w:hint="eastAsia" w:ascii="宋体" w:hAnsi="宋体" w:eastAsia="宋体" w:cs="宋体"/>
                <w:color w:val="auto"/>
                <w:kern w:val="2"/>
                <w:sz w:val="22"/>
                <w:szCs w:val="21"/>
                <w:lang w:val="en-US" w:eastAsia="zh-CN" w:bidi="ar-SA"/>
              </w:rPr>
            </w:pPr>
            <w:r>
              <w:rPr>
                <w:rFonts w:hint="eastAsia" w:ascii="Times New Roman" w:eastAsia="宋体"/>
                <w:b/>
                <w:bCs/>
                <w:sz w:val="21"/>
                <w:szCs w:val="21"/>
                <w:lang w:val="en-US" w:eastAsia="zh-CN"/>
              </w:rPr>
              <w:t>投标人所投产品应满足《新设备购置清单》中的产品技术参数要求且必须提供不少于3年的原厂质保服务及软件升级服务；</w:t>
            </w:r>
            <w:r>
              <w:rPr>
                <w:rFonts w:ascii="宋体" w:hAnsi="宋体" w:eastAsia="宋体" w:cs="宋体"/>
                <w:b/>
                <w:bCs/>
                <w:sz w:val="21"/>
                <w:szCs w:val="21"/>
              </w:rPr>
              <w:t>为保障售后服务</w:t>
            </w:r>
            <w:r>
              <w:rPr>
                <w:rFonts w:hint="eastAsia" w:ascii="宋体" w:hAnsi="宋体" w:cs="宋体"/>
                <w:b/>
                <w:bCs/>
                <w:sz w:val="21"/>
                <w:szCs w:val="21"/>
                <w:lang w:val="en-US" w:eastAsia="zh-CN"/>
              </w:rPr>
              <w:t>承诺的可靠性</w:t>
            </w:r>
            <w:r>
              <w:rPr>
                <w:rFonts w:hint="eastAsia" w:ascii="宋体" w:hAnsi="宋体" w:eastAsia="宋体" w:cs="宋体"/>
                <w:b/>
                <w:bCs/>
                <w:sz w:val="21"/>
                <w:szCs w:val="21"/>
                <w:lang w:eastAsia="zh-CN"/>
              </w:rPr>
              <w:t>，</w:t>
            </w:r>
            <w:r>
              <w:rPr>
                <w:rFonts w:hint="eastAsia" w:ascii="宋体" w:hAnsi="宋体" w:cs="宋体"/>
                <w:b/>
                <w:bCs/>
                <w:sz w:val="21"/>
                <w:szCs w:val="21"/>
                <w:lang w:val="en-US" w:eastAsia="zh-CN"/>
              </w:rPr>
              <w:t>中标人</w:t>
            </w:r>
            <w:r>
              <w:rPr>
                <w:rFonts w:ascii="宋体" w:hAnsi="宋体" w:eastAsia="宋体" w:cs="宋体"/>
                <w:b/>
                <w:bCs/>
                <w:sz w:val="21"/>
                <w:szCs w:val="21"/>
              </w:rPr>
              <w:t xml:space="preserve">应在中标通知书发出之日起 </w:t>
            </w:r>
            <w:r>
              <w:rPr>
                <w:rFonts w:hint="eastAsia" w:ascii="宋体" w:hAnsi="宋体" w:eastAsia="宋体" w:cs="宋体"/>
                <w:b/>
                <w:bCs/>
                <w:color w:val="000000"/>
                <w:sz w:val="21"/>
                <w:szCs w:val="21"/>
                <w:lang w:eastAsia="zh-CN"/>
              </w:rPr>
              <w:t>5</w:t>
            </w:r>
            <w:r>
              <w:rPr>
                <w:rFonts w:ascii="宋体" w:hAnsi="宋体" w:eastAsia="宋体" w:cs="宋体"/>
                <w:b/>
                <w:bCs/>
                <w:color w:val="000000"/>
                <w:sz w:val="21"/>
                <w:szCs w:val="21"/>
              </w:rPr>
              <w:t xml:space="preserve"> 个工作日内</w:t>
            </w:r>
            <w:r>
              <w:rPr>
                <w:rFonts w:ascii="宋体" w:hAnsi="宋体" w:eastAsia="宋体" w:cs="宋体"/>
                <w:b/>
                <w:bCs/>
                <w:sz w:val="21"/>
                <w:szCs w:val="21"/>
              </w:rPr>
              <w:t>，提供所投产品对应原厂出具的售后服务承诺函（须加盖原厂公章）。逾期未提供或承诺函不符合要求的，视为</w:t>
            </w:r>
            <w:r>
              <w:rPr>
                <w:rFonts w:hint="eastAsia" w:ascii="宋体" w:hAnsi="宋体" w:cs="宋体"/>
                <w:b/>
                <w:bCs/>
                <w:sz w:val="21"/>
                <w:szCs w:val="21"/>
                <w:lang w:val="en-US" w:eastAsia="zh-CN"/>
              </w:rPr>
              <w:t>中标人</w:t>
            </w:r>
            <w:r>
              <w:rPr>
                <w:rFonts w:ascii="宋体" w:hAnsi="宋体" w:eastAsia="宋体" w:cs="宋体"/>
                <w:b/>
                <w:bCs/>
                <w:sz w:val="21"/>
                <w:szCs w:val="21"/>
              </w:rPr>
              <w:t>自动放弃中标资格，</w:t>
            </w:r>
            <w:r>
              <w:rPr>
                <w:rFonts w:hint="eastAsia" w:ascii="宋体" w:hAnsi="宋体" w:cs="宋体"/>
                <w:b/>
                <w:bCs/>
                <w:sz w:val="21"/>
                <w:szCs w:val="21"/>
                <w:lang w:val="en-US" w:eastAsia="zh-CN"/>
              </w:rPr>
              <w:t>采购人</w:t>
            </w:r>
            <w:r>
              <w:rPr>
                <w:rFonts w:ascii="宋体" w:hAnsi="宋体" w:eastAsia="宋体" w:cs="宋体"/>
                <w:b/>
                <w:bCs/>
                <w:sz w:val="21"/>
                <w:szCs w:val="21"/>
              </w:rPr>
              <w:t>有权取消其中标决定并另行确定中标人。</w:t>
            </w:r>
          </w:p>
        </w:tc>
      </w:tr>
    </w:tbl>
    <w:p w14:paraId="375182C8">
      <w:pPr>
        <w:rPr>
          <w:rFonts w:hint="eastAsia"/>
          <w:b/>
          <w:bCs/>
        </w:rPr>
      </w:pPr>
      <w:r>
        <w:rPr>
          <w:rFonts w:hint="eastAsia"/>
          <w:b/>
          <w:bCs/>
        </w:rPr>
        <w:br w:type="page"/>
      </w:r>
    </w:p>
    <w:p w14:paraId="2D1AF83C">
      <w:pPr>
        <w:spacing w:line="440" w:lineRule="exact"/>
        <w:ind w:firstLine="422" w:firstLineChars="200"/>
        <w:jc w:val="center"/>
        <w:rPr>
          <w:rFonts w:hint="eastAsia" w:ascii="宋体" w:hAnsi="宋体" w:eastAsia="宋体" w:cs="宋体"/>
          <w:b/>
          <w:bCs/>
          <w:color w:val="000000"/>
          <w:sz w:val="21"/>
          <w:szCs w:val="21"/>
          <w:lang w:val="en-US" w:eastAsia="zh-CN"/>
        </w:rPr>
        <w:sectPr>
          <w:pgSz w:w="11906" w:h="16838"/>
          <w:pgMar w:top="1440" w:right="1800" w:bottom="1440" w:left="1800" w:header="567" w:footer="737" w:gutter="0"/>
          <w:cols w:space="720" w:num="1"/>
          <w:docGrid w:type="lines" w:linePitch="326" w:charSpace="0"/>
        </w:sectPr>
      </w:pPr>
    </w:p>
    <w:p w14:paraId="13B3F48D">
      <w:pPr>
        <w:spacing w:line="440" w:lineRule="exact"/>
        <w:ind w:firstLine="422" w:firstLineChars="200"/>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2．老设备数据服务清单</w:t>
      </w:r>
    </w:p>
    <w:tbl>
      <w:tblPr>
        <w:tblStyle w:val="5"/>
        <w:tblW w:w="4991" w:type="pct"/>
        <w:jc w:val="center"/>
        <w:tblLayout w:type="fixed"/>
        <w:tblCellMar>
          <w:top w:w="0" w:type="dxa"/>
          <w:left w:w="108" w:type="dxa"/>
          <w:bottom w:w="0" w:type="dxa"/>
          <w:right w:w="108" w:type="dxa"/>
        </w:tblCellMar>
      </w:tblPr>
      <w:tblGrid>
        <w:gridCol w:w="425"/>
        <w:gridCol w:w="1360"/>
        <w:gridCol w:w="2042"/>
        <w:gridCol w:w="2761"/>
        <w:gridCol w:w="426"/>
        <w:gridCol w:w="426"/>
        <w:gridCol w:w="639"/>
        <w:gridCol w:w="428"/>
      </w:tblGrid>
      <w:tr w14:paraId="4CDACD9A">
        <w:tblPrEx>
          <w:tblCellMar>
            <w:top w:w="0" w:type="dxa"/>
            <w:left w:w="108" w:type="dxa"/>
            <w:bottom w:w="0" w:type="dxa"/>
            <w:right w:w="108" w:type="dxa"/>
          </w:tblCellMar>
        </w:tblPrEx>
        <w:trPr>
          <w:trHeight w:val="696" w:hRule="atLeast"/>
          <w:jc w:val="center"/>
        </w:trPr>
        <w:tc>
          <w:tcPr>
            <w:tcW w:w="249" w:type="pct"/>
            <w:tcBorders>
              <w:top w:val="single" w:color="auto" w:sz="4" w:space="0"/>
              <w:left w:val="single" w:color="auto" w:sz="4" w:space="0"/>
              <w:bottom w:val="single" w:color="auto" w:sz="4" w:space="0"/>
              <w:right w:val="single" w:color="auto" w:sz="4" w:space="0"/>
            </w:tcBorders>
            <w:shd w:val="clear" w:color="auto" w:fill="auto"/>
            <w:vAlign w:val="center"/>
          </w:tcPr>
          <w:p w14:paraId="3874673D">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项目</w:t>
            </w:r>
          </w:p>
        </w:tc>
        <w:tc>
          <w:tcPr>
            <w:tcW w:w="799" w:type="pct"/>
            <w:tcBorders>
              <w:top w:val="single" w:color="auto" w:sz="4" w:space="0"/>
              <w:left w:val="nil"/>
              <w:bottom w:val="single" w:color="auto" w:sz="4" w:space="0"/>
              <w:right w:val="single" w:color="auto" w:sz="4" w:space="0"/>
            </w:tcBorders>
            <w:shd w:val="clear" w:color="auto" w:fill="auto"/>
            <w:vAlign w:val="center"/>
          </w:tcPr>
          <w:p w14:paraId="7F34515B">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设备名称</w:t>
            </w:r>
          </w:p>
        </w:tc>
        <w:tc>
          <w:tcPr>
            <w:tcW w:w="1200" w:type="pct"/>
            <w:tcBorders>
              <w:top w:val="single" w:color="auto" w:sz="4" w:space="0"/>
              <w:left w:val="nil"/>
              <w:bottom w:val="single" w:color="auto" w:sz="4" w:space="0"/>
              <w:right w:val="single" w:color="auto" w:sz="4" w:space="0"/>
            </w:tcBorders>
            <w:shd w:val="clear" w:color="auto" w:fill="auto"/>
            <w:vAlign w:val="center"/>
          </w:tcPr>
          <w:p w14:paraId="5B345814">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设备品牌及型号</w:t>
            </w:r>
          </w:p>
        </w:tc>
        <w:tc>
          <w:tcPr>
            <w:tcW w:w="1622" w:type="pct"/>
            <w:tcBorders>
              <w:top w:val="single" w:color="auto" w:sz="4" w:space="0"/>
              <w:left w:val="nil"/>
              <w:bottom w:val="single" w:color="auto" w:sz="4" w:space="0"/>
              <w:right w:val="single" w:color="auto" w:sz="4" w:space="0"/>
            </w:tcBorders>
            <w:shd w:val="clear" w:color="auto" w:fill="auto"/>
            <w:vAlign w:val="center"/>
          </w:tcPr>
          <w:p w14:paraId="327B4CA6">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描述</w:t>
            </w:r>
          </w:p>
        </w:tc>
        <w:tc>
          <w:tcPr>
            <w:tcW w:w="250" w:type="pct"/>
            <w:tcBorders>
              <w:top w:val="single" w:color="auto" w:sz="4" w:space="0"/>
              <w:left w:val="nil"/>
              <w:bottom w:val="single" w:color="auto" w:sz="4" w:space="0"/>
              <w:right w:val="single" w:color="auto" w:sz="4" w:space="0"/>
            </w:tcBorders>
            <w:shd w:val="clear" w:color="auto" w:fill="auto"/>
            <w:vAlign w:val="center"/>
          </w:tcPr>
          <w:p w14:paraId="5C845204">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单位</w:t>
            </w:r>
          </w:p>
        </w:tc>
        <w:tc>
          <w:tcPr>
            <w:tcW w:w="250" w:type="pct"/>
            <w:tcBorders>
              <w:top w:val="single" w:color="auto" w:sz="4" w:space="0"/>
              <w:left w:val="nil"/>
              <w:bottom w:val="single" w:color="auto" w:sz="4" w:space="0"/>
              <w:right w:val="single" w:color="auto" w:sz="4" w:space="0"/>
            </w:tcBorders>
            <w:shd w:val="clear" w:color="auto" w:fill="auto"/>
            <w:vAlign w:val="center"/>
          </w:tcPr>
          <w:p w14:paraId="4001DA1C">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数量</w:t>
            </w:r>
          </w:p>
        </w:tc>
        <w:tc>
          <w:tcPr>
            <w:tcW w:w="375" w:type="pct"/>
            <w:tcBorders>
              <w:top w:val="single" w:color="auto" w:sz="4" w:space="0"/>
              <w:left w:val="nil"/>
              <w:bottom w:val="single" w:color="auto" w:sz="4" w:space="0"/>
              <w:right w:val="single" w:color="auto" w:sz="4" w:space="0"/>
            </w:tcBorders>
            <w:shd w:val="clear" w:color="auto" w:fill="auto"/>
            <w:vAlign w:val="center"/>
          </w:tcPr>
          <w:p w14:paraId="393AFFFA">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续费时间(年)</w:t>
            </w:r>
          </w:p>
        </w:tc>
        <w:tc>
          <w:tcPr>
            <w:tcW w:w="251" w:type="pct"/>
            <w:tcBorders>
              <w:top w:val="single" w:color="auto" w:sz="4" w:space="0"/>
              <w:left w:val="nil"/>
              <w:bottom w:val="single" w:color="auto" w:sz="4" w:space="0"/>
              <w:right w:val="single" w:color="auto" w:sz="4" w:space="0"/>
            </w:tcBorders>
            <w:shd w:val="clear" w:color="auto" w:fill="auto"/>
            <w:vAlign w:val="center"/>
          </w:tcPr>
          <w:p w14:paraId="027B85AA">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备注</w:t>
            </w:r>
          </w:p>
        </w:tc>
      </w:tr>
      <w:tr w14:paraId="4A2CEA35">
        <w:tblPrEx>
          <w:tblCellMar>
            <w:top w:w="0" w:type="dxa"/>
            <w:left w:w="108" w:type="dxa"/>
            <w:bottom w:w="0" w:type="dxa"/>
            <w:right w:w="108" w:type="dxa"/>
          </w:tblCellMar>
        </w:tblPrEx>
        <w:trPr>
          <w:trHeight w:val="389"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6F11715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799" w:type="pct"/>
            <w:tcBorders>
              <w:top w:val="nil"/>
              <w:left w:val="nil"/>
              <w:bottom w:val="single" w:color="auto" w:sz="4" w:space="0"/>
              <w:right w:val="single" w:color="auto" w:sz="4" w:space="0"/>
            </w:tcBorders>
            <w:shd w:val="clear" w:color="auto" w:fill="auto"/>
            <w:noWrap/>
            <w:vAlign w:val="center"/>
          </w:tcPr>
          <w:p w14:paraId="270C56B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数据库审计</w:t>
            </w:r>
          </w:p>
        </w:tc>
        <w:tc>
          <w:tcPr>
            <w:tcW w:w="1200" w:type="pct"/>
            <w:tcBorders>
              <w:top w:val="nil"/>
              <w:left w:val="nil"/>
              <w:bottom w:val="single" w:color="auto" w:sz="4" w:space="0"/>
              <w:right w:val="single" w:color="auto" w:sz="4" w:space="0"/>
            </w:tcBorders>
            <w:shd w:val="clear" w:color="auto" w:fill="auto"/>
            <w:vAlign w:val="center"/>
          </w:tcPr>
          <w:p w14:paraId="0CA523E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安华金和DBA-C-B960-EK</w:t>
            </w:r>
          </w:p>
        </w:tc>
        <w:tc>
          <w:tcPr>
            <w:tcW w:w="1622" w:type="pct"/>
            <w:tcBorders>
              <w:top w:val="nil"/>
              <w:left w:val="nil"/>
              <w:bottom w:val="single" w:color="auto" w:sz="4" w:space="0"/>
              <w:right w:val="single" w:color="auto" w:sz="4" w:space="0"/>
            </w:tcBorders>
            <w:shd w:val="clear" w:color="auto" w:fill="auto"/>
            <w:vAlign w:val="center"/>
          </w:tcPr>
          <w:p w14:paraId="67D7C24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原厂硬件质保及软件升级服务。</w:t>
            </w:r>
          </w:p>
        </w:tc>
        <w:tc>
          <w:tcPr>
            <w:tcW w:w="250" w:type="pct"/>
            <w:tcBorders>
              <w:top w:val="nil"/>
              <w:left w:val="nil"/>
              <w:bottom w:val="single" w:color="auto" w:sz="4" w:space="0"/>
              <w:right w:val="single" w:color="auto" w:sz="4" w:space="0"/>
            </w:tcBorders>
            <w:shd w:val="clear" w:color="auto" w:fill="auto"/>
            <w:noWrap/>
            <w:vAlign w:val="center"/>
          </w:tcPr>
          <w:p w14:paraId="0896F48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1B7536F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0E4BDE6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5F3347E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A426910">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1D884C2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2</w:t>
            </w:r>
          </w:p>
        </w:tc>
        <w:tc>
          <w:tcPr>
            <w:tcW w:w="799" w:type="pct"/>
            <w:tcBorders>
              <w:top w:val="nil"/>
              <w:left w:val="nil"/>
              <w:bottom w:val="single" w:color="auto" w:sz="4" w:space="0"/>
              <w:right w:val="single" w:color="auto" w:sz="4" w:space="0"/>
            </w:tcBorders>
            <w:shd w:val="clear" w:color="auto" w:fill="auto"/>
            <w:noWrap/>
            <w:vAlign w:val="center"/>
          </w:tcPr>
          <w:p w14:paraId="5776ECC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区县边界防火墙</w:t>
            </w:r>
          </w:p>
        </w:tc>
        <w:tc>
          <w:tcPr>
            <w:tcW w:w="1200" w:type="pct"/>
            <w:tcBorders>
              <w:top w:val="nil"/>
              <w:left w:val="nil"/>
              <w:bottom w:val="single" w:color="auto" w:sz="4" w:space="0"/>
              <w:right w:val="single" w:color="auto" w:sz="4" w:space="0"/>
            </w:tcBorders>
            <w:shd w:val="clear" w:color="auto" w:fill="auto"/>
            <w:vAlign w:val="center"/>
          </w:tcPr>
          <w:p w14:paraId="32BDAB6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山石SG-6000-C1300</w:t>
            </w:r>
          </w:p>
        </w:tc>
        <w:tc>
          <w:tcPr>
            <w:tcW w:w="1622" w:type="pct"/>
            <w:tcBorders>
              <w:top w:val="nil"/>
              <w:left w:val="nil"/>
              <w:bottom w:val="single" w:color="auto" w:sz="4" w:space="0"/>
              <w:right w:val="single" w:color="auto" w:sz="4" w:space="0"/>
            </w:tcBorders>
            <w:shd w:val="clear" w:color="auto" w:fill="auto"/>
            <w:vAlign w:val="center"/>
          </w:tcPr>
          <w:p w14:paraId="1C2023F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应用特征库、入侵防御和防病毒特征库升级服务许可及原厂硬件质保服务。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0D9CC84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651DA8B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47EC618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503A68DB">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579B9FB6">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757EBF0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799" w:type="pct"/>
            <w:tcBorders>
              <w:top w:val="nil"/>
              <w:left w:val="nil"/>
              <w:bottom w:val="single" w:color="auto" w:sz="4" w:space="0"/>
              <w:right w:val="single" w:color="auto" w:sz="4" w:space="0"/>
            </w:tcBorders>
            <w:shd w:val="clear" w:color="auto" w:fill="auto"/>
            <w:noWrap/>
            <w:vAlign w:val="center"/>
          </w:tcPr>
          <w:p w14:paraId="4A82E71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银行边界防火墙</w:t>
            </w:r>
          </w:p>
        </w:tc>
        <w:tc>
          <w:tcPr>
            <w:tcW w:w="1200" w:type="pct"/>
            <w:tcBorders>
              <w:top w:val="nil"/>
              <w:left w:val="nil"/>
              <w:bottom w:val="single" w:color="auto" w:sz="4" w:space="0"/>
              <w:right w:val="single" w:color="auto" w:sz="4" w:space="0"/>
            </w:tcBorders>
            <w:shd w:val="clear" w:color="auto" w:fill="auto"/>
            <w:vAlign w:val="center"/>
          </w:tcPr>
          <w:p w14:paraId="58A2F855">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山石SG-6000-C1300</w:t>
            </w:r>
          </w:p>
        </w:tc>
        <w:tc>
          <w:tcPr>
            <w:tcW w:w="1622" w:type="pct"/>
            <w:tcBorders>
              <w:top w:val="nil"/>
              <w:left w:val="nil"/>
              <w:bottom w:val="single" w:color="auto" w:sz="4" w:space="0"/>
              <w:right w:val="single" w:color="auto" w:sz="4" w:space="0"/>
            </w:tcBorders>
            <w:shd w:val="clear" w:color="auto" w:fill="auto"/>
            <w:vAlign w:val="center"/>
          </w:tcPr>
          <w:p w14:paraId="68FA053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应用特征库、入侵防御和防病毒特征库升级服务许可及原厂硬件质保服务。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3A13340D">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28D81EF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10855D11">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F01F237">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D667722">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557519C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4</w:t>
            </w:r>
          </w:p>
        </w:tc>
        <w:tc>
          <w:tcPr>
            <w:tcW w:w="799" w:type="pct"/>
            <w:tcBorders>
              <w:top w:val="nil"/>
              <w:left w:val="nil"/>
              <w:bottom w:val="single" w:color="auto" w:sz="4" w:space="0"/>
              <w:right w:val="single" w:color="auto" w:sz="4" w:space="0"/>
            </w:tcBorders>
            <w:shd w:val="clear" w:color="auto" w:fill="auto"/>
            <w:noWrap/>
            <w:vAlign w:val="center"/>
          </w:tcPr>
          <w:p w14:paraId="1E8FF1A1">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住建部天融信防火墙</w:t>
            </w:r>
          </w:p>
        </w:tc>
        <w:tc>
          <w:tcPr>
            <w:tcW w:w="1200" w:type="pct"/>
            <w:tcBorders>
              <w:top w:val="nil"/>
              <w:left w:val="nil"/>
              <w:bottom w:val="single" w:color="auto" w:sz="4" w:space="0"/>
              <w:right w:val="single" w:color="auto" w:sz="4" w:space="0"/>
            </w:tcBorders>
            <w:shd w:val="clear" w:color="auto" w:fill="auto"/>
            <w:vAlign w:val="center"/>
          </w:tcPr>
          <w:p w14:paraId="7BD7C6C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天融信NGFW4000-UF(TG-A2408)</w:t>
            </w:r>
          </w:p>
        </w:tc>
        <w:tc>
          <w:tcPr>
            <w:tcW w:w="1622" w:type="pct"/>
            <w:tcBorders>
              <w:top w:val="nil"/>
              <w:left w:val="nil"/>
              <w:bottom w:val="single" w:color="auto" w:sz="4" w:space="0"/>
              <w:right w:val="single" w:color="auto" w:sz="4" w:space="0"/>
            </w:tcBorders>
            <w:shd w:val="clear" w:color="auto" w:fill="auto"/>
            <w:vAlign w:val="center"/>
          </w:tcPr>
          <w:p w14:paraId="1E38AEA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专业版快速扫描查杀病毒库和IDP攻击规则特征库升级服务许可及原厂硬件质保服务。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1A59551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0D3E262A">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0EF8283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03F5907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47396B8F">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54479E0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5</w:t>
            </w:r>
          </w:p>
        </w:tc>
        <w:tc>
          <w:tcPr>
            <w:tcW w:w="799" w:type="pct"/>
            <w:tcBorders>
              <w:top w:val="nil"/>
              <w:left w:val="nil"/>
              <w:bottom w:val="single" w:color="auto" w:sz="4" w:space="0"/>
              <w:right w:val="single" w:color="auto" w:sz="4" w:space="0"/>
            </w:tcBorders>
            <w:shd w:val="clear" w:color="auto" w:fill="auto"/>
            <w:noWrap/>
            <w:vAlign w:val="center"/>
          </w:tcPr>
          <w:p w14:paraId="488C146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省征信天融信防火墙</w:t>
            </w:r>
          </w:p>
        </w:tc>
        <w:tc>
          <w:tcPr>
            <w:tcW w:w="1200" w:type="pct"/>
            <w:tcBorders>
              <w:top w:val="nil"/>
              <w:left w:val="nil"/>
              <w:bottom w:val="single" w:color="auto" w:sz="4" w:space="0"/>
              <w:right w:val="single" w:color="auto" w:sz="4" w:space="0"/>
            </w:tcBorders>
            <w:shd w:val="clear" w:color="auto" w:fill="auto"/>
            <w:vAlign w:val="center"/>
          </w:tcPr>
          <w:p w14:paraId="40F1ECC1">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天融信NGFW4000-UF(TG-A2408)</w:t>
            </w:r>
          </w:p>
        </w:tc>
        <w:tc>
          <w:tcPr>
            <w:tcW w:w="1622" w:type="pct"/>
            <w:tcBorders>
              <w:top w:val="nil"/>
              <w:left w:val="nil"/>
              <w:bottom w:val="single" w:color="auto" w:sz="4" w:space="0"/>
              <w:right w:val="single" w:color="auto" w:sz="4" w:space="0"/>
            </w:tcBorders>
            <w:shd w:val="clear" w:color="auto" w:fill="auto"/>
            <w:vAlign w:val="center"/>
          </w:tcPr>
          <w:p w14:paraId="6DFE024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专业版快速扫描查杀病毒库和IDP攻击规则特征库升级服务许可及原厂硬件质保服务。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68FFD30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7F6AFDE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4C6C3B5D">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08C340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6C50096F">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64BF565B">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6</w:t>
            </w:r>
          </w:p>
        </w:tc>
        <w:tc>
          <w:tcPr>
            <w:tcW w:w="799" w:type="pct"/>
            <w:tcBorders>
              <w:top w:val="nil"/>
              <w:left w:val="nil"/>
              <w:bottom w:val="single" w:color="auto" w:sz="4" w:space="0"/>
              <w:right w:val="single" w:color="auto" w:sz="4" w:space="0"/>
            </w:tcBorders>
            <w:shd w:val="clear" w:color="auto" w:fill="auto"/>
            <w:noWrap/>
            <w:vAlign w:val="center"/>
          </w:tcPr>
          <w:p w14:paraId="53DB5D7D">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服务器防火墙</w:t>
            </w:r>
          </w:p>
        </w:tc>
        <w:tc>
          <w:tcPr>
            <w:tcW w:w="1200" w:type="pct"/>
            <w:tcBorders>
              <w:top w:val="nil"/>
              <w:left w:val="nil"/>
              <w:bottom w:val="single" w:color="auto" w:sz="4" w:space="0"/>
              <w:right w:val="single" w:color="auto" w:sz="4" w:space="0"/>
            </w:tcBorders>
            <w:shd w:val="clear" w:color="auto" w:fill="auto"/>
            <w:vAlign w:val="center"/>
          </w:tcPr>
          <w:p w14:paraId="460595C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山石SG-6000-C2100</w:t>
            </w:r>
          </w:p>
        </w:tc>
        <w:tc>
          <w:tcPr>
            <w:tcW w:w="1622" w:type="pct"/>
            <w:tcBorders>
              <w:top w:val="nil"/>
              <w:left w:val="nil"/>
              <w:bottom w:val="single" w:color="auto" w:sz="4" w:space="0"/>
              <w:right w:val="single" w:color="auto" w:sz="4" w:space="0"/>
            </w:tcBorders>
            <w:shd w:val="clear" w:color="auto" w:fill="auto"/>
            <w:vAlign w:val="center"/>
          </w:tcPr>
          <w:p w14:paraId="0F43A227">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应用特征库、入侵防御和防病毒特征库升级服务许可及原厂硬件质保服务。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0AD09B1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015234E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2</w:t>
            </w:r>
          </w:p>
        </w:tc>
        <w:tc>
          <w:tcPr>
            <w:tcW w:w="375" w:type="pct"/>
            <w:tcBorders>
              <w:top w:val="nil"/>
              <w:left w:val="nil"/>
              <w:bottom w:val="single" w:color="auto" w:sz="4" w:space="0"/>
              <w:right w:val="single" w:color="auto" w:sz="4" w:space="0"/>
            </w:tcBorders>
            <w:shd w:val="clear" w:color="auto" w:fill="auto"/>
            <w:noWrap/>
            <w:vAlign w:val="center"/>
          </w:tcPr>
          <w:p w14:paraId="2846BE2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65FA27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92718EE">
        <w:tblPrEx>
          <w:tblCellMar>
            <w:top w:w="0" w:type="dxa"/>
            <w:left w:w="108" w:type="dxa"/>
            <w:bottom w:w="0" w:type="dxa"/>
            <w:right w:w="108" w:type="dxa"/>
          </w:tblCellMar>
        </w:tblPrEx>
        <w:trPr>
          <w:trHeight w:val="389"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207D499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7</w:t>
            </w:r>
          </w:p>
        </w:tc>
        <w:tc>
          <w:tcPr>
            <w:tcW w:w="799" w:type="pct"/>
            <w:tcBorders>
              <w:top w:val="nil"/>
              <w:left w:val="nil"/>
              <w:bottom w:val="single" w:color="auto" w:sz="4" w:space="0"/>
              <w:right w:val="single" w:color="auto" w:sz="4" w:space="0"/>
            </w:tcBorders>
            <w:shd w:val="clear" w:color="auto" w:fill="auto"/>
            <w:noWrap/>
            <w:vAlign w:val="center"/>
          </w:tcPr>
          <w:p w14:paraId="6D361D3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终端准入</w:t>
            </w:r>
          </w:p>
        </w:tc>
        <w:tc>
          <w:tcPr>
            <w:tcW w:w="1200" w:type="pct"/>
            <w:tcBorders>
              <w:top w:val="nil"/>
              <w:left w:val="nil"/>
              <w:bottom w:val="single" w:color="auto" w:sz="4" w:space="0"/>
              <w:right w:val="single" w:color="auto" w:sz="4" w:space="0"/>
            </w:tcBorders>
            <w:shd w:val="clear" w:color="auto" w:fill="auto"/>
            <w:vAlign w:val="center"/>
          </w:tcPr>
          <w:p w14:paraId="2B7D3B9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盈高 ASM6301-Y</w:t>
            </w:r>
          </w:p>
        </w:tc>
        <w:tc>
          <w:tcPr>
            <w:tcW w:w="1622" w:type="pct"/>
            <w:tcBorders>
              <w:top w:val="nil"/>
              <w:left w:val="nil"/>
              <w:bottom w:val="single" w:color="auto" w:sz="4" w:space="0"/>
              <w:right w:val="single" w:color="auto" w:sz="4" w:space="0"/>
            </w:tcBorders>
            <w:shd w:val="clear" w:color="auto" w:fill="auto"/>
            <w:vAlign w:val="center"/>
          </w:tcPr>
          <w:p w14:paraId="017E521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200个点的原厂软件系统升级及硬件质保服务。</w:t>
            </w:r>
          </w:p>
        </w:tc>
        <w:tc>
          <w:tcPr>
            <w:tcW w:w="250" w:type="pct"/>
            <w:tcBorders>
              <w:top w:val="nil"/>
              <w:left w:val="nil"/>
              <w:bottom w:val="single" w:color="auto" w:sz="4" w:space="0"/>
              <w:right w:val="single" w:color="auto" w:sz="4" w:space="0"/>
            </w:tcBorders>
            <w:shd w:val="clear" w:color="auto" w:fill="auto"/>
            <w:noWrap/>
            <w:vAlign w:val="center"/>
          </w:tcPr>
          <w:p w14:paraId="40C3C79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6851714A">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093BC80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F641FD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ECD49B4">
        <w:tblPrEx>
          <w:tblCellMar>
            <w:top w:w="0" w:type="dxa"/>
            <w:left w:w="108" w:type="dxa"/>
            <w:bottom w:w="0" w:type="dxa"/>
            <w:right w:w="108" w:type="dxa"/>
          </w:tblCellMar>
        </w:tblPrEx>
        <w:trPr>
          <w:trHeight w:val="389"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3F6576A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8</w:t>
            </w:r>
          </w:p>
        </w:tc>
        <w:tc>
          <w:tcPr>
            <w:tcW w:w="799" w:type="pct"/>
            <w:tcBorders>
              <w:top w:val="nil"/>
              <w:left w:val="nil"/>
              <w:bottom w:val="single" w:color="auto" w:sz="4" w:space="0"/>
              <w:right w:val="single" w:color="auto" w:sz="4" w:space="0"/>
            </w:tcBorders>
            <w:shd w:val="clear" w:color="auto" w:fill="auto"/>
            <w:noWrap/>
            <w:vAlign w:val="center"/>
          </w:tcPr>
          <w:p w14:paraId="553B94B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数据库智能运维系统</w:t>
            </w:r>
          </w:p>
        </w:tc>
        <w:tc>
          <w:tcPr>
            <w:tcW w:w="1200" w:type="pct"/>
            <w:tcBorders>
              <w:top w:val="nil"/>
              <w:left w:val="nil"/>
              <w:bottom w:val="single" w:color="auto" w:sz="4" w:space="0"/>
              <w:right w:val="single" w:color="auto" w:sz="4" w:space="0"/>
            </w:tcBorders>
            <w:shd w:val="clear" w:color="auto" w:fill="auto"/>
            <w:vAlign w:val="center"/>
          </w:tcPr>
          <w:p w14:paraId="25CC84B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紫薇天权数据库智能运维软件</w:t>
            </w:r>
          </w:p>
        </w:tc>
        <w:tc>
          <w:tcPr>
            <w:tcW w:w="1622" w:type="pct"/>
            <w:tcBorders>
              <w:top w:val="nil"/>
              <w:left w:val="nil"/>
              <w:bottom w:val="single" w:color="auto" w:sz="4" w:space="0"/>
              <w:right w:val="single" w:color="auto" w:sz="4" w:space="0"/>
            </w:tcBorders>
            <w:shd w:val="clear" w:color="auto" w:fill="auto"/>
            <w:vAlign w:val="center"/>
          </w:tcPr>
          <w:p w14:paraId="754B386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现有数据库智能运维系统软件升级及授权更新服务。</w:t>
            </w:r>
          </w:p>
        </w:tc>
        <w:tc>
          <w:tcPr>
            <w:tcW w:w="250" w:type="pct"/>
            <w:tcBorders>
              <w:top w:val="nil"/>
              <w:left w:val="nil"/>
              <w:bottom w:val="single" w:color="auto" w:sz="4" w:space="0"/>
              <w:right w:val="single" w:color="auto" w:sz="4" w:space="0"/>
            </w:tcBorders>
            <w:shd w:val="clear" w:color="auto" w:fill="auto"/>
            <w:noWrap/>
            <w:vAlign w:val="center"/>
          </w:tcPr>
          <w:p w14:paraId="5276B80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09C8721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1DAFBFB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63FFD15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DC22CEB">
        <w:tblPrEx>
          <w:tblCellMar>
            <w:top w:w="0" w:type="dxa"/>
            <w:left w:w="108" w:type="dxa"/>
            <w:bottom w:w="0" w:type="dxa"/>
            <w:right w:w="108" w:type="dxa"/>
          </w:tblCellMar>
        </w:tblPrEx>
        <w:trPr>
          <w:trHeight w:val="778"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0C7EE79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9</w:t>
            </w:r>
          </w:p>
        </w:tc>
        <w:tc>
          <w:tcPr>
            <w:tcW w:w="799" w:type="pct"/>
            <w:tcBorders>
              <w:top w:val="nil"/>
              <w:left w:val="nil"/>
              <w:bottom w:val="single" w:color="auto" w:sz="4" w:space="0"/>
              <w:right w:val="single" w:color="auto" w:sz="4" w:space="0"/>
            </w:tcBorders>
            <w:shd w:val="clear" w:color="auto" w:fill="auto"/>
            <w:noWrap/>
            <w:vAlign w:val="center"/>
          </w:tcPr>
          <w:p w14:paraId="2CBE4307">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备份一体机</w:t>
            </w:r>
          </w:p>
        </w:tc>
        <w:tc>
          <w:tcPr>
            <w:tcW w:w="1200" w:type="pct"/>
            <w:tcBorders>
              <w:top w:val="nil"/>
              <w:left w:val="nil"/>
              <w:bottom w:val="single" w:color="auto" w:sz="4" w:space="0"/>
              <w:right w:val="single" w:color="auto" w:sz="4" w:space="0"/>
            </w:tcBorders>
            <w:shd w:val="clear" w:color="auto" w:fill="auto"/>
            <w:vAlign w:val="center"/>
          </w:tcPr>
          <w:p w14:paraId="32E0B12B">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爱数AnyBackup Express Package 7</w:t>
            </w:r>
          </w:p>
        </w:tc>
        <w:tc>
          <w:tcPr>
            <w:tcW w:w="1622" w:type="pct"/>
            <w:tcBorders>
              <w:top w:val="nil"/>
              <w:left w:val="nil"/>
              <w:bottom w:val="single" w:color="auto" w:sz="4" w:space="0"/>
              <w:right w:val="single" w:color="auto" w:sz="4" w:space="0"/>
            </w:tcBorders>
            <w:shd w:val="clear" w:color="auto" w:fill="auto"/>
            <w:vAlign w:val="center"/>
          </w:tcPr>
          <w:p w14:paraId="05EC2FC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原厂硬件质保及备份功能模块授权。</w:t>
            </w:r>
          </w:p>
        </w:tc>
        <w:tc>
          <w:tcPr>
            <w:tcW w:w="250" w:type="pct"/>
            <w:tcBorders>
              <w:top w:val="nil"/>
              <w:left w:val="nil"/>
              <w:bottom w:val="single" w:color="auto" w:sz="4" w:space="0"/>
              <w:right w:val="single" w:color="auto" w:sz="4" w:space="0"/>
            </w:tcBorders>
            <w:shd w:val="clear" w:color="auto" w:fill="auto"/>
            <w:noWrap/>
            <w:vAlign w:val="center"/>
          </w:tcPr>
          <w:p w14:paraId="38B0ACC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667DCEB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5BFE338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4208B43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bl>
    <w:p w14:paraId="5C1FFA7D">
      <w:pPr>
        <w:rPr>
          <w:rFonts w:hint="eastAsia"/>
          <w:b/>
          <w:bCs/>
        </w:rPr>
        <w:sectPr>
          <w:pgSz w:w="11906" w:h="16838"/>
          <w:pgMar w:top="1440" w:right="1800" w:bottom="1440" w:left="1800" w:header="567" w:footer="737" w:gutter="0"/>
          <w:cols w:space="720" w:num="1"/>
          <w:docGrid w:type="lines" w:linePitch="326" w:charSpace="0"/>
        </w:sectPr>
      </w:pPr>
    </w:p>
    <w:p w14:paraId="7EF134E1">
      <w:pPr>
        <w:spacing w:line="440" w:lineRule="exact"/>
        <w:ind w:firstLine="422" w:firstLineChars="200"/>
        <w:rPr>
          <w:b/>
          <w:bCs/>
        </w:rPr>
      </w:pPr>
      <w:r>
        <w:rPr>
          <w:rFonts w:hint="eastAsia"/>
          <w:b/>
          <w:bCs/>
          <w:lang w:val="en-US" w:eastAsia="zh-CN"/>
        </w:rPr>
        <w:t>七</w:t>
      </w:r>
      <w:r>
        <w:rPr>
          <w:rFonts w:hint="eastAsia"/>
          <w:b/>
          <w:bCs/>
        </w:rPr>
        <w:t>、服务质量要求</w:t>
      </w:r>
    </w:p>
    <w:p w14:paraId="238539E5">
      <w:pPr>
        <w:spacing w:line="440" w:lineRule="exact"/>
        <w:ind w:left="420" w:leftChars="200" w:firstLine="422" w:firstLineChars="200"/>
        <w:rPr>
          <w:rFonts w:hint="eastAsia" w:ascii="宋体" w:hAnsi="宋体" w:eastAsia="宋体" w:cs="宋体"/>
          <w:color w:val="000000"/>
          <w:szCs w:val="21"/>
          <w:lang w:val="en-US"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1 系统集成及安全整改服务</w:t>
      </w:r>
    </w:p>
    <w:p w14:paraId="55AF5A1A">
      <w:pPr>
        <w:spacing w:line="440" w:lineRule="exact"/>
        <w:ind w:left="420" w:leftChars="200" w:firstLine="422" w:firstLineChars="200"/>
        <w:rPr>
          <w:rFonts w:hint="eastAsia" w:ascii="宋体" w:hAnsi="宋体" w:eastAsia="宋体" w:cs="宋体"/>
          <w:color w:val="000000"/>
          <w:szCs w:val="21"/>
          <w:lang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 xml:space="preserve">1.1 </w:t>
      </w:r>
      <w:r>
        <w:rPr>
          <w:rFonts w:hint="eastAsia" w:ascii="宋体" w:hAnsi="宋体" w:eastAsia="宋体" w:cs="宋体"/>
          <w:color w:val="000000"/>
          <w:szCs w:val="21"/>
          <w:lang w:eastAsia="zh-CN"/>
        </w:rPr>
        <w:t>项目管理服务，提供合格的项目实施团队，</w:t>
      </w:r>
      <w:r>
        <w:rPr>
          <w:rFonts w:hint="eastAsia" w:ascii="宋体" w:hAnsi="宋体" w:eastAsia="宋体" w:cs="宋体"/>
          <w:color w:val="000000"/>
          <w:szCs w:val="21"/>
          <w:lang w:val="en-US" w:eastAsia="zh-CN"/>
        </w:rPr>
        <w:t>团队组成包括但不限于：</w:t>
      </w:r>
      <w:r>
        <w:rPr>
          <w:rFonts w:hint="eastAsia" w:ascii="宋体" w:hAnsi="宋体" w:eastAsia="宋体" w:cs="宋体"/>
          <w:color w:val="000000"/>
          <w:szCs w:val="21"/>
          <w:lang w:eastAsia="zh-CN"/>
        </w:rPr>
        <w:t>项目经理、项目管理师、信息安全工程师、数据库工程师、网络规划设计师</w:t>
      </w:r>
      <w:r>
        <w:rPr>
          <w:rFonts w:hint="eastAsia" w:ascii="宋体" w:hAnsi="宋体" w:eastAsia="宋体" w:cs="宋体"/>
          <w:color w:val="000000"/>
          <w:szCs w:val="21"/>
          <w:lang w:val="en-US" w:eastAsia="zh-CN"/>
        </w:rPr>
        <w:t>等</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且</w:t>
      </w:r>
      <w:r>
        <w:rPr>
          <w:rFonts w:hint="eastAsia" w:ascii="宋体" w:hAnsi="宋体" w:eastAsia="宋体" w:cs="宋体"/>
          <w:color w:val="000000"/>
          <w:szCs w:val="21"/>
          <w:lang w:eastAsia="zh-CN"/>
        </w:rPr>
        <w:t>团队工作人员均具有相关的技术认证证书。项目服务人员必须保持稳定，如果不合格，采购方可以要求更换人员直到合格为止。</w:t>
      </w:r>
    </w:p>
    <w:p w14:paraId="42F2334D">
      <w:pPr>
        <w:spacing w:line="440" w:lineRule="exact"/>
        <w:ind w:left="420" w:leftChars="200" w:firstLine="422" w:firstLineChars="200"/>
        <w:rPr>
          <w:rFonts w:hint="eastAsia" w:ascii="宋体" w:hAnsi="宋体" w:eastAsia="宋体" w:cs="宋体"/>
          <w:color w:val="000000"/>
          <w:szCs w:val="21"/>
          <w:lang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 xml:space="preserve">1.2 </w:t>
      </w:r>
      <w:r>
        <w:rPr>
          <w:rFonts w:hint="eastAsia" w:ascii="宋体" w:hAnsi="宋体" w:eastAsia="宋体" w:cs="宋体"/>
          <w:color w:val="000000"/>
          <w:szCs w:val="21"/>
          <w:lang w:eastAsia="zh-CN"/>
        </w:rPr>
        <w:t>专业技术服务，包括但不限于如下主要内容：</w:t>
      </w:r>
    </w:p>
    <w:p w14:paraId="6BD47E1D">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(a)新增设备的硬件安装、功能测试、割接上线，对所有网络</w:t>
      </w:r>
      <w:r>
        <w:rPr>
          <w:rFonts w:hint="eastAsia" w:ascii="宋体" w:hAnsi="宋体" w:eastAsia="宋体" w:cs="宋体"/>
          <w:color w:val="000000"/>
          <w:szCs w:val="21"/>
          <w:lang w:val="en-US" w:eastAsia="zh-CN"/>
        </w:rPr>
        <w:t>及安全</w:t>
      </w:r>
      <w:r>
        <w:rPr>
          <w:rFonts w:hint="eastAsia" w:ascii="宋体" w:hAnsi="宋体" w:eastAsia="宋体" w:cs="宋体"/>
          <w:color w:val="000000"/>
          <w:szCs w:val="21"/>
          <w:lang w:eastAsia="zh-CN"/>
        </w:rPr>
        <w:t>设备的策略进行梳理、规范和优化。</w:t>
      </w:r>
    </w:p>
    <w:p w14:paraId="2A983EC3">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(b)确保新增的安全设备和原有的安全设备集成在一起，达到信息系统安全等级保护三级对于设备的相关要求，并且协助根据测评机构的要求进行安全加固。</w:t>
      </w:r>
    </w:p>
    <w:p w14:paraId="18E3D828">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(c)提供</w:t>
      </w:r>
      <w:r>
        <w:rPr>
          <w:rFonts w:hint="eastAsia" w:ascii="宋体" w:hAnsi="宋体" w:eastAsia="宋体" w:cs="宋体"/>
          <w:color w:val="000000"/>
          <w:szCs w:val="21"/>
          <w:lang w:val="en-US" w:eastAsia="zh-CN"/>
        </w:rPr>
        <w:t>设备</w:t>
      </w:r>
      <w:r>
        <w:rPr>
          <w:rFonts w:hint="eastAsia" w:ascii="宋体" w:hAnsi="宋体" w:eastAsia="宋体" w:cs="宋体"/>
          <w:color w:val="000000"/>
          <w:szCs w:val="21"/>
          <w:lang w:eastAsia="zh-CN"/>
        </w:rPr>
        <w:t>调试、上线等服务。</w:t>
      </w:r>
      <w:r>
        <w:rPr>
          <w:rFonts w:hint="eastAsia" w:ascii="宋体" w:hAnsi="宋体" w:eastAsia="宋体" w:cs="宋体"/>
          <w:color w:val="000000"/>
          <w:szCs w:val="21"/>
          <w:lang w:val="en-US" w:eastAsia="zh-CN"/>
        </w:rPr>
        <w:t>且</w:t>
      </w:r>
      <w:r>
        <w:rPr>
          <w:rFonts w:hint="eastAsia" w:ascii="宋体" w:hAnsi="宋体" w:eastAsia="宋体" w:cs="宋体"/>
          <w:color w:val="000000"/>
          <w:szCs w:val="21"/>
          <w:lang w:eastAsia="zh-CN"/>
        </w:rPr>
        <w:t>每年提供深度巡检服务、优化、调整、培训服务。</w:t>
      </w:r>
    </w:p>
    <w:p w14:paraId="5359AC97">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(d)出现设备故障对业务产生了重要的安全威胁，供应商必须提供性能和功能类似备机进行应急，以保证客户业务的安全运行。</w:t>
      </w:r>
    </w:p>
    <w:p w14:paraId="57F077E3">
      <w:pPr>
        <w:spacing w:line="440" w:lineRule="exact"/>
        <w:ind w:left="420" w:leftChars="200" w:firstLine="422" w:firstLineChars="200"/>
        <w:rPr>
          <w:rFonts w:hint="eastAsia" w:ascii="宋体" w:hAnsi="宋体" w:eastAsia="宋体" w:cs="宋体"/>
          <w:color w:val="000000"/>
          <w:szCs w:val="21"/>
          <w:lang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 xml:space="preserve">1.3 </w:t>
      </w:r>
      <w:r>
        <w:rPr>
          <w:rFonts w:hint="eastAsia" w:ascii="宋体" w:hAnsi="宋体" w:eastAsia="宋体" w:cs="宋体"/>
          <w:color w:val="000000"/>
          <w:szCs w:val="21"/>
          <w:lang w:eastAsia="zh-CN"/>
        </w:rPr>
        <w:t>除了原厂服务之外，提供</w:t>
      </w:r>
      <w:r>
        <w:rPr>
          <w:rFonts w:hint="eastAsia" w:ascii="宋体" w:hAnsi="宋体" w:eastAsia="宋体" w:cs="宋体"/>
          <w:color w:val="000000"/>
          <w:szCs w:val="21"/>
          <w:lang w:val="en-US" w:eastAsia="zh-CN"/>
        </w:rPr>
        <w:t>至少三</w:t>
      </w:r>
      <w:r>
        <w:rPr>
          <w:rFonts w:hint="eastAsia" w:ascii="宋体" w:hAnsi="宋体" w:eastAsia="宋体" w:cs="宋体"/>
          <w:color w:val="000000"/>
          <w:szCs w:val="21"/>
          <w:lang w:eastAsia="zh-CN"/>
        </w:rPr>
        <w:t>年的集成商整体保修服务。</w:t>
      </w:r>
    </w:p>
    <w:p w14:paraId="02647FD1">
      <w:pPr>
        <w:spacing w:line="440" w:lineRule="exact"/>
        <w:ind w:left="420" w:leftChars="200" w:firstLine="422" w:firstLineChars="200"/>
        <w:rPr>
          <w:rFonts w:hint="eastAsia" w:ascii="宋体" w:hAnsi="宋体" w:eastAsia="宋体" w:cs="宋体"/>
          <w:color w:val="000000"/>
          <w:szCs w:val="21"/>
          <w:lang w:val="en-US"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2.实施方案提供</w:t>
      </w:r>
    </w:p>
    <w:p w14:paraId="508EE4E4">
      <w:pPr>
        <w:spacing w:line="440" w:lineRule="exact"/>
        <w:ind w:left="420" w:leftChars="200" w:firstLine="420" w:firstLineChars="200"/>
        <w:rPr>
          <w:rFonts w:hint="default" w:ascii="宋体" w:hAnsi="宋体" w:eastAsia="宋体" w:cs="宋体"/>
          <w:color w:val="000000"/>
          <w:szCs w:val="21"/>
          <w:lang w:eastAsia="zh-CN"/>
        </w:rPr>
      </w:pPr>
      <w:r>
        <w:rPr>
          <w:rFonts w:hint="eastAsia" w:ascii="宋体" w:hAnsi="宋体" w:eastAsia="宋体" w:cs="宋体"/>
          <w:color w:val="000000"/>
          <w:szCs w:val="21"/>
          <w:lang w:eastAsia="zh-CN"/>
        </w:rPr>
        <w:t>投标人须</w:t>
      </w:r>
      <w:r>
        <w:rPr>
          <w:rFonts w:hint="eastAsia" w:ascii="宋体" w:hAnsi="宋体" w:eastAsia="宋体" w:cs="宋体"/>
          <w:color w:val="000000"/>
          <w:szCs w:val="21"/>
          <w:lang w:val="en-US" w:eastAsia="zh-CN"/>
        </w:rPr>
        <w:t>提供</w:t>
      </w:r>
      <w:r>
        <w:rPr>
          <w:rFonts w:hint="eastAsia" w:ascii="宋体" w:hAnsi="宋体" w:eastAsia="宋体" w:cs="宋体"/>
          <w:color w:val="000000"/>
          <w:szCs w:val="21"/>
          <w:lang w:eastAsia="zh-CN"/>
        </w:rPr>
        <w:t>完整</w:t>
      </w:r>
      <w:r>
        <w:rPr>
          <w:rFonts w:hint="eastAsia" w:ascii="宋体" w:hAnsi="宋体" w:eastAsia="宋体" w:cs="宋体"/>
          <w:color w:val="000000"/>
          <w:szCs w:val="21"/>
          <w:lang w:val="en-US" w:eastAsia="zh-CN"/>
        </w:rPr>
        <w:t>的</w:t>
      </w:r>
      <w:r>
        <w:rPr>
          <w:rFonts w:hint="eastAsia" w:ascii="宋体" w:hAnsi="宋体" w:eastAsia="宋体" w:cs="宋体"/>
          <w:color w:val="000000"/>
          <w:szCs w:val="21"/>
          <w:lang w:eastAsia="zh-CN"/>
        </w:rPr>
        <w:t>项目实施方案，紧密结合项目实际需求，科学规划实施全过程。方案需涵盖部署与实施规划、项目组织与管理、进度管控与交付保障、实施安全管理、应急与风险处置五大核心模块，明确实施路径、责任分工、里程碑节点及风险防控措施，确保项目规范、高效、安全推进，按期保质交付。</w:t>
      </w:r>
    </w:p>
    <w:p w14:paraId="59913667">
      <w:pPr>
        <w:spacing w:line="440" w:lineRule="exact"/>
        <w:ind w:left="420" w:leftChars="200" w:firstLine="422" w:firstLineChars="200"/>
        <w:rPr>
          <w:rFonts w:hint="eastAsia" w:ascii="宋体" w:hAnsi="宋体" w:eastAsia="宋体" w:cs="宋体"/>
          <w:color w:val="000000"/>
          <w:szCs w:val="21"/>
          <w:lang w:val="en-US"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3.售后服务方案提供</w:t>
      </w:r>
    </w:p>
    <w:p w14:paraId="57F5D24E">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投标人须提</w:t>
      </w:r>
      <w:r>
        <w:rPr>
          <w:rFonts w:hint="eastAsia" w:ascii="宋体" w:hAnsi="宋体" w:eastAsia="宋体" w:cs="宋体"/>
          <w:color w:val="000000"/>
          <w:szCs w:val="21"/>
          <w:lang w:val="en-US" w:eastAsia="zh-CN"/>
        </w:rPr>
        <w:t>供</w:t>
      </w:r>
      <w:r>
        <w:rPr>
          <w:rFonts w:hint="eastAsia" w:ascii="宋体" w:hAnsi="宋体" w:eastAsia="宋体" w:cs="宋体"/>
          <w:color w:val="000000"/>
          <w:szCs w:val="21"/>
          <w:lang w:eastAsia="zh-CN"/>
        </w:rPr>
        <w:t>完善的售后服务方案，覆盖项目上线后全生命周期运维保障，内容至少包含服务响应机制、运维服务内容、培训服务方案、服务保障承诺、等保合规支撑</w:t>
      </w:r>
      <w:r>
        <w:rPr>
          <w:rFonts w:hint="eastAsia" w:ascii="宋体" w:hAnsi="宋体" w:eastAsia="宋体" w:cs="宋体"/>
          <w:color w:val="000000"/>
          <w:szCs w:val="21"/>
          <w:lang w:val="en-US" w:eastAsia="zh-CN"/>
        </w:rPr>
        <w:t>五</w:t>
      </w:r>
      <w:r>
        <w:rPr>
          <w:rFonts w:hint="eastAsia" w:ascii="宋体" w:hAnsi="宋体" w:eastAsia="宋体" w:cs="宋体"/>
          <w:color w:val="000000"/>
          <w:szCs w:val="21"/>
          <w:lang w:eastAsia="zh-CN"/>
        </w:rPr>
        <w:t>大板块。明确分级响应时效、定期巡检优化、分层培训体系及质保期服务承诺，建立闭环服务流程，保障系统长期稳定运行，满足业务持续开展需求。</w:t>
      </w:r>
    </w:p>
    <w:p w14:paraId="2C0C60EF">
      <w:pPr>
        <w:spacing w:line="440" w:lineRule="exact"/>
        <w:ind w:firstLine="422" w:firstLineChars="200"/>
        <w:rPr>
          <w:rFonts w:hint="eastAsia" w:ascii="宋体" w:hAnsi="宋体" w:cs="宋体"/>
          <w:b/>
          <w:bCs/>
          <w:szCs w:val="21"/>
        </w:rPr>
      </w:pPr>
      <w:r>
        <w:rPr>
          <w:rFonts w:hint="eastAsia" w:ascii="宋体" w:hAnsi="宋体" w:cs="宋体"/>
          <w:b/>
          <w:color w:val="auto"/>
          <w:szCs w:val="21"/>
          <w:u w:val="none"/>
        </w:rPr>
        <w:t>★</w:t>
      </w:r>
      <w:r>
        <w:rPr>
          <w:rFonts w:hint="eastAsia" w:ascii="宋体" w:hAnsi="宋体" w:cs="宋体"/>
          <w:b/>
          <w:bCs/>
          <w:szCs w:val="21"/>
          <w:lang w:val="en-US" w:eastAsia="zh-CN"/>
        </w:rPr>
        <w:t>八</w:t>
      </w:r>
      <w:r>
        <w:rPr>
          <w:rFonts w:hint="eastAsia" w:ascii="宋体" w:hAnsi="宋体" w:cs="宋体"/>
          <w:b/>
          <w:bCs/>
          <w:szCs w:val="21"/>
        </w:rPr>
        <w:t>、商务要求</w:t>
      </w:r>
    </w:p>
    <w:p w14:paraId="7485CD2E">
      <w:pPr>
        <w:rPr>
          <w:rFonts w:hint="eastAsia" w:ascii="宋体" w:hAnsi="宋体" w:cs="宋体"/>
          <w:b/>
          <w:bCs/>
          <w:szCs w:val="21"/>
          <w:lang w:val="en-US" w:eastAsia="zh-CN"/>
        </w:rPr>
      </w:pPr>
      <w:r>
        <w:rPr>
          <w:rFonts w:hint="eastAsia" w:ascii="宋体" w:hAnsi="宋体" w:cs="宋体"/>
          <w:b/>
          <w:bCs/>
          <w:szCs w:val="21"/>
          <w:lang w:val="en-US" w:eastAsia="zh-CN"/>
        </w:rPr>
        <w:br w:type="page"/>
      </w:r>
    </w:p>
    <w:tbl>
      <w:tblPr>
        <w:tblStyle w:val="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445"/>
        <w:gridCol w:w="1161"/>
        <w:gridCol w:w="6914"/>
      </w:tblGrid>
      <w:tr w14:paraId="788E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692" w:hRule="atLeast"/>
          <w:tblHeader/>
          <w:jc w:val="center"/>
        </w:trPr>
        <w:tc>
          <w:tcPr>
            <w:tcW w:w="261" w:type="pct"/>
            <w:tcBorders>
              <w:tl2br w:val="nil"/>
              <w:tr2bl w:val="nil"/>
            </w:tcBorders>
            <w:shd w:val="pct10" w:color="ADB9CA" w:fill="D6DCE5"/>
            <w:vAlign w:val="center"/>
          </w:tcPr>
          <w:p w14:paraId="2E53A15C">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序号</w:t>
            </w:r>
          </w:p>
        </w:tc>
        <w:tc>
          <w:tcPr>
            <w:tcW w:w="681" w:type="pct"/>
            <w:tcBorders>
              <w:tl2br w:val="nil"/>
              <w:tr2bl w:val="nil"/>
            </w:tcBorders>
            <w:shd w:val="pct10" w:color="ADB9CA" w:fill="D6DCE5"/>
            <w:vAlign w:val="center"/>
          </w:tcPr>
          <w:p w14:paraId="2FE8ECD6">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eastAsia" w:ascii="宋体" w:hAnsi="宋体" w:eastAsia="宋体" w:cs="宋体"/>
                <w:b/>
                <w:bCs w:val="0"/>
                <w:color w:val="auto"/>
                <w:kern w:val="0"/>
                <w:sz w:val="22"/>
                <w:szCs w:val="22"/>
              </w:rPr>
            </w:pPr>
            <w:r>
              <w:rPr>
                <w:rFonts w:hint="eastAsia" w:ascii="宋体" w:hAnsi="宋体" w:eastAsia="宋体" w:cs="宋体"/>
                <w:b/>
                <w:bCs w:val="0"/>
                <w:color w:val="auto"/>
                <w:kern w:val="0"/>
                <w:sz w:val="22"/>
                <w:szCs w:val="22"/>
              </w:rPr>
              <w:t>商务</w:t>
            </w:r>
          </w:p>
          <w:p w14:paraId="0D23D538">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eastAsia" w:ascii="宋体" w:hAnsi="宋体" w:eastAsia="宋体" w:cs="宋体"/>
                <w:b/>
                <w:bCs w:val="0"/>
                <w:color w:val="auto"/>
                <w:kern w:val="0"/>
                <w:sz w:val="22"/>
                <w:szCs w:val="22"/>
              </w:rPr>
            </w:pPr>
            <w:r>
              <w:rPr>
                <w:rFonts w:hint="eastAsia" w:ascii="宋体" w:hAnsi="宋体" w:eastAsia="宋体" w:cs="宋体"/>
                <w:b/>
                <w:bCs w:val="0"/>
                <w:color w:val="auto"/>
                <w:kern w:val="0"/>
                <w:sz w:val="22"/>
                <w:szCs w:val="22"/>
              </w:rPr>
              <w:t>条款</w:t>
            </w:r>
          </w:p>
        </w:tc>
        <w:tc>
          <w:tcPr>
            <w:tcW w:w="4056" w:type="pct"/>
            <w:tcBorders>
              <w:tl2br w:val="nil"/>
              <w:tr2bl w:val="nil"/>
            </w:tcBorders>
            <w:shd w:val="pct10" w:color="ADB9CA" w:fill="D6DCE5"/>
            <w:vAlign w:val="center"/>
          </w:tcPr>
          <w:p w14:paraId="1C63B333">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eastAsia" w:ascii="宋体" w:hAnsi="宋体" w:eastAsia="宋体" w:cs="宋体"/>
                <w:b/>
                <w:color w:val="auto"/>
                <w:sz w:val="22"/>
                <w:szCs w:val="22"/>
              </w:rPr>
            </w:pPr>
            <w:r>
              <w:rPr>
                <w:rFonts w:hint="eastAsia" w:ascii="宋体" w:hAnsi="宋体" w:eastAsia="宋体" w:cs="宋体"/>
                <w:b/>
                <w:color w:val="auto"/>
                <w:sz w:val="22"/>
                <w:szCs w:val="22"/>
              </w:rPr>
              <w:t>内    容</w:t>
            </w:r>
          </w:p>
        </w:tc>
      </w:tr>
      <w:tr w14:paraId="76E1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C4BC96" w:fill="auto"/>
            <w:vAlign w:val="center"/>
          </w:tcPr>
          <w:p w14:paraId="2B94A564">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681" w:type="pct"/>
            <w:tcBorders>
              <w:tl2br w:val="nil"/>
              <w:tr2bl w:val="nil"/>
            </w:tcBorders>
            <w:shd w:val="clear" w:color="C4BC96" w:fill="auto"/>
            <w:vAlign w:val="center"/>
          </w:tcPr>
          <w:p w14:paraId="2FCBB6C4">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交付时间</w:t>
            </w:r>
          </w:p>
        </w:tc>
        <w:tc>
          <w:tcPr>
            <w:tcW w:w="4056" w:type="pct"/>
            <w:tcBorders>
              <w:tl2br w:val="nil"/>
              <w:tr2bl w:val="nil"/>
            </w:tcBorders>
            <w:shd w:val="clear" w:color="C4BC96" w:fill="auto"/>
            <w:vAlign w:val="center"/>
          </w:tcPr>
          <w:p w14:paraId="4E0454D0">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color w:val="auto"/>
                <w:sz w:val="21"/>
                <w:szCs w:val="21"/>
                <w:u w:val="none"/>
              </w:rPr>
              <w:t>自合同签订之日起60天内安装调试完成</w:t>
            </w:r>
          </w:p>
        </w:tc>
      </w:tr>
      <w:tr w14:paraId="3962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680" w:hRule="atLeast"/>
          <w:jc w:val="center"/>
        </w:trPr>
        <w:tc>
          <w:tcPr>
            <w:tcW w:w="261" w:type="pct"/>
            <w:tcBorders>
              <w:tl2br w:val="nil"/>
              <w:tr2bl w:val="nil"/>
            </w:tcBorders>
            <w:shd w:val="clear" w:color="C4BC96" w:fill="auto"/>
            <w:vAlign w:val="center"/>
          </w:tcPr>
          <w:p w14:paraId="5FBE5D7F">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681" w:type="pct"/>
            <w:tcBorders>
              <w:tl2br w:val="nil"/>
              <w:tr2bl w:val="nil"/>
            </w:tcBorders>
            <w:shd w:val="clear" w:color="C4BC96" w:fill="auto"/>
            <w:vAlign w:val="center"/>
          </w:tcPr>
          <w:p w14:paraId="63961397">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交货安装（服务）地点</w:t>
            </w:r>
          </w:p>
        </w:tc>
        <w:tc>
          <w:tcPr>
            <w:tcW w:w="4056" w:type="pct"/>
            <w:tcBorders>
              <w:tl2br w:val="nil"/>
              <w:tr2bl w:val="nil"/>
            </w:tcBorders>
            <w:shd w:val="clear" w:color="C4BC96" w:fill="auto"/>
            <w:vAlign w:val="center"/>
          </w:tcPr>
          <w:p w14:paraId="58C7DFAF">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甲方指定地点。</w:t>
            </w:r>
          </w:p>
        </w:tc>
      </w:tr>
      <w:tr w14:paraId="3FB4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663" w:hRule="atLeast"/>
          <w:jc w:val="center"/>
        </w:trPr>
        <w:tc>
          <w:tcPr>
            <w:tcW w:w="261" w:type="pct"/>
            <w:tcBorders>
              <w:tl2br w:val="nil"/>
              <w:tr2bl w:val="nil"/>
            </w:tcBorders>
            <w:shd w:val="clear" w:color="C4BC96" w:fill="auto"/>
            <w:vAlign w:val="center"/>
          </w:tcPr>
          <w:p w14:paraId="63982D98">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681" w:type="pct"/>
            <w:tcBorders>
              <w:tl2br w:val="nil"/>
              <w:tr2bl w:val="nil"/>
            </w:tcBorders>
            <w:shd w:val="clear" w:color="C4BC96" w:fill="auto"/>
            <w:vAlign w:val="center"/>
          </w:tcPr>
          <w:p w14:paraId="44165074">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质保期</w:t>
            </w:r>
            <w:r>
              <w:rPr>
                <w:rFonts w:hint="eastAsia" w:ascii="宋体" w:hAnsi="宋体" w:eastAsia="宋体" w:cs="宋体"/>
                <w:color w:val="auto"/>
                <w:sz w:val="21"/>
                <w:szCs w:val="21"/>
                <w:u w:val="none"/>
                <w:lang w:val="en-US" w:eastAsia="zh-CN"/>
              </w:rPr>
              <w:t>（免费运维期限）</w:t>
            </w:r>
          </w:p>
        </w:tc>
        <w:tc>
          <w:tcPr>
            <w:tcW w:w="4056" w:type="pct"/>
            <w:tcBorders>
              <w:tl2br w:val="nil"/>
              <w:tr2bl w:val="nil"/>
            </w:tcBorders>
            <w:shd w:val="clear" w:color="C4BC96" w:fill="auto"/>
            <w:vAlign w:val="center"/>
          </w:tcPr>
          <w:p w14:paraId="72C4ED70">
            <w:pPr>
              <w:keepNext w:val="0"/>
              <w:keepLines w:val="0"/>
              <w:pageBreakBefore w:val="0"/>
              <w:widowControl w:val="0"/>
              <w:tabs>
                <w:tab w:val="left" w:pos="548"/>
              </w:tabs>
              <w:kinsoku/>
              <w:wordWrap/>
              <w:overflowPunct w:val="0"/>
              <w:topLinePunct w:val="0"/>
              <w:autoSpaceDE/>
              <w:autoSpaceDN/>
              <w:bidi w:val="0"/>
              <w:adjustRightInd w:val="0"/>
              <w:snapToGrid w:val="0"/>
              <w:spacing w:line="288" w:lineRule="auto"/>
              <w:ind w:left="0" w:leftChars="0" w:right="0" w:rightChars="0" w:firstLine="0" w:firstLineChars="0"/>
              <w:jc w:val="both"/>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val="en-US" w:eastAsia="zh-CN"/>
              </w:rPr>
              <w:t>本项目质量保证期（免费运维期限）为三年（从验收合格且交付之</w:t>
            </w:r>
            <w:r>
              <w:rPr>
                <w:rFonts w:hint="eastAsia" w:ascii="宋体" w:hAnsi="宋体" w:cs="宋体"/>
                <w:color w:val="auto"/>
                <w:sz w:val="21"/>
                <w:szCs w:val="21"/>
                <w:u w:val="none"/>
                <w:lang w:val="en-US" w:eastAsia="zh-CN"/>
              </w:rPr>
              <w:t>日起</w:t>
            </w:r>
            <w:r>
              <w:rPr>
                <w:rFonts w:hint="eastAsia" w:ascii="宋体" w:hAnsi="宋体" w:eastAsia="宋体" w:cs="宋体"/>
                <w:color w:val="auto"/>
                <w:sz w:val="21"/>
                <w:szCs w:val="21"/>
                <w:u w:val="none"/>
                <w:lang w:val="en-US" w:eastAsia="zh-CN"/>
              </w:rPr>
              <w:t>开始计算），三年内</w:t>
            </w:r>
            <w:r>
              <w:rPr>
                <w:rFonts w:hint="eastAsia" w:ascii="宋体" w:hAnsi="宋体" w:eastAsia="宋体" w:cs="宋体"/>
                <w:color w:val="auto"/>
                <w:sz w:val="21"/>
                <w:szCs w:val="21"/>
                <w:u w:val="none"/>
              </w:rPr>
              <w:t>涉及的运行维护、升级更新等</w:t>
            </w:r>
            <w:r>
              <w:rPr>
                <w:rFonts w:hint="eastAsia" w:ascii="宋体" w:hAnsi="宋体" w:eastAsia="宋体" w:cs="宋体"/>
                <w:color w:val="auto"/>
                <w:sz w:val="21"/>
                <w:szCs w:val="21"/>
                <w:u w:val="none"/>
                <w:lang w:val="en-US" w:eastAsia="zh-CN"/>
              </w:rPr>
              <w:t>事项均由</w:t>
            </w:r>
            <w:r>
              <w:rPr>
                <w:rFonts w:hint="eastAsia" w:ascii="宋体" w:hAnsi="宋体" w:cs="宋体"/>
                <w:color w:val="auto"/>
                <w:sz w:val="21"/>
                <w:szCs w:val="21"/>
                <w:u w:val="none"/>
                <w:lang w:val="en-US" w:eastAsia="zh-CN"/>
              </w:rPr>
              <w:t>成交</w:t>
            </w:r>
            <w:r>
              <w:rPr>
                <w:rFonts w:hint="eastAsia" w:ascii="宋体" w:hAnsi="宋体" w:eastAsia="宋体" w:cs="宋体"/>
                <w:color w:val="auto"/>
                <w:sz w:val="21"/>
                <w:szCs w:val="21"/>
                <w:u w:val="none"/>
                <w:lang w:val="en-US" w:eastAsia="zh-CN"/>
              </w:rPr>
              <w:t>人负责。</w:t>
            </w:r>
          </w:p>
        </w:tc>
      </w:tr>
      <w:tr w14:paraId="7E10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restart"/>
            <w:tcBorders>
              <w:tl2br w:val="nil"/>
              <w:tr2bl w:val="nil"/>
            </w:tcBorders>
            <w:shd w:val="clear" w:color="auto" w:fill="auto"/>
            <w:vAlign w:val="center"/>
          </w:tcPr>
          <w:p w14:paraId="4B94BBBC">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w:t>
            </w:r>
          </w:p>
        </w:tc>
        <w:tc>
          <w:tcPr>
            <w:tcW w:w="681" w:type="pct"/>
            <w:vMerge w:val="restart"/>
            <w:tcBorders>
              <w:tl2br w:val="nil"/>
              <w:tr2bl w:val="nil"/>
            </w:tcBorders>
            <w:shd w:val="clear" w:color="auto" w:fill="auto"/>
            <w:vAlign w:val="center"/>
          </w:tcPr>
          <w:p w14:paraId="5760D28E">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报价要求</w:t>
            </w:r>
          </w:p>
        </w:tc>
        <w:tc>
          <w:tcPr>
            <w:tcW w:w="4056" w:type="pct"/>
            <w:tcBorders>
              <w:tl2br w:val="nil"/>
              <w:tr2bl w:val="nil"/>
            </w:tcBorders>
            <w:shd w:val="clear" w:color="auto" w:fill="auto"/>
            <w:vAlign w:val="center"/>
          </w:tcPr>
          <w:p w14:paraId="30186576">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firstLine="0" w:firstLine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的报价应包含为完成本招标文件提出的货物或服务等全部相关工作所有可能发生的费用，即投标</w:t>
            </w:r>
            <w:r>
              <w:rPr>
                <w:rFonts w:hint="eastAsia" w:ascii="宋体" w:hAnsi="宋体" w:eastAsia="宋体" w:cs="宋体"/>
                <w:color w:val="auto"/>
                <w:sz w:val="21"/>
                <w:szCs w:val="21"/>
                <w:lang w:val="en-US" w:eastAsia="zh-CN"/>
              </w:rPr>
              <w:t>报价为全费用单价。若合价计算有误，按全费用单价修改合价。</w:t>
            </w:r>
            <w:r>
              <w:rPr>
                <w:rFonts w:hint="eastAsia" w:ascii="宋体" w:hAnsi="宋体" w:eastAsia="宋体" w:cs="宋体"/>
                <w:color w:val="auto"/>
                <w:sz w:val="21"/>
                <w:szCs w:val="21"/>
              </w:rPr>
              <w:t>对在合同实施</w:t>
            </w:r>
            <w:bookmarkStart w:id="1" w:name="_GoBack"/>
            <w:bookmarkEnd w:id="1"/>
            <w:r>
              <w:rPr>
                <w:rFonts w:hint="eastAsia" w:ascii="宋体" w:hAnsi="宋体" w:eastAsia="宋体" w:cs="宋体"/>
                <w:color w:val="auto"/>
                <w:sz w:val="21"/>
                <w:szCs w:val="21"/>
              </w:rPr>
              <w:t>过程中可能发生的其他费用，</w:t>
            </w:r>
            <w:r>
              <w:rPr>
                <w:rFonts w:hint="eastAsia" w:ascii="宋体" w:hAnsi="宋体" w:eastAsia="宋体" w:cs="宋体"/>
                <w:color w:val="auto"/>
                <w:sz w:val="21"/>
                <w:szCs w:val="21"/>
                <w:lang w:eastAsia="zh-CN"/>
              </w:rPr>
              <w:t>委托人</w:t>
            </w:r>
            <w:r>
              <w:rPr>
                <w:rFonts w:hint="eastAsia" w:ascii="宋体" w:hAnsi="宋体" w:eastAsia="宋体" w:cs="宋体"/>
                <w:color w:val="auto"/>
                <w:sz w:val="21"/>
                <w:szCs w:val="21"/>
              </w:rPr>
              <w:t>概不负责。</w:t>
            </w:r>
          </w:p>
        </w:tc>
      </w:tr>
      <w:tr w14:paraId="0EF0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996" w:hRule="atLeast"/>
          <w:jc w:val="center"/>
        </w:trPr>
        <w:tc>
          <w:tcPr>
            <w:tcW w:w="261" w:type="pct"/>
            <w:vMerge w:val="continue"/>
            <w:tcBorders>
              <w:tl2br w:val="nil"/>
              <w:tr2bl w:val="nil"/>
            </w:tcBorders>
            <w:shd w:val="clear" w:color="auto" w:fill="auto"/>
            <w:vAlign w:val="center"/>
          </w:tcPr>
          <w:p w14:paraId="263152B1">
            <w:pPr>
              <w:keepNext w:val="0"/>
              <w:keepLines w:val="0"/>
              <w:pageBreakBefore w:val="0"/>
              <w:widowControl w:val="0"/>
              <w:numPr>
                <w:ilvl w:val="0"/>
                <w:numId w:val="1"/>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4DD5DF87">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5509966D">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firstLine="0" w:firstLine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对本文件未列明，而</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认为必需的费用也需列入投标总报价。在合同实施时，</w:t>
            </w:r>
            <w:r>
              <w:rPr>
                <w:rFonts w:hint="eastAsia" w:ascii="宋体" w:hAnsi="宋体" w:eastAsia="宋体" w:cs="宋体"/>
                <w:color w:val="auto"/>
                <w:sz w:val="21"/>
                <w:szCs w:val="21"/>
                <w:lang w:eastAsia="zh-CN"/>
              </w:rPr>
              <w:t>委托人</w:t>
            </w:r>
            <w:r>
              <w:rPr>
                <w:rFonts w:hint="eastAsia" w:ascii="宋体" w:hAnsi="宋体" w:eastAsia="宋体" w:cs="宋体"/>
                <w:color w:val="auto"/>
                <w:sz w:val="21"/>
                <w:szCs w:val="21"/>
              </w:rPr>
              <w:t>将不予支付</w:t>
            </w:r>
            <w:r>
              <w:rPr>
                <w:rFonts w:hint="eastAsia" w:ascii="宋体" w:hAnsi="宋体" w:cs="宋体"/>
                <w:color w:val="auto"/>
                <w:sz w:val="21"/>
                <w:szCs w:val="21"/>
                <w:lang w:eastAsia="zh-CN"/>
              </w:rPr>
              <w:t>成交</w:t>
            </w:r>
            <w:r>
              <w:rPr>
                <w:rFonts w:hint="eastAsia" w:ascii="宋体" w:hAnsi="宋体" w:eastAsia="宋体" w:cs="宋体"/>
                <w:color w:val="auto"/>
                <w:sz w:val="21"/>
                <w:szCs w:val="21"/>
                <w:lang w:eastAsia="zh-CN"/>
              </w:rPr>
              <w:t>人</w:t>
            </w:r>
            <w:r>
              <w:rPr>
                <w:rFonts w:hint="eastAsia" w:ascii="宋体" w:hAnsi="宋体" w:eastAsia="宋体" w:cs="宋体"/>
                <w:color w:val="auto"/>
                <w:sz w:val="21"/>
                <w:szCs w:val="21"/>
              </w:rPr>
              <w:t>没有列入的项目费用，并认为此项目的费用已包含在</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总报价中。</w:t>
            </w:r>
          </w:p>
        </w:tc>
      </w:tr>
      <w:tr w14:paraId="58B2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restart"/>
            <w:tcBorders>
              <w:tl2br w:val="nil"/>
              <w:tr2bl w:val="nil"/>
            </w:tcBorders>
            <w:shd w:val="clear" w:color="auto" w:fill="auto"/>
            <w:vAlign w:val="center"/>
          </w:tcPr>
          <w:p w14:paraId="1AD309C5">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w:t>
            </w:r>
          </w:p>
        </w:tc>
        <w:tc>
          <w:tcPr>
            <w:tcW w:w="681" w:type="pct"/>
            <w:vMerge w:val="restart"/>
            <w:tcBorders>
              <w:tl2br w:val="nil"/>
              <w:tr2bl w:val="nil"/>
            </w:tcBorders>
            <w:shd w:val="clear" w:color="auto" w:fill="auto"/>
            <w:vAlign w:val="center"/>
          </w:tcPr>
          <w:p w14:paraId="5EFF847D">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付款方式</w:t>
            </w:r>
          </w:p>
        </w:tc>
        <w:tc>
          <w:tcPr>
            <w:tcW w:w="4056" w:type="pct"/>
            <w:tcBorders>
              <w:tl2br w:val="nil"/>
              <w:tr2bl w:val="nil"/>
            </w:tcBorders>
            <w:shd w:val="clear" w:color="auto" w:fill="auto"/>
            <w:vAlign w:val="center"/>
          </w:tcPr>
          <w:p w14:paraId="0B2D51B6">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u w:val="none"/>
                <w:lang w:val="en-US" w:eastAsia="zh-CN"/>
              </w:rPr>
              <w:t>1.合同签订后支付合同总金额40%；完成</w:t>
            </w:r>
            <w:r>
              <w:rPr>
                <w:rFonts w:hint="eastAsia" w:ascii="宋体" w:hAnsi="宋体" w:cs="宋体"/>
                <w:color w:val="auto"/>
                <w:sz w:val="21"/>
                <w:szCs w:val="21"/>
                <w:u w:val="none"/>
                <w:lang w:val="en-US" w:eastAsia="zh-CN"/>
              </w:rPr>
              <w:t>初步</w:t>
            </w:r>
            <w:r>
              <w:rPr>
                <w:rFonts w:hint="eastAsia" w:ascii="宋体" w:hAnsi="宋体" w:eastAsia="宋体" w:cs="宋体"/>
                <w:color w:val="auto"/>
                <w:sz w:val="21"/>
                <w:szCs w:val="21"/>
                <w:u w:val="none"/>
                <w:lang w:val="en-US" w:eastAsia="zh-CN"/>
              </w:rPr>
              <w:t>验收后支付合同总金额的30%；终验合格</w:t>
            </w:r>
            <w:r>
              <w:rPr>
                <w:rFonts w:hint="eastAsia" w:ascii="宋体" w:hAnsi="宋体" w:cs="宋体"/>
                <w:color w:val="auto"/>
                <w:sz w:val="21"/>
                <w:szCs w:val="21"/>
                <w:u w:val="none"/>
                <w:lang w:val="en-US" w:eastAsia="zh-CN"/>
              </w:rPr>
              <w:t>且等保测评通过及结算工作后，</w:t>
            </w:r>
            <w:r>
              <w:rPr>
                <w:rFonts w:hint="eastAsia" w:ascii="宋体" w:hAnsi="宋体" w:eastAsia="宋体" w:cs="宋体"/>
                <w:color w:val="auto"/>
                <w:sz w:val="21"/>
                <w:szCs w:val="21"/>
                <w:u w:val="none"/>
                <w:lang w:val="en-US" w:eastAsia="zh-CN"/>
              </w:rPr>
              <w:t>支付合同总金额的</w:t>
            </w:r>
            <w:r>
              <w:rPr>
                <w:rFonts w:hint="eastAsia" w:ascii="宋体" w:hAnsi="宋体" w:cs="宋体"/>
                <w:color w:val="auto"/>
                <w:sz w:val="21"/>
                <w:szCs w:val="21"/>
                <w:u w:val="none"/>
                <w:lang w:val="en-US" w:eastAsia="zh-CN"/>
              </w:rPr>
              <w:t>30</w:t>
            </w:r>
            <w:r>
              <w:rPr>
                <w:rFonts w:hint="eastAsia" w:ascii="宋体" w:hAnsi="宋体" w:eastAsia="宋体" w:cs="宋体"/>
                <w:color w:val="auto"/>
                <w:sz w:val="21"/>
                <w:szCs w:val="21"/>
                <w:u w:val="none"/>
                <w:lang w:val="en-US" w:eastAsia="zh-CN"/>
              </w:rPr>
              <w:t>%</w:t>
            </w:r>
            <w:r>
              <w:rPr>
                <w:rFonts w:hint="eastAsia" w:ascii="宋体" w:hAnsi="宋体" w:cs="宋体"/>
                <w:color w:val="auto"/>
                <w:sz w:val="21"/>
                <w:szCs w:val="21"/>
                <w:u w:val="none"/>
                <w:lang w:val="en-US" w:eastAsia="zh-CN"/>
              </w:rPr>
              <w:t>。</w:t>
            </w:r>
            <w:commentRangeStart w:id="0"/>
            <w:r>
              <w:rPr>
                <w:rFonts w:hint="eastAsia" w:ascii="宋体" w:hAnsi="宋体" w:cs="宋体"/>
                <w:color w:val="auto"/>
                <w:sz w:val="21"/>
                <w:szCs w:val="21"/>
                <w:u w:val="none"/>
                <w:lang w:val="en-US" w:eastAsia="zh-CN"/>
              </w:rPr>
              <w:t>中标人在验收合格之日后，提供具备资质的金融机构出具合同金额3%的履约保函，保函有效期应覆盖三年</w:t>
            </w:r>
            <w:r>
              <w:rPr>
                <w:rFonts w:hint="eastAsia" w:ascii="宋体" w:hAnsi="宋体" w:eastAsia="宋体" w:cs="宋体"/>
                <w:color w:val="auto"/>
                <w:sz w:val="21"/>
                <w:szCs w:val="21"/>
                <w:u w:val="none"/>
                <w:lang w:val="en-US" w:eastAsia="zh-CN"/>
              </w:rPr>
              <w:t>免费运维期。</w:t>
            </w:r>
            <w:commentRangeEnd w:id="0"/>
            <w:r>
              <w:commentReference w:id="0"/>
            </w:r>
          </w:p>
        </w:tc>
      </w:tr>
      <w:tr w14:paraId="46DC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25AA236B">
            <w:pPr>
              <w:keepNext w:val="0"/>
              <w:keepLines w:val="0"/>
              <w:pageBreakBefore w:val="0"/>
              <w:widowControl w:val="0"/>
              <w:numPr>
                <w:ilvl w:val="0"/>
                <w:numId w:val="1"/>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66C46AB4">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0582FA3B">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2.乙方必须按国家有关财税规定开具发票。</w:t>
            </w:r>
          </w:p>
        </w:tc>
      </w:tr>
      <w:tr w14:paraId="4942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5FE9CA96">
            <w:pPr>
              <w:keepNext w:val="0"/>
              <w:keepLines w:val="0"/>
              <w:pageBreakBefore w:val="0"/>
              <w:widowControl w:val="0"/>
              <w:numPr>
                <w:ilvl w:val="0"/>
                <w:numId w:val="1"/>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0C9E895E">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468798D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firstLine="0" w:firstLineChars="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本项目按照项目完成进度情况支付相应的款项，具体比例在合同中约定。</w:t>
            </w:r>
          </w:p>
        </w:tc>
      </w:tr>
      <w:tr w14:paraId="772D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90" w:hRule="atLeast"/>
          <w:jc w:val="center"/>
        </w:trPr>
        <w:tc>
          <w:tcPr>
            <w:tcW w:w="261" w:type="pct"/>
            <w:vMerge w:val="restart"/>
            <w:tcBorders>
              <w:tl2br w:val="nil"/>
              <w:tr2bl w:val="nil"/>
            </w:tcBorders>
            <w:shd w:val="clear" w:color="auto" w:fill="auto"/>
            <w:vAlign w:val="center"/>
          </w:tcPr>
          <w:p w14:paraId="118FA9B7">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w:t>
            </w:r>
          </w:p>
        </w:tc>
        <w:tc>
          <w:tcPr>
            <w:tcW w:w="681" w:type="pct"/>
            <w:vMerge w:val="restart"/>
            <w:tcBorders>
              <w:tl2br w:val="nil"/>
              <w:tr2bl w:val="nil"/>
            </w:tcBorders>
            <w:shd w:val="clear" w:color="auto" w:fill="auto"/>
            <w:vAlign w:val="center"/>
          </w:tcPr>
          <w:p w14:paraId="7A840E66">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验收要求</w:t>
            </w:r>
          </w:p>
        </w:tc>
        <w:tc>
          <w:tcPr>
            <w:tcW w:w="4056" w:type="pct"/>
            <w:tcBorders>
              <w:tl2br w:val="nil"/>
              <w:tr2bl w:val="nil"/>
            </w:tcBorders>
            <w:shd w:val="clear" w:color="auto" w:fill="auto"/>
            <w:vAlign w:val="center"/>
          </w:tcPr>
          <w:p w14:paraId="6BF26CFD">
            <w:pPr>
              <w:keepNext w:val="0"/>
              <w:keepLines w:val="0"/>
              <w:pageBreakBefore w:val="0"/>
              <w:widowControl w:val="0"/>
              <w:numPr>
                <w:ilvl w:val="0"/>
                <w:numId w:val="2"/>
              </w:numPr>
              <w:tabs>
                <w:tab w:val="left" w:pos="351"/>
                <w:tab w:val="left" w:pos="816"/>
                <w:tab w:val="clear" w:pos="312"/>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eastAsia="zh-CN"/>
              </w:rPr>
              <w:t>验收：</w:t>
            </w:r>
            <w:r>
              <w:rPr>
                <w:rFonts w:hint="eastAsia" w:ascii="宋体" w:hAnsi="宋体" w:eastAsia="宋体" w:cs="宋体"/>
                <w:color w:val="000000"/>
                <w:sz w:val="21"/>
                <w:szCs w:val="21"/>
                <w:highlight w:val="none"/>
                <w:lang w:val="en-US" w:eastAsia="zh-CN"/>
              </w:rPr>
              <w:t>由乙方提出申请，甲方牵头组织</w:t>
            </w:r>
            <w:r>
              <w:rPr>
                <w:rFonts w:hint="eastAsia" w:ascii="宋体" w:hAnsi="宋体" w:eastAsia="宋体" w:cs="宋体"/>
                <w:color w:val="000000"/>
                <w:sz w:val="21"/>
                <w:szCs w:val="21"/>
                <w:highlight w:val="none"/>
                <w:lang w:eastAsia="zh-CN"/>
              </w:rPr>
              <w:t>验收并出具验收结果报告</w:t>
            </w:r>
            <w:r>
              <w:rPr>
                <w:rFonts w:hint="eastAsia" w:ascii="宋体" w:hAnsi="宋体" w:eastAsia="宋体" w:cs="宋体"/>
                <w:color w:val="000000"/>
                <w:sz w:val="21"/>
                <w:szCs w:val="21"/>
                <w:highlight w:val="none"/>
                <w:lang w:val="en-US" w:eastAsia="zh-CN"/>
              </w:rPr>
              <w:t>；</w:t>
            </w:r>
          </w:p>
          <w:p w14:paraId="64406CFA">
            <w:pPr>
              <w:keepNext w:val="0"/>
              <w:keepLines w:val="0"/>
              <w:pageBreakBefore w:val="0"/>
              <w:widowControl w:val="0"/>
              <w:numPr>
                <w:ilvl w:val="0"/>
                <w:numId w:val="2"/>
              </w:numPr>
              <w:tabs>
                <w:tab w:val="left" w:pos="351"/>
                <w:tab w:val="left" w:pos="816"/>
                <w:tab w:val="clear" w:pos="312"/>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竣工验收：</w:t>
            </w:r>
            <w:r>
              <w:rPr>
                <w:rFonts w:hint="eastAsia" w:ascii="宋体" w:hAnsi="宋体" w:eastAsia="宋体" w:cs="宋体"/>
                <w:color w:val="000000"/>
                <w:sz w:val="21"/>
                <w:szCs w:val="21"/>
                <w:highlight w:val="none"/>
                <w:lang w:val="en-US" w:eastAsia="zh-CN"/>
              </w:rPr>
              <w:t>由甲方提出申请，张家界市数据局牵头组织</w:t>
            </w:r>
            <w:r>
              <w:rPr>
                <w:rFonts w:hint="eastAsia" w:ascii="宋体" w:hAnsi="宋体" w:eastAsia="宋体" w:cs="宋体"/>
                <w:color w:val="000000"/>
                <w:sz w:val="21"/>
                <w:szCs w:val="21"/>
                <w:highlight w:val="none"/>
                <w:lang w:eastAsia="zh-CN"/>
              </w:rPr>
              <w:t>验收并出具验收结果报告。</w:t>
            </w:r>
          </w:p>
        </w:tc>
      </w:tr>
      <w:tr w14:paraId="2F94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4782677B">
            <w:pPr>
              <w:keepNext w:val="0"/>
              <w:keepLines w:val="0"/>
              <w:pageBreakBefore w:val="0"/>
              <w:widowControl w:val="0"/>
              <w:numPr>
                <w:ilvl w:val="0"/>
                <w:numId w:val="1"/>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574E6023">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27A58B7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2.</w:t>
            </w: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eastAsia="zh-CN"/>
              </w:rPr>
              <w:t>验收方式：系统按公开招标文件及双方</w:t>
            </w:r>
            <w:r>
              <w:rPr>
                <w:rFonts w:hint="eastAsia" w:ascii="宋体" w:hAnsi="宋体" w:cs="宋体"/>
                <w:color w:val="000000"/>
                <w:sz w:val="21"/>
                <w:szCs w:val="21"/>
                <w:highlight w:val="none"/>
                <w:lang w:eastAsia="zh-CN"/>
              </w:rPr>
              <w:t>协商</w:t>
            </w:r>
            <w:r>
              <w:rPr>
                <w:rFonts w:hint="eastAsia" w:ascii="宋体" w:hAnsi="宋体" w:eastAsia="宋体" w:cs="宋体"/>
                <w:color w:val="000000"/>
                <w:sz w:val="21"/>
                <w:szCs w:val="21"/>
                <w:highlight w:val="none"/>
                <w:lang w:eastAsia="zh-CN"/>
              </w:rPr>
              <w:t>确定的</w:t>
            </w:r>
            <w:r>
              <w:rPr>
                <w:rFonts w:hint="eastAsia" w:ascii="宋体" w:hAnsi="宋体" w:cs="宋体"/>
                <w:color w:val="000000"/>
                <w:sz w:val="21"/>
                <w:szCs w:val="21"/>
                <w:highlight w:val="none"/>
                <w:lang w:eastAsia="zh-CN"/>
              </w:rPr>
              <w:t>深化设计方案</w:t>
            </w:r>
            <w:r>
              <w:rPr>
                <w:rFonts w:hint="eastAsia" w:ascii="宋体" w:hAnsi="宋体" w:eastAsia="宋体" w:cs="宋体"/>
                <w:color w:val="000000"/>
                <w:sz w:val="21"/>
                <w:szCs w:val="21"/>
                <w:highlight w:val="none"/>
                <w:lang w:eastAsia="zh-CN"/>
              </w:rPr>
              <w:t>、系统测试方案、国家和行业制定的有关标准要求进行验收，当两者发生矛盾时，以所有文件中最高性能指标为准。</w:t>
            </w:r>
          </w:p>
        </w:tc>
      </w:tr>
      <w:tr w14:paraId="6C7D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093586F3">
            <w:pPr>
              <w:keepNext w:val="0"/>
              <w:keepLines w:val="0"/>
              <w:pageBreakBefore w:val="0"/>
              <w:widowControl w:val="0"/>
              <w:numPr>
                <w:ilvl w:val="0"/>
                <w:numId w:val="1"/>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3BEB17FA">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7AECFFDA">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3.</w:t>
            </w: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eastAsia="zh-CN"/>
              </w:rPr>
              <w:t>验收程序：本项目验收</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应在项目验收时做好项目质量控制、成本控制、进度控制等管理。做好项目过程中各种文档的管理，如：公开招标文件及响应文件、合同、会议纪要、验收报告等。</w:t>
            </w:r>
          </w:p>
        </w:tc>
      </w:tr>
      <w:tr w14:paraId="7AEF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3DAA8385">
            <w:pPr>
              <w:keepNext w:val="0"/>
              <w:keepLines w:val="0"/>
              <w:pageBreakBefore w:val="0"/>
              <w:widowControl w:val="0"/>
              <w:numPr>
                <w:ilvl w:val="0"/>
                <w:numId w:val="1"/>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45984D95">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2FA2681E">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val="en-US" w:eastAsia="zh-CN"/>
              </w:rPr>
              <w:t>验收内容：</w:t>
            </w:r>
          </w:p>
          <w:p w14:paraId="7211D64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验收内容主要包括产品到货验收、系统功能验收、文档的完整性验收。</w:t>
            </w:r>
          </w:p>
          <w:p w14:paraId="0CEDFD17">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1.产品到货验收</w:t>
            </w:r>
          </w:p>
          <w:p w14:paraId="7C6A7DD6">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所有产品开箱外观是否完整，测试是否通过，主机、应用软件是否与合同书所要求的清单相符合。</w:t>
            </w:r>
          </w:p>
          <w:p w14:paraId="64271DA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2.系统功能验收</w:t>
            </w:r>
          </w:p>
          <w:p w14:paraId="4FC89193">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针对各软、硬件产品的技术参数进行功能性测试验证，对单个产品进行单项测试并形成测试验收报告。系统部署完成后对整体信息系统进行联调测试，并形成联调测试验收报告。</w:t>
            </w:r>
          </w:p>
          <w:p w14:paraId="63B9A913">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3.文档完整性验收</w:t>
            </w:r>
          </w:p>
          <w:p w14:paraId="565B74CF">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乙方需提供所有项目建设要求的文档，包括全部有关产品说明书、原厂家安装手册、资料以及系统设计文档、安装配置手册、使用手册、运行维护手册、</w:t>
            </w:r>
            <w:r>
              <w:rPr>
                <w:rFonts w:hint="eastAsia" w:ascii="宋体" w:hAnsi="宋体"/>
                <w:szCs w:val="21"/>
                <w:lang w:val="en-US" w:eastAsia="zh-CN"/>
              </w:rPr>
              <w:t>网络拓扑图</w:t>
            </w:r>
            <w:r>
              <w:rPr>
                <w:rFonts w:hint="eastAsia" w:ascii="宋体" w:hAnsi="宋体" w:eastAsia="宋体" w:cs="宋体"/>
                <w:color w:val="000000"/>
                <w:sz w:val="21"/>
                <w:szCs w:val="21"/>
                <w:highlight w:val="none"/>
                <w:lang w:val="en-US" w:eastAsia="zh-CN"/>
              </w:rPr>
              <w:t xml:space="preserve">、测试文档、验收报告，以及项目管理、质量管理等方面的文档。 </w:t>
            </w:r>
          </w:p>
        </w:tc>
      </w:tr>
      <w:tr w14:paraId="29BD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restart"/>
            <w:tcBorders>
              <w:tl2br w:val="nil"/>
              <w:tr2bl w:val="nil"/>
            </w:tcBorders>
            <w:shd w:val="clear" w:color="auto" w:fill="auto"/>
            <w:vAlign w:val="center"/>
          </w:tcPr>
          <w:p w14:paraId="56F5B436">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7</w:t>
            </w:r>
          </w:p>
        </w:tc>
        <w:tc>
          <w:tcPr>
            <w:tcW w:w="681" w:type="pct"/>
            <w:vMerge w:val="restart"/>
            <w:tcBorders>
              <w:tl2br w:val="nil"/>
              <w:tr2bl w:val="nil"/>
            </w:tcBorders>
            <w:shd w:val="clear" w:color="auto" w:fill="auto"/>
            <w:vAlign w:val="center"/>
          </w:tcPr>
          <w:p w14:paraId="1BCD23C7">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sz w:val="21"/>
                <w:szCs w:val="21"/>
              </w:rPr>
              <w:t>质量要求</w:t>
            </w:r>
          </w:p>
        </w:tc>
        <w:tc>
          <w:tcPr>
            <w:tcW w:w="4056" w:type="pct"/>
            <w:tcBorders>
              <w:tl2br w:val="nil"/>
              <w:tr2bl w:val="nil"/>
            </w:tcBorders>
            <w:shd w:val="clear" w:color="auto" w:fill="auto"/>
            <w:vAlign w:val="center"/>
          </w:tcPr>
          <w:p w14:paraId="7905D687">
            <w:pPr>
              <w:keepNext w:val="0"/>
              <w:keepLines w:val="0"/>
              <w:pageBreakBefore w:val="0"/>
              <w:widowControl w:val="0"/>
              <w:numPr>
                <w:ilvl w:val="0"/>
                <w:numId w:val="0"/>
              </w:numPr>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9.1</w:t>
            </w:r>
            <w:r>
              <w:rPr>
                <w:rFonts w:hint="eastAsia" w:ascii="宋体" w:hAnsi="宋体" w:eastAsia="宋体" w:cs="宋体"/>
                <w:color w:val="000000"/>
                <w:kern w:val="0"/>
                <w:sz w:val="21"/>
                <w:szCs w:val="21"/>
              </w:rPr>
              <w:t>本次</w:t>
            </w:r>
            <w:r>
              <w:rPr>
                <w:rFonts w:hint="eastAsia" w:ascii="宋体" w:hAnsi="宋体" w:eastAsia="宋体" w:cs="宋体"/>
                <w:color w:val="000000"/>
                <w:kern w:val="0"/>
                <w:sz w:val="21"/>
                <w:szCs w:val="21"/>
                <w:lang w:eastAsia="zh-CN"/>
              </w:rPr>
              <w:t>公开投标</w:t>
            </w:r>
            <w:r>
              <w:rPr>
                <w:rFonts w:hint="eastAsia" w:ascii="宋体" w:hAnsi="宋体" w:eastAsia="宋体" w:cs="宋体"/>
                <w:color w:val="000000"/>
                <w:kern w:val="0"/>
                <w:sz w:val="21"/>
                <w:szCs w:val="21"/>
              </w:rPr>
              <w:t>项目的产品和安装必须完全满足中华人民共和国国家质量标准及现行规范要求。</w:t>
            </w:r>
          </w:p>
        </w:tc>
      </w:tr>
      <w:tr w14:paraId="49C2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904" w:hRule="atLeast"/>
          <w:jc w:val="center"/>
        </w:trPr>
        <w:tc>
          <w:tcPr>
            <w:tcW w:w="261" w:type="pct"/>
            <w:vMerge w:val="continue"/>
            <w:tcBorders>
              <w:tl2br w:val="nil"/>
              <w:tr2bl w:val="nil"/>
            </w:tcBorders>
            <w:shd w:val="clear" w:color="auto" w:fill="auto"/>
            <w:vAlign w:val="center"/>
          </w:tcPr>
          <w:p w14:paraId="5DB1388D">
            <w:pPr>
              <w:keepNext w:val="0"/>
              <w:keepLines w:val="0"/>
              <w:pageBreakBefore w:val="0"/>
              <w:widowControl w:val="0"/>
              <w:numPr>
                <w:ilvl w:val="0"/>
                <w:numId w:val="1"/>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547D79E4">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p>
        </w:tc>
        <w:tc>
          <w:tcPr>
            <w:tcW w:w="4056" w:type="pct"/>
            <w:tcBorders>
              <w:tl2br w:val="nil"/>
              <w:tr2bl w:val="nil"/>
            </w:tcBorders>
            <w:shd w:val="clear" w:color="auto" w:fill="auto"/>
            <w:vAlign w:val="center"/>
          </w:tcPr>
          <w:p w14:paraId="05180A2A">
            <w:pPr>
              <w:keepNext w:val="0"/>
              <w:keepLines w:val="0"/>
              <w:pageBreakBefore w:val="0"/>
              <w:widowControl w:val="0"/>
              <w:numPr>
                <w:ilvl w:val="0"/>
                <w:numId w:val="0"/>
              </w:numPr>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9.2</w:t>
            </w:r>
            <w:r>
              <w:rPr>
                <w:rFonts w:hint="eastAsia" w:ascii="宋体" w:hAnsi="宋体" w:eastAsia="宋体" w:cs="宋体"/>
                <w:color w:val="000000"/>
                <w:kern w:val="0"/>
                <w:sz w:val="21"/>
                <w:szCs w:val="21"/>
              </w:rPr>
              <w:t>所有设备和配件均要求是经过实际运行验证、性能稳定的全新产品，且设备上具有原制造厂商的铭牌、标志。</w:t>
            </w:r>
          </w:p>
        </w:tc>
      </w:tr>
      <w:tr w14:paraId="37C5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1C91BD6C">
            <w:pPr>
              <w:keepNext w:val="0"/>
              <w:keepLines w:val="0"/>
              <w:pageBreakBefore w:val="0"/>
              <w:widowControl w:val="0"/>
              <w:numPr>
                <w:ilvl w:val="0"/>
                <w:numId w:val="1"/>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1FF22165">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p>
        </w:tc>
        <w:tc>
          <w:tcPr>
            <w:tcW w:w="4056" w:type="pct"/>
            <w:tcBorders>
              <w:tl2br w:val="nil"/>
              <w:tr2bl w:val="nil"/>
            </w:tcBorders>
            <w:shd w:val="clear" w:color="auto" w:fill="auto"/>
            <w:vAlign w:val="center"/>
          </w:tcPr>
          <w:p w14:paraId="2A5A0494">
            <w:pPr>
              <w:keepNext w:val="0"/>
              <w:keepLines w:val="0"/>
              <w:pageBreakBefore w:val="0"/>
              <w:widowControl w:val="0"/>
              <w:numPr>
                <w:ilvl w:val="0"/>
                <w:numId w:val="0"/>
              </w:numPr>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9.3</w:t>
            </w:r>
            <w:r>
              <w:rPr>
                <w:rFonts w:hint="eastAsia" w:ascii="宋体" w:hAnsi="宋体" w:eastAsia="宋体" w:cs="宋体"/>
                <w:color w:val="000000"/>
                <w:kern w:val="0"/>
                <w:sz w:val="21"/>
                <w:szCs w:val="21"/>
              </w:rPr>
              <w:t>如有在本</w:t>
            </w:r>
            <w:r>
              <w:rPr>
                <w:rFonts w:hint="eastAsia" w:ascii="宋体" w:hAnsi="宋体" w:eastAsia="宋体" w:cs="宋体"/>
                <w:color w:val="000000"/>
                <w:kern w:val="0"/>
                <w:sz w:val="21"/>
                <w:szCs w:val="21"/>
                <w:lang w:eastAsia="zh-CN"/>
              </w:rPr>
              <w:t>公开</w:t>
            </w:r>
            <w:r>
              <w:rPr>
                <w:rFonts w:hint="eastAsia" w:ascii="宋体" w:hAnsi="宋体" w:eastAsia="宋体" w:cs="宋体"/>
                <w:color w:val="000000"/>
                <w:kern w:val="0"/>
                <w:sz w:val="21"/>
                <w:szCs w:val="21"/>
                <w:lang w:val="en-US" w:eastAsia="zh-CN"/>
              </w:rPr>
              <w:t>招标文件</w:t>
            </w:r>
            <w:r>
              <w:rPr>
                <w:rFonts w:hint="eastAsia" w:ascii="宋体" w:hAnsi="宋体" w:eastAsia="宋体" w:cs="宋体"/>
                <w:color w:val="000000"/>
                <w:kern w:val="0"/>
                <w:sz w:val="21"/>
                <w:szCs w:val="21"/>
              </w:rPr>
              <w:t>中未说明的设备运行所必须的其他辅助设备及软件系统，请在</w:t>
            </w:r>
            <w:r>
              <w:rPr>
                <w:rFonts w:hint="eastAsia" w:ascii="宋体" w:hAnsi="宋体" w:eastAsia="宋体" w:cs="宋体"/>
                <w:color w:val="000000"/>
                <w:kern w:val="0"/>
                <w:sz w:val="21"/>
                <w:szCs w:val="21"/>
                <w:lang w:eastAsia="zh-CN"/>
              </w:rPr>
              <w:t>响应</w:t>
            </w:r>
            <w:r>
              <w:rPr>
                <w:rFonts w:hint="eastAsia" w:ascii="宋体" w:hAnsi="宋体" w:eastAsia="宋体" w:cs="宋体"/>
                <w:color w:val="000000"/>
                <w:kern w:val="0"/>
                <w:sz w:val="21"/>
                <w:szCs w:val="21"/>
              </w:rPr>
              <w:t>文件中提供详细说明及相关报价。</w:t>
            </w:r>
          </w:p>
        </w:tc>
      </w:tr>
      <w:tr w14:paraId="248D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7068BC6D">
            <w:pPr>
              <w:keepNext w:val="0"/>
              <w:keepLines w:val="0"/>
              <w:pageBreakBefore w:val="0"/>
              <w:widowControl w:val="0"/>
              <w:numPr>
                <w:ilvl w:val="0"/>
                <w:numId w:val="1"/>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17C9B65F">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p>
        </w:tc>
        <w:tc>
          <w:tcPr>
            <w:tcW w:w="4056" w:type="pct"/>
            <w:tcBorders>
              <w:tl2br w:val="nil"/>
              <w:tr2bl w:val="nil"/>
            </w:tcBorders>
            <w:shd w:val="clear" w:color="auto" w:fill="auto"/>
            <w:vAlign w:val="center"/>
          </w:tcPr>
          <w:p w14:paraId="670038B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9.4</w:t>
            </w:r>
            <w:r>
              <w:rPr>
                <w:rFonts w:hint="eastAsia" w:ascii="宋体" w:hAnsi="宋体" w:eastAsia="宋体" w:cs="宋体"/>
                <w:color w:val="000000"/>
                <w:sz w:val="21"/>
                <w:szCs w:val="21"/>
                <w:highlight w:val="none"/>
                <w:lang w:eastAsia="zh-CN"/>
              </w:rPr>
              <w:t>投标人在投标及成交后，发生侵犯专利权的行为时，其侵权责任与委托人无关，应由投标人承担相应的责任，并不得影响委托人的利益。</w:t>
            </w:r>
          </w:p>
        </w:tc>
      </w:tr>
      <w:tr w14:paraId="4DFD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auto" w:fill="auto"/>
            <w:vAlign w:val="center"/>
          </w:tcPr>
          <w:p w14:paraId="51705757">
            <w:pPr>
              <w:keepNext w:val="0"/>
              <w:keepLines w:val="0"/>
              <w:pageBreakBefore w:val="0"/>
              <w:widowControl w:val="0"/>
              <w:numPr>
                <w:ilvl w:val="-1"/>
                <w:numId w:val="0"/>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8</w:t>
            </w:r>
          </w:p>
        </w:tc>
        <w:tc>
          <w:tcPr>
            <w:tcW w:w="681" w:type="pct"/>
            <w:tcBorders>
              <w:tl2br w:val="nil"/>
              <w:tr2bl w:val="nil"/>
            </w:tcBorders>
            <w:shd w:val="clear" w:color="auto" w:fill="auto"/>
            <w:vAlign w:val="center"/>
          </w:tcPr>
          <w:p w14:paraId="7E12C9BB">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售后服务</w:t>
            </w:r>
          </w:p>
        </w:tc>
        <w:tc>
          <w:tcPr>
            <w:tcW w:w="4056" w:type="pct"/>
            <w:tcBorders>
              <w:tl2br w:val="nil"/>
              <w:tr2bl w:val="nil"/>
            </w:tcBorders>
            <w:shd w:val="clear" w:color="auto" w:fill="auto"/>
            <w:vAlign w:val="center"/>
          </w:tcPr>
          <w:p w14:paraId="2D4AE17A">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1</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要严格按照</w:t>
            </w:r>
            <w:r>
              <w:rPr>
                <w:rFonts w:hint="eastAsia" w:ascii="宋体" w:hAnsi="宋体" w:eastAsia="宋体" w:cs="宋体"/>
                <w:color w:val="000000"/>
                <w:sz w:val="21"/>
                <w:szCs w:val="21"/>
                <w:highlight w:val="none"/>
                <w:lang w:val="en-US" w:eastAsia="zh-CN"/>
              </w:rPr>
              <w:t>甲方</w:t>
            </w:r>
            <w:r>
              <w:rPr>
                <w:rFonts w:hint="eastAsia" w:ascii="宋体" w:hAnsi="宋体" w:eastAsia="宋体" w:cs="宋体"/>
                <w:color w:val="000000"/>
                <w:sz w:val="21"/>
                <w:szCs w:val="21"/>
                <w:highlight w:val="none"/>
                <w:lang w:eastAsia="zh-CN"/>
              </w:rPr>
              <w:t>要求提供售后服务，建立专门的售后服务小组，并配备相应的专业技术人员和设施设备。</w:t>
            </w:r>
          </w:p>
          <w:p w14:paraId="0E5F7AB2">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 xml:space="preserve"> 在质保期内必须为最终用户提供全天候的技术服务支持，负责解答用户在产品使用中遇到的问题，并及时提出解决问题的建议和操作方法。技术服务热线支持应是中文服务。</w:t>
            </w:r>
          </w:p>
          <w:p w14:paraId="0CAA423C">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 xml:space="preserve"> 所投的产品在质量保证期内使用发生故障时，</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在接到</w:t>
            </w:r>
            <w:r>
              <w:rPr>
                <w:rFonts w:hint="eastAsia" w:ascii="宋体" w:hAnsi="宋体" w:eastAsia="宋体" w:cs="宋体"/>
                <w:color w:val="000000"/>
                <w:sz w:val="21"/>
                <w:szCs w:val="21"/>
                <w:highlight w:val="none"/>
                <w:lang w:val="en-US" w:eastAsia="zh-CN"/>
              </w:rPr>
              <w:t>甲方</w:t>
            </w:r>
            <w:r>
              <w:rPr>
                <w:rFonts w:hint="eastAsia" w:ascii="宋体" w:hAnsi="宋体" w:eastAsia="宋体" w:cs="宋体"/>
                <w:color w:val="000000"/>
                <w:sz w:val="21"/>
                <w:szCs w:val="21"/>
                <w:highlight w:val="none"/>
                <w:lang w:eastAsia="zh-CN"/>
              </w:rPr>
              <w:t>故障通知后应及时响应（</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小时响应，24小时内解决问题），不得影响正常使用（如果不能及时解决，应及时提供备件替代直至问题解决），所发生的一切费用由</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承担。</w:t>
            </w:r>
          </w:p>
          <w:p w14:paraId="435C3C50">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CN"/>
              </w:rPr>
              <w:t>售后服务人员必须树立让用户满意是检验服务工作的最终标准的服务理念，要竭尽全力为用户服务。在服务过程中，积极、热情、耐心地解答用户提出的各种问题，认真传授维修保养常识。</w:t>
            </w:r>
          </w:p>
        </w:tc>
      </w:tr>
      <w:tr w14:paraId="4C6A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auto" w:fill="auto"/>
            <w:vAlign w:val="center"/>
          </w:tcPr>
          <w:p w14:paraId="7CA635B4">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9</w:t>
            </w:r>
          </w:p>
        </w:tc>
        <w:tc>
          <w:tcPr>
            <w:tcW w:w="681" w:type="pct"/>
            <w:tcBorders>
              <w:tl2br w:val="nil"/>
              <w:tr2bl w:val="nil"/>
            </w:tcBorders>
            <w:shd w:val="clear" w:color="auto" w:fill="auto"/>
            <w:vAlign w:val="center"/>
          </w:tcPr>
          <w:p w14:paraId="47D9AFF5">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保密</w:t>
            </w:r>
          </w:p>
        </w:tc>
        <w:tc>
          <w:tcPr>
            <w:tcW w:w="4056" w:type="pct"/>
            <w:tcBorders>
              <w:tl2br w:val="nil"/>
              <w:tr2bl w:val="nil"/>
            </w:tcBorders>
            <w:shd w:val="clear" w:color="auto" w:fill="auto"/>
            <w:vAlign w:val="center"/>
          </w:tcPr>
          <w:p w14:paraId="67AB8C4C">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乙方有权依据合同约定和项目需要，向甲方了解有关情况，调阅有关资料等，甲方应予积极配合。</w:t>
            </w:r>
          </w:p>
          <w:p w14:paraId="2B065A34">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3.2</w:t>
            </w:r>
            <w:r>
              <w:rPr>
                <w:rFonts w:hint="eastAsia" w:ascii="宋体" w:hAnsi="宋体" w:eastAsia="宋体" w:cs="宋体"/>
                <w:color w:val="000000"/>
                <w:kern w:val="0"/>
                <w:sz w:val="21"/>
                <w:szCs w:val="21"/>
              </w:rPr>
              <w:t>乙方有义务妥善保管和保护由甲方提供的前款信息和资料等，未经甲方书面同意，乙方不得复制、记录或以其他方式泄露所了解的甲方的秘密。</w:t>
            </w:r>
          </w:p>
          <w:p w14:paraId="0DD9EA11">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B51AFD9">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13.4</w:t>
            </w:r>
            <w:r>
              <w:rPr>
                <w:rFonts w:hint="eastAsia" w:ascii="宋体" w:hAnsi="宋体" w:eastAsia="宋体" w:cs="宋体"/>
                <w:color w:val="000000"/>
                <w:kern w:val="0"/>
                <w:sz w:val="21"/>
                <w:szCs w:val="21"/>
              </w:rPr>
              <w:t>双方约定，</w:t>
            </w:r>
            <w:r>
              <w:rPr>
                <w:rFonts w:hint="eastAsia" w:ascii="宋体" w:hAnsi="宋体" w:eastAsia="宋体" w:cs="宋体"/>
                <w:color w:val="000000"/>
                <w:kern w:val="0"/>
                <w:sz w:val="21"/>
                <w:szCs w:val="21"/>
                <w:lang w:eastAsia="zh-CN"/>
              </w:rPr>
              <w:t>根据国家保密相关法律签订保密协议</w:t>
            </w:r>
            <w:r>
              <w:rPr>
                <w:rFonts w:hint="eastAsia" w:ascii="宋体" w:hAnsi="宋体" w:eastAsia="宋体" w:cs="宋体"/>
                <w:color w:val="000000"/>
                <w:kern w:val="0"/>
                <w:sz w:val="21"/>
                <w:szCs w:val="21"/>
              </w:rPr>
              <w:t>；如一方违反本条约定致使另一方遭受损失的，守约方有权要求违约方承担全部的损失。</w:t>
            </w:r>
          </w:p>
        </w:tc>
      </w:tr>
      <w:tr w14:paraId="121C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auto" w:fill="auto"/>
            <w:vAlign w:val="center"/>
          </w:tcPr>
          <w:p w14:paraId="60047854">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1</w:t>
            </w:r>
            <w:r>
              <w:rPr>
                <w:rFonts w:hint="eastAsia" w:ascii="宋体" w:hAnsi="宋体" w:eastAsia="宋体" w:cs="宋体"/>
                <w:b w:val="0"/>
                <w:bCs/>
                <w:color w:val="auto"/>
                <w:sz w:val="21"/>
                <w:szCs w:val="21"/>
                <w:lang w:val="en-US" w:eastAsia="zh-CN"/>
              </w:rPr>
              <w:t>0</w:t>
            </w:r>
          </w:p>
        </w:tc>
        <w:tc>
          <w:tcPr>
            <w:tcW w:w="681" w:type="pct"/>
            <w:tcBorders>
              <w:tl2br w:val="nil"/>
              <w:tr2bl w:val="nil"/>
            </w:tcBorders>
            <w:shd w:val="clear" w:color="auto" w:fill="auto"/>
            <w:vAlign w:val="center"/>
          </w:tcPr>
          <w:p w14:paraId="04B290D6">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廉政要求</w:t>
            </w:r>
          </w:p>
        </w:tc>
        <w:tc>
          <w:tcPr>
            <w:tcW w:w="4056" w:type="pct"/>
            <w:tcBorders>
              <w:tl2br w:val="nil"/>
              <w:tr2bl w:val="nil"/>
            </w:tcBorders>
            <w:shd w:val="clear" w:color="auto" w:fill="auto"/>
            <w:vAlign w:val="center"/>
          </w:tcPr>
          <w:p w14:paraId="45FE958F">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投标人</w:t>
            </w:r>
            <w:r>
              <w:rPr>
                <w:rFonts w:hint="eastAsia" w:ascii="宋体" w:hAnsi="宋体" w:eastAsia="宋体" w:cs="宋体"/>
                <w:color w:val="000000"/>
                <w:kern w:val="0"/>
                <w:sz w:val="21"/>
                <w:szCs w:val="21"/>
              </w:rPr>
              <w:t>自觉遵守廉政要求，承诺在项目</w:t>
            </w:r>
            <w:r>
              <w:rPr>
                <w:rFonts w:hint="eastAsia" w:ascii="宋体" w:hAnsi="宋体" w:eastAsia="宋体" w:cs="宋体"/>
                <w:color w:val="000000"/>
                <w:kern w:val="0"/>
                <w:sz w:val="21"/>
                <w:szCs w:val="21"/>
                <w:lang w:val="en-US" w:eastAsia="zh-CN"/>
              </w:rPr>
              <w:t>政府采购过程</w:t>
            </w:r>
            <w:r>
              <w:rPr>
                <w:rFonts w:hint="eastAsia" w:ascii="宋体" w:hAnsi="宋体" w:eastAsia="宋体" w:cs="宋体"/>
                <w:color w:val="000000"/>
                <w:kern w:val="0"/>
                <w:sz w:val="21"/>
                <w:szCs w:val="21"/>
              </w:rPr>
              <w:t>及实施阶段，遵守法律、法规及</w:t>
            </w:r>
            <w:r>
              <w:rPr>
                <w:rFonts w:hint="eastAsia" w:ascii="宋体" w:hAnsi="宋体" w:eastAsia="宋体" w:cs="宋体"/>
                <w:color w:val="000000"/>
                <w:kern w:val="0"/>
                <w:sz w:val="21"/>
                <w:szCs w:val="21"/>
                <w:lang w:eastAsia="zh-CN"/>
              </w:rPr>
              <w:t>委托人</w:t>
            </w:r>
            <w:r>
              <w:rPr>
                <w:rFonts w:hint="eastAsia" w:ascii="宋体" w:hAnsi="宋体" w:eastAsia="宋体" w:cs="宋体"/>
                <w:color w:val="000000"/>
                <w:kern w:val="0"/>
                <w:sz w:val="21"/>
                <w:szCs w:val="21"/>
              </w:rPr>
              <w:t>相关规定，自觉接受监督。如有违法、违规行为，应承担相应的法律责任，</w:t>
            </w:r>
            <w:r>
              <w:rPr>
                <w:rFonts w:hint="eastAsia" w:ascii="宋体" w:hAnsi="宋体" w:eastAsia="宋体" w:cs="宋体"/>
                <w:color w:val="000000"/>
                <w:kern w:val="0"/>
                <w:sz w:val="21"/>
                <w:szCs w:val="21"/>
                <w:lang w:eastAsia="zh-CN"/>
              </w:rPr>
              <w:t>委托人</w:t>
            </w:r>
            <w:r>
              <w:rPr>
                <w:rFonts w:hint="eastAsia" w:ascii="宋体" w:hAnsi="宋体" w:eastAsia="宋体" w:cs="宋体"/>
                <w:color w:val="000000"/>
                <w:kern w:val="0"/>
                <w:sz w:val="21"/>
                <w:szCs w:val="21"/>
              </w:rPr>
              <w:t>有权不予签订合同或解除合同。</w:t>
            </w:r>
          </w:p>
        </w:tc>
      </w:tr>
    </w:tbl>
    <w:p w14:paraId="2A819ACE">
      <w:pPr>
        <w:rPr>
          <w:rFonts w:hint="eastAsia" w:ascii="宋体" w:hAnsi="宋体" w:cs="宋体"/>
          <w:b/>
          <w:bCs/>
          <w:szCs w:val="21"/>
          <w:lang w:val="en-US" w:eastAsia="zh-CN"/>
        </w:rPr>
      </w:pPr>
    </w:p>
    <w:p w14:paraId="10DB4E14">
      <w:pPr>
        <w:spacing w:line="440" w:lineRule="exact"/>
        <w:ind w:firstLine="422" w:firstLineChars="200"/>
        <w:rPr>
          <w:b/>
          <w:bCs/>
        </w:rPr>
      </w:pPr>
      <w:r>
        <w:rPr>
          <w:rFonts w:hint="eastAsia"/>
          <w:b/>
          <w:bCs/>
          <w:lang w:val="en-US" w:eastAsia="zh-CN"/>
        </w:rPr>
        <w:t>九</w:t>
      </w:r>
      <w:r>
        <w:rPr>
          <w:rFonts w:hint="eastAsia"/>
          <w:b/>
          <w:bCs/>
        </w:rPr>
        <w:t>、其他要求</w:t>
      </w:r>
    </w:p>
    <w:p w14:paraId="484F2238">
      <w:pPr>
        <w:spacing w:line="440" w:lineRule="exact"/>
        <w:ind w:left="420" w:leftChars="200" w:firstLine="420" w:firstLineChars="200"/>
        <w:rPr>
          <w:rFonts w:hint="eastAsia" w:ascii="宋体" w:hAnsi="宋体" w:cs="宋体"/>
          <w:color w:val="000000"/>
          <w:szCs w:val="21"/>
        </w:rPr>
      </w:pPr>
      <w:r>
        <w:rPr>
          <w:rFonts w:hint="eastAsia" w:ascii="宋体" w:hAnsi="宋体" w:cs="宋体"/>
          <w:color w:val="000000"/>
          <w:szCs w:val="21"/>
          <w:lang w:eastAsia="zh-CN"/>
        </w:rPr>
        <w:t>1.</w:t>
      </w:r>
      <w:r>
        <w:rPr>
          <w:rFonts w:hint="eastAsia" w:ascii="宋体" w:hAnsi="宋体" w:cs="宋体"/>
          <w:color w:val="000000"/>
          <w:szCs w:val="21"/>
        </w:rPr>
        <w:t>供应商应保证在中华人民共和国境内使用其提供的产品、技术、服务或其任何一部分时，不会产生因第三方提出侵犯其专利权、商标权或</w:t>
      </w:r>
      <w:r>
        <w:rPr>
          <w:rFonts w:hint="eastAsia" w:ascii="宋体" w:hAnsi="宋体" w:cs="宋体"/>
          <w:color w:val="000000"/>
          <w:szCs w:val="21"/>
          <w:lang w:eastAsia="zh-CN"/>
        </w:rPr>
        <w:t>其他</w:t>
      </w:r>
      <w:r>
        <w:rPr>
          <w:rFonts w:hint="eastAsia" w:ascii="宋体" w:hAnsi="宋体" w:cs="宋体"/>
          <w:color w:val="000000"/>
          <w:szCs w:val="21"/>
        </w:rPr>
        <w:t>知识产权而引起的法律和经济纠纷。如供应商不拥有相应的知识产权，则在报价中必须包括合法获取该知识产权的相关费用。如采购人受到来自第三方的侵权诉讼或索赔时，供应商应主动承担相应责任</w:t>
      </w:r>
      <w:r>
        <w:rPr>
          <w:rFonts w:hint="eastAsia" w:ascii="宋体" w:hAnsi="宋体" w:cs="宋体"/>
          <w:color w:val="000000"/>
          <w:szCs w:val="21"/>
          <w:lang w:eastAsia="zh-CN"/>
        </w:rPr>
        <w:t>，必</w:t>
      </w:r>
      <w:r>
        <w:rPr>
          <w:rFonts w:hint="eastAsia" w:ascii="宋体" w:hAnsi="宋体" w:cs="宋体"/>
          <w:color w:val="000000"/>
          <w:szCs w:val="21"/>
        </w:rPr>
        <w:t xml:space="preserve">须无条件承担与此相关的所有法律责任和经济赔偿。 </w:t>
      </w:r>
    </w:p>
    <w:p w14:paraId="1EE086BA">
      <w:pPr>
        <w:spacing w:line="440" w:lineRule="exact"/>
        <w:ind w:left="420" w:leftChars="200" w:firstLine="420" w:firstLineChars="200"/>
        <w:rPr>
          <w:rFonts w:hint="eastAsia" w:ascii="宋体" w:hAnsi="宋体" w:cs="宋体"/>
          <w:color w:val="000000"/>
          <w:szCs w:val="21"/>
        </w:rPr>
      </w:pPr>
      <w:r>
        <w:rPr>
          <w:rFonts w:hint="eastAsia" w:ascii="宋体" w:hAnsi="宋体" w:cs="宋体"/>
          <w:color w:val="000000"/>
          <w:szCs w:val="21"/>
          <w:lang w:eastAsia="zh-CN"/>
        </w:rPr>
        <w:t>2.</w:t>
      </w:r>
      <w:r>
        <w:rPr>
          <w:rFonts w:hint="eastAsia" w:ascii="宋体" w:hAnsi="宋体" w:cs="宋体"/>
          <w:color w:val="000000"/>
          <w:szCs w:val="21"/>
        </w:rPr>
        <w:t>本项目所涉及的所有服务、管理、运营、交通、税费、保险、人员及合同实施过程中不可预见费用等一切相关费用由供应商全部承担，采购人不再支付任何费用。</w:t>
      </w:r>
    </w:p>
    <w:p w14:paraId="269D52E2">
      <w:pPr>
        <w:spacing w:line="440" w:lineRule="exact"/>
        <w:ind w:left="420" w:leftChars="200" w:firstLine="422" w:firstLineChars="200"/>
        <w:rPr>
          <w:rFonts w:hint="eastAsia" w:ascii="宋体" w:hAnsi="宋体" w:cs="宋体"/>
          <w:b/>
          <w:bCs/>
          <w:color w:val="000000"/>
          <w:szCs w:val="21"/>
        </w:rPr>
      </w:pPr>
      <w:r>
        <w:rPr>
          <w:rFonts w:hint="eastAsia" w:ascii="宋体" w:hAnsi="宋体" w:cs="宋体"/>
          <w:b/>
          <w:bCs/>
          <w:color w:val="000000"/>
          <w:szCs w:val="21"/>
        </w:rPr>
        <w:t>对于上述项目要求，供应商应在响应文件中进行回应，作出承诺及说明。</w:t>
      </w:r>
    </w:p>
    <w:p w14:paraId="10EF3BE2"/>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小小fu" w:date="2026-08-25T17:32:34Z" w:initials="">
    <w:p w14:paraId="17B0DEE3">
      <w:pPr>
        <w:pStyle w:val="3"/>
        <w:rPr>
          <w:rFonts w:hint="eastAsia" w:eastAsia="宋体"/>
          <w:lang w:eastAsia="zh-CN"/>
        </w:rPr>
      </w:pPr>
      <w:r>
        <w:rPr>
          <w:rFonts w:hint="eastAsia"/>
          <w:lang w:eastAsia="zh-CN"/>
        </w:rPr>
        <w:t>保函形式质保</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7B0DEE3"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79D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995483">
                          <w:pPr>
                            <w:pStyle w:val="4"/>
                          </w:pPr>
                          <w:r>
                            <w:fldChar w:fldCharType="begin"/>
                          </w:r>
                          <w:r>
                            <w:instrText xml:space="preserve"> PAGE  \* MERGEFORMAT </w:instrText>
                          </w:r>
                          <w:r>
                            <w:fldChar w:fldCharType="separate"/>
                          </w:r>
                          <w:r>
                            <w:t>3</w:t>
                          </w:r>
                          <w:r>
                            <w:fldChar w:fldCharType="end"/>
                          </w:r>
                        </w:p>
                      </w:txbxContent>
                    </wps:txbx>
                    <wps:bodyPr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IpI2RjXAQAAsgMAAA4AAAAAAAAAAQAgAAAA&#10;HgEAAGRycy9lMm9Eb2MueG1sUEsFBgAAAAAGAAYAWQEAAGcFAAAAAA==&#10;">
              <v:fill on="f" focussize="0,0"/>
              <v:stroke on="f"/>
              <v:imagedata o:title=""/>
              <o:lock v:ext="edit" aspectratio="f"/>
              <v:textbox inset="0mm,0mm,0mm,0mm" style="mso-fit-shape-to-text:t;">
                <w:txbxContent>
                  <w:p w14:paraId="27995483">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D3B30"/>
    <w:multiLevelType w:val="singleLevel"/>
    <w:tmpl w:val="86AD3B30"/>
    <w:lvl w:ilvl="0" w:tentative="0">
      <w:start w:val="1"/>
      <w:numFmt w:val="decimal"/>
      <w:lvlText w:val="%1."/>
      <w:lvlJc w:val="left"/>
      <w:pPr>
        <w:tabs>
          <w:tab w:val="left" w:pos="312"/>
        </w:tabs>
      </w:pPr>
    </w:lvl>
  </w:abstractNum>
  <w:abstractNum w:abstractNumId="1">
    <w:nsid w:val="00000009"/>
    <w:multiLevelType w:val="multilevel"/>
    <w:tmpl w:val="00000009"/>
    <w:lvl w:ilvl="0" w:tentative="0">
      <w:start w:val="1"/>
      <w:numFmt w:val="decimal"/>
      <w:lvlText w:val="%1"/>
      <w:lvlJc w:val="center"/>
      <w:pPr>
        <w:ind w:left="420" w:hanging="420"/>
      </w:pPr>
      <w:rPr>
        <w:rFonts w:hint="eastAsia" w:ascii="宋体" w:hAnsi="宋体" w:eastAsia="宋体"/>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小fu">
    <w15:presenceInfo w15:providerId="WPS Office" w15:userId="32311368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3006C2"/>
    <w:rsid w:val="5A444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footer"/>
    <w:basedOn w:val="1"/>
    <w:qFormat/>
    <w:uiPriority w:val="99"/>
    <w:pPr>
      <w:tabs>
        <w:tab w:val="center" w:pos="4153"/>
        <w:tab w:val="right" w:pos="8306"/>
      </w:tabs>
      <w:snapToGrid w:val="0"/>
      <w:jc w:val="left"/>
    </w:pPr>
    <w:rPr>
      <w:sz w:val="18"/>
      <w:szCs w:val="18"/>
    </w:rPr>
  </w:style>
  <w:style w:type="paragraph" w:styleId="7">
    <w:name w:val="List Paragraph"/>
    <w:basedOn w:val="1"/>
    <w:next w:val="1"/>
    <w:qFormat/>
    <w:uiPriority w:val="0"/>
    <w:pPr>
      <w:ind w:firstLine="420" w:firstLineChars="200"/>
    </w:pPr>
    <w:rPr>
      <w:rFonts w:ascii="Calibri" w:hAnsi="Calibri"/>
      <w:szCs w:val="22"/>
    </w:rPr>
  </w:style>
  <w:style w:type="paragraph" w:customStyle="1" w:styleId="8">
    <w:name w:val="表格居中"/>
    <w:basedOn w:val="1"/>
    <w:qFormat/>
    <w:uiPriority w:val="0"/>
    <w:pPr>
      <w:widowControl/>
      <w:overflowPunct w:val="0"/>
      <w:autoSpaceDE w:val="0"/>
      <w:autoSpaceDN w:val="0"/>
      <w:adjustRightInd w:val="0"/>
      <w:spacing w:line="240" w:lineRule="auto"/>
      <w:ind w:firstLine="0" w:firstLineChars="0"/>
      <w:jc w:val="center"/>
      <w:textAlignment w:val="baseline"/>
    </w:pPr>
    <w:rPr>
      <w:rFonts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6629</Words>
  <Characters>7239</Characters>
  <Lines>0</Lines>
  <Paragraphs>0</Paragraphs>
  <TotalTime>0</TotalTime>
  <ScaleCrop>false</ScaleCrop>
  <LinksUpToDate>false</LinksUpToDate>
  <CharactersWithSpaces>7338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2026-09-02T03:27:00Z</dcterms:created>
  <dc:creator>Administrator</dc:creator>
  <cp:lastModifiedBy>Administrator</cp:lastModifiedBy>
  <dcterms:modified xsi:type="dcterms:W3CDTF">2026-09-02T03:30:55Z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eyJoZGlkIjoiNTc0MWE3Y2IyZTExNjY1M2Y1NTI1NGI3MjRjYzZkZDAiLCJ1c2VySWQiOiIxMTYxNzc5NzIzIn0=</vt:lpwstr>
  </property>
  <property fmtid="{D5CDD505-2E9C-101B-9397-08002B2CF9AE}" pid="4" name="ICV">
    <vt:lpwstr>D4FBF8C2DF99428D824FAD6E445B2038_12</vt:lpwstr>
  </property>
</Properties>
</file>