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D83541">
      <w:pPr>
        <w:pStyle w:val="2"/>
        <w:keepNext w:val="0"/>
        <w:pageBreakBefore w:val="0"/>
        <w:shd w:val="clear"/>
        <w:wordWrap/>
        <w:overflowPunct/>
        <w:topLinePunct w:val="0"/>
        <w:bidi w:val="0"/>
        <w:adjustRightInd w:val="0"/>
        <w:snapToGrid w:val="0"/>
        <w:spacing w:before="156" w:beforeLines="50" w:line="360" w:lineRule="auto"/>
        <w:rPr>
          <w:rFonts w:hint="eastAsia"/>
          <w:highlight w:val="red"/>
        </w:rPr>
      </w:pPr>
      <w:bookmarkStart w:id="0" w:name="_Toc256000037"/>
      <w:r>
        <w:rPr>
          <w:rFonts w:hint="eastAsia" w:ascii="黑体" w:hAnsi="华文中宋" w:eastAsia="黑体"/>
          <w:sz w:val="32"/>
          <w:szCs w:val="32"/>
          <w:highlight w:val="none"/>
          <w:shd w:val="clear" w:color="auto" w:fill="auto"/>
        </w:rPr>
        <w:t>采购需求</w:t>
      </w:r>
      <w:bookmarkEnd w:id="0"/>
    </w:p>
    <w:p w14:paraId="6E84BA5E">
      <w:pPr>
        <w:pStyle w:val="13"/>
        <w:keepNext/>
        <w:keepLines/>
        <w:pageBreakBefore w:val="0"/>
        <w:widowControl w:val="0"/>
        <w:wordWrap/>
        <w:overflowPunct/>
        <w:topLinePunct w:val="0"/>
        <w:bidi w:val="0"/>
        <w:adjustRightInd w:val="0"/>
        <w:snapToGrid w:val="0"/>
        <w:spacing w:before="156" w:beforeLines="50" w:line="360" w:lineRule="auto"/>
        <w:jc w:val="center"/>
        <w:outlineLvl w:val="1"/>
        <w:rPr>
          <w:rStyle w:val="12"/>
          <w:rFonts w:hint="eastAsia" w:ascii="黑体" w:hAnsi="黑体" w:eastAsia="黑体" w:cs="Times New Roman"/>
          <w:b/>
          <w:bCs/>
          <w:color w:val="auto"/>
          <w:kern w:val="2"/>
          <w:sz w:val="28"/>
          <w:szCs w:val="28"/>
          <w:highlight w:val="none"/>
          <w:lang w:val="en-US" w:eastAsia="zh-CN" w:bidi="ar-SA"/>
        </w:rPr>
      </w:pPr>
      <w:bookmarkStart w:id="1" w:name="_Toc29913942"/>
      <w:bookmarkStart w:id="2" w:name="_Toc26524"/>
      <w:bookmarkStart w:id="3" w:name="_Toc16505"/>
      <w:bookmarkStart w:id="4" w:name="_Toc31421"/>
      <w:bookmarkStart w:id="5" w:name="_Toc19306"/>
      <w:bookmarkStart w:id="6" w:name="_Toc20858"/>
      <w:bookmarkStart w:id="7" w:name="_Toc9803"/>
      <w:bookmarkStart w:id="8" w:name="_Toc17709"/>
      <w:bookmarkStart w:id="9" w:name="_Toc256000038"/>
      <w:bookmarkStart w:id="10" w:name="_Toc11626"/>
      <w:r>
        <w:rPr>
          <w:rStyle w:val="12"/>
          <w:rFonts w:hint="eastAsia" w:ascii="黑体" w:hAnsi="黑体" w:eastAsia="黑体" w:cs="Times New Roman"/>
          <w:b/>
          <w:bCs/>
          <w:color w:val="auto"/>
          <w:kern w:val="2"/>
          <w:sz w:val="28"/>
          <w:szCs w:val="28"/>
          <w:highlight w:val="none"/>
          <w:lang w:val="en-US" w:eastAsia="zh-CN" w:bidi="ar-SA"/>
        </w:rPr>
        <w:t>第一节 采购清单一览表</w:t>
      </w:r>
      <w:bookmarkEnd w:id="1"/>
      <w:bookmarkEnd w:id="2"/>
      <w:bookmarkEnd w:id="3"/>
      <w:bookmarkEnd w:id="4"/>
      <w:bookmarkEnd w:id="5"/>
      <w:bookmarkEnd w:id="6"/>
      <w:bookmarkEnd w:id="7"/>
      <w:bookmarkEnd w:id="8"/>
      <w:bookmarkEnd w:id="9"/>
      <w:bookmarkEnd w:id="10"/>
    </w:p>
    <w:tbl>
      <w:tblPr>
        <w:tblStyle w:val="11"/>
        <w:tblW w:w="825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540"/>
        <w:gridCol w:w="2736"/>
        <w:gridCol w:w="551"/>
        <w:gridCol w:w="561"/>
        <w:gridCol w:w="929"/>
        <w:gridCol w:w="954"/>
        <w:gridCol w:w="976"/>
      </w:tblGrid>
      <w:tr w14:paraId="3233EA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08" w:type="dxa"/>
            <w:tcBorders>
              <w:tl2br w:val="nil"/>
              <w:tr2bl w:val="nil"/>
            </w:tcBorders>
            <w:noWrap w:val="0"/>
            <w:vAlign w:val="center"/>
          </w:tcPr>
          <w:p w14:paraId="3DB22743">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bookmarkStart w:id="11" w:name="_Toc29913943"/>
            <w:r>
              <w:rPr>
                <w:rStyle w:val="12"/>
                <w:rFonts w:hint="default" w:ascii="Times New Roman" w:hAnsi="Times New Roman" w:eastAsia="宋体" w:cs="Times New Roman"/>
                <w:b/>
                <w:color w:val="auto"/>
                <w:kern w:val="0"/>
                <w:sz w:val="21"/>
                <w:szCs w:val="21"/>
                <w:highlight w:val="none"/>
                <w:lang w:val="en-US" w:eastAsia="zh-CN" w:bidi="ar-SA"/>
              </w:rPr>
              <w:t>包名称</w:t>
            </w:r>
          </w:p>
        </w:tc>
        <w:tc>
          <w:tcPr>
            <w:tcW w:w="540" w:type="dxa"/>
            <w:tcBorders>
              <w:tl2br w:val="nil"/>
              <w:tr2bl w:val="nil"/>
            </w:tcBorders>
            <w:noWrap w:val="0"/>
            <w:vAlign w:val="center"/>
          </w:tcPr>
          <w:p w14:paraId="2397F410">
            <w:pPr>
              <w:pStyle w:val="14"/>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cs="Times New Roman"/>
                <w:b/>
                <w:bCs/>
                <w:color w:val="auto"/>
                <w:kern w:val="2"/>
                <w:sz w:val="21"/>
                <w:szCs w:val="21"/>
                <w:highlight w:val="none"/>
                <w:lang w:val="en-US" w:eastAsia="zh-CN" w:bidi="ar-SA"/>
              </w:rPr>
              <w:t>品目</w:t>
            </w:r>
          </w:p>
        </w:tc>
        <w:tc>
          <w:tcPr>
            <w:tcW w:w="2736" w:type="dxa"/>
            <w:tcBorders>
              <w:tl2br w:val="nil"/>
              <w:tr2bl w:val="nil"/>
            </w:tcBorders>
            <w:noWrap w:val="0"/>
            <w:vAlign w:val="center"/>
          </w:tcPr>
          <w:p w14:paraId="61718E48">
            <w:pPr>
              <w:pStyle w:val="14"/>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bCs/>
                <w:color w:val="auto"/>
                <w:kern w:val="2"/>
                <w:sz w:val="21"/>
                <w:szCs w:val="21"/>
                <w:highlight w:val="none"/>
                <w:lang w:val="en-US" w:eastAsia="zh-CN" w:bidi="ar-SA"/>
              </w:rPr>
            </w:pPr>
            <w:r>
              <w:rPr>
                <w:rStyle w:val="12"/>
                <w:rFonts w:hint="default" w:ascii="Times New Roman" w:hAnsi="Times New Roman" w:eastAsia="宋体" w:cs="Times New Roman"/>
                <w:b/>
                <w:bCs/>
                <w:color w:val="auto"/>
                <w:kern w:val="2"/>
                <w:sz w:val="21"/>
                <w:szCs w:val="21"/>
                <w:highlight w:val="none"/>
                <w:lang w:val="en-US" w:eastAsia="zh-CN" w:bidi="ar-SA"/>
              </w:rPr>
              <w:t>分项项目名称</w:t>
            </w:r>
          </w:p>
          <w:p w14:paraId="3948D58E">
            <w:pPr>
              <w:pStyle w:val="14"/>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bCs/>
                <w:color w:val="auto"/>
                <w:kern w:val="2"/>
                <w:sz w:val="21"/>
                <w:szCs w:val="21"/>
                <w:highlight w:val="none"/>
                <w:lang w:val="en-US" w:eastAsia="zh-CN" w:bidi="ar-SA"/>
              </w:rPr>
            </w:pPr>
            <w:r>
              <w:rPr>
                <w:rStyle w:val="12"/>
                <w:rFonts w:hint="default" w:ascii="Times New Roman" w:hAnsi="Times New Roman" w:eastAsia="宋体" w:cs="Times New Roman"/>
                <w:b/>
                <w:bCs/>
                <w:color w:val="auto"/>
                <w:kern w:val="2"/>
                <w:sz w:val="21"/>
                <w:szCs w:val="21"/>
                <w:highlight w:val="none"/>
                <w:lang w:val="en-US" w:eastAsia="zh-CN" w:bidi="ar-SA"/>
              </w:rPr>
              <w:t>（条目号/品目名称）</w:t>
            </w:r>
          </w:p>
        </w:tc>
        <w:tc>
          <w:tcPr>
            <w:tcW w:w="551" w:type="dxa"/>
            <w:tcBorders>
              <w:tl2br w:val="nil"/>
              <w:tr2bl w:val="nil"/>
            </w:tcBorders>
            <w:noWrap w:val="0"/>
            <w:vAlign w:val="center"/>
          </w:tcPr>
          <w:p w14:paraId="322C32DC">
            <w:pPr>
              <w:pStyle w:val="14"/>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bCs/>
                <w:color w:val="auto"/>
                <w:kern w:val="2"/>
                <w:sz w:val="21"/>
                <w:szCs w:val="21"/>
                <w:highlight w:val="none"/>
                <w:lang w:val="en-US" w:eastAsia="zh-CN" w:bidi="ar-SA"/>
              </w:rPr>
            </w:pPr>
            <w:r>
              <w:rPr>
                <w:rStyle w:val="12"/>
                <w:rFonts w:hint="default" w:ascii="Times New Roman" w:hAnsi="Times New Roman" w:eastAsia="宋体" w:cs="Times New Roman"/>
                <w:b/>
                <w:bCs/>
                <w:color w:val="auto"/>
                <w:kern w:val="0"/>
                <w:sz w:val="21"/>
                <w:szCs w:val="21"/>
                <w:highlight w:val="none"/>
                <w:lang w:val="en-US" w:eastAsia="zh-CN" w:bidi="ar"/>
              </w:rPr>
              <w:t>数量</w:t>
            </w:r>
          </w:p>
        </w:tc>
        <w:tc>
          <w:tcPr>
            <w:tcW w:w="561" w:type="dxa"/>
            <w:tcBorders>
              <w:tl2br w:val="nil"/>
              <w:tr2bl w:val="nil"/>
            </w:tcBorders>
            <w:noWrap w:val="0"/>
            <w:vAlign w:val="center"/>
          </w:tcPr>
          <w:p w14:paraId="64A203D7">
            <w:pPr>
              <w:pStyle w:val="14"/>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bCs/>
                <w:color w:val="auto"/>
                <w:kern w:val="2"/>
                <w:sz w:val="21"/>
                <w:szCs w:val="21"/>
                <w:highlight w:val="none"/>
                <w:lang w:val="en-US" w:eastAsia="zh-CN" w:bidi="ar-SA"/>
              </w:rPr>
            </w:pPr>
            <w:r>
              <w:rPr>
                <w:rStyle w:val="12"/>
                <w:rFonts w:hint="default" w:ascii="Times New Roman" w:hAnsi="Times New Roman" w:eastAsia="宋体" w:cs="Times New Roman"/>
                <w:b/>
                <w:bCs/>
                <w:color w:val="auto"/>
                <w:kern w:val="2"/>
                <w:sz w:val="21"/>
                <w:szCs w:val="21"/>
                <w:highlight w:val="none"/>
                <w:lang w:val="en-US" w:eastAsia="zh-CN" w:bidi="ar-SA"/>
              </w:rPr>
              <w:t>单位</w:t>
            </w:r>
          </w:p>
        </w:tc>
        <w:tc>
          <w:tcPr>
            <w:tcW w:w="929" w:type="dxa"/>
            <w:tcBorders>
              <w:tl2br w:val="nil"/>
              <w:tr2bl w:val="nil"/>
            </w:tcBorders>
            <w:noWrap w:val="0"/>
            <w:vAlign w:val="center"/>
          </w:tcPr>
          <w:p w14:paraId="2FA4996C">
            <w:pPr>
              <w:pStyle w:val="14"/>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bCs/>
                <w:color w:val="auto"/>
                <w:kern w:val="2"/>
                <w:sz w:val="21"/>
                <w:szCs w:val="21"/>
                <w:highlight w:val="none"/>
                <w:lang w:val="en-US" w:eastAsia="zh-CN" w:bidi="ar-SA"/>
              </w:rPr>
            </w:pPr>
            <w:r>
              <w:rPr>
                <w:rStyle w:val="12"/>
                <w:rFonts w:hint="eastAsia" w:ascii="宋体" w:hAnsi="宋体" w:cs="宋体"/>
                <w:b/>
                <w:bCs/>
                <w:color w:val="auto"/>
                <w:szCs w:val="21"/>
                <w:highlight w:val="none"/>
              </w:rPr>
              <w:t>是否为强制节能产品</w:t>
            </w:r>
          </w:p>
        </w:tc>
        <w:tc>
          <w:tcPr>
            <w:tcW w:w="954" w:type="dxa"/>
            <w:tcBorders>
              <w:tl2br w:val="nil"/>
              <w:tr2bl w:val="nil"/>
            </w:tcBorders>
            <w:noWrap w:val="0"/>
            <w:vAlign w:val="center"/>
          </w:tcPr>
          <w:p w14:paraId="38E13696">
            <w:pPr>
              <w:pStyle w:val="14"/>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bCs/>
                <w:color w:val="auto"/>
                <w:kern w:val="2"/>
                <w:sz w:val="21"/>
                <w:szCs w:val="21"/>
                <w:highlight w:val="none"/>
                <w:lang w:val="en-US" w:eastAsia="zh-CN" w:bidi="ar-SA"/>
              </w:rPr>
            </w:pPr>
            <w:r>
              <w:rPr>
                <w:rStyle w:val="12"/>
                <w:rFonts w:hint="default" w:ascii="Times New Roman" w:hAnsi="Times New Roman" w:eastAsia="宋体" w:cs="Times New Roman"/>
                <w:b/>
                <w:bCs/>
                <w:color w:val="auto"/>
                <w:kern w:val="2"/>
                <w:sz w:val="21"/>
                <w:szCs w:val="21"/>
                <w:highlight w:val="none"/>
                <w:lang w:val="en-US" w:eastAsia="zh-CN" w:bidi="ar-SA"/>
              </w:rPr>
              <w:t>是否接受进口设备</w:t>
            </w:r>
          </w:p>
        </w:tc>
        <w:tc>
          <w:tcPr>
            <w:tcW w:w="976" w:type="dxa"/>
            <w:tcBorders>
              <w:tl2br w:val="nil"/>
              <w:tr2bl w:val="nil"/>
            </w:tcBorders>
            <w:noWrap w:val="0"/>
            <w:vAlign w:val="center"/>
          </w:tcPr>
          <w:p w14:paraId="18A5376A">
            <w:pPr>
              <w:pStyle w:val="14"/>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bCs/>
                <w:color w:val="auto"/>
                <w:kern w:val="2"/>
                <w:sz w:val="21"/>
                <w:szCs w:val="21"/>
                <w:highlight w:val="none"/>
                <w:lang w:val="en-US" w:eastAsia="zh-CN" w:bidi="ar-SA"/>
              </w:rPr>
            </w:pPr>
            <w:r>
              <w:rPr>
                <w:rStyle w:val="12"/>
                <w:rFonts w:hint="default" w:ascii="Times New Roman" w:hAnsi="Times New Roman" w:eastAsia="宋体" w:cs="Times New Roman"/>
                <w:b/>
                <w:bCs/>
                <w:color w:val="auto"/>
                <w:kern w:val="2"/>
                <w:sz w:val="21"/>
                <w:szCs w:val="21"/>
                <w:highlight w:val="none"/>
                <w:lang w:val="en-US" w:eastAsia="zh-CN" w:bidi="ar-SA"/>
              </w:rPr>
              <w:t>总价最高限价（元）</w:t>
            </w:r>
          </w:p>
        </w:tc>
      </w:tr>
      <w:tr w14:paraId="7A3368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08" w:type="dxa"/>
            <w:vMerge w:val="restart"/>
            <w:tcBorders>
              <w:tl2br w:val="nil"/>
              <w:tr2bl w:val="nil"/>
            </w:tcBorders>
            <w:noWrap w:val="0"/>
            <w:vAlign w:val="center"/>
          </w:tcPr>
          <w:p w14:paraId="24CAD394">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r>
              <w:rPr>
                <w:rStyle w:val="12"/>
                <w:rFonts w:hint="eastAsia" w:asciiTheme="majorEastAsia" w:hAnsiTheme="majorEastAsia" w:eastAsiaTheme="majorEastAsia" w:cstheme="majorEastAsia"/>
                <w:b/>
                <w:bCs/>
                <w:color w:val="auto"/>
                <w:sz w:val="21"/>
                <w:szCs w:val="21"/>
                <w:highlight w:val="none"/>
                <w:lang w:val="en-US" w:eastAsia="zh-CN"/>
              </w:rPr>
              <w:t>株洲市二中云机房项目</w:t>
            </w:r>
          </w:p>
        </w:tc>
        <w:tc>
          <w:tcPr>
            <w:tcW w:w="540" w:type="dxa"/>
            <w:tcBorders>
              <w:tl2br w:val="nil"/>
              <w:tr2bl w:val="nil"/>
            </w:tcBorders>
            <w:noWrap w:val="0"/>
            <w:vAlign w:val="center"/>
          </w:tcPr>
          <w:p w14:paraId="27039720">
            <w:pPr>
              <w:keepNext w:val="0"/>
              <w:keepLines w:val="0"/>
              <w:widowControl/>
              <w:suppressLineNumbers w:val="0"/>
              <w:jc w:val="center"/>
              <w:textAlignment w:val="center"/>
              <w:rPr>
                <w:rStyle w:val="12"/>
                <w:rFonts w:hint="default"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2736" w:type="dxa"/>
            <w:tcBorders>
              <w:tl2br w:val="nil"/>
              <w:tr2bl w:val="nil"/>
            </w:tcBorders>
            <w:noWrap w:val="0"/>
            <w:vAlign w:val="center"/>
          </w:tcPr>
          <w:p w14:paraId="01E6840D">
            <w:pPr>
              <w:keepNext w:val="0"/>
              <w:keepLines w:val="0"/>
              <w:widowControl/>
              <w:suppressLineNumbers w:val="0"/>
              <w:jc w:val="center"/>
              <w:textAlignment w:val="center"/>
              <w:rPr>
                <w:rStyle w:val="12"/>
                <w:rFonts w:hint="default"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云桌面服务器</w:t>
            </w:r>
          </w:p>
        </w:tc>
        <w:tc>
          <w:tcPr>
            <w:tcW w:w="551" w:type="dxa"/>
            <w:tcBorders>
              <w:tl2br w:val="nil"/>
              <w:tr2bl w:val="nil"/>
            </w:tcBorders>
            <w:noWrap w:val="0"/>
            <w:vAlign w:val="center"/>
          </w:tcPr>
          <w:p w14:paraId="17BDC55A">
            <w:pPr>
              <w:keepNext w:val="0"/>
              <w:keepLines w:val="0"/>
              <w:widowControl/>
              <w:suppressLineNumbers w:val="0"/>
              <w:jc w:val="center"/>
              <w:textAlignment w:val="center"/>
              <w:rPr>
                <w:rStyle w:val="12"/>
                <w:rFonts w:hint="default"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136D041D">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929" w:type="dxa"/>
            <w:tcBorders>
              <w:tl2br w:val="nil"/>
              <w:tr2bl w:val="nil"/>
            </w:tcBorders>
            <w:noWrap w:val="0"/>
            <w:vAlign w:val="center"/>
          </w:tcPr>
          <w:p w14:paraId="0CC94E63">
            <w:pPr>
              <w:pStyle w:val="14"/>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23759F8E">
            <w:pPr>
              <w:pStyle w:val="14"/>
              <w:pageBreakBefore w:val="0"/>
              <w:widowControl/>
              <w:wordWrap/>
              <w:overflowPunct/>
              <w:topLinePunct w:val="0"/>
              <w:bidi w:val="0"/>
              <w:spacing w:line="360" w:lineRule="auto"/>
              <w:jc w:val="center"/>
              <w:textAlignment w:val="center"/>
              <w:rPr>
                <w:rStyle w:val="12"/>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cs="Times New Roman"/>
                <w:b w:val="0"/>
                <w:bCs w:val="0"/>
                <w:color w:val="auto"/>
                <w:kern w:val="2"/>
                <w:sz w:val="21"/>
                <w:szCs w:val="21"/>
                <w:highlight w:val="none"/>
                <w:lang w:val="en-US" w:eastAsia="zh-CN" w:bidi="ar-SA"/>
              </w:rPr>
              <w:t>否</w:t>
            </w:r>
          </w:p>
        </w:tc>
        <w:tc>
          <w:tcPr>
            <w:tcW w:w="976" w:type="dxa"/>
            <w:vMerge w:val="restart"/>
            <w:tcBorders>
              <w:tl2br w:val="nil"/>
              <w:tr2bl w:val="nil"/>
            </w:tcBorders>
            <w:noWrap w:val="0"/>
            <w:vAlign w:val="center"/>
          </w:tcPr>
          <w:p w14:paraId="6633699A">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r>
              <w:rPr>
                <w:rStyle w:val="12"/>
                <w:rFonts w:hint="eastAsia" w:ascii="宋体" w:hAnsi="宋体" w:cs="宋体"/>
                <w:b/>
                <w:bCs/>
                <w:color w:val="auto"/>
                <w:kern w:val="0"/>
                <w:highlight w:val="none"/>
                <w:lang w:val="en-US" w:eastAsia="zh-CN"/>
              </w:rPr>
              <w:t>838610</w:t>
            </w:r>
          </w:p>
        </w:tc>
      </w:tr>
      <w:tr w14:paraId="33A080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008" w:type="dxa"/>
            <w:vMerge w:val="continue"/>
            <w:tcBorders>
              <w:tl2br w:val="nil"/>
              <w:tr2bl w:val="nil"/>
            </w:tcBorders>
            <w:noWrap w:val="0"/>
            <w:vAlign w:val="center"/>
          </w:tcPr>
          <w:p w14:paraId="2FE5D6D5">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3690FDF6">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2736" w:type="dxa"/>
            <w:tcBorders>
              <w:tl2br w:val="nil"/>
              <w:tr2bl w:val="nil"/>
            </w:tcBorders>
            <w:noWrap w:val="0"/>
            <w:vAlign w:val="center"/>
          </w:tcPr>
          <w:p w14:paraId="75F9F7A2">
            <w:pPr>
              <w:keepNext w:val="0"/>
              <w:keepLines w:val="0"/>
              <w:widowControl/>
              <w:suppressLineNumbers w:val="0"/>
              <w:jc w:val="center"/>
              <w:textAlignment w:val="center"/>
              <w:rPr>
                <w:rStyle w:val="12"/>
                <w:rFonts w:hint="default"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云桌面系统</w:t>
            </w:r>
          </w:p>
        </w:tc>
        <w:tc>
          <w:tcPr>
            <w:tcW w:w="551" w:type="dxa"/>
            <w:tcBorders>
              <w:tl2br w:val="nil"/>
              <w:tr2bl w:val="nil"/>
            </w:tcBorders>
            <w:noWrap w:val="0"/>
            <w:vAlign w:val="center"/>
          </w:tcPr>
          <w:p w14:paraId="7AC86D82">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65E2C20A">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套</w:t>
            </w:r>
          </w:p>
        </w:tc>
        <w:tc>
          <w:tcPr>
            <w:tcW w:w="929" w:type="dxa"/>
            <w:tcBorders>
              <w:tl2br w:val="nil"/>
              <w:tr2bl w:val="nil"/>
            </w:tcBorders>
            <w:noWrap w:val="0"/>
            <w:vAlign w:val="center"/>
          </w:tcPr>
          <w:p w14:paraId="16256E82">
            <w:pPr>
              <w:pStyle w:val="15"/>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7FCFC66D">
            <w:pPr>
              <w:pStyle w:val="15"/>
              <w:pageBreakBefore w:val="0"/>
              <w:widowControl/>
              <w:wordWrap/>
              <w:overflowPunct/>
              <w:topLinePunct w:val="0"/>
              <w:bidi w:val="0"/>
              <w:spacing w:line="360" w:lineRule="auto"/>
              <w:jc w:val="center"/>
              <w:textAlignment w:val="center"/>
              <w:rPr>
                <w:rStyle w:val="12"/>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127CC7A8">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6502AF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1008" w:type="dxa"/>
            <w:vMerge w:val="continue"/>
            <w:tcBorders>
              <w:tl2br w:val="nil"/>
              <w:tr2bl w:val="nil"/>
            </w:tcBorders>
            <w:noWrap w:val="0"/>
            <w:vAlign w:val="center"/>
          </w:tcPr>
          <w:p w14:paraId="34AF1A86">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4D80BA6D">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2736" w:type="dxa"/>
            <w:tcBorders>
              <w:tl2br w:val="nil"/>
              <w:tr2bl w:val="nil"/>
            </w:tcBorders>
            <w:noWrap w:val="0"/>
            <w:vAlign w:val="center"/>
          </w:tcPr>
          <w:p w14:paraId="1A5C0E52">
            <w:pPr>
              <w:keepNext w:val="0"/>
              <w:keepLines w:val="0"/>
              <w:widowControl/>
              <w:suppressLineNumbers w:val="0"/>
              <w:jc w:val="center"/>
              <w:textAlignment w:val="center"/>
              <w:rPr>
                <w:rStyle w:val="12"/>
                <w:rFonts w:hint="default"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云桌面教师终端</w:t>
            </w:r>
          </w:p>
        </w:tc>
        <w:tc>
          <w:tcPr>
            <w:tcW w:w="551" w:type="dxa"/>
            <w:tcBorders>
              <w:tl2br w:val="nil"/>
              <w:tr2bl w:val="nil"/>
            </w:tcBorders>
            <w:noWrap w:val="0"/>
            <w:vAlign w:val="center"/>
          </w:tcPr>
          <w:p w14:paraId="411DA2ED">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561" w:type="dxa"/>
            <w:tcBorders>
              <w:tl2br w:val="nil"/>
              <w:tr2bl w:val="nil"/>
            </w:tcBorders>
            <w:noWrap w:val="0"/>
            <w:vAlign w:val="center"/>
          </w:tcPr>
          <w:p w14:paraId="2A5199AD">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929" w:type="dxa"/>
            <w:tcBorders>
              <w:tl2br w:val="nil"/>
              <w:tr2bl w:val="nil"/>
            </w:tcBorders>
            <w:noWrap w:val="0"/>
            <w:vAlign w:val="center"/>
          </w:tcPr>
          <w:p w14:paraId="6D057596">
            <w:pPr>
              <w:pStyle w:val="15"/>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1CE92B96">
            <w:pPr>
              <w:pStyle w:val="15"/>
              <w:pageBreakBefore w:val="0"/>
              <w:widowControl/>
              <w:wordWrap/>
              <w:overflowPunct/>
              <w:topLinePunct w:val="0"/>
              <w:bidi w:val="0"/>
              <w:spacing w:line="360" w:lineRule="auto"/>
              <w:jc w:val="center"/>
              <w:textAlignment w:val="center"/>
              <w:rPr>
                <w:rStyle w:val="12"/>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4B7132F1">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49A6F3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08" w:type="dxa"/>
            <w:vMerge w:val="continue"/>
            <w:tcBorders>
              <w:tl2br w:val="nil"/>
              <w:tr2bl w:val="nil"/>
            </w:tcBorders>
            <w:noWrap w:val="0"/>
            <w:vAlign w:val="center"/>
          </w:tcPr>
          <w:p w14:paraId="58E4FE71">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2C477F22">
            <w:pPr>
              <w:keepNext w:val="0"/>
              <w:keepLines w:val="0"/>
              <w:widowControl/>
              <w:suppressLineNumbers w:val="0"/>
              <w:jc w:val="center"/>
              <w:textAlignment w:val="center"/>
              <w:rPr>
                <w:rStyle w:val="12"/>
                <w:rFonts w:hint="default" w:ascii="Times New Roman" w:hAnsi="Times New Roman" w:eastAsia="宋体" w:cs="Times New Roman"/>
                <w:b w:val="0"/>
                <w:bCs w:val="0"/>
                <w:color w:val="auto"/>
                <w:kern w:val="0"/>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2736" w:type="dxa"/>
            <w:tcBorders>
              <w:tl2br w:val="nil"/>
              <w:tr2bl w:val="nil"/>
            </w:tcBorders>
            <w:noWrap w:val="0"/>
            <w:vAlign w:val="center"/>
          </w:tcPr>
          <w:p w14:paraId="5DBAC1E5">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云桌面学生终端</w:t>
            </w:r>
          </w:p>
        </w:tc>
        <w:tc>
          <w:tcPr>
            <w:tcW w:w="551" w:type="dxa"/>
            <w:tcBorders>
              <w:tl2br w:val="nil"/>
              <w:tr2bl w:val="nil"/>
            </w:tcBorders>
            <w:noWrap w:val="0"/>
            <w:vAlign w:val="center"/>
          </w:tcPr>
          <w:p w14:paraId="472C4D75">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168</w:t>
            </w:r>
          </w:p>
        </w:tc>
        <w:tc>
          <w:tcPr>
            <w:tcW w:w="561" w:type="dxa"/>
            <w:tcBorders>
              <w:tl2br w:val="nil"/>
              <w:tr2bl w:val="nil"/>
            </w:tcBorders>
            <w:noWrap w:val="0"/>
            <w:vAlign w:val="center"/>
          </w:tcPr>
          <w:p w14:paraId="08F4CD18">
            <w:pPr>
              <w:keepNext w:val="0"/>
              <w:keepLines w:val="0"/>
              <w:widowControl/>
              <w:suppressLineNumbers w:val="0"/>
              <w:jc w:val="center"/>
              <w:textAlignment w:val="center"/>
              <w:rPr>
                <w:rStyle w:val="12"/>
                <w:rFonts w:hint="eastAsia" w:ascii="Times New Roman" w:hAnsi="Times New Roman" w:eastAsia="宋体" w:cs="Times New Roman"/>
                <w:b w:val="0"/>
                <w:bCs w:val="0"/>
                <w:i w:val="0"/>
                <w:i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929" w:type="dxa"/>
            <w:tcBorders>
              <w:tl2br w:val="nil"/>
              <w:tr2bl w:val="nil"/>
            </w:tcBorders>
            <w:noWrap w:val="0"/>
            <w:vAlign w:val="center"/>
          </w:tcPr>
          <w:p w14:paraId="5C47A810">
            <w:pPr>
              <w:pStyle w:val="15"/>
              <w:keepNext w:val="0"/>
              <w:keepLines w:val="0"/>
              <w:pageBreakBefore w:val="0"/>
              <w:widowControl/>
              <w:suppressLineNumbers w:val="0"/>
              <w:wordWrap/>
              <w:overflowPunct/>
              <w:topLinePunct w:val="0"/>
              <w:bidi w:val="0"/>
              <w:spacing w:line="360" w:lineRule="auto"/>
              <w:jc w:val="center"/>
              <w:textAlignment w:val="center"/>
              <w:rPr>
                <w:rStyle w:val="12"/>
                <w:rFonts w:hint="eastAsia" w:ascii="Times New Roman" w:hAnsi="Times New Roman" w:eastAsia="宋体" w:cs="Times New Roman"/>
                <w:b w:val="0"/>
                <w:bCs w:val="0"/>
                <w:i w:val="0"/>
                <w:iCs w:val="0"/>
                <w:color w:val="auto"/>
                <w:kern w:val="2"/>
                <w:sz w:val="21"/>
                <w:szCs w:val="21"/>
                <w:highlight w:val="none"/>
                <w:u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49CAC898">
            <w:pPr>
              <w:pStyle w:val="15"/>
              <w:keepNext w:val="0"/>
              <w:keepLines w:val="0"/>
              <w:pageBreakBefore w:val="0"/>
              <w:widowControl/>
              <w:suppressLineNumbers w:val="0"/>
              <w:wordWrap/>
              <w:overflowPunct/>
              <w:topLinePunct w:val="0"/>
              <w:bidi w:val="0"/>
              <w:spacing w:line="360" w:lineRule="auto"/>
              <w:jc w:val="center"/>
              <w:textAlignment w:val="center"/>
              <w:rPr>
                <w:rStyle w:val="12"/>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5BF787A7">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79D77F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08" w:type="dxa"/>
            <w:vMerge w:val="continue"/>
            <w:tcBorders>
              <w:tl2br w:val="nil"/>
              <w:tr2bl w:val="nil"/>
            </w:tcBorders>
            <w:noWrap w:val="0"/>
            <w:vAlign w:val="center"/>
          </w:tcPr>
          <w:p w14:paraId="77A67EF6">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bookmarkStart w:id="12" w:name="_Toc18432"/>
            <w:bookmarkStart w:id="13" w:name="_Toc15279"/>
          </w:p>
        </w:tc>
        <w:tc>
          <w:tcPr>
            <w:tcW w:w="540" w:type="dxa"/>
            <w:tcBorders>
              <w:tl2br w:val="nil"/>
              <w:tr2bl w:val="nil"/>
            </w:tcBorders>
            <w:noWrap w:val="0"/>
            <w:vAlign w:val="center"/>
          </w:tcPr>
          <w:p w14:paraId="3D603A7A">
            <w:pPr>
              <w:keepNext w:val="0"/>
              <w:keepLines w:val="0"/>
              <w:widowControl/>
              <w:suppressLineNumbers w:val="0"/>
              <w:jc w:val="center"/>
              <w:textAlignment w:val="center"/>
              <w:rPr>
                <w:rStyle w:val="12"/>
                <w:rFonts w:hint="default" w:ascii="Times New Roman" w:hAnsi="Times New Roman" w:cs="Times New Roman"/>
                <w:b w:val="0"/>
                <w:bCs w:val="0"/>
                <w:color w:val="auto"/>
                <w:kern w:val="0"/>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2736" w:type="dxa"/>
            <w:tcBorders>
              <w:tl2br w:val="nil"/>
              <w:tr2bl w:val="nil"/>
            </w:tcBorders>
            <w:noWrap w:val="0"/>
            <w:vAlign w:val="center"/>
          </w:tcPr>
          <w:p w14:paraId="48E309A7">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云桌面终端软件授权</w:t>
            </w:r>
          </w:p>
        </w:tc>
        <w:tc>
          <w:tcPr>
            <w:tcW w:w="551" w:type="dxa"/>
            <w:tcBorders>
              <w:tl2br w:val="nil"/>
              <w:tr2bl w:val="nil"/>
            </w:tcBorders>
            <w:noWrap w:val="0"/>
            <w:vAlign w:val="center"/>
          </w:tcPr>
          <w:p w14:paraId="3B2D0804">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171</w:t>
            </w:r>
          </w:p>
        </w:tc>
        <w:tc>
          <w:tcPr>
            <w:tcW w:w="561" w:type="dxa"/>
            <w:tcBorders>
              <w:tl2br w:val="nil"/>
              <w:tr2bl w:val="nil"/>
            </w:tcBorders>
            <w:noWrap w:val="0"/>
            <w:vAlign w:val="center"/>
          </w:tcPr>
          <w:p w14:paraId="1640F92E">
            <w:pPr>
              <w:keepNext w:val="0"/>
              <w:keepLines w:val="0"/>
              <w:widowControl/>
              <w:suppressLineNumbers w:val="0"/>
              <w:jc w:val="center"/>
              <w:textAlignment w:val="center"/>
              <w:rPr>
                <w:rStyle w:val="12"/>
                <w:rFonts w:hint="default"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套</w:t>
            </w:r>
          </w:p>
        </w:tc>
        <w:tc>
          <w:tcPr>
            <w:tcW w:w="929" w:type="dxa"/>
            <w:tcBorders>
              <w:tl2br w:val="nil"/>
              <w:tr2bl w:val="nil"/>
            </w:tcBorders>
            <w:noWrap w:val="0"/>
            <w:vAlign w:val="center"/>
          </w:tcPr>
          <w:p w14:paraId="6228B5CD">
            <w:pPr>
              <w:pStyle w:val="14"/>
              <w:pageBreakBefore w:val="0"/>
              <w:widowControl/>
              <w:wordWrap/>
              <w:overflowPunct/>
              <w:topLinePunct w:val="0"/>
              <w:bidi w:val="0"/>
              <w:spacing w:line="360" w:lineRule="auto"/>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6106642C">
            <w:pPr>
              <w:pStyle w:val="14"/>
              <w:pageBreakBefore w:val="0"/>
              <w:widowControl/>
              <w:wordWrap/>
              <w:overflowPunct/>
              <w:topLinePunct w:val="0"/>
              <w:bidi w:val="0"/>
              <w:spacing w:line="360" w:lineRule="auto"/>
              <w:jc w:val="center"/>
              <w:textAlignment w:val="center"/>
              <w:rPr>
                <w:rStyle w:val="12"/>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033E006C">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1390F5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08" w:type="dxa"/>
            <w:vMerge w:val="continue"/>
            <w:tcBorders>
              <w:tl2br w:val="nil"/>
              <w:tr2bl w:val="nil"/>
            </w:tcBorders>
            <w:noWrap w:val="0"/>
            <w:vAlign w:val="center"/>
          </w:tcPr>
          <w:p w14:paraId="5467CBD2">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2109E906">
            <w:pPr>
              <w:keepNext w:val="0"/>
              <w:keepLines w:val="0"/>
              <w:widowControl/>
              <w:suppressLineNumbers w:val="0"/>
              <w:jc w:val="center"/>
              <w:textAlignment w:val="center"/>
              <w:rPr>
                <w:rStyle w:val="12"/>
                <w:rFonts w:hint="default" w:ascii="Times New Roman" w:hAnsi="Times New Roman" w:cs="Times New Roman"/>
                <w:b w:val="0"/>
                <w:bCs w:val="0"/>
                <w:color w:val="auto"/>
                <w:kern w:val="0"/>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2736" w:type="dxa"/>
            <w:tcBorders>
              <w:tl2br w:val="nil"/>
              <w:tr2bl w:val="nil"/>
            </w:tcBorders>
            <w:noWrap w:val="0"/>
            <w:vAlign w:val="center"/>
          </w:tcPr>
          <w:p w14:paraId="5BAF01BA">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云桌面教学管理软件</w:t>
            </w:r>
          </w:p>
        </w:tc>
        <w:tc>
          <w:tcPr>
            <w:tcW w:w="551" w:type="dxa"/>
            <w:tcBorders>
              <w:tl2br w:val="nil"/>
              <w:tr2bl w:val="nil"/>
            </w:tcBorders>
            <w:noWrap w:val="0"/>
            <w:vAlign w:val="center"/>
          </w:tcPr>
          <w:p w14:paraId="10C90A76">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561" w:type="dxa"/>
            <w:tcBorders>
              <w:tl2br w:val="nil"/>
              <w:tr2bl w:val="nil"/>
            </w:tcBorders>
            <w:noWrap w:val="0"/>
            <w:vAlign w:val="center"/>
          </w:tcPr>
          <w:p w14:paraId="2D328175">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套</w:t>
            </w:r>
          </w:p>
        </w:tc>
        <w:tc>
          <w:tcPr>
            <w:tcW w:w="929" w:type="dxa"/>
            <w:tcBorders>
              <w:tl2br w:val="nil"/>
              <w:tr2bl w:val="nil"/>
            </w:tcBorders>
            <w:noWrap w:val="0"/>
            <w:vAlign w:val="center"/>
          </w:tcPr>
          <w:p w14:paraId="20427FE2">
            <w:pPr>
              <w:pStyle w:val="15"/>
              <w:pageBreakBefore w:val="0"/>
              <w:widowControl/>
              <w:wordWrap/>
              <w:overflowPunct/>
              <w:topLinePunct w:val="0"/>
              <w:bidi w:val="0"/>
              <w:spacing w:line="360" w:lineRule="auto"/>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1B3ADDA8">
            <w:pPr>
              <w:pStyle w:val="15"/>
              <w:pageBreakBefore w:val="0"/>
              <w:widowControl/>
              <w:wordWrap/>
              <w:overflowPunct/>
              <w:topLinePunct w:val="0"/>
              <w:bidi w:val="0"/>
              <w:spacing w:line="360" w:lineRule="auto"/>
              <w:jc w:val="center"/>
              <w:textAlignment w:val="center"/>
              <w:rPr>
                <w:rStyle w:val="12"/>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2D4305F5">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36FB14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00CD99BA">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17767D60">
            <w:pPr>
              <w:keepNext w:val="0"/>
              <w:keepLines w:val="0"/>
              <w:widowControl/>
              <w:suppressLineNumbers w:val="0"/>
              <w:jc w:val="center"/>
              <w:textAlignment w:val="center"/>
              <w:rPr>
                <w:rStyle w:val="12"/>
                <w:rFonts w:hint="default" w:ascii="Times New Roman" w:hAnsi="Times New Roman" w:cs="Times New Roman"/>
                <w:b w:val="0"/>
                <w:bCs w:val="0"/>
                <w:color w:val="auto"/>
                <w:kern w:val="0"/>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2736" w:type="dxa"/>
            <w:tcBorders>
              <w:tl2br w:val="nil"/>
              <w:tr2bl w:val="nil"/>
            </w:tcBorders>
            <w:noWrap w:val="0"/>
            <w:vAlign w:val="center"/>
          </w:tcPr>
          <w:p w14:paraId="15186E82">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24口交换机</w:t>
            </w:r>
          </w:p>
        </w:tc>
        <w:tc>
          <w:tcPr>
            <w:tcW w:w="551" w:type="dxa"/>
            <w:tcBorders>
              <w:tl2br w:val="nil"/>
              <w:tr2bl w:val="nil"/>
            </w:tcBorders>
            <w:noWrap w:val="0"/>
            <w:vAlign w:val="center"/>
          </w:tcPr>
          <w:p w14:paraId="0F6DC4BD">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37ED815E">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929" w:type="dxa"/>
            <w:tcBorders>
              <w:tl2br w:val="nil"/>
              <w:tr2bl w:val="nil"/>
            </w:tcBorders>
            <w:noWrap w:val="0"/>
            <w:vAlign w:val="center"/>
          </w:tcPr>
          <w:p w14:paraId="20187D70">
            <w:pPr>
              <w:pStyle w:val="15"/>
              <w:pageBreakBefore w:val="0"/>
              <w:widowControl/>
              <w:wordWrap/>
              <w:overflowPunct/>
              <w:topLinePunct w:val="0"/>
              <w:bidi w:val="0"/>
              <w:spacing w:line="360" w:lineRule="auto"/>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6A112BD8">
            <w:pPr>
              <w:pStyle w:val="15"/>
              <w:pageBreakBefore w:val="0"/>
              <w:widowControl/>
              <w:wordWrap/>
              <w:overflowPunct/>
              <w:topLinePunct w:val="0"/>
              <w:bidi w:val="0"/>
              <w:spacing w:line="360" w:lineRule="auto"/>
              <w:jc w:val="center"/>
              <w:textAlignment w:val="center"/>
              <w:rPr>
                <w:rStyle w:val="12"/>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5F3B3378">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6BF04D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7D3D4150">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15C6DFC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8</w:t>
            </w:r>
          </w:p>
        </w:tc>
        <w:tc>
          <w:tcPr>
            <w:tcW w:w="2736" w:type="dxa"/>
            <w:tcBorders>
              <w:tl2br w:val="nil"/>
              <w:tr2bl w:val="nil"/>
            </w:tcBorders>
            <w:noWrap w:val="0"/>
            <w:vAlign w:val="center"/>
          </w:tcPr>
          <w:p w14:paraId="3AE021E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48口交换机</w:t>
            </w:r>
          </w:p>
        </w:tc>
        <w:tc>
          <w:tcPr>
            <w:tcW w:w="551" w:type="dxa"/>
            <w:tcBorders>
              <w:tl2br w:val="nil"/>
              <w:tr2bl w:val="nil"/>
            </w:tcBorders>
            <w:noWrap w:val="0"/>
            <w:vAlign w:val="center"/>
          </w:tcPr>
          <w:p w14:paraId="3FD9CD6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27794C7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台</w:t>
            </w:r>
          </w:p>
        </w:tc>
        <w:tc>
          <w:tcPr>
            <w:tcW w:w="929" w:type="dxa"/>
            <w:tcBorders>
              <w:tl2br w:val="nil"/>
              <w:tr2bl w:val="nil"/>
            </w:tcBorders>
            <w:shd w:val="clear" w:color="auto" w:fill="auto"/>
            <w:noWrap w:val="0"/>
            <w:vAlign w:val="center"/>
          </w:tcPr>
          <w:p w14:paraId="4D1EE960">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7FDC0183">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7F624372">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6E7E20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2D42BF61">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3639327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9</w:t>
            </w:r>
          </w:p>
        </w:tc>
        <w:tc>
          <w:tcPr>
            <w:tcW w:w="2736" w:type="dxa"/>
            <w:tcBorders>
              <w:tl2br w:val="nil"/>
              <w:tr2bl w:val="nil"/>
            </w:tcBorders>
            <w:noWrap w:val="0"/>
            <w:vAlign w:val="center"/>
          </w:tcPr>
          <w:p w14:paraId="6011D3A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防静电地板</w:t>
            </w:r>
          </w:p>
        </w:tc>
        <w:tc>
          <w:tcPr>
            <w:tcW w:w="551" w:type="dxa"/>
            <w:tcBorders>
              <w:tl2br w:val="nil"/>
              <w:tr2bl w:val="nil"/>
            </w:tcBorders>
            <w:noWrap w:val="0"/>
            <w:vAlign w:val="center"/>
          </w:tcPr>
          <w:p w14:paraId="0B5E860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4EC8F18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间</w:t>
            </w:r>
          </w:p>
        </w:tc>
        <w:tc>
          <w:tcPr>
            <w:tcW w:w="929" w:type="dxa"/>
            <w:tcBorders>
              <w:tl2br w:val="nil"/>
              <w:tr2bl w:val="nil"/>
            </w:tcBorders>
            <w:shd w:val="clear" w:color="auto" w:fill="auto"/>
            <w:noWrap w:val="0"/>
            <w:vAlign w:val="center"/>
          </w:tcPr>
          <w:p w14:paraId="7027D915">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2EB58B73">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266D3BE9">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4281CC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6FB00F77">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7BC792C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10</w:t>
            </w:r>
          </w:p>
        </w:tc>
        <w:tc>
          <w:tcPr>
            <w:tcW w:w="2736" w:type="dxa"/>
            <w:tcBorders>
              <w:tl2br w:val="nil"/>
              <w:tr2bl w:val="nil"/>
            </w:tcBorders>
            <w:noWrap w:val="0"/>
            <w:vAlign w:val="center"/>
          </w:tcPr>
          <w:p w14:paraId="78107AE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机房布线</w:t>
            </w:r>
          </w:p>
        </w:tc>
        <w:tc>
          <w:tcPr>
            <w:tcW w:w="551" w:type="dxa"/>
            <w:tcBorders>
              <w:tl2br w:val="nil"/>
              <w:tr2bl w:val="nil"/>
            </w:tcBorders>
            <w:noWrap w:val="0"/>
            <w:vAlign w:val="center"/>
          </w:tcPr>
          <w:p w14:paraId="505CF48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1830404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间</w:t>
            </w:r>
          </w:p>
        </w:tc>
        <w:tc>
          <w:tcPr>
            <w:tcW w:w="929" w:type="dxa"/>
            <w:tcBorders>
              <w:tl2br w:val="nil"/>
              <w:tr2bl w:val="nil"/>
            </w:tcBorders>
            <w:shd w:val="clear" w:color="auto" w:fill="auto"/>
            <w:noWrap w:val="0"/>
            <w:vAlign w:val="center"/>
          </w:tcPr>
          <w:p w14:paraId="2C28AF13">
            <w:pPr>
              <w:pStyle w:val="15"/>
              <w:keepNext w:val="0"/>
              <w:keepLines w:val="0"/>
              <w:pageBreakBefore w:val="0"/>
              <w:widowControl/>
              <w:suppressLineNumbers w:val="0"/>
              <w:wordWrap/>
              <w:overflowPunct/>
              <w:topLinePunct w:val="0"/>
              <w:bidi w:val="0"/>
              <w:spacing w:line="360" w:lineRule="auto"/>
              <w:jc w:val="center"/>
              <w:textAlignment w:val="center"/>
              <w:rPr>
                <w:rFonts w:hint="eastAsia" w:ascii="Times New Roman" w:hAnsi="Times New Roman" w:eastAsia="宋体" w:cs="Times New Roman"/>
                <w:b w:val="0"/>
                <w:bCs w:val="0"/>
                <w:i w:val="0"/>
                <w:iCs w:val="0"/>
                <w:color w:val="auto"/>
                <w:kern w:val="2"/>
                <w:sz w:val="21"/>
                <w:szCs w:val="21"/>
                <w:highlight w:val="none"/>
                <w:u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37441C40">
            <w:pPr>
              <w:pStyle w:val="15"/>
              <w:keepNext w:val="0"/>
              <w:keepLines w:val="0"/>
              <w:pageBreakBefore w:val="0"/>
              <w:widowControl/>
              <w:suppressLineNumbers w:val="0"/>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602B7524">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6B0073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6F05C125">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583025C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11</w:t>
            </w:r>
          </w:p>
        </w:tc>
        <w:tc>
          <w:tcPr>
            <w:tcW w:w="2736" w:type="dxa"/>
            <w:tcBorders>
              <w:tl2br w:val="nil"/>
              <w:tr2bl w:val="nil"/>
            </w:tcBorders>
            <w:noWrap w:val="0"/>
            <w:vAlign w:val="center"/>
          </w:tcPr>
          <w:p w14:paraId="302940A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摄像机</w:t>
            </w:r>
          </w:p>
        </w:tc>
        <w:tc>
          <w:tcPr>
            <w:tcW w:w="551" w:type="dxa"/>
            <w:tcBorders>
              <w:tl2br w:val="nil"/>
              <w:tr2bl w:val="nil"/>
            </w:tcBorders>
            <w:noWrap w:val="0"/>
            <w:vAlign w:val="center"/>
          </w:tcPr>
          <w:p w14:paraId="2A3954F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087E0E8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个</w:t>
            </w:r>
          </w:p>
        </w:tc>
        <w:tc>
          <w:tcPr>
            <w:tcW w:w="929" w:type="dxa"/>
            <w:tcBorders>
              <w:tl2br w:val="nil"/>
              <w:tr2bl w:val="nil"/>
            </w:tcBorders>
            <w:shd w:val="clear" w:color="auto" w:fill="auto"/>
            <w:noWrap w:val="0"/>
            <w:vAlign w:val="center"/>
          </w:tcPr>
          <w:p w14:paraId="76E1602B">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505ED599">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3830D66A">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2AAA6C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3B9906AA">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529F46C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w:t>
            </w:r>
          </w:p>
        </w:tc>
        <w:tc>
          <w:tcPr>
            <w:tcW w:w="2736" w:type="dxa"/>
            <w:tcBorders>
              <w:tl2br w:val="nil"/>
              <w:tr2bl w:val="nil"/>
            </w:tcBorders>
            <w:noWrap w:val="0"/>
            <w:vAlign w:val="center"/>
          </w:tcPr>
          <w:p w14:paraId="7AEFC23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电脑桌椅</w:t>
            </w:r>
          </w:p>
        </w:tc>
        <w:tc>
          <w:tcPr>
            <w:tcW w:w="551" w:type="dxa"/>
            <w:tcBorders>
              <w:tl2br w:val="nil"/>
              <w:tr2bl w:val="nil"/>
            </w:tcBorders>
            <w:noWrap w:val="0"/>
            <w:vAlign w:val="center"/>
          </w:tcPr>
          <w:p w14:paraId="5A88E64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56</w:t>
            </w:r>
          </w:p>
        </w:tc>
        <w:tc>
          <w:tcPr>
            <w:tcW w:w="561" w:type="dxa"/>
            <w:tcBorders>
              <w:tl2br w:val="nil"/>
              <w:tr2bl w:val="nil"/>
            </w:tcBorders>
            <w:noWrap w:val="0"/>
            <w:vAlign w:val="center"/>
          </w:tcPr>
          <w:p w14:paraId="5F2EE18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座</w:t>
            </w:r>
          </w:p>
        </w:tc>
        <w:tc>
          <w:tcPr>
            <w:tcW w:w="929" w:type="dxa"/>
            <w:tcBorders>
              <w:tl2br w:val="nil"/>
              <w:tr2bl w:val="nil"/>
            </w:tcBorders>
            <w:shd w:val="clear" w:color="auto" w:fill="auto"/>
            <w:noWrap w:val="0"/>
            <w:vAlign w:val="center"/>
          </w:tcPr>
          <w:p w14:paraId="782FE420">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132B0EFE">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55D372E0">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35CC23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44161AC3">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7B07893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w:t>
            </w:r>
          </w:p>
        </w:tc>
        <w:tc>
          <w:tcPr>
            <w:tcW w:w="2736" w:type="dxa"/>
            <w:tcBorders>
              <w:tl2br w:val="nil"/>
              <w:tr2bl w:val="nil"/>
            </w:tcBorders>
            <w:noWrap w:val="0"/>
            <w:vAlign w:val="center"/>
          </w:tcPr>
          <w:p w14:paraId="67B465D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讲台</w:t>
            </w:r>
          </w:p>
        </w:tc>
        <w:tc>
          <w:tcPr>
            <w:tcW w:w="551" w:type="dxa"/>
            <w:tcBorders>
              <w:tl2br w:val="nil"/>
              <w:tr2bl w:val="nil"/>
            </w:tcBorders>
            <w:noWrap w:val="0"/>
            <w:vAlign w:val="center"/>
          </w:tcPr>
          <w:p w14:paraId="6497FDF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7DA6337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套</w:t>
            </w:r>
          </w:p>
        </w:tc>
        <w:tc>
          <w:tcPr>
            <w:tcW w:w="929" w:type="dxa"/>
            <w:tcBorders>
              <w:tl2br w:val="nil"/>
              <w:tr2bl w:val="nil"/>
            </w:tcBorders>
            <w:shd w:val="clear" w:color="auto" w:fill="auto"/>
            <w:noWrap w:val="0"/>
            <w:vAlign w:val="center"/>
          </w:tcPr>
          <w:p w14:paraId="2855A6FF">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0B89F9B9">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57D201C4">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2179D2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2D52B2F8">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1450CED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w:t>
            </w:r>
          </w:p>
        </w:tc>
        <w:tc>
          <w:tcPr>
            <w:tcW w:w="2736" w:type="dxa"/>
            <w:tcBorders>
              <w:tl2br w:val="nil"/>
              <w:tr2bl w:val="nil"/>
            </w:tcBorders>
            <w:noWrap w:val="0"/>
            <w:vAlign w:val="center"/>
          </w:tcPr>
          <w:p w14:paraId="1B96215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智慧无尘黑板</w:t>
            </w:r>
          </w:p>
        </w:tc>
        <w:tc>
          <w:tcPr>
            <w:tcW w:w="551" w:type="dxa"/>
            <w:tcBorders>
              <w:tl2br w:val="nil"/>
              <w:tr2bl w:val="nil"/>
            </w:tcBorders>
            <w:noWrap w:val="0"/>
            <w:vAlign w:val="center"/>
          </w:tcPr>
          <w:p w14:paraId="10A94EA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561" w:type="dxa"/>
            <w:tcBorders>
              <w:tl2br w:val="nil"/>
              <w:tr2bl w:val="nil"/>
            </w:tcBorders>
            <w:noWrap w:val="0"/>
            <w:vAlign w:val="center"/>
          </w:tcPr>
          <w:p w14:paraId="1E147A3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套</w:t>
            </w:r>
          </w:p>
        </w:tc>
        <w:tc>
          <w:tcPr>
            <w:tcW w:w="929" w:type="dxa"/>
            <w:tcBorders>
              <w:tl2br w:val="nil"/>
              <w:tr2bl w:val="nil"/>
            </w:tcBorders>
            <w:shd w:val="clear" w:color="auto" w:fill="auto"/>
            <w:noWrap w:val="0"/>
            <w:vAlign w:val="center"/>
          </w:tcPr>
          <w:p w14:paraId="3263D83F">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3F3E4DA0">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3A03B2AF">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12A077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0EAA73B8">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3FD5069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w:t>
            </w:r>
          </w:p>
        </w:tc>
        <w:tc>
          <w:tcPr>
            <w:tcW w:w="2736" w:type="dxa"/>
            <w:tcBorders>
              <w:tl2br w:val="nil"/>
              <w:tr2bl w:val="nil"/>
            </w:tcBorders>
            <w:noWrap w:val="0"/>
            <w:vAlign w:val="center"/>
          </w:tcPr>
          <w:p w14:paraId="060ABF5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耳机</w:t>
            </w:r>
          </w:p>
        </w:tc>
        <w:tc>
          <w:tcPr>
            <w:tcW w:w="551" w:type="dxa"/>
            <w:tcBorders>
              <w:tl2br w:val="nil"/>
              <w:tr2bl w:val="nil"/>
            </w:tcBorders>
            <w:noWrap w:val="0"/>
            <w:vAlign w:val="center"/>
          </w:tcPr>
          <w:p w14:paraId="07D0E45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60</w:t>
            </w:r>
          </w:p>
        </w:tc>
        <w:tc>
          <w:tcPr>
            <w:tcW w:w="561" w:type="dxa"/>
            <w:tcBorders>
              <w:tl2br w:val="nil"/>
              <w:tr2bl w:val="nil"/>
            </w:tcBorders>
            <w:noWrap w:val="0"/>
            <w:vAlign w:val="center"/>
          </w:tcPr>
          <w:p w14:paraId="60F474E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个</w:t>
            </w:r>
          </w:p>
        </w:tc>
        <w:tc>
          <w:tcPr>
            <w:tcW w:w="929" w:type="dxa"/>
            <w:tcBorders>
              <w:tl2br w:val="nil"/>
              <w:tr2bl w:val="nil"/>
            </w:tcBorders>
            <w:shd w:val="clear" w:color="auto" w:fill="auto"/>
            <w:noWrap w:val="0"/>
            <w:vAlign w:val="center"/>
          </w:tcPr>
          <w:p w14:paraId="66F1BD85">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49EC9570">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5ECA300A">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bookmarkEnd w:id="11"/>
    </w:tbl>
    <w:p w14:paraId="5B756872">
      <w:pPr>
        <w:pStyle w:val="15"/>
        <w:pageBreakBefore w:val="0"/>
        <w:widowControl w:val="0"/>
        <w:wordWrap/>
        <w:overflowPunct/>
        <w:topLinePunct w:val="0"/>
        <w:bidi w:val="0"/>
        <w:adjustRightInd w:val="0"/>
        <w:snapToGrid w:val="0"/>
        <w:spacing w:line="360" w:lineRule="auto"/>
        <w:jc w:val="both"/>
        <w:rPr>
          <w:rStyle w:val="12"/>
          <w:rFonts w:hint="eastAsia" w:ascii="宋体" w:hAnsi="宋体" w:eastAsia="宋体" w:cs="Times New Roman"/>
          <w:b/>
          <w:bCs/>
          <w:color w:val="auto"/>
          <w:kern w:val="2"/>
          <w:sz w:val="21"/>
          <w:szCs w:val="21"/>
          <w:highlight w:val="none"/>
          <w:lang w:val="en-US" w:eastAsia="zh-CN" w:bidi="ar-SA"/>
        </w:rPr>
      </w:pPr>
    </w:p>
    <w:p w14:paraId="0D0A02B3">
      <w:pPr>
        <w:pStyle w:val="15"/>
        <w:pageBreakBefore w:val="0"/>
        <w:widowControl w:val="0"/>
        <w:wordWrap/>
        <w:overflowPunct/>
        <w:topLinePunct w:val="0"/>
        <w:bidi w:val="0"/>
        <w:adjustRightInd w:val="0"/>
        <w:snapToGrid w:val="0"/>
        <w:spacing w:line="360" w:lineRule="auto"/>
        <w:jc w:val="both"/>
        <w:rPr>
          <w:rStyle w:val="12"/>
          <w:rFonts w:hint="eastAsia" w:ascii="宋体" w:hAnsi="宋体" w:eastAsia="宋体" w:cs="Times New Roman"/>
          <w:b/>
          <w:bCs/>
          <w:color w:val="auto"/>
          <w:kern w:val="2"/>
          <w:sz w:val="21"/>
          <w:szCs w:val="21"/>
          <w:highlight w:val="none"/>
          <w:lang w:val="en-US" w:eastAsia="zh-CN" w:bidi="ar-SA"/>
        </w:rPr>
      </w:pPr>
    </w:p>
    <w:p w14:paraId="47D84F05">
      <w:pPr>
        <w:pStyle w:val="15"/>
        <w:pageBreakBefore w:val="0"/>
        <w:widowControl w:val="0"/>
        <w:wordWrap/>
        <w:overflowPunct/>
        <w:topLinePunct w:val="0"/>
        <w:bidi w:val="0"/>
        <w:adjustRightInd w:val="0"/>
        <w:snapToGrid w:val="0"/>
        <w:spacing w:line="360" w:lineRule="auto"/>
        <w:jc w:val="both"/>
        <w:rPr>
          <w:rStyle w:val="12"/>
          <w:rFonts w:hint="eastAsia" w:ascii="宋体" w:hAnsi="宋体" w:eastAsia="宋体" w:cs="Times New Roman"/>
          <w:b/>
          <w:bCs/>
          <w:color w:val="auto"/>
          <w:kern w:val="2"/>
          <w:sz w:val="21"/>
          <w:szCs w:val="21"/>
          <w:highlight w:val="none"/>
          <w:lang w:val="en-US" w:eastAsia="zh-CN" w:bidi="ar-SA"/>
        </w:rPr>
      </w:pPr>
      <w:r>
        <w:rPr>
          <w:rStyle w:val="12"/>
          <w:rFonts w:hint="eastAsia" w:ascii="宋体" w:hAnsi="宋体" w:eastAsia="宋体" w:cs="Times New Roman"/>
          <w:b/>
          <w:bCs/>
          <w:color w:val="auto"/>
          <w:kern w:val="2"/>
          <w:sz w:val="21"/>
          <w:szCs w:val="21"/>
          <w:highlight w:val="none"/>
          <w:lang w:val="en-US" w:eastAsia="zh-CN" w:bidi="ar-SA"/>
        </w:rPr>
        <w:t>注：</w:t>
      </w:r>
    </w:p>
    <w:p w14:paraId="3C880ED2">
      <w:pPr>
        <w:pStyle w:val="15"/>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Style w:val="12"/>
          <w:rFonts w:ascii="宋体" w:hAnsi="宋体" w:eastAsia="宋体" w:cs="Times New Roman"/>
          <w:color w:val="auto"/>
          <w:kern w:val="2"/>
          <w:sz w:val="21"/>
          <w:szCs w:val="21"/>
          <w:highlight w:val="none"/>
          <w:lang w:val="en-US" w:eastAsia="zh-CN" w:bidi="ar-SA"/>
        </w:rPr>
      </w:pPr>
      <w:r>
        <w:rPr>
          <w:rStyle w:val="12"/>
          <w:rFonts w:hint="eastAsia" w:ascii="宋体" w:hAnsi="宋体" w:eastAsia="宋体" w:cs="Times New Roman"/>
          <w:color w:val="auto"/>
          <w:kern w:val="2"/>
          <w:sz w:val="21"/>
          <w:szCs w:val="21"/>
          <w:highlight w:val="none"/>
          <w:lang w:val="en-US" w:eastAsia="zh-CN" w:bidi="ar-SA"/>
        </w:rPr>
        <w:t>1、“包”为最小合同单位（最小投标单位）。每“包”内容应细化到“品目”（如果分品目的）；</w:t>
      </w:r>
    </w:p>
    <w:p w14:paraId="717FCA4C">
      <w:pPr>
        <w:pStyle w:val="15"/>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Style w:val="12"/>
          <w:rFonts w:ascii="宋体" w:hAnsi="宋体" w:eastAsia="宋体" w:cs="Times New Roman"/>
          <w:color w:val="auto"/>
          <w:kern w:val="2"/>
          <w:sz w:val="21"/>
          <w:szCs w:val="21"/>
          <w:highlight w:val="none"/>
          <w:lang w:val="en-US" w:eastAsia="zh-CN" w:bidi="ar-SA"/>
        </w:rPr>
      </w:pPr>
      <w:r>
        <w:rPr>
          <w:rStyle w:val="12"/>
          <w:rFonts w:hint="eastAsia" w:ascii="宋体" w:hAnsi="宋体" w:eastAsia="宋体" w:cs="Times New Roman"/>
          <w:color w:val="auto"/>
          <w:kern w:val="2"/>
          <w:sz w:val="21"/>
          <w:szCs w:val="21"/>
          <w:highlight w:val="none"/>
          <w:lang w:val="en-US" w:eastAsia="zh-CN" w:bidi="ar-SA"/>
        </w:rPr>
        <w:t>2、投标人必须对一个完整、独立的包进行投标，不得仅对一个包中的部分品目投标，否则</w:t>
      </w:r>
      <w:r>
        <w:rPr>
          <w:rStyle w:val="12"/>
          <w:rFonts w:hint="eastAsia" w:ascii="宋体" w:hAnsi="宋体" w:eastAsia="宋体" w:cs="Times New Roman"/>
          <w:b/>
          <w:color w:val="auto"/>
          <w:kern w:val="2"/>
          <w:sz w:val="21"/>
          <w:szCs w:val="21"/>
          <w:highlight w:val="none"/>
          <w:lang w:val="en-US" w:eastAsia="zh-CN" w:bidi="ar-SA"/>
        </w:rPr>
        <w:t>投标无效</w:t>
      </w:r>
      <w:r>
        <w:rPr>
          <w:rStyle w:val="12"/>
          <w:rFonts w:hint="eastAsia" w:ascii="宋体" w:hAnsi="宋体" w:eastAsia="宋体" w:cs="Times New Roman"/>
          <w:color w:val="auto"/>
          <w:kern w:val="2"/>
          <w:sz w:val="21"/>
          <w:szCs w:val="21"/>
          <w:highlight w:val="none"/>
          <w:lang w:val="en-US" w:eastAsia="zh-CN" w:bidi="ar-SA"/>
        </w:rPr>
        <w:t>；</w:t>
      </w:r>
    </w:p>
    <w:p w14:paraId="4F752A21">
      <w:pPr>
        <w:pStyle w:val="15"/>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Style w:val="12"/>
          <w:rFonts w:ascii="宋体" w:hAnsi="宋体" w:eastAsia="宋体" w:cs="Times New Roman"/>
          <w:color w:val="auto"/>
          <w:kern w:val="2"/>
          <w:sz w:val="21"/>
          <w:szCs w:val="21"/>
          <w:highlight w:val="none"/>
          <w:lang w:val="en-US" w:eastAsia="zh-CN" w:bidi="ar-SA"/>
        </w:rPr>
      </w:pPr>
      <w:r>
        <w:rPr>
          <w:rStyle w:val="12"/>
          <w:rFonts w:hint="eastAsia" w:ascii="宋体" w:hAnsi="宋体" w:eastAsia="宋体" w:cs="Times New Roman"/>
          <w:color w:val="auto"/>
          <w:kern w:val="2"/>
          <w:sz w:val="21"/>
          <w:szCs w:val="21"/>
          <w:highlight w:val="none"/>
          <w:lang w:val="en-US" w:eastAsia="zh-CN" w:bidi="ar-SA"/>
        </w:rPr>
        <w:t>3、货物的主要技术参数或规格：</w:t>
      </w:r>
      <w:r>
        <w:rPr>
          <w:rStyle w:val="12"/>
          <w:rFonts w:ascii="宋体" w:hAnsi="宋体" w:eastAsia="宋体" w:cs="Times New Roman"/>
          <w:color w:val="auto"/>
          <w:kern w:val="2"/>
          <w:sz w:val="21"/>
          <w:szCs w:val="21"/>
          <w:highlight w:val="none"/>
          <w:lang w:val="en-US" w:eastAsia="zh-CN" w:bidi="ar-SA"/>
        </w:rPr>
        <w:t>详见“技术要求”中的具体技术参数</w:t>
      </w:r>
      <w:r>
        <w:rPr>
          <w:rStyle w:val="12"/>
          <w:rFonts w:hint="eastAsia" w:ascii="宋体" w:hAnsi="宋体" w:eastAsia="宋体" w:cs="Times New Roman"/>
          <w:color w:val="auto"/>
          <w:kern w:val="2"/>
          <w:sz w:val="21"/>
          <w:szCs w:val="21"/>
          <w:highlight w:val="none"/>
          <w:lang w:val="en-US" w:eastAsia="zh-CN" w:bidi="ar-SA"/>
        </w:rPr>
        <w:t>；</w:t>
      </w:r>
    </w:p>
    <w:p w14:paraId="63958497">
      <w:pPr>
        <w:pStyle w:val="15"/>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Style w:val="12"/>
          <w:rFonts w:hint="eastAsia" w:ascii="宋体" w:hAnsi="宋体" w:eastAsia="宋体" w:cs="Times New Roman"/>
          <w:color w:val="auto"/>
          <w:kern w:val="2"/>
          <w:sz w:val="21"/>
          <w:szCs w:val="21"/>
          <w:highlight w:val="none"/>
          <w:lang w:val="en-US" w:eastAsia="zh-CN" w:bidi="ar-SA"/>
        </w:rPr>
      </w:pPr>
      <w:r>
        <w:rPr>
          <w:rStyle w:val="12"/>
          <w:rFonts w:hint="eastAsia" w:ascii="宋体" w:hAnsi="宋体" w:eastAsia="宋体" w:cs="Times New Roman"/>
          <w:color w:val="auto"/>
          <w:kern w:val="2"/>
          <w:sz w:val="21"/>
          <w:szCs w:val="21"/>
          <w:highlight w:val="none"/>
          <w:lang w:val="en-US" w:eastAsia="zh-CN" w:bidi="ar-SA"/>
        </w:rPr>
        <w:t>4、投标人应在投标文件《分项报价明细表》中按分项项目名称（包括条目号/品目名称）顺序逐项填写，且每个品目中的条目均需按招标文件规定报价。如有缺项、漏项，其</w:t>
      </w:r>
      <w:r>
        <w:rPr>
          <w:rStyle w:val="12"/>
          <w:rFonts w:hint="eastAsia" w:ascii="宋体" w:hAnsi="宋体" w:eastAsia="宋体" w:cs="Times New Roman"/>
          <w:b/>
          <w:color w:val="auto"/>
          <w:kern w:val="2"/>
          <w:sz w:val="21"/>
          <w:szCs w:val="21"/>
          <w:highlight w:val="none"/>
          <w:lang w:val="en-US" w:eastAsia="zh-CN" w:bidi="ar-SA"/>
        </w:rPr>
        <w:t>投标无效</w:t>
      </w:r>
      <w:r>
        <w:rPr>
          <w:rStyle w:val="12"/>
          <w:rFonts w:hint="eastAsia" w:ascii="宋体" w:hAnsi="宋体" w:eastAsia="宋体" w:cs="Times New Roman"/>
          <w:color w:val="auto"/>
          <w:kern w:val="2"/>
          <w:sz w:val="21"/>
          <w:szCs w:val="21"/>
          <w:highlight w:val="none"/>
          <w:lang w:val="en-US" w:eastAsia="zh-CN" w:bidi="ar-SA"/>
        </w:rPr>
        <w:t>；</w:t>
      </w:r>
    </w:p>
    <w:p w14:paraId="66D2BD53">
      <w:pPr>
        <w:pStyle w:val="15"/>
        <w:pageBreakBefore w:val="0"/>
        <w:widowControl w:val="0"/>
        <w:wordWrap/>
        <w:overflowPunct/>
        <w:topLinePunct w:val="0"/>
        <w:bidi w:val="0"/>
        <w:spacing w:line="360" w:lineRule="auto"/>
        <w:ind w:firstLine="420" w:firstLineChars="200"/>
        <w:jc w:val="both"/>
        <w:rPr>
          <w:rStyle w:val="12"/>
          <w:rFonts w:ascii="Calibri" w:hAnsi="Calibri" w:eastAsia="宋体" w:cs="Times New Roman"/>
          <w:color w:val="auto"/>
          <w:kern w:val="2"/>
          <w:sz w:val="21"/>
          <w:szCs w:val="22"/>
          <w:highlight w:val="none"/>
          <w:lang w:val="en-US" w:eastAsia="zh-CN" w:bidi="ar-SA"/>
        </w:rPr>
      </w:pPr>
      <w:r>
        <w:rPr>
          <w:rStyle w:val="12"/>
          <w:rFonts w:hint="eastAsia" w:ascii="宋体" w:hAnsi="宋体" w:eastAsia="宋体" w:cs="宋体"/>
          <w:color w:val="auto"/>
          <w:kern w:val="0"/>
          <w:sz w:val="21"/>
          <w:szCs w:val="21"/>
          <w:highlight w:val="none"/>
          <w:lang w:val="en-US" w:eastAsia="zh-CN" w:bidi="ar-SA"/>
        </w:rPr>
        <w:t>5、</w:t>
      </w:r>
      <w:r>
        <w:rPr>
          <w:rStyle w:val="12"/>
          <w:rFonts w:hint="eastAsia" w:ascii="宋体" w:hAnsi="宋体" w:eastAsia="宋体" w:cs="Times New Roman"/>
          <w:b w:val="0"/>
          <w:bCs w:val="0"/>
          <w:color w:val="auto"/>
          <w:kern w:val="2"/>
          <w:sz w:val="21"/>
          <w:szCs w:val="21"/>
          <w:highlight w:val="none"/>
          <w:lang w:val="en-US" w:eastAsia="zh-CN" w:bidi="ar-SA"/>
        </w:rPr>
        <w:t>投标报价不得超过总价最高限价，</w:t>
      </w:r>
      <w:r>
        <w:rPr>
          <w:rStyle w:val="12"/>
          <w:rFonts w:hint="eastAsia" w:ascii="宋体" w:hAnsi="宋体" w:eastAsia="宋体" w:cs="宋体"/>
          <w:b w:val="0"/>
          <w:bCs w:val="0"/>
          <w:color w:val="auto"/>
          <w:kern w:val="0"/>
          <w:sz w:val="21"/>
          <w:szCs w:val="21"/>
          <w:highlight w:val="none"/>
          <w:u w:val="none"/>
          <w:lang w:val="en-US" w:eastAsia="zh-CN" w:bidi="ar-SA"/>
        </w:rPr>
        <w:t>否则投标无效。</w:t>
      </w:r>
      <w:r>
        <w:rPr>
          <w:rStyle w:val="12"/>
          <w:rFonts w:hint="eastAsia" w:ascii="宋体" w:hAnsi="宋体" w:eastAsia="宋体" w:cs="宋体"/>
          <w:b/>
          <w:color w:val="auto"/>
          <w:kern w:val="0"/>
          <w:sz w:val="21"/>
          <w:szCs w:val="21"/>
          <w:highlight w:val="none"/>
          <w:u w:val="none"/>
          <w:lang w:val="en-US" w:eastAsia="zh-CN" w:bidi="ar-SA"/>
        </w:rPr>
        <w:t xml:space="preserve"> </w:t>
      </w:r>
      <w:r>
        <w:rPr>
          <w:rStyle w:val="12"/>
          <w:rFonts w:hint="eastAsia" w:ascii="宋体" w:hAnsi="宋体" w:eastAsia="宋体" w:cs="宋体"/>
          <w:b/>
          <w:color w:val="auto"/>
          <w:kern w:val="0"/>
          <w:sz w:val="21"/>
          <w:szCs w:val="21"/>
          <w:highlight w:val="none"/>
          <w:lang w:val="en-US" w:eastAsia="zh-CN" w:bidi="ar-SA"/>
        </w:rPr>
        <w:t xml:space="preserve">                   </w:t>
      </w:r>
    </w:p>
    <w:p w14:paraId="30F416DF">
      <w:pPr>
        <w:pStyle w:val="15"/>
        <w:pageBreakBefore w:val="0"/>
        <w:widowControl w:val="0"/>
        <w:wordWrap/>
        <w:overflowPunct/>
        <w:topLinePunct w:val="0"/>
        <w:bidi w:val="0"/>
        <w:adjustRightInd w:val="0"/>
        <w:snapToGrid w:val="0"/>
        <w:spacing w:line="360" w:lineRule="auto"/>
        <w:ind w:firstLine="420" w:firstLineChars="200"/>
        <w:jc w:val="both"/>
        <w:rPr>
          <w:rStyle w:val="12"/>
          <w:rFonts w:hint="eastAsia" w:ascii="宋体" w:hAnsi="宋体" w:eastAsia="宋体" w:cs="宋体"/>
          <w:color w:val="auto"/>
          <w:kern w:val="0"/>
          <w:sz w:val="21"/>
          <w:szCs w:val="22"/>
          <w:highlight w:val="none"/>
          <w:lang w:val="en-US" w:eastAsia="zh-CN" w:bidi="ar-SA"/>
        </w:rPr>
      </w:pPr>
      <w:r>
        <w:rPr>
          <w:rStyle w:val="12"/>
          <w:rFonts w:hint="eastAsia" w:ascii="宋体" w:hAnsi="宋体" w:eastAsia="宋体" w:cs="宋体"/>
          <w:b w:val="0"/>
          <w:bCs/>
          <w:color w:val="auto"/>
          <w:kern w:val="2"/>
          <w:sz w:val="21"/>
          <w:szCs w:val="22"/>
          <w:highlight w:val="none"/>
          <w:lang w:val="en-US" w:eastAsia="zh-CN" w:bidi="ar-SA"/>
        </w:rPr>
        <w:t>6、</w:t>
      </w:r>
      <w:r>
        <w:rPr>
          <w:rStyle w:val="12"/>
          <w:rFonts w:hint="eastAsia" w:ascii="宋体" w:hAnsi="宋体" w:eastAsia="宋体" w:cs="宋体"/>
          <w:b/>
          <w:color w:val="auto"/>
          <w:kern w:val="2"/>
          <w:sz w:val="21"/>
          <w:szCs w:val="22"/>
          <w:highlight w:val="none"/>
          <w:lang w:val="en-US" w:eastAsia="zh-CN" w:bidi="ar-SA"/>
        </w:rPr>
        <w:t>强制节能产品：</w:t>
      </w:r>
      <w:r>
        <w:rPr>
          <w:rStyle w:val="12"/>
          <w:rFonts w:hint="eastAsia" w:ascii="宋体" w:hAnsi="宋体" w:eastAsia="宋体" w:cs="宋体"/>
          <w:color w:val="auto"/>
          <w:kern w:val="2"/>
          <w:sz w:val="21"/>
          <w:szCs w:val="22"/>
          <w:highlight w:val="none"/>
          <w:lang w:val="en-US" w:eastAsia="zh-CN" w:bidi="ar-SA"/>
        </w:rPr>
        <w:t>上表“</w:t>
      </w:r>
      <w:r>
        <w:rPr>
          <w:rStyle w:val="12"/>
          <w:rFonts w:hint="eastAsia" w:ascii="宋体" w:hAnsi="宋体" w:eastAsia="宋体" w:cs="宋体"/>
          <w:b/>
          <w:color w:val="auto"/>
          <w:kern w:val="0"/>
          <w:sz w:val="21"/>
          <w:szCs w:val="21"/>
          <w:highlight w:val="none"/>
          <w:lang w:val="en-US" w:eastAsia="zh-CN" w:bidi="ar-SA"/>
        </w:rPr>
        <w:t>是否为强制节能产品</w:t>
      </w:r>
      <w:r>
        <w:rPr>
          <w:rStyle w:val="12"/>
          <w:rFonts w:hint="eastAsia" w:ascii="宋体" w:hAnsi="宋体" w:eastAsia="宋体" w:cs="宋体"/>
          <w:color w:val="auto"/>
          <w:kern w:val="2"/>
          <w:sz w:val="21"/>
          <w:szCs w:val="22"/>
          <w:highlight w:val="none"/>
          <w:lang w:val="en-US" w:eastAsia="zh-CN" w:bidi="ar-SA"/>
        </w:rPr>
        <w:t>”栏中标注“</w:t>
      </w:r>
      <w:r>
        <w:rPr>
          <w:rStyle w:val="12"/>
          <w:rFonts w:hint="eastAsia" w:ascii="宋体" w:hAnsi="宋体" w:eastAsia="宋体" w:cs="宋体"/>
          <w:b/>
          <w:bCs/>
          <w:color w:val="auto"/>
          <w:kern w:val="2"/>
          <w:sz w:val="21"/>
          <w:szCs w:val="22"/>
          <w:highlight w:val="none"/>
          <w:lang w:val="en-US" w:eastAsia="zh-CN" w:bidi="ar-SA"/>
        </w:rPr>
        <w:t>是</w:t>
      </w:r>
      <w:r>
        <w:rPr>
          <w:rStyle w:val="12"/>
          <w:rFonts w:hint="eastAsia" w:ascii="宋体" w:hAnsi="宋体" w:eastAsia="宋体" w:cs="宋体"/>
          <w:color w:val="auto"/>
          <w:kern w:val="2"/>
          <w:sz w:val="21"/>
          <w:szCs w:val="22"/>
          <w:highlight w:val="none"/>
          <w:lang w:val="en-US" w:eastAsia="zh-CN" w:bidi="ar-SA"/>
        </w:rPr>
        <w:t>”的为强制节能产品</w:t>
      </w:r>
      <w:r>
        <w:rPr>
          <w:rStyle w:val="12"/>
          <w:rFonts w:hint="eastAsia" w:ascii="宋体" w:hAnsi="宋体" w:eastAsia="宋体" w:cs="宋体"/>
          <w:b/>
          <w:color w:val="auto"/>
          <w:kern w:val="2"/>
          <w:sz w:val="21"/>
          <w:szCs w:val="22"/>
          <w:highlight w:val="none"/>
          <w:lang w:val="en-US" w:eastAsia="zh-CN" w:bidi="ar-SA"/>
        </w:rPr>
        <w:t>，</w:t>
      </w:r>
      <w:r>
        <w:rPr>
          <w:rStyle w:val="12"/>
          <w:rFonts w:hint="eastAsia" w:ascii="宋体" w:hAnsi="宋体" w:eastAsia="宋体" w:cs="宋体"/>
          <w:color w:val="auto"/>
          <w:kern w:val="0"/>
          <w:sz w:val="21"/>
          <w:szCs w:val="22"/>
          <w:highlight w:val="none"/>
          <w:lang w:val="en-US" w:eastAsia="zh-CN" w:bidi="ar-SA"/>
        </w:rPr>
        <w:t>投标人投标产品应当取得国家确定的认证机构出具的、处于有效期之内的节能产品认证证书，否则其</w:t>
      </w:r>
      <w:r>
        <w:rPr>
          <w:rStyle w:val="12"/>
          <w:rFonts w:hint="eastAsia" w:ascii="宋体" w:hAnsi="宋体" w:eastAsia="宋体" w:cs="宋体"/>
          <w:b/>
          <w:color w:val="auto"/>
          <w:kern w:val="0"/>
          <w:sz w:val="21"/>
          <w:szCs w:val="21"/>
          <w:highlight w:val="none"/>
          <w:lang w:val="en-US" w:eastAsia="zh-CN" w:bidi="ar-SA"/>
        </w:rPr>
        <w:t>投标无效</w:t>
      </w:r>
      <w:r>
        <w:rPr>
          <w:rStyle w:val="12"/>
          <w:rFonts w:hint="eastAsia" w:ascii="宋体" w:hAnsi="宋体" w:eastAsia="宋体" w:cs="宋体"/>
          <w:color w:val="auto"/>
          <w:kern w:val="0"/>
          <w:sz w:val="21"/>
          <w:szCs w:val="22"/>
          <w:highlight w:val="none"/>
          <w:lang w:val="en-US" w:eastAsia="zh-CN" w:bidi="ar-SA"/>
        </w:rPr>
        <w:t>。</w:t>
      </w:r>
    </w:p>
    <w:p w14:paraId="45D128F4">
      <w:pPr>
        <w:pStyle w:val="15"/>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Style w:val="12"/>
          <w:rFonts w:hint="eastAsia" w:ascii="宋体" w:hAnsi="宋体" w:eastAsia="宋体" w:cs="Times New Roman"/>
          <w:b/>
          <w:color w:val="auto"/>
          <w:kern w:val="2"/>
          <w:sz w:val="21"/>
          <w:szCs w:val="21"/>
          <w:highlight w:val="none"/>
          <w:lang w:val="en-US" w:eastAsia="zh-CN" w:bidi="ar-SA"/>
        </w:rPr>
      </w:pPr>
      <w:r>
        <w:rPr>
          <w:rStyle w:val="12"/>
          <w:rFonts w:hint="eastAsia" w:ascii="宋体" w:hAnsi="宋体" w:eastAsia="宋体" w:cs="宋体"/>
          <w:color w:val="auto"/>
          <w:kern w:val="0"/>
          <w:sz w:val="21"/>
          <w:szCs w:val="22"/>
          <w:highlight w:val="none"/>
          <w:lang w:val="en-US" w:eastAsia="zh-CN" w:bidi="ar-SA"/>
        </w:rPr>
        <w:t>7、</w:t>
      </w:r>
      <w:r>
        <w:rPr>
          <w:rStyle w:val="12"/>
          <w:rFonts w:hint="eastAsia" w:ascii="宋体" w:hAnsi="宋体" w:eastAsia="宋体" w:cs="Times New Roman"/>
          <w:b/>
          <w:bCs/>
          <w:color w:val="auto"/>
          <w:kern w:val="2"/>
          <w:sz w:val="21"/>
          <w:szCs w:val="21"/>
          <w:highlight w:val="none"/>
          <w:lang w:val="en-US" w:eastAsia="zh-CN" w:bidi="ar-SA"/>
        </w:rPr>
        <w:t>原装进口：</w:t>
      </w:r>
      <w:r>
        <w:rPr>
          <w:rStyle w:val="12"/>
          <w:rFonts w:hint="eastAsia" w:ascii="宋体" w:hAnsi="宋体" w:eastAsia="宋体" w:cs="Times New Roman"/>
          <w:b w:val="0"/>
          <w:bCs w:val="0"/>
          <w:color w:val="auto"/>
          <w:kern w:val="2"/>
          <w:sz w:val="21"/>
          <w:szCs w:val="21"/>
          <w:highlight w:val="none"/>
          <w:lang w:val="en-US" w:eastAsia="zh-CN" w:bidi="ar-SA"/>
        </w:rPr>
        <w:t>上表</w:t>
      </w:r>
      <w:r>
        <w:rPr>
          <w:rStyle w:val="12"/>
          <w:rFonts w:hint="eastAsia" w:ascii="宋体" w:hAnsi="宋体" w:eastAsia="宋体" w:cs="Times New Roman"/>
          <w:b/>
          <w:bCs/>
          <w:color w:val="auto"/>
          <w:kern w:val="2"/>
          <w:sz w:val="21"/>
          <w:szCs w:val="21"/>
          <w:highlight w:val="none"/>
          <w:lang w:val="en-US" w:eastAsia="zh-CN" w:bidi="ar-SA"/>
        </w:rPr>
        <w:t>“是否接受进口设备”</w:t>
      </w:r>
      <w:r>
        <w:rPr>
          <w:rStyle w:val="12"/>
          <w:rFonts w:hint="eastAsia" w:ascii="宋体" w:hAnsi="宋体" w:eastAsia="宋体" w:cs="Times New Roman"/>
          <w:b w:val="0"/>
          <w:bCs w:val="0"/>
          <w:color w:val="auto"/>
          <w:kern w:val="2"/>
          <w:sz w:val="21"/>
          <w:szCs w:val="21"/>
          <w:highlight w:val="none"/>
          <w:lang w:val="en-US" w:eastAsia="zh-CN" w:bidi="ar-SA"/>
        </w:rPr>
        <w:t>栏中标注</w:t>
      </w:r>
      <w:r>
        <w:rPr>
          <w:rStyle w:val="12"/>
          <w:rFonts w:hint="eastAsia" w:ascii="宋体" w:hAnsi="宋体" w:eastAsia="宋体" w:cs="Times New Roman"/>
          <w:b/>
          <w:bCs/>
          <w:color w:val="auto"/>
          <w:kern w:val="2"/>
          <w:sz w:val="21"/>
          <w:szCs w:val="21"/>
          <w:highlight w:val="none"/>
          <w:lang w:val="en-US" w:eastAsia="zh-CN" w:bidi="ar-SA"/>
        </w:rPr>
        <w:t>“是”</w:t>
      </w:r>
      <w:r>
        <w:rPr>
          <w:rStyle w:val="12"/>
          <w:rFonts w:hint="eastAsia" w:ascii="宋体" w:hAnsi="宋体" w:eastAsia="宋体" w:cs="Times New Roman"/>
          <w:b w:val="0"/>
          <w:bCs w:val="0"/>
          <w:color w:val="auto"/>
          <w:kern w:val="2"/>
          <w:sz w:val="21"/>
          <w:szCs w:val="21"/>
          <w:highlight w:val="none"/>
          <w:lang w:val="en-US" w:eastAsia="zh-CN" w:bidi="ar-SA"/>
        </w:rPr>
        <w:t>的设备已经通过主管部门审核同意，接受进口产品参与投标，标注“</w:t>
      </w:r>
      <w:r>
        <w:rPr>
          <w:rStyle w:val="12"/>
          <w:rFonts w:hint="eastAsia" w:ascii="宋体" w:hAnsi="宋体" w:eastAsia="宋体" w:cs="Times New Roman"/>
          <w:b/>
          <w:bCs/>
          <w:color w:val="auto"/>
          <w:kern w:val="2"/>
          <w:sz w:val="21"/>
          <w:szCs w:val="21"/>
          <w:highlight w:val="none"/>
          <w:lang w:val="en-US" w:eastAsia="zh-CN" w:bidi="ar-SA"/>
        </w:rPr>
        <w:t>否</w:t>
      </w:r>
      <w:r>
        <w:rPr>
          <w:rStyle w:val="12"/>
          <w:rFonts w:hint="eastAsia" w:ascii="宋体" w:hAnsi="宋体" w:eastAsia="宋体" w:cs="Times New Roman"/>
          <w:b w:val="0"/>
          <w:bCs w:val="0"/>
          <w:color w:val="auto"/>
          <w:kern w:val="2"/>
          <w:sz w:val="21"/>
          <w:szCs w:val="21"/>
          <w:highlight w:val="none"/>
          <w:lang w:val="en-US" w:eastAsia="zh-CN" w:bidi="ar-SA"/>
        </w:rPr>
        <w:t>”的拒绝进口产品参与投标。</w:t>
      </w:r>
    </w:p>
    <w:p w14:paraId="51E75734">
      <w:pPr>
        <w:pStyle w:val="14"/>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both"/>
        <w:textAlignment w:val="auto"/>
        <w:rPr>
          <w:rStyle w:val="12"/>
          <w:rFonts w:hint="eastAsia" w:ascii="宋体" w:hAnsi="宋体" w:eastAsia="宋体" w:cs="Times New Roman"/>
          <w:b/>
          <w:color w:val="auto"/>
          <w:kern w:val="2"/>
          <w:sz w:val="21"/>
          <w:szCs w:val="21"/>
          <w:highlight w:val="none"/>
          <w:lang w:val="en-US" w:eastAsia="zh-CN" w:bidi="ar-SA"/>
        </w:rPr>
      </w:pPr>
    </w:p>
    <w:p w14:paraId="724EAEB8">
      <w:pPr>
        <w:rPr>
          <w:rStyle w:val="12"/>
          <w:rFonts w:hint="eastAsia" w:ascii="黑体" w:hAnsi="黑体" w:eastAsia="黑体" w:cs="Times New Roman"/>
          <w:b/>
          <w:bCs/>
          <w:color w:val="auto"/>
          <w:kern w:val="2"/>
          <w:sz w:val="28"/>
          <w:szCs w:val="28"/>
          <w:highlight w:val="none"/>
          <w:lang w:val="en-US" w:eastAsia="zh-CN" w:bidi="ar-SA"/>
        </w:rPr>
      </w:pPr>
      <w:bookmarkStart w:id="14" w:name="_Toc26952"/>
      <w:bookmarkStart w:id="15" w:name="_Toc2842"/>
      <w:bookmarkStart w:id="16" w:name="_Toc46"/>
      <w:bookmarkStart w:id="17" w:name="_Toc32651"/>
      <w:bookmarkStart w:id="18" w:name="_Toc22916"/>
      <w:bookmarkStart w:id="19" w:name="_Toc21425"/>
      <w:bookmarkStart w:id="20" w:name="_Toc15276"/>
      <w:bookmarkStart w:id="21" w:name="_Toc256000039"/>
      <w:r>
        <w:rPr>
          <w:rStyle w:val="12"/>
          <w:rFonts w:hint="eastAsia" w:ascii="黑体" w:hAnsi="黑体" w:eastAsia="黑体" w:cs="Times New Roman"/>
          <w:b/>
          <w:bCs/>
          <w:color w:val="auto"/>
          <w:kern w:val="2"/>
          <w:sz w:val="28"/>
          <w:szCs w:val="28"/>
          <w:highlight w:val="none"/>
          <w:lang w:val="en-US" w:eastAsia="zh-CN" w:bidi="ar-SA"/>
        </w:rPr>
        <w:br w:type="page"/>
      </w:r>
    </w:p>
    <w:bookmarkEnd w:id="12"/>
    <w:p w14:paraId="4F28CFF6">
      <w:pPr>
        <w:pStyle w:val="13"/>
        <w:keepNext/>
        <w:keepLines/>
        <w:pageBreakBefore w:val="0"/>
        <w:widowControl w:val="0"/>
        <w:numPr>
          <w:ilvl w:val="0"/>
          <w:numId w:val="1"/>
        </w:numPr>
        <w:kinsoku/>
        <w:wordWrap/>
        <w:overflowPunct/>
        <w:topLinePunct w:val="0"/>
        <w:autoSpaceDE/>
        <w:autoSpaceDN/>
        <w:bidi w:val="0"/>
        <w:adjustRightInd w:val="0"/>
        <w:snapToGrid w:val="0"/>
        <w:spacing w:line="360" w:lineRule="auto"/>
        <w:ind w:firstLine="422" w:firstLineChars="200"/>
        <w:jc w:val="center"/>
        <w:outlineLvl w:val="1"/>
        <w:rPr>
          <w:rStyle w:val="12"/>
          <w:rFonts w:hint="eastAsia" w:ascii="黑体" w:hAnsi="黑体" w:eastAsia="黑体" w:cs="Times New Roman"/>
          <w:b/>
          <w:bCs/>
          <w:color w:val="auto"/>
          <w:kern w:val="2"/>
          <w:sz w:val="21"/>
          <w:szCs w:val="21"/>
          <w:highlight w:val="none"/>
          <w:lang w:val="en-US" w:eastAsia="zh-CN" w:bidi="ar-SA"/>
        </w:rPr>
      </w:pPr>
      <w:r>
        <w:rPr>
          <w:rStyle w:val="12"/>
          <w:rFonts w:hint="eastAsia" w:ascii="黑体" w:hAnsi="黑体" w:eastAsia="黑体" w:cs="Times New Roman"/>
          <w:b/>
          <w:bCs/>
          <w:color w:val="auto"/>
          <w:kern w:val="2"/>
          <w:sz w:val="21"/>
          <w:szCs w:val="21"/>
          <w:highlight w:val="none"/>
          <w:lang w:val="en-US" w:eastAsia="zh-CN" w:bidi="ar-SA"/>
        </w:rPr>
        <w:t>技术要求</w:t>
      </w:r>
      <w:bookmarkEnd w:id="13"/>
      <w:bookmarkEnd w:id="14"/>
      <w:bookmarkEnd w:id="15"/>
      <w:bookmarkEnd w:id="16"/>
      <w:bookmarkEnd w:id="17"/>
      <w:bookmarkEnd w:id="18"/>
      <w:bookmarkEnd w:id="19"/>
      <w:bookmarkEnd w:id="20"/>
      <w:bookmarkEnd w:id="21"/>
      <w:bookmarkStart w:id="22" w:name="_Toc1842"/>
      <w:bookmarkStart w:id="23" w:name="_Toc4711"/>
      <w:bookmarkStart w:id="24" w:name="_Toc6593"/>
      <w:bookmarkStart w:id="25" w:name="_Toc256000040"/>
    </w:p>
    <w:bookmarkEnd w:id="22"/>
    <w:bookmarkEnd w:id="23"/>
    <w:bookmarkEnd w:id="24"/>
    <w:bookmarkEnd w:id="25"/>
    <w:p w14:paraId="5C0DA27E">
      <w:pPr>
        <w:pageBreakBefore w:val="0"/>
        <w:kinsoku/>
        <w:wordWrap/>
        <w:overflowPunct/>
        <w:topLinePunct w:val="0"/>
        <w:autoSpaceDE/>
        <w:autoSpaceDN/>
        <w:bidi w:val="0"/>
        <w:ind w:firstLine="422" w:firstLineChars="200"/>
        <w:jc w:val="left"/>
        <w:rPr>
          <w:rStyle w:val="12"/>
          <w:rFonts w:hint="eastAsia" w:asciiTheme="majorEastAsia" w:hAnsiTheme="majorEastAsia" w:eastAsiaTheme="majorEastAsia" w:cstheme="majorEastAsia"/>
          <w:b/>
          <w:bCs/>
          <w:color w:val="auto"/>
          <w:kern w:val="2"/>
          <w:sz w:val="21"/>
          <w:szCs w:val="21"/>
          <w:highlight w:val="none"/>
          <w:lang w:val="en-US" w:eastAsia="zh-CN" w:bidi="ar-SA"/>
        </w:rPr>
      </w:pPr>
    </w:p>
    <w:p w14:paraId="03A27D97">
      <w:pPr>
        <w:keepNext w:val="0"/>
        <w:keepLines w:val="0"/>
        <w:pageBreakBefore w:val="0"/>
        <w:kinsoku/>
        <w:wordWrap/>
        <w:overflowPunct/>
        <w:topLinePunct w:val="0"/>
        <w:autoSpaceDE/>
        <w:autoSpaceDN/>
        <w:bidi w:val="0"/>
        <w:adjustRightInd/>
        <w:snapToGrid/>
        <w:spacing w:line="360" w:lineRule="exact"/>
        <w:jc w:val="left"/>
        <w:rPr>
          <w:rStyle w:val="12"/>
          <w:rFonts w:hint="default" w:asciiTheme="majorEastAsia" w:hAnsiTheme="majorEastAsia" w:eastAsiaTheme="majorEastAsia" w:cstheme="majorEastAsia"/>
          <w:b/>
          <w:bCs/>
          <w:color w:val="auto"/>
          <w:kern w:val="2"/>
          <w:sz w:val="21"/>
          <w:szCs w:val="21"/>
          <w:highlight w:val="none"/>
          <w:lang w:val="en-US" w:eastAsia="zh-CN" w:bidi="ar-SA"/>
        </w:rPr>
      </w:pPr>
      <w:r>
        <w:rPr>
          <w:rStyle w:val="12"/>
          <w:rFonts w:hint="eastAsia" w:asciiTheme="majorEastAsia" w:hAnsiTheme="majorEastAsia" w:eastAsiaTheme="majorEastAsia" w:cstheme="majorEastAsia"/>
          <w:b/>
          <w:bCs/>
          <w:color w:val="auto"/>
          <w:kern w:val="2"/>
          <w:sz w:val="21"/>
          <w:szCs w:val="21"/>
          <w:highlight w:val="none"/>
          <w:lang w:val="en-US" w:eastAsia="zh-CN" w:bidi="ar-SA"/>
        </w:rPr>
        <w:t>品目1、</w:t>
      </w:r>
      <w:r>
        <w:rPr>
          <w:rFonts w:hint="eastAsia" w:ascii="宋体" w:hAnsi="宋体" w:eastAsia="宋体" w:cs="宋体"/>
          <w:i w:val="0"/>
          <w:iCs w:val="0"/>
          <w:color w:val="000000"/>
          <w:kern w:val="0"/>
          <w:sz w:val="22"/>
          <w:szCs w:val="22"/>
          <w:u w:val="none"/>
          <w:lang w:val="en-US" w:eastAsia="zh-CN" w:bidi="ar"/>
        </w:rPr>
        <w:t>云桌面服务器</w:t>
      </w:r>
      <w:r>
        <w:rPr>
          <w:rStyle w:val="12"/>
          <w:rFonts w:hint="eastAsia" w:asciiTheme="majorEastAsia" w:hAnsiTheme="majorEastAsia" w:eastAsiaTheme="majorEastAsia" w:cstheme="majorEastAsia"/>
          <w:b/>
          <w:bCs/>
          <w:color w:val="auto"/>
          <w:kern w:val="2"/>
          <w:sz w:val="21"/>
          <w:szCs w:val="21"/>
          <w:highlight w:val="none"/>
          <w:lang w:val="en-US" w:eastAsia="zh-CN" w:bidi="ar-SA"/>
        </w:rPr>
        <w:t>1台</w:t>
      </w:r>
    </w:p>
    <w:p w14:paraId="60E2A0F9">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jc w:val="left"/>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基本要求：</w:t>
      </w:r>
    </w:p>
    <w:p w14:paraId="35F6978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1、要求1U机架式服务器。</w:t>
      </w:r>
    </w:p>
    <w:p w14:paraId="75B3F9A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2、配置国产化系列处理器，每颗CPU≥8核心16线程，主频≥3.0Ghz。配置内存容量≥32G。配置SSD固态硬盘≥1400G，配置机械硬盘总容量≥16TB。配置千兆网口≥4个。服务器电源功率≥350W。</w:t>
      </w:r>
    </w:p>
    <w:p w14:paraId="28422E8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3、为保障所投设备质量优异，可靠性高，要求所投设备平均故障间隔时间（MTBF）≥180000小时。</w:t>
      </w:r>
    </w:p>
    <w:p w14:paraId="557BDEC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4、要求所投产品符合国家GB/T 9254的相关标准，在30MHz~1GHz和1GHz~6GHz频率范围内的辐射骚扰测试结果符合要求。</w:t>
      </w:r>
      <w:r>
        <w:rPr>
          <w:rFonts w:hint="eastAsia" w:ascii="宋体" w:hAnsi="宋体" w:eastAsia="宋体" w:cs="宋体"/>
          <w:i w:val="0"/>
          <w:iCs w:val="0"/>
          <w:color w:val="auto"/>
          <w:kern w:val="0"/>
          <w:sz w:val="21"/>
          <w:szCs w:val="21"/>
          <w:lang w:val="en-US" w:eastAsia="zh-CN" w:bidi="ar"/>
        </w:rPr>
        <w:t>提供</w:t>
      </w:r>
      <w:r>
        <w:rPr>
          <w:rFonts w:hint="eastAsia" w:ascii="宋体" w:hAnsi="宋体" w:cs="宋体"/>
          <w:i w:val="0"/>
          <w:iCs w:val="0"/>
          <w:color w:val="auto"/>
          <w:kern w:val="0"/>
          <w:sz w:val="21"/>
          <w:szCs w:val="21"/>
          <w:highlight w:val="none"/>
          <w:lang w:val="en-US" w:eastAsia="zh-CN" w:bidi="ar"/>
        </w:rPr>
        <w:t>具有CMA或CNAS标志的</w:t>
      </w:r>
      <w:r>
        <w:rPr>
          <w:rFonts w:hint="eastAsia" w:ascii="宋体" w:hAnsi="宋体" w:eastAsia="宋体" w:cs="宋体"/>
          <w:i w:val="0"/>
          <w:iCs w:val="0"/>
          <w:color w:val="auto"/>
          <w:kern w:val="0"/>
          <w:sz w:val="21"/>
          <w:szCs w:val="21"/>
          <w:lang w:val="en-US" w:eastAsia="zh-CN" w:bidi="ar"/>
        </w:rPr>
        <w:t>第三方测试报告复印件</w:t>
      </w:r>
      <w:r>
        <w:rPr>
          <w:rFonts w:hint="eastAsia" w:ascii="宋体" w:hAnsi="宋体" w:eastAsia="宋体" w:cs="宋体"/>
          <w:i w:val="0"/>
          <w:iCs w:val="0"/>
          <w:color w:val="auto"/>
          <w:kern w:val="0"/>
          <w:sz w:val="21"/>
          <w:szCs w:val="21"/>
          <w:lang w:val="en-US" w:eastAsia="zh-CN" w:bidi="ar"/>
        </w:rPr>
        <w:t>。</w:t>
      </w:r>
    </w:p>
    <w:p w14:paraId="05DD116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 xml:space="preserve">5、要求可管理终端数≥1500台，提供云盘功能，支持本地和云端同步存储数据。  </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                                                                                  </w:t>
      </w:r>
    </w:p>
    <w:p w14:paraId="48C0C91E">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6D762D62">
      <w:pPr>
        <w:keepNext w:val="0"/>
        <w:keepLines w:val="0"/>
        <w:pageBreakBefore w:val="0"/>
        <w:kinsoku/>
        <w:wordWrap/>
        <w:overflowPunct/>
        <w:topLinePunct w:val="0"/>
        <w:autoSpaceDE/>
        <w:autoSpaceDN/>
        <w:bidi w:val="0"/>
        <w:adjustRightInd/>
        <w:snapToGrid/>
        <w:spacing w:line="360" w:lineRule="exact"/>
        <w:jc w:val="left"/>
        <w:rPr>
          <w:rStyle w:val="12"/>
          <w:rFonts w:hint="default"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品目2、云桌面系统1 套</w:t>
      </w:r>
    </w:p>
    <w:p w14:paraId="4FD8E5C2">
      <w:pPr>
        <w:keepNext w:val="0"/>
        <w:keepLines w:val="0"/>
        <w:pageBreakBefore w:val="0"/>
        <w:numPr>
          <w:ilvl w:val="0"/>
          <w:numId w:val="0"/>
        </w:numPr>
        <w:kinsoku/>
        <w:wordWrap/>
        <w:overflowPunct/>
        <w:topLinePunct w:val="0"/>
        <w:autoSpaceDE/>
        <w:autoSpaceDN/>
        <w:bidi w:val="0"/>
        <w:adjustRightInd/>
        <w:snapToGrid/>
        <w:spacing w:line="360" w:lineRule="exact"/>
        <w:jc w:val="left"/>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基本要求：</w:t>
      </w:r>
    </w:p>
    <w:p w14:paraId="07FBBEA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1、管理平台采用B/S（Broswer/Server)架构，支持中文图形化操作界面。</w:t>
      </w:r>
    </w:p>
    <w:p w14:paraId="269A0CC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2、要求采用超融合基础架构，在同一管理平台内至少包含计算资源、存储资源、网络资源等功能管理模块。所有功能模块需要通过一个厂家的一套软件实现超融合部署，不可以使用多套软件或产品叠加实现。</w:t>
      </w:r>
    </w:p>
    <w:p w14:paraId="39CE4F5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3、为提供强大的扩展能力，需支持在集群中添加、移除服务器主机节点。</w:t>
      </w:r>
    </w:p>
    <w:p w14:paraId="702E2E2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4、支持将服务器主机节点添加为计算集群，为上层业务平台提供统一的计算、存储、网络资源调度，形成基础计算平台支撑。</w:t>
      </w:r>
    </w:p>
    <w:p w14:paraId="071B1C3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5、采用分布式存储架构，可以将服务器集群中多个节点的本地磁盘融合为统一存储资源空间，具备在线横向扩展能力，任一节点故障，都不会影响数据的正常访问。</w:t>
      </w:r>
    </w:p>
    <w:p w14:paraId="4F8AAB8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6、支持按需创建多个存储池，支持配置每个存储池所需使用的冗余策略，每个存储池的容量盘可从服务器集群中任意几个节点中的一块或多块磁盘中选择。</w:t>
      </w:r>
    </w:p>
    <w:p w14:paraId="00F1B22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7、存储池可以设置的冗余策略至少包括：单副本、2副本、3副本、纠删码等冗余策略，纠删码可以按照2数据1校验的方案部署并实际使用，磁盘空间的利用率≥60%。提供实际软件运行真实界面截图证明。</w:t>
      </w:r>
    </w:p>
    <w:p w14:paraId="38E45ED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8、支持多级缓存技术，可以预先将热点数据从机械盘缓存到SSD和内存中。</w:t>
      </w:r>
    </w:p>
    <w:p w14:paraId="3BFC081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9、支持数据均衡负载策略，当存储池扩容或者节点/容量盘出现故障时可以触发数据重分布，数据均衡的过程不会导致业务中断、也无需人工干预。</w:t>
      </w:r>
    </w:p>
    <w:p w14:paraId="2182F5B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▲10、为保证硬盘故障后，数据可以快速重构，要求所投产品在分布式存储的方案下，1T数据重构时间≤20分钟。</w:t>
      </w:r>
      <w:r>
        <w:rPr>
          <w:rFonts w:hint="eastAsia" w:ascii="宋体" w:hAnsi="宋体" w:eastAsia="宋体" w:cs="宋体"/>
          <w:i w:val="0"/>
          <w:iCs w:val="0"/>
          <w:color w:val="auto"/>
          <w:kern w:val="0"/>
          <w:sz w:val="21"/>
          <w:szCs w:val="21"/>
          <w:lang w:val="en-US" w:eastAsia="zh-CN" w:bidi="ar"/>
        </w:rPr>
        <w:t>提供</w:t>
      </w:r>
      <w:r>
        <w:rPr>
          <w:rFonts w:hint="eastAsia" w:ascii="宋体" w:hAnsi="宋体" w:cs="宋体"/>
          <w:i w:val="0"/>
          <w:iCs w:val="0"/>
          <w:color w:val="auto"/>
          <w:kern w:val="0"/>
          <w:sz w:val="21"/>
          <w:szCs w:val="21"/>
          <w:highlight w:val="none"/>
          <w:lang w:val="en-US" w:eastAsia="zh-CN" w:bidi="ar"/>
        </w:rPr>
        <w:t>具有CMA或CNAS标志的</w:t>
      </w:r>
      <w:r>
        <w:rPr>
          <w:rFonts w:hint="eastAsia" w:ascii="宋体" w:hAnsi="宋体" w:eastAsia="宋体" w:cs="宋体"/>
          <w:i w:val="0"/>
          <w:iCs w:val="0"/>
          <w:color w:val="auto"/>
          <w:kern w:val="0"/>
          <w:sz w:val="21"/>
          <w:szCs w:val="21"/>
          <w:lang w:val="en-US" w:eastAsia="zh-CN" w:bidi="ar"/>
        </w:rPr>
        <w:t>第三方检测机构出具的检测报告</w:t>
      </w:r>
      <w:r>
        <w:rPr>
          <w:rFonts w:hint="eastAsia" w:ascii="宋体" w:hAnsi="宋体" w:eastAsia="宋体" w:cs="宋体"/>
          <w:i w:val="0"/>
          <w:iCs w:val="0"/>
          <w:color w:val="auto"/>
          <w:kern w:val="0"/>
          <w:sz w:val="21"/>
          <w:szCs w:val="21"/>
          <w:lang w:val="en-US" w:eastAsia="zh-CN" w:bidi="ar"/>
        </w:rPr>
        <w:t>。</w:t>
      </w:r>
    </w:p>
    <w:p w14:paraId="49807C1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0723FC6F">
      <w:pPr>
        <w:keepNext w:val="0"/>
        <w:keepLines w:val="0"/>
        <w:pageBreakBefore w:val="0"/>
        <w:kinsoku/>
        <w:wordWrap/>
        <w:overflowPunct/>
        <w:topLinePunct w:val="0"/>
        <w:autoSpaceDE/>
        <w:autoSpaceDN/>
        <w:bidi w:val="0"/>
        <w:adjustRightInd/>
        <w:snapToGrid/>
        <w:spacing w:line="360" w:lineRule="exact"/>
        <w:jc w:val="left"/>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品目3、云桌面教师终端 3 台</w:t>
      </w:r>
    </w:p>
    <w:p w14:paraId="6F28E7F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1、所投终端均需为国内自主品牌。</w:t>
      </w:r>
    </w:p>
    <w:p w14:paraId="5F96E74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2、配置CPU性能≥8核12线程处理器；性能核心数量≥4个；内存容量≥16GB，本地存储≥512 GB SSD。</w:t>
      </w:r>
    </w:p>
    <w:p w14:paraId="42FF376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3、配置内存槽位≥2个，配置M.2 SSD槽位≥2个，2.5英寸硬盘位≥1个。</w:t>
      </w:r>
    </w:p>
    <w:p w14:paraId="2F60ADD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4、USB接口数量≥8个（其中USB 3.0接口≥4个），千兆网口≥1个，VGA接口≥1个，HDMI接口≥1个，音频输入输出接口≥2个。</w:t>
      </w:r>
    </w:p>
    <w:p w14:paraId="07C6224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5、为保障所投设备质量优异，可靠性高，要求所投设备平均故障间隔时间（MTBF）≥150000小时。</w:t>
      </w:r>
    </w:p>
    <w:p w14:paraId="19BEDB4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6、确保终端产品在使用过程中不发生人体触电风险</w:t>
      </w:r>
    </w:p>
    <w:p w14:paraId="09D5F33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0BF36BAA">
      <w:pPr>
        <w:keepNext w:val="0"/>
        <w:keepLines w:val="0"/>
        <w:pageBreakBefore w:val="0"/>
        <w:kinsoku/>
        <w:wordWrap/>
        <w:overflowPunct/>
        <w:topLinePunct w:val="0"/>
        <w:autoSpaceDE/>
        <w:autoSpaceDN/>
        <w:bidi w:val="0"/>
        <w:adjustRightInd/>
        <w:snapToGrid/>
        <w:spacing w:line="360" w:lineRule="exact"/>
        <w:jc w:val="left"/>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品目4、云桌面学生终端 168 台</w:t>
      </w:r>
    </w:p>
    <w:p w14:paraId="7D698A90">
      <w:pPr>
        <w:keepNext w:val="0"/>
        <w:keepLines w:val="0"/>
        <w:pageBreakBefore w:val="0"/>
        <w:widowControl/>
        <w:numPr>
          <w:ilvl w:val="0"/>
          <w:numId w:val="0"/>
        </w:numPr>
        <w:suppressLineNumbers w:val="0"/>
        <w:kinsoku/>
        <w:wordWrap/>
        <w:overflowPunct/>
        <w:topLinePunct w:val="0"/>
        <w:autoSpaceDE/>
        <w:autoSpaceDN/>
        <w:bidi w:val="0"/>
        <w:spacing w:line="240" w:lineRule="auto"/>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4E9486D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1、所投终端均需为国内自主品牌。</w:t>
      </w:r>
    </w:p>
    <w:p w14:paraId="6231393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2、配置CPU性能≥八核十二线程处理器；性能核心数量≥4个；内存容量≥8GB，本地存储≥256 GB SSD。</w:t>
      </w:r>
    </w:p>
    <w:p w14:paraId="17F5D94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3、配置内存槽位≥2个。配置M.2 SSD槽位≥2个，2.5英寸硬盘位≥1个。</w:t>
      </w:r>
    </w:p>
    <w:p w14:paraId="6AB59B6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4、USB接口数量≥8个（其中USB 3.0接口≥4个），千兆网口≥1个，VGA接口≥1个，HDMI接口≥1个，音频输入输出接口≥2个。</w:t>
      </w:r>
    </w:p>
    <w:p w14:paraId="6D9397A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5、为保障所投设备质量优异，可靠性高，要求所投设备平均故障间隔时间（MTBF）≥150000小时。</w:t>
      </w:r>
    </w:p>
    <w:p w14:paraId="213F1B1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6、确保终端产品在使用过程中不发生人体触电风险。</w:t>
      </w:r>
    </w:p>
    <w:p w14:paraId="73EB29E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kern w:val="0"/>
          <w:sz w:val="21"/>
          <w:szCs w:val="21"/>
          <w:lang w:val="en-US" w:eastAsia="zh-CN" w:bidi="ar"/>
        </w:rPr>
      </w:pPr>
    </w:p>
    <w:p w14:paraId="3B414E88">
      <w:pPr>
        <w:keepNext w:val="0"/>
        <w:keepLines w:val="0"/>
        <w:pageBreakBefore w:val="0"/>
        <w:kinsoku/>
        <w:wordWrap/>
        <w:overflowPunct/>
        <w:topLinePunct w:val="0"/>
        <w:autoSpaceDE/>
        <w:autoSpaceDN/>
        <w:bidi w:val="0"/>
        <w:adjustRightInd/>
        <w:snapToGrid/>
        <w:spacing w:line="360" w:lineRule="exact"/>
        <w:jc w:val="left"/>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品目5、云桌面终端软件授权 171 套</w:t>
      </w:r>
    </w:p>
    <w:p w14:paraId="6E91806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1、采用B/S软件架构，中文图形化管理页面。</w:t>
      </w:r>
    </w:p>
    <w:p w14:paraId="2E742AF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2、为了方便管理和使用，管理平台要包括镜像管理、教室管理、用户管理等关键功能模块。</w:t>
      </w:r>
    </w:p>
    <w:p w14:paraId="110FA42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3、为满足基本教学的使用需求，要求镜像模版可以使用多种类型的操作系统，支持主流Windows及Linux操作系统镜像模板，包含但不限于Windows 10/11、国产Linux操作系统等。</w:t>
      </w:r>
    </w:p>
    <w:p w14:paraId="1AC99AF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4、支持镜像模版链接分享功能，管理员可将编辑镜像模板的链接分享给任课老师，在浏览器中直接输入链接地址即可对镜像模板进行编辑，支持分享链接的失效期、分享验证码设置。</w:t>
      </w:r>
    </w:p>
    <w:p w14:paraId="4467308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5、为保证重要镜像的安全性，支持教学镜像对学生隐藏或可见，支持镜像模版自动快照，每次镜像发布时可以自动为镜像模版打快照。</w:t>
      </w:r>
    </w:p>
    <w:p w14:paraId="0E13485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6、要求可以通过LDAP协议对接学校的统一身份平台，让用户也可以使用统一身份平台的用户信息，无需重新创建一个全新的用户体系。</w:t>
      </w:r>
    </w:p>
    <w:p w14:paraId="1330569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7、为了管理的便捷性，支持管理员通过服务器集群的web管理平台唤醒远程不同网段的终端，中间无需使用跳板机转发。</w:t>
      </w:r>
    </w:p>
    <w:p w14:paraId="15BFEA8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8、为满足操作系统、安卓编程等课程的使用需求，支持嵌套虚拟化功能，在终端桌面上可以正常使用VMware、android studio等需要运行虚拟机的软件。</w:t>
      </w:r>
    </w:p>
    <w:p w14:paraId="5146F3E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9、为满足教学过程数据存储，可以在学生单个镜像内设置数据盘，数据盘可以按每月、每周、每日或指定时间设置还原策略。</w:t>
      </w:r>
    </w:p>
    <w:p w14:paraId="742880D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auto"/>
          <w:kern w:val="0"/>
          <w:sz w:val="21"/>
          <w:szCs w:val="21"/>
          <w:highlight w:val="none"/>
          <w:lang w:val="en-US" w:eastAsia="zh-CN" w:bidi="ar"/>
        </w:rPr>
      </w:pPr>
      <w:r>
        <w:rPr>
          <w:rFonts w:hint="default" w:ascii="宋体" w:hAnsi="宋体" w:eastAsia="宋体" w:cs="宋体"/>
          <w:i w:val="0"/>
          <w:iCs w:val="0"/>
          <w:color w:val="auto"/>
          <w:kern w:val="0"/>
          <w:sz w:val="21"/>
          <w:szCs w:val="21"/>
          <w:highlight w:val="none"/>
          <w:lang w:val="en-US" w:eastAsia="zh-CN" w:bidi="ar"/>
        </w:rPr>
        <w:t>1</w:t>
      </w:r>
      <w:r>
        <w:rPr>
          <w:rFonts w:hint="eastAsia" w:ascii="宋体" w:hAnsi="宋体" w:cs="宋体"/>
          <w:i w:val="0"/>
          <w:iCs w:val="0"/>
          <w:color w:val="auto"/>
          <w:kern w:val="0"/>
          <w:sz w:val="21"/>
          <w:szCs w:val="21"/>
          <w:highlight w:val="none"/>
          <w:lang w:val="en-US" w:eastAsia="zh-CN" w:bidi="ar"/>
        </w:rPr>
        <w:t>0</w:t>
      </w:r>
      <w:r>
        <w:rPr>
          <w:rFonts w:hint="default" w:ascii="宋体" w:hAnsi="宋体" w:eastAsia="宋体" w:cs="宋体"/>
          <w:i w:val="0"/>
          <w:iCs w:val="0"/>
          <w:color w:val="auto"/>
          <w:kern w:val="0"/>
          <w:sz w:val="21"/>
          <w:szCs w:val="21"/>
          <w:highlight w:val="none"/>
          <w:lang w:val="en-US" w:eastAsia="zh-CN" w:bidi="ar"/>
        </w:rPr>
        <w:t>、支持镜像模版快照，每次镜像发布时可以为镜像模版生成快照，支持的最大快照数量≥8个，提供实际界面截图证明。</w:t>
      </w:r>
    </w:p>
    <w:p w14:paraId="3754C79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auto"/>
          <w:kern w:val="0"/>
          <w:sz w:val="21"/>
          <w:szCs w:val="21"/>
          <w:highlight w:val="none"/>
          <w:lang w:val="en-US" w:eastAsia="zh-CN" w:bidi="ar"/>
        </w:rPr>
      </w:pPr>
      <w:r>
        <w:rPr>
          <w:rFonts w:hint="eastAsia" w:ascii="宋体" w:hAnsi="宋体" w:cs="宋体"/>
          <w:i w:val="0"/>
          <w:iCs w:val="0"/>
          <w:color w:val="auto"/>
          <w:kern w:val="0"/>
          <w:sz w:val="21"/>
          <w:szCs w:val="21"/>
          <w:highlight w:val="none"/>
          <w:lang w:val="en-US" w:eastAsia="zh-CN" w:bidi="ar"/>
        </w:rPr>
        <w:t>11、提供正版操作系统授权。</w:t>
      </w:r>
    </w:p>
    <w:p w14:paraId="48700A96">
      <w:pPr>
        <w:keepNext w:val="0"/>
        <w:keepLines w:val="0"/>
        <w:pageBreakBefore w:val="0"/>
        <w:widowControl/>
        <w:numPr>
          <w:ilvl w:val="0"/>
          <w:numId w:val="0"/>
        </w:numPr>
        <w:suppressLineNumbers w:val="0"/>
        <w:kinsoku/>
        <w:wordWrap/>
        <w:overflowPunct/>
        <w:topLinePunct w:val="0"/>
        <w:autoSpaceDE/>
        <w:autoSpaceDN/>
        <w:bidi w:val="0"/>
        <w:spacing w:line="240" w:lineRule="auto"/>
        <w:jc w:val="left"/>
        <w:textAlignment w:val="center"/>
        <w:rPr>
          <w:rFonts w:hint="eastAsia" w:ascii="宋体" w:hAnsi="宋体" w:eastAsia="宋体" w:cs="宋体"/>
          <w:i w:val="0"/>
          <w:iCs w:val="0"/>
          <w:color w:val="000000"/>
          <w:kern w:val="0"/>
          <w:sz w:val="21"/>
          <w:szCs w:val="21"/>
          <w:lang w:val="en-US" w:eastAsia="zh-CN" w:bidi="ar"/>
        </w:rPr>
      </w:pPr>
    </w:p>
    <w:p w14:paraId="58ADF9A1">
      <w:pPr>
        <w:keepNext w:val="0"/>
        <w:keepLines w:val="0"/>
        <w:pageBreakBefore w:val="0"/>
        <w:kinsoku/>
        <w:wordWrap/>
        <w:overflowPunct/>
        <w:topLinePunct w:val="0"/>
        <w:autoSpaceDE/>
        <w:autoSpaceDN/>
        <w:bidi w:val="0"/>
        <w:adjustRightInd/>
        <w:snapToGrid/>
        <w:spacing w:line="360" w:lineRule="exact"/>
        <w:jc w:val="left"/>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品目6、云桌面教学管理软件 3 套</w:t>
      </w:r>
    </w:p>
    <w:p w14:paraId="62EFB0A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1、系统内置多元化教学场景模式，适配差异化教学应用场景；教师可经教学管理平台对指定学生执行镜像环境一键切换操作，镜像切换过程中云终端设备保持运行状态，不涉及硬件层面的重启动作。</w:t>
      </w:r>
    </w:p>
    <w:p w14:paraId="25D4039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2、教师可通过教学管理平台批量远程唤醒全部云终端设备，终端完成引导后自动载入与当前课程匹配的镜像桌面环境。</w:t>
      </w:r>
    </w:p>
    <w:p w14:paraId="4ED0A84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3、教学管理平台内置远程终端编号设置模块，用于优化课前考勤流程；终端编号与云桌面标识保持一一映射关系，便于教师快速完成课堂点名。</w:t>
      </w:r>
    </w:p>
    <w:p w14:paraId="08B8BA4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4、教学管理平台提供一键禁网功能，教师可选择性切断任意学生的网络访问权限；禁网状态下屏幕广播、屏幕监视等教学功能不受影响，保持正常使用。</w:t>
      </w:r>
    </w:p>
    <w:p w14:paraId="12208BB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5、教学管理平台具备学生分组管理模块，支持按姓名自定义分组或系统随机分组两种方式；教师与组长均拥有组名编辑权限；系统支持小组累计积分记录及组员个人贡献值追踪，并提供组内文件共享与传输通道。</w:t>
      </w:r>
    </w:p>
    <w:p w14:paraId="5F15D90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6、系统支持用户自主注册及管理员批量导入两种账号创建方式；在数据安全与教学便捷性之间取得平衡，教师账号强制采用密码认证方式登录个人空间，学生账号可灵活配置密码登录或免密登录模式。</w:t>
      </w:r>
    </w:p>
    <w:p w14:paraId="1E0AB2F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7、班级管理支持标识码邀请机制，教师生成专属班级标识码后分发给学生，学生凭该标识码即可加入对应班级，降低班级创建与维护的操作成本。</w:t>
      </w:r>
    </w:p>
    <w:p w14:paraId="67A8A49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8、教学管理软件具备进程保护机制，禁止通过任务管理器或命令行工具强制终止管理进程；同时实施课堂行为管控，阻止学生终端在授课过程中执行关闭锁屏、退出离线广播等脱离教学管理的操作。</w:t>
      </w:r>
    </w:p>
    <w:p w14:paraId="44094F3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9、教学管理平台集成作业管理组件，涵盖作业发布、在线批阅、归档存储与成绩统计分析功能；教师可在作业空间向单个或多个班级下发作业任务，作业内容支持Word等多种文档格式，并支持自定义作业提交截止时间；学生已提交作业支持归档保存与下载。</w:t>
      </w:r>
    </w:p>
    <w:p w14:paraId="2AEA229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10、教师可对学生作业执行公开标记操作，被标记为公开的作业内容可通过学生端软件供全体学生查阅浏览。</w:t>
      </w:r>
    </w:p>
    <w:p w14:paraId="70D5E1E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auto"/>
          <w:kern w:val="0"/>
          <w:sz w:val="21"/>
          <w:szCs w:val="21"/>
          <w:lang w:val="en-US" w:eastAsia="zh-CN" w:bidi="ar"/>
        </w:rPr>
      </w:pPr>
      <w:r>
        <w:rPr>
          <w:rFonts w:hint="eastAsia" w:ascii="宋体" w:hAnsi="宋体" w:eastAsia="宋体" w:cs="宋体"/>
          <w:i w:val="0"/>
          <w:iCs w:val="0"/>
          <w:color w:val="auto"/>
          <w:kern w:val="0"/>
          <w:sz w:val="21"/>
          <w:szCs w:val="21"/>
          <w:lang w:val="en-US" w:eastAsia="zh-CN" w:bidi="ar"/>
        </w:rPr>
        <w:t>1</w:t>
      </w:r>
      <w:r>
        <w:rPr>
          <w:rFonts w:hint="eastAsia" w:ascii="宋体" w:hAnsi="宋体" w:cs="宋体"/>
          <w:i w:val="0"/>
          <w:iCs w:val="0"/>
          <w:color w:val="auto"/>
          <w:kern w:val="0"/>
          <w:sz w:val="21"/>
          <w:szCs w:val="21"/>
          <w:lang w:val="en-US" w:eastAsia="zh-CN" w:bidi="ar"/>
        </w:rPr>
        <w:t>1</w:t>
      </w:r>
      <w:r>
        <w:rPr>
          <w:rFonts w:hint="eastAsia" w:ascii="宋体" w:hAnsi="宋体" w:eastAsia="宋体" w:cs="宋体"/>
          <w:i w:val="0"/>
          <w:iCs w:val="0"/>
          <w:color w:val="auto"/>
          <w:kern w:val="0"/>
          <w:sz w:val="21"/>
          <w:szCs w:val="21"/>
          <w:lang w:val="en-US" w:eastAsia="zh-CN" w:bidi="ar"/>
        </w:rPr>
        <w:t>、支持老师将学生作业标记为公开作业；支持学生通过学生端软件查看所有老师标记的公开作业；提供产品功能截图证明。</w:t>
      </w:r>
    </w:p>
    <w:p w14:paraId="612EB1F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3EEB83EA">
      <w:pPr>
        <w:keepNext w:val="0"/>
        <w:keepLines w:val="0"/>
        <w:pageBreakBefore w:val="0"/>
        <w:kinsoku/>
        <w:wordWrap/>
        <w:overflowPunct/>
        <w:topLinePunct w:val="0"/>
        <w:autoSpaceDE/>
        <w:autoSpaceDN/>
        <w:bidi w:val="0"/>
        <w:adjustRightInd/>
        <w:snapToGrid/>
        <w:spacing w:line="360" w:lineRule="exact"/>
        <w:jc w:val="left"/>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品目7、24口交换机 1 台</w:t>
      </w:r>
    </w:p>
    <w:p w14:paraId="271617A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1、固化10/100/1000M以太网端口≥24个，固化10G SFP+光接口≥4个。</w:t>
      </w:r>
    </w:p>
    <w:p w14:paraId="67E1297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2、交换容量≥670Gbps，包转发率≥170Mpps.</w:t>
      </w:r>
    </w:p>
    <w:p w14:paraId="330D72D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3、支持静态路由、RIP/RIPng、OSPFv2/OSPFv3等三层路由协议。</w:t>
      </w:r>
    </w:p>
    <w:p w14:paraId="7F1FE06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4、设备MAC地址≥16K。</w:t>
      </w:r>
    </w:p>
    <w:p w14:paraId="001DDF6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5、设备支持1对1、基于流、基于VLAN的镜像。</w:t>
      </w:r>
    </w:p>
    <w:p w14:paraId="77004ED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6、配万兆光模块1对</w:t>
      </w:r>
      <w:r>
        <w:rPr>
          <w:rFonts w:hint="eastAsia" w:ascii="宋体" w:hAnsi="宋体" w:cs="宋体"/>
          <w:i w:val="0"/>
          <w:iCs w:val="0"/>
          <w:color w:val="000000" w:themeColor="text1"/>
          <w:kern w:val="0"/>
          <w:sz w:val="21"/>
          <w:szCs w:val="21"/>
          <w:lang w:val="en-US" w:eastAsia="zh-CN" w:bidi="ar"/>
          <w14:textFill>
            <w14:solidFill>
              <w14:schemeClr w14:val="tx1"/>
            </w14:solidFill>
          </w14:textFill>
        </w:rPr>
        <w:t>。</w:t>
      </w:r>
    </w:p>
    <w:p w14:paraId="39A2AB7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7、为保障项目质量和售后服务效果，所投交换机制造商需具有信息系统建设和服务能力，达到CS3级及以上（CS3、CS4、CS5），并提供制造商对应的信息系统建设和服务能力等级证书。</w:t>
      </w:r>
    </w:p>
    <w:p w14:paraId="2428AD8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2" w:firstLineChars="200"/>
        <w:jc w:val="left"/>
        <w:textAlignment w:val="center"/>
        <w:rPr>
          <w:rFonts w:hint="eastAsia" w:ascii="宋体" w:hAnsi="宋体" w:cs="宋体"/>
          <w:b/>
          <w:bCs/>
          <w:i w:val="0"/>
          <w:iCs w:val="0"/>
          <w:color w:val="000000" w:themeColor="text1"/>
          <w:kern w:val="0"/>
          <w:sz w:val="21"/>
          <w:szCs w:val="21"/>
          <w:lang w:val="en-US" w:eastAsia="zh-CN" w:bidi="ar"/>
          <w14:textFill>
            <w14:solidFill>
              <w14:schemeClr w14:val="tx1"/>
            </w14:solidFill>
          </w14:textFill>
        </w:rPr>
      </w:pPr>
    </w:p>
    <w:p w14:paraId="2BACAD25">
      <w:pPr>
        <w:keepNext w:val="0"/>
        <w:keepLines w:val="0"/>
        <w:pageBreakBefore w:val="0"/>
        <w:kinsoku/>
        <w:wordWrap/>
        <w:overflowPunct/>
        <w:topLinePunct w:val="0"/>
        <w:autoSpaceDE/>
        <w:autoSpaceDN/>
        <w:bidi w:val="0"/>
        <w:adjustRightInd/>
        <w:snapToGrid/>
        <w:spacing w:line="360" w:lineRule="exact"/>
        <w:jc w:val="left"/>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品目8、48口交换机 1 台</w:t>
      </w:r>
    </w:p>
    <w:p w14:paraId="38AA3E1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1、固化10/100/1000M以太网端口≥48个，固化10G SFP+光接口≥4个。</w:t>
      </w:r>
    </w:p>
    <w:p w14:paraId="2ABDEF1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2、交换容量≥670Gbps，包转发率≥200Mpps.</w:t>
      </w:r>
    </w:p>
    <w:p w14:paraId="5F75647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3、支持静态路由、RIP/RIPng、OSPFv2/OSPFv3等三层路由协议。</w:t>
      </w:r>
    </w:p>
    <w:p w14:paraId="580B66E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4、设备MAC地址≥16K。</w:t>
      </w:r>
    </w:p>
    <w:p w14:paraId="21926B3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5、设备支持1对1、基于流、基于VLAN的镜像。</w:t>
      </w:r>
    </w:p>
    <w:p w14:paraId="6B666F7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6、配万兆光模块1对</w:t>
      </w:r>
    </w:p>
    <w:p w14:paraId="0C1DC0E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0AD91D42">
      <w:pPr>
        <w:keepNext w:val="0"/>
        <w:keepLines w:val="0"/>
        <w:pageBreakBefore w:val="0"/>
        <w:kinsoku/>
        <w:wordWrap/>
        <w:overflowPunct/>
        <w:topLinePunct w:val="0"/>
        <w:autoSpaceDE/>
        <w:autoSpaceDN/>
        <w:bidi w:val="0"/>
        <w:adjustRightInd/>
        <w:snapToGrid/>
        <w:spacing w:line="360" w:lineRule="exact"/>
        <w:jc w:val="left"/>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品目9、防静电地板 1 间</w:t>
      </w:r>
    </w:p>
    <w:p w14:paraId="038B381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拆除现房间设备并搬到学校指定位置，加装防滑陶瓷面防静电地板，面积约80平米（具体面积以实际需要为准）。</w:t>
      </w:r>
    </w:p>
    <w:p w14:paraId="7884763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7D4B311F">
      <w:pPr>
        <w:keepNext w:val="0"/>
        <w:keepLines w:val="0"/>
        <w:pageBreakBefore w:val="0"/>
        <w:kinsoku/>
        <w:wordWrap/>
        <w:overflowPunct/>
        <w:topLinePunct w:val="0"/>
        <w:autoSpaceDE/>
        <w:autoSpaceDN/>
        <w:bidi w:val="0"/>
        <w:adjustRightInd/>
        <w:snapToGrid/>
        <w:spacing w:line="360" w:lineRule="exact"/>
        <w:jc w:val="left"/>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品目10、机房布线 1 间</w:t>
      </w:r>
    </w:p>
    <w:p w14:paraId="4C41CA8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六类网线、电源线、电源插座、从五楼机房接光缆到三楼新机房等，具体规格与数量按需配置</w:t>
      </w:r>
    </w:p>
    <w:p w14:paraId="4AC4259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79D08A0E">
      <w:pPr>
        <w:keepNext w:val="0"/>
        <w:keepLines w:val="0"/>
        <w:pageBreakBefore w:val="0"/>
        <w:kinsoku/>
        <w:wordWrap/>
        <w:overflowPunct/>
        <w:topLinePunct w:val="0"/>
        <w:autoSpaceDE/>
        <w:autoSpaceDN/>
        <w:bidi w:val="0"/>
        <w:adjustRightInd/>
        <w:snapToGrid/>
        <w:spacing w:line="360" w:lineRule="exact"/>
        <w:jc w:val="left"/>
        <w:rPr>
          <w:rStyle w:val="12"/>
          <w:rFonts w:hint="default"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品目11、摄像机 1 个</w:t>
      </w:r>
    </w:p>
    <w:p w14:paraId="005D0D5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400万广角半球摄像机，接入学校考试专用监控系统。</w:t>
      </w:r>
    </w:p>
    <w:p w14:paraId="0860D63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752A35A6">
      <w:pPr>
        <w:keepNext w:val="0"/>
        <w:keepLines w:val="0"/>
        <w:pageBreakBefore w:val="0"/>
        <w:kinsoku/>
        <w:wordWrap/>
        <w:overflowPunct/>
        <w:topLinePunct w:val="0"/>
        <w:autoSpaceDE/>
        <w:autoSpaceDN/>
        <w:bidi w:val="0"/>
        <w:adjustRightInd/>
        <w:snapToGrid/>
        <w:spacing w:line="360" w:lineRule="exact"/>
        <w:jc w:val="left"/>
        <w:rPr>
          <w:rStyle w:val="12"/>
          <w:rFonts w:hint="default"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品目12、电脑桌椅 56 座位</w:t>
      </w:r>
    </w:p>
    <w:p w14:paraId="60BCBC3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1.2米双人位钢木结构电脑桌椅</w:t>
      </w:r>
    </w:p>
    <w:p w14:paraId="1902421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25F3DD40">
      <w:pPr>
        <w:keepNext w:val="0"/>
        <w:keepLines w:val="0"/>
        <w:pageBreakBefore w:val="0"/>
        <w:kinsoku/>
        <w:wordWrap/>
        <w:overflowPunct/>
        <w:topLinePunct w:val="0"/>
        <w:autoSpaceDE/>
        <w:autoSpaceDN/>
        <w:bidi w:val="0"/>
        <w:adjustRightInd/>
        <w:snapToGrid/>
        <w:spacing w:line="360" w:lineRule="exact"/>
        <w:jc w:val="left"/>
        <w:rPr>
          <w:rStyle w:val="12"/>
          <w:rFonts w:hint="default"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品目13、讲台 1 套</w:t>
      </w:r>
    </w:p>
    <w:p w14:paraId="2ABDE41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1.4米钢木结构讲台</w:t>
      </w:r>
    </w:p>
    <w:p w14:paraId="52459D0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04809319">
      <w:pPr>
        <w:keepNext w:val="0"/>
        <w:keepLines w:val="0"/>
        <w:pageBreakBefore w:val="0"/>
        <w:kinsoku/>
        <w:wordWrap/>
        <w:overflowPunct/>
        <w:topLinePunct w:val="0"/>
        <w:autoSpaceDE/>
        <w:autoSpaceDN/>
        <w:bidi w:val="0"/>
        <w:adjustRightInd/>
        <w:snapToGrid/>
        <w:spacing w:line="360" w:lineRule="exact"/>
        <w:jc w:val="left"/>
        <w:rPr>
          <w:rStyle w:val="12"/>
          <w:rFonts w:hint="default"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品目14、智慧无尘黑板 3 套</w:t>
      </w:r>
    </w:p>
    <w:p w14:paraId="4FA3B8E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一、整体设计要求</w:t>
      </w:r>
    </w:p>
    <w:p w14:paraId="4109930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1、整机采用全金属外壳，屏幕采用 86 英寸液晶显示器。整机屏幕边缘采用金属圆角包边防护，整机背板采用金属材质，有效屏蔽内部电路器件辐射；防潮耐盐雾蚀锈，适应多种教学环境。</w:t>
      </w:r>
    </w:p>
    <w:p w14:paraId="7838654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2、整机采用超高清 LED 液晶显示屏，显示比例 16:9，分辨率≥3840×2160。</w:t>
      </w:r>
    </w:p>
    <w:p w14:paraId="41F2471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3、整机输入接口具备至少 2 路 HDMI、至少 1 路 RS232、至少 1 路音频输出、至少 1 路触控 USB 输出；前置输入接口具备至少 3 路 USB 接口（包含 1 路 Type-C）。</w:t>
      </w:r>
    </w:p>
    <w:p w14:paraId="144ED73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4、整机嵌入式系统版本不低于 Android 15，内存≥2GB，存储空间≥32GB。</w:t>
      </w:r>
    </w:p>
    <w:p w14:paraId="6D209B1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5、</w:t>
      </w:r>
      <w:r>
        <w:rPr>
          <w:rFonts w:hint="eastAsia" w:ascii="宋体" w:hAnsi="宋体" w:eastAsia="宋体" w:cs="宋体"/>
          <w:i w:val="0"/>
          <w:iCs w:val="0"/>
          <w:color w:val="auto"/>
          <w:kern w:val="0"/>
          <w:sz w:val="21"/>
          <w:szCs w:val="21"/>
          <w:lang w:val="en-US" w:eastAsia="zh-CN" w:bidi="ar"/>
        </w:rPr>
        <w:t>整机内置AI 算力≥2Tops</w:t>
      </w: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，支持 8K 级视频解码，支持 4 路及以上视频流</w:t>
      </w:r>
      <w:r>
        <w:rPr>
          <w:rFonts w:hint="eastAsia" w:ascii="宋体" w:hAnsi="宋体" w:cs="宋体"/>
          <w:i w:val="0"/>
          <w:iCs w:val="0"/>
          <w:color w:val="000000" w:themeColor="text1"/>
          <w:kern w:val="0"/>
          <w:sz w:val="21"/>
          <w:szCs w:val="21"/>
          <w:lang w:val="en-US" w:eastAsia="zh-CN" w:bidi="ar"/>
          <w14:textFill>
            <w14:solidFill>
              <w14:schemeClr w14:val="tx1"/>
            </w14:solidFill>
          </w14:textFill>
        </w:rPr>
        <w:t>输入</w:t>
      </w: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w:t>
      </w:r>
    </w:p>
    <w:p w14:paraId="1499DD8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6、整机支持 Windows 系统和 Android 系统中进行 50 点或以上触控及书写。</w:t>
      </w:r>
    </w:p>
    <w:p w14:paraId="1E904E8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7、整机主控处理芯片、WIFI 与蓝牙通信芯片、摄像头图像处理芯片，支持选用国产自主芯片方案。</w:t>
      </w:r>
    </w:p>
    <w:p w14:paraId="6D4EFAE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8、整机内置全视角背光增光膜，通过增光膜对背光光源进行均光，提升画面显示均匀性。</w:t>
      </w:r>
    </w:p>
    <w:p w14:paraId="0ECDC2E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9、在屏幕中心亮度≥350 cd/㎡、整机水平方向法线 60 度视角下，屏幕观看有效亮度≥110 cd/㎡。</w:t>
      </w:r>
    </w:p>
    <w:p w14:paraId="612FB6B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10、整机上边框可集成一体化摄像头模组，摄像头数量≥5 个，其中广角摄像头视场角≥145 度；在 3840×2160 分辨率下，支持 30 帧视频输出。</w:t>
      </w:r>
    </w:p>
    <w:p w14:paraId="13A4C16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11、集成摄像头模组支持拍摄≥5000 万像素静态照片，支持输出 8192×2772 分辨率视频。</w:t>
      </w:r>
    </w:p>
    <w:p w14:paraId="62FEFD4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12、整机支持摄像头模组同时输出至少 3 路视频流，可分别用于课堂远程巡课、课堂教学数据采集、本地画面预览（拍照或视频录制）。</w:t>
      </w:r>
    </w:p>
    <w:p w14:paraId="09F85EE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13、整机系统支持课堂行为识别功能，可通过摄像头识别学生举手、交叉手臂等动作，实现课堂投票统计，支持展示投票数据及占比，可采用图表形式呈现。</w:t>
      </w:r>
    </w:p>
    <w:p w14:paraId="4B080C0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14、整机系统支持书写触控延迟≤25ms，触控书写支持笔迹预测算法，书写速度≥50cm/s 工况下，笔迹追踪跟随距离小于 20mm。</w:t>
      </w:r>
    </w:p>
    <w:p w14:paraId="54C76EB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15、整机全通道支持 4K 显示，包括安卓通道、PC 通道、HDMI 信号通道。</w:t>
      </w:r>
    </w:p>
    <w:p w14:paraId="7C646CB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16、整机内置 2.2 声道扬声器，扬声器布置于设备边框区域，高音扬声器≥2 个，中低音扬声器≥2 个，整机音频最大功率≥80W。</w:t>
      </w:r>
    </w:p>
    <w:p w14:paraId="48231A9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17、整机具备多种音效模式，听力模式下支持 AI 人声增强功能，支持三档强弱调节，通过算法提取音频人声进行优化，在不提升音量基础上提升语音清晰度。</w:t>
      </w:r>
    </w:p>
    <w:p w14:paraId="58F9CBB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18、整机支持内置麦克风阵列，麦克风数量≥8 阵列，拾音距离≥12m；支持语音助手功能，可通过唤醒词启动，支持语音操控整机音量、亮度、打开白板、浏览器等应用，支持语音搜索网页内容。</w:t>
      </w:r>
    </w:p>
    <w:p w14:paraId="532FEF6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19、整机支持标准、听力、观影、环境自适应音效模式；环境自适应音效模式可采集教室环境声学信息，自动适配教室声场优化音效参数。</w:t>
      </w:r>
    </w:p>
    <w:p w14:paraId="34B8C05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20、整机背光系统支持 DC 调光，支持多级亮度调节。</w:t>
      </w:r>
    </w:p>
    <w:p w14:paraId="0C11121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21、整机支持人工智能画质优化模式，安卓通道下可根据画面内容自动调节对比度、饱和度、锐利度、高光阴影等画质参数。</w:t>
      </w:r>
    </w:p>
    <w:p w14:paraId="08F6AD1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22、支持自定义图像设置，可对对比度、屏幕色温、图像亮度、色彩空间进行调节。</w:t>
      </w:r>
    </w:p>
    <w:p w14:paraId="50B6583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23、整机全通道支持纸质护眼模式，可调整画面纹理效果；至少支持牛皮纸、素描纸、宣纸、水彩纸、水纹纸多种纹理效果，支持透明度、色温调节。</w:t>
      </w:r>
    </w:p>
    <w:p w14:paraId="4D33A90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24、整机支持自习纪律辅助提醒功能，可通过音频监测环境噪音，当音量超过设定阈值时，屏幕弹窗提示，辅助维持课堂秩序。</w:t>
      </w:r>
    </w:p>
    <w:p w14:paraId="3B3665D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25、整机支持语音转文字功能，可将麦克风拾取语音实时转译为文字，支持悬浮字幕展示。</w:t>
      </w:r>
    </w:p>
    <w:p w14:paraId="19B9024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auto"/>
          <w:kern w:val="0"/>
          <w:sz w:val="21"/>
          <w:szCs w:val="21"/>
          <w:lang w:val="en-US" w:eastAsia="zh-CN" w:bidi="ar"/>
        </w:rPr>
      </w:pPr>
      <w:r>
        <w:rPr>
          <w:rFonts w:hint="eastAsia" w:ascii="宋体" w:hAnsi="宋体" w:eastAsia="宋体" w:cs="宋体"/>
          <w:i w:val="0"/>
          <w:iCs w:val="0"/>
          <w:color w:val="auto"/>
          <w:kern w:val="0"/>
          <w:sz w:val="21"/>
          <w:szCs w:val="21"/>
          <w:lang w:val="en-US" w:eastAsia="zh-CN" w:bidi="ar"/>
        </w:rPr>
        <w:t>26、整机支持 AI 试题识别功能，可识别屏幕画面或视频展台采集的试题内容，支持手动框选识别区域，提供试题解析、解题步骤、注意事项。</w:t>
      </w:r>
    </w:p>
    <w:p w14:paraId="247AD6E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auto"/>
          <w:kern w:val="0"/>
          <w:sz w:val="21"/>
          <w:szCs w:val="21"/>
          <w:lang w:val="en-US" w:eastAsia="zh-CN" w:bidi="ar"/>
        </w:rPr>
      </w:pPr>
      <w:r>
        <w:rPr>
          <w:rFonts w:hint="eastAsia" w:ascii="宋体" w:hAnsi="宋体" w:eastAsia="宋体" w:cs="宋体"/>
          <w:i w:val="0"/>
          <w:iCs w:val="0"/>
          <w:color w:val="auto"/>
          <w:kern w:val="0"/>
          <w:sz w:val="21"/>
          <w:szCs w:val="21"/>
          <w:lang w:val="en-US" w:eastAsia="zh-CN" w:bidi="ar"/>
        </w:rPr>
        <w:t>27、AI 试题识别功能可根据试题知识点、难度，智能推荐同类习题，推荐题目数量可</w:t>
      </w:r>
      <w:r>
        <w:rPr>
          <w:rFonts w:hint="eastAsia" w:ascii="宋体" w:hAnsi="宋体" w:cs="宋体"/>
          <w:i w:val="0"/>
          <w:iCs w:val="0"/>
          <w:color w:val="auto"/>
          <w:kern w:val="0"/>
          <w:sz w:val="21"/>
          <w:szCs w:val="21"/>
          <w:lang w:val="en-US" w:eastAsia="zh-CN" w:bidi="ar"/>
        </w:rPr>
        <w:t>进行</w:t>
      </w:r>
      <w:r>
        <w:rPr>
          <w:rFonts w:hint="eastAsia" w:ascii="宋体" w:hAnsi="宋体" w:eastAsia="宋体" w:cs="宋体"/>
          <w:i w:val="0"/>
          <w:iCs w:val="0"/>
          <w:color w:val="auto"/>
          <w:kern w:val="0"/>
          <w:sz w:val="21"/>
          <w:szCs w:val="21"/>
          <w:lang w:val="en-US" w:eastAsia="zh-CN" w:bidi="ar"/>
        </w:rPr>
        <w:t>设置。</w:t>
      </w:r>
    </w:p>
    <w:p w14:paraId="1E71BB3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auto"/>
          <w:kern w:val="0"/>
          <w:sz w:val="21"/>
          <w:szCs w:val="21"/>
          <w:lang w:val="en-US" w:eastAsia="zh-CN" w:bidi="ar"/>
        </w:rPr>
      </w:pPr>
      <w:r>
        <w:rPr>
          <w:rFonts w:hint="eastAsia" w:ascii="宋体" w:hAnsi="宋体" w:eastAsia="宋体" w:cs="宋体"/>
          <w:i w:val="0"/>
          <w:iCs w:val="0"/>
          <w:color w:val="auto"/>
          <w:kern w:val="0"/>
          <w:sz w:val="21"/>
          <w:szCs w:val="21"/>
          <w:lang w:val="en-US" w:eastAsia="zh-CN" w:bidi="ar"/>
        </w:rPr>
        <w:t>28、整机支持微课录制，支持对录制视频进行</w:t>
      </w:r>
      <w:r>
        <w:rPr>
          <w:rFonts w:hint="eastAsia" w:ascii="宋体" w:hAnsi="宋体" w:cs="宋体"/>
          <w:i w:val="0"/>
          <w:iCs w:val="0"/>
          <w:color w:val="auto"/>
          <w:kern w:val="0"/>
          <w:sz w:val="21"/>
          <w:szCs w:val="21"/>
          <w:lang w:val="en-US" w:eastAsia="zh-CN" w:bidi="ar"/>
        </w:rPr>
        <w:t>文字</w:t>
      </w:r>
      <w:r>
        <w:rPr>
          <w:rFonts w:hint="eastAsia" w:ascii="宋体" w:hAnsi="宋体" w:eastAsia="宋体" w:cs="宋体"/>
          <w:i w:val="0"/>
          <w:iCs w:val="0"/>
          <w:color w:val="auto"/>
          <w:kern w:val="0"/>
          <w:sz w:val="21"/>
          <w:szCs w:val="21"/>
          <w:lang w:val="en-US" w:eastAsia="zh-CN" w:bidi="ar"/>
        </w:rPr>
        <w:t>提取，依据</w:t>
      </w:r>
      <w:r>
        <w:rPr>
          <w:rFonts w:hint="eastAsia" w:ascii="宋体" w:hAnsi="宋体" w:cs="宋体"/>
          <w:i w:val="0"/>
          <w:iCs w:val="0"/>
          <w:color w:val="auto"/>
          <w:kern w:val="0"/>
          <w:sz w:val="21"/>
          <w:szCs w:val="21"/>
          <w:lang w:val="en-US" w:eastAsia="zh-CN" w:bidi="ar"/>
        </w:rPr>
        <w:t>文字</w:t>
      </w:r>
      <w:r>
        <w:rPr>
          <w:rFonts w:hint="eastAsia" w:ascii="宋体" w:hAnsi="宋体" w:eastAsia="宋体" w:cs="宋体"/>
          <w:i w:val="0"/>
          <w:iCs w:val="0"/>
          <w:color w:val="auto"/>
          <w:kern w:val="0"/>
          <w:sz w:val="21"/>
          <w:szCs w:val="21"/>
          <w:lang w:val="en-US" w:eastAsia="zh-CN" w:bidi="ar"/>
        </w:rPr>
        <w:t>实现视频快速剪辑。</w:t>
      </w:r>
    </w:p>
    <w:p w14:paraId="0C46FC7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auto"/>
          <w:kern w:val="0"/>
          <w:sz w:val="21"/>
          <w:szCs w:val="21"/>
          <w:lang w:val="en-US" w:eastAsia="zh-CN" w:bidi="ar"/>
        </w:rPr>
      </w:pPr>
      <w:r>
        <w:rPr>
          <w:rFonts w:hint="eastAsia" w:ascii="宋体" w:hAnsi="宋体" w:eastAsia="宋体" w:cs="宋体"/>
          <w:i w:val="0"/>
          <w:iCs w:val="0"/>
          <w:color w:val="auto"/>
          <w:kern w:val="0"/>
          <w:sz w:val="21"/>
          <w:szCs w:val="21"/>
          <w:lang w:val="en-US" w:eastAsia="zh-CN" w:bidi="ar"/>
        </w:rPr>
        <w:t xml:space="preserve">29、整机支持 AI </w:t>
      </w:r>
      <w:r>
        <w:rPr>
          <w:rFonts w:hint="eastAsia" w:ascii="宋体" w:hAnsi="宋体" w:cs="宋体"/>
          <w:i w:val="0"/>
          <w:iCs w:val="0"/>
          <w:color w:val="auto"/>
          <w:kern w:val="0"/>
          <w:sz w:val="21"/>
          <w:szCs w:val="21"/>
          <w:lang w:val="en-US" w:eastAsia="zh-CN" w:bidi="ar"/>
        </w:rPr>
        <w:t>智能体</w:t>
      </w:r>
      <w:r>
        <w:rPr>
          <w:rFonts w:hint="eastAsia" w:ascii="宋体" w:hAnsi="宋体" w:eastAsia="宋体" w:cs="宋体"/>
          <w:i w:val="0"/>
          <w:iCs w:val="0"/>
          <w:color w:val="auto"/>
          <w:kern w:val="0"/>
          <w:sz w:val="21"/>
          <w:szCs w:val="21"/>
          <w:lang w:val="en-US" w:eastAsia="zh-CN" w:bidi="ar"/>
        </w:rPr>
        <w:t>功能，支持自定义角色性格、</w:t>
      </w:r>
      <w:r>
        <w:rPr>
          <w:rFonts w:hint="eastAsia" w:ascii="宋体" w:hAnsi="宋体" w:cs="宋体"/>
          <w:i w:val="0"/>
          <w:iCs w:val="0"/>
          <w:color w:val="auto"/>
          <w:kern w:val="0"/>
          <w:sz w:val="21"/>
          <w:szCs w:val="21"/>
          <w:lang w:val="en-US" w:eastAsia="zh-CN" w:bidi="ar"/>
        </w:rPr>
        <w:t>技能</w:t>
      </w:r>
      <w:r>
        <w:rPr>
          <w:rFonts w:hint="eastAsia" w:ascii="宋体" w:hAnsi="宋体" w:eastAsia="宋体" w:cs="宋体"/>
          <w:i w:val="0"/>
          <w:iCs w:val="0"/>
          <w:color w:val="auto"/>
          <w:kern w:val="0"/>
          <w:sz w:val="21"/>
          <w:szCs w:val="21"/>
          <w:lang w:val="en-US" w:eastAsia="zh-CN" w:bidi="ar"/>
        </w:rPr>
        <w:t>，支持文字、语音交互；支持创建并在校本资源平台共享。</w:t>
      </w:r>
    </w:p>
    <w:p w14:paraId="64BC23B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二、无线互联要求</w:t>
      </w:r>
    </w:p>
    <w:p w14:paraId="485613B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1、整机内置无线模块，Android、Windows 系统均可实现 Wi-Fi 上网、无线 AP 热点、蓝牙连接；Wi-Fi 与热点有效工作距离≥12m。</w:t>
      </w:r>
    </w:p>
    <w:p w14:paraId="223EA68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2、整机支持蓝牙 Bluetooth 5.4 标准，PC 通道支持主动搜索蓝牙外设建立连接。</w:t>
      </w:r>
    </w:p>
    <w:p w14:paraId="7792B32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3、整机 Wi-Fi、蓝牙无线模块采用模块化设计，便于后期维护拆装。</w:t>
      </w:r>
    </w:p>
    <w:p w14:paraId="735B899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4、整机支持近场快速投屏方案，可通过信号感知方式，让手机、笔记本快速发现大屏设备，一键发起投屏。</w:t>
      </w:r>
    </w:p>
    <w:p w14:paraId="6B4C1AB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5、配套教学移动端 APP 支持</w:t>
      </w:r>
      <w:r>
        <w:rPr>
          <w:rFonts w:hint="eastAsia" w:ascii="宋体" w:hAnsi="宋体" w:eastAsia="宋体" w:cs="宋体"/>
          <w:i w:val="0"/>
          <w:iCs w:val="0"/>
          <w:color w:val="FF0000"/>
          <w:kern w:val="0"/>
          <w:sz w:val="21"/>
          <w:szCs w:val="21"/>
          <w:lang w:val="en-US" w:eastAsia="zh-CN" w:bidi="ar"/>
        </w:rPr>
        <w:t>近场</w:t>
      </w: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发现大屏设备，支持免扫码、免账号密码快速连接，支持统一身份认证，实现教学软件单点登录。</w:t>
      </w:r>
    </w:p>
    <w:p w14:paraId="1512AAD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6、整机内置传屏接收模块，无需外接接收设备，支持手机、电脑音视频投屏；电脑投屏支持触控回传。</w:t>
      </w:r>
    </w:p>
    <w:p w14:paraId="493DD83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7、整机安卓通道、PC 通道均支持 Wi-Fi 6 连接与热点发射功能。</w:t>
      </w:r>
    </w:p>
    <w:p w14:paraId="5CBF8E7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8、整机无线网络配置支持双系统互通，Android 与 Windows 系统网络参数可同步，无需重复配置。</w:t>
      </w:r>
    </w:p>
    <w:p w14:paraId="0FA673E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9、整机支持音频采集识别，可通过声纹识别完成身份登录，登录后调取个人云端课件，支持白板软件免登。</w:t>
      </w:r>
    </w:p>
    <w:p w14:paraId="0F9619E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10、整机支持设备序列号定向升级，支持云端在线</w:t>
      </w:r>
      <w:r>
        <w:rPr>
          <w:rFonts w:hint="eastAsia" w:ascii="宋体" w:hAnsi="宋体" w:cs="宋体"/>
          <w:i w:val="0"/>
          <w:iCs w:val="0"/>
          <w:color w:val="000000" w:themeColor="text1"/>
          <w:kern w:val="0"/>
          <w:sz w:val="21"/>
          <w:szCs w:val="21"/>
          <w:lang w:val="en-US" w:eastAsia="zh-CN" w:bidi="ar"/>
          <w14:textFill>
            <w14:solidFill>
              <w14:schemeClr w14:val="tx1"/>
            </w14:solidFill>
          </w14:textFill>
        </w:rPr>
        <w:t>系统</w:t>
      </w: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固件、软件 OTA 升级。</w:t>
      </w:r>
    </w:p>
    <w:p w14:paraId="0AE95EB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三、内置 OPS 模块配置要求</w:t>
      </w:r>
    </w:p>
    <w:p w14:paraId="3DB1BFA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1、处理器：Intel Core i5 十二代或以上 CPU；</w:t>
      </w:r>
    </w:p>
    <w:p w14:paraId="1B3F822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2、内存规格：DDR4 内存，8G；硬盘：256G 固态硬盘；</w:t>
      </w:r>
    </w:p>
    <w:p w14:paraId="69EDCD3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3、PC 模块为抽拉式设计，支持整机内部对接，一体化插拔；</w:t>
      </w:r>
    </w:p>
    <w:p w14:paraId="60B52C7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4、电脑模块与整机高速接口通信，传输速率≥10Gbps；</w:t>
      </w:r>
    </w:p>
    <w:p w14:paraId="4D62529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5、模块采用卡扣式固定，无需工具可快速拆装。</w:t>
      </w:r>
    </w:p>
    <w:p w14:paraId="185401D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四、副屏黑板设计要求</w:t>
      </w:r>
    </w:p>
    <w:p w14:paraId="6BAFA26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1、书写表面采用无尘书写膜，支持磁性书写笔书写，可通过不同笔头实现粗细笔迹；书写无需专用耗材，无粉尘，板面可断电独立书写。</w:t>
      </w:r>
    </w:p>
    <w:p w14:paraId="220BFA5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2、书写板面可用中性洗涤剂、消毒温水擦拭，擦拭后表面无变色、表层脱落。</w:t>
      </w:r>
    </w:p>
    <w:p w14:paraId="0FC0516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3、书写板夹层采用高强度、吸音、防潮、阻燃板材。</w:t>
      </w:r>
    </w:p>
    <w:p w14:paraId="15B4EA6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4、板书字迹可视角度≥178°。</w:t>
      </w:r>
    </w:p>
    <w:p w14:paraId="7A45BBA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5、书写板表面低眩光，光泽度≤30°。</w:t>
      </w:r>
    </w:p>
    <w:p w14:paraId="7190595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6、支持局部擦除与大面积整体擦除两种擦除方式。</w:t>
      </w:r>
    </w:p>
    <w:p w14:paraId="6AE668A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7、板书在无外力擦除情况下可长期留存，支持随时擦除。</w:t>
      </w:r>
    </w:p>
    <w:p w14:paraId="5903365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五、内置教学软件功能要求</w:t>
      </w:r>
    </w:p>
    <w:p w14:paraId="09D266B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（一）教学白板软件电脑端</w:t>
      </w:r>
    </w:p>
    <w:p w14:paraId="5FE7549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1、支持为教师分配独立账号，建立学校教学账号体系；账号关联校本资源库，支持账号、二维码、硬件密钥多种登录方式。</w:t>
      </w:r>
    </w:p>
    <w:p w14:paraId="29849C1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2、互动课件支持云分享，可生成公开或加密链接、二维码，支持设置访问有效期。</w:t>
      </w:r>
    </w:p>
    <w:p w14:paraId="4EAB2A4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3、教案支持云端自动同步，支持链接形式分享，支持浏览器、微信直接预览。</w:t>
      </w:r>
    </w:p>
    <w:p w14:paraId="775441D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4、具备校本资源库，支持课件、教案、多媒体上传共建共享，支持多条件检索，备课可直接调用库内资源。</w:t>
      </w:r>
    </w:p>
    <w:p w14:paraId="7E6A472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5、支持线上听评课，授课过程可生成评课二维码，支持扫码评课、附件获取，支持导出听课记录与评课报告。</w:t>
      </w:r>
    </w:p>
    <w:p w14:paraId="6D54684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6、支持线上集体备课，支持邀请校内外教师参与研讨，支持课件版本对比、研讨内容回溯。</w:t>
      </w:r>
    </w:p>
    <w:p w14:paraId="49B9C69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7、集体备课定稿自动归档至校本资源库，自动生成备课研讨报告。</w:t>
      </w:r>
    </w:p>
    <w:p w14:paraId="016054A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（二）教学白板软件直播工具</w:t>
      </w:r>
    </w:p>
    <w:p w14:paraId="4AD9105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1、支持一键发起直播，生成访问二维码，学生微信扫码即可听课，无需安装独立 APP。</w:t>
      </w:r>
    </w:p>
    <w:p w14:paraId="6E0CFC5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2、内置在线答题工具，支持答题数据自动统计。</w:t>
      </w:r>
    </w:p>
    <w:p w14:paraId="210D2E3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3、支持远程学生互动，可授权学生在课件上书写操作，支持不少于 5 位学生同时互动。</w:t>
      </w:r>
    </w:p>
    <w:p w14:paraId="4E03FF3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4、直播结束自动统计学生考勤与学习记录。</w:t>
      </w:r>
    </w:p>
    <w:p w14:paraId="324C9BB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（三）教学白板手机移动端</w:t>
      </w:r>
    </w:p>
    <w:p w14:paraId="44F7C1C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1、移动端可预览云端课件，支持页面跳转、缩略图查看。</w:t>
      </w:r>
    </w:p>
    <w:p w14:paraId="10D821D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2、支持远程操控课件翻页、播放媒体，支持横竖屏显示，不强制依赖局域网。</w:t>
      </w:r>
    </w:p>
    <w:p w14:paraId="749AEDE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3、支持课件多渠道分享，分享有效期自定义。</w:t>
      </w:r>
    </w:p>
    <w:p w14:paraId="5BE0229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4、移动端支持课件管理：移动、删除、重命名，提供回收站功能。</w:t>
      </w:r>
    </w:p>
    <w:p w14:paraId="55477FF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0E85AEE5">
      <w:pPr>
        <w:keepNext w:val="0"/>
        <w:keepLines w:val="0"/>
        <w:pageBreakBefore w:val="0"/>
        <w:kinsoku/>
        <w:wordWrap/>
        <w:overflowPunct/>
        <w:topLinePunct w:val="0"/>
        <w:autoSpaceDE/>
        <w:autoSpaceDN/>
        <w:bidi w:val="0"/>
        <w:adjustRightInd/>
        <w:snapToGrid/>
        <w:spacing w:line="360" w:lineRule="exact"/>
        <w:jc w:val="left"/>
        <w:rPr>
          <w:rStyle w:val="12"/>
          <w:rFonts w:hint="default"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品目15、耳机 60 个</w:t>
      </w:r>
    </w:p>
    <w:p w14:paraId="0140827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学生英语听说考试头戴全封闭式耳机，USB接口，要求兼容学考机考软件。</w:t>
      </w:r>
    </w:p>
    <w:p w14:paraId="1C466632">
      <w:pPr>
        <w:spacing w:before="120" w:after="120"/>
        <w:jc w:val="center"/>
        <w:rPr>
          <w:rFonts w:hint="eastAsia" w:ascii="宋体" w:hAnsi="宋体" w:cs="宋体"/>
          <w:b/>
          <w:bCs/>
          <w:iCs/>
          <w:kern w:val="0"/>
          <w:sz w:val="44"/>
          <w:szCs w:val="44"/>
          <w14:ligatures w14:val="none"/>
        </w:rPr>
      </w:pPr>
    </w:p>
    <w:p w14:paraId="5B7DD355">
      <w:pPr>
        <w:rPr>
          <w:rFonts w:hint="eastAsia" w:ascii="宋体" w:hAnsi="宋体" w:cs="宋体"/>
          <w:b/>
          <w:bCs/>
          <w:iCs/>
          <w:kern w:val="0"/>
          <w:sz w:val="44"/>
          <w:szCs w:val="44"/>
          <w14:ligatures w14:val="none"/>
        </w:rPr>
      </w:pPr>
      <w:r>
        <w:rPr>
          <w:rFonts w:hint="eastAsia" w:ascii="宋体" w:hAnsi="宋体" w:cs="宋体"/>
          <w:b/>
          <w:bCs/>
          <w:iCs/>
          <w:kern w:val="0"/>
          <w:sz w:val="44"/>
          <w:szCs w:val="44"/>
          <w14:ligatures w14:val="none"/>
        </w:rPr>
        <w:br w:type="page"/>
      </w:r>
    </w:p>
    <w:p w14:paraId="21F26136">
      <w:pPr>
        <w:spacing w:before="120" w:after="120"/>
        <w:jc w:val="center"/>
        <w:rPr>
          <w:rFonts w:hint="eastAsia" w:ascii="宋体" w:hAnsi="宋体" w:cs="宋体"/>
          <w:b/>
          <w:bCs/>
          <w:iCs/>
          <w:kern w:val="0"/>
          <w:sz w:val="44"/>
          <w:szCs w:val="44"/>
          <w14:ligatures w14:val="none"/>
        </w:rPr>
      </w:pPr>
      <w:r>
        <w:rPr>
          <w:rFonts w:hint="eastAsia" w:ascii="宋体" w:hAnsi="宋体" w:cs="宋体"/>
          <w:b/>
          <w:bCs/>
          <w:iCs/>
          <w:kern w:val="0"/>
          <w:sz w:val="44"/>
          <w:szCs w:val="44"/>
          <w14:ligatures w14:val="none"/>
        </w:rPr>
        <w:t>商务要求</w:t>
      </w:r>
    </w:p>
    <w:p w14:paraId="23D86F80">
      <w:pPr>
        <w:keepNext w:val="0"/>
        <w:keepLines w:val="0"/>
        <w:pageBreakBefore w:val="0"/>
        <w:kinsoku/>
        <w:wordWrap/>
        <w:overflowPunct/>
        <w:topLinePunct w:val="0"/>
        <w:autoSpaceDE/>
        <w:autoSpaceDN/>
        <w:bidi w:val="0"/>
        <w:adjustRightInd/>
        <w:snapToGrid/>
        <w:spacing w:line="360" w:lineRule="auto"/>
        <w:jc w:val="left"/>
        <w:outlineLvl w:val="1"/>
        <w:rPr>
          <w:rFonts w:hint="eastAsia" w:ascii="宋体" w:hAnsi="宋体" w:cs="宋体"/>
          <w:b/>
          <w:bCs/>
          <w:sz w:val="21"/>
          <w:szCs w:val="21"/>
          <w14:ligatures w14:val="none"/>
        </w:rPr>
      </w:pPr>
      <w:bookmarkStart w:id="26" w:name="_Toc256000042"/>
      <w:bookmarkStart w:id="27" w:name="_Toc213511591"/>
      <w:r>
        <w:rPr>
          <w:rFonts w:hint="eastAsia" w:ascii="宋体" w:hAnsi="宋体" w:cs="宋体"/>
          <w:b/>
          <w:bCs/>
          <w:sz w:val="21"/>
          <w:szCs w:val="21"/>
          <w:lang w:eastAsia="zh-CN"/>
          <w14:ligatures w14:val="none"/>
        </w:rPr>
        <w:t>一</w:t>
      </w:r>
      <w:r>
        <w:rPr>
          <w:rFonts w:hint="eastAsia" w:ascii="宋体" w:hAnsi="宋体" w:cs="宋体"/>
          <w:b/>
          <w:bCs/>
          <w:sz w:val="21"/>
          <w:szCs w:val="21"/>
          <w14:ligatures w14:val="none"/>
        </w:rPr>
        <w:t>、交货时间和地点</w:t>
      </w:r>
      <w:bookmarkEnd w:id="26"/>
      <w:bookmarkEnd w:id="27"/>
    </w:p>
    <w:p w14:paraId="45F36B8D">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b w:val="0"/>
          <w:bCs w:val="0"/>
          <w:sz w:val="21"/>
          <w:szCs w:val="21"/>
          <w14:ligatures w14:val="none"/>
        </w:rPr>
      </w:pPr>
      <w:r>
        <w:rPr>
          <w:rFonts w:hint="eastAsia" w:ascii="宋体" w:hAnsi="宋体" w:cs="宋体"/>
          <w:b/>
          <w:bCs/>
          <w:sz w:val="21"/>
          <w:szCs w:val="21"/>
          <w14:ligatures w14:val="none"/>
        </w:rPr>
        <w:t>1、交货时间：</w:t>
      </w:r>
      <w:r>
        <w:rPr>
          <w:rFonts w:hint="eastAsia" w:ascii="宋体" w:hAnsi="宋体" w:cs="宋体"/>
          <w:b w:val="0"/>
          <w:bCs w:val="0"/>
          <w:sz w:val="21"/>
          <w:szCs w:val="21"/>
          <w14:ligatures w14:val="none"/>
        </w:rPr>
        <w:t xml:space="preserve">合同签订后 30 日内完成供货，并安装调试合格。 </w:t>
      </w:r>
    </w:p>
    <w:p w14:paraId="1EB13B6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b/>
          <w:bCs/>
          <w:sz w:val="21"/>
          <w:szCs w:val="21"/>
          <w14:ligatures w14:val="none"/>
        </w:rPr>
      </w:pPr>
      <w:r>
        <w:rPr>
          <w:rFonts w:hint="eastAsia" w:ascii="宋体" w:hAnsi="宋体" w:cs="宋体"/>
          <w:b/>
          <w:bCs/>
          <w:sz w:val="21"/>
          <w:szCs w:val="21"/>
          <w14:ligatures w14:val="none"/>
        </w:rPr>
        <w:t>2、交货地点：</w:t>
      </w:r>
      <w:r>
        <w:rPr>
          <w:rFonts w:hint="eastAsia" w:ascii="宋体" w:hAnsi="宋体" w:cs="宋体"/>
          <w:b w:val="0"/>
          <w:bCs w:val="0"/>
          <w:sz w:val="21"/>
          <w:szCs w:val="21"/>
          <w14:ligatures w14:val="none"/>
        </w:rPr>
        <w:t>采购人指定地点。</w:t>
      </w:r>
      <w:r>
        <w:rPr>
          <w:rFonts w:hint="eastAsia" w:ascii="宋体" w:hAnsi="宋体" w:cs="宋体"/>
          <w:b/>
          <w:bCs/>
          <w:sz w:val="21"/>
          <w:szCs w:val="21"/>
          <w14:ligatures w14:val="none"/>
        </w:rPr>
        <w:t xml:space="preserve"> </w:t>
      </w:r>
    </w:p>
    <w:p w14:paraId="3C704B92">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b w:val="0"/>
          <w:bCs w:val="0"/>
          <w:sz w:val="21"/>
          <w:szCs w:val="21"/>
          <w14:ligatures w14:val="none"/>
        </w:rPr>
      </w:pPr>
      <w:r>
        <w:rPr>
          <w:rFonts w:hint="eastAsia" w:ascii="宋体" w:hAnsi="宋体" w:cs="宋体"/>
          <w:b/>
          <w:bCs/>
          <w:sz w:val="21"/>
          <w:szCs w:val="21"/>
          <w14:ligatures w14:val="none"/>
        </w:rPr>
        <w:t>3、交货方式：</w:t>
      </w:r>
      <w:r>
        <w:rPr>
          <w:rFonts w:hint="eastAsia" w:ascii="宋体" w:hAnsi="宋体" w:cs="宋体"/>
          <w:b w:val="0"/>
          <w:bCs w:val="0"/>
          <w:sz w:val="21"/>
          <w:szCs w:val="21"/>
          <w14:ligatures w14:val="none"/>
        </w:rPr>
        <w:t>由中标人免费运送至采购人指定地点并安装调试验收合格。</w:t>
      </w:r>
    </w:p>
    <w:p w14:paraId="79191E84">
      <w:pPr>
        <w:keepNext w:val="0"/>
        <w:keepLines w:val="0"/>
        <w:pageBreakBefore w:val="0"/>
        <w:kinsoku/>
        <w:wordWrap/>
        <w:overflowPunct/>
        <w:topLinePunct w:val="0"/>
        <w:autoSpaceDE/>
        <w:autoSpaceDN/>
        <w:bidi w:val="0"/>
        <w:adjustRightInd/>
        <w:snapToGrid/>
        <w:spacing w:line="360" w:lineRule="auto"/>
        <w:jc w:val="left"/>
        <w:outlineLvl w:val="1"/>
        <w:rPr>
          <w:rFonts w:ascii="宋体" w:hAnsi="宋体" w:cs="宋体"/>
          <w:b/>
          <w:bCs/>
          <w:sz w:val="21"/>
          <w:szCs w:val="21"/>
          <w14:ligatures w14:val="none"/>
        </w:rPr>
      </w:pPr>
      <w:bookmarkStart w:id="28" w:name="_Toc213511592"/>
      <w:bookmarkStart w:id="29" w:name="_Toc256000043"/>
      <w:r>
        <w:rPr>
          <w:rFonts w:hint="eastAsia" w:ascii="宋体" w:hAnsi="宋体" w:cs="宋体"/>
          <w:b/>
          <w:bCs/>
          <w:sz w:val="21"/>
          <w:szCs w:val="21"/>
          <w:lang w:eastAsia="zh-CN"/>
          <w14:ligatures w14:val="none"/>
        </w:rPr>
        <w:t>二</w:t>
      </w:r>
      <w:r>
        <w:rPr>
          <w:rFonts w:hint="eastAsia" w:ascii="宋体" w:hAnsi="宋体" w:cs="宋体"/>
          <w:b/>
          <w:bCs/>
          <w:sz w:val="21"/>
          <w:szCs w:val="21"/>
          <w14:ligatures w14:val="none"/>
        </w:rPr>
        <w:t>、服务标准</w:t>
      </w:r>
      <w:bookmarkEnd w:id="28"/>
      <w:bookmarkEnd w:id="29"/>
    </w:p>
    <w:p w14:paraId="058E5395">
      <w:pPr>
        <w:keepNext w:val="0"/>
        <w:keepLines w:val="0"/>
        <w:pageBreakBefore w:val="0"/>
        <w:kinsoku/>
        <w:wordWrap/>
        <w:overflowPunct/>
        <w:topLinePunct w:val="0"/>
        <w:autoSpaceDE/>
        <w:autoSpaceDN/>
        <w:bidi w:val="0"/>
        <w:adjustRightInd/>
        <w:snapToGrid/>
        <w:spacing w:line="360" w:lineRule="auto"/>
        <w:jc w:val="left"/>
        <w:rPr>
          <w:rFonts w:ascii="宋体" w:hAnsi="宋体" w:cs="宋体"/>
          <w:b/>
          <w:bCs/>
          <w:sz w:val="21"/>
          <w:szCs w:val="21"/>
          <w14:ligatures w14:val="none"/>
        </w:rPr>
      </w:pPr>
      <w:r>
        <w:rPr>
          <w:rFonts w:hint="eastAsia" w:ascii="宋体" w:hAnsi="宋体" w:cs="宋体"/>
          <w:b/>
          <w:bCs/>
          <w:sz w:val="21"/>
          <w:szCs w:val="21"/>
          <w14:ligatures w14:val="none"/>
        </w:rPr>
        <w:t>1、服务规定</w:t>
      </w:r>
    </w:p>
    <w:p w14:paraId="5E91CE3D">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1.1设备安装</w:t>
      </w:r>
      <w:r>
        <w:rPr>
          <w:rFonts w:hint="eastAsia" w:ascii="宋体" w:hAnsi="宋体" w:cs="宋体"/>
          <w:sz w:val="21"/>
          <w:szCs w:val="21"/>
          <w:lang w:eastAsia="zh-CN"/>
          <w14:ligatures w14:val="none"/>
        </w:rPr>
        <w:t>、</w:t>
      </w:r>
      <w:r>
        <w:rPr>
          <w:rFonts w:hint="eastAsia" w:ascii="宋体" w:hAnsi="宋体" w:cs="宋体"/>
          <w:sz w:val="21"/>
          <w:szCs w:val="21"/>
          <w14:ligatures w14:val="none"/>
        </w:rPr>
        <w:t>调试：仪器到达用户所在地后，在接到用户通知后3天内进行安装调试，同时进行现场设备操作及维护培训。</w:t>
      </w:r>
    </w:p>
    <w:p w14:paraId="4888BD4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1.2保修期：提供整机</w:t>
      </w:r>
      <w:r>
        <w:rPr>
          <w:rFonts w:hint="eastAsia" w:ascii="宋体" w:hAnsi="宋体" w:cs="宋体"/>
          <w:sz w:val="21"/>
          <w:szCs w:val="21"/>
          <w:lang w:val="en-US" w:eastAsia="zh-CN"/>
          <w14:ligatures w14:val="none"/>
        </w:rPr>
        <w:t>24</w:t>
      </w:r>
      <w:r>
        <w:rPr>
          <w:rFonts w:hint="eastAsia" w:ascii="宋体" w:hAnsi="宋体" w:cs="宋体"/>
          <w:sz w:val="21"/>
          <w:szCs w:val="21"/>
          <w14:ligatures w14:val="none"/>
        </w:rPr>
        <w:t>个月的免费保修，保修期自验收合格签字之日起算。</w:t>
      </w:r>
    </w:p>
    <w:p w14:paraId="2C2146ED">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1.3维修响应时间：中标人对用户的服务要求应在2小时内响应；需要在现场进行维修的，应在1个工作日内到达仪器现场，一般问题应在48小时内解决，重大问题或其他无法迅速解决的问题应在一周内解决或提出明确解决方案。</w:t>
      </w:r>
    </w:p>
    <w:p w14:paraId="22A9664F">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b/>
          <w:bCs/>
          <w:color w:val="000000" w:themeColor="text1"/>
          <w:sz w:val="21"/>
          <w:szCs w:val="21"/>
          <w14:textFill>
            <w14:solidFill>
              <w14:schemeClr w14:val="tx1"/>
            </w14:solidFill>
          </w14:textFill>
          <w14:ligatures w14:val="none"/>
        </w:rPr>
      </w:pPr>
      <w:r>
        <w:rPr>
          <w:rFonts w:hint="eastAsia" w:ascii="宋体" w:hAnsi="宋体" w:cs="宋体"/>
          <w:b/>
          <w:bCs/>
          <w:color w:val="000000" w:themeColor="text1"/>
          <w:sz w:val="21"/>
          <w:szCs w:val="21"/>
          <w14:textFill>
            <w14:solidFill>
              <w14:schemeClr w14:val="tx1"/>
            </w14:solidFill>
          </w14:textFill>
          <w14:ligatures w14:val="none"/>
        </w:rPr>
        <w:t xml:space="preserve">2、供货要求 </w:t>
      </w:r>
    </w:p>
    <w:p w14:paraId="697EFC1C">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color w:val="000000" w:themeColor="text1"/>
          <w:sz w:val="21"/>
          <w:szCs w:val="21"/>
          <w14:textFill>
            <w14:solidFill>
              <w14:schemeClr w14:val="tx1"/>
            </w14:solidFill>
          </w14:textFill>
          <w14:ligatures w14:val="none"/>
        </w:rPr>
      </w:pPr>
      <w:r>
        <w:rPr>
          <w:rFonts w:hint="eastAsia" w:ascii="宋体" w:hAnsi="宋体" w:cs="宋体"/>
          <w:color w:val="000000" w:themeColor="text1"/>
          <w:sz w:val="21"/>
          <w:szCs w:val="21"/>
          <w14:textFill>
            <w14:solidFill>
              <w14:schemeClr w14:val="tx1"/>
            </w14:solidFill>
          </w14:textFill>
          <w14:ligatures w14:val="none"/>
        </w:rPr>
        <w:t xml:space="preserve">2.1 交货时中标人提供仪器设备使用操作的中文手册。 </w:t>
      </w:r>
    </w:p>
    <w:p w14:paraId="45F0FC3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b/>
          <w:bCs/>
          <w:sz w:val="21"/>
          <w:szCs w:val="21"/>
          <w14:ligatures w14:val="none"/>
        </w:rPr>
      </w:pPr>
      <w:r>
        <w:rPr>
          <w:rFonts w:hint="eastAsia" w:ascii="宋体" w:hAnsi="宋体" w:cs="宋体"/>
          <w:b/>
          <w:bCs/>
          <w:sz w:val="21"/>
          <w:szCs w:val="21"/>
          <w14:ligatures w14:val="none"/>
        </w:rPr>
        <w:t xml:space="preserve">3、产品运输、保险及保管 </w:t>
      </w:r>
    </w:p>
    <w:p w14:paraId="2F69F074">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3.1 中标人负责产品到采购人指定地点的全部运输，包括装卸及现场搬运等。 </w:t>
      </w:r>
    </w:p>
    <w:p w14:paraId="3262686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3.2 中标人负责其派出人员的人身意外保险。 </w:t>
      </w:r>
    </w:p>
    <w:p w14:paraId="0E299822">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3.3 原厂原包装送货，货到采购人指定地点，经采购人验证后方可开箱。 </w:t>
      </w:r>
    </w:p>
    <w:p w14:paraId="0752E2D1">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b/>
          <w:bCs/>
          <w:sz w:val="21"/>
          <w:szCs w:val="21"/>
          <w14:ligatures w14:val="none"/>
        </w:rPr>
      </w:pPr>
      <w:r>
        <w:rPr>
          <w:rFonts w:hint="eastAsia" w:ascii="宋体" w:hAnsi="宋体" w:cs="宋体"/>
          <w:b/>
          <w:bCs/>
          <w:sz w:val="21"/>
          <w:szCs w:val="21"/>
          <w14:ligatures w14:val="none"/>
        </w:rPr>
        <w:t xml:space="preserve">4、安装调试 </w:t>
      </w:r>
    </w:p>
    <w:p w14:paraId="07CDCD3E">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4.1 安装：本项目的安装由中标人负责，中标人应对产品和软件安装调试提供全面的技术服务与支持，为顺利安装运行提供完全技术保证。 </w:t>
      </w:r>
    </w:p>
    <w:p w14:paraId="4A04C23B">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4.2 调试：调试由中标人负责，中标人为运行调试提供技术和产品的必要条件。并应向采购人有关人员讲解产品和系统结构与计划调试方法，包括系统的性能、技术特点、调试技巧等有关技术原理、方法，解决调试过程中出现的技术问题。 </w:t>
      </w:r>
    </w:p>
    <w:p w14:paraId="2AB71C9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b/>
          <w:bCs/>
          <w:sz w:val="21"/>
          <w:szCs w:val="21"/>
          <w14:ligatures w14:val="none"/>
        </w:rPr>
      </w:pPr>
      <w:r>
        <w:rPr>
          <w:rFonts w:hint="eastAsia" w:ascii="宋体" w:hAnsi="宋体" w:cs="宋体"/>
          <w:b/>
          <w:bCs/>
          <w:sz w:val="21"/>
          <w:szCs w:val="21"/>
          <w14:ligatures w14:val="none"/>
        </w:rPr>
        <w:t>5、服务标准</w:t>
      </w:r>
    </w:p>
    <w:p w14:paraId="7A76443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5.1 技术支持： </w:t>
      </w:r>
    </w:p>
    <w:p w14:paraId="43B2B40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lang w:eastAsia="zh-CN"/>
          <w14:ligatures w14:val="none"/>
        </w:rPr>
        <w:t>（</w:t>
      </w:r>
      <w:r>
        <w:rPr>
          <w:rFonts w:hint="eastAsia" w:ascii="宋体" w:hAnsi="宋体" w:cs="宋体"/>
          <w:sz w:val="21"/>
          <w:szCs w:val="21"/>
          <w14:ligatures w14:val="none"/>
        </w:rPr>
        <w:t xml:space="preserve">1）提供7×24小时的技术支持服务。 </w:t>
      </w:r>
    </w:p>
    <w:p w14:paraId="0893A78C">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1"/>
          <w:szCs w:val="21"/>
          <w:lang w:eastAsia="zh-CN"/>
          <w14:textFill>
            <w14:solidFill>
              <w14:schemeClr w14:val="tx1"/>
            </w14:solidFill>
          </w14:textFill>
          <w14:ligatures w14:val="none"/>
        </w:rPr>
      </w:pPr>
      <w:r>
        <w:rPr>
          <w:rFonts w:hint="eastAsia" w:ascii="宋体" w:hAnsi="宋体" w:cs="宋体"/>
          <w:color w:val="000000" w:themeColor="text1"/>
          <w:sz w:val="21"/>
          <w:szCs w:val="21"/>
          <w:lang w:eastAsia="zh-CN"/>
          <w14:textFill>
            <w14:solidFill>
              <w14:schemeClr w14:val="tx1"/>
            </w14:solidFill>
          </w14:textFill>
          <w14:ligatures w14:val="none"/>
        </w:rPr>
        <w:t>（</w:t>
      </w:r>
      <w:r>
        <w:rPr>
          <w:rFonts w:hint="eastAsia" w:ascii="宋体" w:hAnsi="宋体" w:cs="宋体"/>
          <w:color w:val="000000" w:themeColor="text1"/>
          <w:sz w:val="21"/>
          <w:szCs w:val="21"/>
          <w14:textFill>
            <w14:solidFill>
              <w14:schemeClr w14:val="tx1"/>
            </w14:solidFill>
          </w14:textFill>
          <w14:ligatures w14:val="none"/>
        </w:rPr>
        <w:t>2）敏感时期、重大节假日提供技术人员值守服务</w:t>
      </w:r>
      <w:r>
        <w:rPr>
          <w:rFonts w:hint="eastAsia" w:ascii="宋体" w:hAnsi="宋体" w:cs="宋体"/>
          <w:color w:val="000000" w:themeColor="text1"/>
          <w:sz w:val="21"/>
          <w:szCs w:val="21"/>
          <w:lang w:eastAsia="zh-CN"/>
          <w14:textFill>
            <w14:solidFill>
              <w14:schemeClr w14:val="tx1"/>
            </w14:solidFill>
          </w14:textFill>
          <w14:ligatures w14:val="none"/>
        </w:rPr>
        <w:t>。</w:t>
      </w:r>
    </w:p>
    <w:p w14:paraId="06AA2AF1">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5.2 设备维护：</w:t>
      </w:r>
    </w:p>
    <w:p w14:paraId="53E8C4B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color w:val="000000" w:themeColor="text1"/>
          <w:sz w:val="21"/>
          <w:szCs w:val="21"/>
          <w:lang w:eastAsia="zh-CN"/>
          <w14:textFill>
            <w14:solidFill>
              <w14:schemeClr w14:val="tx1"/>
            </w14:solidFill>
          </w14:textFill>
          <w14:ligatures w14:val="none"/>
        </w:rPr>
      </w:pPr>
      <w:r>
        <w:rPr>
          <w:rFonts w:hint="eastAsia" w:ascii="宋体" w:hAnsi="宋体" w:cs="宋体"/>
          <w:sz w:val="21"/>
          <w:szCs w:val="21"/>
          <w:lang w:eastAsia="zh-CN"/>
          <w14:ligatures w14:val="none"/>
        </w:rPr>
        <w:t>（</w:t>
      </w:r>
      <w:r>
        <w:rPr>
          <w:rFonts w:hint="eastAsia" w:ascii="宋体" w:hAnsi="宋体" w:cs="宋体"/>
          <w:sz w:val="21"/>
          <w:szCs w:val="21"/>
          <w14:ligatures w14:val="none"/>
        </w:rPr>
        <w:t>1）应有定期</w:t>
      </w:r>
      <w:r>
        <w:rPr>
          <w:rFonts w:hint="eastAsia" w:ascii="宋体" w:hAnsi="宋体" w:cs="宋体"/>
          <w:sz w:val="21"/>
          <w:szCs w:val="21"/>
          <w:lang w:eastAsia="zh-CN"/>
          <w14:ligatures w14:val="none"/>
        </w:rPr>
        <w:t>巡检</w:t>
      </w:r>
      <w:r>
        <w:rPr>
          <w:rFonts w:hint="eastAsia" w:ascii="宋体" w:hAnsi="宋体" w:cs="宋体"/>
          <w:sz w:val="21"/>
          <w:szCs w:val="21"/>
          <w14:ligatures w14:val="none"/>
        </w:rPr>
        <w:t>维护计划</w:t>
      </w:r>
      <w:r>
        <w:rPr>
          <w:rFonts w:hint="eastAsia" w:ascii="宋体" w:hAnsi="宋体" w:cs="宋体"/>
          <w:sz w:val="21"/>
          <w:szCs w:val="21"/>
          <w:lang w:eastAsia="zh-CN"/>
          <w14:ligatures w14:val="none"/>
        </w:rPr>
        <w:t>，</w:t>
      </w:r>
      <w:r>
        <w:rPr>
          <w:rFonts w:hint="eastAsia" w:ascii="宋体" w:hAnsi="宋体" w:cs="宋体"/>
          <w:color w:val="000000" w:themeColor="text1"/>
          <w:sz w:val="21"/>
          <w:szCs w:val="21"/>
          <w14:textFill>
            <w14:solidFill>
              <w14:schemeClr w14:val="tx1"/>
            </w14:solidFill>
          </w14:textFill>
          <w14:ligatures w14:val="none"/>
        </w:rPr>
        <w:t>每季度检查设备状态，了解使用情况，对使用过程中的问题需提供长期的技术支持与售后服务</w:t>
      </w:r>
      <w:r>
        <w:rPr>
          <w:rFonts w:hint="eastAsia" w:ascii="宋体" w:hAnsi="宋体" w:cs="宋体"/>
          <w:color w:val="000000" w:themeColor="text1"/>
          <w:sz w:val="21"/>
          <w:szCs w:val="21"/>
          <w:lang w:eastAsia="zh-CN"/>
          <w14:textFill>
            <w14:solidFill>
              <w14:schemeClr w14:val="tx1"/>
            </w14:solidFill>
          </w14:textFill>
          <w14:ligatures w14:val="none"/>
        </w:rPr>
        <w:t>。</w:t>
      </w:r>
    </w:p>
    <w:p w14:paraId="75EDEFAA">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lang w:eastAsia="zh-CN"/>
          <w14:ligatures w14:val="none"/>
        </w:rPr>
      </w:pPr>
      <w:r>
        <w:rPr>
          <w:rFonts w:hint="eastAsia" w:ascii="宋体" w:hAnsi="宋体" w:cs="宋体"/>
          <w:sz w:val="21"/>
          <w:szCs w:val="21"/>
          <w:lang w:eastAsia="zh-CN"/>
          <w14:ligatures w14:val="none"/>
        </w:rPr>
        <w:t>（</w:t>
      </w:r>
      <w:r>
        <w:rPr>
          <w:rFonts w:hint="eastAsia" w:ascii="宋体" w:hAnsi="宋体" w:cs="宋体"/>
          <w:sz w:val="21"/>
          <w:szCs w:val="21"/>
          <w:lang w:val="en-US" w:eastAsia="zh-CN"/>
          <w14:ligatures w14:val="none"/>
        </w:rPr>
        <w:t>2</w:t>
      </w:r>
      <w:r>
        <w:rPr>
          <w:rFonts w:hint="eastAsia" w:ascii="宋体" w:hAnsi="宋体" w:cs="宋体"/>
          <w:sz w:val="21"/>
          <w:szCs w:val="21"/>
          <w:lang w:eastAsia="zh-CN"/>
          <w14:ligatures w14:val="none"/>
        </w:rPr>
        <w:t>）</w:t>
      </w:r>
      <w:r>
        <w:rPr>
          <w:rFonts w:hint="eastAsia" w:ascii="宋体" w:hAnsi="宋体" w:cs="宋体"/>
          <w:color w:val="000000" w:themeColor="text1"/>
          <w:sz w:val="21"/>
          <w:szCs w:val="21"/>
          <w14:textFill>
            <w14:solidFill>
              <w14:schemeClr w14:val="tx1"/>
            </w14:solidFill>
          </w14:textFill>
          <w14:ligatures w14:val="none"/>
        </w:rPr>
        <w:t>质保期</w:t>
      </w:r>
      <w:r>
        <w:rPr>
          <w:rFonts w:hint="eastAsia" w:ascii="宋体" w:hAnsi="宋体" w:cs="宋体"/>
          <w:color w:val="000000" w:themeColor="text1"/>
          <w:sz w:val="21"/>
          <w:szCs w:val="21"/>
          <w:lang w:eastAsia="zh-CN"/>
          <w14:textFill>
            <w14:solidFill>
              <w14:schemeClr w14:val="tx1"/>
            </w14:solidFill>
          </w14:textFill>
          <w14:ligatures w14:val="none"/>
        </w:rPr>
        <w:t>满</w:t>
      </w:r>
      <w:r>
        <w:rPr>
          <w:rFonts w:hint="eastAsia" w:ascii="宋体" w:hAnsi="宋体" w:cs="宋体"/>
          <w:color w:val="000000" w:themeColor="text1"/>
          <w:sz w:val="21"/>
          <w:szCs w:val="21"/>
          <w14:textFill>
            <w14:solidFill>
              <w14:schemeClr w14:val="tx1"/>
            </w14:solidFill>
          </w14:textFill>
          <w14:ligatures w14:val="none"/>
        </w:rPr>
        <w:t>后，提前15个工作日对</w:t>
      </w:r>
      <w:r>
        <w:rPr>
          <w:rFonts w:hint="eastAsia" w:ascii="宋体" w:hAnsi="宋体" w:cs="宋体"/>
          <w:color w:val="000000" w:themeColor="text1"/>
          <w:sz w:val="21"/>
          <w:szCs w:val="21"/>
          <w:lang w:eastAsia="zh-CN"/>
          <w14:textFill>
            <w14:solidFill>
              <w14:schemeClr w14:val="tx1"/>
            </w14:solidFill>
          </w14:textFill>
          <w14:ligatures w14:val="none"/>
        </w:rPr>
        <w:t>全部</w:t>
      </w:r>
      <w:r>
        <w:rPr>
          <w:rFonts w:hint="eastAsia" w:ascii="宋体" w:hAnsi="宋体" w:cs="宋体"/>
          <w:color w:val="000000" w:themeColor="text1"/>
          <w:sz w:val="21"/>
          <w:szCs w:val="21"/>
          <w14:textFill>
            <w14:solidFill>
              <w14:schemeClr w14:val="tx1"/>
            </w14:solidFill>
          </w14:textFill>
          <w14:ligatures w14:val="none"/>
        </w:rPr>
        <w:t>设备进行调试，确保正常运行。</w:t>
      </w:r>
    </w:p>
    <w:p w14:paraId="1B50056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5.3 备品、备件服务：遇到重大故障，提供系统所需更换的任何备件。 </w:t>
      </w:r>
    </w:p>
    <w:p w14:paraId="4C33326C">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5.4 质保期内出现任何质量问题（人为破坏或自然灾害等不可抗力除外），由中标人负责承担（全部工时费、材料费、管理费、财务费等等）更换或维修。质保期满后，无论采购人是否另行选择维保投标人，中标人应及时优惠提供所需的备品备件。 </w:t>
      </w:r>
    </w:p>
    <w:p w14:paraId="70477B15">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5.5 培训：中标人应按采购人指定负责</w:t>
      </w:r>
      <w:r>
        <w:rPr>
          <w:rFonts w:hint="eastAsia" w:ascii="宋体" w:hAnsi="宋体" w:cs="宋体"/>
          <w:sz w:val="21"/>
          <w:szCs w:val="21"/>
          <w:lang w:eastAsia="zh-CN"/>
          <w14:ligatures w14:val="none"/>
        </w:rPr>
        <w:t>免费</w:t>
      </w:r>
      <w:r>
        <w:rPr>
          <w:rFonts w:hint="eastAsia" w:ascii="宋体" w:hAnsi="宋体" w:cs="宋体"/>
          <w:sz w:val="21"/>
          <w:szCs w:val="21"/>
          <w14:ligatures w14:val="none"/>
        </w:rPr>
        <w:t>培训操作管理及维护人员</w:t>
      </w:r>
      <w:r>
        <w:rPr>
          <w:rFonts w:hint="eastAsia" w:ascii="宋体" w:hAnsi="宋体" w:cs="宋体"/>
          <w:sz w:val="21"/>
          <w:szCs w:val="21"/>
          <w:lang w:eastAsia="zh-CN"/>
          <w14:ligatures w14:val="none"/>
        </w:rPr>
        <w:t>（人数不限）</w:t>
      </w:r>
      <w:r>
        <w:rPr>
          <w:rFonts w:hint="eastAsia" w:ascii="宋体" w:hAnsi="宋体" w:cs="宋体"/>
          <w:sz w:val="21"/>
          <w:szCs w:val="21"/>
          <w14:ligatures w14:val="none"/>
        </w:rPr>
        <w:t xml:space="preserve">，达到熟练掌握产品性能，能及时排除一般故障的程度；并提供服务承诺书及人员培训方案。 </w:t>
      </w:r>
    </w:p>
    <w:p w14:paraId="651A0919">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5.6 备品备件：中标人应在投标文件中提供按出厂标准供应的备品备件清单（包括易损件）。在设备的使用寿命期内，中标人应保证采购人对设备的零配件、易损件的供应。 </w:t>
      </w:r>
    </w:p>
    <w:p w14:paraId="440AADA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5.7 安装工具：中标人应向采购人提供安装、维修所需的安装专用工具及清单，其费用应包括在投标价格内。 </w:t>
      </w:r>
    </w:p>
    <w:p w14:paraId="5DF14AE2">
      <w:pPr>
        <w:keepNext w:val="0"/>
        <w:keepLines w:val="0"/>
        <w:pageBreakBefore w:val="0"/>
        <w:kinsoku/>
        <w:wordWrap/>
        <w:overflowPunct/>
        <w:topLinePunct w:val="0"/>
        <w:autoSpaceDE/>
        <w:autoSpaceDN/>
        <w:bidi w:val="0"/>
        <w:adjustRightInd/>
        <w:snapToGrid/>
        <w:spacing w:line="360" w:lineRule="auto"/>
        <w:jc w:val="left"/>
        <w:rPr>
          <w:rFonts w:ascii="宋体" w:hAnsi="宋体" w:cs="宋体"/>
          <w:sz w:val="21"/>
          <w:szCs w:val="21"/>
          <w14:ligatures w14:val="none"/>
        </w:rPr>
      </w:pPr>
      <w:r>
        <w:rPr>
          <w:rFonts w:hint="eastAsia" w:ascii="宋体" w:hAnsi="宋体" w:cs="宋体"/>
          <w:sz w:val="21"/>
          <w:szCs w:val="21"/>
          <w14:ligatures w14:val="none"/>
        </w:rPr>
        <w:t>5.8 提供详细配置清单、易耗品清单及单价，提供所投产品厂方技术参数、彩色图片。</w:t>
      </w:r>
    </w:p>
    <w:p w14:paraId="1AD1D201">
      <w:pPr>
        <w:keepNext w:val="0"/>
        <w:keepLines w:val="0"/>
        <w:pageBreakBefore w:val="0"/>
        <w:kinsoku/>
        <w:wordWrap/>
        <w:overflowPunct/>
        <w:topLinePunct w:val="0"/>
        <w:autoSpaceDE/>
        <w:autoSpaceDN/>
        <w:bidi w:val="0"/>
        <w:adjustRightInd/>
        <w:snapToGrid/>
        <w:spacing w:line="360" w:lineRule="auto"/>
        <w:jc w:val="left"/>
        <w:outlineLvl w:val="1"/>
        <w:rPr>
          <w:rFonts w:hint="eastAsia" w:ascii="宋体" w:hAnsi="宋体" w:cs="宋体"/>
          <w:b/>
          <w:bCs/>
          <w:sz w:val="21"/>
          <w:szCs w:val="21"/>
          <w14:ligatures w14:val="none"/>
        </w:rPr>
      </w:pPr>
      <w:bookmarkStart w:id="30" w:name="_Toc256000044"/>
      <w:bookmarkStart w:id="31" w:name="_Toc213511593"/>
      <w:r>
        <w:rPr>
          <w:rFonts w:hint="eastAsia" w:ascii="宋体" w:hAnsi="宋体" w:cs="宋体"/>
          <w:b/>
          <w:bCs/>
          <w:sz w:val="21"/>
          <w:szCs w:val="21"/>
          <w:lang w:eastAsia="zh-CN"/>
          <w14:ligatures w14:val="none"/>
        </w:rPr>
        <w:t>三</w:t>
      </w:r>
      <w:r>
        <w:rPr>
          <w:rFonts w:hint="eastAsia" w:ascii="宋体" w:hAnsi="宋体" w:cs="宋体"/>
          <w:b/>
          <w:bCs/>
          <w:sz w:val="21"/>
          <w:szCs w:val="21"/>
          <w14:ligatures w14:val="none"/>
        </w:rPr>
        <w:t>、验收标准</w:t>
      </w:r>
      <w:bookmarkEnd w:id="30"/>
      <w:bookmarkEnd w:id="31"/>
    </w:p>
    <w:p w14:paraId="20B6D4C7">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1、项目验收国家有强制性规定的，按国家规定执行，验收费用由采购人承担，验收报告作为申请付款的凭证之一。</w:t>
      </w:r>
    </w:p>
    <w:p w14:paraId="0106959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2、需完成设备的校准报告以及性能验证报告。费用由中标人承担。</w:t>
      </w:r>
    </w:p>
    <w:p w14:paraId="4F30979F">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lang w:eastAsia="zh-CN"/>
          <w14:ligatures w14:val="none"/>
        </w:rPr>
      </w:pPr>
      <w:r>
        <w:rPr>
          <w:rFonts w:hint="eastAsia" w:ascii="宋体" w:hAnsi="宋体" w:cs="宋体"/>
          <w:sz w:val="21"/>
          <w:szCs w:val="21"/>
          <w14:ligatures w14:val="none"/>
        </w:rPr>
        <w:t>3、验收的标准和依据：包括本采购项目的招标文件、中标人的投标文件、政府采购合同和有关国家标准与行业规范</w:t>
      </w:r>
      <w:r>
        <w:rPr>
          <w:rFonts w:hint="eastAsia" w:ascii="宋体" w:hAnsi="宋体" w:cs="宋体"/>
          <w:sz w:val="21"/>
          <w:szCs w:val="21"/>
          <w:lang w:eastAsia="zh-CN"/>
          <w14:ligatures w14:val="none"/>
        </w:rPr>
        <w:t>。</w:t>
      </w:r>
    </w:p>
    <w:p w14:paraId="2B150843">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4、履约验收时间：投标人提出验收申请之日起7个工作日内组织验收。</w:t>
      </w:r>
    </w:p>
    <w:p w14:paraId="718A537D">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5、验收主体：采购人为项目的验收主体。</w:t>
      </w:r>
    </w:p>
    <w:p w14:paraId="749D628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6、履约验收方式：</w:t>
      </w:r>
      <w:r>
        <w:rPr>
          <w:rFonts w:hint="eastAsia" w:ascii="宋体" w:hAnsi="宋体" w:cs="宋体"/>
          <w:sz w:val="21"/>
          <w:szCs w:val="21"/>
          <w14:ligatures w14:val="none"/>
        </w:rPr>
        <w:sym w:font="Wingdings 2" w:char="0052"/>
      </w:r>
      <w:r>
        <w:rPr>
          <w:rFonts w:hint="eastAsia" w:ascii="宋体" w:hAnsi="宋体" w:cs="宋体"/>
          <w:sz w:val="21"/>
          <w:szCs w:val="21"/>
          <w14:ligatures w14:val="none"/>
        </w:rPr>
        <w:t xml:space="preserve">一次性验收 </w:t>
      </w:r>
      <w:r>
        <w:rPr>
          <w:rFonts w:hint="eastAsia" w:ascii="Segoe UI Symbol" w:hAnsi="Segoe UI Symbol" w:cs="Segoe UI Symbol"/>
          <w:sz w:val="21"/>
          <w:szCs w:val="21"/>
          <w:lang w:eastAsia="zh-CN"/>
          <w14:ligatures w14:val="none"/>
        </w:rPr>
        <w:t>□</w:t>
      </w:r>
      <w:r>
        <w:rPr>
          <w:rFonts w:hint="eastAsia" w:ascii="宋体" w:hAnsi="宋体" w:cs="宋体"/>
          <w:sz w:val="21"/>
          <w:szCs w:val="21"/>
          <w14:ligatures w14:val="none"/>
        </w:rPr>
        <w:t xml:space="preserve">分期/分项验收 </w:t>
      </w:r>
    </w:p>
    <w:p w14:paraId="21FB36AE">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7、验收程序：一般程序验收</w:t>
      </w:r>
    </w:p>
    <w:p w14:paraId="00C29B89">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8、履约验收其他事项： </w:t>
      </w:r>
    </w:p>
    <w:p w14:paraId="779AE5F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lang w:eastAsia="zh-CN"/>
          <w14:ligatures w14:val="none"/>
        </w:rPr>
        <w:t>（</w:t>
      </w:r>
      <w:r>
        <w:rPr>
          <w:rFonts w:hint="eastAsia" w:ascii="宋体" w:hAnsi="宋体" w:cs="宋体"/>
          <w:sz w:val="21"/>
          <w:szCs w:val="21"/>
          <w14:ligatures w14:val="none"/>
        </w:rPr>
        <w:t xml:space="preserve">1）验收过程产生中产生纠纷的，由质量技术监督部门认定的检测机构检测，如为中标人原因造成的，由中标人承担检测费用；否则，由采购人承担。 </w:t>
      </w:r>
    </w:p>
    <w:p w14:paraId="26AB6569">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lang w:eastAsia="zh-CN"/>
          <w14:ligatures w14:val="none"/>
        </w:rPr>
        <w:t>（</w:t>
      </w:r>
      <w:r>
        <w:rPr>
          <w:rFonts w:hint="eastAsia" w:ascii="宋体" w:hAnsi="宋体" w:cs="宋体"/>
          <w:sz w:val="21"/>
          <w:szCs w:val="21"/>
          <w14:ligatures w14:val="none"/>
        </w:rPr>
        <w:t xml:space="preserve">2）项目验收不合格，由中标人返工、更换直至合格，有关返工更换、再行验收，以及给采购人造成的损失等费用由中标人承担。连续两次项目验收不合格的或要求返工更换无正当理由拒不返工更换的，采购人可终止合同，另行按规定选择其他投标人采购，由此带来的一切损失（包括但不限于直接或间接经济损失、为维护合法权益产生的诉讼费、律师费、保全费、调查费、鉴定费、诉讼费、差旅费等费用）由中标人承担。 </w:t>
      </w:r>
    </w:p>
    <w:p w14:paraId="768B7318">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lang w:eastAsia="zh-CN"/>
          <w14:ligatures w14:val="none"/>
        </w:rPr>
        <w:t>（</w:t>
      </w:r>
      <w:r>
        <w:rPr>
          <w:rFonts w:hint="eastAsia" w:ascii="宋体" w:hAnsi="宋体" w:cs="宋体"/>
          <w:sz w:val="21"/>
          <w:szCs w:val="21"/>
          <w14:ligatures w14:val="none"/>
        </w:rPr>
        <w:t>3）采购人与中标投标人双方签署采购货物验收单确认货物质量、数量、规格等无误后，产品才视为验收合格，并开始计算质量保证期。</w:t>
      </w:r>
    </w:p>
    <w:p w14:paraId="620A99C3">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lang w:eastAsia="zh-CN"/>
          <w14:ligatures w14:val="none"/>
        </w:rPr>
        <w:t>（</w:t>
      </w:r>
      <w:r>
        <w:rPr>
          <w:rFonts w:hint="eastAsia" w:ascii="宋体" w:hAnsi="宋体" w:cs="宋体"/>
          <w:sz w:val="21"/>
          <w:szCs w:val="21"/>
          <w14:ligatures w14:val="none"/>
        </w:rPr>
        <w:t xml:space="preserve">4）投标文件作为邀约的一部分，同时视作供货内容依据。 </w:t>
      </w:r>
    </w:p>
    <w:p w14:paraId="31D2053E">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lang w:eastAsia="zh-CN"/>
          <w14:ligatures w14:val="none"/>
        </w:rPr>
        <w:t>（</w:t>
      </w:r>
      <w:r>
        <w:rPr>
          <w:rFonts w:hint="eastAsia" w:ascii="宋体" w:hAnsi="宋体" w:cs="宋体"/>
          <w:sz w:val="21"/>
          <w:szCs w:val="21"/>
          <w14:ligatures w14:val="none"/>
        </w:rPr>
        <w:t xml:space="preserve">5）验收地点：采购人指定地点。 </w:t>
      </w:r>
    </w:p>
    <w:p w14:paraId="467A530A">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color w:val="000000" w:themeColor="text1"/>
          <w:sz w:val="21"/>
          <w:szCs w:val="21"/>
          <w14:textFill>
            <w14:solidFill>
              <w14:schemeClr w14:val="tx1"/>
            </w14:solidFill>
          </w14:textFill>
          <w14:ligatures w14:val="none"/>
        </w:rPr>
      </w:pPr>
      <w:r>
        <w:rPr>
          <w:rFonts w:hint="eastAsia" w:ascii="宋体" w:hAnsi="宋体" w:cs="宋体"/>
          <w:color w:val="000000" w:themeColor="text1"/>
          <w:sz w:val="21"/>
          <w:szCs w:val="21"/>
          <w:lang w:eastAsia="zh-CN"/>
          <w14:textFill>
            <w14:solidFill>
              <w14:schemeClr w14:val="tx1"/>
            </w14:solidFill>
          </w14:textFill>
          <w14:ligatures w14:val="none"/>
        </w:rPr>
        <w:t>（</w:t>
      </w:r>
      <w:r>
        <w:rPr>
          <w:rFonts w:hint="eastAsia" w:ascii="宋体" w:hAnsi="宋体" w:cs="宋体"/>
          <w:color w:val="000000" w:themeColor="text1"/>
          <w:sz w:val="21"/>
          <w:szCs w:val="21"/>
          <w14:textFill>
            <w14:solidFill>
              <w14:schemeClr w14:val="tx1"/>
            </w14:solidFill>
          </w14:textFill>
          <w14:ligatures w14:val="none"/>
        </w:rPr>
        <w:t>6）严格按照国家及行业相关标准进行验收</w:t>
      </w:r>
      <w:r>
        <w:rPr>
          <w:rFonts w:hint="eastAsia" w:ascii="宋体" w:hAnsi="宋体" w:cs="宋体"/>
          <w:color w:val="000000" w:themeColor="text1"/>
          <w:sz w:val="21"/>
          <w:szCs w:val="21"/>
          <w:lang w:eastAsia="zh-CN"/>
          <w14:textFill>
            <w14:solidFill>
              <w14:schemeClr w14:val="tx1"/>
            </w14:solidFill>
          </w14:textFill>
          <w14:ligatures w14:val="none"/>
        </w:rPr>
        <w:t>，</w:t>
      </w:r>
      <w:r>
        <w:rPr>
          <w:rFonts w:hint="eastAsia" w:ascii="宋体" w:hAnsi="宋体" w:cs="宋体"/>
          <w:color w:val="000000" w:themeColor="text1"/>
          <w:sz w:val="21"/>
          <w:szCs w:val="21"/>
          <w14:textFill>
            <w14:solidFill>
              <w14:schemeClr w14:val="tx1"/>
            </w14:solidFill>
          </w14:textFill>
          <w14:ligatures w14:val="none"/>
        </w:rPr>
        <w:t xml:space="preserve">验收过程中，将对照招标文件中的技术指标进行逐一验证，对未达到技术要求的不合格产品，一律拒收；并可终止合同执行。发现有虚假响应者，将报请政府采购主管部门，予以严厉处罚。 </w:t>
      </w:r>
    </w:p>
    <w:p w14:paraId="515E4565">
      <w:pPr>
        <w:keepNext w:val="0"/>
        <w:keepLines w:val="0"/>
        <w:pageBreakBefore w:val="0"/>
        <w:kinsoku/>
        <w:wordWrap/>
        <w:overflowPunct/>
        <w:topLinePunct w:val="0"/>
        <w:autoSpaceDE/>
        <w:autoSpaceDN/>
        <w:bidi w:val="0"/>
        <w:adjustRightInd/>
        <w:snapToGrid/>
        <w:spacing w:line="360" w:lineRule="auto"/>
        <w:jc w:val="left"/>
        <w:outlineLvl w:val="1"/>
        <w:rPr>
          <w:rFonts w:hint="eastAsia" w:ascii="宋体" w:hAnsi="宋体" w:cs="宋体"/>
          <w:b/>
          <w:bCs/>
          <w:color w:val="000000" w:themeColor="text1"/>
          <w:sz w:val="21"/>
          <w:szCs w:val="21"/>
          <w14:textFill>
            <w14:solidFill>
              <w14:schemeClr w14:val="tx1"/>
            </w14:solidFill>
          </w14:textFill>
          <w14:ligatures w14:val="none"/>
        </w:rPr>
      </w:pPr>
      <w:bookmarkStart w:id="32" w:name="_Toc213511594"/>
      <w:bookmarkStart w:id="33" w:name="_Toc256000045"/>
      <w:r>
        <w:rPr>
          <w:rFonts w:hint="eastAsia" w:ascii="宋体" w:hAnsi="宋体" w:cs="宋体"/>
          <w:b/>
          <w:bCs/>
          <w:color w:val="000000" w:themeColor="text1"/>
          <w:sz w:val="21"/>
          <w:szCs w:val="21"/>
          <w:lang w:eastAsia="zh-CN"/>
          <w14:textFill>
            <w14:solidFill>
              <w14:schemeClr w14:val="tx1"/>
            </w14:solidFill>
          </w14:textFill>
          <w14:ligatures w14:val="none"/>
        </w:rPr>
        <w:t>四</w:t>
      </w:r>
      <w:r>
        <w:rPr>
          <w:rFonts w:hint="eastAsia" w:ascii="宋体" w:hAnsi="宋体" w:cs="宋体"/>
          <w:b/>
          <w:bCs/>
          <w:color w:val="000000" w:themeColor="text1"/>
          <w:sz w:val="21"/>
          <w:szCs w:val="21"/>
          <w14:textFill>
            <w14:solidFill>
              <w14:schemeClr w14:val="tx1"/>
            </w14:solidFill>
          </w14:textFill>
          <w14:ligatures w14:val="none"/>
        </w:rPr>
        <w:t>、项目其他要求及说明</w:t>
      </w:r>
      <w:bookmarkEnd w:id="32"/>
      <w:bookmarkEnd w:id="33"/>
    </w:p>
    <w:p w14:paraId="511A6EE7">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color w:val="000000" w:themeColor="text1"/>
          <w:sz w:val="21"/>
          <w:szCs w:val="21"/>
          <w14:textFill>
            <w14:solidFill>
              <w14:schemeClr w14:val="tx1"/>
            </w14:solidFill>
          </w14:textFill>
          <w14:ligatures w14:val="none"/>
        </w:rPr>
      </w:pPr>
      <w:r>
        <w:rPr>
          <w:rFonts w:hint="eastAsia" w:ascii="宋体" w:hAnsi="宋体" w:cs="宋体"/>
          <w:color w:val="000000" w:themeColor="text1"/>
          <w:sz w:val="21"/>
          <w:szCs w:val="21"/>
          <w14:textFill>
            <w14:solidFill>
              <w14:schemeClr w14:val="tx1"/>
            </w14:solidFill>
          </w14:textFill>
          <w14:ligatures w14:val="none"/>
        </w:rPr>
        <w:t>1、结算方法</w:t>
      </w:r>
    </w:p>
    <w:p w14:paraId="6CE5B6A1">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color w:val="000000" w:themeColor="text1"/>
          <w:sz w:val="21"/>
          <w:szCs w:val="21"/>
          <w14:textFill>
            <w14:solidFill>
              <w14:schemeClr w14:val="tx1"/>
            </w14:solidFill>
          </w14:textFill>
          <w14:ligatures w14:val="none"/>
        </w:rPr>
      </w:pPr>
      <w:r>
        <w:rPr>
          <w:rFonts w:hint="eastAsia" w:ascii="宋体" w:hAnsi="宋体" w:cs="宋体"/>
          <w:color w:val="000000" w:themeColor="text1"/>
          <w:sz w:val="21"/>
          <w:szCs w:val="21"/>
          <w14:textFill>
            <w14:solidFill>
              <w14:schemeClr w14:val="tx1"/>
            </w14:solidFill>
          </w14:textFill>
          <w14:ligatures w14:val="none"/>
        </w:rPr>
        <w:t>1.1 付款人：</w:t>
      </w:r>
      <w:r>
        <w:rPr>
          <w:rFonts w:hint="eastAsia" w:ascii="宋体" w:hAnsi="宋体" w:cs="宋体"/>
          <w:color w:val="000000" w:themeColor="text1"/>
          <w:sz w:val="21"/>
          <w:szCs w:val="21"/>
          <w:lang w:val="en-US" w:eastAsia="zh-CN"/>
          <w14:textFill>
            <w14:solidFill>
              <w14:schemeClr w14:val="tx1"/>
            </w14:solidFill>
          </w14:textFill>
          <w14:ligatures w14:val="none"/>
        </w:rPr>
        <w:t xml:space="preserve"> 株洲市二中</w:t>
      </w:r>
      <w:r>
        <w:rPr>
          <w:rFonts w:hint="eastAsia" w:ascii="宋体" w:hAnsi="宋体" w:cs="宋体"/>
          <w:color w:val="000000" w:themeColor="text1"/>
          <w:sz w:val="21"/>
          <w:szCs w:val="21"/>
          <w14:textFill>
            <w14:solidFill>
              <w14:schemeClr w14:val="tx1"/>
            </w14:solidFill>
          </w14:textFill>
          <w14:ligatures w14:val="none"/>
        </w:rPr>
        <w:t>。</w:t>
      </w:r>
    </w:p>
    <w:p w14:paraId="759115C7">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color w:val="000000" w:themeColor="text1"/>
          <w:sz w:val="21"/>
          <w:szCs w:val="21"/>
          <w14:textFill>
            <w14:solidFill>
              <w14:schemeClr w14:val="tx1"/>
            </w14:solidFill>
          </w14:textFill>
          <w14:ligatures w14:val="none"/>
        </w:rPr>
      </w:pPr>
      <w:r>
        <w:rPr>
          <w:rFonts w:hint="eastAsia" w:ascii="宋体" w:hAnsi="宋体" w:cs="宋体"/>
          <w:color w:val="000000" w:themeColor="text1"/>
          <w:sz w:val="21"/>
          <w:szCs w:val="21"/>
          <w14:textFill>
            <w14:solidFill>
              <w14:schemeClr w14:val="tx1"/>
            </w14:solidFill>
          </w14:textFill>
          <w14:ligatures w14:val="none"/>
        </w:rPr>
        <w:t>1.2 付款方式：中标投标人与采购人合同签订后30个工作日内，且财政资金下达后支付合同总价款的40%，设备到货、安装调试完成并经采购人验收合格且财政资金下达后，支付合同总价款的</w:t>
      </w:r>
      <w:r>
        <w:rPr>
          <w:rFonts w:hint="eastAsia" w:ascii="宋体" w:hAnsi="宋体" w:cs="宋体"/>
          <w:color w:val="000000" w:themeColor="text1"/>
          <w:sz w:val="21"/>
          <w:szCs w:val="21"/>
          <w:lang w:val="en-US" w:eastAsia="zh-CN"/>
          <w14:textFill>
            <w14:solidFill>
              <w14:schemeClr w14:val="tx1"/>
            </w14:solidFill>
          </w14:textFill>
          <w14:ligatures w14:val="none"/>
        </w:rPr>
        <w:t>55</w:t>
      </w:r>
      <w:r>
        <w:rPr>
          <w:rFonts w:hint="eastAsia" w:ascii="宋体" w:hAnsi="宋体" w:cs="宋体"/>
          <w:color w:val="000000" w:themeColor="text1"/>
          <w:sz w:val="21"/>
          <w:szCs w:val="21"/>
          <w14:textFill>
            <w14:solidFill>
              <w14:schemeClr w14:val="tx1"/>
            </w14:solidFill>
          </w14:textFill>
          <w14:ligatures w14:val="none"/>
        </w:rPr>
        <w:t>%。质保期满（无质量问题、售后服务纠纷，以及其他经济法律纠纷等）且财政资金下达后支付合同总价款的5%。</w:t>
      </w:r>
    </w:p>
    <w:p w14:paraId="067281F9">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color w:val="000000" w:themeColor="text1"/>
          <w:sz w:val="21"/>
          <w:szCs w:val="21"/>
          <w14:textFill>
            <w14:solidFill>
              <w14:schemeClr w14:val="tx1"/>
            </w14:solidFill>
          </w14:textFill>
          <w14:ligatures w14:val="none"/>
        </w:rPr>
      </w:pPr>
      <w:r>
        <w:rPr>
          <w:rFonts w:hint="eastAsia" w:ascii="宋体" w:hAnsi="宋体" w:cs="宋体"/>
          <w:color w:val="000000" w:themeColor="text1"/>
          <w:sz w:val="21"/>
          <w:szCs w:val="21"/>
          <w14:textFill>
            <w14:solidFill>
              <w14:schemeClr w14:val="tx1"/>
            </w14:solidFill>
          </w14:textFill>
          <w14:ligatures w14:val="none"/>
        </w:rPr>
        <w:t>2、投标人可投同档次或更高档次的产品。</w:t>
      </w:r>
    </w:p>
    <w:p w14:paraId="5AEC93A8">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color w:val="000000" w:themeColor="text1"/>
          <w:sz w:val="21"/>
          <w:szCs w:val="21"/>
          <w14:textFill>
            <w14:solidFill>
              <w14:schemeClr w14:val="tx1"/>
            </w14:solidFill>
          </w14:textFill>
          <w14:ligatures w14:val="none"/>
        </w:rPr>
      </w:pPr>
      <w:r>
        <w:rPr>
          <w:rFonts w:hint="eastAsia" w:ascii="宋体" w:hAnsi="宋体" w:cs="宋体"/>
          <w:color w:val="000000" w:themeColor="text1"/>
          <w:sz w:val="21"/>
          <w:szCs w:val="21"/>
          <w14:textFill>
            <w14:solidFill>
              <w14:schemeClr w14:val="tx1"/>
            </w14:solidFill>
          </w14:textFill>
          <w14:ligatures w14:val="none"/>
        </w:rPr>
        <w:t>3、质保和售后要求超出厂家正常保修范围的，中标投标人需向厂家购买。</w:t>
      </w:r>
    </w:p>
    <w:p w14:paraId="428C2312">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4、本项目采用费用包干方式建设，投标人应根据项目要求和现场情况，详细列明项目所需的设备及材料购置，以及产品运输保险保管、项目安装调试、试运行测试通过验收、培训、质保期免费保修维护等所有人工、管理、财务、税款等所有费用，如一旦中标，在项目实施中出现任何遗漏，均由中标人免费提供，采购人不再支付任何费用。</w:t>
      </w:r>
    </w:p>
    <w:p w14:paraId="40DE7A21">
      <w:pPr>
        <w:keepNext w:val="0"/>
        <w:keepLines w:val="0"/>
        <w:pageBreakBefore w:val="0"/>
        <w:kinsoku/>
        <w:wordWrap/>
        <w:overflowPunct/>
        <w:topLinePunct w:val="0"/>
        <w:autoSpaceDE/>
        <w:autoSpaceDN/>
        <w:bidi w:val="0"/>
        <w:adjustRightInd/>
        <w:snapToGrid/>
        <w:rPr>
          <w:rFonts w:hint="eastAsia" w:ascii="宋体" w:hAnsi="宋体" w:cs="宋体"/>
          <w:sz w:val="21"/>
          <w:szCs w:val="21"/>
          <w14:ligatures w14:val="none"/>
        </w:rPr>
      </w:pPr>
      <w:r>
        <w:rPr>
          <w:rFonts w:hint="eastAsia" w:ascii="宋体" w:hAnsi="宋体" w:cs="宋体"/>
          <w:sz w:val="21"/>
          <w:szCs w:val="21"/>
          <w14:ligatures w14:val="none"/>
        </w:rPr>
        <w:t>5、投标人在投标前，如需踏勘现场，有关费用自理，踏勘期间发生的意外自负。</w:t>
      </w:r>
    </w:p>
    <w:p w14:paraId="6FC91D99">
      <w:pPr>
        <w:keepNext w:val="0"/>
        <w:keepLines w:val="0"/>
        <w:pageBreakBefore w:val="0"/>
        <w:kinsoku/>
        <w:wordWrap/>
        <w:overflowPunct/>
        <w:topLinePunct w:val="0"/>
        <w:autoSpaceDE/>
        <w:autoSpaceDN/>
        <w:bidi w:val="0"/>
        <w:adjustRightInd/>
        <w:snapToGrid/>
        <w:rPr>
          <w:rFonts w:hint="eastAsia" w:ascii="宋体" w:hAnsi="宋体" w:cs="宋体"/>
          <w:sz w:val="21"/>
          <w:szCs w:val="21"/>
          <w14:ligatures w14:val="none"/>
        </w:rPr>
      </w:pPr>
    </w:p>
    <w:p w14:paraId="052BBA48">
      <w:pPr>
        <w:keepNext w:val="0"/>
        <w:keepLines w:val="0"/>
        <w:pageBreakBefore w:val="0"/>
        <w:kinsoku/>
        <w:wordWrap/>
        <w:overflowPunct/>
        <w:topLinePunct w:val="0"/>
        <w:autoSpaceDE/>
        <w:autoSpaceDN/>
        <w:bidi w:val="0"/>
        <w:adjustRightInd/>
        <w:snapToGrid/>
        <w:rPr>
          <w:rFonts w:hint="eastAsia" w:ascii="宋体" w:hAnsi="宋体" w:cs="宋体"/>
          <w:sz w:val="21"/>
          <w:szCs w:val="21"/>
          <w14:ligatures w14:val="none"/>
        </w:rPr>
      </w:pPr>
    </w:p>
    <w:p w14:paraId="260722FE">
      <w:pPr>
        <w:keepNext w:val="0"/>
        <w:keepLines w:val="0"/>
        <w:pageBreakBefore w:val="0"/>
        <w:kinsoku/>
        <w:wordWrap/>
        <w:overflowPunct/>
        <w:topLinePunct w:val="0"/>
        <w:autoSpaceDE/>
        <w:autoSpaceDN/>
        <w:bidi w:val="0"/>
        <w:adjustRightInd/>
        <w:snapToGrid/>
        <w:rPr>
          <w:rFonts w:hint="eastAsia" w:ascii="宋体" w:hAnsi="宋体" w:cs="宋体"/>
          <w:sz w:val="21"/>
          <w:szCs w:val="21"/>
          <w14:ligatures w14:val="none"/>
        </w:rPr>
      </w:pPr>
    </w:p>
    <w:p w14:paraId="49BC0933">
      <w:pPr>
        <w:keepNext w:val="0"/>
        <w:keepLines w:val="0"/>
        <w:pageBreakBefore w:val="0"/>
        <w:kinsoku/>
        <w:wordWrap/>
        <w:overflowPunct/>
        <w:topLinePunct w:val="0"/>
        <w:autoSpaceDE/>
        <w:autoSpaceDN/>
        <w:bidi w:val="0"/>
        <w:adjustRightInd/>
        <w:snapToGrid/>
        <w:rPr>
          <w:rFonts w:hint="eastAsia" w:ascii="宋体" w:hAnsi="宋体" w:cs="宋体"/>
          <w:sz w:val="21"/>
          <w:szCs w:val="21"/>
          <w14:ligatures w14:val="none"/>
        </w:rPr>
      </w:pPr>
    </w:p>
    <w:p w14:paraId="5CFA5B6E">
      <w:pPr>
        <w:keepNext w:val="0"/>
        <w:keepLines w:val="0"/>
        <w:pageBreakBefore w:val="0"/>
        <w:kinsoku/>
        <w:wordWrap/>
        <w:overflowPunct/>
        <w:topLinePunct w:val="0"/>
        <w:autoSpaceDE/>
        <w:autoSpaceDN/>
        <w:bidi w:val="0"/>
        <w:adjustRightInd/>
        <w:snapToGrid/>
        <w:rPr>
          <w:rFonts w:hint="eastAsia" w:ascii="宋体" w:hAnsi="宋体" w:cs="宋体"/>
          <w:sz w:val="21"/>
          <w:szCs w:val="21"/>
          <w14:ligatures w14:val="none"/>
        </w:rPr>
      </w:pPr>
    </w:p>
    <w:p w14:paraId="24C78E4E">
      <w:pPr>
        <w:keepNext w:val="0"/>
        <w:keepLines w:val="0"/>
        <w:pageBreakBefore w:val="0"/>
        <w:kinsoku/>
        <w:wordWrap/>
        <w:overflowPunct/>
        <w:topLinePunct w:val="0"/>
        <w:autoSpaceDE/>
        <w:autoSpaceDN/>
        <w:bidi w:val="0"/>
        <w:adjustRightInd/>
        <w:snapToGrid/>
        <w:rPr>
          <w:rFonts w:hint="eastAsia" w:ascii="宋体" w:hAnsi="宋体" w:cs="宋体"/>
          <w:sz w:val="21"/>
          <w:szCs w:val="21"/>
          <w14:ligatures w14:val="none"/>
        </w:rPr>
      </w:pPr>
    </w:p>
    <w:p w14:paraId="1335D435">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宋体" w:eastAsia="宋体" w:cs="Times New Roman"/>
          <w:b/>
          <w:bCs/>
          <w:color w:val="000000" w:themeColor="text1"/>
          <w:szCs w:val="21"/>
          <w:highlight w:val="none"/>
          <w:lang w:val="en-US" w:eastAsia="zh-CN"/>
          <w14:textFill>
            <w14:solidFill>
              <w14:schemeClr w14:val="tx1"/>
            </w14:solidFill>
          </w14:textFill>
        </w:rPr>
      </w:pPr>
      <w:r>
        <w:rPr>
          <w:rFonts w:hint="eastAsia" w:ascii="Times New Roman" w:hAnsi="宋体" w:eastAsia="宋体" w:cs="Times New Roman"/>
          <w:b/>
          <w:bCs/>
          <w:color w:val="000000" w:themeColor="text1"/>
          <w:szCs w:val="21"/>
          <w:highlight w:val="none"/>
          <w:lang w:val="en-US" w:eastAsia="zh-CN"/>
          <w14:textFill>
            <w14:solidFill>
              <w14:schemeClr w14:val="tx1"/>
            </w14:solidFill>
          </w14:textFill>
        </w:rPr>
        <w:t>特别注意事项 ：</w:t>
      </w:r>
    </w:p>
    <w:p w14:paraId="278BABA0">
      <w:pPr>
        <w:keepNext w:val="0"/>
        <w:keepLines w:val="0"/>
        <w:pageBreakBefore w:val="0"/>
        <w:numPr>
          <w:ilvl w:val="0"/>
          <w:numId w:val="0"/>
        </w:numPr>
        <w:kinsoku/>
        <w:wordWrap/>
        <w:overflowPunct/>
        <w:topLinePunct w:val="0"/>
        <w:autoSpaceDE/>
        <w:autoSpaceDN/>
        <w:bidi w:val="0"/>
        <w:adjustRightInd/>
        <w:snapToGrid/>
        <w:spacing w:line="360" w:lineRule="auto"/>
        <w:ind w:firstLine="422" w:firstLineChars="200"/>
        <w:jc w:val="left"/>
        <w:textAlignment w:val="auto"/>
        <w:rPr>
          <w:rFonts w:hint="eastAsia" w:ascii="Times New Roman" w:hAnsi="宋体" w:eastAsia="宋体" w:cs="Times New Roman"/>
          <w:b/>
          <w:bCs/>
          <w:color w:val="000000" w:themeColor="text1"/>
          <w:szCs w:val="21"/>
          <w:highlight w:val="none"/>
          <w:lang w:val="en-US" w:eastAsia="zh-CN"/>
          <w14:textFill>
            <w14:solidFill>
              <w14:schemeClr w14:val="tx1"/>
            </w14:solidFill>
          </w14:textFill>
        </w:rPr>
      </w:pPr>
      <w:r>
        <w:rPr>
          <w:rFonts w:hint="eastAsia" w:ascii="Times New Roman" w:hAnsi="宋体" w:eastAsia="宋体" w:cs="Times New Roman"/>
          <w:b/>
          <w:bCs/>
          <w:color w:val="000000" w:themeColor="text1"/>
          <w:szCs w:val="21"/>
          <w:highlight w:val="none"/>
          <w:lang w:val="en-US" w:eastAsia="zh-CN"/>
          <w14:textFill>
            <w14:solidFill>
              <w14:schemeClr w14:val="tx1"/>
            </w14:solidFill>
          </w14:textFill>
        </w:rPr>
        <w:t>1、对于上述项目要求，供应商应在投标文件中进行回应，作出承诺、说明。</w:t>
      </w:r>
    </w:p>
    <w:p w14:paraId="5C5B6288">
      <w:pPr>
        <w:keepNext w:val="0"/>
        <w:keepLines w:val="0"/>
        <w:pageBreakBefore w:val="0"/>
        <w:kinsoku/>
        <w:wordWrap/>
        <w:overflowPunct/>
        <w:topLinePunct w:val="0"/>
        <w:autoSpaceDE/>
        <w:autoSpaceDN/>
        <w:bidi w:val="0"/>
        <w:adjustRightInd/>
        <w:snapToGrid/>
        <w:spacing w:line="360" w:lineRule="auto"/>
        <w:ind w:firstLine="413" w:firstLineChars="196"/>
        <w:textAlignment w:val="baseline"/>
        <w:rPr>
          <w:rFonts w:ascii="宋体" w:hAnsi="宋体" w:eastAsia="宋体" w:cs="宋体"/>
          <w:b/>
          <w:bCs/>
          <w:color w:val="000000" w:themeColor="text1"/>
          <w:szCs w:val="21"/>
          <w:highlight w:val="none"/>
          <w14:textFill>
            <w14:solidFill>
              <w14:schemeClr w14:val="tx1"/>
            </w14:solidFill>
          </w14:textFill>
        </w:rPr>
      </w:pPr>
      <w:r>
        <w:rPr>
          <w:rFonts w:hint="eastAsia" w:ascii="Times New Roman" w:hAnsi="宋体" w:eastAsia="宋体" w:cs="Times New Roman"/>
          <w:b/>
          <w:bCs/>
          <w:color w:val="000000" w:themeColor="text1"/>
          <w:szCs w:val="21"/>
          <w:highlight w:val="none"/>
          <w:lang w:val="en-US" w:eastAsia="zh-CN"/>
          <w14:textFill>
            <w14:solidFill>
              <w14:schemeClr w14:val="tx1"/>
            </w14:solidFill>
          </w14:textFill>
        </w:rPr>
        <w:t>2、供应商</w:t>
      </w:r>
      <w:r>
        <w:rPr>
          <w:rFonts w:hint="default" w:ascii="Times New Roman" w:hAnsi="宋体" w:eastAsia="宋体" w:cs="Times New Roman"/>
          <w:b/>
          <w:bCs/>
          <w:color w:val="000000" w:themeColor="text1"/>
          <w:szCs w:val="21"/>
          <w:highlight w:val="none"/>
          <w:lang w:val="en-US" w:eastAsia="zh-CN"/>
          <w14:textFill>
            <w14:solidFill>
              <w14:schemeClr w14:val="tx1"/>
            </w14:solidFill>
          </w14:textFill>
        </w:rPr>
        <w:t>需承诺中标后所提供的产品与</w:t>
      </w:r>
      <w:r>
        <w:rPr>
          <w:rFonts w:hint="eastAsia" w:ascii="Times New Roman" w:hAnsi="宋体" w:eastAsia="宋体" w:cs="Times New Roman"/>
          <w:b/>
          <w:bCs/>
          <w:color w:val="000000" w:themeColor="text1"/>
          <w:szCs w:val="21"/>
          <w:highlight w:val="none"/>
          <w:lang w:val="en-US" w:eastAsia="zh-CN"/>
          <w14:textFill>
            <w14:solidFill>
              <w14:schemeClr w14:val="tx1"/>
            </w14:solidFill>
          </w14:textFill>
        </w:rPr>
        <w:t>响应</w:t>
      </w:r>
      <w:r>
        <w:rPr>
          <w:rFonts w:hint="default" w:ascii="Times New Roman" w:hAnsi="宋体" w:eastAsia="宋体" w:cs="Times New Roman"/>
          <w:b/>
          <w:bCs/>
          <w:color w:val="000000" w:themeColor="text1"/>
          <w:szCs w:val="21"/>
          <w:highlight w:val="none"/>
          <w:lang w:val="en-US" w:eastAsia="zh-CN"/>
          <w14:textFill>
            <w14:solidFill>
              <w14:schemeClr w14:val="tx1"/>
            </w14:solidFill>
          </w14:textFill>
        </w:rPr>
        <w:t>文件中提供的产品一致，若出现不一致，按虚假应标处理，中标无效，并上报至相关部门。</w:t>
      </w:r>
    </w:p>
    <w:p w14:paraId="7D14B110">
      <w:pPr>
        <w:keepNext w:val="0"/>
        <w:keepLines w:val="0"/>
        <w:pageBreakBefore w:val="0"/>
        <w:widowControl/>
        <w:kinsoku/>
        <w:wordWrap/>
        <w:overflowPunct/>
        <w:topLinePunct w:val="0"/>
        <w:autoSpaceDE/>
        <w:autoSpaceDN/>
        <w:bidi w:val="0"/>
        <w:adjustRightInd/>
        <w:snapToGrid/>
        <w:spacing w:line="336" w:lineRule="auto"/>
        <w:ind w:right="0" w:firstLine="422" w:firstLineChars="200"/>
        <w:textAlignment w:val="auto"/>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pPr>
      <w:r>
        <w:rPr>
          <w:rFonts w:hint="eastAsia" w:ascii="Times New Roman" w:hAnsi="宋体" w:eastAsia="宋体" w:cs="Times New Roman"/>
          <w:b/>
          <w:bCs/>
          <w:color w:val="000000" w:themeColor="text1"/>
          <w:szCs w:val="21"/>
          <w:highlight w:val="none"/>
          <w:lang w:val="en-US" w:eastAsia="zh-CN"/>
          <w14:textFill>
            <w14:solidFill>
              <w14:schemeClr w14:val="tx1"/>
            </w14:solidFill>
          </w14:textFill>
        </w:rPr>
        <w:t>3、</w:t>
      </w:r>
      <w:r>
        <w:rPr>
          <w:rFonts w:hint="eastAsia" w:ascii="宋体" w:hAnsi="宋体" w:eastAsia="宋体" w:cs="宋体"/>
          <w:b/>
          <w:bCs/>
          <w:color w:val="000000" w:themeColor="text1"/>
          <w:sz w:val="21"/>
          <w:szCs w:val="18"/>
          <w:highlight w:val="none"/>
          <w14:textFill>
            <w14:solidFill>
              <w14:schemeClr w14:val="tx1"/>
            </w14:solidFill>
          </w14:textFill>
        </w:rPr>
        <w:t>如</w:t>
      </w:r>
      <w:r>
        <w:rPr>
          <w:rFonts w:hint="eastAsia" w:ascii="宋体" w:hAnsi="宋体" w:eastAsia="宋体" w:cs="宋体"/>
          <w:b/>
          <w:bCs/>
          <w:color w:val="000000" w:themeColor="text1"/>
          <w:sz w:val="21"/>
          <w:szCs w:val="18"/>
          <w:highlight w:val="none"/>
          <w:lang w:eastAsia="zh-CN"/>
          <w14:textFill>
            <w14:solidFill>
              <w14:schemeClr w14:val="tx1"/>
            </w14:solidFill>
          </w14:textFill>
        </w:rPr>
        <w:t>供应商</w:t>
      </w:r>
      <w:r>
        <w:rPr>
          <w:rFonts w:hint="eastAsia" w:ascii="宋体" w:hAnsi="宋体" w:eastAsia="宋体" w:cs="宋体"/>
          <w:b/>
          <w:bCs/>
          <w:color w:val="000000" w:themeColor="text1"/>
          <w:sz w:val="21"/>
          <w:szCs w:val="18"/>
          <w:highlight w:val="none"/>
          <w14:textFill>
            <w14:solidFill>
              <w14:schemeClr w14:val="tx1"/>
            </w14:solidFill>
          </w14:textFill>
        </w:rPr>
        <w:t>提供虚假材料谋取中标，在评标环节发现的，按无效投标处理。如中标后发现的，取消其中标资格，并送财政监管部门依法追究其法律责任。</w:t>
      </w:r>
    </w:p>
    <w:p w14:paraId="43FF12D7">
      <w:pPr>
        <w:spacing w:line="360" w:lineRule="auto"/>
        <w:ind w:firstLine="422" w:firstLineChars="200"/>
        <w:rPr>
          <w:rFonts w:hint="eastAsia"/>
          <w:b/>
          <w:bCs/>
          <w:lang w:val="en-US" w:eastAsia="zh-CN"/>
        </w:rPr>
      </w:pPr>
      <w:r>
        <w:rPr>
          <w:rFonts w:hint="eastAsia"/>
          <w:b/>
          <w:bCs/>
          <w:lang w:val="en-US" w:eastAsia="zh-CN"/>
        </w:rPr>
        <w:t>4、政府采购评审中出现下列情形之一的，评审委员会应启动异常低价投标（响应）审查程序：</w:t>
      </w:r>
    </w:p>
    <w:p w14:paraId="48924E9F">
      <w:pPr>
        <w:spacing w:line="360" w:lineRule="auto"/>
        <w:ind w:firstLine="422" w:firstLineChars="200"/>
        <w:rPr>
          <w:rFonts w:hint="eastAsia"/>
          <w:b/>
          <w:bCs/>
          <w:highlight w:val="none"/>
          <w:lang w:val="en-US" w:eastAsia="zh-CN"/>
        </w:rPr>
      </w:pPr>
      <w:r>
        <w:rPr>
          <w:rFonts w:hint="eastAsia"/>
          <w:b/>
          <w:bCs/>
          <w:lang w:val="en-US" w:eastAsia="zh-CN"/>
        </w:rPr>
        <w:t>（1）投标（响应）报价低于采购项</w:t>
      </w:r>
      <w:r>
        <w:rPr>
          <w:rFonts w:hint="eastAsia"/>
          <w:b/>
          <w:bCs/>
          <w:highlight w:val="none"/>
          <w:lang w:val="en-US" w:eastAsia="zh-CN"/>
        </w:rPr>
        <w:t>目最高限价65%的，即投标（响应）报价&lt;采购项目最高限价×65%的；</w:t>
      </w:r>
    </w:p>
    <w:p w14:paraId="70FFDB92">
      <w:pPr>
        <w:spacing w:line="360" w:lineRule="auto"/>
        <w:ind w:firstLine="422" w:firstLineChars="200"/>
        <w:rPr>
          <w:rFonts w:hint="eastAsia"/>
          <w:b/>
          <w:bCs/>
          <w:lang w:val="en-US" w:eastAsia="zh-CN"/>
        </w:rPr>
      </w:pPr>
      <w:r>
        <w:rPr>
          <w:rFonts w:hint="eastAsia"/>
          <w:b/>
          <w:bCs/>
          <w:lang w:val="en-US" w:eastAsia="zh-CN"/>
        </w:rPr>
        <w:t>（2）评审委员会基于专业判断，认为供应商报价过低，有可能影响产品质量或者不能诚信履约的其他情形。</w:t>
      </w:r>
    </w:p>
    <w:p w14:paraId="1E05C6DA">
      <w:pPr>
        <w:spacing w:line="360" w:lineRule="auto"/>
        <w:ind w:firstLine="422" w:firstLineChars="200"/>
        <w:rPr>
          <w:rFonts w:hint="eastAsia"/>
          <w:b/>
          <w:bCs/>
          <w:lang w:val="en-US" w:eastAsia="zh-CN"/>
        </w:rPr>
      </w:pPr>
      <w:r>
        <w:rPr>
          <w:rFonts w:hint="eastAsia"/>
          <w:b/>
          <w:bCs/>
          <w:lang w:val="en-US" w:eastAsia="zh-CN"/>
        </w:rPr>
        <w:t>相关供应商在评审现场30分钟内对投标（响应）价格作出解释，提供项目具体成本测算等与报价合理性相关的书面说明及必要的证明材料，包括但不限于原材料成本、人工成本、制造费用等。其中，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A659A91">
      <w:pPr>
        <w:keepNext w:val="0"/>
        <w:keepLines w:val="0"/>
        <w:pageBreakBefore w:val="0"/>
        <w:kinsoku/>
        <w:wordWrap/>
        <w:overflowPunct/>
        <w:topLinePunct w:val="0"/>
        <w:autoSpaceDE/>
        <w:autoSpaceDN/>
        <w:bidi w:val="0"/>
        <w:adjustRightInd/>
        <w:snapToGrid/>
        <w:rPr>
          <w:rFonts w:hint="eastAsia" w:ascii="宋体" w:hAnsi="宋体" w:cs="宋体"/>
          <w:sz w:val="21"/>
          <w:szCs w:val="21"/>
          <w14:ligatures w14:val="none"/>
        </w:rPr>
      </w:pPr>
    </w:p>
    <w:p w14:paraId="71CC4F85">
      <w:pPr>
        <w:keepNext w:val="0"/>
        <w:keepLines w:val="0"/>
        <w:pageBreakBefore w:val="0"/>
        <w:kinsoku/>
        <w:wordWrap/>
        <w:overflowPunct/>
        <w:topLinePunct w:val="0"/>
        <w:autoSpaceDE/>
        <w:autoSpaceDN/>
        <w:bidi w:val="0"/>
        <w:adjustRightInd/>
        <w:snapToGrid/>
        <w:rPr>
          <w:rFonts w:hint="eastAsia" w:ascii="宋体" w:hAnsi="宋体" w:cs="宋体"/>
          <w:sz w:val="21"/>
          <w:szCs w:val="21"/>
          <w14:ligatures w14:val="none"/>
        </w:rPr>
        <w:sectPr>
          <w:footerReference r:id="rId3" w:type="default"/>
          <w:pgSz w:w="11906" w:h="16838"/>
          <w:pgMar w:top="1440" w:right="1689" w:bottom="1440" w:left="1689" w:header="851" w:footer="992" w:gutter="0"/>
          <w:cols w:space="425" w:num="1"/>
          <w:docGrid w:type="lines" w:linePitch="312" w:charSpace="0"/>
        </w:sectPr>
      </w:pPr>
    </w:p>
    <w:tbl>
      <w:tblPr>
        <w:tblStyle w:val="11"/>
        <w:tblW w:w="1323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9"/>
        <w:gridCol w:w="1065"/>
        <w:gridCol w:w="7063"/>
        <w:gridCol w:w="1005"/>
        <w:gridCol w:w="765"/>
        <w:gridCol w:w="630"/>
        <w:gridCol w:w="935"/>
        <w:gridCol w:w="1133"/>
      </w:tblGrid>
      <w:tr w14:paraId="15EA9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1"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CBAC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227B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产品名称</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812A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技术参数</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88EF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18E4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032F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7475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总价</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E761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5107A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F64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B24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云桌面服务器</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AFBF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1、要求1U机架式服务器。</w:t>
            </w:r>
          </w:p>
          <w:p w14:paraId="3A8FAE4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2、配置国产化系列处理器，每颗CPU≥8核心16线程，主频≥3.0Ghz。配置内存容量≥32G。配置SSD固态硬盘≥1400G，配置机械硬盘总容量≥16TB。配置千兆网口≥4个。服务器电源功率≥350W。</w:t>
            </w:r>
          </w:p>
          <w:p w14:paraId="6963501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3、为保障所投设备质量优异，可靠性高，要求所投设备平均故障间隔时间（MTBF）≥180000小时。</w:t>
            </w:r>
          </w:p>
          <w:p w14:paraId="2008A76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4、要求所投产品符合国家GB/T 9254的相关标准，在30MHz~1GHz和1GHz~6GHz频率范围内的辐射骚扰测试结果符合要求。</w:t>
            </w:r>
            <w:r>
              <w:rPr>
                <w:rFonts w:hint="eastAsia" w:ascii="宋体" w:hAnsi="宋体" w:eastAsia="宋体" w:cs="宋体"/>
                <w:i w:val="0"/>
                <w:iCs w:val="0"/>
                <w:color w:val="auto"/>
                <w:kern w:val="0"/>
                <w:sz w:val="21"/>
                <w:szCs w:val="21"/>
                <w:lang w:val="en-US" w:eastAsia="zh-CN" w:bidi="ar"/>
              </w:rPr>
              <w:t>提供</w:t>
            </w:r>
            <w:r>
              <w:rPr>
                <w:rFonts w:hint="eastAsia" w:ascii="宋体" w:hAnsi="宋体" w:cs="宋体"/>
                <w:i w:val="0"/>
                <w:iCs w:val="0"/>
                <w:color w:val="auto"/>
                <w:kern w:val="0"/>
                <w:sz w:val="21"/>
                <w:szCs w:val="21"/>
                <w:highlight w:val="none"/>
                <w:lang w:val="en-US" w:eastAsia="zh-CN" w:bidi="ar"/>
              </w:rPr>
              <w:t>具有CMA或CNAS标志的</w:t>
            </w:r>
            <w:r>
              <w:rPr>
                <w:rFonts w:hint="eastAsia" w:ascii="宋体" w:hAnsi="宋体" w:eastAsia="宋体" w:cs="宋体"/>
                <w:i w:val="0"/>
                <w:iCs w:val="0"/>
                <w:color w:val="auto"/>
                <w:kern w:val="0"/>
                <w:sz w:val="21"/>
                <w:szCs w:val="21"/>
                <w:lang w:val="en-US" w:eastAsia="zh-CN" w:bidi="ar"/>
              </w:rPr>
              <w:t>第三方测试报告复印件。</w:t>
            </w:r>
          </w:p>
          <w:p w14:paraId="557BF73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5、要求可管理终端数≥1500台，提供云盘功能，支持本地和云端同步存储数据。</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34A2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64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41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BFC2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E8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三个机房共用</w:t>
            </w:r>
          </w:p>
        </w:tc>
      </w:tr>
      <w:tr w14:paraId="1BB23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7EA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C5C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云桌面系统</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64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1、管理平台采用B/S（Broswer/Server)架构，支持中文图形化操作界面。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2、要求采用超融合基础架构，在同一管理平台内至少包含计算资源、存储资源、网络资源等功能管理模块。所有功能模块需要通过一个厂家的一套软件实现超融合部署，不可以使用多套软件或产品叠加实现。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3、为提供强大的扩展能力，需支持在集群中添加、移除服务器主机节点。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4、支持将服务器主机节点添加为计算集群，为上层业务平台提供统一的计算、存储、网络资源调度，形成基础计算平台支撑。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5、采用分布式存储架构，可以将服务器集群中多个节点的本地磁盘融合为统一存储资源空间，具备在线横向扩展能力，任一节点故障，都不会影响数据的正常访问。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6、支持按需创建多个存储池，支持配置每个存储池所需使用的冗余策略，每个存储池的容量盘可从服务器集群中任意几个节点中的一块或多块磁盘中选择。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7、存储池可以设置的冗余策略至少包括：单副本、2副本、3副本、纠删码等冗余策略，纠删码可以按照2数据1校验的方案部署并实际使用，磁盘空间的利用率≥60%。提供实际软件运行真实界面截图证明。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8、支持多级缓存技术，可以预先将热点数据从机械盘缓存到SSD和内存中。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9、支持数据均衡</w:t>
            </w:r>
            <w:bookmarkStart w:id="34" w:name="_GoBack"/>
            <w:bookmarkEnd w:id="34"/>
            <w:r>
              <w:rPr>
                <w:rFonts w:hint="eastAsia" w:ascii="宋体" w:hAnsi="宋体" w:eastAsia="宋体" w:cs="宋体"/>
                <w:i w:val="0"/>
                <w:iCs w:val="0"/>
                <w:color w:val="000000"/>
                <w:kern w:val="0"/>
                <w:sz w:val="22"/>
                <w:szCs w:val="22"/>
                <w:u w:val="none"/>
                <w:lang w:val="en-US" w:eastAsia="zh-CN" w:bidi="ar"/>
              </w:rPr>
              <w:t>负载策略，当存储池扩容或者节点/容量盘出现故障时可以触发数据重分布，数据均衡的过程不会导致业务中断、也无需人工干预。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▲10、为保证硬盘故障后，数据可以快速重构，要求所投产品在分布式存储的方案下，1T数据重构时间≤20分钟。</w:t>
            </w:r>
            <w:r>
              <w:rPr>
                <w:rFonts w:hint="eastAsia" w:ascii="宋体" w:hAnsi="宋体" w:eastAsia="宋体" w:cs="宋体"/>
                <w:i w:val="0"/>
                <w:iCs w:val="0"/>
                <w:color w:val="auto"/>
                <w:kern w:val="0"/>
                <w:sz w:val="21"/>
                <w:szCs w:val="21"/>
                <w:lang w:val="en-US" w:eastAsia="zh-CN" w:bidi="ar"/>
              </w:rPr>
              <w:t>提供</w:t>
            </w:r>
            <w:r>
              <w:rPr>
                <w:rFonts w:hint="eastAsia" w:ascii="宋体" w:hAnsi="宋体" w:cs="宋体"/>
                <w:i w:val="0"/>
                <w:iCs w:val="0"/>
                <w:color w:val="auto"/>
                <w:kern w:val="0"/>
                <w:sz w:val="21"/>
                <w:szCs w:val="21"/>
                <w:highlight w:val="none"/>
                <w:lang w:val="en-US" w:eastAsia="zh-CN" w:bidi="ar"/>
              </w:rPr>
              <w:t>具有CMA或CNAS标志的</w:t>
            </w:r>
            <w:r>
              <w:rPr>
                <w:rFonts w:hint="eastAsia" w:ascii="宋体" w:hAnsi="宋体" w:eastAsia="宋体" w:cs="宋体"/>
                <w:i w:val="0"/>
                <w:iCs w:val="0"/>
                <w:color w:val="auto"/>
                <w:kern w:val="0"/>
                <w:sz w:val="21"/>
                <w:szCs w:val="21"/>
                <w:lang w:val="en-US" w:eastAsia="zh-CN" w:bidi="ar"/>
              </w:rPr>
              <w:t>第三方测试报告复印件。</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7C2F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C5B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1D2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361E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A95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三个机房共用</w:t>
            </w:r>
          </w:p>
        </w:tc>
      </w:tr>
      <w:tr w14:paraId="02A49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6C3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910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云桌面教师终端</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E1BB4">
            <w:pPr>
              <w:keepNext w:val="0"/>
              <w:keepLines w:val="0"/>
              <w:widowControl/>
              <w:numPr>
                <w:ilvl w:val="0"/>
                <w:numId w:val="2"/>
              </w:numPr>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所投终端均需为国内自主品牌。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2、配置CPU性能≥8核12线程处理器；性能核心数量≥4个；内存容量≥16GB，本地存储≥512 GB SSD，包含键鼠套装。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3、配置内存槽位≥2个，配置M.2 SSD槽位≥2个，2.5英寸硬盘位≥1个。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4、USB接口数量≥8个（其中USB 3.0接口≥4个），千兆网口≥1个，VGA接口≥1个，HDMI接口≥1个，音频输入输出接口≥2个。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5、为保障所投设备质量优异，可靠性高，要求所投设备平均故障间隔时间（MTBF）≥150000小时。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6、确保终端产品在使用过程中不发生人体触电风险</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C31B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09F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FF8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43D6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582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3个机房各一台教师机</w:t>
            </w:r>
          </w:p>
        </w:tc>
      </w:tr>
      <w:tr w14:paraId="652FA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3"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A6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696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云桌面学生终端</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5CA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1、所投终端均需为国内自主品牌。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2、配置CPU性能≥八核十二线程处理器；性能核心数量≥4个；内存容量≥8GB，本地存储≥256 GB SSD，包含键鼠套装。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3、配置内存槽位≥2个。配置M.2 SSD槽位≥2个，2.5英寸硬盘位≥1个。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4、USB接口数量≥8个（其中USB 3.0接口≥4个），千兆网口≥1个，VGA接口≥1个，HDMI接口≥1个，音频输入输出接口≥2个。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5、为保障所投设备质量优异，可靠性高，要求所投设备平均故障间隔时间（MTBF）≥150000小时。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6、确保终端产品在使用过程中不发生人体触电风险。</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7C8C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2EC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240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94FD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621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每个机房56座学生机</w:t>
            </w:r>
          </w:p>
        </w:tc>
      </w:tr>
      <w:tr w14:paraId="4C2FB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4"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61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0030F">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云桌面终端软件授权</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FF81A">
            <w:pPr>
              <w:keepNext w:val="0"/>
              <w:keepLines w:val="0"/>
              <w:widowControl/>
              <w:numPr>
                <w:ilvl w:val="0"/>
                <w:numId w:val="3"/>
              </w:numPr>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采用B/S软件架构，中文图形化管理页面。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2、为了方便管理和使用，管理平台要包括镜像管理、教室管理、用户管理等关键功能模块。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3、为满足基本教学的使用需求，要求镜像模版可以使用多种类型的操作系统，支持主流Windows及Linux操作系统镜像模板，包含但不限于Windows 10/11、国产Linux操作系统等。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4、支持镜像模版链接分享功能，管理员可将编辑镜像模板的链接分享给任课老师，在浏览器中直接输入链接地址即可对镜像模板进行编辑，支持分享链接的失效期、分享验证码设置。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5、为保证重要镜像的安全性，支持教学镜像对学生隐藏或可见，支持镜像模版自动快照，每次镜像发布时可以自动为镜像模版打快照。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6、要求可以通过LDAP协议对接学校的统一身份平台，让用户也可以使用统一身份平台的用户信息，无需重新创建一个全新的用户体系。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7、为了管理的便捷性，支持管理员通过服务器集群的web管理平台唤醒远程不同网段的终端，中间无需使用跳板机转发。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8、为满足操作系统、安卓编程等课程的使用需求，支持嵌套虚拟化功能，在终端桌面上可以正常使用VMware、android studio等需要运行虚拟机的软件。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9、为满足教学过程数据存储，可以在学生单个镜像内设置数据盘，数据盘可以按每月、每周、每日或指定时间设置还原策略。</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AE5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DB6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53A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32D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A0C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学生机和教师机云桌面授权</w:t>
            </w:r>
          </w:p>
        </w:tc>
      </w:tr>
      <w:tr w14:paraId="36A0B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9"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223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B6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云桌面教学管理软件</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A35BE">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1、系统内置多元化教学场景模式，适配差异化教学应用场景；教师可经教学管理平台对指定学生执行镜像环境一键切换操作，镜像切换过程中云终端设备保持运行状态，不涉及硬件层面的重启动作。</w:t>
            </w:r>
          </w:p>
          <w:p w14:paraId="1D55F18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2、教师可通过教学管理平台批量远程唤醒全部云终端设备，终端完成引导后自动载入与当前课程匹配的镜像桌面环境。</w:t>
            </w:r>
          </w:p>
          <w:p w14:paraId="27E95E3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3、教学管理平台内置远程终端编号设置模块，用于优化课前考勤流程；终端编号与云桌面标识保持一一映射关系，便于教师快速完成课堂点名。</w:t>
            </w:r>
          </w:p>
          <w:p w14:paraId="144D2EF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4、教学管理平台提供一键禁网功能，教师可选择性切断任意学生的网络访问权限；禁网状态下屏幕广播、屏幕监视等教学功能不受影响，保持正常使用。</w:t>
            </w:r>
          </w:p>
          <w:p w14:paraId="681AD56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教学管理平台具备学生分组管理模块，支持按姓名自定义分组或系统随机分组两种方式；教师与组长均拥有组名编辑权限；系统支持小组累计积分记录及组员个人贡献值追踪，并提供组内文件共享与传输通道。</w:t>
            </w:r>
          </w:p>
          <w:p w14:paraId="147FE7A6">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6、系统支持用户自主注册及管理员批量导入两种账号创建方式；在数据安全与教学便捷性之间取得平衡，教师账号强制采用密码认证方式登录个人空间，学生账号可灵活配置密码登录或免密登录模式。</w:t>
            </w:r>
          </w:p>
          <w:p w14:paraId="250D3CB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7、班级管理支持标识码邀请机制，教师生成专属班级标识码后分发给学生，学生凭该标识码即可加入对应班级，降低班级创建与维护的操作成本。</w:t>
            </w:r>
          </w:p>
          <w:p w14:paraId="6A47713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8、教学管理软件具备进程保护机制，禁止通过任务管理器或命令行工具强制终止管理进程；同时实施课堂行为管控，阻止学生终端在授课过程中执行关闭锁屏、退出离线广播等脱离教学管理的操作。</w:t>
            </w:r>
          </w:p>
          <w:p w14:paraId="6709043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教学管理平台集成作业管理组件，涵盖作业发布、在线批阅、归档存储与成绩统计分析功能；教师可在作业空间向单个或多个班级下发作业任务，作业内容支持Word等多种文档格式，并支持自定义作业提交截止时间；学生已提交作业支持归档保存与下载。</w:t>
            </w:r>
          </w:p>
          <w:p w14:paraId="15C7361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10、教师可对学生作业执行公开标记操作，被标记为公开的作业内容可通过学生端软件供全体学生查阅浏览。</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18D5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406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002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C22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7A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三个机房各1套</w:t>
            </w:r>
          </w:p>
        </w:tc>
      </w:tr>
      <w:tr w14:paraId="086CD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1"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391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583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24口交换机</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8313">
            <w:pPr>
              <w:keepNext w:val="0"/>
              <w:keepLines w:val="0"/>
              <w:widowControl/>
              <w:numPr>
                <w:ilvl w:val="0"/>
                <w:numId w:val="4"/>
              </w:numPr>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固化10/100/1000M以太网端口≥24个，固化10G SFP+光接口≥4个。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2、交换容量≥670Gbps，包转发率≥170Mpps.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3、支持静态路由、RIP/RIPng、OSPFv2/OSPFv3等三层路由协议。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4、设备MAC地址≥16K。</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5、设备支持1对1、基于流、基于VLAN的镜像。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6、配万兆光模块1对</w:t>
            </w:r>
            <w:r>
              <w:rPr>
                <w:rFonts w:hint="eastAsia" w:ascii="宋体" w:hAnsi="宋体" w:cs="宋体"/>
                <w:i w:val="0"/>
                <w:iCs w:val="0"/>
                <w:color w:val="000000"/>
                <w:kern w:val="0"/>
                <w:sz w:val="22"/>
                <w:szCs w:val="22"/>
                <w:u w:val="none"/>
                <w:lang w:val="en-US" w:eastAsia="zh-CN" w:bidi="ar"/>
              </w:rPr>
              <w:t>。</w:t>
            </w:r>
          </w:p>
          <w:p w14:paraId="7B1FE3D8">
            <w:pPr>
              <w:keepNext w:val="0"/>
              <w:keepLines w:val="0"/>
              <w:pageBreakBefore w:val="0"/>
              <w:widowControl/>
              <w:numPr>
                <w:ilvl w:val="0"/>
                <w:numId w:val="0"/>
              </w:numPr>
              <w:suppressLineNumbers w:val="0"/>
              <w:kinsoku/>
              <w:wordWrap/>
              <w:overflowPunct/>
              <w:topLinePunct w:val="0"/>
              <w:autoSpaceDE/>
              <w:autoSpaceDN/>
              <w:bidi w:val="0"/>
              <w:spacing w:line="240" w:lineRule="auto"/>
              <w:jc w:val="left"/>
              <w:textAlignment w:val="center"/>
              <w:rPr>
                <w:rFonts w:hint="default"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7、为保障项目质量和售后服务效果，所投交换机制造商需具有信息系统建设和服务能力，达到CS3级及以上（CS3、CS4、CS5），并提供制造商对应的信息系统建设和服务能力等级证书。</w:t>
            </w:r>
          </w:p>
          <w:p w14:paraId="51A12AAD">
            <w:pPr>
              <w:keepNext w:val="0"/>
              <w:keepLines w:val="0"/>
              <w:widowControl/>
              <w:numPr>
                <w:numId w:val="0"/>
              </w:numPr>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D24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856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BF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530A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292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r>
      <w:tr w14:paraId="66C72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6"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0CA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232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48口交换机</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7A5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1、固化10/100/1000M以太网端口≥48个，固化10G SFP+光接口≥4个。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2、交换容量≥670Gbps，包转发率≥200Mpps.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3、支持静态路由、RIP/RIPng、OSPFv2/OSPFv3等三层路由协议。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4、设备MAC地址≥16K。</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5、设备支持1对1、基于流、基于VLAN的镜像。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6、配万兆光模块1对</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C048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6AA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F1E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93F7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F6D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r>
      <w:tr w14:paraId="10FB0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EBE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CD1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防静电地板</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0211">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拆除现房间设备并搬到学校指定位置，加装防滑陶瓷面防静电地板，面积约80平米（具体面积以实际需要为准）。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2D03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D4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AC7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间</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9A69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89B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新机房</w:t>
            </w:r>
          </w:p>
        </w:tc>
      </w:tr>
      <w:tr w14:paraId="30D79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AD2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878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机房布线</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32135">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六类网线、电源线、电源插座、从五楼机房接光缆到三楼新机房等，具体规格与数量按需配置</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B265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3A2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5B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间</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2C07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20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新机房</w:t>
            </w:r>
          </w:p>
        </w:tc>
      </w:tr>
      <w:tr w14:paraId="1CC20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487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00B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摄像机</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44E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400万广角半球摄像机，接入学校考试专用监控系统。</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6A0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363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E0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A6F5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12A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新机房</w:t>
            </w:r>
          </w:p>
        </w:tc>
      </w:tr>
      <w:tr w14:paraId="4192D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9"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F22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E49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电脑桌椅</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BA0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1.2米双人位钢木结构电脑桌椅</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BCD7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7D7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E6C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4A35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868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新机房（框采）</w:t>
            </w:r>
          </w:p>
        </w:tc>
      </w:tr>
      <w:tr w14:paraId="09C5F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310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B41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讲台</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530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1.4米钢木结构讲台</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68D8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905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289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9D13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0B1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新机房</w:t>
            </w:r>
          </w:p>
        </w:tc>
      </w:tr>
      <w:tr w14:paraId="0A45B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9"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1F9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48A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智慧无尘黑板</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A547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一、整体设计要求</w:t>
            </w:r>
          </w:p>
          <w:p w14:paraId="7F4F791E">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1、整机采用全金属外壳，屏幕采用 86 英寸液晶显示器。整机屏幕边缘采用金属圆角包边防护，整机背板采用金属材质，有效屏蔽内部电路器件辐射；防潮耐盐雾蚀锈，适应多种教学环境。</w:t>
            </w:r>
          </w:p>
          <w:p w14:paraId="043047B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2、整机采用超高清 LED 液晶显示屏，显示比例 16:9，分辨率≥3840×2160。</w:t>
            </w:r>
          </w:p>
          <w:p w14:paraId="0581916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3、整机输入接口具备至少 2 路 HDMI、至少 1 路 RS232、至少 1 路音频输出、至少 1 路触控 USB 输出；前置输入接口具备至少 3 路 USB 接口（包含 1 路 Type-C）。</w:t>
            </w:r>
          </w:p>
          <w:p w14:paraId="4EECFFE3">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4、整机嵌入式系统版本不低于 Android 15，内存≥2GB，存储空间≥32GB。</w:t>
            </w:r>
          </w:p>
          <w:p w14:paraId="3D355FE6">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5、整机内置 NPU AI 算力≥2Tops，支持 8K 级视频解码，支持同时接入 4 路及以上视频流进行处理。</w:t>
            </w:r>
          </w:p>
          <w:p w14:paraId="1A542F22">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6、整机支持 Windows 系统和 Android 系统中进行 50 点或以上触控及书写。</w:t>
            </w:r>
          </w:p>
          <w:p w14:paraId="1DBE656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7、整机主控处理芯片、WIFI 与蓝牙通信芯片、摄像头图像处理芯片，支持选用国产自主芯片方案，投标人可提供对应芯片品牌型号证明材料。</w:t>
            </w:r>
          </w:p>
          <w:p w14:paraId="4790DF0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8、整机内置全视角背光增光膜，通过增光膜对背光光源进行均光，提升画面显示均匀性。</w:t>
            </w:r>
          </w:p>
          <w:p w14:paraId="6A47A75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9、在屏幕中心亮度≥350 cd/㎡、整机水平方向法线 60 度视角下，屏幕观看有效亮度≥110 cd/㎡。</w:t>
            </w:r>
          </w:p>
          <w:p w14:paraId="6EF1DE3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10、整机上边框可集成一体化摄像头模组，摄像头数量≥5 个，其中广角摄像头视场角≥145 度；在 3840×2160 分辨率下，支持 30 帧视频输出。</w:t>
            </w:r>
          </w:p>
          <w:p w14:paraId="4D7B4785">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11、集成摄像头模组支持拍摄≥5000 万像素静态照片，支持输出 8192×2772 分辨率视频。</w:t>
            </w:r>
          </w:p>
          <w:p w14:paraId="22B2CEED">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12、整机支持摄像头模组同时输出至少 3 路视频流，可分别用于课堂远程巡课、课堂教学数据采集、本地画面预览（拍照或视频录制）。</w:t>
            </w:r>
          </w:p>
          <w:p w14:paraId="0C5CDBB5">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13、整机系统支持课堂行为识别功能，可通过摄像头识别学生举手、交叉手臂等动作，实现课堂投票统计，支持展示投票数据及占比，可采用图表形式呈现。</w:t>
            </w:r>
          </w:p>
          <w:p w14:paraId="017B9665">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14、整机系统支持书写触控延迟≤25ms，触控书写支持笔迹预测算法，书写速度≥50cm/s 工况下，笔迹追踪跟随距离小于 20mm。</w:t>
            </w:r>
          </w:p>
          <w:p w14:paraId="46815F2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15、整机全通道支持 4K 显示，包括安卓通道、PC 通道、HDMI 信号通道。</w:t>
            </w:r>
          </w:p>
          <w:p w14:paraId="1BE0D61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16、整机内置 2.2 声道扬声器，扬声器布置于设备边框区域，高音扬声器≥2 个，中低音扬声器≥2 个，整机音频最大功率≥80W。</w:t>
            </w:r>
          </w:p>
          <w:p w14:paraId="0E92B5CD">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17、整机具备多种音效模式，听力模式下支持 AI 人声增强功能，支持三档强弱调节，通过算法提取音频人声进行优化，在不提升音量基础上提升语音清晰度。</w:t>
            </w:r>
          </w:p>
          <w:p w14:paraId="6C50E2AE">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18、整机支持内置麦克风阵列，麦克风数量≥8 阵列，拾音距离≥12m；支持语音助手功能，可通过唤醒词启动，支持语音操控整机音量、亮度、打开白板、浏览器等应用，支持语音搜索网页内容。</w:t>
            </w:r>
          </w:p>
          <w:p w14:paraId="49D1EE8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19、整机支持标准、听力、观影、环境自适应音效模式；环境自适应音效模式可采集教室环境声学信息，自动适配教室声场优化音效参数。</w:t>
            </w:r>
          </w:p>
          <w:p w14:paraId="747AF74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20、整机背光系统支持 DC 调光，支持多级亮度调节。</w:t>
            </w:r>
          </w:p>
          <w:p w14:paraId="30134A8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21、整机支持人工智能画质优化模式，安卓通道下可根据画面内容自动调节对比度、饱和度、锐利度、高光阴影等画质参数。</w:t>
            </w:r>
          </w:p>
          <w:p w14:paraId="183FBE8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22、支持自定义图像设置，可对对比度、屏幕色温、图像亮度、色彩空间进行调节。</w:t>
            </w:r>
          </w:p>
          <w:p w14:paraId="148728C3">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23、整机全通道支持纸质护眼模式，可调整画面纹理效果；至少支持牛皮纸、素描纸、宣纸、水彩纸、水纹纸多种纹理效果，支持透明度、色温调节。</w:t>
            </w:r>
          </w:p>
          <w:p w14:paraId="6A111D1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24、整机支持自习纪律辅助提醒功能，可通过音频监测环境噪音，当音量超过设定阈值时，屏幕弹窗提示，辅助维持课堂秩序。</w:t>
            </w:r>
          </w:p>
          <w:p w14:paraId="0231DB5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25、整机支持语音转文字功能，可将麦克风拾取语音实时转译为文字，支持悬浮字幕展示。</w:t>
            </w:r>
          </w:p>
          <w:p w14:paraId="6275D023">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26、整机支持 AI 试题识别功能，可识别屏幕画面或视频展台采集的试题内容，支持手动框选识别区域，提供试题解析、解题步骤、注意事项。</w:t>
            </w:r>
          </w:p>
          <w:p w14:paraId="384EFFC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27、AI 试题识别功能可根据试题知识点、难度，智能推荐同类习题，推荐题目数量可自定义设置。</w:t>
            </w:r>
          </w:p>
          <w:p w14:paraId="4DF5759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28、整机支持微课录制，支持对录制视频进行字幕提取，依据字幕实现视频快速剪辑。</w:t>
            </w:r>
          </w:p>
          <w:p w14:paraId="3893EE7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29、整机支持 AI 教学助手功能，支持自定义助手角色、性格、能力信息，支持文字、语音交互；支持创建教学助手并在校本资源平台共享。</w:t>
            </w:r>
          </w:p>
          <w:p w14:paraId="5C50298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二、无线互联要求</w:t>
            </w:r>
          </w:p>
          <w:p w14:paraId="18FEA54D">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1、整机内置无线模块，Android、Windows 系统均可实现 Wi-Fi 上网、无线 AP 热点、蓝牙连接；Wi-Fi 与热点有效工作距离≥12m。</w:t>
            </w:r>
          </w:p>
          <w:p w14:paraId="11993E6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2、整机支持蓝牙 Bluetooth 5.4 标准，PC 通道支持主动搜索蓝牙外设建立连接。</w:t>
            </w:r>
          </w:p>
          <w:p w14:paraId="1113E50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3、整机 Wi-Fi、蓝牙无线模块采用模块化设计，便于后期维护拆装。</w:t>
            </w:r>
          </w:p>
          <w:p w14:paraId="1032C45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4、整机支持近场快速投屏方案，可通过信号感知方式，让手机、笔记本快速发现大屏设备，一键发起投屏。</w:t>
            </w:r>
          </w:p>
          <w:p w14:paraId="762066F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5、配套教学移动端 APP 支持局域网近场发现大屏设备，支持免扫码、免账号密码快速连接，支持统一身份认证，实现教学软件单点登录。</w:t>
            </w:r>
          </w:p>
          <w:p w14:paraId="7B0B03C2">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6、整机内置传屏接收模块，无需外接接收设备，支持手机、电脑音视频投屏；电脑投屏支持触控回传。</w:t>
            </w:r>
          </w:p>
          <w:p w14:paraId="4CB323C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7、整机安卓通道、PC 通道均支持 Wi-Fi 6 连接与热点发射功能。</w:t>
            </w:r>
          </w:p>
          <w:p w14:paraId="258164D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8、整机无线网络配置支持双系统互通，Android 与 Windows 系统网络参数可同步，无需重复配置。</w:t>
            </w:r>
          </w:p>
          <w:p w14:paraId="2028EBA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9、整机支持音频采集识别，可通过声纹识别完成身份登录，登录后调取个人云端课件，支持白板软件免登。</w:t>
            </w:r>
          </w:p>
          <w:p w14:paraId="7DB8D386">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10、整机支持设备序列号定向升级，支持云端在线固件、应用软件 OTA 升级。</w:t>
            </w:r>
          </w:p>
          <w:p w14:paraId="3FB683A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三、内置 OPS 模块配置要求</w:t>
            </w:r>
          </w:p>
          <w:p w14:paraId="009F782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1、处理器：Intel Core i5 十二代或以上 CPU；</w:t>
            </w:r>
          </w:p>
          <w:p w14:paraId="36811D6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2、内存规格：DDR4 内存，8G；硬盘：256G 固态硬盘；</w:t>
            </w:r>
          </w:p>
          <w:p w14:paraId="5712567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3、PC 模块为抽拉式设计，支持整机内部对接，一体化插拔；</w:t>
            </w:r>
          </w:p>
          <w:p w14:paraId="706AEB2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4、电脑模块与整机高速接口通信，传输速率≥10Gbps；</w:t>
            </w:r>
          </w:p>
          <w:p w14:paraId="71F9C2E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5、模块采用卡扣式固定，无需工具可快速拆装。</w:t>
            </w:r>
          </w:p>
          <w:p w14:paraId="4B0D15D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四、副屏黑板设计要求</w:t>
            </w:r>
          </w:p>
          <w:p w14:paraId="71427A9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1、书写表面采用无尘书写膜，支持磁性书写笔书写，可通过不同笔头实现粗细笔迹；书写无需专用耗材，无粉尘，板面可断电独立书写。</w:t>
            </w:r>
          </w:p>
          <w:p w14:paraId="4B2C420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2、书写板面可用中性洗涤剂、消毒温水擦拭，擦拭后表面无变色、表层脱落。</w:t>
            </w:r>
          </w:p>
          <w:p w14:paraId="4E6891E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3、书写板夹层采用高强度、吸音、防潮、阻燃板材。</w:t>
            </w:r>
          </w:p>
          <w:p w14:paraId="1C546F9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4、板书字迹可视角度≥178°。</w:t>
            </w:r>
          </w:p>
          <w:p w14:paraId="747B310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5、书写板表面低眩光，光泽度≤30°。</w:t>
            </w:r>
          </w:p>
          <w:p w14:paraId="7FB0932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6、支持局部擦除与大面积整体擦除两种擦除方式。</w:t>
            </w:r>
          </w:p>
          <w:p w14:paraId="4E411FE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7、板书在无外力擦除情况下可长期留存，支持随时擦除。</w:t>
            </w:r>
          </w:p>
          <w:p w14:paraId="60D1986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五、内置教学软件功能要求</w:t>
            </w:r>
          </w:p>
          <w:p w14:paraId="32F10D5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（一）教学白板软件电脑端</w:t>
            </w:r>
          </w:p>
          <w:p w14:paraId="781A386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1、支持为教师分配独立账号，建立学校教学账号体系；账号关联校本资源库，支持账号、二维码、硬件密钥多种登录方式。</w:t>
            </w:r>
          </w:p>
          <w:p w14:paraId="6FDDE5E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2、互动课件支持云分享，可生成公开或加密链接、二维码，支持设置访问有效期。</w:t>
            </w:r>
          </w:p>
          <w:p w14:paraId="6326557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3、教案支持云端自动同步，支持链接形式分享，支持浏览器、微信直接预览。</w:t>
            </w:r>
          </w:p>
          <w:p w14:paraId="56F9663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4、具备校本资源库，支持课件、教案、多媒体上传共建共享，支持多条件检索，备课可直接调用库内资源。</w:t>
            </w:r>
          </w:p>
          <w:p w14:paraId="75E46EF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5、支持线上听评课，授课过程可生成评课二维码，支持扫码评课、附件获取，支持导出听课记录与评课报告。</w:t>
            </w:r>
          </w:p>
          <w:p w14:paraId="6BA914A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6、支持线上集体备课，支持邀请校内外教师参与研讨，支持课件版本对比、研讨内容回溯。</w:t>
            </w:r>
          </w:p>
          <w:p w14:paraId="6E6C3C82">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7、集体备课定稿自动归档至校本资源库，自动生成备课研讨报告。</w:t>
            </w:r>
          </w:p>
          <w:p w14:paraId="3CF1B14E">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（二）教学白板软件直播工具</w:t>
            </w:r>
          </w:p>
          <w:p w14:paraId="600F89F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1、支持一键发起直播，生成访问二维码，学生微信扫码即可听课，无需安装独立 APP。</w:t>
            </w:r>
          </w:p>
          <w:p w14:paraId="0CB09D55">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2、内置在线答题工具，支持答题数据自动统计。</w:t>
            </w:r>
          </w:p>
          <w:p w14:paraId="63F537DD">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3、支持远程学生互动，可授权学生在课件上书写操作，支持不少于 5 位学生同时互动。</w:t>
            </w:r>
          </w:p>
          <w:p w14:paraId="78F85C5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4、直播结束自动统计学生考勤与学习记录。</w:t>
            </w:r>
          </w:p>
          <w:p w14:paraId="48C8FB9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（三）教学白板手机移动端</w:t>
            </w:r>
          </w:p>
          <w:p w14:paraId="7C850862">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1、移动端可预览云端课件，支持页面跳转、缩略图查看。</w:t>
            </w:r>
          </w:p>
          <w:p w14:paraId="0C1AEF5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2、支持远程操控课件翻页、播放媒体，支持横竖屏显示，不强制依赖局域网。</w:t>
            </w:r>
          </w:p>
          <w:p w14:paraId="299A6606">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3、支持课件多渠道分享，分享有效期自定义。</w:t>
            </w:r>
          </w:p>
          <w:p w14:paraId="58237AE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2"/>
                <w:szCs w:val="22"/>
                <w:u w:val="none"/>
                <w:lang w:val="en-US" w:eastAsia="zh-CN" w:bidi="ar-SA"/>
              </w:rPr>
              <w:t>4、移动端支持课件管理：移动、删除、重命名，提供回收站功能。</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BD54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ED5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38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DD8F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C0F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3个机房各一台</w:t>
            </w:r>
          </w:p>
        </w:tc>
      </w:tr>
      <w:tr w14:paraId="2F45F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782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8F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耳机</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82377">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学生英语听说考试头戴全封闭式耳机，USB接口，要求兼容学考机考软件。</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6B9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5FE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B8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C02A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B87DB">
            <w:pPr>
              <w:rPr>
                <w:rFonts w:hint="eastAsia" w:ascii="宋体" w:hAnsi="宋体" w:eastAsia="宋体" w:cs="宋体"/>
                <w:i w:val="0"/>
                <w:iCs w:val="0"/>
                <w:color w:val="000000"/>
                <w:sz w:val="22"/>
                <w:szCs w:val="22"/>
                <w:u w:val="none"/>
              </w:rPr>
            </w:pPr>
          </w:p>
        </w:tc>
      </w:tr>
      <w:tr w14:paraId="6099A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19035">
            <w:pPr>
              <w:jc w:val="center"/>
              <w:rPr>
                <w:rFonts w:hint="eastAsia" w:ascii="宋体" w:hAnsi="宋体" w:eastAsia="宋体" w:cs="宋体"/>
                <w:i w:val="0"/>
                <w:iCs w:val="0"/>
                <w:color w:val="000000"/>
                <w:sz w:val="22"/>
                <w:szCs w:val="22"/>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506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1FEF7">
            <w:pPr>
              <w:rPr>
                <w:rFonts w:hint="eastAsia" w:ascii="宋体" w:hAnsi="宋体" w:eastAsia="宋体" w:cs="宋体"/>
                <w:i w:val="0"/>
                <w:iCs w:val="0"/>
                <w:color w:val="000000"/>
                <w:sz w:val="22"/>
                <w:szCs w:val="22"/>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18579">
            <w:pPr>
              <w:jc w:val="center"/>
              <w:rPr>
                <w:rFonts w:hint="eastAsia" w:ascii="宋体" w:hAnsi="宋体" w:eastAsia="宋体" w:cs="宋体"/>
                <w:i w:val="0"/>
                <w:iCs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38A7">
            <w:pPr>
              <w:jc w:val="center"/>
              <w:rPr>
                <w:rFonts w:hint="eastAsia" w:ascii="宋体" w:hAnsi="宋体" w:eastAsia="宋体" w:cs="宋体"/>
                <w:i w:val="0"/>
                <w:iCs w:val="0"/>
                <w:color w:val="000000"/>
                <w:sz w:val="22"/>
                <w:szCs w:val="22"/>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EA5B4">
            <w:pPr>
              <w:jc w:val="center"/>
              <w:rPr>
                <w:rFonts w:hint="eastAsia" w:ascii="宋体" w:hAnsi="宋体" w:eastAsia="宋体" w:cs="宋体"/>
                <w:i w:val="0"/>
                <w:iCs w:val="0"/>
                <w:color w:val="000000"/>
                <w:sz w:val="22"/>
                <w:szCs w:val="22"/>
                <w:u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30A6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9FC02">
            <w:pPr>
              <w:rPr>
                <w:rFonts w:hint="eastAsia" w:ascii="宋体" w:hAnsi="宋体" w:eastAsia="宋体" w:cs="宋体"/>
                <w:i w:val="0"/>
                <w:iCs w:val="0"/>
                <w:color w:val="000000"/>
                <w:sz w:val="22"/>
                <w:szCs w:val="22"/>
                <w:u w:val="none"/>
              </w:rPr>
            </w:pPr>
          </w:p>
        </w:tc>
      </w:tr>
    </w:tbl>
    <w:p w14:paraId="3B0D7014">
      <w:pPr>
        <w:keepNext w:val="0"/>
        <w:keepLines w:val="0"/>
        <w:pageBreakBefore w:val="0"/>
        <w:kinsoku/>
        <w:wordWrap/>
        <w:overflowPunct/>
        <w:topLinePunct w:val="0"/>
        <w:autoSpaceDE/>
        <w:autoSpaceDN/>
        <w:bidi w:val="0"/>
        <w:adjustRightInd/>
        <w:snapToGrid/>
        <w:rPr>
          <w:rFonts w:hint="default" w:ascii="宋体" w:hAnsi="宋体" w:cs="宋体"/>
          <w:sz w:val="21"/>
          <w:szCs w:val="21"/>
          <w:lang w:val="en-US" w:eastAsia="zh-CN"/>
          <w14:ligatures w14:val="none"/>
        </w:rPr>
      </w:pPr>
    </w:p>
    <w:sectPr>
      <w:pgSz w:w="16838" w:h="11906" w:orient="landscape"/>
      <w:pgMar w:top="1689" w:right="1440" w:bottom="1689"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0"/>
    <w:family w:val="auto"/>
    <w:pitch w:val="default"/>
    <w:sig w:usb0="00000000" w:usb1="00000000" w:usb2="00000000" w:usb3="00000000" w:csb0="80000000" w:csb1="00000000"/>
  </w:font>
  <w:font w:name="Segoe UI Symbol">
    <w:panose1 w:val="020B0502040204020203"/>
    <w:charset w:val="00"/>
    <w:family w:val="swiss"/>
    <w:pitch w:val="default"/>
    <w:sig w:usb0="8000006F" w:usb1="1200FBEF" w:usb2="0064C000" w:usb3="00000002" w:csb0="00000001" w:csb1="40000000"/>
  </w:font>
  <w:font w:name="Kingsoft UE">
    <w:altName w:val="RomanS"/>
    <w:panose1 w:val="00000000000000000000"/>
    <w:charset w:val="00"/>
    <w:family w:val="auto"/>
    <w:pitch w:val="default"/>
    <w:sig w:usb0="00000000" w:usb1="00000000" w:usb2="00000000" w:usb3="00000000" w:csb0="00000000" w:csb1="00000000"/>
  </w:font>
  <w:font w:name="RomanS">
    <w:panose1 w:val="02000400000000000000"/>
    <w:charset w:val="00"/>
    <w:family w:val="auto"/>
    <w:pitch w:val="default"/>
    <w:sig w:usb0="0000020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EC685">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E83F8">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91E83F8">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271BF4"/>
    <w:multiLevelType w:val="singleLevel"/>
    <w:tmpl w:val="55271BF4"/>
    <w:lvl w:ilvl="0" w:tentative="0">
      <w:start w:val="1"/>
      <w:numFmt w:val="decimal"/>
      <w:suff w:val="nothing"/>
      <w:lvlText w:val="%1、"/>
      <w:lvlJc w:val="left"/>
    </w:lvl>
  </w:abstractNum>
  <w:abstractNum w:abstractNumId="1">
    <w:nsid w:val="64793C4C"/>
    <w:multiLevelType w:val="singleLevel"/>
    <w:tmpl w:val="64793C4C"/>
    <w:lvl w:ilvl="0" w:tentative="0">
      <w:start w:val="1"/>
      <w:numFmt w:val="decimal"/>
      <w:suff w:val="nothing"/>
      <w:lvlText w:val="%1、"/>
      <w:lvlJc w:val="left"/>
    </w:lvl>
  </w:abstractNum>
  <w:abstractNum w:abstractNumId="2">
    <w:nsid w:val="6D5D5510"/>
    <w:multiLevelType w:val="singleLevel"/>
    <w:tmpl w:val="6D5D5510"/>
    <w:lvl w:ilvl="0" w:tentative="0">
      <w:start w:val="2"/>
      <w:numFmt w:val="chineseCounting"/>
      <w:suff w:val="space"/>
      <w:lvlText w:val="第%1节"/>
      <w:lvlJc w:val="left"/>
      <w:rPr>
        <w:rFonts w:hint="eastAsia"/>
      </w:rPr>
    </w:lvl>
  </w:abstractNum>
  <w:abstractNum w:abstractNumId="3">
    <w:nsid w:val="7EA3CE6A"/>
    <w:multiLevelType w:val="singleLevel"/>
    <w:tmpl w:val="7EA3CE6A"/>
    <w:lvl w:ilvl="0" w:tentative="0">
      <w:start w:val="1"/>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64E69"/>
    <w:rsid w:val="01101F9F"/>
    <w:rsid w:val="0117225E"/>
    <w:rsid w:val="01D34B7C"/>
    <w:rsid w:val="01E0373D"/>
    <w:rsid w:val="01F176F8"/>
    <w:rsid w:val="01FF3BC3"/>
    <w:rsid w:val="02067EB0"/>
    <w:rsid w:val="02186A33"/>
    <w:rsid w:val="025F4662"/>
    <w:rsid w:val="02720839"/>
    <w:rsid w:val="02750329"/>
    <w:rsid w:val="0278113F"/>
    <w:rsid w:val="02C10E79"/>
    <w:rsid w:val="02DC3C61"/>
    <w:rsid w:val="03116A54"/>
    <w:rsid w:val="032D4760"/>
    <w:rsid w:val="035166A0"/>
    <w:rsid w:val="035A404C"/>
    <w:rsid w:val="03DE5FDE"/>
    <w:rsid w:val="03F62DA4"/>
    <w:rsid w:val="04762137"/>
    <w:rsid w:val="04770389"/>
    <w:rsid w:val="05164ADC"/>
    <w:rsid w:val="052D0385"/>
    <w:rsid w:val="05340028"/>
    <w:rsid w:val="053E2C54"/>
    <w:rsid w:val="05663F59"/>
    <w:rsid w:val="057F6DC9"/>
    <w:rsid w:val="05A607FA"/>
    <w:rsid w:val="05E51322"/>
    <w:rsid w:val="0644429B"/>
    <w:rsid w:val="069845E6"/>
    <w:rsid w:val="06CE1DB6"/>
    <w:rsid w:val="06F15AA5"/>
    <w:rsid w:val="07117EF5"/>
    <w:rsid w:val="072A7934"/>
    <w:rsid w:val="076444C8"/>
    <w:rsid w:val="07854B6B"/>
    <w:rsid w:val="078968D9"/>
    <w:rsid w:val="07A34FF1"/>
    <w:rsid w:val="07D72EEC"/>
    <w:rsid w:val="09114E82"/>
    <w:rsid w:val="09CA2D09"/>
    <w:rsid w:val="09D771D4"/>
    <w:rsid w:val="0A2C5771"/>
    <w:rsid w:val="0A6D7B38"/>
    <w:rsid w:val="0A8C7FBE"/>
    <w:rsid w:val="0B1D330C"/>
    <w:rsid w:val="0B2FE932"/>
    <w:rsid w:val="0B8B471A"/>
    <w:rsid w:val="0B9F1F73"/>
    <w:rsid w:val="0BAFD1BA"/>
    <w:rsid w:val="0BF8129B"/>
    <w:rsid w:val="0BFFB7BF"/>
    <w:rsid w:val="0BFFD97C"/>
    <w:rsid w:val="0CBB4B8B"/>
    <w:rsid w:val="0CDD71F7"/>
    <w:rsid w:val="0D865199"/>
    <w:rsid w:val="0E431068"/>
    <w:rsid w:val="0E8B67DF"/>
    <w:rsid w:val="0EA224A6"/>
    <w:rsid w:val="0EFB5712"/>
    <w:rsid w:val="0F1F3AF7"/>
    <w:rsid w:val="0F916077"/>
    <w:rsid w:val="0FC5CB71"/>
    <w:rsid w:val="0FFE155F"/>
    <w:rsid w:val="110C3C07"/>
    <w:rsid w:val="115A7068"/>
    <w:rsid w:val="1173012A"/>
    <w:rsid w:val="11B423B2"/>
    <w:rsid w:val="12521AED"/>
    <w:rsid w:val="12CF75E2"/>
    <w:rsid w:val="12D61137"/>
    <w:rsid w:val="130A686C"/>
    <w:rsid w:val="133E6515"/>
    <w:rsid w:val="138C7281"/>
    <w:rsid w:val="1396BF00"/>
    <w:rsid w:val="147541B9"/>
    <w:rsid w:val="149547D4"/>
    <w:rsid w:val="14D25167"/>
    <w:rsid w:val="14FE7D29"/>
    <w:rsid w:val="154020D1"/>
    <w:rsid w:val="15AA1C40"/>
    <w:rsid w:val="15B91E83"/>
    <w:rsid w:val="15CA5E3E"/>
    <w:rsid w:val="15EE09F8"/>
    <w:rsid w:val="166E2C6E"/>
    <w:rsid w:val="16BE1E47"/>
    <w:rsid w:val="16CB5E37"/>
    <w:rsid w:val="17654071"/>
    <w:rsid w:val="177F9B28"/>
    <w:rsid w:val="17C70888"/>
    <w:rsid w:val="17D3547E"/>
    <w:rsid w:val="17EFCC34"/>
    <w:rsid w:val="17F795C0"/>
    <w:rsid w:val="17FF64DA"/>
    <w:rsid w:val="17FFA919"/>
    <w:rsid w:val="18133ACD"/>
    <w:rsid w:val="18351C95"/>
    <w:rsid w:val="18786026"/>
    <w:rsid w:val="18F385D3"/>
    <w:rsid w:val="199E386A"/>
    <w:rsid w:val="19CE05F3"/>
    <w:rsid w:val="19D96E34"/>
    <w:rsid w:val="1A143B2C"/>
    <w:rsid w:val="1A7FCC81"/>
    <w:rsid w:val="1AC92B69"/>
    <w:rsid w:val="1ACB068F"/>
    <w:rsid w:val="1B1C5712"/>
    <w:rsid w:val="1B293607"/>
    <w:rsid w:val="1B7F018A"/>
    <w:rsid w:val="1BF32ED3"/>
    <w:rsid w:val="1BF9A119"/>
    <w:rsid w:val="1C5446B4"/>
    <w:rsid w:val="1C5A43C0"/>
    <w:rsid w:val="1C626DD1"/>
    <w:rsid w:val="1D3F5364"/>
    <w:rsid w:val="1D5B580A"/>
    <w:rsid w:val="1D7274E7"/>
    <w:rsid w:val="1D96EA9E"/>
    <w:rsid w:val="1DEB22C8"/>
    <w:rsid w:val="1E37428D"/>
    <w:rsid w:val="1E391DB3"/>
    <w:rsid w:val="1E3B765E"/>
    <w:rsid w:val="1E407E50"/>
    <w:rsid w:val="1E7D2555"/>
    <w:rsid w:val="1E9B481C"/>
    <w:rsid w:val="1EAA4F66"/>
    <w:rsid w:val="1EB96B25"/>
    <w:rsid w:val="1ECE699F"/>
    <w:rsid w:val="1EFBE1C9"/>
    <w:rsid w:val="1F8B2AE2"/>
    <w:rsid w:val="1FBF3D40"/>
    <w:rsid w:val="1FDB5818"/>
    <w:rsid w:val="1FDD84D9"/>
    <w:rsid w:val="1FDFEF17"/>
    <w:rsid w:val="1FE65F6B"/>
    <w:rsid w:val="1FF773C4"/>
    <w:rsid w:val="1FFF7BDF"/>
    <w:rsid w:val="210C39F0"/>
    <w:rsid w:val="211508B6"/>
    <w:rsid w:val="2136082C"/>
    <w:rsid w:val="214D44F3"/>
    <w:rsid w:val="21F93D33"/>
    <w:rsid w:val="22244B28"/>
    <w:rsid w:val="22511DC1"/>
    <w:rsid w:val="228A7081"/>
    <w:rsid w:val="22D64075"/>
    <w:rsid w:val="23357028"/>
    <w:rsid w:val="23452FA8"/>
    <w:rsid w:val="23476D20"/>
    <w:rsid w:val="23922691"/>
    <w:rsid w:val="23955CDE"/>
    <w:rsid w:val="23977CA8"/>
    <w:rsid w:val="239B0E1A"/>
    <w:rsid w:val="239DF444"/>
    <w:rsid w:val="23A91789"/>
    <w:rsid w:val="23E629DD"/>
    <w:rsid w:val="24134E54"/>
    <w:rsid w:val="2453643C"/>
    <w:rsid w:val="24AC1531"/>
    <w:rsid w:val="24E707BB"/>
    <w:rsid w:val="25487D45"/>
    <w:rsid w:val="257D4C7B"/>
    <w:rsid w:val="25AC1C37"/>
    <w:rsid w:val="266E5208"/>
    <w:rsid w:val="267442D0"/>
    <w:rsid w:val="26AD5D6A"/>
    <w:rsid w:val="26C37006"/>
    <w:rsid w:val="27271343"/>
    <w:rsid w:val="27379224"/>
    <w:rsid w:val="279B763B"/>
    <w:rsid w:val="27AE55C0"/>
    <w:rsid w:val="27EF6E8D"/>
    <w:rsid w:val="27FD8A49"/>
    <w:rsid w:val="285443B9"/>
    <w:rsid w:val="285C14C0"/>
    <w:rsid w:val="28812CEF"/>
    <w:rsid w:val="28A80261"/>
    <w:rsid w:val="296543A4"/>
    <w:rsid w:val="29673C78"/>
    <w:rsid w:val="29CA4207"/>
    <w:rsid w:val="29EE6D85"/>
    <w:rsid w:val="29F67AC5"/>
    <w:rsid w:val="2AB1AC87"/>
    <w:rsid w:val="2AE9007F"/>
    <w:rsid w:val="2AFF70FB"/>
    <w:rsid w:val="2B74267D"/>
    <w:rsid w:val="2B91322F"/>
    <w:rsid w:val="2BE853E3"/>
    <w:rsid w:val="2BFF4E63"/>
    <w:rsid w:val="2C5F332D"/>
    <w:rsid w:val="2C736DD8"/>
    <w:rsid w:val="2C7D37B3"/>
    <w:rsid w:val="2CAD5E46"/>
    <w:rsid w:val="2D5A5FE6"/>
    <w:rsid w:val="2D938302"/>
    <w:rsid w:val="2DB15075"/>
    <w:rsid w:val="2DFFC1A6"/>
    <w:rsid w:val="2E840E29"/>
    <w:rsid w:val="2EE14230"/>
    <w:rsid w:val="2F1A353B"/>
    <w:rsid w:val="2F8F5A69"/>
    <w:rsid w:val="2FB1650D"/>
    <w:rsid w:val="2FE06533"/>
    <w:rsid w:val="2FEF18A5"/>
    <w:rsid w:val="2FF7EF85"/>
    <w:rsid w:val="2FF9BECF"/>
    <w:rsid w:val="2FFC510C"/>
    <w:rsid w:val="2FFFBC83"/>
    <w:rsid w:val="309537C1"/>
    <w:rsid w:val="30D065A7"/>
    <w:rsid w:val="30DA2552"/>
    <w:rsid w:val="31291999"/>
    <w:rsid w:val="3152520E"/>
    <w:rsid w:val="315E1E05"/>
    <w:rsid w:val="31F0593E"/>
    <w:rsid w:val="32171FB4"/>
    <w:rsid w:val="32870EE7"/>
    <w:rsid w:val="32D700C1"/>
    <w:rsid w:val="32DD6165"/>
    <w:rsid w:val="33751688"/>
    <w:rsid w:val="33B51F64"/>
    <w:rsid w:val="33C9FE26"/>
    <w:rsid w:val="33CF2B46"/>
    <w:rsid w:val="33E04D53"/>
    <w:rsid w:val="33FF1B3C"/>
    <w:rsid w:val="340A6274"/>
    <w:rsid w:val="34316ACF"/>
    <w:rsid w:val="34394463"/>
    <w:rsid w:val="345E3ECA"/>
    <w:rsid w:val="34675474"/>
    <w:rsid w:val="34721813"/>
    <w:rsid w:val="34F36426"/>
    <w:rsid w:val="352A0B39"/>
    <w:rsid w:val="3538296D"/>
    <w:rsid w:val="35523A2F"/>
    <w:rsid w:val="35B60DDC"/>
    <w:rsid w:val="35EECEF4"/>
    <w:rsid w:val="35F5260C"/>
    <w:rsid w:val="361A2073"/>
    <w:rsid w:val="367D3462"/>
    <w:rsid w:val="36FA5B2B"/>
    <w:rsid w:val="37046FAB"/>
    <w:rsid w:val="375861D4"/>
    <w:rsid w:val="377F8585"/>
    <w:rsid w:val="378FF5CA"/>
    <w:rsid w:val="37955E55"/>
    <w:rsid w:val="379E5AF2"/>
    <w:rsid w:val="37AC38FA"/>
    <w:rsid w:val="37BCCF6B"/>
    <w:rsid w:val="37BFEF3C"/>
    <w:rsid w:val="37DFC3C4"/>
    <w:rsid w:val="37EA4075"/>
    <w:rsid w:val="37FBE426"/>
    <w:rsid w:val="37FFD9F7"/>
    <w:rsid w:val="382B67B9"/>
    <w:rsid w:val="387657B2"/>
    <w:rsid w:val="3877E69F"/>
    <w:rsid w:val="38BC5561"/>
    <w:rsid w:val="38C84008"/>
    <w:rsid w:val="38CA5FD2"/>
    <w:rsid w:val="38DF9A79"/>
    <w:rsid w:val="390C2146"/>
    <w:rsid w:val="39180AEB"/>
    <w:rsid w:val="39203E44"/>
    <w:rsid w:val="39414E99"/>
    <w:rsid w:val="39423DBA"/>
    <w:rsid w:val="395D0BF4"/>
    <w:rsid w:val="3A0325ED"/>
    <w:rsid w:val="3A053765"/>
    <w:rsid w:val="3A6FFA75"/>
    <w:rsid w:val="3AA06FEA"/>
    <w:rsid w:val="3AA85CCA"/>
    <w:rsid w:val="3B586F45"/>
    <w:rsid w:val="3B862684"/>
    <w:rsid w:val="3BE611F4"/>
    <w:rsid w:val="3BFD055F"/>
    <w:rsid w:val="3BFD9490"/>
    <w:rsid w:val="3BFF2436"/>
    <w:rsid w:val="3BFF3921"/>
    <w:rsid w:val="3C79127D"/>
    <w:rsid w:val="3CA64660"/>
    <w:rsid w:val="3CB70FBA"/>
    <w:rsid w:val="3CC15B0F"/>
    <w:rsid w:val="3D0F007C"/>
    <w:rsid w:val="3D115F7D"/>
    <w:rsid w:val="3D7DD3FC"/>
    <w:rsid w:val="3D874491"/>
    <w:rsid w:val="3DB4619C"/>
    <w:rsid w:val="3DE76564"/>
    <w:rsid w:val="3DED5014"/>
    <w:rsid w:val="3DF3E363"/>
    <w:rsid w:val="3E734A16"/>
    <w:rsid w:val="3E7E1C14"/>
    <w:rsid w:val="3ECB4852"/>
    <w:rsid w:val="3ED5EC7F"/>
    <w:rsid w:val="3EDAD522"/>
    <w:rsid w:val="3EF79C96"/>
    <w:rsid w:val="3EFF67FA"/>
    <w:rsid w:val="3EFFE099"/>
    <w:rsid w:val="3F33E181"/>
    <w:rsid w:val="3F4B35D8"/>
    <w:rsid w:val="3F7ECB04"/>
    <w:rsid w:val="3FBF89F6"/>
    <w:rsid w:val="3FBFD8CF"/>
    <w:rsid w:val="3FDF6807"/>
    <w:rsid w:val="3FF6AB14"/>
    <w:rsid w:val="3FF72339"/>
    <w:rsid w:val="3FFA62AF"/>
    <w:rsid w:val="3FFB4CC3"/>
    <w:rsid w:val="3FFBB248"/>
    <w:rsid w:val="3FFBB63C"/>
    <w:rsid w:val="3FFD038B"/>
    <w:rsid w:val="3FFD6FFE"/>
    <w:rsid w:val="3FFD8F82"/>
    <w:rsid w:val="3FFD9444"/>
    <w:rsid w:val="3FFFE9BF"/>
    <w:rsid w:val="40026051"/>
    <w:rsid w:val="405C1C05"/>
    <w:rsid w:val="424C7A58"/>
    <w:rsid w:val="42562684"/>
    <w:rsid w:val="43210EE4"/>
    <w:rsid w:val="43340C18"/>
    <w:rsid w:val="43454BD3"/>
    <w:rsid w:val="437637B2"/>
    <w:rsid w:val="43AA105C"/>
    <w:rsid w:val="43C55D14"/>
    <w:rsid w:val="442D15C1"/>
    <w:rsid w:val="446E0159"/>
    <w:rsid w:val="449C6B43"/>
    <w:rsid w:val="44B65E49"/>
    <w:rsid w:val="453B55E7"/>
    <w:rsid w:val="45561319"/>
    <w:rsid w:val="45CD7101"/>
    <w:rsid w:val="469B476A"/>
    <w:rsid w:val="46A240EA"/>
    <w:rsid w:val="46BB2C1D"/>
    <w:rsid w:val="46CC1167"/>
    <w:rsid w:val="46F26E20"/>
    <w:rsid w:val="46FA6C07"/>
    <w:rsid w:val="46FDF593"/>
    <w:rsid w:val="471D19C3"/>
    <w:rsid w:val="47AD0F98"/>
    <w:rsid w:val="47AD2D46"/>
    <w:rsid w:val="47C75E62"/>
    <w:rsid w:val="47DC0AE2"/>
    <w:rsid w:val="47E00D15"/>
    <w:rsid w:val="47F22E4F"/>
    <w:rsid w:val="48221986"/>
    <w:rsid w:val="486E697A"/>
    <w:rsid w:val="48A26623"/>
    <w:rsid w:val="48B56357"/>
    <w:rsid w:val="48BF0F83"/>
    <w:rsid w:val="490B5F77"/>
    <w:rsid w:val="49211C3E"/>
    <w:rsid w:val="49641B2B"/>
    <w:rsid w:val="49A95790"/>
    <w:rsid w:val="49BC0E6C"/>
    <w:rsid w:val="49E44DBB"/>
    <w:rsid w:val="4A045730"/>
    <w:rsid w:val="4A2B43F6"/>
    <w:rsid w:val="4A437992"/>
    <w:rsid w:val="4A5B2F2E"/>
    <w:rsid w:val="4AE01685"/>
    <w:rsid w:val="4B4E65EF"/>
    <w:rsid w:val="4B814C16"/>
    <w:rsid w:val="4BB46D99"/>
    <w:rsid w:val="4BEF1599"/>
    <w:rsid w:val="4C0D2884"/>
    <w:rsid w:val="4C207F8B"/>
    <w:rsid w:val="4C3B3017"/>
    <w:rsid w:val="4C72630D"/>
    <w:rsid w:val="4C7B1665"/>
    <w:rsid w:val="4CBB5F06"/>
    <w:rsid w:val="4CE03BBE"/>
    <w:rsid w:val="4D0E4287"/>
    <w:rsid w:val="4D844549"/>
    <w:rsid w:val="4DCF3FBD"/>
    <w:rsid w:val="4E0D453F"/>
    <w:rsid w:val="4F1E452A"/>
    <w:rsid w:val="4F7F4703"/>
    <w:rsid w:val="4FAF63F5"/>
    <w:rsid w:val="4FC99863"/>
    <w:rsid w:val="4FD95020"/>
    <w:rsid w:val="4FDF1E8B"/>
    <w:rsid w:val="4FE92D16"/>
    <w:rsid w:val="4FEB4D54"/>
    <w:rsid w:val="4FFBA623"/>
    <w:rsid w:val="4FFD9B23"/>
    <w:rsid w:val="4FFFAB4E"/>
    <w:rsid w:val="50354221"/>
    <w:rsid w:val="506A5C79"/>
    <w:rsid w:val="50947199"/>
    <w:rsid w:val="50C616E1"/>
    <w:rsid w:val="50E27F05"/>
    <w:rsid w:val="50E579F5"/>
    <w:rsid w:val="51183927"/>
    <w:rsid w:val="5133250E"/>
    <w:rsid w:val="5164091A"/>
    <w:rsid w:val="519805C3"/>
    <w:rsid w:val="526861E8"/>
    <w:rsid w:val="52CBD44F"/>
    <w:rsid w:val="52FFEEDD"/>
    <w:rsid w:val="533E33EC"/>
    <w:rsid w:val="535350EA"/>
    <w:rsid w:val="5377554D"/>
    <w:rsid w:val="539FF173"/>
    <w:rsid w:val="541A1764"/>
    <w:rsid w:val="5449029B"/>
    <w:rsid w:val="544E58B1"/>
    <w:rsid w:val="548E3F00"/>
    <w:rsid w:val="54B30E83"/>
    <w:rsid w:val="553E26E3"/>
    <w:rsid w:val="555111B5"/>
    <w:rsid w:val="55A6A80B"/>
    <w:rsid w:val="55BD684B"/>
    <w:rsid w:val="55BF00A4"/>
    <w:rsid w:val="56535231"/>
    <w:rsid w:val="567D422C"/>
    <w:rsid w:val="56A417B8"/>
    <w:rsid w:val="56F91344"/>
    <w:rsid w:val="571B5974"/>
    <w:rsid w:val="57315742"/>
    <w:rsid w:val="577949F3"/>
    <w:rsid w:val="577E5B9F"/>
    <w:rsid w:val="57BBD06E"/>
    <w:rsid w:val="57FCE0DD"/>
    <w:rsid w:val="57FCF654"/>
    <w:rsid w:val="585F989E"/>
    <w:rsid w:val="58E44E48"/>
    <w:rsid w:val="59044790"/>
    <w:rsid w:val="59376914"/>
    <w:rsid w:val="593A6196"/>
    <w:rsid w:val="593C217C"/>
    <w:rsid w:val="598D0C2A"/>
    <w:rsid w:val="59A73A9A"/>
    <w:rsid w:val="5A398259"/>
    <w:rsid w:val="5A79A870"/>
    <w:rsid w:val="5A7C5F07"/>
    <w:rsid w:val="5A89319F"/>
    <w:rsid w:val="5A903F47"/>
    <w:rsid w:val="5AEB8E12"/>
    <w:rsid w:val="5AF5E932"/>
    <w:rsid w:val="5B7FEFD6"/>
    <w:rsid w:val="5B90055D"/>
    <w:rsid w:val="5BDBBB32"/>
    <w:rsid w:val="5BFEEA81"/>
    <w:rsid w:val="5BFF4A51"/>
    <w:rsid w:val="5C3B496D"/>
    <w:rsid w:val="5C4BE87B"/>
    <w:rsid w:val="5C533A65"/>
    <w:rsid w:val="5C545A2F"/>
    <w:rsid w:val="5C58551F"/>
    <w:rsid w:val="5C7E78AF"/>
    <w:rsid w:val="5CC77505"/>
    <w:rsid w:val="5CC92CA0"/>
    <w:rsid w:val="5CDC1F52"/>
    <w:rsid w:val="5CFF1E3E"/>
    <w:rsid w:val="5CFF79DC"/>
    <w:rsid w:val="5D1B92F7"/>
    <w:rsid w:val="5D5BB97D"/>
    <w:rsid w:val="5D9592C9"/>
    <w:rsid w:val="5DFDAA56"/>
    <w:rsid w:val="5E1436C8"/>
    <w:rsid w:val="5E251431"/>
    <w:rsid w:val="5E6FAF19"/>
    <w:rsid w:val="5EA54320"/>
    <w:rsid w:val="5EAC56AE"/>
    <w:rsid w:val="5EBD506E"/>
    <w:rsid w:val="5ECF3C78"/>
    <w:rsid w:val="5ECFEDE5"/>
    <w:rsid w:val="5EFAD11F"/>
    <w:rsid w:val="5EFBBB93"/>
    <w:rsid w:val="5F2F5FB7"/>
    <w:rsid w:val="5F39B9F3"/>
    <w:rsid w:val="5F3D7188"/>
    <w:rsid w:val="5F3F08E1"/>
    <w:rsid w:val="5F47332C"/>
    <w:rsid w:val="5F4B8F0B"/>
    <w:rsid w:val="5F5F4CBE"/>
    <w:rsid w:val="5F7F60E1"/>
    <w:rsid w:val="5FB62D22"/>
    <w:rsid w:val="5FB764D6"/>
    <w:rsid w:val="5FBD7E91"/>
    <w:rsid w:val="5FBF2EA3"/>
    <w:rsid w:val="5FD70E51"/>
    <w:rsid w:val="5FD81C0F"/>
    <w:rsid w:val="5FE5B56C"/>
    <w:rsid w:val="5FE7DF3B"/>
    <w:rsid w:val="5FED9D0B"/>
    <w:rsid w:val="5FF2C63D"/>
    <w:rsid w:val="5FFB25F8"/>
    <w:rsid w:val="5FFB566B"/>
    <w:rsid w:val="5FFD12F1"/>
    <w:rsid w:val="5FFE4F47"/>
    <w:rsid w:val="5FFF5AED"/>
    <w:rsid w:val="600F460B"/>
    <w:rsid w:val="60340051"/>
    <w:rsid w:val="61500EBB"/>
    <w:rsid w:val="61903065"/>
    <w:rsid w:val="61BE016E"/>
    <w:rsid w:val="61EE5FDE"/>
    <w:rsid w:val="61FF5C01"/>
    <w:rsid w:val="62265778"/>
    <w:rsid w:val="62606EDB"/>
    <w:rsid w:val="62791D4B"/>
    <w:rsid w:val="62D84CC4"/>
    <w:rsid w:val="63163A3E"/>
    <w:rsid w:val="632117EE"/>
    <w:rsid w:val="6331FBF4"/>
    <w:rsid w:val="636B229C"/>
    <w:rsid w:val="63F1FC2D"/>
    <w:rsid w:val="64335F3B"/>
    <w:rsid w:val="646627A3"/>
    <w:rsid w:val="64C22A1F"/>
    <w:rsid w:val="64CF20F6"/>
    <w:rsid w:val="64EC4A56"/>
    <w:rsid w:val="65165F77"/>
    <w:rsid w:val="651E6BDA"/>
    <w:rsid w:val="65BD2897"/>
    <w:rsid w:val="65BF1FBE"/>
    <w:rsid w:val="65C43C25"/>
    <w:rsid w:val="65CC4888"/>
    <w:rsid w:val="65DFF424"/>
    <w:rsid w:val="65E90499"/>
    <w:rsid w:val="663B3A8B"/>
    <w:rsid w:val="669058B5"/>
    <w:rsid w:val="66C0619B"/>
    <w:rsid w:val="66D71736"/>
    <w:rsid w:val="67746F85"/>
    <w:rsid w:val="677B504B"/>
    <w:rsid w:val="67D7D1EB"/>
    <w:rsid w:val="67EFD65E"/>
    <w:rsid w:val="67F67A1E"/>
    <w:rsid w:val="6894168D"/>
    <w:rsid w:val="68ED5241"/>
    <w:rsid w:val="69801C11"/>
    <w:rsid w:val="69872FA0"/>
    <w:rsid w:val="69EE07EF"/>
    <w:rsid w:val="69EE74C3"/>
    <w:rsid w:val="6A1231B1"/>
    <w:rsid w:val="6A433D44"/>
    <w:rsid w:val="6A9149CA"/>
    <w:rsid w:val="6AD55F8D"/>
    <w:rsid w:val="6AEF321A"/>
    <w:rsid w:val="6AF234BF"/>
    <w:rsid w:val="6B777044"/>
    <w:rsid w:val="6B787348"/>
    <w:rsid w:val="6B7C465A"/>
    <w:rsid w:val="6B970EBD"/>
    <w:rsid w:val="6BDB4CD0"/>
    <w:rsid w:val="6BEF3910"/>
    <w:rsid w:val="6BF12F5C"/>
    <w:rsid w:val="6BF742E1"/>
    <w:rsid w:val="6BF7D237"/>
    <w:rsid w:val="6BFB3F90"/>
    <w:rsid w:val="6BFFD0BC"/>
    <w:rsid w:val="6BFFE28F"/>
    <w:rsid w:val="6C3BFCAD"/>
    <w:rsid w:val="6C9F437E"/>
    <w:rsid w:val="6CA43E69"/>
    <w:rsid w:val="6CCD7863"/>
    <w:rsid w:val="6CDA5ADC"/>
    <w:rsid w:val="6CF50B68"/>
    <w:rsid w:val="6DCA5B51"/>
    <w:rsid w:val="6DD78432"/>
    <w:rsid w:val="6DDF2B6C"/>
    <w:rsid w:val="6DF57AD8"/>
    <w:rsid w:val="6DFFEDB6"/>
    <w:rsid w:val="6E027099"/>
    <w:rsid w:val="6E55486A"/>
    <w:rsid w:val="6E6B5CD7"/>
    <w:rsid w:val="6E7F90E7"/>
    <w:rsid w:val="6EBE3769"/>
    <w:rsid w:val="6ECF35E5"/>
    <w:rsid w:val="6EEB8C37"/>
    <w:rsid w:val="6EEF6856"/>
    <w:rsid w:val="6F03131A"/>
    <w:rsid w:val="6F2E3EBD"/>
    <w:rsid w:val="6F5F8FCB"/>
    <w:rsid w:val="6F7DF52C"/>
    <w:rsid w:val="6F7ED990"/>
    <w:rsid w:val="6FAA3E8C"/>
    <w:rsid w:val="6FB42615"/>
    <w:rsid w:val="6FB5AA4E"/>
    <w:rsid w:val="6FBF9882"/>
    <w:rsid w:val="6FCFF9F8"/>
    <w:rsid w:val="6FDD7026"/>
    <w:rsid w:val="6FE780F4"/>
    <w:rsid w:val="6FED4112"/>
    <w:rsid w:val="6FF7284A"/>
    <w:rsid w:val="6FFBC3CB"/>
    <w:rsid w:val="6FFE65BF"/>
    <w:rsid w:val="6FFF2F0F"/>
    <w:rsid w:val="6FFF4438"/>
    <w:rsid w:val="6FFFC77E"/>
    <w:rsid w:val="6FFFFE98"/>
    <w:rsid w:val="70A64653"/>
    <w:rsid w:val="70AE52B6"/>
    <w:rsid w:val="70EC5DDE"/>
    <w:rsid w:val="70FD7FEB"/>
    <w:rsid w:val="71784FCD"/>
    <w:rsid w:val="71864485"/>
    <w:rsid w:val="7193DF04"/>
    <w:rsid w:val="71F15DA2"/>
    <w:rsid w:val="722A4E10"/>
    <w:rsid w:val="722C0B88"/>
    <w:rsid w:val="723ED12D"/>
    <w:rsid w:val="724F000B"/>
    <w:rsid w:val="72620A4E"/>
    <w:rsid w:val="72842772"/>
    <w:rsid w:val="72AA7CFF"/>
    <w:rsid w:val="72CFC69E"/>
    <w:rsid w:val="72EF7C9A"/>
    <w:rsid w:val="72FF0251"/>
    <w:rsid w:val="73661E78"/>
    <w:rsid w:val="73679990"/>
    <w:rsid w:val="7375030D"/>
    <w:rsid w:val="737B58BC"/>
    <w:rsid w:val="737FE521"/>
    <w:rsid w:val="73AF31E2"/>
    <w:rsid w:val="73AF6D22"/>
    <w:rsid w:val="73E84F83"/>
    <w:rsid w:val="73EE7B89"/>
    <w:rsid w:val="73F684EF"/>
    <w:rsid w:val="73FD3630"/>
    <w:rsid w:val="73FE9E15"/>
    <w:rsid w:val="73FF119D"/>
    <w:rsid w:val="74980757"/>
    <w:rsid w:val="74DD43BC"/>
    <w:rsid w:val="74FD4A5E"/>
    <w:rsid w:val="74FECEA0"/>
    <w:rsid w:val="7563248A"/>
    <w:rsid w:val="75AC1927"/>
    <w:rsid w:val="75AE7B06"/>
    <w:rsid w:val="75CF01A8"/>
    <w:rsid w:val="75DF50FB"/>
    <w:rsid w:val="75DFBE98"/>
    <w:rsid w:val="75DFEF4D"/>
    <w:rsid w:val="75EDD22B"/>
    <w:rsid w:val="75EFDCB2"/>
    <w:rsid w:val="75FECD59"/>
    <w:rsid w:val="75FFE0BD"/>
    <w:rsid w:val="760E6FCC"/>
    <w:rsid w:val="762471F0"/>
    <w:rsid w:val="7698DAC5"/>
    <w:rsid w:val="76A827A7"/>
    <w:rsid w:val="76AF0C82"/>
    <w:rsid w:val="76DD9BD6"/>
    <w:rsid w:val="76F65C09"/>
    <w:rsid w:val="76F7FED2"/>
    <w:rsid w:val="76F8E407"/>
    <w:rsid w:val="76FEE4C9"/>
    <w:rsid w:val="7735553D"/>
    <w:rsid w:val="77383B2B"/>
    <w:rsid w:val="773D64A1"/>
    <w:rsid w:val="7746449A"/>
    <w:rsid w:val="775EFA84"/>
    <w:rsid w:val="776787C6"/>
    <w:rsid w:val="779F36F4"/>
    <w:rsid w:val="779F6C27"/>
    <w:rsid w:val="77B93B6C"/>
    <w:rsid w:val="77BC650A"/>
    <w:rsid w:val="77BD5C33"/>
    <w:rsid w:val="77D4A9EB"/>
    <w:rsid w:val="77D921C2"/>
    <w:rsid w:val="77E1D5E9"/>
    <w:rsid w:val="77F6053D"/>
    <w:rsid w:val="77FFEA6F"/>
    <w:rsid w:val="78212811"/>
    <w:rsid w:val="782F4065"/>
    <w:rsid w:val="78650950"/>
    <w:rsid w:val="787D038F"/>
    <w:rsid w:val="78C7FE64"/>
    <w:rsid w:val="794E7636"/>
    <w:rsid w:val="795EC16F"/>
    <w:rsid w:val="7977AF56"/>
    <w:rsid w:val="797F4C93"/>
    <w:rsid w:val="798E74C6"/>
    <w:rsid w:val="79ABBADA"/>
    <w:rsid w:val="79B17BC5"/>
    <w:rsid w:val="79E7F1DD"/>
    <w:rsid w:val="7A7F3138"/>
    <w:rsid w:val="7AB7EB1E"/>
    <w:rsid w:val="7ACC6434"/>
    <w:rsid w:val="7AE71992"/>
    <w:rsid w:val="7AEA2F70"/>
    <w:rsid w:val="7AFD6FD3"/>
    <w:rsid w:val="7AFF9993"/>
    <w:rsid w:val="7AFFA90B"/>
    <w:rsid w:val="7B5BEC98"/>
    <w:rsid w:val="7B6DBE75"/>
    <w:rsid w:val="7B77B026"/>
    <w:rsid w:val="7B7A37B2"/>
    <w:rsid w:val="7B7D49B6"/>
    <w:rsid w:val="7BAFE6EE"/>
    <w:rsid w:val="7BBE17C2"/>
    <w:rsid w:val="7BBF881E"/>
    <w:rsid w:val="7BBFB743"/>
    <w:rsid w:val="7BDA2AD7"/>
    <w:rsid w:val="7BEB7F41"/>
    <w:rsid w:val="7BF1D42F"/>
    <w:rsid w:val="7BFE26BE"/>
    <w:rsid w:val="7BFEB6A3"/>
    <w:rsid w:val="7C1D75EA"/>
    <w:rsid w:val="7C5F0527"/>
    <w:rsid w:val="7CBC0D5A"/>
    <w:rsid w:val="7CBDE9E1"/>
    <w:rsid w:val="7CD7AA68"/>
    <w:rsid w:val="7CE21AF1"/>
    <w:rsid w:val="7CFB6134"/>
    <w:rsid w:val="7D1110A6"/>
    <w:rsid w:val="7DBE8C3C"/>
    <w:rsid w:val="7DBF1FD5"/>
    <w:rsid w:val="7DCEBD42"/>
    <w:rsid w:val="7DDFF4E5"/>
    <w:rsid w:val="7DE467BB"/>
    <w:rsid w:val="7DEB19D5"/>
    <w:rsid w:val="7DEFA70F"/>
    <w:rsid w:val="7DEFD8D3"/>
    <w:rsid w:val="7DF78C72"/>
    <w:rsid w:val="7DF7BB32"/>
    <w:rsid w:val="7DFF149C"/>
    <w:rsid w:val="7DFF3F83"/>
    <w:rsid w:val="7E260B81"/>
    <w:rsid w:val="7E6740C8"/>
    <w:rsid w:val="7E9001B0"/>
    <w:rsid w:val="7EC3BAB9"/>
    <w:rsid w:val="7ED724E7"/>
    <w:rsid w:val="7ED988F9"/>
    <w:rsid w:val="7EDFDADB"/>
    <w:rsid w:val="7EEC1DCB"/>
    <w:rsid w:val="7EEEBCE9"/>
    <w:rsid w:val="7EEECB03"/>
    <w:rsid w:val="7EEF79C9"/>
    <w:rsid w:val="7EEFFD2C"/>
    <w:rsid w:val="7EF5EA6D"/>
    <w:rsid w:val="7EF6AB07"/>
    <w:rsid w:val="7EFF7623"/>
    <w:rsid w:val="7EFFA93F"/>
    <w:rsid w:val="7F2350C1"/>
    <w:rsid w:val="7F2F1651"/>
    <w:rsid w:val="7F3BE235"/>
    <w:rsid w:val="7F5E82C7"/>
    <w:rsid w:val="7F5F143D"/>
    <w:rsid w:val="7F7B61CC"/>
    <w:rsid w:val="7F7DC2A8"/>
    <w:rsid w:val="7F7F7BF0"/>
    <w:rsid w:val="7F7F9D81"/>
    <w:rsid w:val="7F842003"/>
    <w:rsid w:val="7F9E42FF"/>
    <w:rsid w:val="7F9F3C65"/>
    <w:rsid w:val="7FA06711"/>
    <w:rsid w:val="7FAA57E2"/>
    <w:rsid w:val="7FAF4BE0"/>
    <w:rsid w:val="7FB752F3"/>
    <w:rsid w:val="7FBEB43F"/>
    <w:rsid w:val="7FBF4B67"/>
    <w:rsid w:val="7FBFD320"/>
    <w:rsid w:val="7FC7DF0B"/>
    <w:rsid w:val="7FCE5685"/>
    <w:rsid w:val="7FCE5711"/>
    <w:rsid w:val="7FCFADD2"/>
    <w:rsid w:val="7FD304E2"/>
    <w:rsid w:val="7FD591CF"/>
    <w:rsid w:val="7FD7B602"/>
    <w:rsid w:val="7FD7E206"/>
    <w:rsid w:val="7FD8D6A2"/>
    <w:rsid w:val="7FDE0C05"/>
    <w:rsid w:val="7FDE2F64"/>
    <w:rsid w:val="7FDFE301"/>
    <w:rsid w:val="7FDFED28"/>
    <w:rsid w:val="7FE3E55B"/>
    <w:rsid w:val="7FE6FB0C"/>
    <w:rsid w:val="7FEBDDC1"/>
    <w:rsid w:val="7FEF212D"/>
    <w:rsid w:val="7FEF3826"/>
    <w:rsid w:val="7FEFA5A4"/>
    <w:rsid w:val="7FF696FF"/>
    <w:rsid w:val="7FF727C4"/>
    <w:rsid w:val="7FF7603C"/>
    <w:rsid w:val="7FFAE081"/>
    <w:rsid w:val="7FFC33F6"/>
    <w:rsid w:val="7FFCF036"/>
    <w:rsid w:val="7FFD94C1"/>
    <w:rsid w:val="7FFE3BD3"/>
    <w:rsid w:val="7FFE5089"/>
    <w:rsid w:val="7FFF0785"/>
    <w:rsid w:val="7FFFBE81"/>
    <w:rsid w:val="834F2A86"/>
    <w:rsid w:val="89D77C92"/>
    <w:rsid w:val="8B741B8B"/>
    <w:rsid w:val="8BDEE8B1"/>
    <w:rsid w:val="8BFC806D"/>
    <w:rsid w:val="8CFAF2E1"/>
    <w:rsid w:val="8DFA84B6"/>
    <w:rsid w:val="8EF7CD94"/>
    <w:rsid w:val="8FD38B8D"/>
    <w:rsid w:val="90FFD947"/>
    <w:rsid w:val="95BD3F1D"/>
    <w:rsid w:val="95FE156E"/>
    <w:rsid w:val="96ACF153"/>
    <w:rsid w:val="975ABFE8"/>
    <w:rsid w:val="97A7DC5C"/>
    <w:rsid w:val="97DB4184"/>
    <w:rsid w:val="97FF68CA"/>
    <w:rsid w:val="9CA9D509"/>
    <w:rsid w:val="9CF38D51"/>
    <w:rsid w:val="9D6F9EA2"/>
    <w:rsid w:val="9D7EE4D2"/>
    <w:rsid w:val="9EFBC670"/>
    <w:rsid w:val="9F5F2913"/>
    <w:rsid w:val="9FFD6D4A"/>
    <w:rsid w:val="9FFDDABA"/>
    <w:rsid w:val="A13FDF24"/>
    <w:rsid w:val="A7BD580D"/>
    <w:rsid w:val="A7FBF7CD"/>
    <w:rsid w:val="AB76458E"/>
    <w:rsid w:val="ABF746F9"/>
    <w:rsid w:val="AD7375C2"/>
    <w:rsid w:val="ADBB8B31"/>
    <w:rsid w:val="AEBFBC03"/>
    <w:rsid w:val="AED73736"/>
    <w:rsid w:val="AEED6C88"/>
    <w:rsid w:val="AEEE43FB"/>
    <w:rsid w:val="AF692E14"/>
    <w:rsid w:val="AFD63576"/>
    <w:rsid w:val="B1FB9211"/>
    <w:rsid w:val="B2AFC4D5"/>
    <w:rsid w:val="B2F7C092"/>
    <w:rsid w:val="B2FD0D15"/>
    <w:rsid w:val="B3572DDD"/>
    <w:rsid w:val="B3BFD0D5"/>
    <w:rsid w:val="B3DAADBD"/>
    <w:rsid w:val="B4BF48C1"/>
    <w:rsid w:val="B6FF32BB"/>
    <w:rsid w:val="B6FFC3C8"/>
    <w:rsid w:val="B7F391DB"/>
    <w:rsid w:val="B7F767B0"/>
    <w:rsid w:val="B7FD4D53"/>
    <w:rsid w:val="B8BF88A7"/>
    <w:rsid w:val="B91F77CA"/>
    <w:rsid w:val="B9E6DC34"/>
    <w:rsid w:val="B9F32F87"/>
    <w:rsid w:val="BAF24FA0"/>
    <w:rsid w:val="BB5F5332"/>
    <w:rsid w:val="BBD78633"/>
    <w:rsid w:val="BBDD21C9"/>
    <w:rsid w:val="BBDDB9C3"/>
    <w:rsid w:val="BBDF653E"/>
    <w:rsid w:val="BBEB9718"/>
    <w:rsid w:val="BC4F1176"/>
    <w:rsid w:val="BCAE1833"/>
    <w:rsid w:val="BCBDA2FE"/>
    <w:rsid w:val="BDB6512C"/>
    <w:rsid w:val="BE3F87F4"/>
    <w:rsid w:val="BE746278"/>
    <w:rsid w:val="BED5F90F"/>
    <w:rsid w:val="BEDF5CFC"/>
    <w:rsid w:val="BEEFB54B"/>
    <w:rsid w:val="BF1BFF03"/>
    <w:rsid w:val="BF27AB34"/>
    <w:rsid w:val="BF27B5E2"/>
    <w:rsid w:val="BF57E69C"/>
    <w:rsid w:val="BF590C7E"/>
    <w:rsid w:val="BF6B9393"/>
    <w:rsid w:val="BF6F3D36"/>
    <w:rsid w:val="BF7FCF78"/>
    <w:rsid w:val="BF9327CB"/>
    <w:rsid w:val="BF97D94E"/>
    <w:rsid w:val="BFA7A939"/>
    <w:rsid w:val="BFAB9100"/>
    <w:rsid w:val="BFAF0166"/>
    <w:rsid w:val="BFB7C4C3"/>
    <w:rsid w:val="BFD79EA1"/>
    <w:rsid w:val="BFDFCCCC"/>
    <w:rsid w:val="BFEC5BE1"/>
    <w:rsid w:val="BFFB3493"/>
    <w:rsid w:val="BFFDA9C7"/>
    <w:rsid w:val="BFFE8249"/>
    <w:rsid w:val="BFFED25D"/>
    <w:rsid w:val="BFFF8898"/>
    <w:rsid w:val="C3D7B23B"/>
    <w:rsid w:val="C6A6A721"/>
    <w:rsid w:val="C7A2338E"/>
    <w:rsid w:val="C8E46F35"/>
    <w:rsid w:val="CB778293"/>
    <w:rsid w:val="CBC57851"/>
    <w:rsid w:val="CBF7179B"/>
    <w:rsid w:val="CDBE0630"/>
    <w:rsid w:val="CDEE9670"/>
    <w:rsid w:val="CDF9FA1B"/>
    <w:rsid w:val="CDFD6AFD"/>
    <w:rsid w:val="CDFF1DEA"/>
    <w:rsid w:val="CEFD3DFE"/>
    <w:rsid w:val="CEFF47B4"/>
    <w:rsid w:val="CF5987E7"/>
    <w:rsid w:val="CF5F4F3F"/>
    <w:rsid w:val="CF7E7CB9"/>
    <w:rsid w:val="CFBF61E4"/>
    <w:rsid w:val="CFDF5F31"/>
    <w:rsid w:val="CFEEEB2D"/>
    <w:rsid w:val="CFF90681"/>
    <w:rsid w:val="CFFF6271"/>
    <w:rsid w:val="D1FFDC43"/>
    <w:rsid w:val="D37F0702"/>
    <w:rsid w:val="D3BF440A"/>
    <w:rsid w:val="D3FE29DB"/>
    <w:rsid w:val="D53EF25A"/>
    <w:rsid w:val="D5761DB6"/>
    <w:rsid w:val="D5AE936D"/>
    <w:rsid w:val="D5D6C1B7"/>
    <w:rsid w:val="D730F752"/>
    <w:rsid w:val="D77F6B26"/>
    <w:rsid w:val="D7D7342E"/>
    <w:rsid w:val="D7DBE929"/>
    <w:rsid w:val="D7F74800"/>
    <w:rsid w:val="D7FB387D"/>
    <w:rsid w:val="D7FD355A"/>
    <w:rsid w:val="D7FF40FC"/>
    <w:rsid w:val="D9CF6075"/>
    <w:rsid w:val="DA7B1086"/>
    <w:rsid w:val="DB2F4BC6"/>
    <w:rsid w:val="DB5C804C"/>
    <w:rsid w:val="DBB7D260"/>
    <w:rsid w:val="DBB937F8"/>
    <w:rsid w:val="DBBDA332"/>
    <w:rsid w:val="DBCB4F6B"/>
    <w:rsid w:val="DBEB572E"/>
    <w:rsid w:val="DBECBC4B"/>
    <w:rsid w:val="DBF70E86"/>
    <w:rsid w:val="DC3F3CB8"/>
    <w:rsid w:val="DC6E7BB1"/>
    <w:rsid w:val="DC7E9219"/>
    <w:rsid w:val="DCA7B471"/>
    <w:rsid w:val="DCBB5E1C"/>
    <w:rsid w:val="DCBF7420"/>
    <w:rsid w:val="DCFFA541"/>
    <w:rsid w:val="DD1BEF38"/>
    <w:rsid w:val="DD864F72"/>
    <w:rsid w:val="DDB52D2E"/>
    <w:rsid w:val="DDD7057A"/>
    <w:rsid w:val="DDED3571"/>
    <w:rsid w:val="DDFEDF5B"/>
    <w:rsid w:val="DDFF0961"/>
    <w:rsid w:val="DE57E163"/>
    <w:rsid w:val="DE77BFCD"/>
    <w:rsid w:val="DE7F72ED"/>
    <w:rsid w:val="DEFFAF96"/>
    <w:rsid w:val="DF5F7D1B"/>
    <w:rsid w:val="DF77D5E2"/>
    <w:rsid w:val="DF7F20E6"/>
    <w:rsid w:val="DF9BBA59"/>
    <w:rsid w:val="DFADCB43"/>
    <w:rsid w:val="DFB6B3EC"/>
    <w:rsid w:val="DFBF019B"/>
    <w:rsid w:val="DFF6CE59"/>
    <w:rsid w:val="DFFA85B1"/>
    <w:rsid w:val="DFFD05FB"/>
    <w:rsid w:val="DFFF64DD"/>
    <w:rsid w:val="E3A3B699"/>
    <w:rsid w:val="E3E64DDB"/>
    <w:rsid w:val="E45F811D"/>
    <w:rsid w:val="E4B5BBCE"/>
    <w:rsid w:val="E4BFAF2E"/>
    <w:rsid w:val="E6BB9A89"/>
    <w:rsid w:val="E6F1115A"/>
    <w:rsid w:val="E6FD2183"/>
    <w:rsid w:val="E73DE373"/>
    <w:rsid w:val="E7BD1D67"/>
    <w:rsid w:val="E7DD730C"/>
    <w:rsid w:val="E899982F"/>
    <w:rsid w:val="E8FFBCC5"/>
    <w:rsid w:val="EAE2CB3F"/>
    <w:rsid w:val="EAEF59DB"/>
    <w:rsid w:val="EB9FF552"/>
    <w:rsid w:val="EBB49313"/>
    <w:rsid w:val="EBBD93D7"/>
    <w:rsid w:val="EBEE3DC1"/>
    <w:rsid w:val="EBF786A6"/>
    <w:rsid w:val="EBFFD616"/>
    <w:rsid w:val="ED5F964F"/>
    <w:rsid w:val="ED5FC81B"/>
    <w:rsid w:val="ED7FEBF5"/>
    <w:rsid w:val="ED8DCCCD"/>
    <w:rsid w:val="EDBF3FC7"/>
    <w:rsid w:val="EDDA6D05"/>
    <w:rsid w:val="EDEF0F17"/>
    <w:rsid w:val="EDF81660"/>
    <w:rsid w:val="EDFB2FD4"/>
    <w:rsid w:val="EDFF6A48"/>
    <w:rsid w:val="EEBFA291"/>
    <w:rsid w:val="EEC46FFC"/>
    <w:rsid w:val="EEDD0289"/>
    <w:rsid w:val="EF7B8FDD"/>
    <w:rsid w:val="EF990278"/>
    <w:rsid w:val="EFD520FB"/>
    <w:rsid w:val="EFD54837"/>
    <w:rsid w:val="EFDDB8CF"/>
    <w:rsid w:val="EFE72867"/>
    <w:rsid w:val="EFE7C50B"/>
    <w:rsid w:val="EFEFAEC9"/>
    <w:rsid w:val="EFF86075"/>
    <w:rsid w:val="EFF95917"/>
    <w:rsid w:val="EFFBA1FF"/>
    <w:rsid w:val="EFFEBA95"/>
    <w:rsid w:val="F01F1953"/>
    <w:rsid w:val="F13F68EB"/>
    <w:rsid w:val="F18E7292"/>
    <w:rsid w:val="F20FA9B7"/>
    <w:rsid w:val="F32FBBBE"/>
    <w:rsid w:val="F3590022"/>
    <w:rsid w:val="F37EF2C2"/>
    <w:rsid w:val="F3BF9B0F"/>
    <w:rsid w:val="F3DB4EB0"/>
    <w:rsid w:val="F3DFB948"/>
    <w:rsid w:val="F3E3863A"/>
    <w:rsid w:val="F3FF1837"/>
    <w:rsid w:val="F3FF4F91"/>
    <w:rsid w:val="F53FB17B"/>
    <w:rsid w:val="F57EF4F1"/>
    <w:rsid w:val="F5FA6DD9"/>
    <w:rsid w:val="F5FF22F7"/>
    <w:rsid w:val="F5FF4F90"/>
    <w:rsid w:val="F67753C5"/>
    <w:rsid w:val="F6B77D64"/>
    <w:rsid w:val="F6BBD714"/>
    <w:rsid w:val="F6D73263"/>
    <w:rsid w:val="F6DEA835"/>
    <w:rsid w:val="F6F8CC9A"/>
    <w:rsid w:val="F6FD4848"/>
    <w:rsid w:val="F6FFA7DF"/>
    <w:rsid w:val="F76B228E"/>
    <w:rsid w:val="F78D3AE3"/>
    <w:rsid w:val="F78F1BAA"/>
    <w:rsid w:val="F7BDD3F4"/>
    <w:rsid w:val="F7D613D1"/>
    <w:rsid w:val="F7DD73B3"/>
    <w:rsid w:val="F7DFA735"/>
    <w:rsid w:val="F7DFAFC9"/>
    <w:rsid w:val="F7EBC2EA"/>
    <w:rsid w:val="F7EF6A70"/>
    <w:rsid w:val="F7FA12DB"/>
    <w:rsid w:val="F7FB0D95"/>
    <w:rsid w:val="F7FE3947"/>
    <w:rsid w:val="F7FEBB75"/>
    <w:rsid w:val="F91D3C0E"/>
    <w:rsid w:val="F937ED0E"/>
    <w:rsid w:val="F93ADAD1"/>
    <w:rsid w:val="F95BFD11"/>
    <w:rsid w:val="F9B65EA0"/>
    <w:rsid w:val="F9B666BD"/>
    <w:rsid w:val="F9BDB2E0"/>
    <w:rsid w:val="F9CD738E"/>
    <w:rsid w:val="F9DD81F6"/>
    <w:rsid w:val="F9E5F139"/>
    <w:rsid w:val="F9EB9F38"/>
    <w:rsid w:val="F9EFE829"/>
    <w:rsid w:val="F9F868B3"/>
    <w:rsid w:val="F9FED98E"/>
    <w:rsid w:val="FA3F8E47"/>
    <w:rsid w:val="FA6F2729"/>
    <w:rsid w:val="FAEFAC52"/>
    <w:rsid w:val="FAF73115"/>
    <w:rsid w:val="FAF858E3"/>
    <w:rsid w:val="FAFFE3FA"/>
    <w:rsid w:val="FB1F8827"/>
    <w:rsid w:val="FB3D0305"/>
    <w:rsid w:val="FB5B1FCF"/>
    <w:rsid w:val="FB6AB8B9"/>
    <w:rsid w:val="FB8CEB30"/>
    <w:rsid w:val="FBBEA34E"/>
    <w:rsid w:val="FBBF8993"/>
    <w:rsid w:val="FBD3C310"/>
    <w:rsid w:val="FBDEAE2E"/>
    <w:rsid w:val="FBF703DF"/>
    <w:rsid w:val="FBF7DE25"/>
    <w:rsid w:val="FBF7FC19"/>
    <w:rsid w:val="FBF80D12"/>
    <w:rsid w:val="FBFD1481"/>
    <w:rsid w:val="FBFD741A"/>
    <w:rsid w:val="FBFF04D1"/>
    <w:rsid w:val="FBFF0E91"/>
    <w:rsid w:val="FBFF5907"/>
    <w:rsid w:val="FBFF8179"/>
    <w:rsid w:val="FC9BD712"/>
    <w:rsid w:val="FCBFD7AE"/>
    <w:rsid w:val="FCCED85A"/>
    <w:rsid w:val="FCFBF961"/>
    <w:rsid w:val="FCFE0808"/>
    <w:rsid w:val="FCFF09FA"/>
    <w:rsid w:val="FD1B5CE4"/>
    <w:rsid w:val="FD472489"/>
    <w:rsid w:val="FD5E0F09"/>
    <w:rsid w:val="FD6FCD65"/>
    <w:rsid w:val="FD933175"/>
    <w:rsid w:val="FDB7C38D"/>
    <w:rsid w:val="FDD6681A"/>
    <w:rsid w:val="FDDBE09C"/>
    <w:rsid w:val="FDDF01F6"/>
    <w:rsid w:val="FDE85AF6"/>
    <w:rsid w:val="FDEF071B"/>
    <w:rsid w:val="FDF436FA"/>
    <w:rsid w:val="FDF450FF"/>
    <w:rsid w:val="FDFD7973"/>
    <w:rsid w:val="FDFD8DF1"/>
    <w:rsid w:val="FDFDDA31"/>
    <w:rsid w:val="FDFF927E"/>
    <w:rsid w:val="FDFFBDD5"/>
    <w:rsid w:val="FE3F9858"/>
    <w:rsid w:val="FE77D535"/>
    <w:rsid w:val="FE77F6F4"/>
    <w:rsid w:val="FE7F254A"/>
    <w:rsid w:val="FE7FEF29"/>
    <w:rsid w:val="FEBC8647"/>
    <w:rsid w:val="FEDE719C"/>
    <w:rsid w:val="FEDFDA82"/>
    <w:rsid w:val="FEDFFA6E"/>
    <w:rsid w:val="FEF0BB62"/>
    <w:rsid w:val="FEF4CB49"/>
    <w:rsid w:val="FEF7108F"/>
    <w:rsid w:val="FEFB7A07"/>
    <w:rsid w:val="FEFDE808"/>
    <w:rsid w:val="FEFF16A8"/>
    <w:rsid w:val="FEFF9828"/>
    <w:rsid w:val="FF1A073E"/>
    <w:rsid w:val="FF2D0D99"/>
    <w:rsid w:val="FF57DFCD"/>
    <w:rsid w:val="FF5E8AB6"/>
    <w:rsid w:val="FF656A40"/>
    <w:rsid w:val="FF75D2C6"/>
    <w:rsid w:val="FF76697E"/>
    <w:rsid w:val="FF77B89A"/>
    <w:rsid w:val="FF77FA09"/>
    <w:rsid w:val="FF792072"/>
    <w:rsid w:val="FF7B1149"/>
    <w:rsid w:val="FF7BCFF0"/>
    <w:rsid w:val="FF7DDD29"/>
    <w:rsid w:val="FFAF2B8A"/>
    <w:rsid w:val="FFAFDD52"/>
    <w:rsid w:val="FFB51245"/>
    <w:rsid w:val="FFBF23E7"/>
    <w:rsid w:val="FFBF9183"/>
    <w:rsid w:val="FFC1BF9A"/>
    <w:rsid w:val="FFC557D2"/>
    <w:rsid w:val="FFCFAC9B"/>
    <w:rsid w:val="FFD6C772"/>
    <w:rsid w:val="FFDEF3B7"/>
    <w:rsid w:val="FFDF7A73"/>
    <w:rsid w:val="FFE3FC9C"/>
    <w:rsid w:val="FFE68B4D"/>
    <w:rsid w:val="FFEC01EE"/>
    <w:rsid w:val="FFED649B"/>
    <w:rsid w:val="FFEDFFE4"/>
    <w:rsid w:val="FFEF4178"/>
    <w:rsid w:val="FFF1326E"/>
    <w:rsid w:val="FFF21259"/>
    <w:rsid w:val="FFF36C47"/>
    <w:rsid w:val="FFF6310A"/>
    <w:rsid w:val="FFF6DC2F"/>
    <w:rsid w:val="FFF7942D"/>
    <w:rsid w:val="FFF86A11"/>
    <w:rsid w:val="FFFAC368"/>
    <w:rsid w:val="FFFC98EB"/>
    <w:rsid w:val="FFFDFBC6"/>
    <w:rsid w:val="FFFE4EFB"/>
    <w:rsid w:val="FFFE545D"/>
    <w:rsid w:val="FFFF2A98"/>
    <w:rsid w:val="FFFF6200"/>
    <w:rsid w:val="FFFF6705"/>
    <w:rsid w:val="FFFFC86F"/>
    <w:rsid w:val="FFFFE9C5"/>
    <w:rsid w:val="FFFFF5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jc w:val="center"/>
      <w:outlineLvl w:val="0"/>
    </w:pPr>
    <w:rPr>
      <w:b/>
      <w:bCs/>
      <w:sz w:val="24"/>
      <w:szCs w:val="20"/>
    </w:rPr>
  </w:style>
  <w:style w:type="paragraph" w:styleId="3">
    <w:name w:val="heading 2"/>
    <w:basedOn w:val="1"/>
    <w:next w:val="1"/>
    <w:qFormat/>
    <w:uiPriority w:val="1"/>
    <w:pPr>
      <w:spacing w:before="209"/>
      <w:ind w:left="120"/>
      <w:outlineLvl w:val="1"/>
    </w:pPr>
    <w:rPr>
      <w:b/>
      <w:bCs/>
      <w:sz w:val="28"/>
      <w:szCs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after="120"/>
    </w:pPr>
    <w:rPr>
      <w:rFonts w:ascii="Calibri" w:hAnsi="Calibri"/>
    </w:rPr>
  </w:style>
  <w:style w:type="paragraph" w:customStyle="1" w:styleId="5">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6">
    <w:name w:val="Body Text Indent"/>
    <w:basedOn w:val="1"/>
    <w:qFormat/>
    <w:uiPriority w:val="0"/>
    <w:pPr>
      <w:spacing w:after="12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0">
    <w:name w:val="Body Text First Indent 2"/>
    <w:basedOn w:val="6"/>
    <w:qFormat/>
    <w:uiPriority w:val="99"/>
    <w:pPr>
      <w:ind w:firstLine="420" w:firstLineChars="200"/>
    </w:pPr>
  </w:style>
  <w:style w:type="paragraph" w:customStyle="1" w:styleId="13">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
    <w:name w:val="font21"/>
    <w:basedOn w:val="12"/>
    <w:qFormat/>
    <w:uiPriority w:val="0"/>
    <w:rPr>
      <w:rFonts w:hint="eastAsia" w:ascii="宋体" w:hAnsi="宋体" w:eastAsia="宋体" w:cs="宋体"/>
      <w:color w:val="000000"/>
      <w:sz w:val="21"/>
      <w:szCs w:val="21"/>
      <w:u w:val="none"/>
    </w:rPr>
  </w:style>
  <w:style w:type="character" w:customStyle="1" w:styleId="17">
    <w:name w:val="font61"/>
    <w:basedOn w:val="12"/>
    <w:qFormat/>
    <w:uiPriority w:val="0"/>
    <w:rPr>
      <w:rFonts w:hint="default" w:ascii="Times New Roman" w:hAnsi="Times New Roman" w:cs="Times New Roman"/>
      <w:color w:val="000000"/>
      <w:sz w:val="21"/>
      <w:szCs w:val="21"/>
      <w:u w:val="none"/>
    </w:rPr>
  </w:style>
  <w:style w:type="paragraph" w:customStyle="1" w:styleId="18">
    <w:name w:val="列出段落1"/>
    <w:basedOn w:val="19"/>
    <w:qFormat/>
    <w:uiPriority w:val="99"/>
    <w:pPr>
      <w:ind w:firstLine="420" w:firstLineChars="200"/>
    </w:pPr>
    <w:rPr>
      <w:szCs w:val="21"/>
    </w:rPr>
  </w:style>
  <w:style w:type="paragraph" w:customStyle="1" w:styleId="19">
    <w:name w:val="正文_10_43"/>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9381</Words>
  <Characters>10021</Characters>
  <Lines>0</Lines>
  <Paragraphs>0</Paragraphs>
  <TotalTime>0</TotalTime>
  <ScaleCrop>false</ScaleCrop>
  <LinksUpToDate>false</LinksUpToDate>
  <CharactersWithSpaces>10319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2025-09-29T20:16:00Z</dcterms:created>
  <dc:creator>飞鸿</dc:creator>
  <cp:lastModifiedBy>颜颜</cp:lastModifiedBy>
  <dcterms:modified xsi:type="dcterms:W3CDTF">2026-10-26T06:58:21Z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0F9CCED09C3742C2B1F0BF58EE3139BB_13</vt:lpwstr>
  </property>
  <property fmtid="{D5CDD505-2E9C-101B-9397-08002B2CF9AE}" pid="4" name="KSOTemplateDocerSaveRecord">
    <vt:lpwstr>eyJoZGlkIjoiOTZjM2E4ODMxYzk3YWRiOTUwY2JlMzc1NGI0ZjAyYzciLCJ1c2VySWQiOiIzNzI2Nzk4NDYifQ==</vt:lpwstr>
  </property>
</Properties>
</file>