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714C">
      <w:pPr>
        <w:keepNext/>
        <w:widowControl w:val="0"/>
        <w:numPr>
          <w:numId w:val="0"/>
        </w:numPr>
        <w:bidi w:val="0"/>
        <w:jc w:val="center"/>
        <w:outlineLvl w:val="0"/>
        <w:rPr>
          <w:rFonts w:hint="eastAsia" w:ascii="Times New Roman" w:hAnsi="Times New Roman" w:eastAsia="黑体" w:cs="Times New Roman"/>
          <w:b/>
          <w:bCs/>
          <w:kern w:val="44"/>
          <w:sz w:val="30"/>
          <w:szCs w:val="44"/>
          <w:lang w:val="en-US" w:eastAsia="zh-CN" w:bidi="ar-SA"/>
        </w:rPr>
      </w:pPr>
      <w:bookmarkStart w:id="4" w:name="_GoBack"/>
      <w:bookmarkEnd w:id="4"/>
      <w:bookmarkStart w:id="0" w:name="_Toc12932"/>
      <w:bookmarkStart w:id="1" w:name="_Toc21964"/>
      <w:bookmarkStart w:id="2" w:name="_Toc31749"/>
      <w:bookmarkStart w:id="3" w:name="_Toc4354"/>
      <w:r>
        <w:rPr>
          <w:rFonts w:hint="eastAsia" w:ascii="Times New Roman" w:hAnsi="Times New Roman" w:eastAsia="黑体" w:cs="Times New Roman"/>
          <w:b/>
          <w:bCs/>
          <w:kern w:val="44"/>
          <w:sz w:val="30"/>
          <w:szCs w:val="44"/>
          <w:lang w:val="en-US" w:eastAsia="zh-CN" w:bidi="ar-SA"/>
        </w:rPr>
        <w:t>采购需求</w:t>
      </w:r>
      <w:bookmarkEnd w:id="0"/>
      <w:bookmarkEnd w:id="1"/>
      <w:bookmarkEnd w:id="2"/>
      <w:bookmarkEnd w:id="3"/>
    </w:p>
    <w:p w14:paraId="17A3676E">
      <w:pPr>
        <w:rPr>
          <w:rFonts w:hint="eastAsia" w:ascii="Times New Roman" w:hAnsi="Times New Roman" w:eastAsia="宋体" w:cs="Times New Roman"/>
          <w:lang w:val="en-US" w:eastAsia="zh-CN"/>
        </w:rPr>
      </w:pPr>
    </w:p>
    <w:p w14:paraId="030130FC">
      <w:pPr>
        <w:pageBreakBefore w:val="0"/>
        <w:widowControl/>
        <w:spacing w:line="500" w:lineRule="exact"/>
        <w:ind w:firstLine="482"/>
        <w:jc w:val="left"/>
        <w:rPr>
          <w:rFonts w:ascii="新宋体" w:hAnsi="新宋体" w:eastAsia="宋体" w:cs="Times New Roman"/>
          <w:kern w:val="0"/>
          <w:sz w:val="22"/>
          <w:szCs w:val="22"/>
        </w:rPr>
      </w:pPr>
      <w:r>
        <w:rPr>
          <w:rFonts w:ascii="新宋体" w:hAnsi="新宋体" w:eastAsia="宋体" w:cs="Times New Roman"/>
          <w:b/>
          <w:kern w:val="0"/>
          <w:sz w:val="22"/>
          <w:szCs w:val="22"/>
        </w:rPr>
        <w:t>一、项目名称</w:t>
      </w:r>
      <w:r>
        <w:rPr>
          <w:rFonts w:ascii="新宋体" w:hAnsi="新宋体" w:eastAsia="宋体" w:cs="Times New Roman"/>
          <w:kern w:val="0"/>
          <w:sz w:val="22"/>
          <w:szCs w:val="22"/>
        </w:rPr>
        <w:t>: 临湘市城市体检项目</w:t>
      </w:r>
    </w:p>
    <w:p w14:paraId="458D96D5">
      <w:pPr>
        <w:pageBreakBefore w:val="0"/>
        <w:widowControl/>
        <w:spacing w:line="500" w:lineRule="exact"/>
        <w:ind w:firstLine="482"/>
        <w:jc w:val="left"/>
        <w:rPr>
          <w:rFonts w:ascii="新宋体" w:hAnsi="新宋体" w:eastAsia="宋体" w:cs="Times New Roman"/>
          <w:kern w:val="0"/>
          <w:sz w:val="22"/>
          <w:szCs w:val="22"/>
        </w:rPr>
      </w:pPr>
      <w:r>
        <w:rPr>
          <w:rFonts w:ascii="新宋体" w:hAnsi="新宋体" w:eastAsia="宋体" w:cs="Times New Roman"/>
          <w:b/>
          <w:kern w:val="0"/>
          <w:sz w:val="22"/>
          <w:szCs w:val="22"/>
        </w:rPr>
        <w:t>二、项目概况</w:t>
      </w:r>
      <w:r>
        <w:rPr>
          <w:rFonts w:ascii="新宋体" w:hAnsi="新宋体" w:eastAsia="宋体" w:cs="Times New Roman"/>
          <w:kern w:val="0"/>
          <w:sz w:val="22"/>
          <w:szCs w:val="22"/>
        </w:rPr>
        <w:t>:为落实中央城市工作会议关于实施城市更新行动的决策部署及国家部委相关工作通知、住房城乡建设部办公厅《关于深入开展2026年城市体检工作通知》(建办科〔2026〕16号)、湖南省住房和城乡建设厅《湖南省2026年城市体检工作方案》（湘建保函〔2026〕81号）工作要求，临湘市需对中心城区长安街道、五里街道、云湖街道三个街道范围开展城市体检。</w:t>
      </w:r>
    </w:p>
    <w:p w14:paraId="2D525F92">
      <w:pPr>
        <w:pageBreakBefore w:val="0"/>
        <w:widowControl/>
        <w:spacing w:line="500" w:lineRule="exact"/>
        <w:ind w:firstLine="482"/>
        <w:jc w:val="left"/>
        <w:rPr>
          <w:rFonts w:ascii="新宋体" w:hAnsi="新宋体" w:eastAsia="宋体" w:cs="Times New Roman"/>
          <w:b/>
          <w:kern w:val="0"/>
          <w:sz w:val="22"/>
          <w:szCs w:val="22"/>
        </w:rPr>
      </w:pPr>
      <w:r>
        <w:rPr>
          <w:rFonts w:ascii="新宋体" w:hAnsi="新宋体" w:eastAsia="宋体" w:cs="Times New Roman"/>
          <w:b/>
          <w:kern w:val="0"/>
          <w:sz w:val="22"/>
          <w:szCs w:val="22"/>
        </w:rPr>
        <w:t>三、规划范围和服务内容</w:t>
      </w:r>
    </w:p>
    <w:p w14:paraId="09B7F149">
      <w:pPr>
        <w:pageBreakBefore w:val="0"/>
        <w:widowControl/>
        <w:spacing w:line="500" w:lineRule="exact"/>
        <w:ind w:firstLine="482"/>
        <w:jc w:val="left"/>
        <w:rPr>
          <w:rFonts w:ascii="新宋体" w:hAnsi="新宋体" w:eastAsia="宋体" w:cs="Times New Roman"/>
          <w:b/>
          <w:kern w:val="0"/>
          <w:sz w:val="22"/>
          <w:szCs w:val="22"/>
        </w:rPr>
      </w:pPr>
      <w:r>
        <w:rPr>
          <w:rFonts w:ascii="新宋体" w:hAnsi="新宋体" w:eastAsia="宋体" w:cs="Times New Roman"/>
          <w:b/>
          <w:kern w:val="0"/>
          <w:sz w:val="22"/>
          <w:szCs w:val="22"/>
        </w:rPr>
        <w:t>1.规划范围：</w:t>
      </w:r>
    </w:p>
    <w:p w14:paraId="23290278">
      <w:pPr>
        <w:widowControl/>
        <w:spacing w:line="360" w:lineRule="auto"/>
        <w:ind w:firstLine="480"/>
        <w:jc w:val="left"/>
        <w:rPr>
          <w:rFonts w:ascii="宋体" w:hAnsi="宋体" w:eastAsia="宋体" w:cs="Times New Roman"/>
          <w:b/>
          <w:color w:val="000000"/>
          <w:kern w:val="0"/>
          <w:sz w:val="20"/>
          <w:szCs w:val="20"/>
        </w:rPr>
      </w:pPr>
      <w:r>
        <w:rPr>
          <w:rFonts w:ascii="新宋体" w:hAnsi="新宋体" w:eastAsia="宋体" w:cs="Times New Roman"/>
          <w:kern w:val="0"/>
          <w:sz w:val="22"/>
          <w:szCs w:val="22"/>
        </w:rPr>
        <w:t>本年度临湘市城市体检工作共包括住房、小区（社区）、街区、城区（城市）四个维度，其中，城区维度以中心城区建成区范围为主，个别指标</w:t>
      </w:r>
      <w:r>
        <w:rPr>
          <w:rFonts w:hint="eastAsia" w:ascii="新宋体" w:hAnsi="新宋体" w:eastAsia="宋体" w:cs="Times New Roman"/>
          <w:kern w:val="0"/>
          <w:sz w:val="22"/>
          <w:szCs w:val="22"/>
          <w:lang w:eastAsia="zh-CN"/>
        </w:rPr>
        <w:t>范围</w:t>
      </w:r>
      <w:r>
        <w:rPr>
          <w:rFonts w:ascii="新宋体" w:hAnsi="新宋体" w:eastAsia="宋体" w:cs="Times New Roman"/>
          <w:kern w:val="0"/>
          <w:sz w:val="22"/>
          <w:szCs w:val="22"/>
        </w:rPr>
        <w:t>可</w:t>
      </w:r>
      <w:r>
        <w:rPr>
          <w:rFonts w:hint="eastAsia" w:ascii="新宋体" w:hAnsi="新宋体" w:eastAsia="宋体" w:cs="Times New Roman"/>
          <w:kern w:val="0"/>
          <w:sz w:val="22"/>
          <w:szCs w:val="22"/>
          <w:lang w:eastAsia="zh-CN"/>
        </w:rPr>
        <w:t>适当</w:t>
      </w:r>
      <w:r>
        <w:rPr>
          <w:rFonts w:ascii="新宋体" w:hAnsi="新宋体" w:eastAsia="宋体" w:cs="Times New Roman"/>
          <w:kern w:val="0"/>
          <w:sz w:val="22"/>
          <w:szCs w:val="22"/>
        </w:rPr>
        <w:t>扩展；街区维度体检范围包括中心城区涉及的长安街道、五里牌街道、云湖街道共3个街道；小区（社区）及住房维度体检对象为上述参检街道下辖的16个社区、白云矿及4个行政村</w:t>
      </w:r>
      <w:r>
        <w:rPr>
          <w:rFonts w:hint="eastAsia" w:ascii="新宋体" w:hAnsi="新宋体" w:eastAsia="宋体" w:cs="Times New Roman"/>
          <w:kern w:val="0"/>
          <w:sz w:val="22"/>
          <w:szCs w:val="22"/>
          <w:lang w:val="en-US" w:eastAsia="zh-CN"/>
        </w:rPr>
        <w:t>(自建房除外)</w:t>
      </w:r>
      <w:r>
        <w:rPr>
          <w:rFonts w:ascii="宋体" w:hAnsi="宋体" w:eastAsia="宋体" w:cs="Times New Roman"/>
          <w:kern w:val="0"/>
          <w:sz w:val="20"/>
          <w:szCs w:val="20"/>
        </w:rPr>
        <w:t>。</w:t>
      </w:r>
    </w:p>
    <w:p w14:paraId="3C750E80">
      <w:pPr>
        <w:widowControl/>
        <w:spacing w:line="360" w:lineRule="auto"/>
        <w:ind w:firstLine="241"/>
        <w:jc w:val="left"/>
        <w:rPr>
          <w:rFonts w:ascii="宋体" w:hAnsi="宋体" w:eastAsia="宋体" w:cs="Times New Roman"/>
          <w:b/>
          <w:color w:val="000000"/>
          <w:kern w:val="0"/>
          <w:sz w:val="22"/>
          <w:szCs w:val="22"/>
        </w:rPr>
      </w:pPr>
      <w:r>
        <w:rPr>
          <w:rFonts w:ascii="宋体" w:hAnsi="宋体" w:eastAsia="宋体" w:cs="Times New Roman"/>
          <w:b/>
          <w:color w:val="000000"/>
          <w:kern w:val="0"/>
          <w:sz w:val="22"/>
          <w:szCs w:val="22"/>
        </w:rPr>
        <w:t>2.服务内容：</w:t>
      </w:r>
    </w:p>
    <w:p w14:paraId="04BD8F18">
      <w:pPr>
        <w:widowControl/>
        <w:spacing w:line="360" w:lineRule="auto"/>
        <w:ind w:firstLine="241"/>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2.1建立体检指标体系</w:t>
      </w:r>
    </w:p>
    <w:p w14:paraId="6771742F">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以住建部《城市体检手册（试行）》2026年版中的住房、小区（社区）、街区、城区（城市）四大维度共计53项城市体检指标体系为基础，结合临湘市实际建设情况，从城市更新行动、历史文化保护等方面出发，量身制定临湘市体检特色指标，</w:t>
      </w:r>
      <w:r>
        <w:rPr>
          <w:rFonts w:hint="eastAsia" w:ascii="新宋体" w:hAnsi="新宋体" w:eastAsia="宋体" w:cs="Times New Roman"/>
          <w:kern w:val="0"/>
          <w:sz w:val="22"/>
          <w:szCs w:val="22"/>
          <w:lang w:eastAsia="zh-CN"/>
        </w:rPr>
        <w:t>开展完整社区建设等专项体检评估工作，在城市体检报告中形成若干临湘特色的专项评估，</w:t>
      </w:r>
      <w:r>
        <w:rPr>
          <w:rFonts w:ascii="新宋体" w:hAnsi="新宋体" w:eastAsia="宋体" w:cs="Times New Roman"/>
          <w:kern w:val="0"/>
          <w:sz w:val="22"/>
          <w:szCs w:val="22"/>
        </w:rPr>
        <w:t>构建形成具有临湘市地方特色的城市体检指标体系，并细化每项指标的体检内容获取方式、计算方法、评价标准、责任单位、数据要求等，全面做到可量化、可感知、可评价。</w:t>
      </w:r>
    </w:p>
    <w:p w14:paraId="559EB3A9">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2.2确定体检工作范围</w:t>
      </w:r>
    </w:p>
    <w:p w14:paraId="5AA739C5">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以城市更新需求为导向，以集中连片体检为原则开展临湘市年度体检工作，确定3个街道以及下辖16个社区、白云矿、4个行政村范围内的所有住房</w:t>
      </w:r>
      <w:r>
        <w:rPr>
          <w:rFonts w:hint="eastAsia" w:ascii="新宋体" w:hAnsi="新宋体" w:eastAsia="宋体" w:cs="Times New Roman"/>
          <w:kern w:val="0"/>
          <w:sz w:val="22"/>
          <w:szCs w:val="22"/>
          <w:lang w:eastAsia="zh-CN"/>
        </w:rPr>
        <w:t>（</w:t>
      </w:r>
      <w:r>
        <w:rPr>
          <w:rFonts w:hint="eastAsia" w:ascii="新宋体" w:hAnsi="新宋体" w:eastAsia="宋体" w:cs="Times New Roman"/>
          <w:kern w:val="0"/>
          <w:sz w:val="22"/>
          <w:szCs w:val="22"/>
          <w:lang w:val="en-US" w:eastAsia="zh-CN"/>
        </w:rPr>
        <w:t>集体土地上的</w:t>
      </w:r>
      <w:r>
        <w:rPr>
          <w:rFonts w:hint="eastAsia" w:ascii="新宋体" w:hAnsi="新宋体" w:eastAsia="宋体" w:cs="Times New Roman"/>
          <w:kern w:val="0"/>
          <w:sz w:val="22"/>
          <w:szCs w:val="22"/>
          <w:lang w:eastAsia="zh-CN"/>
        </w:rPr>
        <w:t>自建房除外）</w:t>
      </w:r>
      <w:r>
        <w:rPr>
          <w:rFonts w:ascii="新宋体" w:hAnsi="新宋体" w:eastAsia="宋体" w:cs="Times New Roman"/>
          <w:kern w:val="0"/>
          <w:sz w:val="22"/>
          <w:szCs w:val="22"/>
        </w:rPr>
        <w:t>作为参检对象，并在街道范围内实行住房、小区（社区）、街区维度体检全覆盖，具体见附表、附图。城区维度以</w:t>
      </w:r>
      <w:r>
        <w:rPr>
          <w:rFonts w:hint="eastAsia" w:ascii="新宋体" w:hAnsi="新宋体" w:eastAsia="宋体" w:cs="Times New Roman"/>
          <w:kern w:val="0"/>
          <w:sz w:val="22"/>
          <w:szCs w:val="22"/>
          <w:lang w:eastAsia="zh-CN"/>
        </w:rPr>
        <w:t>中心城区</w:t>
      </w:r>
      <w:r>
        <w:rPr>
          <w:rFonts w:ascii="新宋体" w:hAnsi="新宋体" w:eastAsia="宋体" w:cs="Times New Roman"/>
          <w:kern w:val="0"/>
          <w:sz w:val="22"/>
          <w:szCs w:val="22"/>
        </w:rPr>
        <w:t>建成区范围，个别指标</w:t>
      </w:r>
      <w:r>
        <w:rPr>
          <w:rFonts w:hint="eastAsia" w:ascii="新宋体" w:hAnsi="新宋体" w:eastAsia="宋体" w:cs="Times New Roman"/>
          <w:kern w:val="0"/>
          <w:sz w:val="22"/>
          <w:szCs w:val="22"/>
          <w:lang w:eastAsia="zh-CN"/>
        </w:rPr>
        <w:t>范围</w:t>
      </w:r>
      <w:r>
        <w:rPr>
          <w:rFonts w:ascii="新宋体" w:hAnsi="新宋体" w:eastAsia="宋体" w:cs="Times New Roman"/>
          <w:kern w:val="0"/>
          <w:sz w:val="22"/>
          <w:szCs w:val="22"/>
        </w:rPr>
        <w:t>可</w:t>
      </w:r>
      <w:r>
        <w:rPr>
          <w:rFonts w:hint="eastAsia" w:ascii="新宋体" w:hAnsi="新宋体" w:eastAsia="宋体" w:cs="Times New Roman"/>
          <w:kern w:val="0"/>
          <w:sz w:val="22"/>
          <w:szCs w:val="22"/>
          <w:lang w:eastAsia="zh-CN"/>
        </w:rPr>
        <w:t>适当</w:t>
      </w:r>
      <w:r>
        <w:rPr>
          <w:rFonts w:ascii="新宋体" w:hAnsi="新宋体" w:eastAsia="宋体" w:cs="Times New Roman"/>
          <w:kern w:val="0"/>
          <w:sz w:val="22"/>
          <w:szCs w:val="22"/>
        </w:rPr>
        <w:t>扩展。</w:t>
      </w:r>
    </w:p>
    <w:p w14:paraId="7A1BB6BE">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2.3开展住房维度体检</w:t>
      </w:r>
    </w:p>
    <w:p w14:paraId="78016062">
      <w:pPr>
        <w:widowControl/>
        <w:spacing w:line="360" w:lineRule="auto"/>
        <w:ind w:firstLine="440" w:firstLineChars="200"/>
        <w:jc w:val="left"/>
        <w:rPr>
          <w:rFonts w:ascii="宋体" w:hAnsi="宋体" w:eastAsia="宋体" w:cs="Times New Roman"/>
          <w:color w:val="000000"/>
          <w:kern w:val="0"/>
          <w:sz w:val="20"/>
          <w:szCs w:val="20"/>
        </w:rPr>
      </w:pPr>
      <w:r>
        <w:rPr>
          <w:rFonts w:ascii="新宋体" w:hAnsi="新宋体" w:eastAsia="宋体" w:cs="Times New Roman"/>
          <w:kern w:val="0"/>
          <w:sz w:val="22"/>
          <w:szCs w:val="22"/>
        </w:rPr>
        <w:t>从安全耐久、功能完备、绿色智能3个方面，开展房屋结构安全、管线管道、建筑节能等8项体检指标，形成以楼栋单元为索引的体检调查数据库，全面摸清房屋使用中存在的安全隐患、设施缺陷以及与数字家庭的差距。</w:t>
      </w:r>
    </w:p>
    <w:p w14:paraId="0F5FF59A">
      <w:pPr>
        <w:widowControl/>
        <w:spacing w:before="120" w:line="360" w:lineRule="auto"/>
        <w:ind w:left="420"/>
        <w:jc w:val="both"/>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 xml:space="preserve">2.4开展小区（社区）维度体检 </w:t>
      </w:r>
    </w:p>
    <w:p w14:paraId="6EE73B90">
      <w:pPr>
        <w:widowControl/>
        <w:spacing w:before="120" w:line="360" w:lineRule="auto"/>
        <w:ind w:firstLine="440" w:firstLineChars="200"/>
        <w:jc w:val="both"/>
        <w:rPr>
          <w:rFonts w:ascii="新宋体" w:hAnsi="新宋体" w:eastAsia="宋体" w:cs="Times New Roman"/>
          <w:kern w:val="0"/>
          <w:sz w:val="22"/>
          <w:szCs w:val="22"/>
        </w:rPr>
      </w:pPr>
      <w:r>
        <w:rPr>
          <w:rFonts w:ascii="新宋体" w:hAnsi="新宋体" w:eastAsia="宋体" w:cs="Times New Roman"/>
          <w:kern w:val="0"/>
          <w:sz w:val="22"/>
          <w:szCs w:val="22"/>
        </w:rPr>
        <w:t>从设施完善、环境宜居、管理健全3个方面，设置社区养老、托育、停车、充电等10项指标体检。采用部门数据和现场踏勘复核方式，形成以社区为单位、小区为索引的体检调查数据库，找准设施缺口及小区环境、管理方面的问题。</w:t>
      </w:r>
    </w:p>
    <w:p w14:paraId="03D1A537">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2.5开展街区维度体检</w:t>
      </w:r>
    </w:p>
    <w:p w14:paraId="449CB31F">
      <w:pPr>
        <w:widowControl/>
        <w:spacing w:line="360" w:lineRule="auto"/>
        <w:ind w:firstLine="440" w:firstLineChars="200"/>
        <w:jc w:val="left"/>
        <w:rPr>
          <w:rFonts w:ascii="宋体" w:hAnsi="宋体" w:eastAsia="宋体" w:cs="Times New Roman"/>
          <w:color w:val="000000"/>
          <w:kern w:val="0"/>
          <w:sz w:val="20"/>
          <w:szCs w:val="20"/>
        </w:rPr>
      </w:pPr>
      <w:r>
        <w:rPr>
          <w:rFonts w:ascii="新宋体" w:hAnsi="新宋体" w:eastAsia="宋体" w:cs="Times New Roman"/>
          <w:kern w:val="0"/>
          <w:sz w:val="22"/>
          <w:szCs w:val="22"/>
        </w:rPr>
        <w:t>从功能完善、整洁有序、特色活力3个方面，开展中学、体育场地、老旧街区、老旧厂区等8项指标体检，查找梳理公共服务设施缺口以及街道环境整治、更新改造方面的问题。</w:t>
      </w:r>
    </w:p>
    <w:p w14:paraId="298480A1">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2.6开展城区（城市）维度体检</w:t>
      </w:r>
    </w:p>
    <w:p w14:paraId="0DBB9BE0">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从生态宜居、历史文化保护利用、产城融合、安全韧性、智慧高效5个方面，结合公共服务体系建设、基础设施建设、历史文化保护传承等专项工作，开展生态、交通、污水、垃圾、历史文化保护等体检，综合评价城市生命体征状况和建设发展质量，找准城市发展的短板和差距。</w:t>
      </w:r>
    </w:p>
    <w:p w14:paraId="096F85FF">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2.7开展居民满意度调查</w:t>
      </w:r>
    </w:p>
    <w:p w14:paraId="267C9DC6">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根据住建部居民问卷调查要求，结合现场踏勘同步推动居民问卷填报工作。汇总、筛选有效问卷信息，并对问卷信息进行全面统计和分析评估，明确居民对城市各维度建设发展的满意度与发展需求，为城市更新改造指明方向。</w:t>
      </w:r>
    </w:p>
    <w:p w14:paraId="24B33DFE">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2.8提出问题清单</w:t>
      </w:r>
    </w:p>
    <w:p w14:paraId="2EA62626">
      <w:pPr>
        <w:widowControl/>
        <w:spacing w:line="360" w:lineRule="auto"/>
        <w:ind w:firstLine="440" w:firstLineChars="200"/>
        <w:jc w:val="left"/>
        <w:rPr>
          <w:rFonts w:ascii="宋体" w:hAnsi="宋体" w:eastAsia="宋体" w:cs="Times New Roman"/>
          <w:color w:val="000000"/>
          <w:kern w:val="0"/>
          <w:sz w:val="20"/>
          <w:szCs w:val="20"/>
        </w:rPr>
      </w:pPr>
      <w:r>
        <w:rPr>
          <w:rFonts w:ascii="新宋体" w:hAnsi="新宋体" w:eastAsia="宋体" w:cs="Times New Roman"/>
          <w:kern w:val="0"/>
          <w:sz w:val="22"/>
          <w:szCs w:val="22"/>
        </w:rPr>
        <w:t>住房、小区（社区）、街区维度要按照城市更新任务与专项工作要求，结合体检查找出的问题与居民问卷调查结果，形成住房、小区（社区）、街区维度体检问题清单。城区维度要综合指标分析结果，系统梳理城市发展短板弱项，对标国家有关要求、发展规划以及同类型城市发展状况等，综合评价城市生命体征状况和建设发展质量，找准短板和差距，梳理形成城区维度问题清单。</w:t>
      </w:r>
    </w:p>
    <w:p w14:paraId="5549CBCB">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2.9提出整治建议清单</w:t>
      </w:r>
    </w:p>
    <w:p w14:paraId="5D11AD06">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结合问题清单，根据近期工作安排，提出针对性的改善建议与行动方案，对应制定具有针对性的整治建议清单，分解细化城市体检问题整治任务，落实责任主体单位，明确整治措施和完成时限。</w:t>
      </w:r>
    </w:p>
    <w:p w14:paraId="44D7A912">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2.10提出更新项目建议</w:t>
      </w:r>
    </w:p>
    <w:p w14:paraId="4D5A0C72">
      <w:pPr>
        <w:widowControl/>
        <w:spacing w:line="360" w:lineRule="auto"/>
        <w:ind w:firstLine="440" w:firstLineChars="200"/>
        <w:jc w:val="left"/>
        <w:rPr>
          <w:rFonts w:ascii="宋体" w:hAnsi="宋体" w:eastAsia="宋体" w:cs="Times New Roman"/>
          <w:color w:val="000000"/>
          <w:kern w:val="0"/>
          <w:sz w:val="20"/>
          <w:szCs w:val="20"/>
        </w:rPr>
      </w:pPr>
      <w:r>
        <w:rPr>
          <w:rFonts w:hint="eastAsia" w:ascii="新宋体" w:hAnsi="新宋体" w:eastAsia="宋体" w:cs="Times New Roman"/>
          <w:kern w:val="0"/>
          <w:sz w:val="22"/>
          <w:szCs w:val="22"/>
          <w:lang w:eastAsia="zh-CN"/>
        </w:rPr>
        <w:t>在城市体检调查与部门调研过程中，依据实际情况，进行专项体检评估。</w:t>
      </w:r>
      <w:r>
        <w:rPr>
          <w:rFonts w:ascii="新宋体" w:hAnsi="新宋体" w:eastAsia="宋体" w:cs="Times New Roman"/>
          <w:kern w:val="0"/>
          <w:sz w:val="22"/>
          <w:szCs w:val="22"/>
        </w:rPr>
        <w:t>依据城市体检结论，结合国家城市更新专项资金支持内容，包装孵化城市更新项目，生成城市更新项目建议清单。提出城市更新实施时间计划，统筹推进城镇老旧小区、棚户区、城中村、危旧房屋、地下市政管网、城市基础设施生命线安全工程、社区嵌入式服务设施、历史文化保护、生态修复等重点领域城市更新改造工作。</w:t>
      </w:r>
    </w:p>
    <w:p w14:paraId="4155C495">
      <w:pPr>
        <w:widowControl/>
        <w:spacing w:line="360" w:lineRule="auto"/>
        <w:ind w:left="420"/>
        <w:jc w:val="left"/>
        <w:rPr>
          <w:rFonts w:ascii="宋体" w:hAnsi="宋体" w:eastAsia="宋体" w:cs="Times New Roman"/>
          <w:b/>
          <w:color w:val="000000"/>
          <w:kern w:val="0"/>
          <w:sz w:val="20"/>
          <w:szCs w:val="20"/>
        </w:rPr>
      </w:pPr>
      <w:r>
        <w:rPr>
          <w:rFonts w:ascii="宋体" w:hAnsi="宋体" w:eastAsia="宋体" w:cs="Times New Roman"/>
          <w:b/>
          <w:color w:val="000000"/>
          <w:kern w:val="0"/>
          <w:sz w:val="20"/>
          <w:szCs w:val="20"/>
        </w:rPr>
        <w:t>2.11编制城市体检报告</w:t>
      </w:r>
    </w:p>
    <w:p w14:paraId="40EEBB64">
      <w:pPr>
        <w:widowControl/>
        <w:spacing w:line="360" w:lineRule="auto"/>
        <w:ind w:firstLine="440" w:firstLineChars="200"/>
        <w:jc w:val="left"/>
        <w:rPr>
          <w:rFonts w:ascii="新宋体" w:hAnsi="新宋体" w:eastAsia="宋体" w:cs="Times New Roman"/>
          <w:kern w:val="0"/>
          <w:sz w:val="22"/>
          <w:szCs w:val="22"/>
        </w:rPr>
      </w:pPr>
      <w:r>
        <w:rPr>
          <w:rFonts w:ascii="新宋体" w:hAnsi="新宋体" w:eastAsia="宋体" w:cs="Times New Roman"/>
          <w:kern w:val="0"/>
          <w:sz w:val="22"/>
          <w:szCs w:val="22"/>
        </w:rPr>
        <w:t>按住建部城市体检报告具体编制内容要求，梳理城市体检工作概述情况、各维度体检指标分析结论、</w:t>
      </w:r>
      <w:r>
        <w:rPr>
          <w:rFonts w:hint="eastAsia" w:ascii="新宋体" w:hAnsi="新宋体" w:eastAsia="宋体" w:cs="Times New Roman"/>
          <w:kern w:val="0"/>
          <w:sz w:val="22"/>
          <w:szCs w:val="22"/>
          <w:lang w:eastAsia="zh-CN"/>
        </w:rPr>
        <w:t>提出“三图一清单”</w:t>
      </w:r>
      <w:r>
        <w:rPr>
          <w:rFonts w:ascii="新宋体" w:hAnsi="新宋体" w:eastAsia="宋体" w:cs="Times New Roman"/>
          <w:kern w:val="0"/>
          <w:sz w:val="22"/>
          <w:szCs w:val="22"/>
        </w:rPr>
        <w:t>、城市更新对策与计划、项目清单等工作内容，</w:t>
      </w:r>
      <w:r>
        <w:rPr>
          <w:rFonts w:hint="eastAsia" w:ascii="新宋体" w:hAnsi="新宋体" w:eastAsia="宋体" w:cs="Times New Roman"/>
          <w:kern w:val="0"/>
          <w:sz w:val="22"/>
          <w:szCs w:val="22"/>
          <w:lang w:eastAsia="zh-CN"/>
        </w:rPr>
        <w:t>明确城市更新重点工作和更新对象，</w:t>
      </w:r>
      <w:r>
        <w:rPr>
          <w:rFonts w:ascii="新宋体" w:hAnsi="新宋体" w:eastAsia="宋体" w:cs="Times New Roman"/>
          <w:kern w:val="0"/>
          <w:sz w:val="22"/>
          <w:szCs w:val="22"/>
        </w:rPr>
        <w:t>最终汇总编制形成城市体检报告。</w:t>
      </w:r>
    </w:p>
    <w:p w14:paraId="04FF94D0">
      <w:pPr>
        <w:pageBreakBefore w:val="0"/>
        <w:widowControl/>
        <w:numPr>
          <w:ilvl w:val="0"/>
          <w:numId w:val="0"/>
        </w:numPr>
        <w:spacing w:line="500" w:lineRule="exact"/>
        <w:ind w:firstLine="442" w:firstLineChars="200"/>
        <w:jc w:val="left"/>
        <w:rPr>
          <w:rFonts w:ascii="新宋体" w:hAnsi="新宋体" w:eastAsia="宋体" w:cs="Times New Roman"/>
          <w:b/>
          <w:kern w:val="0"/>
          <w:sz w:val="22"/>
          <w:szCs w:val="22"/>
        </w:rPr>
      </w:pPr>
      <w:r>
        <w:rPr>
          <w:rFonts w:hint="eastAsia" w:ascii="新宋体" w:hAnsi="新宋体" w:eastAsia="宋体" w:cs="Times New Roman"/>
          <w:b/>
          <w:kern w:val="0"/>
          <w:sz w:val="22"/>
          <w:szCs w:val="22"/>
          <w:lang w:val="en-US" w:eastAsia="zh-CN"/>
        </w:rPr>
        <w:t>四、</w:t>
      </w:r>
      <w:r>
        <w:rPr>
          <w:rFonts w:ascii="新宋体" w:hAnsi="新宋体" w:eastAsia="宋体" w:cs="Times New Roman"/>
          <w:b/>
          <w:kern w:val="0"/>
          <w:sz w:val="22"/>
          <w:szCs w:val="22"/>
        </w:rPr>
        <w:t>服务周期</w:t>
      </w:r>
    </w:p>
    <w:p w14:paraId="0C7D2084">
      <w:pPr>
        <w:pageBreakBefore w:val="0"/>
        <w:widowControl/>
        <w:spacing w:line="500" w:lineRule="exact"/>
        <w:ind w:firstLine="480"/>
        <w:jc w:val="left"/>
        <w:rPr>
          <w:rFonts w:ascii="新宋体" w:hAnsi="新宋体" w:eastAsia="宋体" w:cs="Times New Roman"/>
          <w:color w:val="0000FF"/>
          <w:kern w:val="0"/>
          <w:sz w:val="22"/>
          <w:szCs w:val="22"/>
        </w:rPr>
      </w:pPr>
      <w:r>
        <w:rPr>
          <w:rFonts w:ascii="新宋体" w:hAnsi="新宋体" w:eastAsia="宋体" w:cs="Times New Roman"/>
          <w:color w:val="000000"/>
          <w:kern w:val="0"/>
          <w:sz w:val="22"/>
          <w:szCs w:val="22"/>
        </w:rPr>
        <w:t>合同签订且基础资料移交完成后</w:t>
      </w:r>
      <w:r>
        <w:rPr>
          <w:rFonts w:hint="eastAsia" w:ascii="新宋体" w:hAnsi="新宋体" w:eastAsia="宋体" w:cs="Times New Roman"/>
          <w:color w:val="000000"/>
          <w:kern w:val="0"/>
          <w:sz w:val="22"/>
          <w:szCs w:val="22"/>
          <w:lang w:val="en-US" w:eastAsia="zh-CN"/>
        </w:rPr>
        <w:t>4</w:t>
      </w:r>
      <w:r>
        <w:rPr>
          <w:rFonts w:ascii="新宋体" w:hAnsi="新宋体" w:eastAsia="宋体" w:cs="Times New Roman"/>
          <w:color w:val="000000"/>
          <w:kern w:val="0"/>
          <w:sz w:val="22"/>
          <w:szCs w:val="22"/>
        </w:rPr>
        <w:t>个月内提交全套最终成果，并配合完成评审、修改、报审工作。</w:t>
      </w:r>
    </w:p>
    <w:p w14:paraId="1DD3798C">
      <w:pPr>
        <w:widowControl/>
        <w:spacing w:line="360" w:lineRule="auto"/>
        <w:ind w:firstLine="482"/>
        <w:jc w:val="left"/>
        <w:rPr>
          <w:rFonts w:ascii="Times New Roman" w:hAnsi="Calibri" w:eastAsia="宋体" w:cs="Times New Roman"/>
          <w:kern w:val="0"/>
          <w:sz w:val="20"/>
          <w:szCs w:val="20"/>
        </w:rPr>
      </w:pPr>
      <w:r>
        <w:rPr>
          <w:rFonts w:ascii="新宋体" w:hAnsi="新宋体" w:eastAsia="宋体" w:cs="Times New Roman"/>
          <w:b/>
          <w:kern w:val="0"/>
          <w:sz w:val="22"/>
          <w:szCs w:val="22"/>
        </w:rPr>
        <w:t>五、成果要求</w:t>
      </w:r>
      <w:r>
        <w:rPr>
          <w:rFonts w:ascii="宋体" w:hAnsi="宋体" w:eastAsia="宋体" w:cs="Times New Roman"/>
          <w:b/>
          <w:color w:val="000000"/>
          <w:kern w:val="0"/>
          <w:sz w:val="20"/>
          <w:szCs w:val="20"/>
        </w:rPr>
        <w:t>：</w:t>
      </w:r>
      <w:r>
        <w:rPr>
          <w:rFonts w:ascii="新宋体" w:hAnsi="新宋体" w:eastAsia="宋体" w:cs="Times New Roman"/>
          <w:color w:val="000000"/>
          <w:kern w:val="0"/>
          <w:sz w:val="22"/>
          <w:szCs w:val="22"/>
        </w:rPr>
        <w:t>包含报告文本成果、图纸、附表。</w:t>
      </w:r>
    </w:p>
    <w:p w14:paraId="7E318CFA">
      <w:pPr>
        <w:widowControl/>
        <w:spacing w:line="360" w:lineRule="auto"/>
        <w:ind w:firstLine="482"/>
        <w:jc w:val="left"/>
        <w:rPr>
          <w:rFonts w:ascii="新宋体" w:hAnsi="新宋体" w:eastAsia="宋体" w:cs="Times New Roman"/>
          <w:color w:val="000000"/>
          <w:kern w:val="0"/>
          <w:sz w:val="22"/>
          <w:szCs w:val="22"/>
        </w:rPr>
      </w:pPr>
      <w:r>
        <w:rPr>
          <w:rFonts w:ascii="新宋体" w:hAnsi="新宋体" w:eastAsia="宋体" w:cs="Times New Roman"/>
          <w:b/>
          <w:kern w:val="0"/>
          <w:sz w:val="22"/>
          <w:szCs w:val="22"/>
        </w:rPr>
        <w:t>六、验收标准</w:t>
      </w:r>
      <w:r>
        <w:rPr>
          <w:rFonts w:ascii="宋体" w:hAnsi="宋体" w:eastAsia="宋体" w:cs="Times New Roman"/>
          <w:b/>
          <w:color w:val="000000"/>
          <w:kern w:val="0"/>
          <w:sz w:val="20"/>
          <w:szCs w:val="20"/>
        </w:rPr>
        <w:t>：</w:t>
      </w:r>
      <w:r>
        <w:rPr>
          <w:rFonts w:ascii="新宋体" w:hAnsi="新宋体" w:eastAsia="宋体" w:cs="Times New Roman"/>
          <w:color w:val="000000"/>
          <w:kern w:val="0"/>
          <w:sz w:val="22"/>
          <w:szCs w:val="22"/>
        </w:rPr>
        <w:t>成果内容符合《住房和城乡建设部办公厅关于深入开展2026年城市体检工作的通知》（建办科〔2026〕16号）等文件的要求。成果深度须符合国家、省、市相关行业标准、技术规范和编制办法的要求。</w:t>
      </w:r>
    </w:p>
    <w:p w14:paraId="448D5BB7">
      <w:pPr>
        <w:widowControl/>
        <w:spacing w:line="360" w:lineRule="auto"/>
        <w:ind w:firstLine="482"/>
        <w:jc w:val="left"/>
        <w:rPr>
          <w:rFonts w:ascii="新宋体" w:hAnsi="新宋体" w:eastAsia="宋体" w:cs="Times New Roman"/>
          <w:b/>
          <w:kern w:val="0"/>
          <w:sz w:val="22"/>
          <w:szCs w:val="22"/>
        </w:rPr>
      </w:pPr>
      <w:r>
        <w:rPr>
          <w:rFonts w:ascii="新宋体" w:hAnsi="新宋体" w:eastAsia="宋体" w:cs="Times New Roman"/>
          <w:b/>
          <w:kern w:val="0"/>
          <w:sz w:val="22"/>
          <w:szCs w:val="22"/>
        </w:rPr>
        <w:t>七、结算方法</w:t>
      </w:r>
    </w:p>
    <w:p w14:paraId="31CECE5C">
      <w:pPr>
        <w:widowControl/>
        <w:spacing w:line="360" w:lineRule="auto"/>
        <w:ind w:firstLine="482"/>
        <w:jc w:val="left"/>
        <w:rPr>
          <w:rFonts w:ascii="新宋体" w:hAnsi="新宋体" w:eastAsia="宋体" w:cs="Times New Roman"/>
          <w:color w:val="000000"/>
          <w:kern w:val="0"/>
          <w:sz w:val="22"/>
          <w:szCs w:val="22"/>
        </w:rPr>
      </w:pPr>
      <w:r>
        <w:rPr>
          <w:rFonts w:ascii="新宋体" w:hAnsi="新宋体" w:eastAsia="宋体" w:cs="Times New Roman"/>
          <w:color w:val="000000"/>
          <w:kern w:val="0"/>
          <w:sz w:val="22"/>
          <w:szCs w:val="22"/>
        </w:rPr>
        <w:t>1、付款人：临湘市住房和城乡建设局。</w:t>
      </w:r>
    </w:p>
    <w:p w14:paraId="3C35A2D2">
      <w:pPr>
        <w:widowControl/>
        <w:spacing w:line="360" w:lineRule="auto"/>
        <w:ind w:firstLine="482"/>
        <w:jc w:val="left"/>
        <w:rPr>
          <w:rFonts w:ascii="新宋体" w:hAnsi="新宋体" w:eastAsia="宋体" w:cs="Times New Roman"/>
          <w:color w:val="000000"/>
          <w:kern w:val="0"/>
          <w:sz w:val="22"/>
          <w:szCs w:val="22"/>
        </w:rPr>
      </w:pPr>
      <w:r>
        <w:rPr>
          <w:rFonts w:ascii="新宋体" w:hAnsi="新宋体" w:eastAsia="宋体" w:cs="Times New Roman"/>
          <w:color w:val="000000"/>
          <w:kern w:val="0"/>
          <w:sz w:val="22"/>
          <w:szCs w:val="22"/>
        </w:rPr>
        <w:t>2、付款方式：按合同约定。</w:t>
      </w:r>
    </w:p>
    <w:p w14:paraId="2E69ACFD">
      <w:pPr>
        <w:widowControl/>
        <w:spacing w:line="360" w:lineRule="auto"/>
        <w:ind w:firstLine="482"/>
        <w:jc w:val="left"/>
        <w:rPr>
          <w:rFonts w:ascii="新宋体" w:hAnsi="新宋体" w:eastAsia="宋体" w:cs="Times New Roman"/>
          <w:b/>
          <w:kern w:val="0"/>
          <w:sz w:val="22"/>
          <w:szCs w:val="22"/>
        </w:rPr>
      </w:pPr>
      <w:r>
        <w:rPr>
          <w:rFonts w:ascii="新宋体" w:hAnsi="新宋体" w:eastAsia="宋体" w:cs="Times New Roman"/>
          <w:b/>
          <w:kern w:val="0"/>
          <w:sz w:val="22"/>
          <w:szCs w:val="22"/>
        </w:rPr>
        <w:t>八、其他说明</w:t>
      </w:r>
    </w:p>
    <w:p w14:paraId="4F68E8CB">
      <w:pPr>
        <w:widowControl/>
        <w:spacing w:line="360" w:lineRule="auto"/>
        <w:ind w:firstLine="482"/>
        <w:jc w:val="left"/>
        <w:rPr>
          <w:rFonts w:ascii="新宋体" w:hAnsi="新宋体" w:eastAsia="宋体" w:cs="Times New Roman"/>
          <w:color w:val="000000"/>
          <w:kern w:val="0"/>
          <w:sz w:val="22"/>
          <w:szCs w:val="22"/>
        </w:rPr>
      </w:pPr>
      <w:r>
        <w:rPr>
          <w:rFonts w:ascii="新宋体" w:hAnsi="新宋体" w:eastAsia="宋体" w:cs="Times New Roman"/>
          <w:color w:val="000000"/>
          <w:kern w:val="0"/>
          <w:sz w:val="22"/>
          <w:szCs w:val="22"/>
        </w:rPr>
        <w:t>1、如一旦中标必须严格按采购文件各项要求执行，本项目采用总价包干方式。投标人应根据项目要求和现场情况，详细列明项目所需的所有费用（包括但不限于项目所需设备材料、人员、交通工具、餐饮住宿、租车费用以及人工、管理、财务等），如一旦成交，在项目实施中出现任何遗漏，均由成交投标人负责提供，采购人不再支付任何费用。</w:t>
      </w:r>
    </w:p>
    <w:p w14:paraId="33E7F458">
      <w:pPr>
        <w:widowControl/>
        <w:spacing w:line="360" w:lineRule="auto"/>
        <w:ind w:firstLine="482"/>
        <w:jc w:val="left"/>
        <w:rPr>
          <w:rFonts w:ascii="新宋体" w:hAnsi="新宋体" w:eastAsia="宋体" w:cs="Times New Roman"/>
          <w:color w:val="000000"/>
          <w:kern w:val="0"/>
          <w:sz w:val="22"/>
          <w:szCs w:val="22"/>
        </w:rPr>
      </w:pPr>
      <w:r>
        <w:rPr>
          <w:rFonts w:ascii="新宋体" w:hAnsi="新宋体" w:eastAsia="宋体" w:cs="Times New Roman"/>
          <w:color w:val="000000"/>
          <w:kern w:val="0"/>
          <w:sz w:val="22"/>
          <w:szCs w:val="22"/>
        </w:rPr>
        <w:t>2、采购人不组织现场踏勘，投标人如须踏勘现场，有关费用自理，踏勘期间发生的意外自负。</w:t>
      </w:r>
    </w:p>
    <w:p w14:paraId="062D56D5">
      <w:pPr>
        <w:widowControl/>
        <w:spacing w:line="360" w:lineRule="auto"/>
        <w:ind w:firstLine="482"/>
        <w:jc w:val="left"/>
        <w:rPr>
          <w:rFonts w:ascii="新宋体" w:hAnsi="新宋体" w:eastAsia="宋体" w:cs="Times New Roman"/>
          <w:color w:val="000000"/>
          <w:kern w:val="0"/>
          <w:sz w:val="24"/>
          <w:szCs w:val="24"/>
        </w:rPr>
      </w:pPr>
      <w:r>
        <w:rPr>
          <w:rFonts w:ascii="新宋体" w:hAnsi="新宋体" w:eastAsia="宋体" w:cs="Times New Roman"/>
          <w:color w:val="000000"/>
          <w:kern w:val="0"/>
          <w:sz w:val="22"/>
          <w:szCs w:val="22"/>
        </w:rPr>
        <w:t>3、投标人或成交投标人在参与本项目的全部过程中，应负责其派出的所有工作人员的人身意外保险以及承担人身意外事故引发的责任损失和所有费用。</w:t>
      </w:r>
    </w:p>
    <w:p w14:paraId="0C08E8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1D5EAB94">
    <w:panose1 w:val="020B0802040204020203"/>
    <w:charset w:val="00"/>
    <w:family w:val="auto"/>
    <w:pitch w:val="default"/>
    <w:sig w:usb0="00000001" w:usb1="00000000" w:usb2="00000000" w:usb3="00000000" w:csb0="00000001"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3C046B"/>
    <w:rsid w:val="053C0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2026-08-17T12:31:00Z</dcterms:created>
  <dc:creator>Administrator</dc:creator>
  <cp:lastModifiedBy>Administrator</cp:lastModifiedBy>
  <dcterms:modified xsi:type="dcterms:W3CDTF">2026-08-17T12:32:00Z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92022129963148559CC90F5A638B3D5E_11</vt:lpwstr>
  </property>
  <property fmtid="{D5CDD505-2E9C-101B-9397-08002B2CF9AE}" pid="4" name="KSOTemplateDocerSaveRecord">
    <vt:lpwstr>eyJoZGlkIjoiOGI4NjI5OTBmMDM1ODFlMDkzNDFlZTFiMWNhZWU5ZTMiLCJ1c2VySWQiOiIyNjQ4NDYxNTIifQ==</vt:lpwstr>
  </property>
</Properties>
</file>