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ACF0E">
      <w:pPr>
        <w:shd w:val="clear" w:color="auto" w:fill="auto"/>
        <w:spacing w:before="120" w:beforeLines="50" w:after="240" w:afterLines="100" w:line="440" w:lineRule="atLeast"/>
        <w:jc w:val="center"/>
        <w:outlineLvl w:val="0"/>
        <w:rPr>
          <w:rFonts w:hint="eastAsia" w:ascii="黑体" w:hAnsi="黑体" w:eastAsia="黑体" w:cs="黑体"/>
          <w:b/>
          <w:color w:val="auto"/>
          <w:sz w:val="36"/>
          <w:szCs w:val="36"/>
          <w:highlight w:val="none"/>
        </w:rPr>
      </w:pPr>
      <w:r>
        <w:rPr>
          <w:rFonts w:hint="eastAsia" w:ascii="黑体" w:hAnsi="黑体" w:eastAsia="黑体" w:cs="黑体"/>
          <w:b/>
          <w:color w:val="auto"/>
          <w:sz w:val="36"/>
          <w:szCs w:val="36"/>
          <w:highlight w:val="none"/>
        </w:rPr>
        <w:t>采购需求</w:t>
      </w:r>
    </w:p>
    <w:p w14:paraId="29DADADC">
      <w:pPr>
        <w:shd w:val="clear" w:color="auto" w:fill="auto"/>
        <w:adjustRightInd w:val="0"/>
        <w:snapToGrid w:val="0"/>
        <w:spacing w:before="240" w:beforeLines="100" w:line="320" w:lineRule="exact"/>
        <w:ind w:right="63" w:rightChars="30"/>
        <w:rPr>
          <w:rFonts w:hint="eastAsia" w:ascii="黑体" w:hAnsi="黑体" w:eastAsia="黑体" w:cs="黑体"/>
          <w:color w:val="auto"/>
          <w:highlight w:val="none"/>
        </w:rPr>
      </w:pPr>
    </w:p>
    <w:p w14:paraId="67EDF5B4">
      <w:pPr>
        <w:shd w:val="clear" w:color="auto" w:fill="auto"/>
        <w:adjustRightInd w:val="0"/>
        <w:snapToGrid w:val="0"/>
        <w:spacing w:line="360" w:lineRule="auto"/>
        <w:outlineLvl w:val="1"/>
        <w:rPr>
          <w:rFonts w:hint="eastAsia" w:ascii="黑体" w:hAnsi="黑体" w:eastAsia="黑体" w:cs="黑体"/>
          <w:color w:val="auto"/>
          <w:highlight w:val="none"/>
          <w:lang w:eastAsia="zh-CN"/>
        </w:rPr>
      </w:pPr>
      <w:bookmarkStart w:id="0" w:name="_Toc24271"/>
      <w:bookmarkStart w:id="1" w:name="_Toc17012"/>
      <w:bookmarkStart w:id="2" w:name="_Toc535275228"/>
      <w:r>
        <w:rPr>
          <w:rFonts w:hint="eastAsia" w:ascii="黑体" w:hAnsi="黑体" w:eastAsia="黑体" w:cs="黑体"/>
          <w:b/>
          <w:bCs/>
          <w:color w:val="auto"/>
          <w:sz w:val="24"/>
          <w:highlight w:val="none"/>
        </w:rPr>
        <w:t>一、采购项目名称</w:t>
      </w:r>
      <w:bookmarkEnd w:id="0"/>
      <w:bookmarkEnd w:id="1"/>
      <w:bookmarkEnd w:id="2"/>
      <w:r>
        <w:rPr>
          <w:rFonts w:hint="eastAsia" w:ascii="黑体" w:hAnsi="黑体" w:eastAsia="黑体" w:cs="黑体"/>
          <w:b/>
          <w:bCs/>
          <w:color w:val="auto"/>
          <w:sz w:val="24"/>
          <w:highlight w:val="none"/>
          <w:lang w:eastAsia="zh-CN"/>
        </w:rPr>
        <w:t>：</w:t>
      </w:r>
      <w:r>
        <w:rPr>
          <w:rFonts w:hint="eastAsia" w:ascii="黑体" w:hAnsi="黑体" w:eastAsia="黑体" w:cs="黑体"/>
          <w:color w:val="auto"/>
          <w:highlight w:val="none"/>
          <w:lang w:eastAsia="zh-CN"/>
        </w:rPr>
        <w:t>古丈县坪坝镇窝瓢村窝瓢至窝米安防设施完善工程。</w:t>
      </w:r>
    </w:p>
    <w:p w14:paraId="49B515F2">
      <w:pPr>
        <w:shd w:val="clear" w:color="auto" w:fill="auto"/>
        <w:spacing w:line="360" w:lineRule="auto"/>
        <w:rPr>
          <w:rFonts w:hint="eastAsia" w:ascii="黑体" w:hAnsi="黑体" w:eastAsia="黑体" w:cs="黑体"/>
          <w:color w:val="auto"/>
          <w:highlight w:val="none"/>
          <w:lang w:val="en-US" w:eastAsia="zh-CN"/>
        </w:rPr>
      </w:pPr>
      <w:r>
        <w:rPr>
          <w:rFonts w:hint="eastAsia" w:ascii="黑体" w:hAnsi="黑体" w:eastAsia="黑体" w:cs="黑体"/>
          <w:b/>
          <w:bCs/>
          <w:color w:val="auto"/>
          <w:sz w:val="24"/>
          <w:highlight w:val="none"/>
        </w:rPr>
        <w:t>二、采购预算：</w:t>
      </w:r>
      <w:r>
        <w:rPr>
          <w:rFonts w:hint="eastAsia" w:ascii="黑体" w:hAnsi="黑体" w:eastAsia="黑体" w:cs="黑体"/>
          <w:color w:val="auto"/>
          <w:highlight w:val="none"/>
          <w:lang w:val="en-US" w:eastAsia="zh-CN"/>
        </w:rPr>
        <w:t>1617719.00元。</w:t>
      </w:r>
    </w:p>
    <w:p w14:paraId="72BB0C00">
      <w:pPr>
        <w:shd w:val="clear" w:color="auto" w:fill="auto"/>
        <w:spacing w:line="360" w:lineRule="auto"/>
        <w:rPr>
          <w:rFonts w:hint="eastAsia" w:ascii="黑体" w:hAnsi="黑体" w:eastAsia="黑体" w:cs="黑体"/>
          <w:color w:val="auto"/>
          <w:highlight w:val="none"/>
          <w:lang w:eastAsia="zh-CN"/>
        </w:rPr>
      </w:pPr>
      <w:r>
        <w:rPr>
          <w:rFonts w:hint="eastAsia" w:ascii="黑体" w:hAnsi="黑体" w:eastAsia="黑体" w:cs="黑体"/>
          <w:b/>
          <w:bCs/>
          <w:color w:val="auto"/>
          <w:sz w:val="24"/>
          <w:highlight w:val="none"/>
        </w:rPr>
        <w:t>三、</w:t>
      </w:r>
      <w:r>
        <w:rPr>
          <w:rFonts w:hint="eastAsia" w:ascii="黑体" w:hAnsi="黑体" w:eastAsia="黑体" w:cs="黑体"/>
          <w:b/>
          <w:bCs/>
          <w:color w:val="auto"/>
          <w:sz w:val="24"/>
          <w:highlight w:val="none"/>
          <w:lang w:val="en-US" w:eastAsia="zh-CN"/>
        </w:rPr>
        <w:t>建设内容：</w:t>
      </w:r>
      <w:r>
        <w:rPr>
          <w:rFonts w:hint="eastAsia" w:ascii="黑体" w:hAnsi="黑体" w:eastAsia="黑体" w:cs="黑体"/>
          <w:color w:val="auto"/>
          <w:highlight w:val="none"/>
          <w:lang w:val="en-US" w:eastAsia="zh-CN"/>
        </w:rPr>
        <w:t>本工程为古丈县坪坝镇窝瓢村窝瓢至窝米安防设施完善工程，包含路基工程片石挡土墙、路面工程加固路肩、交通工程及沿线设施（波形钢板护栏、新增标志、栏式轮廓标、单柱式反光镜）等</w:t>
      </w:r>
      <w:r>
        <w:rPr>
          <w:rFonts w:hint="eastAsia" w:ascii="黑体" w:hAnsi="黑体" w:eastAsia="黑体" w:cs="黑体"/>
          <w:color w:val="auto"/>
          <w:highlight w:val="none"/>
          <w:lang w:eastAsia="zh-CN"/>
        </w:rPr>
        <w:t>（具体内容以施工图纸及工程量清单为准）</w:t>
      </w:r>
      <w:r>
        <w:rPr>
          <w:rFonts w:hint="eastAsia" w:ascii="黑体" w:hAnsi="黑体" w:eastAsia="黑体" w:cs="黑体"/>
          <w:color w:val="auto"/>
          <w:highlight w:val="none"/>
          <w:lang w:val="en-US" w:eastAsia="zh-CN"/>
        </w:rPr>
        <w:t>。</w:t>
      </w:r>
    </w:p>
    <w:p w14:paraId="38F66569">
      <w:pPr>
        <w:shd w:val="clear" w:color="auto" w:fill="auto"/>
        <w:adjustRightInd w:val="0"/>
        <w:snapToGrid w:val="0"/>
        <w:spacing w:line="360" w:lineRule="auto"/>
        <w:rPr>
          <w:rFonts w:hint="eastAsia" w:ascii="黑体" w:hAnsi="黑体" w:eastAsia="黑体" w:cs="黑体"/>
          <w:color w:val="auto"/>
          <w:highlight w:val="none"/>
          <w:lang w:val="zh-CN"/>
        </w:rPr>
      </w:pPr>
      <w:r>
        <w:rPr>
          <w:rFonts w:hint="eastAsia" w:ascii="黑体" w:hAnsi="黑体" w:eastAsia="黑体" w:cs="黑体"/>
          <w:b/>
          <w:bCs/>
          <w:color w:val="auto"/>
          <w:sz w:val="24"/>
          <w:highlight w:val="none"/>
        </w:rPr>
        <w:t>四、工程量清单：</w:t>
      </w:r>
      <w:r>
        <w:rPr>
          <w:rFonts w:hint="eastAsia" w:ascii="黑体" w:hAnsi="黑体" w:eastAsia="黑体" w:cs="黑体"/>
          <w:color w:val="auto"/>
          <w:highlight w:val="none"/>
          <w:lang w:val="zh-CN"/>
        </w:rPr>
        <w:t>详见附件；</w:t>
      </w:r>
    </w:p>
    <w:p w14:paraId="43F3F514">
      <w:pPr>
        <w:pStyle w:val="2"/>
        <w:spacing w:line="360" w:lineRule="auto"/>
        <w:rPr>
          <w:rFonts w:hint="eastAsia" w:ascii="黑体" w:hAnsi="黑体" w:eastAsia="黑体" w:cs="黑体"/>
          <w:b/>
          <w:bCs/>
          <w:color w:val="auto"/>
          <w:kern w:val="2"/>
          <w:sz w:val="24"/>
          <w:szCs w:val="24"/>
          <w:highlight w:val="none"/>
          <w:lang w:val="en-US" w:eastAsia="zh-CN" w:bidi="ar-SA"/>
        </w:rPr>
      </w:pPr>
      <w:r>
        <w:rPr>
          <w:rFonts w:hint="eastAsia" w:ascii="黑体" w:hAnsi="黑体" w:eastAsia="黑体" w:cs="黑体"/>
          <w:b/>
          <w:bCs/>
          <w:color w:val="auto"/>
          <w:kern w:val="2"/>
          <w:sz w:val="24"/>
          <w:szCs w:val="24"/>
          <w:highlight w:val="none"/>
          <w:lang w:val="en-US" w:eastAsia="zh-CN" w:bidi="ar-SA"/>
        </w:rPr>
        <w:t>五、图纸：</w:t>
      </w:r>
      <w:r>
        <w:rPr>
          <w:rFonts w:hint="eastAsia" w:ascii="黑体" w:hAnsi="黑体" w:eastAsia="黑体" w:cs="黑体"/>
          <w:color w:val="auto"/>
          <w:kern w:val="2"/>
          <w:sz w:val="21"/>
          <w:szCs w:val="24"/>
          <w:highlight w:val="none"/>
          <w:lang w:val="en-US" w:eastAsia="zh-CN" w:bidi="ar-SA"/>
        </w:rPr>
        <w:t>另册。</w:t>
      </w:r>
    </w:p>
    <w:p w14:paraId="36F9B86F">
      <w:pPr>
        <w:shd w:val="clear" w:color="auto" w:fill="auto"/>
        <w:spacing w:line="360" w:lineRule="auto"/>
        <w:outlineLvl w:val="1"/>
        <w:rPr>
          <w:rFonts w:hint="eastAsia" w:ascii="黑体" w:hAnsi="黑体" w:eastAsia="黑体" w:cs="黑体"/>
          <w:b/>
          <w:color w:val="auto"/>
          <w:szCs w:val="21"/>
          <w:highlight w:val="none"/>
        </w:rPr>
      </w:pPr>
      <w:r>
        <w:rPr>
          <w:rFonts w:hint="eastAsia" w:ascii="黑体" w:hAnsi="黑体" w:eastAsia="黑体" w:cs="黑体"/>
          <w:b/>
          <w:bCs/>
          <w:color w:val="auto"/>
          <w:sz w:val="24"/>
          <w:highlight w:val="none"/>
          <w:lang w:val="en-US" w:eastAsia="zh-CN"/>
        </w:rPr>
        <w:t>六</w:t>
      </w:r>
      <w:r>
        <w:rPr>
          <w:rFonts w:hint="eastAsia" w:ascii="黑体" w:hAnsi="黑体" w:eastAsia="黑体" w:cs="黑体"/>
          <w:b/>
          <w:bCs/>
          <w:color w:val="auto"/>
          <w:sz w:val="24"/>
          <w:highlight w:val="none"/>
        </w:rPr>
        <w:t>、</w:t>
      </w:r>
      <w:r>
        <w:rPr>
          <w:rFonts w:hint="eastAsia" w:ascii="黑体" w:hAnsi="黑体" w:eastAsia="黑体" w:cs="黑体"/>
          <w:b/>
          <w:bCs/>
          <w:color w:val="auto"/>
          <w:sz w:val="24"/>
          <w:highlight w:val="none"/>
          <w:lang w:val="en-US" w:eastAsia="zh-CN"/>
        </w:rPr>
        <w:t>投标</w:t>
      </w:r>
      <w:r>
        <w:rPr>
          <w:rFonts w:hint="eastAsia" w:ascii="黑体" w:hAnsi="黑体" w:eastAsia="黑体" w:cs="黑体"/>
          <w:b/>
          <w:bCs/>
          <w:color w:val="auto"/>
          <w:sz w:val="24"/>
          <w:highlight w:val="none"/>
        </w:rPr>
        <w:t>报价：</w:t>
      </w:r>
    </w:p>
    <w:p w14:paraId="082E76E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bookmarkStart w:id="3" w:name="_Toc11341"/>
      <w:bookmarkStart w:id="4" w:name="_Toc17485"/>
      <w:r>
        <w:rPr>
          <w:rFonts w:hint="eastAsia" w:ascii="黑体" w:hAnsi="黑体" w:eastAsia="黑体" w:cs="黑体"/>
          <w:color w:val="auto"/>
          <w:highlight w:val="none"/>
          <w:lang w:val="zh-CN"/>
        </w:rPr>
        <w:t>1、</w:t>
      </w:r>
      <w:r>
        <w:rPr>
          <w:rFonts w:hint="eastAsia" w:ascii="黑体" w:hAnsi="黑体" w:eastAsia="黑体" w:cs="黑体"/>
          <w:color w:val="auto"/>
          <w:highlight w:val="none"/>
          <w:lang w:val="en-US" w:eastAsia="zh-CN"/>
        </w:rPr>
        <w:t>投标人</w:t>
      </w:r>
      <w:r>
        <w:rPr>
          <w:rFonts w:hint="eastAsia" w:ascii="黑体" w:hAnsi="黑体" w:eastAsia="黑体" w:cs="黑体"/>
          <w:color w:val="auto"/>
          <w:highlight w:val="none"/>
          <w:lang w:val="zh-CN"/>
        </w:rPr>
        <w:t>对本项目的总报价最高不超过预算价</w:t>
      </w:r>
      <w:r>
        <w:rPr>
          <w:rFonts w:hint="eastAsia" w:ascii="黑体" w:hAnsi="黑体" w:eastAsia="黑体" w:cs="黑体"/>
          <w:color w:val="auto"/>
          <w:highlight w:val="none"/>
          <w:lang w:val="en-US" w:eastAsia="zh-CN"/>
        </w:rPr>
        <w:t>和最高限价</w:t>
      </w:r>
      <w:r>
        <w:rPr>
          <w:rFonts w:hint="eastAsia" w:ascii="黑体" w:hAnsi="黑体" w:eastAsia="黑体" w:cs="黑体"/>
          <w:color w:val="auto"/>
          <w:highlight w:val="none"/>
          <w:lang w:val="zh-CN"/>
        </w:rPr>
        <w:t>，否则其投标将被视为无效投标；评标委员会认为</w:t>
      </w:r>
      <w:r>
        <w:rPr>
          <w:rFonts w:hint="eastAsia" w:ascii="黑体" w:hAnsi="黑体" w:eastAsia="黑体" w:cs="黑体"/>
          <w:color w:val="auto"/>
          <w:highlight w:val="none"/>
          <w:lang w:val="zh-CN" w:eastAsia="zh-CN"/>
        </w:rPr>
        <w:t>投标人</w:t>
      </w:r>
      <w:r>
        <w:rPr>
          <w:rFonts w:hint="eastAsia" w:ascii="黑体" w:hAnsi="黑体" w:eastAsia="黑体" w:cs="黑体"/>
          <w:color w:val="auto"/>
          <w:highlight w:val="none"/>
          <w:lang w:val="zh-CN"/>
        </w:rPr>
        <w:t>的报价明显低于其他通过资格审查</w:t>
      </w:r>
      <w:r>
        <w:rPr>
          <w:rFonts w:hint="eastAsia" w:ascii="黑体" w:hAnsi="黑体" w:eastAsia="黑体" w:cs="黑体"/>
          <w:color w:val="auto"/>
          <w:highlight w:val="none"/>
          <w:lang w:val="zh-CN" w:eastAsia="zh-CN"/>
        </w:rPr>
        <w:t>投标人</w:t>
      </w:r>
      <w:r>
        <w:rPr>
          <w:rFonts w:hint="eastAsia" w:ascii="黑体" w:hAnsi="黑体" w:eastAsia="黑体" w:cs="黑体"/>
          <w:color w:val="auto"/>
          <w:highlight w:val="none"/>
          <w:lang w:val="zh-CN"/>
        </w:rPr>
        <w:t>的报价，有可能影响</w:t>
      </w:r>
      <w:r>
        <w:rPr>
          <w:rFonts w:hint="eastAsia" w:ascii="黑体" w:hAnsi="黑体" w:eastAsia="黑体" w:cs="黑体"/>
          <w:color w:val="auto"/>
          <w:highlight w:val="none"/>
          <w:lang w:val="en-US" w:eastAsia="zh-CN"/>
        </w:rPr>
        <w:t>工程</w:t>
      </w:r>
      <w:r>
        <w:rPr>
          <w:rFonts w:hint="eastAsia" w:ascii="黑体" w:hAnsi="黑体" w:eastAsia="黑体" w:cs="黑体"/>
          <w:color w:val="auto"/>
          <w:highlight w:val="none"/>
          <w:lang w:val="zh-CN"/>
        </w:rPr>
        <w:t>质量或者不能诚信履约</w:t>
      </w:r>
      <w:r>
        <w:rPr>
          <w:rFonts w:hint="eastAsia" w:ascii="黑体" w:hAnsi="黑体" w:eastAsia="黑体" w:cs="黑体"/>
          <w:color w:val="auto"/>
          <w:highlight w:val="none"/>
          <w:lang w:val="zh-CN" w:eastAsia="zh-CN"/>
        </w:rPr>
        <w:t>，</w:t>
      </w:r>
      <w:r>
        <w:rPr>
          <w:rFonts w:hint="eastAsia" w:ascii="黑体" w:hAnsi="黑体" w:eastAsia="黑体" w:cs="黑体"/>
          <w:color w:val="auto"/>
          <w:highlight w:val="none"/>
          <w:lang w:val="en-US" w:eastAsia="zh-CN"/>
        </w:rPr>
        <w:t>应启动以下程序</w:t>
      </w:r>
      <w:r>
        <w:rPr>
          <w:rFonts w:hint="eastAsia" w:ascii="黑体" w:hAnsi="黑体" w:eastAsia="黑体" w:cs="黑体"/>
          <w:color w:val="auto"/>
          <w:highlight w:val="none"/>
          <w:lang w:val="zh-CN"/>
        </w:rPr>
        <w:t>。</w:t>
      </w:r>
      <w:bookmarkEnd w:id="3"/>
      <w:bookmarkEnd w:id="4"/>
      <w:bookmarkStart w:id="5" w:name="_Toc25872"/>
      <w:bookmarkStart w:id="6" w:name="_Toc15401"/>
    </w:p>
    <w:p w14:paraId="64CA25E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（1）若投标供应商的报价超过最高限价，则为无效报价，按无效投标处理；</w:t>
      </w:r>
    </w:p>
    <w:p w14:paraId="7FE8069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2）评标委员会认为投标供应商的报价明显低于其他通过资格审查投标供应商的报价，有可能影响产品质量或者不能诚信履约的，应当要求其在评标现场合理的时间内提供书面说明，必要时提交相关证明材料；投标供应商不能证明其报价合理性的，评标委员会应当将其作为无效投标处理。</w:t>
      </w:r>
    </w:p>
    <w:p w14:paraId="7B19EA0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（3）评审中出现下列情形之一的，评审委员会应当启动异常低价投标（响应）审查程序：</w:t>
      </w:r>
    </w:p>
    <w:p w14:paraId="60D9824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①投标（响应）报价低于全部通过符合性审查供应商投标（响应）报价平均值50%的，即投标（响应）报价小于全部通过符合性审查供应商投标（响应）报价平均值×50%；</w:t>
      </w:r>
    </w:p>
    <w:p w14:paraId="5EEA416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②投标（响应）报价低于通过符合性审查的次低报价供应商投标（响应）报价50%的，即投标（响应）报价小于通过符合性审查的次低报价供应商投标（响应）报价×50%；</w:t>
      </w:r>
    </w:p>
    <w:p w14:paraId="09043B4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③投标（响应）报价低于采购项目最高限价50%的，即投标（响应）报价小于采购项目最高限价×50%；</w:t>
      </w:r>
    </w:p>
    <w:p w14:paraId="7A71CBC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④评审委员会基于专业判断，认为供应商报价过低，有可能影响产品质量或者不能诚信履约的其他情形。</w:t>
      </w:r>
    </w:p>
    <w:p w14:paraId="10A829C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0501CB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8F5709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7985F48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r>
        <w:rPr>
          <w:rFonts w:hint="eastAsia" w:ascii="黑体" w:hAnsi="黑体" w:eastAsia="黑体" w:cs="黑体"/>
          <w:color w:val="auto"/>
          <w:highlight w:val="none"/>
          <w:lang w:val="zh-CN"/>
        </w:rPr>
        <w:t>2、总报价包括所需项目的所有材料费、税费、运输费、安装及调试费、建人工费、装卸费、保险费、付款方式导致的资金占用利息费、产品质量验收检测所需的一切费用、其它相关服务及售后服务费等，如一旦成交，在项目实施中出现任何遗漏，均由成交供应商免费提供，采购人不再另行支付任何费用。</w:t>
      </w:r>
      <w:bookmarkEnd w:id="5"/>
      <w:bookmarkEnd w:id="6"/>
    </w:p>
    <w:p w14:paraId="7CCCA0AE">
      <w:pPr>
        <w:shd w:val="clear" w:color="auto" w:fill="auto"/>
        <w:adjustRightInd w:val="0"/>
        <w:snapToGrid w:val="0"/>
        <w:spacing w:line="360" w:lineRule="auto"/>
        <w:rPr>
          <w:rFonts w:hint="eastAsia" w:ascii="黑体" w:hAnsi="黑体" w:eastAsia="黑体" w:cs="黑体"/>
          <w:b/>
          <w:bCs/>
          <w:color w:val="auto"/>
          <w:sz w:val="24"/>
          <w:highlight w:val="none"/>
        </w:rPr>
      </w:pPr>
      <w:r>
        <w:rPr>
          <w:rFonts w:hint="eastAsia" w:ascii="黑体" w:hAnsi="黑体" w:eastAsia="黑体" w:cs="黑体"/>
          <w:b/>
          <w:bCs/>
          <w:color w:val="auto"/>
          <w:sz w:val="24"/>
          <w:highlight w:val="none"/>
          <w:lang w:val="en-US" w:eastAsia="zh-CN"/>
        </w:rPr>
        <w:t>七</w:t>
      </w:r>
      <w:r>
        <w:rPr>
          <w:rFonts w:hint="eastAsia" w:ascii="黑体" w:hAnsi="黑体" w:eastAsia="黑体" w:cs="黑体"/>
          <w:b/>
          <w:bCs/>
          <w:color w:val="auto"/>
          <w:sz w:val="24"/>
          <w:highlight w:val="none"/>
        </w:rPr>
        <w:t>、工期及质量要求</w:t>
      </w:r>
    </w:p>
    <w:p w14:paraId="5ED5E65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rPr>
      </w:pPr>
      <w:bookmarkStart w:id="7" w:name="_Toc8278"/>
      <w:bookmarkStart w:id="8" w:name="_Toc4296"/>
      <w:bookmarkStart w:id="9" w:name="_Toc17380"/>
      <w:r>
        <w:rPr>
          <w:rFonts w:hint="eastAsia" w:ascii="黑体" w:hAnsi="黑体" w:eastAsia="黑体" w:cs="黑体"/>
          <w:color w:val="auto"/>
          <w:highlight w:val="none"/>
          <w:lang w:val="zh-CN"/>
        </w:rPr>
        <w:t>1、工期</w:t>
      </w:r>
      <w:r>
        <w:rPr>
          <w:rFonts w:hint="eastAsia" w:ascii="黑体" w:hAnsi="黑体" w:eastAsia="黑体" w:cs="黑体"/>
          <w:color w:val="auto"/>
          <w:highlight w:val="none"/>
          <w:lang w:val="en-US" w:eastAsia="zh-CN"/>
        </w:rPr>
        <w:t>要求</w:t>
      </w:r>
      <w:r>
        <w:rPr>
          <w:rFonts w:hint="eastAsia" w:ascii="黑体" w:hAnsi="黑体" w:eastAsia="黑体" w:cs="黑体"/>
          <w:color w:val="auto"/>
          <w:highlight w:val="none"/>
          <w:lang w:val="zh-CN"/>
        </w:rPr>
        <w:t>：</w:t>
      </w:r>
      <w:r>
        <w:rPr>
          <w:rFonts w:hint="eastAsia" w:ascii="黑体" w:hAnsi="黑体" w:eastAsia="黑体" w:cs="黑体"/>
          <w:color w:val="auto"/>
          <w:highlight w:val="none"/>
          <w:lang w:val="zh-CN" w:eastAsia="zh-CN"/>
        </w:rPr>
        <w:t>采购合同签订起</w:t>
      </w:r>
      <w:r>
        <w:rPr>
          <w:rFonts w:hint="eastAsia" w:ascii="黑体" w:hAnsi="黑体" w:eastAsia="黑体" w:cs="黑体"/>
          <w:color w:val="auto"/>
          <w:highlight w:val="none"/>
          <w:lang w:val="en-US" w:eastAsia="zh-CN"/>
        </w:rPr>
        <w:t>60</w:t>
      </w:r>
      <w:r>
        <w:rPr>
          <w:rFonts w:hint="eastAsia" w:ascii="黑体" w:hAnsi="黑体" w:eastAsia="黑体" w:cs="黑体"/>
          <w:color w:val="auto"/>
          <w:highlight w:val="none"/>
          <w:lang w:val="zh-CN" w:eastAsia="zh-CN"/>
        </w:rPr>
        <w:t>日历天工程竣工验收备案</w:t>
      </w:r>
      <w:r>
        <w:rPr>
          <w:rFonts w:hint="eastAsia" w:ascii="黑体" w:hAnsi="黑体" w:eastAsia="黑体" w:cs="黑体"/>
          <w:color w:val="auto"/>
          <w:highlight w:val="none"/>
          <w:lang w:val="zh-CN"/>
        </w:rPr>
        <w:t>。</w:t>
      </w:r>
      <w:bookmarkEnd w:id="7"/>
      <w:bookmarkEnd w:id="8"/>
      <w:bookmarkEnd w:id="9"/>
    </w:p>
    <w:p w14:paraId="748078A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zh-CN" w:eastAsia="zh-CN"/>
        </w:rPr>
      </w:pPr>
      <w:bookmarkStart w:id="10" w:name="_Toc5911"/>
      <w:bookmarkStart w:id="11" w:name="_Toc871"/>
      <w:bookmarkStart w:id="12" w:name="_Toc1824"/>
      <w:r>
        <w:rPr>
          <w:rFonts w:hint="eastAsia" w:ascii="黑体" w:hAnsi="黑体" w:eastAsia="黑体" w:cs="黑体"/>
          <w:color w:val="auto"/>
          <w:highlight w:val="none"/>
          <w:lang w:val="en-US" w:eastAsia="zh-CN"/>
        </w:rPr>
        <w:t>2</w:t>
      </w:r>
      <w:r>
        <w:rPr>
          <w:rFonts w:hint="eastAsia" w:ascii="黑体" w:hAnsi="黑体" w:eastAsia="黑体" w:cs="黑体"/>
          <w:color w:val="auto"/>
          <w:highlight w:val="none"/>
          <w:lang w:val="zh-CN" w:eastAsia="zh-CN"/>
        </w:rPr>
        <w:t>、质量标准：符合《工程施工质量验收规范》要求验收合格。</w:t>
      </w:r>
      <w:bookmarkEnd w:id="10"/>
      <w:bookmarkEnd w:id="11"/>
      <w:bookmarkEnd w:id="12"/>
    </w:p>
    <w:p w14:paraId="30CCEAF0">
      <w:pPr>
        <w:shd w:val="clear" w:color="auto" w:fill="auto"/>
        <w:adjustRightInd w:val="0"/>
        <w:snapToGrid w:val="0"/>
        <w:spacing w:line="360" w:lineRule="auto"/>
        <w:outlineLvl w:val="1"/>
        <w:rPr>
          <w:rFonts w:hint="eastAsia" w:ascii="黑体" w:hAnsi="黑体" w:eastAsia="黑体" w:cs="黑体"/>
          <w:b/>
          <w:bCs/>
          <w:color w:val="auto"/>
          <w:sz w:val="24"/>
          <w:highlight w:val="none"/>
        </w:rPr>
      </w:pPr>
      <w:r>
        <w:rPr>
          <w:rFonts w:hint="eastAsia" w:ascii="黑体" w:hAnsi="黑体" w:eastAsia="黑体" w:cs="黑体"/>
          <w:b/>
          <w:bCs/>
          <w:color w:val="auto"/>
          <w:sz w:val="24"/>
          <w:highlight w:val="none"/>
          <w:lang w:val="en-US" w:eastAsia="zh-CN"/>
        </w:rPr>
        <w:t>八</w:t>
      </w:r>
      <w:r>
        <w:rPr>
          <w:rFonts w:hint="eastAsia" w:ascii="黑体" w:hAnsi="黑体" w:eastAsia="黑体" w:cs="黑体"/>
          <w:b/>
          <w:bCs/>
          <w:color w:val="auto"/>
          <w:sz w:val="24"/>
          <w:highlight w:val="none"/>
        </w:rPr>
        <w:t>、项目实施要求</w:t>
      </w:r>
    </w:p>
    <w:p w14:paraId="60884A47">
      <w:pPr>
        <w:widowControl w:val="0"/>
        <w:spacing w:after="120" w:line="360" w:lineRule="auto"/>
        <w:ind w:firstLine="420" w:firstLineChars="200"/>
        <w:jc w:val="both"/>
        <w:rPr>
          <w:rFonts w:hint="eastAsia" w:ascii="黑体" w:hAnsi="黑体" w:eastAsia="黑体" w:cs="黑体"/>
          <w:color w:val="auto"/>
          <w:kern w:val="2"/>
          <w:sz w:val="21"/>
          <w:szCs w:val="21"/>
          <w:highlight w:val="none"/>
          <w:lang w:val="en-US" w:eastAsia="zh-CN" w:bidi="ar-SA"/>
        </w:rPr>
      </w:pPr>
      <w:r>
        <w:rPr>
          <w:rFonts w:hint="eastAsia" w:ascii="黑体" w:hAnsi="黑体" w:eastAsia="黑体" w:cs="黑体"/>
          <w:color w:val="auto"/>
          <w:kern w:val="2"/>
          <w:sz w:val="21"/>
          <w:szCs w:val="21"/>
          <w:highlight w:val="none"/>
          <w:lang w:val="en-US" w:eastAsia="zh-CN" w:bidi="ar-SA"/>
        </w:rPr>
        <w:t>1、项目人员配置：待项目成交后，成交供应商需按照湘建建〔2020〕208号文件要求配备建设工程施工项目部关键岗位人员，施工项目部关键岗位人员不得同时在其他建设工程项目中任职。</w:t>
      </w:r>
    </w:p>
    <w:p w14:paraId="03119262">
      <w:pPr>
        <w:spacing w:line="360" w:lineRule="auto"/>
        <w:ind w:firstLine="420" w:firstLineChars="20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2、</w:t>
      </w:r>
      <w:r>
        <w:rPr>
          <w:rFonts w:hint="eastAsia" w:ascii="黑体" w:hAnsi="黑体" w:eastAsia="黑体" w:cs="黑体"/>
          <w:b/>
          <w:bCs/>
          <w:color w:val="auto"/>
          <w:sz w:val="21"/>
          <w:szCs w:val="21"/>
          <w:highlight w:val="none"/>
          <w:lang w:val="en-US" w:eastAsia="zh-CN"/>
        </w:rPr>
        <w:t>项目负责人、技术负责人、专职安全员原则上不得更换人员，如因特殊情况需要更换人员的，必须经过采购人的同意方可更换。</w:t>
      </w:r>
    </w:p>
    <w:p w14:paraId="4FC19714">
      <w:pPr>
        <w:spacing w:line="360" w:lineRule="auto"/>
        <w:ind w:right="23" w:rightChars="11" w:firstLine="420"/>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3</w:t>
      </w:r>
      <w:r>
        <w:rPr>
          <w:rFonts w:hint="eastAsia" w:ascii="黑体" w:hAnsi="黑体" w:eastAsia="黑体" w:cs="黑体"/>
          <w:b/>
          <w:bCs/>
          <w:color w:val="auto"/>
          <w:sz w:val="21"/>
          <w:szCs w:val="21"/>
          <w:highlight w:val="none"/>
        </w:rPr>
        <w:t>、建筑材料运输、保管及保险：</w:t>
      </w:r>
    </w:p>
    <w:p w14:paraId="407CA8E7">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3</w:t>
      </w:r>
      <w:r>
        <w:rPr>
          <w:rFonts w:hint="eastAsia" w:ascii="黑体" w:hAnsi="黑体" w:eastAsia="黑体" w:cs="黑体"/>
          <w:color w:val="auto"/>
          <w:sz w:val="21"/>
          <w:szCs w:val="21"/>
          <w:highlight w:val="none"/>
        </w:rPr>
        <w:t>.1成交供应商负责建筑材料到施工地点的全部运输，包括装卸及现场搬运等。</w:t>
      </w:r>
    </w:p>
    <w:p w14:paraId="14C5B5BE">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3</w:t>
      </w:r>
      <w:r>
        <w:rPr>
          <w:rFonts w:hint="eastAsia" w:ascii="黑体" w:hAnsi="黑体" w:eastAsia="黑体" w:cs="黑体"/>
          <w:color w:val="auto"/>
          <w:sz w:val="21"/>
          <w:szCs w:val="21"/>
          <w:highlight w:val="none"/>
        </w:rPr>
        <w:t>.2成交供应商负责建筑材料在施工地点的保管，直至项目验收合格。</w:t>
      </w:r>
    </w:p>
    <w:p w14:paraId="48670CED">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3</w:t>
      </w:r>
      <w:r>
        <w:rPr>
          <w:rFonts w:hint="eastAsia" w:ascii="黑体" w:hAnsi="黑体" w:eastAsia="黑体" w:cs="黑体"/>
          <w:color w:val="auto"/>
          <w:sz w:val="21"/>
          <w:szCs w:val="21"/>
          <w:highlight w:val="none"/>
        </w:rPr>
        <w:t>.3成交供应商负责其派出的施工人员的人身意外保险。</w:t>
      </w:r>
    </w:p>
    <w:p w14:paraId="262879AA">
      <w:pPr>
        <w:spacing w:line="400" w:lineRule="exact"/>
        <w:ind w:right="23" w:rightChars="11" w:firstLine="420"/>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4</w:t>
      </w:r>
      <w:r>
        <w:rPr>
          <w:rFonts w:hint="eastAsia" w:ascii="黑体" w:hAnsi="黑体" w:eastAsia="黑体" w:cs="黑体"/>
          <w:b/>
          <w:bCs/>
          <w:color w:val="auto"/>
          <w:sz w:val="21"/>
          <w:szCs w:val="21"/>
          <w:highlight w:val="none"/>
        </w:rPr>
        <w:t>、施工要求：</w:t>
      </w:r>
    </w:p>
    <w:p w14:paraId="425B9B7D">
      <w:pPr>
        <w:spacing w:line="400" w:lineRule="exact"/>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4</w:t>
      </w:r>
      <w:r>
        <w:rPr>
          <w:rFonts w:hint="eastAsia" w:ascii="黑体" w:hAnsi="黑体" w:eastAsia="黑体" w:cs="黑体"/>
          <w:color w:val="auto"/>
          <w:sz w:val="21"/>
          <w:szCs w:val="21"/>
          <w:highlight w:val="none"/>
        </w:rPr>
        <w:t>.1成交供应商须加强施工的组织管理，所有施工人员须遵守文明安全施工的有关规章制度，持证上岗。</w:t>
      </w:r>
    </w:p>
    <w:p w14:paraId="5FB680A1">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4</w:t>
      </w:r>
      <w:r>
        <w:rPr>
          <w:rFonts w:hint="eastAsia" w:ascii="黑体" w:hAnsi="黑体" w:eastAsia="黑体" w:cs="黑体"/>
          <w:color w:val="auto"/>
          <w:sz w:val="21"/>
          <w:szCs w:val="21"/>
          <w:highlight w:val="none"/>
        </w:rPr>
        <w:t>.2项目实施具体地点和范围及相关资料由采购人提供和确认。</w:t>
      </w:r>
    </w:p>
    <w:p w14:paraId="3797F637">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b/>
          <w:bCs/>
          <w:color w:val="auto"/>
          <w:sz w:val="21"/>
          <w:szCs w:val="21"/>
          <w:highlight w:val="none"/>
          <w:lang w:val="en-US" w:eastAsia="zh-CN"/>
        </w:rPr>
        <w:t>5</w:t>
      </w:r>
      <w:r>
        <w:rPr>
          <w:rFonts w:hint="eastAsia" w:ascii="黑体" w:hAnsi="黑体" w:eastAsia="黑体" w:cs="黑体"/>
          <w:b/>
          <w:bCs/>
          <w:color w:val="auto"/>
          <w:sz w:val="21"/>
          <w:szCs w:val="21"/>
          <w:highlight w:val="none"/>
        </w:rPr>
        <w:t>、验收要求：</w:t>
      </w:r>
      <w:r>
        <w:rPr>
          <w:rFonts w:hint="eastAsia" w:ascii="黑体" w:hAnsi="黑体" w:eastAsia="黑体" w:cs="黑体"/>
          <w:color w:val="auto"/>
          <w:sz w:val="21"/>
          <w:szCs w:val="21"/>
          <w:highlight w:val="none"/>
        </w:rPr>
        <w:t>由采购人组织验收。</w:t>
      </w:r>
    </w:p>
    <w:p w14:paraId="7E6BAF08">
      <w:pPr>
        <w:spacing w:line="360" w:lineRule="auto"/>
        <w:ind w:right="23" w:rightChars="11" w:firstLine="420"/>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6</w:t>
      </w:r>
      <w:r>
        <w:rPr>
          <w:rFonts w:hint="eastAsia" w:ascii="黑体" w:hAnsi="黑体" w:eastAsia="黑体" w:cs="黑体"/>
          <w:b/>
          <w:bCs/>
          <w:color w:val="auto"/>
          <w:sz w:val="21"/>
          <w:szCs w:val="21"/>
          <w:highlight w:val="none"/>
        </w:rPr>
        <w:t>、质量要求：</w:t>
      </w:r>
    </w:p>
    <w:p w14:paraId="0EBD24D5">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6</w:t>
      </w:r>
      <w:r>
        <w:rPr>
          <w:rFonts w:hint="eastAsia" w:ascii="黑体" w:hAnsi="黑体" w:eastAsia="黑体" w:cs="黑体"/>
          <w:color w:val="auto"/>
          <w:sz w:val="21"/>
          <w:szCs w:val="21"/>
          <w:highlight w:val="none"/>
        </w:rPr>
        <w:t>.1本工程质量符合《工程施工质量验收规范》要求验收合格。</w:t>
      </w:r>
    </w:p>
    <w:p w14:paraId="1AA63CFC">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6</w:t>
      </w:r>
      <w:r>
        <w:rPr>
          <w:rFonts w:hint="eastAsia" w:ascii="黑体" w:hAnsi="黑体" w:eastAsia="黑体" w:cs="黑体"/>
          <w:color w:val="auto"/>
          <w:sz w:val="21"/>
          <w:szCs w:val="21"/>
          <w:highlight w:val="none"/>
        </w:rPr>
        <w:t>.2施工期间，应接受采购人的监督管理，遵守有关规定。</w:t>
      </w:r>
    </w:p>
    <w:p w14:paraId="07A66E50">
      <w:pPr>
        <w:spacing w:line="360" w:lineRule="auto"/>
        <w:ind w:right="23" w:rightChars="11" w:firstLine="420"/>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lang w:val="en-US" w:eastAsia="zh-CN"/>
        </w:rPr>
        <w:t>6</w:t>
      </w:r>
      <w:r>
        <w:rPr>
          <w:rFonts w:hint="eastAsia" w:ascii="黑体" w:hAnsi="黑体" w:eastAsia="黑体" w:cs="黑体"/>
          <w:color w:val="auto"/>
          <w:sz w:val="21"/>
          <w:szCs w:val="21"/>
          <w:highlight w:val="none"/>
        </w:rPr>
        <w:t>.3质量保修：</w:t>
      </w:r>
      <w:r>
        <w:rPr>
          <w:rFonts w:hint="eastAsia" w:ascii="黑体" w:hAnsi="黑体" w:eastAsia="黑体" w:cs="黑体"/>
          <w:b/>
          <w:bCs/>
          <w:color w:val="auto"/>
          <w:sz w:val="21"/>
          <w:szCs w:val="21"/>
          <w:highlight w:val="none"/>
          <w:u w:val="single"/>
        </w:rPr>
        <w:t>保修期一年</w:t>
      </w:r>
      <w:r>
        <w:rPr>
          <w:rFonts w:hint="eastAsia" w:ascii="黑体" w:hAnsi="黑体" w:eastAsia="黑体" w:cs="黑体"/>
          <w:color w:val="auto"/>
          <w:sz w:val="21"/>
          <w:szCs w:val="21"/>
          <w:highlight w:val="none"/>
        </w:rPr>
        <w:t>，保修期间进场维修，保证无偿修理完好，否则，由采购人安排维修，维修费在质保金中双倍扣除。</w:t>
      </w:r>
    </w:p>
    <w:p w14:paraId="7EF4D868">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6.4工程质量保修期内，从接到业主保修通知之时起，总承包单位维修人员8小时内到达现场检查情况；在业主发出要求修补指示后，24小时内进行并完成修补；对生命财产有危险的紧急事件以及涉及结构安全或严重影响使用功能及运行操作的紧急抢修事故，在接到保修通知后，应立即到达现场抢修处理；保修工作以业主满意为原则。</w:t>
      </w:r>
    </w:p>
    <w:p w14:paraId="6A51C184">
      <w:pPr>
        <w:spacing w:line="360" w:lineRule="auto"/>
        <w:ind w:right="23" w:rightChars="11" w:firstLine="420"/>
        <w:rPr>
          <w:rFonts w:hint="eastAsia" w:ascii="黑体" w:hAnsi="黑体" w:eastAsia="黑体" w:cs="黑体"/>
          <w:b/>
          <w:bCs/>
          <w:color w:val="auto"/>
          <w:sz w:val="21"/>
          <w:szCs w:val="21"/>
          <w:highlight w:val="none"/>
          <w:lang w:val="en-US" w:eastAsia="zh-CN"/>
        </w:rPr>
      </w:pPr>
      <w:r>
        <w:rPr>
          <w:rFonts w:hint="eastAsia" w:ascii="黑体" w:hAnsi="黑体" w:eastAsia="黑体" w:cs="黑体"/>
          <w:b/>
          <w:bCs/>
          <w:color w:val="auto"/>
          <w:sz w:val="21"/>
          <w:szCs w:val="21"/>
          <w:highlight w:val="none"/>
          <w:lang w:val="en-US" w:eastAsia="zh-CN"/>
        </w:rPr>
        <w:t>7、逾期交工：</w:t>
      </w:r>
      <w:r>
        <w:rPr>
          <w:rFonts w:hint="eastAsia" w:ascii="黑体" w:hAnsi="黑体" w:eastAsia="黑体" w:cs="黑体"/>
          <w:color w:val="auto"/>
          <w:sz w:val="21"/>
          <w:szCs w:val="21"/>
          <w:highlight w:val="none"/>
          <w:u w:val="single"/>
          <w:lang w:val="en-US" w:eastAsia="zh-CN"/>
        </w:rPr>
        <w:t>按合同约定</w:t>
      </w:r>
      <w:r>
        <w:rPr>
          <w:rFonts w:hint="eastAsia" w:ascii="黑体" w:hAnsi="黑体" w:eastAsia="黑体" w:cs="黑体"/>
          <w:color w:val="auto"/>
          <w:sz w:val="21"/>
          <w:szCs w:val="21"/>
          <w:highlight w:val="none"/>
          <w:lang w:val="en-US" w:eastAsia="zh-CN"/>
        </w:rPr>
        <w:t>。</w:t>
      </w:r>
    </w:p>
    <w:p w14:paraId="3A79A5CC">
      <w:pPr>
        <w:shd w:val="clear" w:color="auto" w:fill="auto"/>
        <w:adjustRightInd w:val="0"/>
        <w:snapToGrid w:val="0"/>
        <w:spacing w:line="360" w:lineRule="auto"/>
        <w:outlineLvl w:val="1"/>
        <w:rPr>
          <w:rFonts w:hint="eastAsia" w:ascii="黑体" w:hAnsi="黑体" w:eastAsia="黑体" w:cs="黑体"/>
          <w:b/>
          <w:bCs/>
          <w:color w:val="auto"/>
          <w:sz w:val="24"/>
          <w:highlight w:val="none"/>
          <w:u w:val="none"/>
        </w:rPr>
      </w:pPr>
      <w:r>
        <w:rPr>
          <w:rFonts w:hint="eastAsia" w:ascii="黑体" w:hAnsi="黑体" w:eastAsia="黑体" w:cs="黑体"/>
          <w:b/>
          <w:bCs/>
          <w:color w:val="auto"/>
          <w:sz w:val="24"/>
          <w:highlight w:val="none"/>
          <w:u w:val="none"/>
          <w:lang w:val="en-US" w:eastAsia="zh-CN"/>
        </w:rPr>
        <w:t>九</w:t>
      </w:r>
      <w:r>
        <w:rPr>
          <w:rFonts w:hint="eastAsia" w:ascii="黑体" w:hAnsi="黑体" w:eastAsia="黑体" w:cs="黑体"/>
          <w:b/>
          <w:bCs/>
          <w:color w:val="auto"/>
          <w:sz w:val="24"/>
          <w:highlight w:val="none"/>
          <w:u w:val="none"/>
        </w:rPr>
        <w:t>、结算方式</w:t>
      </w:r>
    </w:p>
    <w:p w14:paraId="7A926C47">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1、支付方式：银行电汇。</w:t>
      </w:r>
    </w:p>
    <w:p w14:paraId="5A7209A4">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2、付款方式：整体工程实施完成70%可支付进度款，支付进度款比例以完成工程量的80%，支付合同总金额的30％，审计结算完成后支付至合同总金额的97％，预留3%作为质保金，待工程交付使用保修期完成后（无质量及其他经济法律纠纷）不计息付清。</w:t>
      </w:r>
    </w:p>
    <w:p w14:paraId="059AE154">
      <w:pPr>
        <w:spacing w:line="360" w:lineRule="auto"/>
        <w:ind w:right="23" w:rightChars="11" w:firstLine="420"/>
        <w:rPr>
          <w:rFonts w:hint="eastAsia" w:ascii="黑体" w:hAnsi="黑体" w:eastAsia="黑体" w:cs="黑体"/>
          <w:color w:val="auto"/>
          <w:sz w:val="21"/>
          <w:szCs w:val="21"/>
          <w:highlight w:val="none"/>
          <w:lang w:val="en-US" w:eastAsia="zh-CN"/>
        </w:rPr>
      </w:pPr>
      <w:r>
        <w:rPr>
          <w:rFonts w:hint="eastAsia" w:ascii="黑体" w:hAnsi="黑体" w:eastAsia="黑体" w:cs="黑体"/>
          <w:color w:val="auto"/>
          <w:sz w:val="21"/>
          <w:szCs w:val="21"/>
          <w:highlight w:val="none"/>
          <w:lang w:val="en-US" w:eastAsia="zh-CN"/>
        </w:rPr>
        <w:t>3、本项目中标金额不能作为总价包干依据，最终结算价以审定金额为准。成交供应商应根据项目要求和现场情况，应详细列明项目所需的设备、材料以及人工、管理、财务等所有费用，采购人不再另行支付任何费用。</w:t>
      </w:r>
    </w:p>
    <w:p w14:paraId="13563BD7">
      <w:pPr>
        <w:shd w:val="clear" w:color="auto" w:fill="auto"/>
        <w:adjustRightInd w:val="0"/>
        <w:snapToGrid w:val="0"/>
        <w:spacing w:line="360" w:lineRule="auto"/>
        <w:outlineLvl w:val="1"/>
        <w:rPr>
          <w:rFonts w:hint="eastAsia" w:ascii="黑体" w:hAnsi="黑体" w:eastAsia="黑体" w:cs="黑体"/>
          <w:b/>
          <w:bCs/>
          <w:color w:val="auto"/>
          <w:sz w:val="24"/>
          <w:highlight w:val="none"/>
          <w:lang w:val="en-US" w:eastAsia="zh-CN"/>
        </w:rPr>
      </w:pPr>
      <w:r>
        <w:rPr>
          <w:rFonts w:hint="eastAsia" w:ascii="黑体" w:hAnsi="黑体" w:eastAsia="黑体" w:cs="黑体"/>
          <w:b/>
          <w:bCs/>
          <w:color w:val="auto"/>
          <w:sz w:val="24"/>
          <w:highlight w:val="none"/>
          <w:lang w:val="en-US" w:eastAsia="zh-CN"/>
        </w:rPr>
        <w:t>十、工程变更及其他</w:t>
      </w:r>
    </w:p>
    <w:p w14:paraId="253138C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1、当发生工程变更、工程量增减时，由采购人进行审核。</w:t>
      </w:r>
    </w:p>
    <w:p w14:paraId="5988066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2、工程竣工结算：工程竣工后双方应及时办理工程结算，未办理完结算不再支付剩余工程款。</w:t>
      </w:r>
    </w:p>
    <w:p w14:paraId="7FEB9C9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3、工程竣工资料移交：工程竣工验收后，成交供应商应在10天内提交完整齐备的工程竣工资料和验收资料装订成册交采购人四套存档，并必须保证所有归档资料的真实性。</w:t>
      </w:r>
    </w:p>
    <w:p w14:paraId="46DD580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4、现场踏勘：采购人不另行组织现场踏勘，有关踏勘事宜由供应商与采购人联系，自行处理。</w:t>
      </w:r>
    </w:p>
    <w:p w14:paraId="7EAB5E78">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8B2887"/>
    <w:rsid w:val="128B2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3">
    <w:name w:val="toc 2"/>
    <w:next w:val="1"/>
    <w:semiHidden/>
    <w:qFormat/>
    <w:uiPriority w:val="0"/>
    <w:pPr>
      <w:widowControl w:val="0"/>
      <w:spacing w:before="50" w:beforeLines="50" w:line="360" w:lineRule="exact"/>
      <w:ind w:left="200" w:left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2026-10-26T07:34:00Z</dcterms:created>
  <dc:creator>漫步云端</dc:creator>
  <cp:lastModifiedBy>漫步云端</cp:lastModifiedBy>
  <dcterms:modified xsi:type="dcterms:W3CDTF">2026-10-26T07:34:48Z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BA0688B9942742739F912AF8F60D1F68_11</vt:lpwstr>
  </property>
  <property fmtid="{D5CDD505-2E9C-101B-9397-08002B2CF9AE}" pid="4" name="KSOTemplateDocerSaveRecord">
    <vt:lpwstr>eyJoZGlkIjoiYTgzNDY2MGFiMTI0NDU2YmJhOTE5ODdmMTUwYzBmY2UiLCJ1c2VySWQiOiI5MzAzNDQyMDMifQ==</vt:lpwstr>
  </property>
</Properties>
</file>