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3EF1C">
      <w:pPr>
        <w:pStyle w:val="2"/>
        <w:rPr>
          <w:rFonts w:ascii="黑体" w:hAnsi="黑体" w:eastAsia="黑体"/>
          <w:color w:val="auto"/>
          <w:sz w:val="32"/>
          <w:szCs w:val="32"/>
          <w:highlight w:val="none"/>
        </w:rPr>
      </w:pPr>
      <w:r>
        <w:rPr>
          <w:rFonts w:hint="eastAsia" w:ascii="黑体" w:hAnsi="黑体" w:eastAsia="黑体"/>
          <w:color w:val="auto"/>
          <w:sz w:val="32"/>
          <w:szCs w:val="32"/>
          <w:highlight w:val="none"/>
        </w:rPr>
        <w:t>采购需求</w:t>
      </w:r>
    </w:p>
    <w:p w14:paraId="71109D2A">
      <w:pPr>
        <w:numPr>
          <w:ilvl w:val="0"/>
          <w:numId w:val="0"/>
        </w:numPr>
        <w:adjustRightInd w:val="0"/>
        <w:snapToGrid w:val="0"/>
        <w:spacing w:line="360" w:lineRule="auto"/>
        <w:jc w:val="left"/>
        <w:rPr>
          <w:rFonts w:hint="eastAsia" w:ascii="Times New Roman" w:hAnsi="Times New Roman" w:eastAsia="宋体" w:cs="Times New Roman"/>
          <w:b/>
          <w:bCs/>
          <w:color w:val="auto"/>
          <w:kern w:val="2"/>
          <w:sz w:val="21"/>
          <w:szCs w:val="24"/>
          <w:highlight w:val="none"/>
          <w:lang w:val="en-US" w:eastAsia="zh-CN" w:bidi="ar-SA"/>
        </w:rPr>
      </w:pPr>
    </w:p>
    <w:p w14:paraId="3400CC56">
      <w:pPr>
        <w:numPr>
          <w:ilvl w:val="0"/>
          <w:numId w:val="0"/>
        </w:numPr>
        <w:adjustRightInd w:val="0"/>
        <w:snapToGrid w:val="0"/>
        <w:spacing w:line="360" w:lineRule="auto"/>
        <w:jc w:val="left"/>
        <w:rPr>
          <w:rFonts w:hint="eastAsia" w:eastAsia="宋体"/>
          <w:color w:val="auto"/>
          <w:highlight w:val="none"/>
          <w:lang w:eastAsia="zh-CN"/>
        </w:rPr>
      </w:pPr>
      <w:r>
        <w:rPr>
          <w:rFonts w:hint="eastAsia" w:ascii="Times New Roman" w:hAnsi="Times New Roman" w:eastAsia="宋体" w:cs="Times New Roman"/>
          <w:b/>
          <w:bCs/>
          <w:color w:val="auto"/>
          <w:kern w:val="2"/>
          <w:sz w:val="21"/>
          <w:szCs w:val="24"/>
          <w:highlight w:val="none"/>
          <w:lang w:val="en-US" w:eastAsia="zh-CN" w:bidi="ar-SA"/>
        </w:rPr>
        <w:t>一、</w:t>
      </w:r>
      <w:r>
        <w:rPr>
          <w:rFonts w:hint="eastAsia" w:ascii="宋体" w:hAnsi="宋体" w:cs="宋体"/>
          <w:b/>
          <w:color w:val="auto"/>
          <w:szCs w:val="21"/>
          <w:highlight w:val="none"/>
        </w:rPr>
        <w:t>项目名称：</w:t>
      </w:r>
      <w:r>
        <w:rPr>
          <w:rFonts w:hint="eastAsia" w:ascii="宋体" w:hAnsi="宋体" w:cs="宋体"/>
          <w:b w:val="0"/>
          <w:bCs/>
          <w:color w:val="auto"/>
          <w:szCs w:val="21"/>
          <w:highlight w:val="none"/>
          <w:lang w:val="en-US" w:eastAsia="zh-CN"/>
        </w:rPr>
        <w:t>资兴市半垅水库除险加固工程招标设计至施工图阶段勘察设计采购项目</w:t>
      </w:r>
    </w:p>
    <w:p w14:paraId="07F7DFE2">
      <w:pPr>
        <w:numPr>
          <w:ilvl w:val="0"/>
          <w:numId w:val="0"/>
        </w:numPr>
        <w:adjustRightInd w:val="0"/>
        <w:snapToGrid w:val="0"/>
        <w:spacing w:line="360" w:lineRule="auto"/>
        <w:jc w:val="left"/>
        <w:rPr>
          <w:rFonts w:ascii="宋体" w:hAnsi="宋体" w:cs="宋体"/>
          <w:color w:val="auto"/>
          <w:szCs w:val="21"/>
          <w:highlight w:val="none"/>
        </w:rPr>
      </w:pPr>
      <w:r>
        <w:rPr>
          <w:rFonts w:hint="eastAsia" w:ascii="宋体" w:hAnsi="宋体" w:eastAsia="宋体" w:cs="宋体"/>
          <w:b/>
          <w:bCs/>
          <w:color w:val="auto"/>
          <w:kern w:val="2"/>
          <w:sz w:val="21"/>
          <w:szCs w:val="21"/>
          <w:highlight w:val="none"/>
          <w:lang w:val="en-US" w:eastAsia="zh-CN" w:bidi="ar-SA"/>
        </w:rPr>
        <w:t>二、</w:t>
      </w:r>
      <w:r>
        <w:rPr>
          <w:rFonts w:hint="eastAsia" w:ascii="宋体" w:hAnsi="宋体" w:cs="宋体"/>
          <w:b/>
          <w:bCs/>
          <w:color w:val="auto"/>
          <w:szCs w:val="21"/>
          <w:highlight w:val="none"/>
        </w:rPr>
        <w:t>项目预算：</w:t>
      </w:r>
      <w:r>
        <w:rPr>
          <w:rFonts w:hint="eastAsia" w:ascii="宋体" w:hAnsi="宋体" w:cs="宋体"/>
          <w:b w:val="0"/>
          <w:bCs w:val="0"/>
          <w:color w:val="auto"/>
          <w:szCs w:val="21"/>
          <w:highlight w:val="none"/>
          <w:lang w:val="en-US" w:eastAsia="zh-CN"/>
        </w:rPr>
        <w:t>本项目费用上限为93.9万元</w:t>
      </w:r>
    </w:p>
    <w:p w14:paraId="68C686F2">
      <w:pPr>
        <w:numPr>
          <w:ilvl w:val="0"/>
          <w:numId w:val="0"/>
        </w:numPr>
        <w:adjustRightInd w:val="0"/>
        <w:snapToGrid w:val="0"/>
        <w:spacing w:line="360" w:lineRule="auto"/>
        <w:jc w:val="left"/>
        <w:rPr>
          <w:rFonts w:hint="eastAsia" w:ascii="宋体" w:hAnsi="宋体" w:cs="宋体"/>
          <w:b/>
          <w:bCs/>
          <w:color w:val="auto"/>
          <w:szCs w:val="21"/>
          <w:highlight w:val="none"/>
        </w:rPr>
      </w:pPr>
      <w:r>
        <w:rPr>
          <w:rFonts w:hint="eastAsia" w:ascii="宋体" w:hAnsi="宋体" w:eastAsia="宋体" w:cs="宋体"/>
          <w:b/>
          <w:bCs/>
          <w:color w:val="auto"/>
          <w:kern w:val="2"/>
          <w:sz w:val="21"/>
          <w:szCs w:val="21"/>
          <w:highlight w:val="none"/>
          <w:lang w:val="en-US" w:eastAsia="zh-CN" w:bidi="ar-SA"/>
        </w:rPr>
        <w:t>三、</w:t>
      </w:r>
      <w:r>
        <w:rPr>
          <w:rFonts w:hint="eastAsia" w:ascii="宋体" w:hAnsi="宋体" w:cs="宋体"/>
          <w:b/>
          <w:bCs/>
          <w:color w:val="auto"/>
          <w:szCs w:val="21"/>
          <w:highlight w:val="none"/>
        </w:rPr>
        <w:t>项目概况：</w:t>
      </w:r>
    </w:p>
    <w:p w14:paraId="4E1D4073">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半垅水库位于湖南省资兴市回龙山瑶族乡境内，地理位置坐标东经</w:t>
      </w:r>
      <w:r>
        <w:rPr>
          <w:rFonts w:hint="default"/>
          <w:color w:val="auto"/>
          <w:highlight w:val="none"/>
          <w:lang w:val="en-US" w:eastAsia="zh-CN"/>
        </w:rPr>
        <w:t>113°09′</w:t>
      </w:r>
      <w:r>
        <w:rPr>
          <w:rFonts w:hint="eastAsia"/>
          <w:color w:val="auto"/>
          <w:highlight w:val="none"/>
          <w:lang w:val="en-US" w:eastAsia="zh-CN"/>
        </w:rPr>
        <w:t>～</w:t>
      </w:r>
      <w:r>
        <w:rPr>
          <w:rFonts w:hint="default"/>
          <w:color w:val="auto"/>
          <w:highlight w:val="none"/>
          <w:lang w:val="en-US" w:eastAsia="zh-CN"/>
        </w:rPr>
        <w:t>113°44′</w:t>
      </w:r>
      <w:r>
        <w:rPr>
          <w:rFonts w:hint="eastAsia"/>
          <w:color w:val="auto"/>
          <w:highlight w:val="none"/>
          <w:lang w:val="en-US" w:eastAsia="zh-CN"/>
        </w:rPr>
        <w:t>、北纬</w:t>
      </w:r>
      <w:r>
        <w:rPr>
          <w:rFonts w:hint="default"/>
          <w:color w:val="auto"/>
          <w:highlight w:val="none"/>
          <w:lang w:val="en-US" w:eastAsia="zh-CN"/>
        </w:rPr>
        <w:t>25</w:t>
      </w:r>
      <w:r>
        <w:rPr>
          <w:rFonts w:hint="eastAsia"/>
          <w:color w:val="auto"/>
          <w:highlight w:val="none"/>
          <w:lang w:val="en-US" w:eastAsia="zh-CN"/>
        </w:rPr>
        <w:t>°</w:t>
      </w:r>
      <w:r>
        <w:rPr>
          <w:rFonts w:hint="default"/>
          <w:color w:val="auto"/>
          <w:highlight w:val="none"/>
          <w:lang w:val="en-US" w:eastAsia="zh-CN"/>
        </w:rPr>
        <w:t>33'</w:t>
      </w:r>
      <w:r>
        <w:rPr>
          <w:rFonts w:hint="eastAsia"/>
          <w:color w:val="auto"/>
          <w:highlight w:val="none"/>
          <w:lang w:val="en-US" w:eastAsia="zh-CN"/>
        </w:rPr>
        <w:t>～</w:t>
      </w:r>
      <w:r>
        <w:rPr>
          <w:rFonts w:hint="default"/>
          <w:color w:val="auto"/>
          <w:highlight w:val="none"/>
          <w:lang w:val="en-US" w:eastAsia="zh-CN"/>
        </w:rPr>
        <w:t>26</w:t>
      </w:r>
      <w:r>
        <w:rPr>
          <w:rFonts w:hint="eastAsia"/>
          <w:color w:val="auto"/>
          <w:highlight w:val="none"/>
          <w:lang w:val="en-US" w:eastAsia="zh-CN"/>
        </w:rPr>
        <w:t>°</w:t>
      </w:r>
      <w:r>
        <w:rPr>
          <w:rFonts w:hint="default"/>
          <w:color w:val="auto"/>
          <w:highlight w:val="none"/>
          <w:lang w:val="en-US" w:eastAsia="zh-CN"/>
        </w:rPr>
        <w:t>17'</w:t>
      </w:r>
      <w:r>
        <w:rPr>
          <w:rFonts w:hint="eastAsia"/>
          <w:color w:val="auto"/>
          <w:highlight w:val="none"/>
          <w:lang w:val="en-US" w:eastAsia="zh-CN"/>
        </w:rPr>
        <w:t>之间，枢纽工程距资兴市</w:t>
      </w:r>
      <w:r>
        <w:rPr>
          <w:rFonts w:hint="default"/>
          <w:color w:val="auto"/>
          <w:highlight w:val="none"/>
          <w:lang w:val="en-US" w:eastAsia="zh-CN"/>
        </w:rPr>
        <w:t>30km</w:t>
      </w:r>
      <w:r>
        <w:rPr>
          <w:rFonts w:hint="eastAsia"/>
          <w:color w:val="auto"/>
          <w:highlight w:val="none"/>
          <w:lang w:val="en-US" w:eastAsia="zh-CN"/>
        </w:rPr>
        <w:t>，防汛公路直到坝上，交通便利。水库位于耒水二级支流蓼市河上游，控制流域面积</w:t>
      </w:r>
      <w:r>
        <w:rPr>
          <w:rFonts w:hint="default"/>
          <w:color w:val="auto"/>
          <w:highlight w:val="none"/>
          <w:lang w:val="en-US" w:eastAsia="zh-CN"/>
        </w:rPr>
        <w:t>62km2</w:t>
      </w:r>
      <w:r>
        <w:rPr>
          <w:rFonts w:hint="eastAsia"/>
          <w:color w:val="auto"/>
          <w:highlight w:val="none"/>
          <w:lang w:val="en-US" w:eastAsia="zh-CN"/>
        </w:rPr>
        <w:t>。水库正常蓄水位</w:t>
      </w:r>
      <w:r>
        <w:rPr>
          <w:rFonts w:hint="default"/>
          <w:color w:val="auto"/>
          <w:highlight w:val="none"/>
          <w:lang w:val="en-US" w:eastAsia="zh-CN"/>
        </w:rPr>
        <w:t>252.3m</w:t>
      </w:r>
      <w:r>
        <w:rPr>
          <w:rFonts w:hint="eastAsia"/>
          <w:color w:val="auto"/>
          <w:highlight w:val="none"/>
          <w:lang w:val="en-US" w:eastAsia="zh-CN"/>
        </w:rPr>
        <w:t>，相应库容</w:t>
      </w:r>
      <w:r>
        <w:rPr>
          <w:rFonts w:hint="default"/>
          <w:color w:val="auto"/>
          <w:highlight w:val="none"/>
          <w:lang w:val="en-US" w:eastAsia="zh-CN"/>
        </w:rPr>
        <w:t>1860</w:t>
      </w:r>
      <w:r>
        <w:rPr>
          <w:rFonts w:hint="eastAsia"/>
          <w:color w:val="auto"/>
          <w:highlight w:val="none"/>
          <w:lang w:val="en-US" w:eastAsia="zh-CN"/>
        </w:rPr>
        <w:t>万</w:t>
      </w:r>
      <w:r>
        <w:rPr>
          <w:rFonts w:hint="default"/>
          <w:color w:val="auto"/>
          <w:highlight w:val="none"/>
          <w:lang w:val="en-US" w:eastAsia="zh-CN"/>
        </w:rPr>
        <w:t>m</w:t>
      </w:r>
      <w:r>
        <w:rPr>
          <w:rFonts w:hint="eastAsia"/>
          <w:color w:val="auto"/>
          <w:highlight w:val="none"/>
          <w:lang w:val="en-US" w:eastAsia="zh-CN"/>
        </w:rPr>
        <w:t>³，校核洪水位</w:t>
      </w:r>
      <w:r>
        <w:rPr>
          <w:rFonts w:hint="default"/>
          <w:color w:val="auto"/>
          <w:highlight w:val="none"/>
          <w:lang w:val="en-US" w:eastAsia="zh-CN"/>
        </w:rPr>
        <w:t>256.46m</w:t>
      </w:r>
      <w:r>
        <w:rPr>
          <w:rFonts w:hint="eastAsia"/>
          <w:color w:val="auto"/>
          <w:highlight w:val="none"/>
          <w:lang w:val="en-US" w:eastAsia="zh-CN"/>
        </w:rPr>
        <w:t>，相应库容</w:t>
      </w:r>
      <w:r>
        <w:rPr>
          <w:rFonts w:hint="default"/>
          <w:color w:val="auto"/>
          <w:highlight w:val="none"/>
          <w:lang w:val="en-US" w:eastAsia="zh-CN"/>
        </w:rPr>
        <w:t>2385.38</w:t>
      </w:r>
      <w:r>
        <w:rPr>
          <w:rFonts w:hint="eastAsia"/>
          <w:color w:val="auto"/>
          <w:highlight w:val="none"/>
          <w:lang w:val="en-US" w:eastAsia="zh-CN"/>
        </w:rPr>
        <w:t>万</w:t>
      </w:r>
      <w:r>
        <w:rPr>
          <w:rFonts w:hint="default"/>
          <w:color w:val="auto"/>
          <w:highlight w:val="none"/>
          <w:lang w:val="en-US" w:eastAsia="zh-CN"/>
        </w:rPr>
        <w:t>m</w:t>
      </w:r>
      <w:r>
        <w:rPr>
          <w:rFonts w:hint="eastAsia"/>
          <w:color w:val="auto"/>
          <w:highlight w:val="none"/>
          <w:lang w:val="en-US" w:eastAsia="zh-CN"/>
        </w:rPr>
        <w:t>³。发电死水位</w:t>
      </w:r>
      <w:r>
        <w:rPr>
          <w:rFonts w:hint="default"/>
          <w:color w:val="auto"/>
          <w:highlight w:val="none"/>
          <w:lang w:val="en-US" w:eastAsia="zh-CN"/>
        </w:rPr>
        <w:t>216.3m</w:t>
      </w:r>
      <w:r>
        <w:rPr>
          <w:rFonts w:hint="eastAsia"/>
          <w:color w:val="auto"/>
          <w:highlight w:val="none"/>
          <w:lang w:val="en-US" w:eastAsia="zh-CN"/>
        </w:rPr>
        <w:t>，相应库容</w:t>
      </w:r>
      <w:r>
        <w:rPr>
          <w:rFonts w:hint="default"/>
          <w:color w:val="auto"/>
          <w:highlight w:val="none"/>
          <w:lang w:val="en-US" w:eastAsia="zh-CN"/>
        </w:rPr>
        <w:t>43.0</w:t>
      </w:r>
      <w:r>
        <w:rPr>
          <w:rFonts w:hint="eastAsia"/>
          <w:color w:val="auto"/>
          <w:highlight w:val="none"/>
          <w:lang w:val="en-US" w:eastAsia="zh-CN"/>
        </w:rPr>
        <w:t>万</w:t>
      </w:r>
      <w:r>
        <w:rPr>
          <w:rFonts w:hint="default"/>
          <w:color w:val="auto"/>
          <w:highlight w:val="none"/>
          <w:lang w:val="en-US" w:eastAsia="zh-CN"/>
        </w:rPr>
        <w:t>m</w:t>
      </w:r>
      <w:r>
        <w:rPr>
          <w:rFonts w:hint="eastAsia"/>
          <w:color w:val="auto"/>
          <w:highlight w:val="none"/>
          <w:lang w:val="en-US" w:eastAsia="zh-CN"/>
        </w:rPr>
        <w:t>³。半垅水库是一座以灌溉为主，兼有防洪、发电、供水等综合效益的中型水利工程。</w:t>
      </w:r>
    </w:p>
    <w:p w14:paraId="502D4AE4">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半垅水库位于山丘区，大坝为混凝土拱坝，总库容</w:t>
      </w:r>
      <w:r>
        <w:rPr>
          <w:rFonts w:hint="default"/>
          <w:color w:val="auto"/>
          <w:highlight w:val="none"/>
          <w:lang w:val="en-US" w:eastAsia="zh-CN"/>
        </w:rPr>
        <w:t>2385.38</w:t>
      </w:r>
      <w:r>
        <w:rPr>
          <w:rFonts w:hint="eastAsia"/>
          <w:color w:val="auto"/>
          <w:highlight w:val="none"/>
          <w:lang w:val="en-US" w:eastAsia="zh-CN"/>
        </w:rPr>
        <w:t>万</w:t>
      </w:r>
      <w:r>
        <w:rPr>
          <w:rFonts w:hint="default"/>
          <w:color w:val="auto"/>
          <w:highlight w:val="none"/>
          <w:lang w:val="en-US" w:eastAsia="zh-CN"/>
        </w:rPr>
        <w:t>m</w:t>
      </w:r>
      <w:r>
        <w:rPr>
          <w:rFonts w:hint="eastAsia"/>
          <w:color w:val="auto"/>
          <w:highlight w:val="none"/>
          <w:lang w:val="en-US" w:eastAsia="zh-CN"/>
        </w:rPr>
        <w:t>³，半垅水库灌区设计灌溉面积</w:t>
      </w:r>
      <w:r>
        <w:rPr>
          <w:rFonts w:hint="default"/>
          <w:color w:val="auto"/>
          <w:highlight w:val="none"/>
          <w:lang w:val="en-US" w:eastAsia="zh-CN"/>
        </w:rPr>
        <w:t>7.8</w:t>
      </w:r>
      <w:r>
        <w:rPr>
          <w:rFonts w:hint="eastAsia"/>
          <w:color w:val="auto"/>
          <w:highlight w:val="none"/>
          <w:lang w:val="en-US" w:eastAsia="zh-CN"/>
        </w:rPr>
        <w:t>万亩，坝后半垅水电站总装机容量</w:t>
      </w:r>
      <w:r>
        <w:rPr>
          <w:rFonts w:hint="default"/>
          <w:color w:val="auto"/>
          <w:highlight w:val="none"/>
          <w:lang w:val="en-US" w:eastAsia="zh-CN"/>
        </w:rPr>
        <w:t>1500kW</w:t>
      </w:r>
      <w:r>
        <w:rPr>
          <w:rFonts w:hint="eastAsia"/>
          <w:color w:val="auto"/>
          <w:highlight w:val="none"/>
          <w:lang w:val="en-US" w:eastAsia="zh-CN"/>
        </w:rPr>
        <w:t>，半垅水厂年供水量</w:t>
      </w:r>
      <w:r>
        <w:rPr>
          <w:rFonts w:hint="default"/>
          <w:color w:val="auto"/>
          <w:highlight w:val="none"/>
          <w:lang w:val="en-US" w:eastAsia="zh-CN"/>
        </w:rPr>
        <w:t>165</w:t>
      </w:r>
      <w:r>
        <w:rPr>
          <w:rFonts w:hint="eastAsia"/>
          <w:color w:val="auto"/>
          <w:highlight w:val="none"/>
          <w:lang w:val="en-US" w:eastAsia="zh-CN"/>
        </w:rPr>
        <w:t>万</w:t>
      </w:r>
      <w:r>
        <w:rPr>
          <w:rFonts w:hint="default"/>
          <w:color w:val="auto"/>
          <w:highlight w:val="none"/>
          <w:lang w:val="en-US" w:eastAsia="zh-CN"/>
        </w:rPr>
        <w:t>m</w:t>
      </w:r>
      <w:r>
        <w:rPr>
          <w:rFonts w:hint="eastAsia"/>
          <w:color w:val="auto"/>
          <w:highlight w:val="none"/>
          <w:lang w:val="en-US" w:eastAsia="zh-CN"/>
        </w:rPr>
        <w:t>³，根据中华人民共和国《防洪标准》（</w:t>
      </w:r>
      <w:r>
        <w:rPr>
          <w:rFonts w:hint="default"/>
          <w:color w:val="auto"/>
          <w:highlight w:val="none"/>
          <w:lang w:val="en-US" w:eastAsia="zh-CN"/>
        </w:rPr>
        <w:t>GB50201-2014</w:t>
      </w:r>
      <w:r>
        <w:rPr>
          <w:rFonts w:hint="eastAsia"/>
          <w:color w:val="auto"/>
          <w:highlight w:val="none"/>
          <w:lang w:val="en-US" w:eastAsia="zh-CN"/>
        </w:rPr>
        <w:t>）、《水利水电工程等级划分及洪水标准》（</w:t>
      </w:r>
      <w:r>
        <w:rPr>
          <w:rFonts w:hint="default"/>
          <w:color w:val="auto"/>
          <w:highlight w:val="none"/>
          <w:lang w:val="en-US" w:eastAsia="zh-CN"/>
        </w:rPr>
        <w:t>SL252-2017</w:t>
      </w:r>
      <w:r>
        <w:rPr>
          <w:rFonts w:hint="eastAsia"/>
          <w:color w:val="auto"/>
          <w:highlight w:val="none"/>
          <w:lang w:val="en-US" w:eastAsia="zh-CN"/>
        </w:rPr>
        <w:t>），确定该水库为Ⅲ等工程，其主要建筑物为</w:t>
      </w:r>
      <w:r>
        <w:rPr>
          <w:rFonts w:hint="default"/>
          <w:color w:val="auto"/>
          <w:highlight w:val="none"/>
          <w:lang w:val="en-US" w:eastAsia="zh-CN"/>
        </w:rPr>
        <w:t>3</w:t>
      </w:r>
      <w:r>
        <w:rPr>
          <w:rFonts w:hint="eastAsia"/>
          <w:color w:val="auto"/>
          <w:highlight w:val="none"/>
          <w:lang w:val="en-US" w:eastAsia="zh-CN"/>
        </w:rPr>
        <w:t>级，次要建筑物级别为</w:t>
      </w:r>
      <w:r>
        <w:rPr>
          <w:rFonts w:hint="default"/>
          <w:color w:val="auto"/>
          <w:highlight w:val="none"/>
          <w:lang w:val="en-US" w:eastAsia="zh-CN"/>
        </w:rPr>
        <w:t>4</w:t>
      </w:r>
      <w:r>
        <w:rPr>
          <w:rFonts w:hint="eastAsia"/>
          <w:color w:val="auto"/>
          <w:highlight w:val="none"/>
          <w:lang w:val="en-US" w:eastAsia="zh-CN"/>
        </w:rPr>
        <w:t>级。水库按</w:t>
      </w:r>
      <w:r>
        <w:rPr>
          <w:rFonts w:hint="default"/>
          <w:color w:val="auto"/>
          <w:highlight w:val="none"/>
          <w:lang w:val="en-US" w:eastAsia="zh-CN"/>
        </w:rPr>
        <w:t>50</w:t>
      </w:r>
      <w:r>
        <w:rPr>
          <w:rFonts w:hint="eastAsia"/>
          <w:color w:val="auto"/>
          <w:highlight w:val="none"/>
          <w:lang w:val="en-US" w:eastAsia="zh-CN"/>
        </w:rPr>
        <w:t>年一遇洪水设计，</w:t>
      </w:r>
      <w:r>
        <w:rPr>
          <w:rFonts w:hint="default"/>
          <w:color w:val="auto"/>
          <w:highlight w:val="none"/>
          <w:lang w:val="en-US" w:eastAsia="zh-CN"/>
        </w:rPr>
        <w:t>500</w:t>
      </w:r>
      <w:r>
        <w:rPr>
          <w:rFonts w:hint="eastAsia"/>
          <w:color w:val="auto"/>
          <w:highlight w:val="none"/>
          <w:lang w:val="en-US" w:eastAsia="zh-CN"/>
        </w:rPr>
        <w:t>年一遇洪水校核。</w:t>
      </w:r>
    </w:p>
    <w:p w14:paraId="78E6FE28">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水库枢纽由大坝、灌溉发电隧洞、冲砂放空底涵、坝后式电站等建筑物组成。</w:t>
      </w:r>
    </w:p>
    <w:p w14:paraId="5CCC5BF9">
      <w:pPr>
        <w:numPr>
          <w:ilvl w:val="0"/>
          <w:numId w:val="0"/>
        </w:numPr>
        <w:adjustRightInd w:val="0"/>
        <w:snapToGrid w:val="0"/>
        <w:spacing w:line="360" w:lineRule="auto"/>
        <w:jc w:val="left"/>
        <w:rPr>
          <w:rFonts w:hint="eastAsia" w:ascii="宋体" w:hAnsi="宋体" w:cs="宋体"/>
          <w:b/>
          <w:bCs/>
          <w:color w:val="auto"/>
          <w:szCs w:val="21"/>
          <w:highlight w:val="none"/>
        </w:rPr>
      </w:pPr>
      <w:r>
        <w:rPr>
          <w:rFonts w:hint="eastAsia" w:ascii="Times New Roman" w:hAnsi="Times New Roman" w:eastAsia="宋体" w:cs="Times New Roman"/>
          <w:b/>
          <w:bCs/>
          <w:color w:val="auto"/>
          <w:kern w:val="2"/>
          <w:sz w:val="21"/>
          <w:szCs w:val="24"/>
          <w:highlight w:val="none"/>
          <w:lang w:val="en-US" w:eastAsia="zh-CN" w:bidi="ar-SA"/>
        </w:rPr>
        <w:t>四、</w:t>
      </w:r>
      <w:r>
        <w:rPr>
          <w:rFonts w:hint="eastAsia" w:ascii="宋体" w:hAnsi="宋体" w:cs="宋体"/>
          <w:b/>
          <w:bCs/>
          <w:color w:val="auto"/>
          <w:szCs w:val="21"/>
          <w:highlight w:val="none"/>
        </w:rPr>
        <w:t>服务范围：</w:t>
      </w:r>
    </w:p>
    <w:p w14:paraId="1A18EB6A">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资兴市半垅水库除险加固工程招标设计至施工图阶段勘察设计目成果编制服务。</w:t>
      </w:r>
    </w:p>
    <w:p w14:paraId="57F30749">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根据湖南省水利厅关于印发《湖南省资兴市半垅水库除险加固工程初步设计》的行政许可决定书</w:t>
      </w:r>
      <w:r>
        <w:rPr>
          <w:rFonts w:hint="eastAsia"/>
          <w:color w:val="auto"/>
          <w:highlight w:val="none"/>
          <w:lang w:eastAsia="zh-CN"/>
        </w:rPr>
        <w:t>，</w:t>
      </w:r>
      <w:r>
        <w:rPr>
          <w:rFonts w:hint="eastAsia"/>
          <w:color w:val="auto"/>
          <w:highlight w:val="none"/>
          <w:lang w:val="en-US" w:eastAsia="zh-CN"/>
        </w:rPr>
        <w:t>项目批复的主要建设内容如下：</w:t>
      </w:r>
    </w:p>
    <w:p w14:paraId="655A9737">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（1）大坝上游面水平施工缝灌浆处理；坝体加高培厚、重建坝顶防浪墙及下游侧防护栏杆，坝顶新增踏步6处，坝顶路灯重建及监测设施恢复；</w:t>
      </w:r>
    </w:p>
    <w:p w14:paraId="1DCD89F8">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（2）坝基、坝肩帷幕灌浆处理，增设坝基排水孔及坝内廊道向外排水设施；</w:t>
      </w:r>
    </w:p>
    <w:p w14:paraId="26652459">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（3）溢流堰右侧边墩裂缝及底部空洞修补；</w:t>
      </w:r>
    </w:p>
    <w:p w14:paraId="615C3752">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（4）闸门局部锈蚀部位防腐除锈，更换破损止水带，闸门焊缝补强；灌溉发电输水发电隧洞出口更换4组闸阀，并更换第1组闸阀出水钢管；</w:t>
      </w:r>
    </w:p>
    <w:p w14:paraId="2E0FBCFA">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（5）清除左坝肩垮塌岩体、清除左岸下游泄洪河道两处山体滑坡，并采取边坡支护措施；</w:t>
      </w:r>
    </w:p>
    <w:p w14:paraId="07D0B88F">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（6）二道坝局部流水淘蚀部分修复；</w:t>
      </w:r>
    </w:p>
    <w:p w14:paraId="24DE9DE9">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（7）完善水库管理标准化建设，完善资料记录、整编与归档；</w:t>
      </w:r>
    </w:p>
    <w:p w14:paraId="36A98A12">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（8）左坝肩防汛公路改造。</w:t>
      </w:r>
    </w:p>
    <w:p w14:paraId="47156C0C">
      <w:pPr>
        <w:numPr>
          <w:ilvl w:val="0"/>
          <w:numId w:val="0"/>
        </w:numPr>
        <w:adjustRightInd w:val="0"/>
        <w:snapToGrid w:val="0"/>
        <w:spacing w:line="360" w:lineRule="auto"/>
        <w:jc w:val="left"/>
        <w:rPr>
          <w:rFonts w:hint="eastAsia" w:ascii="宋体" w:hAnsi="宋体" w:cs="宋体"/>
          <w:color w:val="auto"/>
          <w:szCs w:val="21"/>
          <w:highlight w:val="none"/>
        </w:rPr>
      </w:pPr>
      <w:r>
        <w:rPr>
          <w:rFonts w:hint="eastAsia" w:ascii="宋体" w:hAnsi="宋体" w:cs="宋体"/>
          <w:b/>
          <w:bCs/>
          <w:color w:val="auto"/>
          <w:kern w:val="2"/>
          <w:sz w:val="21"/>
          <w:szCs w:val="21"/>
          <w:highlight w:val="none"/>
          <w:lang w:val="en-US" w:eastAsia="zh-CN" w:bidi="ar-SA"/>
        </w:rPr>
        <w:t>五</w:t>
      </w: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b/>
          <w:bCs/>
          <w:color w:val="auto"/>
          <w:szCs w:val="21"/>
          <w:highlight w:val="none"/>
        </w:rPr>
        <w:t>相关标准：</w:t>
      </w:r>
      <w:r>
        <w:rPr>
          <w:rFonts w:hint="eastAsia" w:ascii="宋体" w:hAnsi="宋体" w:cs="宋体"/>
          <w:color w:val="auto"/>
          <w:szCs w:val="21"/>
          <w:highlight w:val="none"/>
        </w:rPr>
        <w:t>满足文件及其他相关的国际或国家标准、行业标准。</w:t>
      </w:r>
    </w:p>
    <w:p w14:paraId="227A74BC">
      <w:pPr>
        <w:numPr>
          <w:ilvl w:val="0"/>
          <w:numId w:val="0"/>
        </w:numPr>
        <w:adjustRightInd w:val="0"/>
        <w:snapToGrid w:val="0"/>
        <w:spacing w:line="360" w:lineRule="auto"/>
        <w:jc w:val="left"/>
        <w:rPr>
          <w:rFonts w:hint="eastAsia" w:ascii="宋体" w:hAnsi="宋体" w:cs="宋体"/>
          <w:b/>
          <w:bCs/>
          <w:color w:val="auto"/>
          <w:szCs w:val="21"/>
          <w:highlight w:val="none"/>
        </w:rPr>
      </w:pPr>
      <w:r>
        <w:rPr>
          <w:rFonts w:hint="eastAsia" w:ascii="宋体" w:hAnsi="宋体" w:cs="宋体"/>
          <w:b/>
          <w:bCs/>
          <w:color w:val="auto"/>
          <w:kern w:val="2"/>
          <w:sz w:val="21"/>
          <w:szCs w:val="21"/>
          <w:highlight w:val="none"/>
          <w:lang w:val="en-US" w:eastAsia="zh-CN" w:bidi="ar-SA"/>
        </w:rPr>
        <w:t>六</w:t>
      </w: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b/>
          <w:bCs/>
          <w:color w:val="auto"/>
          <w:szCs w:val="21"/>
          <w:highlight w:val="none"/>
        </w:rPr>
        <w:t>服务要求：</w:t>
      </w:r>
    </w:p>
    <w:p w14:paraId="4F6DFB8B">
      <w:pPr>
        <w:numPr>
          <w:ilvl w:val="0"/>
          <w:numId w:val="0"/>
        </w:numPr>
        <w:adjustRightInd w:val="0"/>
        <w:snapToGrid w:val="0"/>
        <w:spacing w:line="360" w:lineRule="auto"/>
        <w:ind w:firstLine="420" w:firstLineChars="200"/>
        <w:jc w:val="left"/>
        <w:rPr>
          <w:rFonts w:hint="eastAsia"/>
          <w:color w:val="auto"/>
          <w:highlight w:val="none"/>
        </w:rPr>
      </w:pPr>
      <w:r>
        <w:rPr>
          <w:rFonts w:hint="eastAsia"/>
          <w:color w:val="auto"/>
          <w:highlight w:val="none"/>
        </w:rPr>
        <w:t>（1）完成时间及地点、交付成果</w:t>
      </w:r>
    </w:p>
    <w:p w14:paraId="11AF9C2D">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rPr>
        <w:t>完成时间：合同签订且所有资料提齐后约</w:t>
      </w:r>
      <w:r>
        <w:rPr>
          <w:rFonts w:hint="eastAsia"/>
          <w:color w:val="auto"/>
          <w:highlight w:val="none"/>
          <w:lang w:val="en-US" w:eastAsia="zh-CN"/>
        </w:rPr>
        <w:t>1</w:t>
      </w:r>
      <w:r>
        <w:rPr>
          <w:rFonts w:hint="eastAsia"/>
          <w:color w:val="auto"/>
          <w:highlight w:val="none"/>
        </w:rPr>
        <w:t>个月提交</w:t>
      </w:r>
      <w:r>
        <w:rPr>
          <w:rFonts w:hint="eastAsia"/>
          <w:color w:val="auto"/>
          <w:highlight w:val="none"/>
          <w:lang w:val="en-US" w:eastAsia="zh-CN"/>
        </w:rPr>
        <w:t>招标设计成果，2个月提交施工图设计成果。</w:t>
      </w:r>
    </w:p>
    <w:p w14:paraId="537A2BAF">
      <w:pPr>
        <w:numPr>
          <w:ilvl w:val="0"/>
          <w:numId w:val="0"/>
        </w:numPr>
        <w:adjustRightInd w:val="0"/>
        <w:snapToGrid w:val="0"/>
        <w:spacing w:line="360" w:lineRule="auto"/>
        <w:ind w:firstLine="420" w:firstLineChars="200"/>
        <w:jc w:val="left"/>
        <w:rPr>
          <w:rFonts w:hint="eastAsia"/>
          <w:color w:val="auto"/>
          <w:highlight w:val="none"/>
        </w:rPr>
      </w:pPr>
      <w:r>
        <w:rPr>
          <w:rFonts w:hint="eastAsia"/>
          <w:color w:val="auto"/>
          <w:highlight w:val="none"/>
          <w:lang w:val="en-US" w:eastAsia="zh-CN"/>
        </w:rPr>
        <w:t>交付成果：招标设计成果含图集、预算；施工图设计成果含图集、施工图预算及现场施工服务</w:t>
      </w:r>
      <w:r>
        <w:rPr>
          <w:rFonts w:hint="eastAsia"/>
          <w:color w:val="auto"/>
          <w:highlight w:val="none"/>
        </w:rPr>
        <w:t>。</w:t>
      </w:r>
    </w:p>
    <w:p w14:paraId="1FB76D4C">
      <w:pPr>
        <w:numPr>
          <w:ilvl w:val="0"/>
          <w:numId w:val="0"/>
        </w:numPr>
        <w:adjustRightInd w:val="0"/>
        <w:snapToGrid w:val="0"/>
        <w:spacing w:line="360" w:lineRule="auto"/>
        <w:ind w:firstLine="420" w:firstLineChars="200"/>
        <w:jc w:val="left"/>
        <w:rPr>
          <w:rFonts w:hint="eastAsia"/>
          <w:color w:val="auto"/>
          <w:highlight w:val="none"/>
        </w:rPr>
      </w:pPr>
      <w:r>
        <w:rPr>
          <w:rFonts w:hint="eastAsia"/>
          <w:color w:val="auto"/>
          <w:highlight w:val="none"/>
        </w:rPr>
        <w:t>完成地点：招标人指定地点。</w:t>
      </w:r>
    </w:p>
    <w:p w14:paraId="1763C6A1">
      <w:pPr>
        <w:numPr>
          <w:ilvl w:val="0"/>
          <w:numId w:val="0"/>
        </w:numPr>
        <w:adjustRightInd w:val="0"/>
        <w:snapToGrid w:val="0"/>
        <w:spacing w:line="360" w:lineRule="auto"/>
        <w:ind w:firstLine="420" w:firstLineChars="200"/>
        <w:jc w:val="left"/>
        <w:rPr>
          <w:rFonts w:hint="eastAsia"/>
          <w:color w:val="auto"/>
          <w:highlight w:val="none"/>
        </w:rPr>
      </w:pPr>
      <w:r>
        <w:rPr>
          <w:rFonts w:hint="eastAsia"/>
          <w:color w:val="auto"/>
          <w:highlight w:val="none"/>
        </w:rPr>
        <w:t>（2）付款方式：</w:t>
      </w:r>
      <w:r>
        <w:rPr>
          <w:rFonts w:hint="eastAsia"/>
          <w:color w:val="auto"/>
          <w:highlight w:val="none"/>
          <w:lang w:val="en-US" w:eastAsia="zh-CN"/>
        </w:rPr>
        <w:t>提交施工图设计成果后7天内支付合同价款80%，项目完工验收后7天内支付剩余款项</w:t>
      </w:r>
      <w:r>
        <w:rPr>
          <w:rFonts w:hint="eastAsia"/>
          <w:color w:val="auto"/>
          <w:highlight w:val="none"/>
        </w:rPr>
        <w:t>。</w:t>
      </w:r>
    </w:p>
    <w:p w14:paraId="463299C2">
      <w:pPr>
        <w:numPr>
          <w:ilvl w:val="0"/>
          <w:numId w:val="0"/>
        </w:numPr>
        <w:adjustRightInd w:val="0"/>
        <w:snapToGrid w:val="0"/>
        <w:spacing w:line="360" w:lineRule="auto"/>
        <w:ind w:firstLine="420" w:firstLineChars="200"/>
        <w:jc w:val="left"/>
        <w:rPr>
          <w:rFonts w:hint="eastAsia"/>
          <w:color w:val="auto"/>
          <w:highlight w:val="none"/>
        </w:rPr>
      </w:pPr>
      <w:r>
        <w:rPr>
          <w:rFonts w:hint="eastAsia"/>
          <w:color w:val="auto"/>
          <w:highlight w:val="none"/>
        </w:rPr>
        <w:t>（3）供应商在投标前，自行组织踏勘现场，有关费用自理，如踏勘期间发生的意外后果自负。</w:t>
      </w:r>
    </w:p>
    <w:p w14:paraId="253A7905">
      <w:pPr>
        <w:numPr>
          <w:ilvl w:val="0"/>
          <w:numId w:val="0"/>
        </w:numPr>
        <w:adjustRightInd w:val="0"/>
        <w:snapToGrid w:val="0"/>
        <w:spacing w:line="360" w:lineRule="auto"/>
        <w:ind w:firstLine="420" w:firstLineChars="200"/>
        <w:jc w:val="left"/>
        <w:rPr>
          <w:rFonts w:hint="eastAsia"/>
          <w:color w:val="auto"/>
          <w:highlight w:val="none"/>
          <w:lang w:val="en-US" w:eastAsia="zh-CN"/>
        </w:rPr>
      </w:pPr>
      <w:r>
        <w:rPr>
          <w:rFonts w:hint="eastAsia"/>
          <w:color w:val="auto"/>
          <w:highlight w:val="none"/>
        </w:rPr>
        <w:t>（4）</w:t>
      </w:r>
      <w:r>
        <w:rPr>
          <w:rFonts w:hint="eastAsia"/>
          <w:color w:val="auto"/>
          <w:highlight w:val="none"/>
          <w:lang w:val="en-US" w:eastAsia="zh-CN"/>
        </w:rPr>
        <w:t>资料提供：水库大坝历年除险加固设计及竣工资料、安全鉴定资料；库区所在位置水文、气象资料；本次除险加固设计资料及批文。</w:t>
      </w:r>
    </w:p>
    <w:p w14:paraId="3BAE25FC">
      <w:pPr>
        <w:numPr>
          <w:ilvl w:val="0"/>
          <w:numId w:val="0"/>
        </w:numPr>
        <w:adjustRightInd w:val="0"/>
        <w:snapToGrid w:val="0"/>
        <w:spacing w:line="360" w:lineRule="auto"/>
        <w:jc w:val="left"/>
        <w:rPr>
          <w:rFonts w:hint="eastAsia" w:ascii="宋体" w:hAnsi="宋体" w:cs="宋体"/>
          <w:b/>
          <w:bCs/>
          <w:color w:val="auto"/>
          <w:szCs w:val="21"/>
          <w:highlight w:val="none"/>
        </w:rPr>
      </w:pPr>
      <w:r>
        <w:rPr>
          <w:rFonts w:hint="eastAsia" w:ascii="宋体" w:hAnsi="宋体" w:cs="宋体"/>
          <w:b/>
          <w:bCs/>
          <w:color w:val="auto"/>
          <w:kern w:val="2"/>
          <w:sz w:val="21"/>
          <w:szCs w:val="21"/>
          <w:highlight w:val="none"/>
          <w:lang w:val="en-US" w:eastAsia="zh-CN" w:bidi="ar-SA"/>
        </w:rPr>
        <w:t>七</w:t>
      </w: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b/>
          <w:bCs/>
          <w:color w:val="auto"/>
          <w:szCs w:val="21"/>
          <w:highlight w:val="none"/>
        </w:rPr>
        <w:t>验收方式：</w:t>
      </w:r>
    </w:p>
    <w:p w14:paraId="70087B6C">
      <w:pPr>
        <w:numPr>
          <w:ilvl w:val="0"/>
          <w:numId w:val="0"/>
        </w:numPr>
        <w:adjustRightInd w:val="0"/>
        <w:snapToGrid w:val="0"/>
        <w:spacing w:line="360" w:lineRule="auto"/>
        <w:ind w:firstLine="420" w:firstLineChars="200"/>
        <w:jc w:val="left"/>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所有成果须经采购人组织专家审核通过后，进行验收。验收过程中，发现有与合同规定不符的，采购人向成交供应商提出书面异议，成交供应商在接到采购人书面异议后，应在15天内予以纠正，并将纠正情况以书面形式告知采购人，否则视为违约，按合同相关约定处理。</w:t>
      </w:r>
    </w:p>
    <w:p w14:paraId="6A5D7B24">
      <w:pPr>
        <w:numPr>
          <w:ilvl w:val="0"/>
          <w:numId w:val="0"/>
        </w:numPr>
        <w:adjustRightInd w:val="0"/>
        <w:snapToGrid w:val="0"/>
        <w:spacing w:line="360" w:lineRule="auto"/>
        <w:jc w:val="left"/>
        <w:rPr>
          <w:rFonts w:hint="eastAsia" w:ascii="宋体" w:hAnsi="宋体" w:cs="宋体"/>
          <w:color w:val="auto"/>
          <w:kern w:val="2"/>
          <w:sz w:val="21"/>
          <w:szCs w:val="21"/>
          <w:highlight w:val="none"/>
          <w:lang w:eastAsia="zh-CN"/>
        </w:rPr>
      </w:pPr>
      <w:r>
        <w:rPr>
          <w:rFonts w:hint="eastAsia" w:ascii="宋体" w:hAnsi="宋体" w:cs="宋体"/>
          <w:b/>
          <w:bCs/>
          <w:color w:val="auto"/>
          <w:kern w:val="2"/>
          <w:sz w:val="21"/>
          <w:szCs w:val="21"/>
          <w:highlight w:val="none"/>
          <w:lang w:val="en-US" w:eastAsia="zh-CN" w:bidi="ar-SA"/>
        </w:rPr>
        <w:t>八</w:t>
      </w:r>
      <w:r>
        <w:rPr>
          <w:rFonts w:hint="eastAsia" w:ascii="宋体" w:hAnsi="宋体" w:eastAsia="宋体" w:cs="宋体"/>
          <w:b/>
          <w:bCs/>
          <w:color w:val="auto"/>
          <w:kern w:val="2"/>
          <w:sz w:val="21"/>
          <w:szCs w:val="21"/>
          <w:highlight w:val="none"/>
          <w:lang w:val="en-US" w:eastAsia="zh-CN" w:bidi="ar-SA"/>
        </w:rPr>
        <w:t>、</w:t>
      </w:r>
      <w:r>
        <w:rPr>
          <w:rFonts w:hint="eastAsia" w:ascii="宋体" w:hAnsi="宋体" w:cs="宋体"/>
          <w:b/>
          <w:bCs/>
          <w:color w:val="auto"/>
          <w:szCs w:val="21"/>
          <w:highlight w:val="none"/>
        </w:rPr>
        <w:t>项目其他要求及说明</w:t>
      </w:r>
      <w:bookmarkStart w:id="0" w:name="OLE_LINK4"/>
      <w:bookmarkStart w:id="1" w:name="OLE_LINK2"/>
      <w:bookmarkStart w:id="2" w:name="OLE_LINK7"/>
      <w:r>
        <w:rPr>
          <w:rFonts w:hint="eastAsia" w:ascii="宋体" w:hAnsi="宋体" w:cs="宋体"/>
          <w:b/>
          <w:bCs/>
          <w:color w:val="auto"/>
          <w:szCs w:val="21"/>
          <w:highlight w:val="none"/>
          <w:lang w:eastAsia="zh-CN"/>
        </w:rPr>
        <w:t>：</w:t>
      </w:r>
      <w:r>
        <w:rPr>
          <w:rFonts w:hint="eastAsia" w:ascii="宋体" w:hAnsi="宋体" w:cs="宋体"/>
          <w:color w:val="auto"/>
          <w:kern w:val="2"/>
          <w:sz w:val="21"/>
          <w:szCs w:val="21"/>
          <w:highlight w:val="none"/>
        </w:rPr>
        <w:t>其他未尽事宜双方协商解决</w:t>
      </w:r>
      <w:bookmarkEnd w:id="0"/>
      <w:bookmarkEnd w:id="1"/>
      <w:bookmarkEnd w:id="2"/>
      <w:r>
        <w:rPr>
          <w:rFonts w:hint="eastAsia" w:ascii="宋体" w:hAnsi="宋体" w:cs="宋体"/>
          <w:color w:val="auto"/>
          <w:kern w:val="2"/>
          <w:sz w:val="21"/>
          <w:szCs w:val="21"/>
          <w:highlight w:val="none"/>
          <w:lang w:eastAsia="zh-CN"/>
        </w:rPr>
        <w:t>。</w:t>
      </w:r>
    </w:p>
    <w:p w14:paraId="4CF4D896">
      <w:pPr>
        <w:numPr>
          <w:ilvl w:val="0"/>
          <w:numId w:val="0"/>
        </w:numPr>
        <w:spacing w:line="360" w:lineRule="auto"/>
        <w:jc w:val="left"/>
        <w:rPr>
          <w:rFonts w:hint="eastAsia" w:ascii="宋体" w:hAnsi="宋体" w:eastAsia="宋体"/>
          <w:color w:val="auto"/>
          <w:szCs w:val="21"/>
          <w:highlight w:val="none"/>
          <w:lang w:eastAsia="zh-CN"/>
        </w:rPr>
      </w:pPr>
    </w:p>
    <w:p w14:paraId="1FACD562">
      <w:pPr>
        <w:adjustRightInd w:val="0"/>
        <w:snapToGrid w:val="0"/>
        <w:spacing w:line="360" w:lineRule="auto"/>
        <w:jc w:val="center"/>
        <w:rPr>
          <w:rFonts w:ascii="宋体" w:hAnsi="宋体" w:cs="宋体"/>
          <w:b/>
          <w:bCs/>
          <w:color w:val="auto"/>
          <w:szCs w:val="21"/>
          <w:highlight w:val="none"/>
        </w:rPr>
      </w:pPr>
      <w:r>
        <w:rPr>
          <w:rFonts w:hint="eastAsia" w:ascii="宋体" w:hAnsi="宋体"/>
          <w:b/>
          <w:bCs/>
          <w:color w:val="auto"/>
          <w:szCs w:val="21"/>
          <w:highlight w:val="none"/>
        </w:rPr>
        <w:t>对于上述项目要求，供应商应在响应文件中进行回应，作出承诺及说明。</w:t>
      </w:r>
    </w:p>
    <w:p w14:paraId="62195613">
      <w:bookmarkStart w:id="3" w:name="_GoBack"/>
      <w:bookmarkEnd w:id="3"/>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B71A34"/>
    <w:rsid w:val="2DB71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2026-10-27T02:10:00Z</dcterms:created>
  <dc:creator>TINAHOU</dc:creator>
  <cp:lastModifiedBy>TINAHOU</cp:lastModifiedBy>
  <dcterms:modified xsi:type="dcterms:W3CDTF">2026-10-27T02:11:02Z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410022ABA35449188F29DBD4B0715DC0_11</vt:lpwstr>
  </property>
  <property fmtid="{D5CDD505-2E9C-101B-9397-08002B2CF9AE}" pid="4" name="KSOTemplateDocerSaveRecord">
    <vt:lpwstr>eyJoZGlkIjoiMDI5OWQzZGZmZmU2ZTE4ODk0NTZiNGNmZGVlM2NhYWEiLCJ1c2VySWQiOiI0NzY5Mzg0In0=</vt:lpwstr>
  </property>
</Properties>
</file>