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D65C">
      <w:pPr>
        <w:pStyle w:val="34"/>
        <w:pageBreakBefore w:val="0"/>
        <w:kinsoku/>
        <w:wordWrap/>
        <w:overflowPunct/>
        <w:bidi w:val="0"/>
        <w:spacing w:line="240" w:lineRule="auto"/>
        <w:jc w:val="center"/>
        <w:textAlignment w:val="auto"/>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   </w:t>
      </w:r>
    </w:p>
    <w:p w14:paraId="47192AAF">
      <w:pPr>
        <w:pStyle w:val="34"/>
        <w:pageBreakBefore w:val="0"/>
        <w:kinsoku/>
        <w:wordWrap/>
        <w:overflowPunct/>
        <w:bidi w:val="0"/>
        <w:spacing w:line="24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 </w:t>
      </w:r>
    </w:p>
    <w:p w14:paraId="086D5B93">
      <w:pPr>
        <w:keepNext w:val="0"/>
        <w:keepLines w:val="0"/>
        <w:pageBreakBefore w:val="0"/>
        <w:widowControl w:val="0"/>
        <w:kinsoku/>
        <w:wordWrap/>
        <w:overflowPunct/>
        <w:topLinePunct w:val="0"/>
        <w:autoSpaceDE/>
        <w:autoSpaceDN/>
        <w:bidi w:val="0"/>
        <w:spacing w:beforeAutospacing="0" w:afterAutospacing="0" w:line="700" w:lineRule="exact"/>
        <w:jc w:val="center"/>
        <w:textAlignment w:val="auto"/>
        <w:rPr>
          <w:rFonts w:hint="eastAsia" w:ascii="宋体" w:hAnsi="宋体" w:eastAsia="宋体" w:cs="宋体"/>
          <w:b/>
          <w:bCs w:val="0"/>
          <w:kern w:val="2"/>
          <w:sz w:val="52"/>
          <w:szCs w:val="52"/>
          <w:lang w:val="en-US" w:eastAsia="zh-CN" w:bidi="ar-SA"/>
        </w:rPr>
      </w:pPr>
    </w:p>
    <w:p w14:paraId="21D05311">
      <w:pPr>
        <w:pageBreakBefore w:val="0"/>
        <w:widowControl w:val="0"/>
        <w:kinsoku/>
        <w:wordWrap/>
        <w:overflowPunct/>
        <w:bidi w:val="0"/>
        <w:spacing w:line="240" w:lineRule="auto"/>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kern w:val="2"/>
          <w:sz w:val="21"/>
          <w:szCs w:val="21"/>
          <w:lang w:val="en-US" w:eastAsia="zh-CN" w:bidi="ar-SA"/>
        </w:rPr>
        <w:t xml:space="preserve"> </w:t>
      </w:r>
    </w:p>
    <w:p w14:paraId="52B1E5C6">
      <w:pPr>
        <w:keepNext w:val="0"/>
        <w:keepLines w:val="0"/>
        <w:pageBreakBefore w:val="0"/>
        <w:widowControl w:val="0"/>
        <w:kinsoku/>
        <w:wordWrap/>
        <w:overflowPunct/>
        <w:topLinePunct w:val="0"/>
        <w:autoSpaceDE/>
        <w:autoSpaceDN/>
        <w:bidi w:val="0"/>
        <w:spacing w:beforeAutospacing="0" w:afterAutospacing="0" w:line="1000" w:lineRule="exact"/>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bCs w:val="0"/>
          <w:kern w:val="2"/>
          <w:sz w:val="72"/>
          <w:szCs w:val="72"/>
          <w:lang w:val="en-US" w:eastAsia="zh-CN" w:bidi="ar-SA"/>
        </w:rPr>
        <w:t>政府采购</w:t>
      </w:r>
    </w:p>
    <w:p w14:paraId="3261AFE1">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val="0"/>
          <w:kern w:val="2"/>
          <w:sz w:val="72"/>
          <w:szCs w:val="72"/>
          <w:lang w:val="en-US" w:eastAsia="zh-CN" w:bidi="ar-SA"/>
        </w:rPr>
      </w:pPr>
      <w:bookmarkStart w:id="0" w:name="_Toc20481"/>
      <w:bookmarkStart w:id="1" w:name="_Toc12974"/>
      <w:r>
        <w:rPr>
          <w:rFonts w:hint="eastAsia" w:ascii="宋体" w:hAnsi="宋体" w:eastAsia="宋体" w:cs="宋体"/>
          <w:b/>
          <w:bCs w:val="0"/>
          <w:kern w:val="2"/>
          <w:sz w:val="72"/>
          <w:szCs w:val="72"/>
          <w:lang w:val="en-US" w:eastAsia="zh-CN" w:bidi="ar-SA"/>
        </w:rPr>
        <w:t>竞争性磋商文件</w:t>
      </w:r>
      <w:bookmarkEnd w:id="0"/>
      <w:bookmarkEnd w:id="1"/>
    </w:p>
    <w:p w14:paraId="71B77875">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p>
    <w:p w14:paraId="30CE10A5">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558" w:firstLineChars="200"/>
        <w:jc w:val="both"/>
        <w:textAlignment w:val="auto"/>
        <w:rPr>
          <w:rFonts w:hint="eastAsia" w:ascii="宋体" w:hAnsi="宋体" w:eastAsia="宋体" w:cs="宋体"/>
          <w:b/>
          <w:bCs/>
          <w:spacing w:val="-11"/>
          <w:kern w:val="2"/>
          <w:sz w:val="30"/>
          <w:szCs w:val="30"/>
          <w:lang w:val="en-US" w:eastAsia="zh-CN" w:bidi="ar-SA"/>
        </w:rPr>
      </w:pPr>
      <w:r>
        <w:rPr>
          <w:rFonts w:hint="eastAsia" w:ascii="宋体" w:hAnsi="宋体" w:eastAsia="宋体" w:cs="宋体"/>
          <w:b/>
          <w:bCs/>
          <w:spacing w:val="-11"/>
          <w:kern w:val="2"/>
          <w:sz w:val="30"/>
          <w:szCs w:val="30"/>
          <w:lang w:val="en-US" w:eastAsia="zh-CN" w:bidi="ar-SA"/>
        </w:rPr>
        <w:t>采购项目名称：华容县城体检和城市更新专项规划编制技术服务项目</w:t>
      </w:r>
    </w:p>
    <w:p w14:paraId="141D01BC">
      <w:pPr>
        <w:keepNext/>
        <w:keepLines/>
        <w:pageBreakBefore w:val="0"/>
        <w:widowControl w:val="0"/>
        <w:kinsoku/>
        <w:wordWrap/>
        <w:overflowPunct/>
        <w:topLinePunct w:val="0"/>
        <w:autoSpaceDE/>
        <w:autoSpaceDN/>
        <w:bidi w:val="0"/>
        <w:spacing w:line="1000" w:lineRule="exact"/>
        <w:ind w:firstLine="602" w:firstLineChars="200"/>
        <w:jc w:val="both"/>
        <w:textAlignment w:val="auto"/>
        <w:outlineLvl w:val="1"/>
        <w:rPr>
          <w:rFonts w:hint="eastAsia" w:ascii="宋体" w:hAnsi="宋体" w:eastAsia="宋体" w:cs="宋体"/>
          <w:b w:val="0"/>
          <w:bCs w:val="0"/>
          <w:kern w:val="2"/>
          <w:sz w:val="30"/>
          <w:szCs w:val="30"/>
          <w:lang w:val="en-US" w:eastAsia="zh-CN" w:bidi="ar-SA"/>
        </w:rPr>
      </w:pPr>
      <w:r>
        <w:rPr>
          <w:rFonts w:hint="eastAsia" w:ascii="宋体" w:hAnsi="宋体" w:eastAsia="宋体" w:cs="宋体"/>
          <w:b/>
          <w:bCs/>
          <w:kern w:val="2"/>
          <w:sz w:val="30"/>
          <w:szCs w:val="30"/>
          <w:lang w:val="en-US" w:eastAsia="zh-CN" w:bidi="ar-SA"/>
        </w:rPr>
        <w:t>采购项目编号：CGXM2026430623000020</w:t>
      </w:r>
    </w:p>
    <w:p w14:paraId="2B05DF45">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kern w:val="2"/>
          <w:sz w:val="30"/>
          <w:szCs w:val="30"/>
          <w:lang w:val="en-US" w:eastAsia="zh-CN" w:bidi="ar-SA"/>
        </w:rPr>
      </w:pPr>
      <w:r>
        <w:rPr>
          <w:rFonts w:hint="eastAsia" w:ascii="宋体" w:hAnsi="宋体" w:eastAsia="宋体" w:cs="宋体"/>
          <w:b/>
          <w:kern w:val="2"/>
          <w:sz w:val="30"/>
          <w:szCs w:val="30"/>
          <w:lang w:val="en-US" w:eastAsia="zh-CN" w:bidi="ar-SA"/>
        </w:rPr>
        <w:t>政府采购计划编号：(2026)430623000019-1</w:t>
      </w:r>
    </w:p>
    <w:p w14:paraId="2000377E">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委托代理编号：</w:t>
      </w:r>
      <w:bookmarkStart w:id="2" w:name="_Toc29944"/>
      <w:bookmarkStart w:id="3" w:name="_Toc6076"/>
      <w:r>
        <w:rPr>
          <w:rFonts w:hint="eastAsia" w:ascii="宋体" w:hAnsi="宋体" w:eastAsia="宋体" w:cs="宋体"/>
          <w:b/>
          <w:bCs/>
          <w:kern w:val="2"/>
          <w:sz w:val="30"/>
          <w:szCs w:val="30"/>
          <w:lang w:val="en-US" w:eastAsia="zh-CN" w:bidi="ar-SA"/>
        </w:rPr>
        <w:t>HNSHB2026-A23</w:t>
      </w:r>
    </w:p>
    <w:p w14:paraId="78EA279B">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采购人：</w:t>
      </w:r>
      <w:bookmarkEnd w:id="2"/>
      <w:bookmarkEnd w:id="3"/>
      <w:r>
        <w:rPr>
          <w:rFonts w:hint="eastAsia" w:ascii="宋体" w:hAnsi="宋体" w:eastAsia="宋体" w:cs="宋体"/>
          <w:b/>
          <w:bCs/>
          <w:kern w:val="2"/>
          <w:sz w:val="30"/>
          <w:szCs w:val="30"/>
          <w:lang w:val="en-US" w:eastAsia="zh-CN" w:bidi="ar-SA"/>
        </w:rPr>
        <w:t>华容县住房和城乡建设局</w:t>
      </w:r>
    </w:p>
    <w:p w14:paraId="088BB497">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u w:val="none"/>
          <w:lang w:val="en-US" w:eastAsia="zh-CN" w:bidi="ar-SA"/>
        </w:rPr>
      </w:pPr>
      <w:r>
        <w:rPr>
          <w:rFonts w:hint="eastAsia" w:ascii="宋体" w:hAnsi="宋体" w:eastAsia="宋体" w:cs="宋体"/>
          <w:b/>
          <w:bCs/>
          <w:kern w:val="2"/>
          <w:sz w:val="30"/>
          <w:szCs w:val="30"/>
          <w:lang w:val="en-US" w:eastAsia="zh-CN" w:bidi="ar-SA"/>
        </w:rPr>
        <w:t>采购代理机构：</w:t>
      </w:r>
      <w:r>
        <w:rPr>
          <w:rFonts w:hint="eastAsia" w:ascii="宋体" w:hAnsi="宋体" w:eastAsia="宋体" w:cs="宋体"/>
          <w:b/>
          <w:bCs/>
          <w:kern w:val="2"/>
          <w:sz w:val="30"/>
          <w:szCs w:val="30"/>
          <w:u w:val="none"/>
          <w:lang w:val="en-US" w:eastAsia="zh-CN" w:bidi="ar-SA"/>
        </w:rPr>
        <w:t>湖南双博招代理有限公司</w:t>
      </w:r>
    </w:p>
    <w:p w14:paraId="1BA1487C">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3936328D">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both"/>
        <w:textAlignment w:val="auto"/>
        <w:rPr>
          <w:rFonts w:hint="eastAsia" w:ascii="宋体" w:hAnsi="宋体" w:eastAsia="宋体" w:cs="宋体"/>
          <w:b/>
          <w:kern w:val="2"/>
          <w:sz w:val="52"/>
          <w:szCs w:val="52"/>
          <w:u w:val="single"/>
          <w:lang w:val="en-US" w:eastAsia="zh-CN" w:bidi="ar-SA"/>
        </w:rPr>
      </w:pPr>
    </w:p>
    <w:p w14:paraId="77CC21E3">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lang w:val="en-US" w:eastAsia="zh-CN" w:bidi="ar-SA"/>
        </w:rPr>
      </w:pPr>
      <w:r>
        <w:rPr>
          <w:rFonts w:hint="eastAsia" w:ascii="宋体" w:hAnsi="宋体" w:eastAsia="宋体" w:cs="宋体"/>
          <w:b/>
          <w:kern w:val="2"/>
          <w:sz w:val="52"/>
          <w:szCs w:val="52"/>
          <w:u w:val="none"/>
          <w:lang w:val="en-US" w:eastAsia="zh-CN" w:bidi="ar-SA"/>
        </w:rPr>
        <w:t>2026</w:t>
      </w:r>
      <w:r>
        <w:rPr>
          <w:rFonts w:hint="eastAsia" w:ascii="宋体" w:hAnsi="宋体" w:eastAsia="宋体" w:cs="宋体"/>
          <w:b/>
          <w:kern w:val="2"/>
          <w:sz w:val="52"/>
          <w:szCs w:val="52"/>
          <w:lang w:val="en-US" w:eastAsia="zh-CN" w:bidi="ar-SA"/>
        </w:rPr>
        <w:t>年7月</w:t>
      </w:r>
    </w:p>
    <w:p w14:paraId="0291ADA9">
      <w:pPr>
        <w:rPr>
          <w:rFonts w:ascii="Times New Roman" w:hAnsi="Times New Roman" w:eastAsia="宋体" w:cs="Times New Roman"/>
        </w:rPr>
      </w:pPr>
    </w:p>
    <w:p w14:paraId="3EFF52D0">
      <w:pPr>
        <w:pageBreakBefore w:val="0"/>
        <w:kinsoku/>
        <w:wordWrap/>
        <w:overflowPunct/>
        <w:bidi w:val="0"/>
        <w:spacing w:line="360" w:lineRule="auto"/>
        <w:textAlignment w:val="auto"/>
        <w:rPr>
          <w:rFonts w:hint="eastAsia" w:ascii="宋体" w:hAnsi="宋体" w:eastAsia="宋体" w:cs="宋体"/>
          <w:b/>
          <w:sz w:val="21"/>
          <w:szCs w:val="21"/>
        </w:rPr>
      </w:pPr>
    </w:p>
    <w:p w14:paraId="366E5AD1">
      <w:pPr>
        <w:pStyle w:val="22"/>
        <w:rPr>
          <w:rFonts w:hint="eastAsia" w:ascii="宋体" w:hAnsi="宋体" w:eastAsia="宋体" w:cs="宋体"/>
          <w:b/>
          <w:sz w:val="21"/>
          <w:szCs w:val="21"/>
        </w:rPr>
      </w:pPr>
    </w:p>
    <w:p w14:paraId="069CD460">
      <w:pPr>
        <w:pStyle w:val="22"/>
        <w:rPr>
          <w:rFonts w:hint="eastAsia" w:ascii="宋体" w:hAnsi="宋体" w:eastAsia="宋体" w:cs="宋体"/>
          <w:b/>
          <w:sz w:val="21"/>
          <w:szCs w:val="21"/>
        </w:rPr>
      </w:pPr>
    </w:p>
    <w:p w14:paraId="398B19F2">
      <w:pPr>
        <w:pStyle w:val="22"/>
        <w:rPr>
          <w:rFonts w:hint="eastAsia" w:ascii="宋体" w:hAnsi="宋体" w:eastAsia="宋体" w:cs="宋体"/>
          <w:b/>
          <w:sz w:val="21"/>
          <w:szCs w:val="21"/>
        </w:rPr>
        <w:sectPr>
          <w:headerReference r:id="rId3" w:type="default"/>
          <w:footerReference r:id="rId4" w:type="default"/>
          <w:pgSz w:w="11906" w:h="16838"/>
          <w:pgMar w:top="1134" w:right="1417" w:bottom="1134" w:left="1417" w:header="851" w:footer="992" w:gutter="0"/>
          <w:pgNumType w:fmt="decimal" w:start="1"/>
          <w:cols w:space="425" w:num="1"/>
          <w:rtlGutter w:val="0"/>
          <w:docGrid w:type="lines" w:linePitch="312" w:charSpace="0"/>
        </w:sectPr>
      </w:pPr>
    </w:p>
    <w:p w14:paraId="5ED92739">
      <w:pPr>
        <w:pStyle w:val="34"/>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p>
    <w:p w14:paraId="1B06BE3F">
      <w:pPr>
        <w:pStyle w:val="34"/>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r>
        <w:rPr>
          <w:rFonts w:hint="eastAsia" w:ascii="宋体" w:hAnsi="宋体" w:eastAsia="宋体" w:cs="宋体"/>
          <w:b/>
          <w:bCs/>
          <w:spacing w:val="160"/>
          <w:sz w:val="52"/>
          <w:szCs w:val="52"/>
        </w:rPr>
        <w:t xml:space="preserve">目录  </w:t>
      </w:r>
    </w:p>
    <w:p w14:paraId="472A2A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p>
    <w:p w14:paraId="619A8478">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highlight w:val="none"/>
        </w:rPr>
      </w:pPr>
      <w:r>
        <w:rPr>
          <w:rFonts w:hint="eastAsia" w:ascii="宋体" w:hAnsi="宋体" w:eastAsia="宋体" w:cs="宋体"/>
          <w:b/>
          <w:kern w:val="0"/>
          <w:sz w:val="21"/>
          <w:szCs w:val="21"/>
        </w:rPr>
        <w:fldChar w:fldCharType="begin"/>
      </w:r>
      <w:r>
        <w:rPr>
          <w:rFonts w:hint="eastAsia" w:ascii="宋体" w:hAnsi="宋体" w:eastAsia="宋体" w:cs="宋体"/>
          <w:b/>
          <w:kern w:val="0"/>
          <w:sz w:val="21"/>
          <w:szCs w:val="21"/>
        </w:rPr>
        <w:instrText xml:space="preserve">TOC \o "1-1" \h \u </w:instrText>
      </w:r>
      <w:r>
        <w:rPr>
          <w:rFonts w:hint="eastAsia" w:ascii="宋体" w:hAnsi="宋体" w:eastAsia="宋体" w:cs="宋体"/>
          <w:b/>
          <w:kern w:val="0"/>
          <w:sz w:val="21"/>
          <w:szCs w:val="21"/>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"file:///D:\\RCH\\公司项目\\2022年下半年\\六门闸排涝工程剩余工程监理服务项目\\文件+公告\\磋商文件.docx" \l "_Toc15310" </w:instrText>
      </w:r>
      <w:r>
        <w:rPr>
          <w:rFonts w:hint="eastAsia" w:ascii="宋体" w:hAnsi="宋体" w:eastAsia="宋体" w:cs="宋体"/>
          <w:sz w:val="24"/>
          <w:szCs w:val="24"/>
          <w:highlight w:val="none"/>
        </w:rPr>
        <w:fldChar w:fldCharType="separate"/>
      </w:r>
      <w:r>
        <w:rPr>
          <w:rStyle w:val="48"/>
          <w:rFonts w:hint="eastAsia" w:ascii="宋体" w:hAnsi="宋体" w:eastAsia="宋体" w:cs="宋体"/>
          <w:color w:val="auto"/>
          <w:sz w:val="24"/>
          <w:szCs w:val="24"/>
          <w:highlight w:val="none"/>
          <w:u w:val="none"/>
        </w:rPr>
        <w:t>第一章  磋商邀请</w:t>
      </w:r>
      <w:r>
        <w:rPr>
          <w:rStyle w:val="48"/>
          <w:rFonts w:hint="eastAsia" w:ascii="宋体" w:hAnsi="宋体" w:eastAsia="宋体" w:cs="宋体"/>
          <w:color w:val="auto"/>
          <w:sz w:val="24"/>
          <w:szCs w:val="24"/>
          <w:highlight w:val="none"/>
          <w:u w:val="none"/>
        </w:rPr>
        <w:tab/>
      </w:r>
      <w:r>
        <w:rPr>
          <w:rStyle w:val="48"/>
          <w:rFonts w:hint="eastAsia" w:ascii="宋体" w:hAnsi="宋体" w:eastAsia="宋体" w:cs="宋体"/>
          <w:color w:val="auto"/>
          <w:sz w:val="24"/>
          <w:szCs w:val="24"/>
          <w:highlight w:val="none"/>
          <w:u w:val="none"/>
          <w:lang w:val="en-US" w:eastAsia="zh-CN"/>
        </w:rPr>
        <w:t>1</w:t>
      </w:r>
      <w:r>
        <w:rPr>
          <w:rStyle w:val="48"/>
          <w:rFonts w:hint="eastAsia" w:ascii="宋体" w:hAnsi="宋体" w:eastAsia="宋体" w:cs="宋体"/>
          <w:color w:val="auto"/>
          <w:sz w:val="24"/>
          <w:szCs w:val="24"/>
          <w:highlight w:val="none"/>
          <w:u w:val="none"/>
        </w:rPr>
        <w:fldChar w:fldCharType="end"/>
      </w:r>
    </w:p>
    <w:p w14:paraId="015EA285">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"_Toc6780"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第二章  磋商须知</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5</w:t>
      </w:r>
      <w:r>
        <w:rPr>
          <w:rStyle w:val="48"/>
          <w:rFonts w:hint="eastAsia" w:ascii="宋体" w:hAnsi="宋体" w:eastAsia="宋体" w:cs="宋体"/>
          <w:color w:val="auto"/>
          <w:sz w:val="24"/>
          <w:szCs w:val="24"/>
          <w:u w:val="none"/>
        </w:rPr>
        <w:fldChar w:fldCharType="end"/>
      </w:r>
    </w:p>
    <w:p w14:paraId="044C9F9D">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"_Toc2678"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第三章  评审办法及标准</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2</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9</w:t>
      </w:r>
    </w:p>
    <w:p w14:paraId="7FE3353E">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"_Toc11880"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第四章  政府采购合同格式</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3</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8</w:t>
      </w:r>
    </w:p>
    <w:p w14:paraId="27846FE4">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"_Toc20154"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第五章  采购需求</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rPr>
        <w:t>4</w:t>
      </w:r>
      <w:r>
        <w:rPr>
          <w:rStyle w:val="48"/>
          <w:rFonts w:hint="eastAsia" w:ascii="宋体" w:hAnsi="宋体" w:eastAsia="宋体" w:cs="宋体"/>
          <w:color w:val="auto"/>
          <w:sz w:val="24"/>
          <w:szCs w:val="24"/>
          <w:u w:val="none"/>
          <w:lang w:val="en-US" w:eastAsia="zh-CN"/>
        </w:rPr>
        <w:t>8</w:t>
      </w:r>
      <w:r>
        <w:rPr>
          <w:rStyle w:val="48"/>
          <w:rFonts w:hint="eastAsia" w:ascii="宋体" w:hAnsi="宋体" w:eastAsia="宋体" w:cs="宋体"/>
          <w:color w:val="auto"/>
          <w:sz w:val="24"/>
          <w:szCs w:val="24"/>
          <w:u w:val="none"/>
        </w:rPr>
        <w:fldChar w:fldCharType="end"/>
      </w:r>
    </w:p>
    <w:p w14:paraId="770A0D46">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"_Toc31036"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第六章  响应文件组成</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5</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0</w:t>
      </w:r>
    </w:p>
    <w:p w14:paraId="7C271861">
      <w:pPr>
        <w:pStyle w:val="34"/>
        <w:keepNext w:val="0"/>
        <w:keepLines w:val="0"/>
        <w:pageBreakBefore w:val="0"/>
        <w:widowControl/>
        <w:tabs>
          <w:tab w:val="right" w:leader="dot" w:pos="8902"/>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p>
    <w:p w14:paraId="1909834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fldChar w:fldCharType="end"/>
      </w:r>
    </w:p>
    <w:p w14:paraId="0E7209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1"/>
          <w:szCs w:val="21"/>
        </w:rPr>
        <w:sectPr>
          <w:footerReference r:id="rId5" w:type="default"/>
          <w:pgSz w:w="11906" w:h="16838"/>
          <w:pgMar w:top="1134" w:right="1417" w:bottom="1134" w:left="1417" w:header="567" w:footer="992" w:gutter="0"/>
          <w:pgNumType w:fmt="decimal" w:start="1"/>
          <w:cols w:space="425" w:num="1"/>
          <w:rtlGutter w:val="0"/>
          <w:docGrid w:type="lines" w:linePitch="312" w:charSpace="0"/>
        </w:sectPr>
      </w:pPr>
    </w:p>
    <w:p w14:paraId="2BBFD3E9">
      <w:pPr>
        <w:keepNext w:val="0"/>
        <w:keepLines w:val="0"/>
        <w:pageBreakBefore w:val="0"/>
        <w:widowControl w:val="0"/>
        <w:numPr>
          <w:ilvl w:val="0"/>
          <w:numId w:val="1"/>
        </w:numPr>
        <w:kinsoku/>
        <w:wordWrap/>
        <w:overflowPunct/>
        <w:topLinePunct w:val="0"/>
        <w:autoSpaceDE/>
        <w:autoSpaceDN/>
        <w:bidi w:val="0"/>
        <w:adjustRightInd/>
        <w:snapToGrid/>
        <w:spacing w:after="157" w:afterLines="50" w:line="360" w:lineRule="auto"/>
        <w:jc w:val="center"/>
        <w:textAlignment w:val="auto"/>
        <w:outlineLvl w:val="0"/>
        <w:rPr>
          <w:rFonts w:hint="eastAsia" w:ascii="宋体" w:hAnsi="宋体" w:eastAsia="宋体" w:cs="宋体"/>
          <w:b/>
          <w:sz w:val="30"/>
          <w:szCs w:val="30"/>
        </w:rPr>
      </w:pPr>
      <w:bookmarkStart w:id="4" w:name="_Toc15310"/>
      <w:r>
        <w:rPr>
          <w:rFonts w:hint="eastAsia" w:ascii="宋体" w:hAnsi="宋体" w:eastAsia="宋体" w:cs="宋体"/>
          <w:b/>
          <w:sz w:val="30"/>
          <w:szCs w:val="30"/>
        </w:rPr>
        <w:t>磋商邀请</w:t>
      </w:r>
      <w:bookmarkEnd w:id="4"/>
    </w:p>
    <w:p w14:paraId="58B2B6AB">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华容县住房和城乡建设局的华容县城体检和城市更新专项规划编制技术服务项目进行竞争性磋商采购，现采用发布公告方式，邀请符合资格条件的供应商提交证明材料参与资格审查活动。</w:t>
      </w:r>
    </w:p>
    <w:p w14:paraId="2C74B397">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项目概况</w:t>
      </w:r>
    </w:p>
    <w:p w14:paraId="202D93B5">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华容县城体检和城市更新专项规划编制技术服务项目的潜在供应商应在</w:t>
      </w:r>
      <w:r>
        <w:rPr>
          <w:rFonts w:hint="eastAsia" w:ascii="宋体" w:hAnsi="宋体" w:eastAsia="宋体" w:cs="宋体"/>
          <w:i w:val="0"/>
          <w:iCs w:val="0"/>
          <w:caps w:val="0"/>
          <w:color w:val="000000"/>
          <w:spacing w:val="0"/>
          <w:sz w:val="21"/>
          <w:szCs w:val="21"/>
          <w:lang w:val="en-US" w:eastAsia="zh-CN"/>
        </w:rPr>
        <w:t>[湖南双博招标代理</w:t>
      </w:r>
      <w:r>
        <w:rPr>
          <w:rFonts w:hint="eastAsia" w:ascii="宋体" w:hAnsi="宋体" w:eastAsia="宋体" w:cs="宋体"/>
          <w:i w:val="0"/>
          <w:iCs w:val="0"/>
          <w:caps w:val="0"/>
          <w:color w:val="000000"/>
          <w:spacing w:val="0"/>
          <w:sz w:val="21"/>
          <w:szCs w:val="21"/>
        </w:rPr>
        <w:t>有限公司（湖南省华容县章华镇状元文化街006-2号</w:t>
      </w:r>
      <w:r>
        <w:rPr>
          <w:rFonts w:hint="eastAsia" w:ascii="宋体" w:hAnsi="宋体" w:eastAsia="宋体" w:cs="宋体"/>
          <w:i w:val="0"/>
          <w:iCs w:val="0"/>
          <w:caps w:val="0"/>
          <w:color w:val="000000"/>
          <w:spacing w:val="0"/>
          <w:sz w:val="21"/>
          <w:szCs w:val="21"/>
          <w:lang w:val="en-US" w:eastAsia="zh-CN"/>
        </w:rPr>
        <w:t>)]凭供应商营业执照副本复印件、个人身份证原件、法定代表人身份证明原件（法定代表人报名）或者授权委托书并附法定代表人身份证明原件（授权委托人报名）以上资料均加盖公章</w:t>
      </w:r>
      <w:r>
        <w:rPr>
          <w:rFonts w:hint="eastAsia" w:ascii="宋体" w:hAnsi="宋体" w:eastAsia="宋体" w:cs="宋体"/>
          <w:i w:val="0"/>
          <w:iCs w:val="0"/>
          <w:caps w:val="0"/>
          <w:color w:val="000000"/>
          <w:spacing w:val="0"/>
          <w:sz w:val="21"/>
          <w:szCs w:val="21"/>
        </w:rPr>
        <w:t>获取采购文件，并于2026年</w:t>
      </w:r>
      <w:r>
        <w:rPr>
          <w:rFonts w:hint="eastAsia" w:ascii="宋体" w:hAnsi="宋体" w:eastAsia="宋体" w:cs="宋体"/>
          <w:i w:val="0"/>
          <w:iCs w:val="0"/>
          <w:caps w:val="0"/>
          <w:color w:val="000000"/>
          <w:spacing w:val="0"/>
          <w:sz w:val="21"/>
          <w:szCs w:val="21"/>
          <w:lang w:val="en-US" w:eastAsia="zh-CN"/>
        </w:rPr>
        <w:t xml:space="preserve"> 8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lang w:val="en-US" w:eastAsia="zh-CN"/>
        </w:rPr>
        <w:t xml:space="preserve"> 18</w:t>
      </w:r>
      <w:bookmarkStart w:id="152" w:name="_GoBack"/>
      <w:bookmarkEnd w:id="152"/>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eastAsia="宋体" w:cs="宋体"/>
          <w:i w:val="0"/>
          <w:iCs w:val="0"/>
          <w:caps w:val="0"/>
          <w:color w:val="000000"/>
          <w:spacing w:val="0"/>
          <w:sz w:val="21"/>
          <w:szCs w:val="21"/>
        </w:rPr>
        <w:t>日 09点</w:t>
      </w:r>
      <w:r>
        <w:rPr>
          <w:rFonts w:hint="eastAsia" w:ascii="宋体" w:hAnsi="宋体" w:eastAsia="宋体" w:cs="宋体"/>
          <w:i w:val="0"/>
          <w:iCs w:val="0"/>
          <w:caps w:val="0"/>
          <w:color w:val="000000"/>
          <w:spacing w:val="0"/>
          <w:sz w:val="21"/>
          <w:szCs w:val="21"/>
          <w:lang w:val="en-US" w:eastAsia="zh-CN"/>
        </w:rPr>
        <w:t>00</w:t>
      </w:r>
      <w:r>
        <w:rPr>
          <w:rFonts w:hint="eastAsia" w:ascii="宋体" w:hAnsi="宋体" w:eastAsia="宋体" w:cs="宋体"/>
          <w:i w:val="0"/>
          <w:iCs w:val="0"/>
          <w:caps w:val="0"/>
          <w:color w:val="000000"/>
          <w:spacing w:val="0"/>
          <w:sz w:val="21"/>
          <w:szCs w:val="21"/>
        </w:rPr>
        <w:t>分 （北京时间）前提交响应文件。</w:t>
      </w:r>
    </w:p>
    <w:p w14:paraId="6F6897B6">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一、采购项目基本信息</w:t>
      </w:r>
    </w:p>
    <w:p w14:paraId="0C0892F7">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1、采购项目编号：CGXM2026430623000020</w:t>
      </w:r>
    </w:p>
    <w:p w14:paraId="6B93B982">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2、采购项目名称：华容县城体检和城市更新专项规划编制技术服务项目</w:t>
      </w:r>
    </w:p>
    <w:p w14:paraId="219F9B6C">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3、政府采购计划编号：(2026)430623000019-1</w:t>
      </w:r>
    </w:p>
    <w:p w14:paraId="3CFF70A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4、合同履行期限：120日历天完成所有成果的提交。</w:t>
      </w:r>
    </w:p>
    <w:p w14:paraId="7CC06E2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w:t>
      </w:r>
      <w:r>
        <w:rPr>
          <w:rFonts w:hint="eastAsia" w:ascii="宋体" w:hAnsi="宋体" w:eastAsia="宋体" w:cs="宋体"/>
          <w:i w:val="0"/>
          <w:iCs w:val="0"/>
          <w:caps w:val="0"/>
          <w:color w:val="000000"/>
          <w:spacing w:val="0"/>
          <w:kern w:val="0"/>
          <w:sz w:val="21"/>
          <w:szCs w:val="21"/>
          <w:u w:val="single"/>
          <w:lang w:val="en-US" w:eastAsia="zh-CN" w:bidi="ar"/>
        </w:rPr>
        <w:t> 否 </w:t>
      </w:r>
      <w:r>
        <w:rPr>
          <w:rFonts w:hint="eastAsia" w:ascii="宋体" w:hAnsi="宋体" w:eastAsia="宋体" w:cs="宋体"/>
          <w:i w:val="0"/>
          <w:iCs w:val="0"/>
          <w:caps w:val="0"/>
          <w:color w:val="000000"/>
          <w:spacing w:val="0"/>
          <w:kern w:val="0"/>
          <w:sz w:val="21"/>
          <w:szCs w:val="21"/>
          <w:lang w:val="en-US" w:eastAsia="zh-CN" w:bidi="ar"/>
        </w:rPr>
        <w:t>接受联合体投标。</w:t>
      </w:r>
    </w:p>
    <w:p w14:paraId="2F847DF2">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39"/>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02"/>
        <w:gridCol w:w="1181"/>
        <w:gridCol w:w="2667"/>
        <w:gridCol w:w="1437"/>
        <w:gridCol w:w="432"/>
        <w:gridCol w:w="1258"/>
      </w:tblGrid>
      <w:tr w14:paraId="3510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8" w:hRule="atLeast"/>
          <w:tblHeader/>
        </w:trPr>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35B14C">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包名称</w:t>
            </w:r>
          </w:p>
        </w:tc>
        <w:tc>
          <w:tcPr>
            <w:tcW w:w="118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2DE3B04">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最高限价（元）</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7DB2293">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标的名称</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8490AFD">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简要技术需求或服务要求</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38F52BE">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数量</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AF5BF12">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预算金额（元）</w:t>
            </w:r>
          </w:p>
        </w:tc>
      </w:tr>
      <w:tr w14:paraId="7D2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7C0E248">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caps w:val="0"/>
                <w:spacing w:val="0"/>
                <w:sz w:val="21"/>
                <w:szCs w:val="21"/>
              </w:rPr>
            </w:pPr>
            <w:r>
              <w:rPr>
                <w:rFonts w:hint="eastAsia" w:ascii="宋体" w:hAnsi="宋体" w:eastAsia="宋体" w:cs="宋体"/>
                <w:sz w:val="21"/>
                <w:szCs w:val="21"/>
                <w:lang w:val="en-US" w:eastAsia="zh-CN"/>
              </w:rPr>
              <w:t>华容县城体检和城市更新专项规划编制技术服务项目</w:t>
            </w:r>
          </w:p>
        </w:tc>
        <w:tc>
          <w:tcPr>
            <w:tcW w:w="118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8CE07DA">
            <w:pPr>
              <w:keepNext w:val="0"/>
              <w:keepLines w:val="0"/>
              <w:pageBreakBefore w:val="0"/>
              <w:widowControl/>
              <w:suppressLineNumbers w:val="0"/>
              <w:kinsoku/>
              <w:overflowPunct/>
              <w:topLinePunct w:val="0"/>
              <w:autoSpaceDE/>
              <w:autoSpaceDN/>
              <w:bidi w:val="0"/>
              <w:spacing w:beforeAutospacing="0" w:line="43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864045.00</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07A44DB">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华容县城体检和城市更新专项规划编制技术服务项目</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D49EE21">
            <w:pPr>
              <w:keepNext w:val="0"/>
              <w:keepLines w:val="0"/>
              <w:pageBreakBefore w:val="0"/>
              <w:widowControl/>
              <w:suppressLineNumbers w:val="0"/>
              <w:kinsoku/>
              <w:overflowPunct/>
              <w:topLinePunct w:val="0"/>
              <w:autoSpaceDE/>
              <w:autoSpaceDN/>
              <w:bidi w:val="0"/>
              <w:spacing w:beforeAutospacing="0" w:line="43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详见磋商文件</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823DE7A">
            <w:pPr>
              <w:keepNext w:val="0"/>
              <w:keepLines w:val="0"/>
              <w:pageBreakBefore w:val="0"/>
              <w:widowControl/>
              <w:suppressLineNumbers w:val="0"/>
              <w:kinsoku/>
              <w:overflowPunct/>
              <w:topLinePunct w:val="0"/>
              <w:autoSpaceDE/>
              <w:autoSpaceDN/>
              <w:bidi w:val="0"/>
              <w:spacing w:beforeAutospacing="0" w:line="43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1</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4EBF38">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864045.00</w:t>
            </w:r>
          </w:p>
        </w:tc>
      </w:tr>
    </w:tbl>
    <w:p w14:paraId="0E754478">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三、供应商的资格要求</w:t>
      </w:r>
    </w:p>
    <w:p w14:paraId="36139C61">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1、供应商的基本资格条件：</w:t>
      </w:r>
    </w:p>
    <w:p w14:paraId="702A65BD">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（1）供应商必须是在中华人民共和国境内注册登记的法人、其他组织或者自然人，且应当符合《政府采购法》第二十二条第一款的规定。</w:t>
      </w:r>
    </w:p>
    <w:p w14:paraId="5A112FD9">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（2）单位负责人为同一人或者存在直接控股、管理关系的不同供应商，不得参加同一合同项下的政府采购活动。</w:t>
      </w:r>
    </w:p>
    <w:p w14:paraId="495614AB">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 为本采购项目提供整体设计、规范编制或者项目管理、监理、检测等服务的，不得再参加此项目的其他采购活动。</w:t>
      </w:r>
    </w:p>
    <w:p w14:paraId="53A31432">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（4）列入失信被执行人、重大税收违法失信主体名单、政府采购严重违法失信行为记录名单的，拒绝其参与政府采购活动。</w:t>
      </w:r>
    </w:p>
    <w:p w14:paraId="0BA44924">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739F33A3">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华容县城体检和城市更新专项规划编制技术服务项目</w:t>
      </w:r>
    </w:p>
    <w:p w14:paraId="0583B731">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☑专门面向中小企业（含监狱及福利性单位）</w:t>
      </w:r>
    </w:p>
    <w:p w14:paraId="5B51A785">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6069FB08">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华容县城体检和城市更新专项规划编制技术服务项目</w:t>
      </w:r>
    </w:p>
    <w:p w14:paraId="4058B9DE">
      <w:pPr>
        <w:keepNext w:val="0"/>
        <w:keepLines w:val="0"/>
        <w:pageBreakBefore w:val="0"/>
        <w:widowControl w:val="0"/>
        <w:numPr>
          <w:ilvl w:val="0"/>
          <w:numId w:val="0"/>
        </w:numPr>
        <w:kinsoku/>
        <w:wordWrap/>
        <w:overflowPunct/>
        <w:topLinePunct w:val="0"/>
        <w:autoSpaceDE/>
        <w:autoSpaceDN/>
        <w:bidi w:val="0"/>
        <w:adjustRightInd/>
        <w:snapToGrid/>
        <w:spacing w:beforeAutospacing="0" w:line="430" w:lineRule="exact"/>
        <w:jc w:val="both"/>
        <w:textAlignment w:val="auto"/>
        <w:outlineLvl w:val="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特定资格条件：</w:t>
      </w:r>
    </w:p>
    <w:p w14:paraId="6C0E37F5">
      <w:pPr>
        <w:keepNext w:val="0"/>
        <w:keepLines w:val="0"/>
        <w:pageBreakBefore w:val="0"/>
        <w:widowControl w:val="0"/>
        <w:numPr>
          <w:ilvl w:val="0"/>
          <w:numId w:val="0"/>
        </w:numPr>
        <w:kinsoku/>
        <w:wordWrap/>
        <w:overflowPunct/>
        <w:topLinePunct w:val="0"/>
        <w:autoSpaceDE/>
        <w:autoSpaceDN/>
        <w:bidi w:val="0"/>
        <w:adjustRightInd/>
        <w:snapToGrid/>
        <w:spacing w:beforeAutospacing="0" w:line="430" w:lineRule="exact"/>
        <w:jc w:val="both"/>
        <w:textAlignment w:val="auto"/>
        <w:outlineLvl w:val="0"/>
        <w:rPr>
          <w:rFonts w:hint="eastAsia" w:ascii="宋体" w:hAnsi="宋体" w:eastAsia="宋体" w:cs="宋体"/>
          <w:bCs/>
          <w:snapToGrid/>
          <w:color w:val="000000"/>
          <w:spacing w:val="0"/>
          <w:kern w:val="28"/>
          <w:position w:val="0"/>
          <w:sz w:val="21"/>
          <w:szCs w:val="21"/>
          <w:highlight w:val="none"/>
          <w:lang w:val="en-US" w:eastAsia="zh-CN" w:bidi="ar-SA"/>
        </w:rPr>
      </w:pPr>
      <w:r>
        <w:rPr>
          <w:rFonts w:hint="eastAsia" w:ascii="宋体" w:hAnsi="宋体" w:eastAsia="宋体" w:cs="宋体"/>
          <w:i w:val="0"/>
          <w:iCs w:val="0"/>
          <w:caps w:val="0"/>
          <w:color w:val="000000"/>
          <w:spacing w:val="0"/>
          <w:sz w:val="21"/>
          <w:szCs w:val="21"/>
          <w:u w:val="none"/>
        </w:rPr>
        <w:t>（1）</w:t>
      </w:r>
      <w:r>
        <w:rPr>
          <w:rFonts w:hint="eastAsia" w:ascii="宋体" w:hAnsi="宋体" w:eastAsia="宋体" w:cs="宋体"/>
          <w:bCs/>
          <w:snapToGrid/>
          <w:color w:val="000000"/>
          <w:spacing w:val="0"/>
          <w:kern w:val="28"/>
          <w:position w:val="0"/>
          <w:sz w:val="21"/>
          <w:szCs w:val="21"/>
          <w:highlight w:val="none"/>
          <w:lang w:val="en-US" w:eastAsia="zh-CN" w:bidi="ar-SA"/>
        </w:rPr>
        <w:t>中小企业参加投标必须提供《中小企业声明函》，否则视为无效投标。格式见财政部工业和信息化部关于《政府采购促进中小企业发展管理办法》的通知财库【2020】46号文。</w:t>
      </w:r>
    </w:p>
    <w:p w14:paraId="563A8D9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rPr>
        <w:t xml:space="preserve">（2）投标人须具备行业主管部门颁发的城乡规划编制乙级及以上资质， 资质证书在有效期内。     </w:t>
      </w:r>
    </w:p>
    <w:p w14:paraId="572436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说明：</w:t>
      </w:r>
    </w:p>
    <w:p w14:paraId="4ECC823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p>
    <w:p w14:paraId="56F401F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（2）根据《湖南省财政厅湖南省工业和信息化厅关于运用政府采购促进中小企业发展有关事项的通知》（湘财购【2021】16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20841C52">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四、获取磋商文件的时间、期限、地点及方式</w:t>
      </w:r>
    </w:p>
    <w:p w14:paraId="5C52B0DE">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1、时间：2026年8 月8 日至2026年 8 月 14 日，每天上午9:00至12:00，下午14:00至17:00（北京时间，法定节假日除外）</w:t>
      </w:r>
    </w:p>
    <w:p w14:paraId="5D371523">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凭供应商营业执照副本复印件、个人身份证原件、法定代表人身份证明原件（法定代表人报名）或者授权委托书并附法定代表人身份证明原件（授权委托人报名），以上资料均加盖公章。</w:t>
      </w:r>
    </w:p>
    <w:p w14:paraId="13E182CC">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3、方式：线下获取</w:t>
      </w:r>
    </w:p>
    <w:p w14:paraId="576F3A3F">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4、售价：0元</w:t>
      </w:r>
    </w:p>
    <w:p w14:paraId="23097397">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五、响应文件提交截止时间、地点</w:t>
      </w:r>
    </w:p>
    <w:p w14:paraId="58E90E14">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1、截止时间：2026年 8 月 18 日 09点00分（北京时间）</w:t>
      </w:r>
    </w:p>
    <w:p w14:paraId="78DD2147">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w:t>
      </w:r>
    </w:p>
    <w:p w14:paraId="050A55C1">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六、响应文件开启</w:t>
      </w:r>
    </w:p>
    <w:p w14:paraId="7753AF63">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1、开启时间：2026年8 月 18日 09点00分（北京时间）</w:t>
      </w:r>
    </w:p>
    <w:p w14:paraId="15F4001D">
      <w:pPr>
        <w:keepNext w:val="0"/>
        <w:keepLines w:val="0"/>
        <w:pageBreakBefore w:val="0"/>
        <w:kinsoku/>
        <w:wordWrap/>
        <w:overflowPunct/>
        <w:topLinePunct w:val="0"/>
        <w:autoSpaceDE/>
        <w:autoSpaceDN/>
        <w:bidi w:val="0"/>
        <w:spacing w:beforeAutospacing="0" w:line="430"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2、地点：</w:t>
      </w:r>
      <w:r>
        <w:rPr>
          <w:rFonts w:hint="eastAsia" w:ascii="宋体" w:hAnsi="宋体" w:eastAsia="宋体" w:cs="宋体"/>
          <w:bCs/>
          <w:kern w:val="2"/>
          <w:sz w:val="21"/>
          <w:szCs w:val="21"/>
          <w:lang w:val="en-US" w:eastAsia="zh-CN" w:bidi="ar-SA"/>
        </w:rPr>
        <w:t>湖南双博招标代理有限公司（湖南省华容县章华镇状元文化街006-2号）</w:t>
      </w:r>
    </w:p>
    <w:p w14:paraId="78BD0D61">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5641ECAB">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1、本公告在中国湖南政府采购网（</w:t>
      </w:r>
      <w:r>
        <w:rPr>
          <w:rFonts w:hint="eastAsia" w:ascii="宋体" w:hAnsi="宋体" w:eastAsia="宋体" w:cs="宋体"/>
          <w:i w:val="0"/>
          <w:iCs w:val="0"/>
          <w:caps w:val="0"/>
          <w:spacing w:val="0"/>
          <w:kern w:val="0"/>
          <w:sz w:val="21"/>
          <w:szCs w:val="21"/>
          <w:lang w:val="en-US" w:eastAsia="zh-CN" w:bidi="ar"/>
        </w:rPr>
        <w:fldChar w:fldCharType="begin"/>
      </w:r>
      <w:r>
        <w:rPr>
          <w:rFonts w:hint="eastAsia" w:ascii="宋体" w:hAnsi="宋体" w:eastAsia="宋体" w:cs="宋体"/>
          <w:i w:val="0"/>
          <w:iCs w:val="0"/>
          <w:caps w:val="0"/>
          <w:spacing w:val="0"/>
          <w:kern w:val="0"/>
          <w:sz w:val="21"/>
          <w:szCs w:val="21"/>
          <w:lang w:val="en-US" w:eastAsia="zh-CN" w:bidi="ar"/>
        </w:rPr>
        <w:instrText xml:space="preserve"> HYPERLINK "http://www.ccgp-hunan.gov.cn/" \t "http://www.ccgp-hunan.gov.cn/luban/front/_blank" </w:instrText>
      </w:r>
      <w:r>
        <w:rPr>
          <w:rFonts w:hint="eastAsia" w:ascii="宋体" w:hAnsi="宋体" w:eastAsia="宋体" w:cs="宋体"/>
          <w:i w:val="0"/>
          <w:iCs w:val="0"/>
          <w:caps w:val="0"/>
          <w:spacing w:val="0"/>
          <w:kern w:val="0"/>
          <w:sz w:val="21"/>
          <w:szCs w:val="21"/>
          <w:lang w:val="en-US" w:eastAsia="zh-CN" w:bidi="ar"/>
        </w:rPr>
        <w:fldChar w:fldCharType="separate"/>
      </w:r>
      <w:r>
        <w:rPr>
          <w:rFonts w:hint="eastAsia" w:ascii="宋体" w:hAnsi="宋体" w:eastAsia="宋体" w:cs="宋体"/>
          <w:i w:val="0"/>
          <w:iCs w:val="0"/>
          <w:caps w:val="0"/>
          <w:color w:val="0000FF"/>
          <w:spacing w:val="0"/>
          <w:kern w:val="2"/>
          <w:sz w:val="21"/>
          <w:szCs w:val="21"/>
          <w:u w:val="single"/>
          <w:lang w:val="en-US" w:eastAsia="zh-CN" w:bidi="ar-SA"/>
        </w:rPr>
        <w:t>www.ccgp-hunan.gov.cn</w:t>
      </w:r>
      <w:r>
        <w:rPr>
          <w:rFonts w:hint="eastAsia" w:ascii="宋体" w:hAnsi="宋体" w:eastAsia="宋体" w:cs="宋体"/>
          <w:i w:val="0"/>
          <w:iCs w:val="0"/>
          <w:caps w:val="0"/>
          <w:spacing w:val="0"/>
          <w:kern w:val="0"/>
          <w:sz w:val="21"/>
          <w:szCs w:val="21"/>
          <w:lang w:val="en-US" w:eastAsia="zh-CN" w:bidi="ar"/>
        </w:rPr>
        <w:fldChar w:fldCharType="end"/>
      </w:r>
      <w:r>
        <w:rPr>
          <w:rFonts w:hint="eastAsia" w:ascii="宋体" w:hAnsi="宋体" w:eastAsia="宋体" w:cs="宋体"/>
          <w:i w:val="0"/>
          <w:iCs w:val="0"/>
          <w:caps w:val="0"/>
          <w:color w:val="000000"/>
          <w:spacing w:val="0"/>
          <w:kern w:val="0"/>
          <w:sz w:val="21"/>
          <w:szCs w:val="21"/>
          <w:lang w:val="en-US" w:eastAsia="zh-CN" w:bidi="ar"/>
        </w:rPr>
        <w:t>）发布。公告期限从本公告发布之日起5个工作日。</w:t>
      </w:r>
    </w:p>
    <w:p w14:paraId="172AAE71">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2、在其他媒体发布的邀请公告，公告内容以本招标公告指定媒体发布的公告为准。</w:t>
      </w:r>
    </w:p>
    <w:p w14:paraId="18C75A7B">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八、询问及质疑</w:t>
      </w:r>
    </w:p>
    <w:p w14:paraId="72081AF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7B009D9D">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2、供应商对电子交易平台办理CA证书、操作等如有疑问，请咨询电子交易平台服务机构。</w:t>
      </w:r>
    </w:p>
    <w:p w14:paraId="0650CEC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FAE0DFF">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九、磋商说明</w:t>
      </w:r>
    </w:p>
    <w:p w14:paraId="615DB55F">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 表示选择，☐ 表示未选择。</w:t>
      </w:r>
    </w:p>
    <w:p w14:paraId="56A42F1A">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4CC7BDBC">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十、其他补充事宜:</w:t>
      </w:r>
      <w:r>
        <w:rPr>
          <w:rFonts w:hint="eastAsia" w:ascii="宋体" w:hAnsi="宋体" w:eastAsia="宋体" w:cs="宋体"/>
          <w:i w:val="0"/>
          <w:iCs w:val="0"/>
          <w:caps w:val="0"/>
          <w:color w:val="000000"/>
          <w:spacing w:val="0"/>
          <w:sz w:val="21"/>
          <w:szCs w:val="21"/>
        </w:rPr>
        <w:t>无</w:t>
      </w:r>
    </w:p>
    <w:p w14:paraId="198FC445">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十一、对本次采购提出询问，请按以下方式联系</w:t>
      </w:r>
    </w:p>
    <w:p w14:paraId="749CDACE">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ind w:left="211" w:hanging="211" w:hangingChars="100"/>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i w:val="0"/>
          <w:iCs w:val="0"/>
          <w:caps w:val="0"/>
          <w:color w:val="000000"/>
          <w:spacing w:val="0"/>
          <w:sz w:val="21"/>
          <w:szCs w:val="21"/>
          <w:lang w:val="en-US" w:eastAsia="zh-CN"/>
        </w:rPr>
        <w:t>1.</w:t>
      </w:r>
      <w:r>
        <w:rPr>
          <w:rFonts w:hint="eastAsia" w:ascii="宋体" w:hAnsi="宋体" w:eastAsia="宋体" w:cs="宋体"/>
          <w:b/>
          <w:i w:val="0"/>
          <w:iCs w:val="0"/>
          <w:caps w:val="0"/>
          <w:color w:val="000000"/>
          <w:spacing w:val="0"/>
          <w:sz w:val="21"/>
          <w:szCs w:val="21"/>
        </w:rPr>
        <w:t>采购人信息</w:t>
      </w:r>
    </w:p>
    <w:p w14:paraId="7D194541">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ind w:left="211" w:hanging="210" w:hangingChars="100"/>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名称：</w:t>
      </w:r>
      <w:r>
        <w:rPr>
          <w:rFonts w:hint="eastAsia" w:ascii="宋体" w:hAnsi="宋体" w:eastAsia="宋体" w:cs="宋体"/>
          <w:spacing w:val="10"/>
          <w:sz w:val="21"/>
          <w:szCs w:val="21"/>
          <w:lang w:val="en-US" w:eastAsia="zh-CN"/>
        </w:rPr>
        <w:t>华容县住房和城乡建设局</w:t>
      </w:r>
    </w:p>
    <w:p w14:paraId="2E89E67A">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地址：湖南省岳阳市华容县迎宾南路 029 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严政</w:t>
      </w:r>
    </w:p>
    <w:p w14:paraId="7AEEF079">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18873066661</w:t>
      </w:r>
    </w:p>
    <w:p w14:paraId="5139772C">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bCs w:val="0"/>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2.采购代理机构信息</w:t>
      </w:r>
    </w:p>
    <w:p w14:paraId="327F5277">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名称：湖南双博招标代理有限公司</w:t>
      </w:r>
    </w:p>
    <w:p w14:paraId="14F0B73F">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地址：湖南省华容县章华镇状元文化街006-2号</w:t>
      </w:r>
    </w:p>
    <w:p w14:paraId="2CC179C8">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联系人：廖姣云、陈丽君、胡恩</w:t>
      </w:r>
    </w:p>
    <w:p w14:paraId="29A470A6">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联系电话：17373077718</w:t>
      </w:r>
    </w:p>
    <w:p w14:paraId="2891EF7C">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b/>
          <w:bCs w:val="0"/>
          <w:i w:val="0"/>
          <w:iCs w:val="0"/>
          <w:caps w:val="0"/>
          <w:color w:val="000000"/>
          <w:spacing w:val="0"/>
          <w:sz w:val="21"/>
          <w:szCs w:val="21"/>
          <w:lang w:val="en-US" w:eastAsia="zh-CN"/>
        </w:rPr>
        <w:t>3、</w:t>
      </w:r>
      <w:r>
        <w:rPr>
          <w:rFonts w:hint="eastAsia" w:ascii="宋体" w:hAnsi="宋体" w:eastAsia="宋体" w:cs="宋体"/>
          <w:b/>
          <w:bCs w:val="0"/>
          <w:i w:val="0"/>
          <w:iCs w:val="0"/>
          <w:caps w:val="0"/>
          <w:color w:val="000000"/>
          <w:spacing w:val="0"/>
          <w:sz w:val="21"/>
          <w:szCs w:val="21"/>
        </w:rPr>
        <w:t>项目联系方式</w:t>
      </w:r>
      <w:r>
        <w:rPr>
          <w:rFonts w:hint="eastAsia" w:ascii="宋体" w:hAnsi="宋体" w:eastAsia="宋体" w:cs="宋体"/>
          <w:b/>
          <w:bCs w:val="0"/>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严政</w:t>
      </w:r>
    </w:p>
    <w:p w14:paraId="547EA55F">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18873066661</w:t>
      </w:r>
    </w:p>
    <w:p w14:paraId="0AADBAE9">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ind w:left="-360" w:leftChars="0"/>
        <w:textAlignment w:val="auto"/>
        <w:rPr>
          <w:rFonts w:hint="eastAsia" w:ascii="宋体" w:hAnsi="宋体" w:eastAsia="宋体" w:cs="宋体"/>
          <w:sz w:val="21"/>
          <w:szCs w:val="21"/>
        </w:rPr>
      </w:pPr>
    </w:p>
    <w:p w14:paraId="584C3F0C">
      <w:pPr>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color w:val="000000"/>
          <w:kern w:val="2"/>
          <w:sz w:val="21"/>
          <w:szCs w:val="21"/>
          <w:lang w:val="en-US" w:eastAsia="zh-CN" w:bidi="ar-SA"/>
        </w:rPr>
      </w:pPr>
    </w:p>
    <w:p w14:paraId="77C84FCE">
      <w:pPr>
        <w:pageBreakBefore w:val="0"/>
        <w:widowControl w:val="0"/>
        <w:kinsoku/>
        <w:wordWrap/>
        <w:overflowPunct/>
        <w:topLinePunct w:val="0"/>
        <w:autoSpaceDE/>
        <w:autoSpaceDN/>
        <w:bidi w:val="0"/>
        <w:spacing w:beforeAutospacing="0" w:afterAutospacing="0" w:line="560" w:lineRule="exact"/>
        <w:jc w:val="center"/>
        <w:textAlignment w:val="auto"/>
        <w:outlineLvl w:val="0"/>
        <w:rPr>
          <w:rFonts w:hint="eastAsia" w:ascii="宋体" w:hAnsi="宋体" w:eastAsia="宋体" w:cs="宋体"/>
          <w:b/>
          <w:kern w:val="2"/>
          <w:sz w:val="32"/>
          <w:szCs w:val="32"/>
          <w:lang w:val="en-US" w:eastAsia="zh-CN" w:bidi="ar-SA"/>
        </w:rPr>
      </w:pPr>
    </w:p>
    <w:p w14:paraId="0669D6EB">
      <w:pPr>
        <w:rPr>
          <w:rFonts w:hint="eastAsia"/>
          <w:lang w:val="en-US" w:eastAsia="zh-CN"/>
        </w:rPr>
      </w:pPr>
    </w:p>
    <w:p w14:paraId="24F8E8A2">
      <w:pPr>
        <w:pStyle w:val="34"/>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第二章 磋商须知</w:t>
      </w:r>
    </w:p>
    <w:p w14:paraId="71D1A48C">
      <w:pPr>
        <w:pStyle w:val="34"/>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磋商须知前附表</w:t>
      </w:r>
    </w:p>
    <w:p w14:paraId="641555E9">
      <w:pPr>
        <w:pStyle w:val="34"/>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注：如采购文件中出现前后不一致情形的，以前附表规定的为准</w:t>
      </w:r>
      <w:r>
        <w:rPr>
          <w:rFonts w:hint="eastAsia" w:ascii="宋体" w:hAnsi="宋体" w:eastAsia="宋体" w:cs="宋体"/>
          <w:b/>
          <w:bCs/>
          <w:sz w:val="21"/>
          <w:szCs w:val="21"/>
          <w:lang w:eastAsia="zh-CN"/>
        </w:rPr>
        <w:t>，</w:t>
      </w:r>
      <w:r>
        <w:rPr>
          <w:rFonts w:hint="eastAsia" w:ascii="宋体" w:hAnsi="宋体" w:eastAsia="宋体" w:cs="宋体"/>
          <w:b/>
          <w:bCs/>
          <w:sz w:val="21"/>
          <w:szCs w:val="21"/>
        </w:rPr>
        <w:t>公告后有变更的，以变更的为准。</w:t>
      </w:r>
    </w:p>
    <w:tbl>
      <w:tblPr>
        <w:tblStyle w:val="39"/>
        <w:tblW w:w="101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0"/>
        <w:gridCol w:w="1920"/>
        <w:gridCol w:w="7091"/>
      </w:tblGrid>
      <w:tr w14:paraId="4D8B1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A79E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C2D22E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D59B49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编辑内容规定</w:t>
            </w:r>
          </w:p>
        </w:tc>
      </w:tr>
      <w:tr w14:paraId="7ED4F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3DD201">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b/>
                <w:bCs/>
                <w:sz w:val="21"/>
                <w:szCs w:val="21"/>
              </w:rPr>
              <w:t>一、说明</w:t>
            </w:r>
          </w:p>
        </w:tc>
      </w:tr>
      <w:tr w14:paraId="4FD2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1CC14B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773B88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3AD15E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采购项目</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719091E">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华容县城体检和城市更新专项规划编制技术服务项目</w:t>
            </w:r>
          </w:p>
        </w:tc>
      </w:tr>
      <w:tr w14:paraId="35B9A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21"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D7AEBB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AC6919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F25D9C4">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采购人</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44CB21B4">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采购人：华容县住房和城乡建设局</w:t>
            </w:r>
          </w:p>
          <w:p w14:paraId="6AC38724">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地址：湖南省岳阳市华容县迎宾南路 029 号</w:t>
            </w:r>
          </w:p>
          <w:p w14:paraId="0595D1BC">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联系人：严政</w:t>
            </w:r>
          </w:p>
          <w:p w14:paraId="782CB98B">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联系电话：18873066661</w:t>
            </w:r>
          </w:p>
        </w:tc>
      </w:tr>
      <w:tr w14:paraId="7E172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8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C14CDE">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05A0AEB">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E68910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采购代理机构</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416BAD04">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招标代理机构：湖南双博招标代理有限公司</w:t>
            </w:r>
          </w:p>
          <w:p w14:paraId="19F7A561">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地址：湖南省华容县章华镇状元文化街006-2号</w:t>
            </w:r>
          </w:p>
          <w:p w14:paraId="2BD85001">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联系人：廖姣云、陈丽君、胡恩</w:t>
            </w:r>
          </w:p>
          <w:p w14:paraId="02104A37">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联系电话：17373077718</w:t>
            </w:r>
          </w:p>
        </w:tc>
      </w:tr>
      <w:tr w14:paraId="4670D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426F1B7">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F1AFBB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第2.3款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31F3BFD">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供应商的邀请方式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30BBB0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发布公告</w:t>
            </w:r>
          </w:p>
          <w:p w14:paraId="6F9D249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□从省级以上财政部门建立的供应商库中随机抽取</w:t>
            </w:r>
          </w:p>
          <w:p w14:paraId="6160DC4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□采购人和评审专家分别书面推荐的方式</w:t>
            </w:r>
          </w:p>
        </w:tc>
      </w:tr>
      <w:tr w14:paraId="52A0E0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7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3B7C3CB">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第二章</w:t>
            </w:r>
          </w:p>
          <w:p w14:paraId="3A2EB4D6">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rPr>
              <w:t>第3</w:t>
            </w:r>
            <w:r>
              <w:rPr>
                <w:rFonts w:hint="eastAsia" w:ascii="宋体" w:hAnsi="宋体" w:eastAsia="宋体" w:cs="宋体"/>
                <w:sz w:val="21"/>
                <w:szCs w:val="21"/>
                <w:lang w:val="en-US" w:eastAsia="zh-CN"/>
              </w:rPr>
              <w:t>.1</w:t>
            </w:r>
            <w:r>
              <w:rPr>
                <w:rFonts w:hint="eastAsia" w:ascii="宋体" w:hAnsi="宋体" w:eastAsia="宋体" w:cs="宋体"/>
                <w:sz w:val="21"/>
                <w:szCs w:val="21"/>
              </w:rPr>
              <w:t>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7BD1D9E">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供应商资格条件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DC1747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详见第一章“磋商邀请”</w:t>
            </w:r>
          </w:p>
        </w:tc>
      </w:tr>
      <w:tr w14:paraId="49D05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20ACE8A">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AFF763F">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05159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联合体形式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9CAA2D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不接受</w:t>
            </w:r>
          </w:p>
          <w:p w14:paraId="2833620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接受</w:t>
            </w:r>
          </w:p>
        </w:tc>
      </w:tr>
      <w:tr w14:paraId="46D31D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40E98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B3BF8A3">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79DC60C">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对联合体</w:t>
            </w:r>
          </w:p>
          <w:p w14:paraId="571F2DB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各方的要求</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F5B2AB2">
            <w:pPr>
              <w:pageBreakBefore w:val="0"/>
              <w:kinsoku/>
              <w:wordWrap/>
              <w:overflowPunct/>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78A6C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8FC5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679547D">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第7.1款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C49136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现场勘察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5A29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☑采购人不组织</w:t>
            </w:r>
          </w:p>
          <w:p w14:paraId="7A89A43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□采购人组织，时间：地点：联系人：</w:t>
            </w:r>
          </w:p>
        </w:tc>
      </w:tr>
      <w:tr w14:paraId="10611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C40BC5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ECAFFE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9C4622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采购进口产品</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A65C5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☑本项目拒绝采购进口产品</w:t>
            </w:r>
          </w:p>
          <w:p w14:paraId="1853789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□本项目已经财政部门审核同意购买进口产品</w:t>
            </w:r>
          </w:p>
        </w:tc>
      </w:tr>
      <w:tr w14:paraId="2072A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3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6329E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66E02A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E27E16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政府采购强制采购：</w:t>
            </w:r>
            <w:r>
              <w:rPr>
                <w:rFonts w:hint="eastAsia" w:ascii="宋体" w:hAnsi="宋体" w:eastAsia="宋体" w:cs="宋体"/>
                <w:sz w:val="21"/>
                <w:szCs w:val="21"/>
                <w:lang w:eastAsia="zh-CN"/>
              </w:rPr>
              <w:t>1.</w:t>
            </w:r>
            <w:r>
              <w:rPr>
                <w:rFonts w:hint="eastAsia" w:ascii="宋体" w:hAnsi="宋体" w:eastAsia="宋体" w:cs="宋体"/>
                <w:sz w:val="21"/>
                <w:szCs w:val="21"/>
              </w:rPr>
              <w:t>强制采购的节能产品；</w:t>
            </w:r>
          </w:p>
          <w:p w14:paraId="0BF1717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DEDB6C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否</w:t>
            </w:r>
          </w:p>
          <w:p w14:paraId="0955FFF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□是，采购《节能产品政府采购清单》</w:t>
            </w:r>
            <w:r>
              <w:rPr>
                <w:rFonts w:hint="eastAsia" w:ascii="宋体" w:hAnsi="宋体" w:eastAsia="宋体" w:cs="宋体"/>
                <w:sz w:val="21"/>
                <w:szCs w:val="21"/>
                <w:lang w:eastAsia="zh-CN"/>
              </w:rPr>
              <w:t>（</w:t>
            </w:r>
            <w:r>
              <w:rPr>
                <w:rFonts w:hint="eastAsia" w:ascii="宋体" w:hAnsi="宋体" w:eastAsia="宋体" w:cs="宋体"/>
                <w:sz w:val="21"/>
                <w:szCs w:val="21"/>
              </w:rPr>
              <w:t>第期</w:t>
            </w:r>
            <w:r>
              <w:rPr>
                <w:rFonts w:hint="eastAsia" w:ascii="宋体" w:hAnsi="宋体" w:eastAsia="宋体" w:cs="宋体"/>
                <w:sz w:val="21"/>
                <w:szCs w:val="21"/>
                <w:lang w:eastAsia="zh-CN"/>
              </w:rPr>
              <w:t>）</w:t>
            </w:r>
            <w:r>
              <w:rPr>
                <w:rFonts w:hint="eastAsia" w:ascii="宋体" w:hAnsi="宋体" w:eastAsia="宋体" w:cs="宋体"/>
                <w:sz w:val="21"/>
                <w:szCs w:val="21"/>
              </w:rPr>
              <w:t xml:space="preserve"> 内标记★符号的节能产品。</w:t>
            </w:r>
          </w:p>
        </w:tc>
      </w:tr>
      <w:tr w14:paraId="0A37C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4CEF60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51FC51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419D15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政府采购优先采购：</w:t>
            </w:r>
          </w:p>
          <w:p w14:paraId="22CA6391">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非强制采购的节能产品；</w:t>
            </w:r>
          </w:p>
          <w:p w14:paraId="2E5E30E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环境标志产品；</w:t>
            </w:r>
          </w:p>
          <w:p w14:paraId="4B20924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两型产品；</w:t>
            </w:r>
          </w:p>
          <w:p w14:paraId="06B19B9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支持中小企业发展；</w:t>
            </w:r>
          </w:p>
          <w:p w14:paraId="3697DE3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0552A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本项目非专门面向中小企业采购</w:t>
            </w:r>
          </w:p>
          <w:p w14:paraId="7F1DDF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本项目专门面向中小企业采购</w:t>
            </w:r>
          </w:p>
          <w:p w14:paraId="57DA686D">
            <w:pPr>
              <w:pStyle w:val="54"/>
              <w:ind w:left="0" w:leftChars="0" w:firstLine="0" w:firstLineChars="0"/>
              <w:rPr>
                <w:rFonts w:hint="eastAsia"/>
              </w:rPr>
            </w:pPr>
            <w:r>
              <w:rPr>
                <w:rFonts w:hint="eastAsia"/>
              </w:rPr>
              <w:t>本项目采购标的对应的中小企业划分标准所属行业为：</w:t>
            </w:r>
            <w:r>
              <w:rPr>
                <w:rFonts w:hint="eastAsia"/>
                <w:b/>
                <w:bCs/>
              </w:rPr>
              <w:t>其他未列明行业</w:t>
            </w:r>
          </w:p>
          <w:p w14:paraId="282E8D5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采购产品为《节能产品政府采购清单》</w:t>
            </w:r>
            <w:r>
              <w:rPr>
                <w:rFonts w:hint="eastAsia" w:ascii="宋体" w:hAnsi="宋体" w:eastAsia="宋体" w:cs="宋体"/>
                <w:sz w:val="21"/>
                <w:szCs w:val="21"/>
                <w:lang w:eastAsia="zh-CN"/>
              </w:rPr>
              <w:t>（</w:t>
            </w:r>
            <w:r>
              <w:rPr>
                <w:rFonts w:hint="eastAsia" w:ascii="宋体" w:hAnsi="宋体" w:eastAsia="宋体" w:cs="宋体"/>
                <w:sz w:val="21"/>
                <w:szCs w:val="21"/>
              </w:rPr>
              <w:t>最新一期</w:t>
            </w:r>
            <w:r>
              <w:rPr>
                <w:rFonts w:hint="eastAsia" w:ascii="宋体" w:hAnsi="宋体" w:eastAsia="宋体" w:cs="宋体"/>
                <w:sz w:val="21"/>
                <w:szCs w:val="21"/>
                <w:lang w:eastAsia="zh-CN"/>
              </w:rPr>
              <w:t>）</w:t>
            </w:r>
            <w:r>
              <w:rPr>
                <w:rFonts w:hint="eastAsia" w:ascii="宋体" w:hAnsi="宋体" w:eastAsia="宋体" w:cs="宋体"/>
                <w:sz w:val="21"/>
                <w:szCs w:val="21"/>
              </w:rPr>
              <w:t>内非标记★符号的，分别给予技术和价格项标准总分值</w:t>
            </w:r>
            <w:r>
              <w:rPr>
                <w:rFonts w:hint="eastAsia" w:ascii="宋体" w:hAnsi="宋体" w:eastAsia="宋体" w:cs="宋体"/>
                <w:sz w:val="21"/>
                <w:szCs w:val="21"/>
                <w:lang w:eastAsia="zh-CN"/>
              </w:rPr>
              <w:t>5%—10%</w:t>
            </w:r>
            <w:r>
              <w:rPr>
                <w:rFonts w:hint="eastAsia" w:ascii="宋体" w:hAnsi="宋体" w:eastAsia="宋体" w:cs="宋体"/>
                <w:sz w:val="21"/>
                <w:szCs w:val="21"/>
              </w:rPr>
              <w:t>的加分。本项目具体加分比例分别为：技术5%、价格5%。</w:t>
            </w:r>
          </w:p>
          <w:p w14:paraId="6CEB441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采购产品为《环境标志产品政府采购清单》</w:t>
            </w:r>
            <w:r>
              <w:rPr>
                <w:rFonts w:hint="eastAsia" w:ascii="宋体" w:hAnsi="宋体" w:eastAsia="宋体" w:cs="宋体"/>
                <w:sz w:val="21"/>
                <w:szCs w:val="21"/>
                <w:lang w:eastAsia="zh-CN"/>
              </w:rPr>
              <w:t>（</w:t>
            </w:r>
            <w:r>
              <w:rPr>
                <w:rFonts w:hint="eastAsia" w:ascii="宋体" w:hAnsi="宋体" w:eastAsia="宋体" w:cs="宋体"/>
                <w:sz w:val="21"/>
                <w:szCs w:val="21"/>
              </w:rPr>
              <w:t>最新一期</w:t>
            </w:r>
            <w:r>
              <w:rPr>
                <w:rFonts w:hint="eastAsia" w:ascii="宋体" w:hAnsi="宋体" w:eastAsia="宋体" w:cs="宋体"/>
                <w:sz w:val="21"/>
                <w:szCs w:val="21"/>
                <w:lang w:eastAsia="zh-CN"/>
              </w:rPr>
              <w:t>）</w:t>
            </w:r>
            <w:r>
              <w:rPr>
                <w:rFonts w:hint="eastAsia" w:ascii="宋体" w:hAnsi="宋体" w:eastAsia="宋体" w:cs="宋体"/>
                <w:sz w:val="21"/>
                <w:szCs w:val="21"/>
              </w:rPr>
              <w:t>内的，分别给予技术和价格项标准总分值</w:t>
            </w:r>
            <w:r>
              <w:rPr>
                <w:rFonts w:hint="eastAsia" w:ascii="宋体" w:hAnsi="宋体" w:eastAsia="宋体" w:cs="宋体"/>
                <w:sz w:val="21"/>
                <w:szCs w:val="21"/>
                <w:lang w:eastAsia="zh-CN"/>
              </w:rPr>
              <w:t>5%—10%</w:t>
            </w:r>
            <w:r>
              <w:rPr>
                <w:rFonts w:hint="eastAsia" w:ascii="宋体" w:hAnsi="宋体" w:eastAsia="宋体" w:cs="宋体"/>
                <w:sz w:val="21"/>
                <w:szCs w:val="21"/>
              </w:rPr>
              <w:t>的加分。本项目具体加分比例分别为：技术5%、价格5%。</w:t>
            </w:r>
          </w:p>
          <w:p w14:paraId="1F0E7DA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残疾人福利性单位的，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2E5BAE0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监狱企业的，在政府采购活动中，监狱企业视同小型、微型企业，享受预留份额、评审中价格扣除等政府采购促进中小企业发展的政府采购政策。向监狱企业采购的金额，计入面向中小企业采购的统计数据。</w:t>
            </w:r>
          </w:p>
          <w:p w14:paraId="7C8E7963">
            <w:pPr>
              <w:pStyle w:val="54"/>
              <w:ind w:left="0" w:leftChars="0" w:firstLine="0" w:firstLineChars="0"/>
              <w:rPr>
                <w:rFonts w:hint="eastAsia"/>
              </w:rPr>
            </w:pPr>
            <w:r>
              <w:rPr>
                <w:rFonts w:hint="eastAsia"/>
                <w:b/>
                <w:bCs/>
              </w:rPr>
              <w:t>本项目专门面向中小企业采购，不再执行价格评审优惠的扶持政策。</w:t>
            </w:r>
          </w:p>
        </w:tc>
      </w:tr>
      <w:tr w14:paraId="22C88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4192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B77C61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第9.6款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4A87E1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中小企业融资、信用担保</w:t>
            </w:r>
          </w:p>
        </w:tc>
        <w:tc>
          <w:tcPr>
            <w:tcW w:w="7091" w:type="dxa"/>
            <w:tcBorders>
              <w:top w:val="single" w:color="auto" w:sz="4" w:space="0"/>
              <w:left w:val="single" w:color="auto" w:sz="4" w:space="0"/>
              <w:bottom w:val="single" w:color="auto" w:sz="4" w:space="0"/>
              <w:right w:val="single" w:color="auto" w:sz="4" w:space="0"/>
            </w:tcBorders>
            <w:shd w:val="clear" w:color="auto" w:fill="auto"/>
          </w:tcPr>
          <w:p w14:paraId="4C426BD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有融资、信用担保需求的，可</w:t>
            </w:r>
            <w:r>
              <w:rPr>
                <w:rFonts w:hint="eastAsia" w:ascii="宋体" w:hAnsi="宋体" w:eastAsia="宋体" w:cs="宋体"/>
                <w:sz w:val="21"/>
                <w:szCs w:val="21"/>
                <w:lang w:eastAsia="zh-CN"/>
              </w:rPr>
              <w:t>登录</w:t>
            </w:r>
            <w:r>
              <w:rPr>
                <w:rFonts w:hint="eastAsia" w:ascii="宋体" w:hAnsi="宋体" w:eastAsia="宋体" w:cs="宋体"/>
                <w:sz w:val="21"/>
                <w:szCs w:val="21"/>
              </w:rPr>
              <w:t>中国湖南政府采购网查询。</w:t>
            </w:r>
          </w:p>
        </w:tc>
      </w:tr>
      <w:tr w14:paraId="1AFD4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6" w:hRule="exac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10D3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二、磋商文件</w:t>
            </w:r>
          </w:p>
        </w:tc>
      </w:tr>
      <w:tr w14:paraId="4C6CB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C55373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A6A993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第10.2款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4C20F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磋商文件的可能实质性变动内容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A1176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技术、服务要求以及合同草案条款可能作实质性变动</w:t>
            </w:r>
          </w:p>
        </w:tc>
      </w:tr>
      <w:tr w14:paraId="65A5F0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ECE82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4C80AE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158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提供磋商文件期限</w:t>
            </w:r>
          </w:p>
        </w:tc>
        <w:tc>
          <w:tcPr>
            <w:tcW w:w="7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63CC7">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详见第一章“磋商邀请”</w:t>
            </w:r>
          </w:p>
        </w:tc>
      </w:tr>
      <w:tr w14:paraId="16849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94510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D1783A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4EDD9F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领取或购买磋商文件时应提供的资料</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C641D2">
            <w:pPr>
              <w:pageBreakBefore w:val="0"/>
              <w:kinsoku/>
              <w:wordWrap/>
              <w:overflowPunct/>
              <w:bidi w:val="0"/>
              <w:spacing w:line="360" w:lineRule="auto"/>
              <w:textAlignment w:val="auto"/>
              <w:rPr>
                <w:rFonts w:hint="eastAsia" w:ascii="宋体" w:hAnsi="宋体" w:eastAsia="宋体" w:cs="宋体"/>
                <w:sz w:val="21"/>
                <w:szCs w:val="21"/>
              </w:rPr>
            </w:pPr>
          </w:p>
        </w:tc>
      </w:tr>
      <w:tr w14:paraId="5F43CD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DCF423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9E2DA5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3A5038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提交首次响应文件的截止时间</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BCC2B0">
            <w:pPr>
              <w:pageBreakBefore w:val="0"/>
              <w:kinsoku/>
              <w:wordWrap/>
              <w:overflowPunct/>
              <w:bidi w:val="0"/>
              <w:spacing w:line="360" w:lineRule="auto"/>
              <w:textAlignment w:val="auto"/>
              <w:rPr>
                <w:rFonts w:hint="eastAsia" w:ascii="宋体" w:hAnsi="宋体" w:eastAsia="宋体" w:cs="宋体"/>
                <w:sz w:val="21"/>
                <w:szCs w:val="21"/>
              </w:rPr>
            </w:pPr>
          </w:p>
        </w:tc>
      </w:tr>
      <w:tr w14:paraId="0260C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2" w:hRule="exac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C2DDF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三、响应文件的编写</w:t>
            </w:r>
          </w:p>
        </w:tc>
      </w:tr>
      <w:tr w14:paraId="5C40A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B59A6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81AB66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第16.4款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20327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采购项目预算</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17650A6">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人民币</w:t>
            </w:r>
            <w:r>
              <w:rPr>
                <w:rFonts w:hint="eastAsia" w:ascii="宋体" w:hAnsi="宋体" w:eastAsia="宋体" w:cs="宋体"/>
                <w:caps w:val="0"/>
                <w:spacing w:val="0"/>
                <w:sz w:val="21"/>
                <w:szCs w:val="21"/>
              </w:rPr>
              <w:t>864045.00</w:t>
            </w:r>
            <w:r>
              <w:rPr>
                <w:rFonts w:hint="eastAsia" w:ascii="宋体" w:hAnsi="宋体" w:eastAsia="宋体" w:cs="宋体"/>
                <w:caps w:val="0"/>
                <w:spacing w:val="0"/>
                <w:sz w:val="21"/>
                <w:szCs w:val="21"/>
                <w:lang w:val="en-US" w:eastAsia="zh-CN"/>
              </w:rPr>
              <w:t>元</w:t>
            </w:r>
          </w:p>
        </w:tc>
      </w:tr>
      <w:tr w14:paraId="3D45B0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026567F">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0EF74824">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第17.3款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35E08F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非制造商</w:t>
            </w:r>
          </w:p>
          <w:p w14:paraId="3A70C61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的证明文件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4A9C27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4BFCA7F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□要求提供：（证明文件复印件须加盖供应商单位公章，否则视为无效响应。）</w:t>
            </w:r>
          </w:p>
          <w:p w14:paraId="1CBAE498">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经销</w:t>
            </w:r>
            <w:r>
              <w:rPr>
                <w:rFonts w:hint="eastAsia" w:ascii="宋体" w:hAnsi="宋体" w:eastAsia="宋体" w:cs="宋体"/>
                <w:sz w:val="21"/>
                <w:szCs w:val="21"/>
                <w:highlight w:val="none"/>
                <w:lang w:eastAsia="zh-CN"/>
              </w:rPr>
              <w:t>或</w:t>
            </w:r>
            <w:r>
              <w:rPr>
                <w:rFonts w:hint="eastAsia" w:ascii="宋体" w:hAnsi="宋体" w:eastAsia="宋体" w:cs="宋体"/>
                <w:sz w:val="21"/>
                <w:szCs w:val="21"/>
                <w:highlight w:val="none"/>
              </w:rPr>
              <w:t>代理投标货物</w:t>
            </w:r>
            <w:r>
              <w:rPr>
                <w:rFonts w:hint="eastAsia" w:ascii="宋体" w:hAnsi="宋体" w:eastAsia="宋体" w:cs="宋体"/>
                <w:sz w:val="21"/>
                <w:szCs w:val="21"/>
                <w:highlight w:val="none"/>
                <w:lang w:eastAsia="zh-CN"/>
              </w:rPr>
              <w:t>或</w:t>
            </w:r>
            <w:r>
              <w:rPr>
                <w:rFonts w:hint="eastAsia" w:ascii="宋体" w:hAnsi="宋体" w:eastAsia="宋体" w:cs="宋体"/>
                <w:sz w:val="21"/>
                <w:szCs w:val="21"/>
                <w:highlight w:val="none"/>
              </w:rPr>
              <w:t>为投标货物提供售后服务的证明文件。</w:t>
            </w:r>
          </w:p>
        </w:tc>
      </w:tr>
      <w:tr w14:paraId="7BA6A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0E66D8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42E8FC5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1E56C6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样品提供及样品提交的时间、地点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BA6BFF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2D2C0219">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□要求提供，提交的样品：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提交的时间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地点</w:t>
            </w:r>
            <w:r>
              <w:rPr>
                <w:rFonts w:hint="eastAsia" w:ascii="宋体" w:hAnsi="宋体" w:eastAsia="宋体" w:cs="宋体"/>
                <w:sz w:val="21"/>
                <w:szCs w:val="21"/>
                <w:highlight w:val="none"/>
                <w:lang w:eastAsia="zh-CN"/>
              </w:rPr>
              <w:t>：</w:t>
            </w:r>
          </w:p>
        </w:tc>
      </w:tr>
      <w:tr w14:paraId="007747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29FCAF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8512E8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5FC34E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磋商保证金</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D2A954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7F5A4B7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w:t>
            </w:r>
          </w:p>
        </w:tc>
      </w:tr>
      <w:tr w14:paraId="07B21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7377DC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08E00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第20.1款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0B6E27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响应文件有效期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5F96C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90 日（日历日）</w:t>
            </w:r>
          </w:p>
        </w:tc>
      </w:tr>
      <w:tr w14:paraId="46449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F5D22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95B9A6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0046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响应文件副本份数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80C35A">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响应文件</w:t>
            </w:r>
            <w:r>
              <w:rPr>
                <w:rFonts w:hint="eastAsia" w:ascii="宋体" w:hAnsi="宋体" w:eastAsia="宋体" w:cs="宋体"/>
                <w:sz w:val="21"/>
                <w:szCs w:val="21"/>
              </w:rPr>
              <w:t>正本壹份，副本贰份，电子</w:t>
            </w:r>
            <w:r>
              <w:rPr>
                <w:rFonts w:hint="eastAsia" w:ascii="宋体" w:hAnsi="宋体" w:eastAsia="宋体" w:cs="宋体"/>
                <w:sz w:val="21"/>
                <w:szCs w:val="21"/>
                <w:lang w:val="en-US" w:eastAsia="zh-CN"/>
              </w:rPr>
              <w:t>响应</w:t>
            </w:r>
            <w:r>
              <w:rPr>
                <w:rFonts w:hint="eastAsia" w:ascii="宋体" w:hAnsi="宋体" w:eastAsia="宋体" w:cs="宋体"/>
                <w:sz w:val="21"/>
                <w:szCs w:val="21"/>
              </w:rPr>
              <w:t>文</w:t>
            </w:r>
            <w:r>
              <w:rPr>
                <w:rFonts w:hint="eastAsia" w:ascii="宋体" w:hAnsi="宋体" w:eastAsia="宋体" w:cs="宋体"/>
                <w:sz w:val="21"/>
                <w:szCs w:val="21"/>
                <w:lang w:val="en-US" w:eastAsia="zh-CN"/>
              </w:rPr>
              <w:t>件</w:t>
            </w:r>
            <w:r>
              <w:rPr>
                <w:rFonts w:hint="eastAsia" w:ascii="宋体" w:hAnsi="宋体" w:eastAsia="宋体" w:cs="宋体"/>
                <w:sz w:val="21"/>
                <w:szCs w:val="21"/>
              </w:rPr>
              <w:t>壹份（U盘密封包装，须注明电子文件和单位名称，与</w:t>
            </w:r>
            <w:r>
              <w:rPr>
                <w:rFonts w:hint="eastAsia" w:ascii="宋体" w:hAnsi="宋体" w:eastAsia="宋体" w:cs="宋体"/>
                <w:sz w:val="21"/>
                <w:szCs w:val="21"/>
                <w:lang w:val="en-US" w:eastAsia="zh-CN"/>
              </w:rPr>
              <w:t>响应</w:t>
            </w:r>
            <w:r>
              <w:rPr>
                <w:rFonts w:hint="eastAsia" w:ascii="宋体" w:hAnsi="宋体" w:eastAsia="宋体" w:cs="宋体"/>
                <w:sz w:val="21"/>
                <w:szCs w:val="21"/>
              </w:rPr>
              <w:t>文件一起封存）</w:t>
            </w:r>
            <w:r>
              <w:rPr>
                <w:rFonts w:hint="eastAsia" w:ascii="宋体" w:hAnsi="宋体" w:eastAsia="宋体" w:cs="宋体"/>
                <w:sz w:val="21"/>
                <w:szCs w:val="21"/>
                <w:lang w:eastAsia="zh-CN"/>
              </w:rPr>
              <w:t>。</w:t>
            </w:r>
          </w:p>
          <w:p w14:paraId="5105D7BB">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响应文件封面上明确写明“正本”或“副本”，正本和副本内容如不一致，以正本为准</w:t>
            </w:r>
            <w:r>
              <w:rPr>
                <w:rFonts w:hint="eastAsia" w:ascii="宋体" w:hAnsi="宋体" w:eastAsia="宋体" w:cs="宋体"/>
                <w:sz w:val="21"/>
                <w:szCs w:val="21"/>
                <w:lang w:eastAsia="zh-CN"/>
              </w:rPr>
              <w:t>。</w:t>
            </w:r>
          </w:p>
          <w:p w14:paraId="0389B041">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装订要求：采用胶装方式装订。</w:t>
            </w:r>
          </w:p>
        </w:tc>
      </w:tr>
      <w:tr w14:paraId="56C6A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79C4E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四、响应文件的递交</w:t>
            </w:r>
          </w:p>
        </w:tc>
      </w:tr>
      <w:tr w14:paraId="3AB72C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20C471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229CD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09B7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封套上应</w:t>
            </w:r>
          </w:p>
          <w:p w14:paraId="664E29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载明的信息</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5B4C6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u w:val="single"/>
              </w:rPr>
              <w:t>项目名称</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响应文件  </w:t>
            </w:r>
          </w:p>
          <w:p w14:paraId="400E7637">
            <w:pPr>
              <w:pStyle w:val="22"/>
              <w:rPr>
                <w:rFonts w:hint="eastAsia"/>
              </w:rPr>
            </w:pPr>
            <w:r>
              <w:rPr>
                <w:rFonts w:hint="eastAsia"/>
              </w:rPr>
              <w:t>采购项目编号：</w:t>
            </w:r>
          </w:p>
          <w:p w14:paraId="3B25F7A5">
            <w:pPr>
              <w:pStyle w:val="54"/>
              <w:ind w:left="0" w:leftChars="0" w:firstLine="0" w:firstLineChars="0"/>
              <w:rPr>
                <w:rFonts w:hint="default" w:eastAsia="宋体"/>
                <w:lang w:val="en-US" w:eastAsia="zh-CN"/>
              </w:rPr>
            </w:pPr>
            <w:r>
              <w:rPr>
                <w:rFonts w:hint="eastAsia" w:ascii="宋体" w:hAnsi="宋体" w:cs="宋体"/>
                <w:sz w:val="21"/>
                <w:szCs w:val="21"/>
                <w:lang w:val="en-US" w:eastAsia="zh-CN"/>
              </w:rPr>
              <w:t>政府采购计划编号：</w:t>
            </w:r>
          </w:p>
          <w:p w14:paraId="628DA9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委托</w:t>
            </w:r>
            <w:r>
              <w:rPr>
                <w:rFonts w:hint="eastAsia" w:ascii="宋体" w:hAnsi="宋体" w:eastAsia="宋体" w:cs="宋体"/>
                <w:sz w:val="21"/>
                <w:szCs w:val="21"/>
              </w:rPr>
              <w:t>代理编号：</w:t>
            </w:r>
          </w:p>
          <w:p w14:paraId="51C6C79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包</w:t>
            </w:r>
            <w:r>
              <w:rPr>
                <w:rFonts w:hint="eastAsia" w:ascii="宋体" w:hAnsi="宋体" w:eastAsia="宋体" w:cs="宋体"/>
                <w:sz w:val="21"/>
                <w:szCs w:val="21"/>
                <w:lang w:val="en-US" w:eastAsia="zh-CN"/>
              </w:rPr>
              <w:t>名称</w:t>
            </w:r>
            <w:r>
              <w:rPr>
                <w:rFonts w:hint="eastAsia" w:ascii="宋体" w:hAnsi="宋体" w:eastAsia="宋体" w:cs="宋体"/>
                <w:sz w:val="21"/>
                <w:szCs w:val="21"/>
              </w:rPr>
              <w:t>或品目名：</w:t>
            </w:r>
          </w:p>
          <w:p w14:paraId="02036C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名称：</w:t>
            </w:r>
          </w:p>
          <w:p w14:paraId="2AB4AD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地址：</w:t>
            </w:r>
          </w:p>
          <w:p w14:paraId="14E39B2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highlight w:val="none"/>
              </w:rPr>
              <w:t>在</w:t>
            </w:r>
            <w:r>
              <w:rPr>
                <w:rFonts w:hint="eastAsia" w:ascii="宋体" w:hAnsi="宋体" w:eastAsia="宋体" w:cs="宋体"/>
                <w:sz w:val="21"/>
                <w:szCs w:val="21"/>
                <w:highlight w:val="none"/>
                <w:lang w:val="en-US" w:eastAsia="zh-CN"/>
              </w:rPr>
              <w:t>2026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8 </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 xml:space="preserve"> 18 </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 xml:space="preserve"> 9 </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 xml:space="preserve"> 00 </w:t>
            </w:r>
            <w:r>
              <w:rPr>
                <w:rFonts w:hint="eastAsia" w:ascii="宋体" w:hAnsi="宋体" w:eastAsia="宋体" w:cs="宋体"/>
                <w:sz w:val="21"/>
                <w:szCs w:val="21"/>
                <w:highlight w:val="none"/>
              </w:rPr>
              <w:t>分之前不得启封</w:t>
            </w:r>
          </w:p>
        </w:tc>
      </w:tr>
      <w:tr w14:paraId="256F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9D4D3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705138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第24.1款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1D0BF3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w:t>
            </w:r>
          </w:p>
          <w:p w14:paraId="1356EF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的递交地点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02E0EA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湖南省华容县章华镇状元文化街006-2号。</w:t>
            </w:r>
          </w:p>
        </w:tc>
      </w:tr>
      <w:tr w14:paraId="3389BF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0FCCC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五、响应文件的磋商与评审</w:t>
            </w:r>
          </w:p>
        </w:tc>
      </w:tr>
      <w:tr w14:paraId="6A340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2"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D9667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AC62CF1">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第31.2款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EC1AB50">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评审因素和标准</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18B67C8">
            <w:pPr>
              <w:pageBreakBefore w:val="0"/>
              <w:kinsoku/>
              <w:wordWrap/>
              <w:overflowPunct/>
              <w:bidi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见第三章评审因素及评分标准附表</w:t>
            </w:r>
          </w:p>
        </w:tc>
      </w:tr>
      <w:tr w14:paraId="5D215A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3FD3940">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AF5650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47637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最后报价调整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84CD05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政府采购支持中小企业发展（货物类供应商和产品制造商应同时满足中小微企业的条件）：小型或微型企业，最后报价扣除比例为/％；联合体参与磋商的，最后报价扣除比例为/%。评审时，用扣除后的最后报价计算价格分。</w:t>
            </w:r>
          </w:p>
        </w:tc>
      </w:tr>
      <w:tr w14:paraId="145C2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BA0E2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8D162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第31.5款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6FBBB5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技术、商务、价格得分或总得分调整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9A25E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符合第二章第9.1款规定，按第二章第31.6款规定及本款分值调整：</w:t>
            </w:r>
          </w:p>
          <w:p w14:paraId="4ADE72C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节能产品：</w:t>
            </w:r>
          </w:p>
          <w:p w14:paraId="29C516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技术加分＝技术分值×加分比例（比例见前附表第38.1项</w:t>
            </w:r>
            <w:r>
              <w:rPr>
                <w:rFonts w:hint="eastAsia" w:ascii="宋体" w:hAnsi="宋体" w:eastAsia="宋体" w:cs="宋体"/>
                <w:sz w:val="21"/>
                <w:szCs w:val="21"/>
                <w:lang w:eastAsia="zh-CN"/>
              </w:rPr>
              <w:t>，</w:t>
            </w:r>
            <w:r>
              <w:rPr>
                <w:rFonts w:hint="eastAsia" w:ascii="宋体" w:hAnsi="宋体" w:eastAsia="宋体" w:cs="宋体"/>
                <w:sz w:val="21"/>
                <w:szCs w:val="21"/>
              </w:rPr>
              <w:t>下同）×（节能产品最后报价÷最后总报价）；</w:t>
            </w:r>
          </w:p>
          <w:p w14:paraId="635E44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价格加分＝价格分值×加分比例×（节能产品最后报价÷最后总报价）。</w:t>
            </w:r>
          </w:p>
          <w:p w14:paraId="0E7D487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环境标志产品：</w:t>
            </w:r>
          </w:p>
          <w:p w14:paraId="6AF4B6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技术加分＝技术分值×加分比例×（环境标志产品最后报价÷最后总报价）；</w:t>
            </w:r>
          </w:p>
          <w:p w14:paraId="615CD0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价格加分＝价格分值×加分比例×（环境标志产品最后报价÷最后总报价）。</w:t>
            </w:r>
          </w:p>
          <w:p w14:paraId="482CF7D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两型产品：</w:t>
            </w:r>
          </w:p>
          <w:p w14:paraId="38879F4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商务加分＝商务分值×加分比例×（两型产品最后报价÷最后总报价）；</w:t>
            </w:r>
          </w:p>
          <w:p w14:paraId="6329F55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技术加分＝技术分值×加分比例×（两型产品最后报价÷最后总报价）；</w:t>
            </w:r>
          </w:p>
          <w:p w14:paraId="488D9FA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价格加分＝价格分值×加分比例×（两型产品最后报价÷最后总报价）。</w:t>
            </w:r>
          </w:p>
        </w:tc>
      </w:tr>
      <w:tr w14:paraId="30A47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CDCCA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5D52DA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915808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多处或部分获得政府采购政策优惠的计算方法</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E91E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符合政府采购优先采购政策的，产品只能享受节能产品、环境标志产品、两型产品等产品优惠中的一项</w:t>
            </w:r>
            <w:r>
              <w:rPr>
                <w:rFonts w:hint="eastAsia" w:ascii="宋体" w:hAnsi="宋体" w:eastAsia="宋体" w:cs="宋体"/>
                <w:sz w:val="21"/>
                <w:szCs w:val="21"/>
                <w:lang w:eastAsia="zh-CN"/>
              </w:rPr>
              <w:t>（</w:t>
            </w:r>
            <w:r>
              <w:rPr>
                <w:rFonts w:hint="eastAsia" w:ascii="宋体" w:hAnsi="宋体" w:eastAsia="宋体" w:cs="宋体"/>
                <w:sz w:val="21"/>
                <w:szCs w:val="21"/>
              </w:rPr>
              <w:t>由供应商在响应文件中选择并填报政策功能编码，评审时进行加分</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6DF4A4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供应商享受支持中小企业发展政策优惠的，可以与同时享受节能产品、环境标志产品、两型产品等产品优惠中的一项累加。</w:t>
            </w:r>
          </w:p>
          <w:p w14:paraId="438829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3、同一项目中部分产品属于优先采购政策的，评审时只对该部分产品的报价实行价格扣除或加分（按该部分产品的报价占总报价的百分比调整）。</w:t>
            </w:r>
          </w:p>
        </w:tc>
      </w:tr>
      <w:tr w14:paraId="1ADA4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97603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六、成交结果信息公布与授予合同</w:t>
            </w:r>
          </w:p>
        </w:tc>
      </w:tr>
      <w:tr w14:paraId="38FF54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87273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B2BEF8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w:t>
            </w:r>
            <w:r>
              <w:rPr>
                <w:rFonts w:hint="eastAsia" w:ascii="宋体" w:hAnsi="宋体" w:eastAsia="宋体" w:cs="宋体"/>
                <w:sz w:val="21"/>
                <w:szCs w:val="21"/>
                <w:lang w:val="en-US" w:eastAsia="zh-CN"/>
              </w:rPr>
              <w:t>8</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A36B897">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公告发布媒体</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94CF8F5">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中国湖南政府采购网（www.ccgp-hunan.gov.cn）</w:t>
            </w:r>
          </w:p>
        </w:tc>
      </w:tr>
      <w:tr w14:paraId="0C0A9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4E4C70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7309B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val="en-US" w:eastAsia="zh-CN"/>
              </w:rPr>
              <w:t>40</w:t>
            </w:r>
            <w:r>
              <w:rPr>
                <w:rFonts w:hint="eastAsia" w:ascii="宋体" w:hAnsi="宋体" w:eastAsia="宋体" w:cs="宋体"/>
                <w:sz w:val="21"/>
                <w:szCs w:val="21"/>
              </w:rPr>
              <w:t>.3款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B5078C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DDC4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570F13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□要求提供，履约担保的金额为：</w:t>
            </w:r>
          </w:p>
        </w:tc>
      </w:tr>
      <w:tr w14:paraId="4D9DA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EE52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七、其他规定</w:t>
            </w:r>
          </w:p>
        </w:tc>
      </w:tr>
      <w:tr w14:paraId="3E512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A9AF58C">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D959295">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1BACEF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p w14:paraId="25EDA47E">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及其他费用</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77A251B">
            <w:pPr>
              <w:pageBreakBefore w:val="0"/>
              <w:numPr>
                <w:ilvl w:val="0"/>
                <w:numId w:val="0"/>
              </w:numPr>
              <w:kinsoku/>
              <w:wordWrap/>
              <w:overflowPunct/>
              <w:bidi w:val="0"/>
              <w:spacing w:line="360" w:lineRule="auto"/>
              <w:textAlignment w:val="auto"/>
              <w:rPr>
                <w:rFonts w:hint="default" w:eastAsiaTheme="minorEastAsia"/>
                <w:color w:val="auto"/>
                <w:highlight w:val="none"/>
                <w:lang w:val="en-US" w:eastAsia="zh-CN"/>
              </w:rPr>
            </w:pPr>
            <w:r>
              <w:rPr>
                <w:rFonts w:hint="eastAsia"/>
                <w:color w:val="auto"/>
                <w:highlight w:val="none"/>
                <w:lang w:val="en-US" w:eastAsia="zh-CN"/>
              </w:rPr>
              <w:t>本项目</w:t>
            </w:r>
            <w:r>
              <w:rPr>
                <w:rFonts w:hint="default" w:eastAsiaTheme="minorEastAsia"/>
                <w:color w:val="auto"/>
                <w:highlight w:val="none"/>
                <w:lang w:val="en-US" w:eastAsia="zh-CN"/>
              </w:rPr>
              <w:t>采购代理服务费</w:t>
            </w:r>
            <w:r>
              <w:rPr>
                <w:rFonts w:hint="eastAsia"/>
                <w:color w:val="auto"/>
                <w:highlight w:val="none"/>
                <w:lang w:val="en-US" w:eastAsia="zh-CN"/>
              </w:rPr>
              <w:t>8600.00</w:t>
            </w:r>
            <w:r>
              <w:rPr>
                <w:rFonts w:hint="default" w:eastAsiaTheme="minorEastAsia"/>
                <w:color w:val="auto"/>
                <w:highlight w:val="none"/>
                <w:lang w:val="en-US" w:eastAsia="zh-CN"/>
              </w:rPr>
              <w:t>元</w:t>
            </w:r>
            <w:r>
              <w:rPr>
                <w:rFonts w:hint="eastAsia"/>
                <w:color w:val="auto"/>
                <w:highlight w:val="none"/>
                <w:lang w:val="en-US" w:eastAsia="zh-CN"/>
              </w:rPr>
              <w:t>。</w:t>
            </w:r>
          </w:p>
        </w:tc>
      </w:tr>
      <w:tr w14:paraId="477134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FAE902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391F1D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第4</w:t>
            </w:r>
            <w:r>
              <w:rPr>
                <w:rFonts w:hint="eastAsia" w:ascii="宋体" w:hAnsi="宋体" w:eastAsia="宋体" w:cs="宋体"/>
                <w:sz w:val="21"/>
                <w:szCs w:val="21"/>
                <w:lang w:val="en-US" w:eastAsia="zh-CN"/>
              </w:rPr>
              <w:t>3</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C256912">
            <w:pPr>
              <w:pStyle w:val="34"/>
              <w:keepNext w:val="0"/>
              <w:keepLines w:val="0"/>
              <w:pageBreakBefore w:val="0"/>
              <w:widowControl w:val="0"/>
              <w:kinsoku/>
              <w:wordWrap/>
              <w:overflowPunct/>
              <w:topLinePunct w:val="0"/>
              <w:autoSpaceDE/>
              <w:autoSpaceDN/>
              <w:bidi w:val="0"/>
              <w:adjustRightInd w:val="0"/>
              <w:snapToGrid w:val="0"/>
              <w:spacing w:line="420" w:lineRule="exact"/>
              <w:ind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其他规定</w:t>
            </w:r>
          </w:p>
          <w:p w14:paraId="1E94D468">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29CB2D1">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BFAD7B">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信用信息查询的渠道：投标人在“信用中国”网站（www.creditchina.gov.cn）未列入失信被执行人和重大税收违法案件当事人名单和“中国政府采购网”（www.ccgp.gov.cn）网站未列入政府采购严重违法失信行为记录名单等被禁止投标记录</w:t>
            </w:r>
          </w:p>
          <w:p w14:paraId="08DDA8BF">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（2）信用信息查询的截止时间：本项目投标截止时间止。</w:t>
            </w:r>
          </w:p>
          <w:p w14:paraId="64677B9D">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（3）信用信息记录查询的具体方式：采购人或采购代理机构在开标后在规定的查询渠道进行查询。</w:t>
            </w:r>
          </w:p>
          <w:p w14:paraId="2EF3569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信用信息记录查询证据留存的具体方式：查询记录的网上打印件。</w:t>
            </w:r>
          </w:p>
          <w:p w14:paraId="2655C27E">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（4）</w:t>
            </w:r>
            <w:r>
              <w:rPr>
                <w:rFonts w:hint="eastAsia" w:ascii="宋体" w:hAnsi="宋体" w:eastAsia="宋体" w:cs="宋体"/>
                <w:sz w:val="21"/>
                <w:szCs w:val="21"/>
              </w:rPr>
              <w:t>信用信息的使用规则：查询后交由评标委员会评定。</w:t>
            </w:r>
          </w:p>
        </w:tc>
      </w:tr>
    </w:tbl>
    <w:p w14:paraId="54172342">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0D7D75B7">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3946CA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4800EC2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70AD0DCD">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34E404A4">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310677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44E670E6">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D57EF63">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559EC913">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B46847B">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263F3DD">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3741AB5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D6B8826">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27FE2E7">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8DF7DD1">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A609C82">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00D8D4A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5BE0400B">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5EDD31BA">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7FFF7D3">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7B2BCD04">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A3D6839">
      <w:pPr>
        <w:pageBreakBefore w:val="0"/>
        <w:kinsoku/>
        <w:wordWrap/>
        <w:overflowPunct/>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附页1</w:t>
      </w:r>
    </w:p>
    <w:p w14:paraId="4BC042E2">
      <w:pPr>
        <w:pageBreakBefore w:val="0"/>
        <w:kinsoku/>
        <w:wordWrap/>
        <w:overflowPunct/>
        <w:bidi w:val="0"/>
        <w:spacing w:line="360" w:lineRule="auto"/>
        <w:jc w:val="center"/>
        <w:textAlignment w:val="auto"/>
        <w:rPr>
          <w:rFonts w:hint="eastAsia" w:ascii="宋体" w:hAnsi="宋体" w:eastAsia="宋体" w:cs="宋体"/>
          <w:b/>
          <w:bCs/>
          <w:sz w:val="24"/>
          <w:szCs w:val="24"/>
        </w:rPr>
      </w:pPr>
      <w:bookmarkStart w:id="5" w:name="_Toc12228"/>
      <w:bookmarkStart w:id="6" w:name="_Toc4048"/>
      <w:r>
        <w:rPr>
          <w:rFonts w:hint="eastAsia" w:ascii="宋体" w:hAnsi="宋体" w:eastAsia="宋体" w:cs="宋体"/>
          <w:b/>
          <w:bCs/>
          <w:sz w:val="24"/>
          <w:szCs w:val="24"/>
        </w:rPr>
        <w:t>政府采购“中标贷”推广介绍</w:t>
      </w:r>
      <w:bookmarkEnd w:id="5"/>
      <w:bookmarkEnd w:id="6"/>
    </w:p>
    <w:p w14:paraId="3123D1BC">
      <w:pPr>
        <w:pStyle w:val="34"/>
        <w:pageBreakBefore w:val="0"/>
        <w:widowControl/>
        <w:kinsoku/>
        <w:wordWrap/>
        <w:overflowPunct/>
        <w:autoSpaceDE w:val="0"/>
        <w:autoSpaceDN w:val="0"/>
        <w:bidi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为进一步优化营商环境，帮助企业解决融资难、融资贵的问题，所有在岳阳市成交的政府采购类项目，中标企业都可以通过中标贷平台在线向银行提出贷款申请。</w:t>
      </w:r>
    </w:p>
    <w:p w14:paraId="4D7AAC0B">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中标贷是银行、担保公司等金融机构以工程建设、政府采购合同为载体，以财政支付为保障，以企业参与公共资源交易形成的信用为融资依据，向中标企业发放的信用贷款。</w:t>
      </w:r>
    </w:p>
    <w:p w14:paraId="04CBD480">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一、中标贷的特点</w:t>
      </w:r>
    </w:p>
    <w:p w14:paraId="2C19AB59">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在线申请，快捷方便：中标企业用CA证书即可登录中标贷平台，进行在线申请。银行贷前、贷中调查需要的企业相关资料，都可以在线提交。</w:t>
      </w:r>
    </w:p>
    <w:p w14:paraId="724C8029">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信用贷款，无需抵押：凭中标通知书，中标合同即可申请，无需抵押。</w:t>
      </w:r>
    </w:p>
    <w:p w14:paraId="153A16F4">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平台渠道，利率优惠：相比其他渠道的同类贷款，银行针对中标贷给出的利率优惠力度更大。</w:t>
      </w:r>
    </w:p>
    <w:p w14:paraId="641A3DA2">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专用产品，放款快速：银行提供专用产品匹配中标贷，中标企业提交中标合同、约定还款账号等关键资料后，符合条件的，不超过15天即可放款。</w:t>
      </w:r>
    </w:p>
    <w:p w14:paraId="06D4B7BC">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二、中标贷的操作</w:t>
      </w:r>
    </w:p>
    <w:p w14:paraId="5D432FC7">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登录入口：</w:t>
      </w:r>
    </w:p>
    <w:p w14:paraId="1305C155">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中标贷平台，</w:t>
      </w:r>
    </w:p>
    <w:p w14:paraId="0F5BC5DF">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或https://hnyy.biddingloan.com</w:t>
      </w:r>
    </w:p>
    <w:p w14:paraId="55881E31">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登录工具：企业CA（湖南CA办理电话：0730-8181828）</w:t>
      </w:r>
    </w:p>
    <w:p w14:paraId="12C91645">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贷款申请：详见“中标贷操作手册”。</w:t>
      </w:r>
    </w:p>
    <w:p w14:paraId="7BB38B5C">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办事服务</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政府采购</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【中标贷手册V1.2.4】，或下载</w:t>
      </w:r>
    </w:p>
    <w:p w14:paraId="7F2BCA3F">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http://ggzy.yueyang.gov.cn/uploadfiles/202009/20200917151230447.pdf</w:t>
      </w:r>
    </w:p>
    <w:p w14:paraId="1D55F1A0">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三、业务咨询电话</w:t>
      </w:r>
    </w:p>
    <w:p w14:paraId="20723CFF">
      <w:pPr>
        <w:pStyle w:val="34"/>
        <w:pageBreakBefore w:val="0"/>
        <w:widowControl/>
        <w:kinsoku/>
        <w:wordWrap/>
        <w:overflowPunct/>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 xml:space="preserve">0730-2966626，张女士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16673063296，陈工</w:t>
      </w:r>
    </w:p>
    <w:p w14:paraId="3CF49B93">
      <w:pPr>
        <w:pageBreakBefore w:val="0"/>
        <w:kinsoku/>
        <w:wordWrap/>
        <w:overflowPunct/>
        <w:bidi w:val="0"/>
        <w:spacing w:line="360" w:lineRule="auto"/>
        <w:textAlignment w:val="auto"/>
        <w:rPr>
          <w:rFonts w:hint="eastAsia" w:ascii="宋体" w:hAnsi="宋体" w:eastAsia="宋体" w:cs="宋体"/>
          <w:sz w:val="21"/>
          <w:szCs w:val="21"/>
        </w:rPr>
        <w:sectPr>
          <w:footerReference r:id="rId6" w:type="default"/>
          <w:pgSz w:w="11910" w:h="16840"/>
          <w:pgMar w:top="1134" w:right="1417" w:bottom="1134" w:left="1417" w:header="283" w:footer="1135" w:gutter="0"/>
          <w:pgNumType w:fmt="decimal" w:start="1"/>
          <w:cols w:space="425" w:num="1"/>
          <w:rtlGutter w:val="0"/>
          <w:docGrid w:type="lines" w:linePitch="312" w:charSpace="0"/>
        </w:sectPr>
      </w:pPr>
    </w:p>
    <w:p w14:paraId="7846B67C">
      <w:pPr>
        <w:pageBreakBefore w:val="0"/>
        <w:kinsoku/>
        <w:wordWrap/>
        <w:overflowPunct/>
        <w:bidi w:val="0"/>
        <w:adjustRightInd w:val="0"/>
        <w:snapToGri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附页2</w:t>
      </w:r>
      <w:r>
        <w:rPr>
          <w:rFonts w:hint="eastAsia" w:ascii="宋体" w:hAnsi="宋体" w:eastAsia="宋体" w:cs="宋体"/>
          <w:sz w:val="21"/>
          <w:szCs w:val="21"/>
          <w:lang w:val="en-US" w:eastAsia="zh-CN"/>
        </w:rPr>
        <w:t xml:space="preserve">          </w:t>
      </w:r>
    </w:p>
    <w:p w14:paraId="7457BAC0">
      <w:pPr>
        <w:pageBreakBefore w:val="0"/>
        <w:kinsoku/>
        <w:wordWrap/>
        <w:overflowPunct/>
        <w:bidi w:val="0"/>
        <w:adjustRightInd w:val="0"/>
        <w:snapToGrid w:val="0"/>
        <w:spacing w:line="360" w:lineRule="auto"/>
        <w:jc w:val="center"/>
        <w:textAlignment w:val="auto"/>
        <w:rPr>
          <w:rFonts w:hint="eastAsia" w:ascii="宋体" w:hAnsi="宋体" w:eastAsia="宋体" w:cs="宋体"/>
          <w:b/>
          <w:bCs/>
          <w:kern w:val="0"/>
          <w:sz w:val="28"/>
          <w:szCs w:val="28"/>
        </w:rPr>
      </w:pPr>
      <w:r>
        <w:rPr>
          <w:rFonts w:hint="eastAsia" w:ascii="宋体" w:hAnsi="宋体" w:eastAsia="宋体" w:cs="宋体"/>
          <w:b/>
          <w:bCs/>
          <w:kern w:val="0"/>
          <w:sz w:val="28"/>
          <w:szCs w:val="28"/>
        </w:rPr>
        <w:t>岳阳市政府采购合同融资合作银行及联系人名单</w:t>
      </w:r>
    </w:p>
    <w:tbl>
      <w:tblPr>
        <w:tblStyle w:val="39"/>
        <w:tblW w:w="510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367"/>
        <w:gridCol w:w="815"/>
        <w:gridCol w:w="2809"/>
        <w:gridCol w:w="2265"/>
      </w:tblGrid>
      <w:tr w14:paraId="68CA2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818" w:type="pct"/>
            <w:noWrap/>
            <w:vAlign w:val="center"/>
          </w:tcPr>
          <w:p w14:paraId="500402E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银行名称</w:t>
            </w:r>
          </w:p>
        </w:tc>
        <w:tc>
          <w:tcPr>
            <w:tcW w:w="440" w:type="pct"/>
            <w:noWrap/>
            <w:vAlign w:val="center"/>
          </w:tcPr>
          <w:p w14:paraId="445B10F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联系人</w:t>
            </w:r>
          </w:p>
        </w:tc>
        <w:tc>
          <w:tcPr>
            <w:tcW w:w="1517" w:type="pct"/>
            <w:noWrap/>
            <w:vAlign w:val="center"/>
          </w:tcPr>
          <w:p w14:paraId="19A4AB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职  务</w:t>
            </w:r>
          </w:p>
        </w:tc>
        <w:tc>
          <w:tcPr>
            <w:tcW w:w="1223" w:type="pct"/>
            <w:noWrap/>
            <w:vAlign w:val="center"/>
          </w:tcPr>
          <w:p w14:paraId="40D1F9E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联系电话</w:t>
            </w:r>
          </w:p>
        </w:tc>
      </w:tr>
      <w:tr w14:paraId="607EE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26EB41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0" w:type="pct"/>
            <w:noWrap/>
            <w:vAlign w:val="center"/>
          </w:tcPr>
          <w:p w14:paraId="77DE5E1A">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653D8D6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3" w:type="pct"/>
            <w:noWrap/>
            <w:vAlign w:val="center"/>
          </w:tcPr>
          <w:p w14:paraId="41FAC9C5">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120AC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28192">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0" w:type="pct"/>
            <w:noWrap/>
            <w:vAlign w:val="center"/>
          </w:tcPr>
          <w:p w14:paraId="1DC68F79">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434547E">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3" w:type="pct"/>
            <w:noWrap/>
            <w:vAlign w:val="center"/>
          </w:tcPr>
          <w:p w14:paraId="5C15DC1D">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2D816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59D59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0" w:type="pct"/>
            <w:noWrap/>
            <w:vAlign w:val="center"/>
          </w:tcPr>
          <w:p w14:paraId="28C5E6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23356BF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总行副行长</w:t>
            </w:r>
          </w:p>
        </w:tc>
        <w:tc>
          <w:tcPr>
            <w:tcW w:w="1223" w:type="pct"/>
            <w:noWrap/>
            <w:vAlign w:val="center"/>
          </w:tcPr>
          <w:p w14:paraId="50A8E1A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4E64A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8ED632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湖南岳阳农村商业银行股份有限公司</w:t>
            </w:r>
          </w:p>
        </w:tc>
        <w:tc>
          <w:tcPr>
            <w:tcW w:w="440" w:type="pct"/>
            <w:noWrap/>
            <w:vAlign w:val="center"/>
          </w:tcPr>
          <w:p w14:paraId="2206F14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彭靖夫</w:t>
            </w:r>
          </w:p>
        </w:tc>
        <w:tc>
          <w:tcPr>
            <w:tcW w:w="1517" w:type="pct"/>
            <w:noWrap/>
            <w:vAlign w:val="center"/>
          </w:tcPr>
          <w:p w14:paraId="1A36B78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总行营业部副主任</w:t>
            </w:r>
          </w:p>
        </w:tc>
        <w:tc>
          <w:tcPr>
            <w:tcW w:w="1223" w:type="pct"/>
            <w:noWrap/>
            <w:vAlign w:val="center"/>
          </w:tcPr>
          <w:p w14:paraId="32FCB76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18273053888</w:t>
            </w:r>
          </w:p>
        </w:tc>
      </w:tr>
      <w:tr w14:paraId="5A154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846C98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农业</w:t>
            </w:r>
            <w:r>
              <w:rPr>
                <w:rFonts w:hint="eastAsia" w:ascii="宋体" w:hAnsi="宋体" w:eastAsia="宋体" w:cs="宋体"/>
                <w:sz w:val="18"/>
                <w:szCs w:val="18"/>
                <w:highlight w:val="none"/>
              </w:rPr>
              <w:t>银行岳阳分行</w:t>
            </w:r>
          </w:p>
        </w:tc>
        <w:tc>
          <w:tcPr>
            <w:tcW w:w="440" w:type="pct"/>
            <w:noWrap/>
            <w:vAlign w:val="center"/>
          </w:tcPr>
          <w:p w14:paraId="3B8A7DE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137C3AD9">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普惠</w:t>
            </w:r>
            <w:r>
              <w:rPr>
                <w:rFonts w:hint="eastAsia" w:ascii="宋体" w:hAnsi="宋体" w:eastAsia="宋体" w:cs="宋体"/>
                <w:sz w:val="18"/>
                <w:szCs w:val="18"/>
                <w:highlight w:val="none"/>
                <w:lang w:val="en-US" w:eastAsia="zh-CN"/>
              </w:rPr>
              <w:t>部</w:t>
            </w:r>
            <w:r>
              <w:rPr>
                <w:rFonts w:hint="eastAsia" w:ascii="宋体" w:hAnsi="宋体" w:eastAsia="宋体" w:cs="宋体"/>
                <w:sz w:val="18"/>
                <w:szCs w:val="18"/>
                <w:highlight w:val="none"/>
              </w:rPr>
              <w:t>负责人</w:t>
            </w:r>
          </w:p>
        </w:tc>
        <w:tc>
          <w:tcPr>
            <w:tcW w:w="1223" w:type="pct"/>
            <w:noWrap/>
            <w:vAlign w:val="center"/>
          </w:tcPr>
          <w:p w14:paraId="73C370C6">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8973061212</w:t>
            </w:r>
          </w:p>
        </w:tc>
      </w:tr>
      <w:tr w14:paraId="21BE3C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BDF080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0" w:type="pct"/>
            <w:noWrap/>
            <w:vAlign w:val="center"/>
          </w:tcPr>
          <w:p w14:paraId="6B13A4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周</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lang w:val="en-US"/>
              </w:rPr>
              <w:t>芊</w:t>
            </w:r>
          </w:p>
        </w:tc>
        <w:tc>
          <w:tcPr>
            <w:tcW w:w="1517" w:type="pct"/>
            <w:noWrap/>
            <w:vAlign w:val="center"/>
          </w:tcPr>
          <w:p w14:paraId="3B418E0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3" w:type="pct"/>
            <w:noWrap/>
            <w:vAlign w:val="center"/>
          </w:tcPr>
          <w:p w14:paraId="016E14DF">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13975036393</w:t>
            </w:r>
          </w:p>
        </w:tc>
      </w:tr>
      <w:tr w14:paraId="0C65F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DC1EEC8">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w:t>
            </w:r>
          </w:p>
        </w:tc>
        <w:tc>
          <w:tcPr>
            <w:tcW w:w="440" w:type="pct"/>
            <w:noWrap/>
            <w:vAlign w:val="center"/>
          </w:tcPr>
          <w:p w14:paraId="2175CFBE">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何昌林</w:t>
            </w:r>
          </w:p>
        </w:tc>
        <w:tc>
          <w:tcPr>
            <w:tcW w:w="1517" w:type="pct"/>
            <w:noWrap/>
            <w:vAlign w:val="center"/>
          </w:tcPr>
          <w:p w14:paraId="1D85C61A">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分行副行长</w:t>
            </w:r>
          </w:p>
        </w:tc>
        <w:tc>
          <w:tcPr>
            <w:tcW w:w="1223" w:type="pct"/>
            <w:noWrap/>
            <w:vAlign w:val="center"/>
          </w:tcPr>
          <w:p w14:paraId="72AE4596">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15707306666</w:t>
            </w:r>
          </w:p>
        </w:tc>
      </w:tr>
      <w:tr w14:paraId="13293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02F864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湖南银行岳阳分行财源支行</w:t>
            </w:r>
          </w:p>
        </w:tc>
        <w:tc>
          <w:tcPr>
            <w:tcW w:w="440" w:type="pct"/>
            <w:noWrap/>
            <w:vAlign w:val="center"/>
          </w:tcPr>
          <w:p w14:paraId="6598ACF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张  璐</w:t>
            </w:r>
          </w:p>
        </w:tc>
        <w:tc>
          <w:tcPr>
            <w:tcW w:w="1517" w:type="pct"/>
            <w:noWrap/>
            <w:vAlign w:val="center"/>
          </w:tcPr>
          <w:p w14:paraId="078E4E34">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客户经理</w:t>
            </w:r>
          </w:p>
        </w:tc>
        <w:tc>
          <w:tcPr>
            <w:tcW w:w="1223" w:type="pct"/>
            <w:noWrap/>
            <w:vAlign w:val="center"/>
          </w:tcPr>
          <w:p w14:paraId="3A56F7E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13707308320</w:t>
            </w:r>
          </w:p>
        </w:tc>
      </w:tr>
      <w:tr w14:paraId="6127D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62EA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巴陵农村商业银行</w:t>
            </w:r>
          </w:p>
        </w:tc>
        <w:tc>
          <w:tcPr>
            <w:tcW w:w="440" w:type="pct"/>
            <w:noWrap/>
            <w:vAlign w:val="center"/>
          </w:tcPr>
          <w:p w14:paraId="634364D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柳  斌</w:t>
            </w:r>
          </w:p>
        </w:tc>
        <w:tc>
          <w:tcPr>
            <w:tcW w:w="1517" w:type="pct"/>
            <w:noWrap/>
            <w:vAlign w:val="center"/>
          </w:tcPr>
          <w:p w14:paraId="1EB75D2C">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总行党委－副行长</w:t>
            </w:r>
          </w:p>
        </w:tc>
        <w:tc>
          <w:tcPr>
            <w:tcW w:w="1223" w:type="pct"/>
            <w:noWrap/>
            <w:vAlign w:val="center"/>
          </w:tcPr>
          <w:p w14:paraId="73201E9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13789029698</w:t>
            </w:r>
          </w:p>
        </w:tc>
      </w:tr>
      <w:tr w14:paraId="3E5CA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7EDB63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巴陵农商行德胜路分理处</w:t>
            </w:r>
          </w:p>
        </w:tc>
        <w:tc>
          <w:tcPr>
            <w:tcW w:w="440" w:type="pct"/>
            <w:noWrap/>
            <w:vAlign w:val="center"/>
          </w:tcPr>
          <w:p w14:paraId="633A556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付素洁</w:t>
            </w:r>
          </w:p>
        </w:tc>
        <w:tc>
          <w:tcPr>
            <w:tcW w:w="1517" w:type="pct"/>
            <w:noWrap/>
            <w:vAlign w:val="center"/>
          </w:tcPr>
          <w:p w14:paraId="52B6CF3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支行副行长</w:t>
            </w:r>
          </w:p>
        </w:tc>
        <w:tc>
          <w:tcPr>
            <w:tcW w:w="1223" w:type="pct"/>
            <w:noWrap/>
            <w:vAlign w:val="center"/>
          </w:tcPr>
          <w:p w14:paraId="35C1879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13907309327</w:t>
            </w:r>
          </w:p>
        </w:tc>
      </w:tr>
      <w:tr w14:paraId="36648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3C5134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732BB4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邹鸿志</w:t>
            </w:r>
          </w:p>
        </w:tc>
        <w:tc>
          <w:tcPr>
            <w:tcW w:w="1517" w:type="pct"/>
            <w:noWrap/>
            <w:vAlign w:val="center"/>
          </w:tcPr>
          <w:p w14:paraId="6682D2A7">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分行营业部副行长</w:t>
            </w:r>
          </w:p>
        </w:tc>
        <w:tc>
          <w:tcPr>
            <w:tcW w:w="1223" w:type="pct"/>
            <w:noWrap/>
            <w:vAlign w:val="center"/>
          </w:tcPr>
          <w:p w14:paraId="0582B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18711236688</w:t>
            </w:r>
          </w:p>
        </w:tc>
      </w:tr>
      <w:tr w14:paraId="0786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3F7205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中国建设银行岳阳市分行营业部</w:t>
            </w:r>
          </w:p>
        </w:tc>
        <w:tc>
          <w:tcPr>
            <w:tcW w:w="440" w:type="pct"/>
            <w:noWrap/>
            <w:vAlign w:val="center"/>
          </w:tcPr>
          <w:p w14:paraId="5C82CA0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刘紫薇</w:t>
            </w:r>
          </w:p>
        </w:tc>
        <w:tc>
          <w:tcPr>
            <w:tcW w:w="1517" w:type="pct"/>
            <w:noWrap/>
            <w:vAlign w:val="center"/>
          </w:tcPr>
          <w:p w14:paraId="2C55BBE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分行普惠部客户经理</w:t>
            </w:r>
          </w:p>
        </w:tc>
        <w:tc>
          <w:tcPr>
            <w:tcW w:w="1223" w:type="pct"/>
            <w:noWrap/>
            <w:vAlign w:val="center"/>
          </w:tcPr>
          <w:p w14:paraId="5498CBC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19967060009</w:t>
            </w:r>
          </w:p>
        </w:tc>
      </w:tr>
      <w:tr w14:paraId="6EC8A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B6C018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28004CE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李润泽</w:t>
            </w:r>
          </w:p>
        </w:tc>
        <w:tc>
          <w:tcPr>
            <w:tcW w:w="1517" w:type="pct"/>
            <w:noWrap/>
            <w:vAlign w:val="center"/>
          </w:tcPr>
          <w:p w14:paraId="7CDAED10">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分行营业部客户经理</w:t>
            </w:r>
          </w:p>
        </w:tc>
        <w:tc>
          <w:tcPr>
            <w:tcW w:w="1223" w:type="pct"/>
            <w:noWrap/>
            <w:vAlign w:val="center"/>
          </w:tcPr>
          <w:p w14:paraId="57B2054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13337309009</w:t>
            </w:r>
          </w:p>
        </w:tc>
      </w:tr>
      <w:tr w14:paraId="33F4C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6237EE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5650160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谭  丽</w:t>
            </w:r>
          </w:p>
        </w:tc>
        <w:tc>
          <w:tcPr>
            <w:tcW w:w="1517" w:type="pct"/>
            <w:noWrap/>
            <w:vAlign w:val="center"/>
          </w:tcPr>
          <w:p w14:paraId="75BAD02D">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总经理</w:t>
            </w:r>
          </w:p>
        </w:tc>
        <w:tc>
          <w:tcPr>
            <w:tcW w:w="1223" w:type="pct"/>
            <w:noWrap/>
            <w:vAlign w:val="center"/>
          </w:tcPr>
          <w:p w14:paraId="6E2888E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18773081188</w:t>
            </w:r>
          </w:p>
        </w:tc>
      </w:tr>
      <w:tr w14:paraId="6F91B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2997250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07B91CD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李江天</w:t>
            </w:r>
          </w:p>
        </w:tc>
        <w:tc>
          <w:tcPr>
            <w:tcW w:w="1517" w:type="pct"/>
            <w:noWrap/>
            <w:vAlign w:val="center"/>
          </w:tcPr>
          <w:p w14:paraId="498C770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客户经理</w:t>
            </w:r>
          </w:p>
        </w:tc>
        <w:tc>
          <w:tcPr>
            <w:tcW w:w="1223" w:type="pct"/>
            <w:noWrap/>
            <w:vAlign w:val="center"/>
          </w:tcPr>
          <w:p w14:paraId="36BAF5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19573070611</w:t>
            </w:r>
          </w:p>
        </w:tc>
      </w:tr>
      <w:tr w14:paraId="293B0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C983DE4">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中信</w:t>
            </w:r>
            <w:r>
              <w:rPr>
                <w:rFonts w:hint="eastAsia" w:ascii="宋体" w:hAnsi="宋体" w:eastAsia="宋体" w:cs="宋体"/>
                <w:sz w:val="18"/>
                <w:szCs w:val="18"/>
              </w:rPr>
              <w:t>银行岳阳分行</w:t>
            </w:r>
          </w:p>
        </w:tc>
        <w:tc>
          <w:tcPr>
            <w:tcW w:w="440" w:type="pct"/>
            <w:noWrap/>
            <w:vAlign w:val="center"/>
          </w:tcPr>
          <w:p w14:paraId="59357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1020951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lang w:val="en-US"/>
              </w:rPr>
              <w:t>公司部客户经理</w:t>
            </w:r>
          </w:p>
        </w:tc>
        <w:tc>
          <w:tcPr>
            <w:tcW w:w="1223" w:type="pct"/>
            <w:noWrap/>
            <w:vAlign w:val="center"/>
          </w:tcPr>
          <w:p w14:paraId="4A95DAD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13</w:t>
            </w:r>
            <w:r>
              <w:rPr>
                <w:rFonts w:hint="default" w:ascii="宋体" w:hAnsi="宋体" w:eastAsia="宋体" w:cs="宋体"/>
                <w:sz w:val="18"/>
                <w:szCs w:val="18"/>
                <w:lang w:val="en-US" w:eastAsia="zh-CN"/>
              </w:rPr>
              <w:t>117516881</w:t>
            </w:r>
          </w:p>
        </w:tc>
      </w:tr>
      <w:tr w14:paraId="1433BC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D37BF4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2CBAAD2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杨文韬</w:t>
            </w:r>
          </w:p>
        </w:tc>
        <w:tc>
          <w:tcPr>
            <w:tcW w:w="1517" w:type="pct"/>
            <w:noWrap/>
            <w:vAlign w:val="center"/>
          </w:tcPr>
          <w:p w14:paraId="3F7359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普惠部负责人</w:t>
            </w:r>
          </w:p>
        </w:tc>
        <w:tc>
          <w:tcPr>
            <w:tcW w:w="1223" w:type="pct"/>
            <w:noWrap/>
            <w:vAlign w:val="center"/>
          </w:tcPr>
          <w:p w14:paraId="495B981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13789018303</w:t>
            </w:r>
          </w:p>
        </w:tc>
      </w:tr>
      <w:tr w14:paraId="102C1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818" w:type="pct"/>
            <w:noWrap/>
            <w:vAlign w:val="center"/>
          </w:tcPr>
          <w:p w14:paraId="45CB89F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63D842F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陈</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盈</w:t>
            </w:r>
          </w:p>
        </w:tc>
        <w:tc>
          <w:tcPr>
            <w:tcW w:w="1517" w:type="pct"/>
            <w:noWrap/>
            <w:vAlign w:val="center"/>
          </w:tcPr>
          <w:p w14:paraId="3652933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普惠部经办人</w:t>
            </w:r>
          </w:p>
        </w:tc>
        <w:tc>
          <w:tcPr>
            <w:tcW w:w="1223" w:type="pct"/>
            <w:noWrap/>
            <w:vAlign w:val="center"/>
          </w:tcPr>
          <w:p w14:paraId="7135AF7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17872007507</w:t>
            </w:r>
          </w:p>
        </w:tc>
      </w:tr>
    </w:tbl>
    <w:p w14:paraId="30F89EB8">
      <w:pPr>
        <w:adjustRightInd w:val="0"/>
        <w:snapToGrid w:val="0"/>
        <w:spacing w:line="360" w:lineRule="auto"/>
        <w:jc w:val="center"/>
        <w:outlineLvl w:val="0"/>
        <w:rPr>
          <w:rFonts w:hint="eastAsia" w:ascii="宋体" w:hAnsi="宋体" w:eastAsia="宋体" w:cs="宋体"/>
          <w:b/>
          <w:bCs/>
          <w:color w:val="auto"/>
          <w:sz w:val="28"/>
          <w:szCs w:val="28"/>
        </w:rPr>
      </w:pPr>
      <w:bookmarkStart w:id="7" w:name="_Toc32043"/>
      <w:r>
        <w:rPr>
          <w:rFonts w:hint="eastAsia" w:ascii="宋体" w:hAnsi="宋体" w:eastAsia="宋体" w:cs="宋体"/>
          <w:b/>
          <w:bCs/>
          <w:color w:val="auto"/>
          <w:kern w:val="0"/>
          <w:sz w:val="28"/>
          <w:szCs w:val="28"/>
        </w:rPr>
        <w:t>岳阳市政府采购信用担保试点工作的信用担保机构名</w:t>
      </w:r>
      <w:r>
        <w:rPr>
          <w:rFonts w:hint="eastAsia" w:ascii="宋体" w:hAnsi="宋体" w:eastAsia="宋体" w:cs="宋体"/>
          <w:b/>
          <w:color w:val="auto"/>
          <w:sz w:val="28"/>
          <w:szCs w:val="28"/>
        </w:rPr>
        <w:t>单</w:t>
      </w:r>
      <w:bookmarkEnd w:id="7"/>
    </w:p>
    <w:tbl>
      <w:tblPr>
        <w:tblStyle w:val="39"/>
        <w:tblW w:w="92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484"/>
        <w:gridCol w:w="1249"/>
        <w:gridCol w:w="3565"/>
      </w:tblGrid>
      <w:tr w14:paraId="014F3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4484" w:type="dxa"/>
            <w:noWrap w:val="0"/>
            <w:vAlign w:val="center"/>
          </w:tcPr>
          <w:p w14:paraId="05CE8F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信用担保机构</w:t>
            </w:r>
          </w:p>
        </w:tc>
        <w:tc>
          <w:tcPr>
            <w:tcW w:w="1249" w:type="dxa"/>
            <w:noWrap w:val="0"/>
            <w:vAlign w:val="center"/>
          </w:tcPr>
          <w:p w14:paraId="0234B0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联系人</w:t>
            </w:r>
          </w:p>
        </w:tc>
        <w:tc>
          <w:tcPr>
            <w:tcW w:w="3565" w:type="dxa"/>
            <w:noWrap w:val="0"/>
            <w:vAlign w:val="center"/>
          </w:tcPr>
          <w:p w14:paraId="49AFF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联系电话</w:t>
            </w:r>
          </w:p>
        </w:tc>
      </w:tr>
      <w:tr w14:paraId="6D1CE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25540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1D92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陈会亮</w:t>
            </w:r>
          </w:p>
        </w:tc>
        <w:tc>
          <w:tcPr>
            <w:tcW w:w="3565" w:type="dxa"/>
            <w:noWrap w:val="0"/>
            <w:vAlign w:val="center"/>
          </w:tcPr>
          <w:p w14:paraId="556AC8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0730-8717032/18907300076</w:t>
            </w:r>
          </w:p>
        </w:tc>
      </w:tr>
      <w:tr w14:paraId="2EE79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3C7214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57476C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黎子龙</w:t>
            </w:r>
          </w:p>
        </w:tc>
        <w:tc>
          <w:tcPr>
            <w:tcW w:w="3565" w:type="dxa"/>
            <w:noWrap w:val="0"/>
            <w:vAlign w:val="center"/>
          </w:tcPr>
          <w:p w14:paraId="30D2A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0730-8717032/17773021899</w:t>
            </w:r>
          </w:p>
        </w:tc>
      </w:tr>
      <w:tr w14:paraId="538041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4484" w:type="dxa"/>
            <w:noWrap w:val="0"/>
            <w:vAlign w:val="center"/>
          </w:tcPr>
          <w:p w14:paraId="59F861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湖南省农业信用担保有限公司岳阳市分公司</w:t>
            </w:r>
          </w:p>
        </w:tc>
        <w:tc>
          <w:tcPr>
            <w:tcW w:w="1249" w:type="dxa"/>
            <w:noWrap w:val="0"/>
            <w:vAlign w:val="center"/>
          </w:tcPr>
          <w:p w14:paraId="504ED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张</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rPr>
              <w:t>武</w:t>
            </w:r>
          </w:p>
        </w:tc>
        <w:tc>
          <w:tcPr>
            <w:tcW w:w="3565" w:type="dxa"/>
            <w:noWrap w:val="0"/>
            <w:vAlign w:val="center"/>
          </w:tcPr>
          <w:p w14:paraId="107475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0730-5220262/18973170258</w:t>
            </w:r>
          </w:p>
        </w:tc>
      </w:tr>
    </w:tbl>
    <w:p w14:paraId="03F816DE">
      <w:pPr>
        <w:adjustRightInd w:val="0"/>
        <w:snapToGrid w:val="0"/>
        <w:spacing w:line="360" w:lineRule="auto"/>
        <w:rPr>
          <w:rFonts w:hint="eastAsia" w:ascii="宋体" w:hAnsi="宋体" w:cs="宋体"/>
          <w:b/>
          <w:color w:val="auto"/>
          <w:szCs w:val="21"/>
        </w:rPr>
        <w:sectPr>
          <w:headerReference r:id="rId8" w:type="first"/>
          <w:footerReference r:id="rId10" w:type="first"/>
          <w:headerReference r:id="rId7" w:type="default"/>
          <w:footerReference r:id="rId9" w:type="default"/>
          <w:pgSz w:w="11906" w:h="16838"/>
          <w:pgMar w:top="1388" w:right="1531" w:bottom="1440" w:left="1531" w:header="871" w:footer="737" w:gutter="0"/>
          <w:pgNumType w:fmt="decimal" w:start="1"/>
          <w:cols w:space="720" w:num="1"/>
          <w:titlePg/>
          <w:docGrid w:type="lines" w:linePitch="312" w:charSpace="0"/>
        </w:sectPr>
      </w:pPr>
    </w:p>
    <w:p w14:paraId="0AF44FF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附页3</w:t>
      </w:r>
    </w:p>
    <w:p w14:paraId="6881DF7D">
      <w:pPr>
        <w:pageBreakBefore w:val="0"/>
        <w:kinsoku/>
        <w:wordWrap/>
        <w:overflowPunct/>
        <w:bidi w:val="0"/>
        <w:adjustRightInd w:val="0"/>
        <w:snapToGrid w:val="0"/>
        <w:spacing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政府采购履约担保函</w:t>
      </w:r>
    </w:p>
    <w:p w14:paraId="53CB1091">
      <w:pPr>
        <w:pageBreakBefore w:val="0"/>
        <w:kinsoku/>
        <w:wordWrap/>
        <w:overflowPunct/>
        <w:bidi w:val="0"/>
        <w:adjustRightInd w:val="0"/>
        <w:snapToGrid w:val="0"/>
        <w:spacing w:line="360" w:lineRule="auto"/>
        <w:ind w:firstLine="6510" w:firstLineChars="31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编号：</w:t>
      </w:r>
    </w:p>
    <w:p w14:paraId="4038C070">
      <w:pPr>
        <w:pageBreakBefore w:val="0"/>
        <w:kinsoku/>
        <w:wordWrap/>
        <w:overflowPunct/>
        <w:bidi w:val="0"/>
        <w:adjustRightInd w:val="0"/>
        <w:snapToGri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（采购人）： </w:t>
      </w:r>
    </w:p>
    <w:p w14:paraId="685A9F6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鉴于你方与（以下简称供应商）于年月日</w:t>
      </w:r>
      <w:r>
        <w:rPr>
          <w:rFonts w:hint="eastAsia" w:ascii="宋体" w:hAnsi="宋体" w:eastAsia="宋体" w:cs="宋体"/>
          <w:kern w:val="0"/>
          <w:sz w:val="21"/>
          <w:szCs w:val="21"/>
          <w:lang w:eastAsia="zh-CN"/>
        </w:rPr>
        <w:t>签订</w:t>
      </w:r>
      <w:r>
        <w:rPr>
          <w:rFonts w:hint="eastAsia" w:ascii="宋体" w:hAnsi="宋体" w:eastAsia="宋体" w:cs="宋体"/>
          <w:kern w:val="0"/>
          <w:sz w:val="21"/>
          <w:szCs w:val="21"/>
        </w:rPr>
        <w:t>编号为的</w:t>
      </w:r>
      <w:r>
        <w:rPr>
          <w:rFonts w:hint="eastAsia" w:ascii="宋体" w:hAnsi="宋体" w:eastAsia="宋体" w:cs="宋体"/>
          <w:kern w:val="0"/>
          <w:sz w:val="21"/>
          <w:szCs w:val="21"/>
          <w:lang w:eastAsia="zh-CN"/>
        </w:rPr>
        <w:t>《政府采购合同》（以下简称“主合同”）</w:t>
      </w:r>
      <w:r>
        <w:rPr>
          <w:rFonts w:hint="eastAsia" w:ascii="宋体" w:hAnsi="宋体" w:eastAsia="宋体" w:cs="宋体"/>
          <w:kern w:val="0"/>
          <w:sz w:val="21"/>
          <w:szCs w:val="21"/>
        </w:rPr>
        <w:t>，且依据该合同的约定，供应商应在年月日前向你方交纳履约保证金，且可以履约担保函的形式交纳履约保证金。应供应商的申请，我方以保证的方式向你方提供如下履约保证金担保：</w:t>
      </w:r>
    </w:p>
    <w:p w14:paraId="5FA49F23">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一、保证责任的情形及保证金额</w:t>
      </w:r>
    </w:p>
    <w:p w14:paraId="0E13C2E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（一）在供应商出现下列情形之一时，我方承担保证责任：</w:t>
      </w:r>
    </w:p>
    <w:p w14:paraId="2BF75A1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将中标项目转让给他人，或者在投标文件中未说明，且未经采购人同意，将中标项目分包给他人的；</w:t>
      </w:r>
    </w:p>
    <w:p w14:paraId="25706C8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主合同约定的应当缴纳履约保证金的情形</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w:t>
      </w:r>
    </w:p>
    <w:p w14:paraId="4318478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 xml:space="preserve">（1）未按主合同约定的质量、数量和期限供应货物/提供服务/完成工程的； </w:t>
      </w:r>
    </w:p>
    <w:p w14:paraId="2E31D0E5">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2</w:t>
      </w:r>
      <w:r>
        <w:rPr>
          <w:rFonts w:hint="eastAsia" w:ascii="宋体" w:hAnsi="宋体" w:eastAsia="宋体" w:cs="宋体"/>
          <w:kern w:val="0"/>
          <w:sz w:val="21"/>
          <w:szCs w:val="21"/>
          <w:lang w:eastAsia="zh-CN"/>
        </w:rPr>
        <w:t>).</w:t>
      </w:r>
    </w:p>
    <w:p w14:paraId="3F0517D1">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（二）我方的保证范围是主合同约定的合同价款总额的%数额为元（大写），币种为。（即主合同履约保证金金额）</w:t>
      </w:r>
    </w:p>
    <w:p w14:paraId="1B4A59D2">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二、保证的方式及保证期间 </w:t>
      </w:r>
    </w:p>
    <w:p w14:paraId="4C78890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我方保证的方式为：连带责任保证。 </w:t>
      </w:r>
    </w:p>
    <w:p w14:paraId="1384854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我方保证的期间为：自本合同生效之日起至供应商按照主合同约定的供货/完工期限届满后日内。</w:t>
      </w:r>
    </w:p>
    <w:p w14:paraId="4C8F779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如果供应商未按主合同约定向贵方供应货物/提供服务/完成工程的，由我方在保证金额内向你方支付上述款项。 </w:t>
      </w:r>
    </w:p>
    <w:p w14:paraId="3BE08324">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三、承担保证责任的程序</w:t>
      </w:r>
    </w:p>
    <w:p w14:paraId="2DC6478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你方要求我方承担保证责任的，应在本保函保证期间内向我方发出书面索赔通知。索赔通知应写明要求索赔的金额，支付款项应到达</w:t>
      </w:r>
      <w:r>
        <w:rPr>
          <w:rFonts w:hint="eastAsia" w:ascii="宋体" w:hAnsi="宋体" w:eastAsia="宋体" w:cs="宋体"/>
          <w:kern w:val="0"/>
          <w:sz w:val="21"/>
          <w:szCs w:val="21"/>
          <w:lang w:eastAsia="zh-CN"/>
        </w:rPr>
        <w:t>的账号</w:t>
      </w:r>
      <w:r>
        <w:rPr>
          <w:rFonts w:hint="eastAsia" w:ascii="宋体" w:hAnsi="宋体" w:eastAsia="宋体" w:cs="宋体"/>
          <w:kern w:val="0"/>
          <w:sz w:val="21"/>
          <w:szCs w:val="21"/>
        </w:rPr>
        <w:t xml:space="preserve">。并附有证明供应商违约事实的证明材料。 </w:t>
      </w:r>
    </w:p>
    <w:p w14:paraId="25B7CF6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B33514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我方收到你方的书面索赔通知及相应证明材料，在工作日内进行核定后按照本保函的承诺承担保证责任。</w:t>
      </w:r>
    </w:p>
    <w:p w14:paraId="4F047D3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四、保证责任的终止</w:t>
      </w:r>
    </w:p>
    <w:p w14:paraId="0277827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保证期间届满你方未向我方书面主张保证责任的，自保证期间届满次日起，我方保证责任自动终止。保证期间届满前，主合同约定的货物\工程\服务全部验收合格的，自验收合</w:t>
      </w:r>
      <w:r>
        <w:rPr>
          <w:rFonts w:hint="eastAsia" w:ascii="宋体" w:hAnsi="宋体" w:eastAsia="宋体" w:cs="宋体"/>
          <w:kern w:val="0"/>
          <w:sz w:val="21"/>
          <w:szCs w:val="21"/>
          <w:lang w:eastAsia="zh-CN"/>
        </w:rPr>
        <w:t>格之</w:t>
      </w:r>
      <w:r>
        <w:rPr>
          <w:rFonts w:hint="eastAsia" w:ascii="宋体" w:hAnsi="宋体" w:eastAsia="宋体" w:cs="宋体"/>
          <w:kern w:val="0"/>
          <w:sz w:val="21"/>
          <w:szCs w:val="21"/>
        </w:rPr>
        <w:t>日起，我方保证责任自动终止。</w:t>
      </w:r>
    </w:p>
    <w:p w14:paraId="4D237C3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我方按照本保函向你方履行了保证责任后，自我方向你方支付款项（支付款项从我方账户划出）之日起，保证责任即终止。</w:t>
      </w:r>
    </w:p>
    <w:p w14:paraId="54058F5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3.</w:t>
      </w:r>
      <w:r>
        <w:rPr>
          <w:rFonts w:hint="eastAsia" w:ascii="宋体" w:hAnsi="宋体" w:eastAsia="宋体" w:cs="宋体"/>
          <w:kern w:val="0"/>
          <w:sz w:val="21"/>
          <w:szCs w:val="21"/>
        </w:rPr>
        <w:t>按照法律法规的规定或出现应终止我方保证责任的</w:t>
      </w:r>
      <w:r>
        <w:rPr>
          <w:rFonts w:hint="eastAsia" w:ascii="宋体" w:hAnsi="宋体" w:eastAsia="宋体" w:cs="宋体"/>
          <w:kern w:val="0"/>
          <w:sz w:val="21"/>
          <w:szCs w:val="21"/>
          <w:lang w:eastAsia="zh-CN"/>
        </w:rPr>
        <w:t>其他情形的</w:t>
      </w:r>
      <w:r>
        <w:rPr>
          <w:rFonts w:hint="eastAsia" w:ascii="宋体" w:hAnsi="宋体" w:eastAsia="宋体" w:cs="宋体"/>
          <w:kern w:val="0"/>
          <w:sz w:val="21"/>
          <w:szCs w:val="21"/>
        </w:rPr>
        <w:t>，我方在本保函项下的保证责任亦终止。</w:t>
      </w:r>
    </w:p>
    <w:p w14:paraId="3BDF789E">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4.</w:t>
      </w:r>
      <w:r>
        <w:rPr>
          <w:rFonts w:hint="eastAsia" w:ascii="宋体" w:hAnsi="宋体" w:eastAsia="宋体" w:cs="宋体"/>
          <w:kern w:val="0"/>
          <w:sz w:val="21"/>
          <w:szCs w:val="21"/>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F6594E1">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五、免责条款</w:t>
      </w:r>
    </w:p>
    <w:p w14:paraId="5ABA79F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因你方违反主合同约定致使供应商不能履行义务的，我方不承担保证责任。</w:t>
      </w:r>
    </w:p>
    <w:p w14:paraId="776B9C1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依照法律法规的规定或你方与供应商的另行约定，全部或者部分免除供应商应缴纳的保证金义务的，我方亦免除相应的保证责任。</w:t>
      </w:r>
    </w:p>
    <w:p w14:paraId="2C749DA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3.</w:t>
      </w:r>
      <w:r>
        <w:rPr>
          <w:rFonts w:hint="eastAsia" w:ascii="宋体" w:hAnsi="宋体" w:eastAsia="宋体" w:cs="宋体"/>
          <w:kern w:val="0"/>
          <w:sz w:val="21"/>
          <w:szCs w:val="21"/>
        </w:rPr>
        <w:t>因不可抗力造成供应商不能履行供货义务的，我方不承担保证责任。</w:t>
      </w:r>
    </w:p>
    <w:p w14:paraId="46716E7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六、争议的解决</w:t>
      </w:r>
    </w:p>
    <w:p w14:paraId="7A30C44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因本保函发生的纠纷，由你我双方协商解决，协商不成的，通过诉讼程序解决，诉讼管辖地法院为法院。</w:t>
      </w:r>
    </w:p>
    <w:p w14:paraId="08FB8D96">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七、保函的生效 </w:t>
      </w:r>
    </w:p>
    <w:p w14:paraId="371FADF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本保函自我方加盖公章之日起生效。 </w:t>
      </w:r>
    </w:p>
    <w:p w14:paraId="26491A8D">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 xml:space="preserve">  </w:t>
      </w:r>
    </w:p>
    <w:p w14:paraId="04D4A68F">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 保证人：（公章） </w:t>
      </w:r>
    </w:p>
    <w:p w14:paraId="13AD39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p>
    <w:p w14:paraId="3421EAEF">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p>
    <w:p w14:paraId="22E0FB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u w:val="single"/>
          <w:lang w:val="en-US" w:eastAsia="zh-CN"/>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 xml:space="preserve">   日</w:t>
      </w:r>
    </w:p>
    <w:p w14:paraId="2B0D50B5">
      <w:pPr>
        <w:pageBreakBefore w:val="0"/>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p>
    <w:p w14:paraId="02942450">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13B8BD47">
      <w:pPr>
        <w:keepNext w:val="0"/>
        <w:keepLines w:val="0"/>
        <w:pageBreakBefore w:val="0"/>
        <w:kinsoku/>
        <w:wordWrap/>
        <w:overflowPunct/>
        <w:topLinePunct w:val="0"/>
        <w:autoSpaceDE/>
        <w:autoSpaceDN/>
        <w:bidi w:val="0"/>
        <w:adjustRightInd w:val="0"/>
        <w:snapToGrid w:val="0"/>
        <w:spacing w:beforeAutospacing="0" w:afterAutospacing="0" w:line="520" w:lineRule="exact"/>
        <w:jc w:val="center"/>
        <w:textAlignment w:val="auto"/>
        <w:outlineLvl w:val="1"/>
        <w:rPr>
          <w:rFonts w:hint="eastAsia" w:ascii="宋体" w:hAnsi="宋体" w:eastAsia="宋体" w:cs="宋体"/>
          <w:b/>
          <w:sz w:val="32"/>
          <w:szCs w:val="32"/>
        </w:rPr>
      </w:pPr>
      <w:bookmarkStart w:id="8" w:name="_Toc2678"/>
      <w:r>
        <w:rPr>
          <w:rFonts w:hint="eastAsia" w:ascii="宋体" w:hAnsi="宋体" w:eastAsia="宋体" w:cs="宋体"/>
          <w:b/>
          <w:sz w:val="32"/>
          <w:szCs w:val="32"/>
        </w:rPr>
        <w:t>磋商须知正文</w:t>
      </w:r>
    </w:p>
    <w:p w14:paraId="2363196E">
      <w:pPr>
        <w:keepNext w:val="0"/>
        <w:keepLines w:val="0"/>
        <w:pageBreakBefore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9" w:name="_Toc7368"/>
      <w:r>
        <w:rPr>
          <w:rFonts w:hint="eastAsia" w:ascii="宋体" w:hAnsi="宋体" w:eastAsia="宋体" w:cs="宋体"/>
          <w:b/>
          <w:sz w:val="21"/>
          <w:szCs w:val="21"/>
        </w:rPr>
        <w:t>一、说明</w:t>
      </w:r>
      <w:bookmarkEnd w:id="9"/>
    </w:p>
    <w:p w14:paraId="6FAF7513">
      <w:pPr>
        <w:keepNext w:val="0"/>
        <w:keepLines w:val="0"/>
        <w:pageBreakBefore w:val="0"/>
        <w:kinsoku/>
        <w:wordWrap/>
        <w:overflowPunct/>
        <w:topLinePunct w:val="0"/>
        <w:autoSpaceDE/>
        <w:autoSpaceDN/>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0" w:name="_Toc21093"/>
      <w:r>
        <w:rPr>
          <w:rFonts w:hint="eastAsia" w:ascii="宋体" w:hAnsi="宋体" w:eastAsia="宋体" w:cs="宋体"/>
          <w:b/>
          <w:bCs/>
          <w:sz w:val="21"/>
          <w:szCs w:val="21"/>
        </w:rPr>
        <w:t>1.适用范围</w:t>
      </w:r>
      <w:bookmarkEnd w:id="10"/>
    </w:p>
    <w:p w14:paraId="519F2F3B">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1.1本磋商文件仅适用于磋商须知前附表</w:t>
      </w:r>
      <w:r>
        <w:rPr>
          <w:rFonts w:hint="eastAsia" w:ascii="宋体" w:hAnsi="宋体" w:eastAsia="宋体" w:cs="宋体"/>
          <w:sz w:val="21"/>
          <w:szCs w:val="21"/>
          <w:lang w:eastAsia="zh-CN"/>
        </w:rPr>
        <w:t>（</w:t>
      </w:r>
      <w:r>
        <w:rPr>
          <w:rFonts w:hint="eastAsia" w:ascii="宋体" w:hAnsi="宋体" w:eastAsia="宋体" w:cs="宋体"/>
          <w:sz w:val="21"/>
          <w:szCs w:val="21"/>
        </w:rPr>
        <w:t>以下简称</w:t>
      </w:r>
      <w:r>
        <w:rPr>
          <w:rFonts w:hint="eastAsia" w:ascii="宋体" w:hAnsi="宋体" w:eastAsia="宋体" w:cs="宋体"/>
          <w:b/>
          <w:sz w:val="21"/>
          <w:szCs w:val="21"/>
        </w:rPr>
        <w:t>磋商须知前附表</w:t>
      </w:r>
      <w:r>
        <w:rPr>
          <w:rFonts w:hint="eastAsia" w:ascii="宋体" w:hAnsi="宋体" w:eastAsia="宋体" w:cs="宋体"/>
          <w:b/>
          <w:sz w:val="21"/>
          <w:szCs w:val="21"/>
          <w:lang w:eastAsia="zh-CN"/>
        </w:rPr>
        <w:t>）</w:t>
      </w:r>
      <w:r>
        <w:rPr>
          <w:rFonts w:hint="eastAsia" w:ascii="宋体" w:hAnsi="宋体" w:eastAsia="宋体" w:cs="宋体"/>
          <w:sz w:val="21"/>
          <w:szCs w:val="21"/>
        </w:rPr>
        <w:t>中所叙述的采购项目。</w:t>
      </w:r>
    </w:p>
    <w:p w14:paraId="35C1F3E3">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1" w:name="_Toc14852"/>
      <w:r>
        <w:rPr>
          <w:rFonts w:hint="eastAsia" w:ascii="宋体" w:hAnsi="宋体" w:eastAsia="宋体" w:cs="宋体"/>
          <w:b/>
          <w:bCs/>
          <w:sz w:val="21"/>
          <w:szCs w:val="21"/>
        </w:rPr>
        <w:t>2.定义</w:t>
      </w:r>
      <w:bookmarkEnd w:id="11"/>
    </w:p>
    <w:p w14:paraId="492AF94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2.1“采购人”是指依法进行政府采购的国家机关、事业单位、团体组织。本次政府采购的采购人名称、地址、电话、联系人见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66A79F18">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 w:val="21"/>
          <w:szCs w:val="21"/>
        </w:rPr>
        <w:t>磋商须知前附表。</w:t>
      </w:r>
    </w:p>
    <w:p w14:paraId="487BA185">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rPr>
        <w:t>2.3“供应商”是指响应磋商文件要求、参加竞争性磋商采购的法人、其他组织或者自然人。本次政府采购项目</w:t>
      </w:r>
      <w:r>
        <w:rPr>
          <w:rFonts w:hint="eastAsia" w:ascii="宋体" w:hAnsi="宋体" w:eastAsia="宋体" w:cs="宋体"/>
          <w:kern w:val="0"/>
          <w:sz w:val="21"/>
          <w:szCs w:val="21"/>
        </w:rPr>
        <w:t>邀请</w:t>
      </w:r>
      <w:r>
        <w:rPr>
          <w:rFonts w:hint="eastAsia" w:ascii="宋体" w:hAnsi="宋体" w:eastAsia="宋体" w:cs="宋体"/>
          <w:sz w:val="21"/>
          <w:szCs w:val="21"/>
        </w:rPr>
        <w:t>的</w:t>
      </w:r>
      <w:r>
        <w:rPr>
          <w:rFonts w:hint="eastAsia" w:ascii="宋体" w:hAnsi="宋体" w:eastAsia="宋体" w:cs="宋体"/>
          <w:kern w:val="0"/>
          <w:sz w:val="21"/>
          <w:szCs w:val="21"/>
        </w:rPr>
        <w:t>供应商通过</w:t>
      </w:r>
      <w:r>
        <w:rPr>
          <w:rFonts w:hint="eastAsia" w:ascii="宋体" w:hAnsi="宋体" w:eastAsia="宋体" w:cs="宋体"/>
          <w:b/>
          <w:sz w:val="21"/>
          <w:szCs w:val="21"/>
        </w:rPr>
        <w:t>磋商须知前附表</w:t>
      </w:r>
      <w:r>
        <w:rPr>
          <w:rFonts w:hint="eastAsia" w:ascii="宋体" w:hAnsi="宋体" w:eastAsia="宋体" w:cs="宋体"/>
          <w:sz w:val="21"/>
          <w:szCs w:val="21"/>
        </w:rPr>
        <w:t>所述方式</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邀请合格供应商，参与竞争性磋商采购活动。</w:t>
      </w:r>
    </w:p>
    <w:p w14:paraId="62D23B32">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2.4“磋商小组”是指</w:t>
      </w:r>
      <w:r>
        <w:rPr>
          <w:rFonts w:hint="eastAsia" w:ascii="宋体" w:hAnsi="宋体" w:eastAsia="宋体" w:cs="宋体"/>
          <w:kern w:val="0"/>
          <w:sz w:val="21"/>
          <w:szCs w:val="21"/>
        </w:rPr>
        <w:t>依据《中华人民共和国政府采购法》和财政部</w:t>
      </w:r>
      <w:r>
        <w:rPr>
          <w:rFonts w:hint="eastAsia" w:ascii="宋体" w:hAnsi="宋体" w:eastAsia="宋体" w:cs="宋体"/>
          <w:bCs/>
          <w:kern w:val="36"/>
          <w:sz w:val="21"/>
          <w:szCs w:val="21"/>
        </w:rPr>
        <w:t>《</w:t>
      </w:r>
      <w:r>
        <w:rPr>
          <w:rFonts w:hint="eastAsia" w:ascii="宋体" w:hAnsi="宋体" w:eastAsia="宋体" w:cs="宋体"/>
          <w:kern w:val="0"/>
          <w:sz w:val="21"/>
          <w:szCs w:val="21"/>
        </w:rPr>
        <w:t>政府采购竞争性磋商采购方式管理暂行办法</w:t>
      </w:r>
      <w:r>
        <w:rPr>
          <w:rFonts w:hint="eastAsia" w:ascii="宋体" w:hAnsi="宋体" w:eastAsia="宋体" w:cs="宋体"/>
          <w:kern w:val="0"/>
          <w:sz w:val="21"/>
          <w:szCs w:val="21"/>
          <w:lang w:eastAsia="zh-CN"/>
        </w:rPr>
        <w:t>》等</w:t>
      </w:r>
      <w:r>
        <w:rPr>
          <w:rFonts w:hint="eastAsia" w:ascii="宋体" w:hAnsi="宋体" w:eastAsia="宋体" w:cs="宋体"/>
          <w:bCs/>
          <w:kern w:val="36"/>
          <w:sz w:val="21"/>
          <w:szCs w:val="21"/>
        </w:rPr>
        <w:t>有关规定组建，依法依规</w:t>
      </w:r>
      <w:r>
        <w:rPr>
          <w:rFonts w:hint="eastAsia" w:ascii="宋体" w:hAnsi="宋体" w:eastAsia="宋体" w:cs="宋体"/>
          <w:kern w:val="0"/>
          <w:sz w:val="21"/>
          <w:szCs w:val="21"/>
        </w:rPr>
        <w:t>履行其职责和义务的机构。</w:t>
      </w:r>
    </w:p>
    <w:p w14:paraId="4CEC7ED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2.5“货物”是指各种形态和种类的物品，包括原材料、燃料、设备、产品等，详见《政府采购品目分类目录》</w:t>
      </w:r>
      <w:r>
        <w:rPr>
          <w:rFonts w:hint="eastAsia" w:ascii="宋体" w:hAnsi="宋体" w:eastAsia="宋体" w:cs="宋体"/>
          <w:sz w:val="21"/>
          <w:szCs w:val="21"/>
          <w:lang w:eastAsia="zh-CN"/>
        </w:rPr>
        <w:t>（</w:t>
      </w:r>
      <w:r>
        <w:rPr>
          <w:rStyle w:val="42"/>
          <w:rFonts w:hint="eastAsia" w:ascii="宋体" w:hAnsi="宋体" w:eastAsia="宋体" w:cs="宋体"/>
          <w:b w:val="0"/>
          <w:sz w:val="21"/>
          <w:szCs w:val="21"/>
        </w:rPr>
        <w:t>财库</w:t>
      </w:r>
      <w:r>
        <w:rPr>
          <w:rStyle w:val="42"/>
          <w:rFonts w:hint="eastAsia" w:ascii="宋体" w:hAnsi="宋体" w:eastAsia="宋体" w:cs="宋体"/>
          <w:b w:val="0"/>
          <w:sz w:val="21"/>
          <w:szCs w:val="21"/>
          <w:lang w:eastAsia="zh-CN"/>
        </w:rPr>
        <w:t>〔2013〕189号）</w:t>
      </w:r>
      <w:r>
        <w:rPr>
          <w:rFonts w:hint="eastAsia" w:ascii="宋体" w:hAnsi="宋体" w:eastAsia="宋体" w:cs="宋体"/>
          <w:sz w:val="21"/>
          <w:szCs w:val="21"/>
        </w:rPr>
        <w:t>。</w:t>
      </w:r>
    </w:p>
    <w:p w14:paraId="373F694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2.6“工程”是指建设工程，包括建筑物和构筑物的新建、改建、扩建、装修、拆除、修缮等，详见《政府采购品目分类目录》</w:t>
      </w:r>
      <w:r>
        <w:rPr>
          <w:rFonts w:hint="eastAsia" w:ascii="宋体" w:hAnsi="宋体" w:eastAsia="宋体" w:cs="宋体"/>
          <w:sz w:val="21"/>
          <w:szCs w:val="21"/>
          <w:lang w:eastAsia="zh-CN"/>
        </w:rPr>
        <w:t>（</w:t>
      </w:r>
      <w:r>
        <w:rPr>
          <w:rStyle w:val="42"/>
          <w:rFonts w:hint="eastAsia" w:ascii="宋体" w:hAnsi="宋体" w:eastAsia="宋体" w:cs="宋体"/>
          <w:b w:val="0"/>
          <w:sz w:val="21"/>
          <w:szCs w:val="21"/>
        </w:rPr>
        <w:t>财库</w:t>
      </w:r>
      <w:r>
        <w:rPr>
          <w:rStyle w:val="42"/>
          <w:rFonts w:hint="eastAsia" w:ascii="宋体" w:hAnsi="宋体" w:eastAsia="宋体" w:cs="宋体"/>
          <w:b w:val="0"/>
          <w:sz w:val="21"/>
          <w:szCs w:val="21"/>
          <w:lang w:eastAsia="zh-CN"/>
        </w:rPr>
        <w:t>〔2013〕189号）</w:t>
      </w:r>
      <w:r>
        <w:rPr>
          <w:rFonts w:hint="eastAsia" w:ascii="宋体" w:hAnsi="宋体" w:eastAsia="宋体" w:cs="宋体"/>
          <w:sz w:val="21"/>
          <w:szCs w:val="21"/>
        </w:rPr>
        <w:t>。</w:t>
      </w:r>
    </w:p>
    <w:p w14:paraId="28EE06D9">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2.7“服务”是指除货物和工程以外的其他政府采购对象，详见《政府采购品目分类目录》</w:t>
      </w:r>
      <w:r>
        <w:rPr>
          <w:rFonts w:hint="eastAsia" w:ascii="宋体" w:hAnsi="宋体" w:eastAsia="宋体" w:cs="宋体"/>
          <w:sz w:val="21"/>
          <w:szCs w:val="21"/>
          <w:lang w:eastAsia="zh-CN"/>
        </w:rPr>
        <w:t>（</w:t>
      </w:r>
      <w:r>
        <w:rPr>
          <w:rStyle w:val="42"/>
          <w:rFonts w:hint="eastAsia" w:ascii="宋体" w:hAnsi="宋体" w:eastAsia="宋体" w:cs="宋体"/>
          <w:b w:val="0"/>
          <w:sz w:val="21"/>
          <w:szCs w:val="21"/>
        </w:rPr>
        <w:t>财库</w:t>
      </w:r>
      <w:r>
        <w:rPr>
          <w:rStyle w:val="42"/>
          <w:rFonts w:hint="eastAsia" w:ascii="宋体" w:hAnsi="宋体" w:eastAsia="宋体" w:cs="宋体"/>
          <w:b w:val="0"/>
          <w:sz w:val="21"/>
          <w:szCs w:val="21"/>
          <w:lang w:eastAsia="zh-CN"/>
        </w:rPr>
        <w:t>〔2013〕189号）</w:t>
      </w:r>
      <w:r>
        <w:rPr>
          <w:rFonts w:hint="eastAsia" w:ascii="宋体" w:hAnsi="宋体" w:eastAsia="宋体" w:cs="宋体"/>
          <w:sz w:val="21"/>
          <w:szCs w:val="21"/>
        </w:rPr>
        <w:t>。</w:t>
      </w:r>
    </w:p>
    <w:p w14:paraId="795F5A9A">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2.8“节能产品”或者“环保产品”是指财政部发布的《节能产品政府采购清单》或者《环境标志产品政府采购清单》的产品。</w:t>
      </w:r>
    </w:p>
    <w:p w14:paraId="63D43037">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2.9“进口产品”是指通过中国海关报关验放进入中国境内且产自关境外的产品，详见《关于政府采购进口产品管理有关问题的通知》</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财库</w:t>
      </w:r>
      <w:r>
        <w:rPr>
          <w:rFonts w:hint="eastAsia" w:ascii="宋体" w:hAnsi="宋体" w:eastAsia="宋体" w:cs="宋体"/>
          <w:kern w:val="0"/>
          <w:sz w:val="21"/>
          <w:szCs w:val="21"/>
          <w:lang w:eastAsia="zh-CN"/>
        </w:rPr>
        <w:t>〔2007〕109号）</w:t>
      </w:r>
      <w:r>
        <w:rPr>
          <w:rFonts w:hint="eastAsia" w:ascii="宋体" w:hAnsi="宋体" w:eastAsia="宋体" w:cs="宋体"/>
          <w:kern w:val="0"/>
          <w:sz w:val="21"/>
          <w:szCs w:val="21"/>
        </w:rPr>
        <w:t>。</w:t>
      </w:r>
    </w:p>
    <w:p w14:paraId="3E7E06C3">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2" w:name="_Toc8818"/>
      <w:r>
        <w:rPr>
          <w:rFonts w:hint="eastAsia" w:ascii="宋体" w:hAnsi="宋体" w:eastAsia="宋体" w:cs="宋体"/>
          <w:b/>
          <w:bCs/>
          <w:sz w:val="21"/>
          <w:szCs w:val="21"/>
        </w:rPr>
        <w:t>3.供应商的资格要求</w:t>
      </w:r>
      <w:bookmarkEnd w:id="12"/>
    </w:p>
    <w:p w14:paraId="5F3065B0">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供应商应当符合</w:t>
      </w:r>
      <w:r>
        <w:rPr>
          <w:rFonts w:hint="eastAsia" w:ascii="宋体" w:hAnsi="宋体" w:eastAsia="宋体" w:cs="宋体"/>
          <w:b/>
          <w:bCs/>
          <w:sz w:val="21"/>
          <w:szCs w:val="21"/>
        </w:rPr>
        <w:t>磋商须知前附表</w:t>
      </w:r>
      <w:r>
        <w:rPr>
          <w:rFonts w:hint="eastAsia" w:ascii="宋体" w:hAnsi="宋体" w:eastAsia="宋体" w:cs="宋体"/>
          <w:sz w:val="21"/>
          <w:szCs w:val="21"/>
        </w:rPr>
        <w:t>中规定的资格条件要求。</w:t>
      </w:r>
    </w:p>
    <w:p w14:paraId="2B50453F">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1FB2677F">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（1）联合体各方应按磋商文件提供的格式签订联合体协议书，明确联合体牵头人和各方权利义务（含承担工作及工作量比例）；</w:t>
      </w:r>
    </w:p>
    <w:p w14:paraId="14DE4B7B">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（2）联合体中有同类资质的供应商按照联合体分工承担相同工作的，应当按照资质等级较低的供应商确定资质等级；</w:t>
      </w:r>
    </w:p>
    <w:p w14:paraId="5F6FACB0">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（3）以联合体形式参加政府采购活动的，联合体各方不得再单独参加或者与其他供应商另外组成联合体参加同一合同项下的政府采购活动。</w:t>
      </w:r>
    </w:p>
    <w:p w14:paraId="0A5293A1">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F2632CC">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）与其他供应商的法定代表人（或者负责人）为同一人，或者与其他供应商存在直接控股、管理关系。</w:t>
      </w:r>
    </w:p>
    <w:p w14:paraId="40E46043">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bCs/>
          <w:sz w:val="21"/>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 w:val="21"/>
          <w:szCs w:val="21"/>
        </w:rPr>
        <w:t>财政部门认定的其他重大违法记录。</w:t>
      </w:r>
    </w:p>
    <w:p w14:paraId="1F122C8F">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3" w:name="_Toc8498"/>
      <w:r>
        <w:rPr>
          <w:rFonts w:hint="eastAsia" w:ascii="宋体" w:hAnsi="宋体" w:eastAsia="宋体" w:cs="宋体"/>
          <w:b/>
          <w:bCs/>
          <w:sz w:val="21"/>
          <w:szCs w:val="21"/>
        </w:rPr>
        <w:t>4.参与磋商的费用</w:t>
      </w:r>
      <w:bookmarkEnd w:id="13"/>
    </w:p>
    <w:p w14:paraId="0A44C462">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4.1无论磋商的结果如何，供应商应自行承担所有与竞争性磋商采购活动有关的全部费用。</w:t>
      </w:r>
    </w:p>
    <w:p w14:paraId="5F4F1766">
      <w:pPr>
        <w:pStyle w:val="22"/>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4" w:name="_Toc31493"/>
      <w:r>
        <w:rPr>
          <w:rFonts w:hint="eastAsia" w:hAnsi="宋体" w:cs="宋体"/>
          <w:b/>
          <w:sz w:val="21"/>
          <w:szCs w:val="21"/>
          <w:lang w:eastAsia="zh-CN"/>
        </w:rPr>
        <w:t>5.</w:t>
      </w:r>
      <w:r>
        <w:rPr>
          <w:rFonts w:hint="eastAsia" w:ascii="宋体" w:hAnsi="宋体" w:eastAsia="宋体" w:cs="宋体"/>
          <w:b/>
          <w:bCs/>
          <w:sz w:val="21"/>
          <w:szCs w:val="21"/>
        </w:rPr>
        <w:t>授权委托</w:t>
      </w:r>
      <w:bookmarkEnd w:id="14"/>
    </w:p>
    <w:p w14:paraId="7F2B9179">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5.1供应商代表为供应商法定代表人的，应持有法定代表人身份证明。供应商代表不是供应商法定代表人的，应持有法定代表人授权书，并附法定代表人身份证明。</w:t>
      </w:r>
    </w:p>
    <w:p w14:paraId="74B22E70">
      <w:pPr>
        <w:pStyle w:val="22"/>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sz w:val="21"/>
          <w:szCs w:val="21"/>
        </w:rPr>
      </w:pPr>
      <w:bookmarkStart w:id="15" w:name="_Toc12484"/>
      <w:r>
        <w:rPr>
          <w:rFonts w:hint="eastAsia" w:hAnsi="宋体" w:cs="宋体"/>
          <w:b/>
          <w:sz w:val="21"/>
          <w:szCs w:val="21"/>
          <w:lang w:eastAsia="zh-CN"/>
        </w:rPr>
        <w:t>6.</w:t>
      </w:r>
      <w:r>
        <w:rPr>
          <w:rFonts w:hint="eastAsia" w:ascii="宋体" w:hAnsi="宋体" w:eastAsia="宋体" w:cs="宋体"/>
          <w:b/>
          <w:sz w:val="21"/>
          <w:szCs w:val="21"/>
        </w:rPr>
        <w:t>联合体形式</w:t>
      </w:r>
      <w:bookmarkEnd w:id="15"/>
    </w:p>
    <w:p w14:paraId="78498630">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6.1除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中另有规定，本次磋商采购接受联合体形式的供应商。</w:t>
      </w:r>
    </w:p>
    <w:p w14:paraId="46A19B25">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6.2供应商为联合体形式的，除应符合本章第3条规定外，还应遵守以下规定：</w:t>
      </w:r>
    </w:p>
    <w:p w14:paraId="5A1A4932">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（l）联合体各方必须签订联合体协议书，明确联合体牵头人和各方的义务、工作、合同工作量比例；</w:t>
      </w:r>
    </w:p>
    <w:p w14:paraId="26BF8741">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（2）联合体各方均应当符合本章第3.1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规定的供应商基本资格条件；</w:t>
      </w:r>
    </w:p>
    <w:p w14:paraId="06027EE4">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kern w:val="0"/>
          <w:sz w:val="21"/>
          <w:szCs w:val="21"/>
          <w:lang w:val="zh-CN"/>
        </w:rPr>
        <w:t>联合体各方不得再单独或与其他供应商组成新的联合体参加同一项目的采购活动。</w:t>
      </w:r>
    </w:p>
    <w:p w14:paraId="6B258DC9">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sz w:val="21"/>
          <w:szCs w:val="21"/>
        </w:rPr>
      </w:pPr>
      <w:bookmarkStart w:id="16" w:name="_Toc13712"/>
      <w:r>
        <w:rPr>
          <w:rFonts w:hint="eastAsia" w:ascii="宋体" w:hAnsi="宋体" w:eastAsia="宋体" w:cs="宋体"/>
          <w:b/>
          <w:sz w:val="21"/>
          <w:szCs w:val="21"/>
        </w:rPr>
        <w:t>7.现场勘察</w:t>
      </w:r>
      <w:bookmarkEnd w:id="16"/>
    </w:p>
    <w:p w14:paraId="69203110">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7.1供应商应按</w:t>
      </w:r>
      <w:r>
        <w:rPr>
          <w:rFonts w:hint="eastAsia" w:ascii="宋体" w:hAnsi="宋体" w:eastAsia="宋体" w:cs="宋体"/>
          <w:b/>
          <w:sz w:val="21"/>
          <w:szCs w:val="21"/>
        </w:rPr>
        <w:t>磋商须知前附表</w:t>
      </w:r>
      <w:r>
        <w:rPr>
          <w:rFonts w:hint="eastAsia" w:ascii="宋体" w:hAnsi="宋体" w:eastAsia="宋体" w:cs="宋体"/>
          <w:sz w:val="21"/>
          <w:szCs w:val="21"/>
        </w:rPr>
        <w:t>中规定对采购项目现场和周围环境的现场考察。</w:t>
      </w:r>
    </w:p>
    <w:p w14:paraId="260E89D8">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w:t>
      </w:r>
      <w:r>
        <w:rPr>
          <w:rFonts w:hint="eastAsia" w:ascii="宋体" w:hAnsi="宋体" w:eastAsia="宋体" w:cs="宋体"/>
          <w:sz w:val="21"/>
          <w:szCs w:val="21"/>
          <w:lang w:eastAsia="zh-CN"/>
        </w:rPr>
        <w:t>勘查现场</w:t>
      </w:r>
      <w:r>
        <w:rPr>
          <w:rFonts w:hint="eastAsia" w:ascii="宋体" w:hAnsi="宋体" w:eastAsia="宋体" w:cs="宋体"/>
          <w:sz w:val="21"/>
          <w:szCs w:val="21"/>
        </w:rPr>
        <w:t>的费用由供应商自己承担，勘察期间所发生的人身伤害及财产损失由供应商自己负责。</w:t>
      </w:r>
    </w:p>
    <w:p w14:paraId="53C0FEBA">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7.3采购人不对供应商据此而做出的推论、理解和结论负责。一旦成交，供应商不得以任何借口，提出额外补偿，或延长合同期限的要求。</w:t>
      </w:r>
    </w:p>
    <w:p w14:paraId="5425529A">
      <w:pPr>
        <w:pageBreakBefore w:val="0"/>
        <w:kinsoku/>
        <w:wordWrap/>
        <w:overflowPunct/>
        <w:topLinePunct w:val="0"/>
        <w:bidi w:val="0"/>
        <w:adjustRightInd w:val="0"/>
        <w:snapToGrid w:val="0"/>
        <w:spacing w:beforeAutospacing="0" w:afterAutospacing="0" w:line="500" w:lineRule="exact"/>
        <w:jc w:val="left"/>
        <w:textAlignment w:val="auto"/>
        <w:outlineLvl w:val="2"/>
        <w:rPr>
          <w:rFonts w:hint="eastAsia" w:ascii="宋体" w:hAnsi="宋体" w:eastAsia="宋体" w:cs="宋体"/>
          <w:b/>
          <w:sz w:val="21"/>
          <w:szCs w:val="21"/>
        </w:rPr>
      </w:pPr>
      <w:bookmarkStart w:id="17" w:name="_Toc9734"/>
      <w:r>
        <w:rPr>
          <w:rFonts w:hint="eastAsia" w:ascii="宋体" w:hAnsi="宋体" w:eastAsia="宋体" w:cs="宋体"/>
          <w:b/>
          <w:sz w:val="21"/>
          <w:szCs w:val="21"/>
        </w:rPr>
        <w:t>8.采购进口产品</w:t>
      </w:r>
      <w:bookmarkEnd w:id="17"/>
    </w:p>
    <w:p w14:paraId="68A0EE82">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8.1除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另有规定外，本项目</w:t>
      </w:r>
      <w:r>
        <w:rPr>
          <w:rFonts w:hint="eastAsia" w:ascii="宋体" w:hAnsi="宋体" w:eastAsia="宋体" w:cs="宋体"/>
          <w:kern w:val="0"/>
          <w:sz w:val="21"/>
          <w:szCs w:val="21"/>
        </w:rPr>
        <w:t>拒绝进口产品参加</w:t>
      </w:r>
      <w:r>
        <w:rPr>
          <w:rFonts w:hint="eastAsia" w:ascii="宋体" w:hAnsi="宋体" w:eastAsia="宋体" w:cs="宋体"/>
          <w:sz w:val="21"/>
          <w:szCs w:val="21"/>
        </w:rPr>
        <w:t>竞争性磋商采购活动</w:t>
      </w:r>
      <w:r>
        <w:rPr>
          <w:rFonts w:hint="eastAsia" w:ascii="宋体" w:hAnsi="宋体" w:eastAsia="宋体" w:cs="宋体"/>
          <w:kern w:val="0"/>
          <w:sz w:val="21"/>
          <w:szCs w:val="21"/>
        </w:rPr>
        <w:t>。</w:t>
      </w:r>
    </w:p>
    <w:p w14:paraId="674BCFEE">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8.2</w:t>
      </w:r>
      <w:r>
        <w:rPr>
          <w:rFonts w:hint="eastAsia" w:ascii="宋体" w:hAnsi="宋体" w:eastAsia="宋体" w:cs="宋体"/>
          <w:sz w:val="21"/>
          <w:szCs w:val="21"/>
        </w:rPr>
        <w:t>本章第8.1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同意购买进口产品的，</w:t>
      </w:r>
      <w:r>
        <w:rPr>
          <w:rFonts w:hint="eastAsia" w:ascii="宋体" w:hAnsi="宋体" w:eastAsia="宋体" w:cs="宋体"/>
          <w:sz w:val="21"/>
          <w:szCs w:val="21"/>
        </w:rPr>
        <w:t>本项目</w:t>
      </w:r>
      <w:r>
        <w:rPr>
          <w:rFonts w:hint="eastAsia" w:ascii="宋体" w:hAnsi="宋体" w:eastAsia="宋体" w:cs="宋体"/>
          <w:kern w:val="0"/>
          <w:sz w:val="21"/>
          <w:szCs w:val="21"/>
          <w:lang w:val="zh-CN"/>
        </w:rPr>
        <w:t>采购活动</w:t>
      </w:r>
      <w:r>
        <w:rPr>
          <w:rFonts w:hint="eastAsia" w:ascii="宋体" w:hAnsi="宋体" w:eastAsia="宋体" w:cs="宋体"/>
          <w:kern w:val="0"/>
          <w:sz w:val="21"/>
          <w:szCs w:val="21"/>
        </w:rPr>
        <w:t>不限制满足</w:t>
      </w:r>
      <w:r>
        <w:rPr>
          <w:rFonts w:hint="eastAsia" w:ascii="宋体" w:hAnsi="宋体" w:eastAsia="宋体" w:cs="宋体"/>
          <w:sz w:val="21"/>
          <w:szCs w:val="21"/>
        </w:rPr>
        <w:t>磋商文件要求</w:t>
      </w:r>
      <w:r>
        <w:rPr>
          <w:rFonts w:hint="eastAsia" w:ascii="宋体" w:hAnsi="宋体" w:eastAsia="宋体" w:cs="宋体"/>
          <w:kern w:val="0"/>
          <w:sz w:val="21"/>
          <w:szCs w:val="21"/>
        </w:rPr>
        <w:t>的国内产品参与</w:t>
      </w:r>
      <w:r>
        <w:rPr>
          <w:rFonts w:hint="eastAsia" w:ascii="宋体" w:hAnsi="宋体" w:eastAsia="宋体" w:cs="宋体"/>
          <w:sz w:val="21"/>
          <w:szCs w:val="21"/>
        </w:rPr>
        <w:t>竞争性磋商</w:t>
      </w:r>
      <w:r>
        <w:rPr>
          <w:rFonts w:hint="eastAsia" w:ascii="宋体" w:hAnsi="宋体" w:eastAsia="宋体" w:cs="宋体"/>
          <w:kern w:val="0"/>
          <w:sz w:val="21"/>
          <w:szCs w:val="21"/>
        </w:rPr>
        <w:t>。</w:t>
      </w:r>
    </w:p>
    <w:p w14:paraId="36AA8BD7">
      <w:pPr>
        <w:pageBreakBefore w:val="0"/>
        <w:kinsoku/>
        <w:wordWrap/>
        <w:overflowPunct/>
        <w:topLinePunct w:val="0"/>
        <w:bidi w:val="0"/>
        <w:adjustRightInd w:val="0"/>
        <w:snapToGrid w:val="0"/>
        <w:spacing w:beforeAutospacing="0" w:afterAutospacing="0" w:line="500" w:lineRule="exact"/>
        <w:jc w:val="left"/>
        <w:textAlignment w:val="auto"/>
        <w:outlineLvl w:val="2"/>
        <w:rPr>
          <w:rFonts w:hint="eastAsia" w:ascii="宋体" w:hAnsi="宋体" w:eastAsia="宋体" w:cs="宋体"/>
          <w:b/>
          <w:sz w:val="21"/>
          <w:szCs w:val="21"/>
        </w:rPr>
      </w:pPr>
      <w:bookmarkStart w:id="18" w:name="_Toc17736"/>
      <w:r>
        <w:rPr>
          <w:rFonts w:hint="eastAsia" w:ascii="宋体" w:hAnsi="宋体" w:eastAsia="宋体" w:cs="宋体"/>
          <w:b/>
          <w:bCs/>
          <w:sz w:val="21"/>
          <w:szCs w:val="21"/>
        </w:rPr>
        <w:t>9.</w:t>
      </w:r>
      <w:r>
        <w:rPr>
          <w:rFonts w:hint="eastAsia" w:ascii="宋体" w:hAnsi="宋体" w:eastAsia="宋体" w:cs="宋体"/>
          <w:b/>
          <w:sz w:val="21"/>
          <w:szCs w:val="21"/>
        </w:rPr>
        <w:t>政府采购政策支持</w:t>
      </w:r>
      <w:bookmarkEnd w:id="18"/>
    </w:p>
    <w:p w14:paraId="20E96A8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bookmarkStart w:id="19" w:name="_Toc3591"/>
      <w:r>
        <w:rPr>
          <w:rFonts w:hint="eastAsia" w:ascii="宋体" w:hAnsi="宋体" w:eastAsia="宋体" w:cs="宋体"/>
          <w:b w:val="0"/>
          <w:bCs/>
          <w:sz w:val="21"/>
          <w:szCs w:val="21"/>
        </w:rPr>
        <w:t>9.1对列入财政部、国家发展改革委发布的《节能产品政府采购清单》且属于应当“强制采购的节能产品”，按照规定实行强制采购。实行政府采购强制采购的节能产品见磋商文件前附表。</w:t>
      </w:r>
    </w:p>
    <w:p w14:paraId="613A07B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9.2对列入财政部、国家发展改革委发布的《节能产品政府采购清单》的“非强制采购节能产品”，财政部、环境保护部发布的《环境标志产品政府采购清单》的“环境标志产品”，中小企业，实行优先采购，按照省级以上财政部门有关政策规定，评审时进行价格扣除或加分。实行政府采购优先采购的优惠率见磋商文件前附表。</w:t>
      </w:r>
    </w:p>
    <w:p w14:paraId="2E7D0D9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9.3产品同时属于“非强制采购节能产品</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环境标志产品”的，评审时只有其中一项能享受优先待遇</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供应商自行选择，并在报价文件</w:t>
      </w:r>
      <w:r>
        <w:rPr>
          <w:rFonts w:hint="eastAsia" w:ascii="宋体" w:hAnsi="宋体" w:eastAsia="宋体" w:cs="宋体"/>
          <w:b w:val="0"/>
          <w:bCs/>
          <w:sz w:val="21"/>
          <w:szCs w:val="21"/>
          <w:lang w:eastAsia="zh-CN"/>
        </w:rPr>
        <w:t>中</w:t>
      </w:r>
      <w:r>
        <w:rPr>
          <w:rFonts w:hint="eastAsia" w:ascii="宋体" w:hAnsi="宋体" w:eastAsia="宋体" w:cs="宋体"/>
          <w:b w:val="0"/>
          <w:bCs/>
          <w:sz w:val="21"/>
          <w:szCs w:val="21"/>
        </w:rPr>
        <w:t>填报相关信息及数据</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；中小企业可以与同时属于“非强制采购节能产品</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环境标志产品”中的一项重复计算。</w:t>
      </w:r>
    </w:p>
    <w:p w14:paraId="0B716FA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9.4同一项目中部分产品属于优先采购政策的，评审时只对该部分产品的报价实行价格扣除及加分。</w:t>
      </w:r>
    </w:p>
    <w:p w14:paraId="69B8BB8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9.5符合本章第9.1款、第9.2款规定的，应提供相关证明资料。</w:t>
      </w:r>
    </w:p>
    <w:p w14:paraId="41B8CBEF">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9.6供应商有融资、担保需求的，具体办理流程可向磋商须知前附表所列金融机构和担保机构询问。</w:t>
      </w:r>
    </w:p>
    <w:p w14:paraId="6B44843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二、磋商文件</w:t>
      </w:r>
      <w:bookmarkEnd w:id="19"/>
    </w:p>
    <w:p w14:paraId="26C222F7">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10.</w:t>
      </w:r>
      <w:r>
        <w:rPr>
          <w:rFonts w:hint="eastAsia" w:ascii="宋体" w:hAnsi="宋体" w:eastAsia="宋体" w:cs="宋体"/>
          <w:b/>
          <w:bCs/>
          <w:sz w:val="21"/>
          <w:szCs w:val="21"/>
        </w:rPr>
        <w:t>磋商文件的组成</w:t>
      </w:r>
    </w:p>
    <w:p w14:paraId="6DBC2B49">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10.1磋商文件由下列文件组成：</w:t>
      </w:r>
    </w:p>
    <w:p w14:paraId="6C3369E2">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第一章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磋商邀请</w:t>
      </w:r>
    </w:p>
    <w:p w14:paraId="19495B81">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第二章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磋商须知</w:t>
      </w:r>
    </w:p>
    <w:p w14:paraId="5550E56F">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第三章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评审方法及标准</w:t>
      </w:r>
    </w:p>
    <w:p w14:paraId="7DD942D8">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第四章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政府采购合同格式</w:t>
      </w:r>
    </w:p>
    <w:p w14:paraId="34D0AF3A">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第五章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采购需求</w:t>
      </w:r>
    </w:p>
    <w:p w14:paraId="3BAE1B2D">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第六章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响应文件组成</w:t>
      </w:r>
    </w:p>
    <w:p w14:paraId="19EC4685">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bookmarkStart w:id="20" w:name="_Toc5863"/>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磋商小组根据与供应商磋商情况可能实质性变动的内容，包括采购需求中的技术、服务要求以及合同条款，在</w:t>
      </w:r>
      <w:r>
        <w:rPr>
          <w:rFonts w:hint="eastAsia" w:ascii="宋体" w:hAnsi="宋体" w:eastAsia="宋体" w:cs="宋体"/>
          <w:b/>
          <w:sz w:val="21"/>
          <w:szCs w:val="21"/>
        </w:rPr>
        <w:t>磋商须知前附表</w:t>
      </w:r>
      <w:r>
        <w:rPr>
          <w:rFonts w:hint="eastAsia" w:ascii="宋体" w:hAnsi="宋体" w:eastAsia="宋体" w:cs="宋体"/>
          <w:sz w:val="21"/>
          <w:szCs w:val="21"/>
        </w:rPr>
        <w:t>中明确。</w:t>
      </w:r>
    </w:p>
    <w:p w14:paraId="092001E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供应商应仔细阅读</w:t>
      </w:r>
      <w:r>
        <w:rPr>
          <w:rFonts w:hint="eastAsia" w:ascii="宋体" w:hAnsi="宋体" w:eastAsia="宋体" w:cs="宋体"/>
          <w:bCs/>
          <w:sz w:val="21"/>
          <w:szCs w:val="21"/>
        </w:rPr>
        <w:t>磋商</w:t>
      </w:r>
      <w:r>
        <w:rPr>
          <w:rFonts w:hint="eastAsia" w:ascii="宋体" w:hAnsi="宋体" w:eastAsia="宋体" w:cs="宋体"/>
          <w:sz w:val="21"/>
          <w:szCs w:val="21"/>
        </w:rPr>
        <w:t>文件的全部内容，按照</w:t>
      </w:r>
      <w:r>
        <w:rPr>
          <w:rFonts w:hint="eastAsia" w:ascii="宋体" w:hAnsi="宋体" w:eastAsia="宋体" w:cs="宋体"/>
          <w:bCs/>
          <w:sz w:val="21"/>
          <w:szCs w:val="21"/>
        </w:rPr>
        <w:t>磋商</w:t>
      </w:r>
      <w:r>
        <w:rPr>
          <w:rFonts w:hint="eastAsia" w:ascii="宋体" w:hAnsi="宋体" w:eastAsia="宋体" w:cs="宋体"/>
          <w:sz w:val="21"/>
          <w:szCs w:val="21"/>
        </w:rPr>
        <w:t>文件要求编制响应文件。任何对</w:t>
      </w:r>
      <w:r>
        <w:rPr>
          <w:rFonts w:hint="eastAsia" w:ascii="宋体" w:hAnsi="宋体" w:eastAsia="宋体" w:cs="宋体"/>
          <w:bCs/>
          <w:sz w:val="21"/>
          <w:szCs w:val="21"/>
        </w:rPr>
        <w:t>磋商</w:t>
      </w:r>
      <w:r>
        <w:rPr>
          <w:rFonts w:hint="eastAsia" w:ascii="宋体" w:hAnsi="宋体" w:eastAsia="宋体" w:cs="宋体"/>
          <w:sz w:val="21"/>
          <w:szCs w:val="21"/>
        </w:rPr>
        <w:t>文件的忽略或误解不能作为响应文件存在缺陷或瑕疵的理由，其风险由供应商承担。</w:t>
      </w:r>
    </w:p>
    <w:p w14:paraId="5FFDFD72">
      <w:pPr>
        <w:pageBreakBefore w:val="0"/>
        <w:kinsoku/>
        <w:overflowPunct/>
        <w:topLinePunct w:val="0"/>
        <w:bidi w:val="0"/>
        <w:adjustRightInd w:val="0"/>
        <w:snapToGrid w:val="0"/>
        <w:spacing w:line="500" w:lineRule="exact"/>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 xml:space="preserve"> 磋商文件的提供期限</w:t>
      </w:r>
    </w:p>
    <w:p w14:paraId="234A0E49">
      <w:pPr>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.1磋商文件的提供期限自开始发出之日起不得少于五个工作日。具体提供期限见</w:t>
      </w:r>
      <w:r>
        <w:rPr>
          <w:rFonts w:hint="eastAsia" w:ascii="宋体" w:hAnsi="宋体" w:eastAsia="宋体" w:cs="宋体"/>
          <w:b/>
          <w:color w:val="auto"/>
          <w:sz w:val="21"/>
          <w:szCs w:val="21"/>
          <w:highlight w:val="none"/>
        </w:rPr>
        <w:t>磋商</w:t>
      </w:r>
      <w:r>
        <w:rPr>
          <w:rFonts w:hint="eastAsia" w:ascii="宋体" w:hAnsi="宋体" w:eastAsia="宋体" w:cs="宋体"/>
          <w:b/>
          <w:color w:val="auto"/>
          <w:sz w:val="21"/>
          <w:szCs w:val="21"/>
          <w:highlight w:val="none"/>
          <w:lang w:val="en-US" w:eastAsia="zh-CN"/>
        </w:rPr>
        <w:t>须知</w:t>
      </w:r>
      <w:r>
        <w:rPr>
          <w:rFonts w:hint="eastAsia" w:ascii="宋体" w:hAnsi="宋体" w:eastAsia="宋体" w:cs="宋体"/>
          <w:b/>
          <w:color w:val="auto"/>
          <w:sz w:val="21"/>
          <w:szCs w:val="21"/>
          <w:highlight w:val="none"/>
        </w:rPr>
        <w:t>前附表</w:t>
      </w:r>
      <w:r>
        <w:rPr>
          <w:rFonts w:hint="eastAsia" w:ascii="宋体" w:hAnsi="宋体" w:eastAsia="宋体" w:cs="宋体"/>
          <w:color w:val="auto"/>
          <w:sz w:val="21"/>
          <w:szCs w:val="21"/>
          <w:highlight w:val="none"/>
        </w:rPr>
        <w:t>。</w:t>
      </w:r>
    </w:p>
    <w:p w14:paraId="18DB1092">
      <w:pPr>
        <w:pStyle w:val="3"/>
        <w:pageBreakBefore w:val="0"/>
        <w:kinsoku/>
        <w:overflowPunct/>
        <w:topLinePunct w:val="0"/>
        <w:bidi w:val="0"/>
        <w:spacing w:line="500" w:lineRule="exac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lang w:val="en-US" w:eastAsia="zh-CN"/>
        </w:rPr>
        <w:t>供应商应持</w:t>
      </w:r>
      <w:r>
        <w:rPr>
          <w:rFonts w:hint="eastAsia" w:ascii="宋体" w:hAnsi="宋体" w:eastAsia="宋体" w:cs="宋体"/>
          <w:b/>
          <w:bCs/>
          <w:color w:val="auto"/>
          <w:sz w:val="21"/>
          <w:szCs w:val="21"/>
          <w:highlight w:val="none"/>
          <w:lang w:val="en-US" w:eastAsia="zh-CN"/>
        </w:rPr>
        <w:t>磋商须知前附表</w:t>
      </w:r>
      <w:r>
        <w:rPr>
          <w:rFonts w:hint="eastAsia" w:ascii="宋体" w:hAnsi="宋体" w:eastAsia="宋体" w:cs="宋体"/>
          <w:b w:val="0"/>
          <w:bCs w:val="0"/>
          <w:color w:val="auto"/>
          <w:sz w:val="21"/>
          <w:szCs w:val="21"/>
          <w:highlight w:val="none"/>
          <w:lang w:val="en-US" w:eastAsia="zh-CN"/>
        </w:rPr>
        <w:t>规定的资料领取磋商文件。</w:t>
      </w:r>
    </w:p>
    <w:p w14:paraId="1444F05A">
      <w:pPr>
        <w:pStyle w:val="22"/>
        <w:pageBreakBefore w:val="0"/>
        <w:kinsoku/>
        <w:overflowPunct/>
        <w:topLinePunct w:val="0"/>
        <w:bidi w:val="0"/>
        <w:adjustRightInd w:val="0"/>
        <w:snapToGrid w:val="0"/>
        <w:spacing w:line="500" w:lineRule="exact"/>
        <w:ind w:right="0" w:rightChars="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12.</w:t>
      </w:r>
      <w:r>
        <w:rPr>
          <w:rFonts w:hint="eastAsia" w:ascii="宋体" w:hAnsi="宋体" w:eastAsia="宋体" w:cs="宋体"/>
          <w:b/>
          <w:color w:val="auto"/>
          <w:kern w:val="0"/>
          <w:sz w:val="21"/>
          <w:szCs w:val="21"/>
          <w:highlight w:val="none"/>
        </w:rPr>
        <w:t>提交首次响应文件</w:t>
      </w:r>
      <w:r>
        <w:rPr>
          <w:rFonts w:hint="eastAsia" w:ascii="宋体" w:hAnsi="宋体" w:eastAsia="宋体" w:cs="宋体"/>
          <w:b/>
          <w:color w:val="auto"/>
          <w:sz w:val="21"/>
          <w:szCs w:val="21"/>
          <w:highlight w:val="none"/>
        </w:rPr>
        <w:t>的</w:t>
      </w:r>
      <w:r>
        <w:rPr>
          <w:rFonts w:hint="eastAsia" w:ascii="宋体" w:hAnsi="宋体" w:eastAsia="宋体" w:cs="宋体"/>
          <w:b/>
          <w:color w:val="auto"/>
          <w:kern w:val="0"/>
          <w:sz w:val="21"/>
          <w:szCs w:val="21"/>
          <w:highlight w:val="none"/>
        </w:rPr>
        <w:t>截止</w:t>
      </w:r>
      <w:r>
        <w:rPr>
          <w:rFonts w:hint="eastAsia" w:ascii="宋体" w:hAnsi="宋体" w:eastAsia="宋体" w:cs="宋体"/>
          <w:b/>
          <w:color w:val="auto"/>
          <w:sz w:val="21"/>
          <w:szCs w:val="21"/>
          <w:highlight w:val="none"/>
        </w:rPr>
        <w:t>时间</w:t>
      </w:r>
    </w:p>
    <w:p w14:paraId="73F82580">
      <w:pPr>
        <w:pStyle w:val="22"/>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r>
        <w:rPr>
          <w:rFonts w:hint="eastAsia" w:ascii="宋体" w:hAnsi="宋体" w:eastAsia="宋体" w:cs="宋体"/>
          <w:color w:val="auto"/>
          <w:kern w:val="0"/>
          <w:sz w:val="21"/>
          <w:szCs w:val="21"/>
          <w:highlight w:val="none"/>
        </w:rPr>
        <w:t>供应商提交首次响应文件截止</w:t>
      </w:r>
      <w:r>
        <w:rPr>
          <w:rFonts w:hint="eastAsia" w:ascii="宋体" w:hAnsi="宋体" w:eastAsia="宋体" w:cs="宋体"/>
          <w:color w:val="auto"/>
          <w:sz w:val="21"/>
          <w:szCs w:val="21"/>
          <w:highlight w:val="none"/>
        </w:rPr>
        <w:t>时间见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1F8E4998">
      <w:pPr>
        <w:pageBreakBefore w:val="0"/>
        <w:kinsoku/>
        <w:overflowPunct/>
        <w:topLinePunct w:val="0"/>
        <w:bidi w:val="0"/>
        <w:adjustRightInd w:val="0"/>
        <w:snapToGrid w:val="0"/>
        <w:spacing w:line="500" w:lineRule="exact"/>
        <w:ind w:right="0" w:righ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13.磋商文件的澄清</w:t>
      </w:r>
      <w:r>
        <w:rPr>
          <w:rFonts w:hint="eastAsia" w:ascii="宋体" w:hAnsi="宋体" w:eastAsia="宋体" w:cs="宋体"/>
          <w:b/>
          <w:color w:val="auto"/>
          <w:kern w:val="0"/>
          <w:sz w:val="21"/>
          <w:szCs w:val="21"/>
          <w:highlight w:val="none"/>
          <w:lang w:val="zh-CN"/>
        </w:rPr>
        <w:t>或者</w:t>
      </w:r>
      <w:r>
        <w:rPr>
          <w:rFonts w:hint="eastAsia" w:ascii="宋体" w:hAnsi="宋体" w:eastAsia="宋体" w:cs="宋体"/>
          <w:b/>
          <w:bCs/>
          <w:color w:val="auto"/>
          <w:sz w:val="21"/>
          <w:szCs w:val="21"/>
          <w:highlight w:val="none"/>
        </w:rPr>
        <w:t>修改</w:t>
      </w:r>
    </w:p>
    <w:p w14:paraId="169C32F2">
      <w:pPr>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13.1在</w:t>
      </w:r>
      <w:r>
        <w:rPr>
          <w:rFonts w:hint="eastAsia" w:ascii="宋体" w:hAnsi="宋体" w:eastAsia="宋体" w:cs="宋体"/>
          <w:color w:val="auto"/>
          <w:kern w:val="0"/>
          <w:sz w:val="21"/>
          <w:szCs w:val="21"/>
          <w:highlight w:val="none"/>
        </w:rPr>
        <w:t xml:space="preserve">提交首次响应文件截止之日前，采购人、采购代理机构可以对已发出的磋商文件进行必要的澄清或者修改。 </w:t>
      </w:r>
    </w:p>
    <w:p w14:paraId="2CCC44FB">
      <w:pPr>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澄清或者修改的内容可能影响响应文件编制的，采购人、采购代理机构应当在提交首次响应文件截止</w:t>
      </w:r>
      <w:r>
        <w:rPr>
          <w:rFonts w:hint="eastAsia" w:ascii="宋体" w:hAnsi="宋体" w:eastAsia="宋体" w:cs="宋体"/>
          <w:color w:val="auto"/>
          <w:kern w:val="0"/>
          <w:sz w:val="21"/>
          <w:szCs w:val="21"/>
          <w:highlight w:val="none"/>
          <w:lang w:eastAsia="zh-CN"/>
        </w:rPr>
        <w:t>至少</w:t>
      </w:r>
      <w:r>
        <w:rPr>
          <w:rFonts w:hint="eastAsia" w:ascii="宋体" w:hAnsi="宋体" w:eastAsia="宋体" w:cs="宋体"/>
          <w:color w:val="auto"/>
          <w:kern w:val="0"/>
          <w:sz w:val="21"/>
          <w:szCs w:val="21"/>
          <w:highlight w:val="none"/>
          <w:lang w:val="en-US" w:eastAsia="zh-CN"/>
        </w:rPr>
        <w:t>5日前</w:t>
      </w:r>
      <w:r>
        <w:rPr>
          <w:rFonts w:hint="eastAsia" w:ascii="宋体" w:hAnsi="宋体" w:eastAsia="宋体" w:cs="宋体"/>
          <w:color w:val="auto"/>
          <w:kern w:val="0"/>
          <w:sz w:val="21"/>
          <w:szCs w:val="21"/>
          <w:highlight w:val="none"/>
        </w:rPr>
        <w:t>，以书面形式通知所有接收磋商文件的供应商，不足</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日的，顺延供应商提交首次响应文件截止时间。</w:t>
      </w:r>
    </w:p>
    <w:p w14:paraId="2F2B5F66">
      <w:pPr>
        <w:pStyle w:val="22"/>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提交首次响应文件截止时间前对磋商文件澄清或者修改内容</w:t>
      </w:r>
      <w:r>
        <w:rPr>
          <w:rFonts w:hint="eastAsia" w:hAnsi="宋体" w:cs="宋体"/>
          <w:color w:val="auto"/>
          <w:kern w:val="0"/>
          <w:sz w:val="21"/>
          <w:szCs w:val="21"/>
          <w:highlight w:val="none"/>
          <w:lang w:eastAsia="zh-CN"/>
        </w:rPr>
        <w:t>，作</w:t>
      </w:r>
      <w:r>
        <w:rPr>
          <w:rFonts w:hint="eastAsia" w:ascii="宋体" w:hAnsi="宋体" w:eastAsia="宋体" w:cs="宋体"/>
          <w:color w:val="auto"/>
          <w:kern w:val="0"/>
          <w:sz w:val="21"/>
          <w:szCs w:val="21"/>
          <w:highlight w:val="none"/>
        </w:rPr>
        <w:t>为磋商文件的组成部分。</w:t>
      </w:r>
    </w:p>
    <w:p w14:paraId="628E93A3">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三、响应文件</w:t>
      </w:r>
      <w:bookmarkEnd w:id="20"/>
    </w:p>
    <w:p w14:paraId="2CE0F9E5">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.一般要求</w:t>
      </w:r>
    </w:p>
    <w:p w14:paraId="2A80FC9B">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.1供应商应仔细阅读磋商文件的所有内容，按磋商文件的要求编制响应文件，并保证所提供的全部资料的真实性，以使其响应文件对磋商文件做出实质性的响应。</w:t>
      </w:r>
    </w:p>
    <w:p w14:paraId="50EF4617">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.2</w:t>
      </w:r>
      <w:r>
        <w:rPr>
          <w:rFonts w:hint="eastAsia" w:ascii="宋体" w:hAnsi="宋体" w:eastAsia="宋体" w:cs="宋体"/>
          <w:sz w:val="21"/>
          <w:szCs w:val="21"/>
        </w:rPr>
        <w:t>供应商提交的响应文件及供应商与采购人或采购代理机构、磋商小组就有关磋商的所有来往函电均使用中文。供应商可以提交</w:t>
      </w:r>
      <w:r>
        <w:rPr>
          <w:rFonts w:hint="eastAsia" w:ascii="宋体" w:hAnsi="宋体" w:eastAsia="宋体" w:cs="宋体"/>
          <w:sz w:val="21"/>
          <w:szCs w:val="21"/>
          <w:lang w:eastAsia="zh-CN"/>
        </w:rPr>
        <w:t>其他语言</w:t>
      </w:r>
      <w:r>
        <w:rPr>
          <w:rFonts w:hint="eastAsia" w:ascii="宋体" w:hAnsi="宋体" w:eastAsia="宋体" w:cs="宋体"/>
          <w:sz w:val="21"/>
          <w:szCs w:val="21"/>
        </w:rPr>
        <w:t>的资料，但应附中文注释，在有差异时以中文为准。</w:t>
      </w:r>
    </w:p>
    <w:p w14:paraId="40E9FCFF">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.3</w:t>
      </w:r>
      <w:r>
        <w:rPr>
          <w:rFonts w:hint="eastAsia" w:ascii="宋体" w:hAnsi="宋体" w:eastAsia="宋体" w:cs="宋体"/>
          <w:sz w:val="21"/>
          <w:szCs w:val="21"/>
        </w:rPr>
        <w:t>计量单位应使用我国法定计量单位，未列明时应默认为我国法定计量单位。</w:t>
      </w:r>
    </w:p>
    <w:p w14:paraId="1138A513">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.4响应文件应采用书面形式，电报、传真、电子邮件形式的响应文件概不接受。</w:t>
      </w:r>
    </w:p>
    <w:p w14:paraId="4257775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.5供应商应按磋商文件中提供的响应文件格式填写。</w:t>
      </w:r>
    </w:p>
    <w:p w14:paraId="4A7369D1">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的组成</w:t>
      </w:r>
    </w:p>
    <w:p w14:paraId="483EF0BB">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bookmarkStart w:id="21" w:name="_Toc14114"/>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.1响应文件包括下列内容：</w:t>
      </w:r>
      <w:bookmarkEnd w:id="21"/>
    </w:p>
    <w:p w14:paraId="2245F2F1">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磋商响应声明</w:t>
      </w:r>
    </w:p>
    <w:p w14:paraId="6CB4D45B">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二、</w:t>
      </w:r>
      <w:r>
        <w:rPr>
          <w:rFonts w:hint="eastAsia" w:ascii="宋体" w:hAnsi="宋体" w:eastAsia="宋体" w:cs="宋体"/>
          <w:sz w:val="21"/>
          <w:szCs w:val="21"/>
        </w:rPr>
        <w:t>保证金</w:t>
      </w:r>
    </w:p>
    <w:p w14:paraId="12CA63F8">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供应商的资格证明文件</w:t>
      </w:r>
    </w:p>
    <w:p w14:paraId="02561CA9">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四、项目实施方案</w:t>
      </w:r>
    </w:p>
    <w:p w14:paraId="3FFDFC33">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技术/商务响应与偏离表</w:t>
      </w:r>
    </w:p>
    <w:p w14:paraId="1F1E5343">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提供政府采购政策的证明材料</w:t>
      </w:r>
    </w:p>
    <w:p w14:paraId="6141735B">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报价一览表及报价文件</w:t>
      </w:r>
    </w:p>
    <w:p w14:paraId="0367068D">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八、</w:t>
      </w:r>
      <w:r>
        <w:rPr>
          <w:rFonts w:hint="eastAsia" w:ascii="宋体" w:hAnsi="宋体" w:eastAsia="宋体" w:cs="宋体"/>
          <w:sz w:val="21"/>
          <w:szCs w:val="21"/>
        </w:rPr>
        <w:t>供应商认为需提供的</w:t>
      </w:r>
      <w:r>
        <w:rPr>
          <w:rFonts w:hint="eastAsia" w:hAnsi="宋体" w:cs="宋体"/>
          <w:sz w:val="21"/>
          <w:szCs w:val="21"/>
          <w:lang w:eastAsia="zh-CN"/>
        </w:rPr>
        <w:t>其他</w:t>
      </w:r>
      <w:r>
        <w:rPr>
          <w:rFonts w:hint="eastAsia" w:ascii="宋体" w:hAnsi="宋体" w:eastAsia="宋体" w:cs="宋体"/>
          <w:sz w:val="21"/>
          <w:szCs w:val="21"/>
        </w:rPr>
        <w:t>资料</w:t>
      </w:r>
    </w:p>
    <w:p w14:paraId="24DBE707">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九、</w:t>
      </w:r>
      <w:r>
        <w:rPr>
          <w:rFonts w:hint="eastAsia" w:ascii="宋体" w:hAnsi="宋体" w:eastAsia="宋体" w:cs="宋体"/>
          <w:sz w:val="21"/>
          <w:szCs w:val="21"/>
        </w:rPr>
        <w:t>最终报价表</w:t>
      </w:r>
    </w:p>
    <w:p w14:paraId="0EE2569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在磋商过程中，供应商根据</w:t>
      </w:r>
      <w:r>
        <w:rPr>
          <w:rFonts w:hint="eastAsia" w:ascii="宋体" w:hAnsi="宋体" w:eastAsia="宋体" w:cs="宋体"/>
          <w:kern w:val="0"/>
          <w:sz w:val="21"/>
          <w:szCs w:val="21"/>
        </w:rPr>
        <w:t>磋商小组</w:t>
      </w:r>
      <w:r>
        <w:rPr>
          <w:rFonts w:hint="eastAsia" w:ascii="宋体" w:hAnsi="宋体" w:eastAsia="宋体" w:cs="宋体"/>
          <w:bCs/>
          <w:sz w:val="21"/>
          <w:szCs w:val="21"/>
        </w:rPr>
        <w:t>书面形式要求</w:t>
      </w:r>
      <w:r>
        <w:rPr>
          <w:rFonts w:hint="eastAsia" w:ascii="宋体" w:hAnsi="宋体" w:eastAsia="宋体" w:cs="宋体"/>
          <w:kern w:val="0"/>
          <w:sz w:val="21"/>
          <w:szCs w:val="21"/>
        </w:rPr>
        <w:t>提交的</w:t>
      </w:r>
      <w:r>
        <w:rPr>
          <w:rFonts w:hint="eastAsia" w:ascii="宋体" w:hAnsi="宋体" w:eastAsia="宋体" w:cs="宋体"/>
          <w:sz w:val="21"/>
          <w:szCs w:val="21"/>
        </w:rPr>
        <w:t>最后报价</w:t>
      </w:r>
      <w:r>
        <w:rPr>
          <w:rFonts w:hint="eastAsia" w:ascii="宋体" w:hAnsi="宋体" w:eastAsia="宋体" w:cs="宋体"/>
          <w:sz w:val="21"/>
          <w:szCs w:val="21"/>
          <w:lang w:eastAsia="zh-CN"/>
        </w:rPr>
        <w:t>（</w:t>
      </w:r>
      <w:r>
        <w:rPr>
          <w:rFonts w:hint="eastAsia" w:ascii="宋体" w:hAnsi="宋体" w:eastAsia="宋体" w:cs="宋体"/>
          <w:sz w:val="21"/>
          <w:szCs w:val="21"/>
        </w:rPr>
        <w:t>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w:t>
      </w:r>
      <w:r>
        <w:rPr>
          <w:rFonts w:hint="eastAsia" w:ascii="宋体" w:hAnsi="宋体" w:eastAsia="宋体" w:cs="宋体"/>
          <w:sz w:val="21"/>
          <w:szCs w:val="21"/>
        </w:rPr>
        <w:t>最后报价</w:t>
      </w:r>
      <w:r>
        <w:rPr>
          <w:rFonts w:hint="eastAsia" w:ascii="宋体" w:hAnsi="宋体" w:eastAsia="宋体" w:cs="宋体"/>
          <w:sz w:val="21"/>
          <w:szCs w:val="21"/>
          <w:lang w:eastAsia="zh-CN"/>
        </w:rPr>
        <w:t>）</w:t>
      </w:r>
      <w:r>
        <w:rPr>
          <w:rFonts w:hint="eastAsia" w:ascii="宋体" w:hAnsi="宋体" w:eastAsia="宋体" w:cs="宋体"/>
          <w:sz w:val="21"/>
          <w:szCs w:val="21"/>
        </w:rPr>
        <w:t>是响应文件的有效组成部分。</w:t>
      </w:r>
    </w:p>
    <w:p w14:paraId="5BCEC2E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kern w:val="0"/>
          <w:sz w:val="21"/>
          <w:szCs w:val="21"/>
        </w:rPr>
        <w:t>磋商文件规定可能发生实质性变动的，供应商应当在</w:t>
      </w:r>
      <w:r>
        <w:rPr>
          <w:rFonts w:hint="eastAsia" w:ascii="宋体" w:hAnsi="宋体" w:eastAsia="宋体" w:cs="宋体"/>
          <w:sz w:val="21"/>
          <w:szCs w:val="21"/>
        </w:rPr>
        <w:t>《技术/商务响应与偏离表》中对应内容注明。</w:t>
      </w:r>
    </w:p>
    <w:p w14:paraId="6961E28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根据</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第四十二条的规定，供应商无论成交与否，其响应文件不予退还。</w:t>
      </w:r>
    </w:p>
    <w:p w14:paraId="0922D37E">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.报价</w:t>
      </w:r>
    </w:p>
    <w:p w14:paraId="08A1678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.1供应商应当根据磋商文件要求和范围，以</w:t>
      </w:r>
      <w:r>
        <w:rPr>
          <w:rFonts w:hint="eastAsia" w:ascii="宋体" w:hAnsi="宋体" w:eastAsia="宋体" w:cs="宋体"/>
          <w:bCs/>
          <w:sz w:val="21"/>
          <w:szCs w:val="21"/>
        </w:rPr>
        <w:t>人民币</w:t>
      </w:r>
      <w:r>
        <w:rPr>
          <w:rFonts w:hint="eastAsia" w:ascii="宋体" w:hAnsi="宋体" w:eastAsia="宋体" w:cs="宋体"/>
          <w:sz w:val="21"/>
          <w:szCs w:val="21"/>
        </w:rPr>
        <w:t>报价，以元为单位，保留小数点后两位。</w:t>
      </w:r>
    </w:p>
    <w:p w14:paraId="636C3712">
      <w:pPr>
        <w:pStyle w:val="7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.2供应商应按第六章“响应文件组成”格式填写。</w:t>
      </w:r>
    </w:p>
    <w:p w14:paraId="5424E4F8">
      <w:pPr>
        <w:pStyle w:val="7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16.3</w:t>
      </w:r>
      <w:r>
        <w:rPr>
          <w:rFonts w:hint="eastAsia" w:ascii="宋体" w:hAnsi="宋体" w:eastAsia="宋体" w:cs="宋体"/>
          <w:sz w:val="21"/>
          <w:szCs w:val="21"/>
          <w:lang w:val="en-US" w:eastAsia="zh-CN"/>
        </w:rPr>
        <w:t>供应商的报价</w:t>
      </w:r>
      <w:r>
        <w:rPr>
          <w:rFonts w:hint="eastAsia" w:ascii="宋体" w:hAnsi="宋体" w:eastAsia="宋体" w:cs="宋体"/>
          <w:sz w:val="21"/>
          <w:szCs w:val="21"/>
        </w:rPr>
        <w:t>在合同执行过程中是固定不变的，不得以任何理由予以变更。以可变动价格提交的报价将被认为是非实质响应而被拒绝。</w:t>
      </w:r>
    </w:p>
    <w:p w14:paraId="0CA28626">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rPr>
        <w:t>供应商</w:t>
      </w:r>
      <w:r>
        <w:rPr>
          <w:rFonts w:hint="eastAsia" w:ascii="宋体" w:hAnsi="宋体" w:eastAsia="宋体" w:cs="宋体"/>
          <w:sz w:val="21"/>
          <w:szCs w:val="21"/>
        </w:rPr>
        <w:t>的报价不得超过采购项目预算，采购项目预算或其计算方法见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29480114">
      <w:pPr>
        <w:pStyle w:val="22"/>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val="en-US" w:eastAsia="zh-CN"/>
        </w:rPr>
        <w:t>7</w:t>
      </w:r>
      <w:r>
        <w:rPr>
          <w:rFonts w:hint="eastAsia" w:ascii="宋体" w:hAnsi="宋体" w:eastAsia="宋体" w:cs="宋体"/>
          <w:b/>
          <w:sz w:val="21"/>
          <w:szCs w:val="21"/>
        </w:rPr>
        <w:t>.供应商符合磋商文件规定的证明文件。</w:t>
      </w:r>
    </w:p>
    <w:p w14:paraId="2129D3E3">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lang w:val="zh-CN"/>
        </w:rPr>
        <w:t>.1供应商应提交满足本章第3.1款规定的资格条件要求的证明文件，该证明文件作为响应文件的一部分。</w:t>
      </w:r>
    </w:p>
    <w:p w14:paraId="2DAE1684">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.2</w:t>
      </w:r>
      <w:r>
        <w:rPr>
          <w:rFonts w:hint="eastAsia" w:ascii="宋体" w:hAnsi="宋体" w:eastAsia="宋体" w:cs="宋体"/>
          <w:kern w:val="0"/>
          <w:sz w:val="21"/>
          <w:szCs w:val="21"/>
          <w:lang w:val="zh-CN"/>
        </w:rPr>
        <w:t>供应商</w:t>
      </w:r>
      <w:r>
        <w:rPr>
          <w:rFonts w:hint="eastAsia" w:ascii="宋体" w:hAnsi="宋体" w:eastAsia="宋体" w:cs="宋体"/>
          <w:sz w:val="21"/>
          <w:szCs w:val="21"/>
        </w:rPr>
        <w:t>为联合体形式的，则应提交联合体各方资格文件、联合体协议，否则将视为非实质响应而被拒绝。</w:t>
      </w:r>
    </w:p>
    <w:p w14:paraId="31492244">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另有规定外，供应商提供的货物及服务不是供应商制造或拥有的</w:t>
      </w:r>
      <w:r>
        <w:rPr>
          <w:rFonts w:hint="eastAsia" w:hAnsi="宋体" w:cs="宋体"/>
          <w:sz w:val="21"/>
          <w:szCs w:val="21"/>
          <w:lang w:eastAsia="zh-CN"/>
        </w:rPr>
        <w:t>，</w:t>
      </w:r>
      <w:r>
        <w:rPr>
          <w:rFonts w:hint="eastAsia" w:ascii="宋体" w:hAnsi="宋体" w:eastAsia="宋体" w:cs="宋体"/>
          <w:sz w:val="21"/>
          <w:szCs w:val="21"/>
        </w:rPr>
        <w:t>则应当提供经销</w:t>
      </w:r>
      <w:r>
        <w:rPr>
          <w:rFonts w:hint="eastAsia" w:hAnsi="宋体" w:cs="宋体"/>
          <w:sz w:val="21"/>
          <w:szCs w:val="21"/>
          <w:lang w:eastAsia="zh-CN"/>
        </w:rPr>
        <w:t>或</w:t>
      </w:r>
      <w:r>
        <w:rPr>
          <w:rFonts w:hint="eastAsia" w:ascii="宋体" w:hAnsi="宋体" w:eastAsia="宋体" w:cs="宋体"/>
          <w:sz w:val="21"/>
          <w:szCs w:val="21"/>
        </w:rPr>
        <w:t>代理磋商货物</w:t>
      </w:r>
      <w:r>
        <w:rPr>
          <w:rFonts w:hint="eastAsia" w:hAnsi="宋体" w:cs="宋体"/>
          <w:sz w:val="21"/>
          <w:szCs w:val="21"/>
          <w:lang w:eastAsia="zh-CN"/>
        </w:rPr>
        <w:t>或</w:t>
      </w:r>
      <w:r>
        <w:rPr>
          <w:rFonts w:hint="eastAsia" w:ascii="宋体" w:hAnsi="宋体" w:eastAsia="宋体" w:cs="宋体"/>
          <w:sz w:val="21"/>
          <w:szCs w:val="21"/>
        </w:rPr>
        <w:t>为磋商货物提供售后服务的证明文件。</w:t>
      </w:r>
    </w:p>
    <w:p w14:paraId="245B571D">
      <w:pPr>
        <w:pStyle w:val="22"/>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18.</w:t>
      </w:r>
      <w:r>
        <w:rPr>
          <w:rFonts w:hint="eastAsia" w:ascii="宋体" w:hAnsi="宋体" w:eastAsia="宋体" w:cs="宋体"/>
          <w:b/>
          <w:color w:val="auto"/>
          <w:sz w:val="21"/>
          <w:szCs w:val="21"/>
          <w:highlight w:val="none"/>
        </w:rPr>
        <w:t>样品提供</w:t>
      </w:r>
    </w:p>
    <w:p w14:paraId="3E8BE1CB">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18.1 </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在磋商时提供样品的，</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有以下情形之一的，在评审时将其视为无效响应。</w:t>
      </w:r>
    </w:p>
    <w:p w14:paraId="799D393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规定的提交时间、地点提交的；</w:t>
      </w:r>
    </w:p>
    <w:p w14:paraId="2C81F600">
      <w:pPr>
        <w:keepNext w:val="0"/>
        <w:keepLines w:val="0"/>
        <w:pageBreakBefore w:val="0"/>
        <w:widowControl w:val="0"/>
        <w:kinsoku/>
        <w:wordWrap/>
        <w:overflowPunct/>
        <w:topLinePunct w:val="0"/>
        <w:autoSpaceDE/>
        <w:autoSpaceDN/>
        <w:bidi w:val="0"/>
        <w:adjustRightInd w:val="0"/>
        <w:snapToGrid w:val="0"/>
        <w:spacing w:line="500" w:lineRule="exact"/>
        <w:ind w:right="-840" w:rightChars="-40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提供的样品与响应文件中提供样品的型号、规格不一致的。</w:t>
      </w:r>
    </w:p>
    <w:p w14:paraId="09D77685">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磋商</w:t>
      </w:r>
      <w:r>
        <w:rPr>
          <w:rFonts w:hint="eastAsia" w:ascii="宋体" w:hAnsi="宋体" w:eastAsia="宋体" w:cs="宋体"/>
          <w:b/>
          <w:bCs/>
          <w:sz w:val="21"/>
          <w:szCs w:val="21"/>
        </w:rPr>
        <w:t>保证金</w:t>
      </w:r>
    </w:p>
    <w:p w14:paraId="32DBB8FA">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.1</w:t>
      </w:r>
      <w:r>
        <w:rPr>
          <w:rFonts w:hint="eastAsia" w:ascii="宋体" w:hAnsi="宋体" w:eastAsia="宋体" w:cs="宋体"/>
          <w:b/>
          <w:sz w:val="21"/>
          <w:szCs w:val="21"/>
        </w:rPr>
        <w:t>磋商须知前附表</w:t>
      </w:r>
      <w:r>
        <w:rPr>
          <w:rFonts w:hint="eastAsia" w:ascii="宋体" w:hAnsi="宋体" w:eastAsia="宋体" w:cs="宋体"/>
          <w:sz w:val="21"/>
          <w:szCs w:val="21"/>
        </w:rPr>
        <w:t>规定交纳</w:t>
      </w:r>
      <w:r>
        <w:rPr>
          <w:rFonts w:hint="eastAsia" w:ascii="宋体" w:hAnsi="宋体" w:eastAsia="宋体" w:cs="宋体"/>
          <w:bCs/>
          <w:sz w:val="21"/>
          <w:szCs w:val="21"/>
        </w:rPr>
        <w:t>保证金的</w:t>
      </w:r>
      <w:r>
        <w:rPr>
          <w:rFonts w:hint="eastAsia" w:ascii="宋体" w:hAnsi="宋体" w:eastAsia="宋体" w:cs="宋体"/>
          <w:sz w:val="21"/>
          <w:szCs w:val="21"/>
        </w:rPr>
        <w:t>，应按</w:t>
      </w:r>
      <w:r>
        <w:rPr>
          <w:rFonts w:hint="eastAsia" w:ascii="宋体" w:hAnsi="宋体" w:eastAsia="宋体" w:cs="宋体"/>
          <w:b/>
          <w:sz w:val="21"/>
          <w:szCs w:val="21"/>
        </w:rPr>
        <w:t>磋商须知前附表</w:t>
      </w:r>
      <w:r>
        <w:rPr>
          <w:rFonts w:hint="eastAsia" w:ascii="宋体" w:hAnsi="宋体" w:eastAsia="宋体" w:cs="宋体"/>
          <w:sz w:val="21"/>
          <w:szCs w:val="21"/>
        </w:rPr>
        <w:t>规定的</w:t>
      </w:r>
      <w:r>
        <w:rPr>
          <w:rFonts w:hint="eastAsia" w:ascii="宋体" w:hAnsi="宋体" w:eastAsia="宋体" w:cs="宋体"/>
          <w:bCs/>
          <w:sz w:val="21"/>
          <w:szCs w:val="21"/>
        </w:rPr>
        <w:t>保证金形式交纳，不得以现金方式交纳</w:t>
      </w:r>
      <w:r>
        <w:rPr>
          <w:rFonts w:hint="eastAsia" w:ascii="宋体" w:hAnsi="宋体" w:eastAsia="宋体" w:cs="宋体"/>
          <w:sz w:val="21"/>
          <w:szCs w:val="21"/>
        </w:rPr>
        <w:t>，在提交首次响应文件截止时间前，</w:t>
      </w:r>
      <w:r>
        <w:rPr>
          <w:rFonts w:hint="eastAsia" w:ascii="宋体" w:hAnsi="宋体" w:eastAsia="宋体" w:cs="宋体"/>
          <w:bCs/>
          <w:sz w:val="21"/>
          <w:szCs w:val="21"/>
        </w:rPr>
        <w:t>向采购代理机构交纳不超过</w:t>
      </w:r>
      <w:r>
        <w:rPr>
          <w:rFonts w:hint="eastAsia" w:ascii="宋体" w:hAnsi="宋体" w:eastAsia="宋体" w:cs="宋体"/>
          <w:sz w:val="21"/>
          <w:szCs w:val="21"/>
          <w:lang w:val="zh-CN"/>
        </w:rPr>
        <w:t>采购项目预算2﹪</w:t>
      </w:r>
      <w:r>
        <w:rPr>
          <w:rFonts w:hint="eastAsia" w:ascii="宋体" w:hAnsi="宋体" w:eastAsia="宋体" w:cs="宋体"/>
          <w:bCs/>
          <w:sz w:val="21"/>
          <w:szCs w:val="21"/>
        </w:rPr>
        <w:t>的保证金</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数额采用四舍五入，计算至元</w:t>
      </w:r>
      <w:r>
        <w:rPr>
          <w:rFonts w:hint="eastAsia" w:ascii="宋体" w:hAnsi="宋体" w:eastAsia="宋体" w:cs="宋体"/>
          <w:bCs/>
          <w:sz w:val="21"/>
          <w:szCs w:val="21"/>
          <w:lang w:eastAsia="zh-CN"/>
        </w:rPr>
        <w:t>）</w:t>
      </w:r>
      <w:r>
        <w:rPr>
          <w:rFonts w:hint="eastAsia" w:ascii="宋体" w:hAnsi="宋体" w:eastAsia="宋体" w:cs="宋体"/>
          <w:sz w:val="21"/>
          <w:szCs w:val="21"/>
        </w:rPr>
        <w:t>。</w:t>
      </w:r>
      <w:r>
        <w:rPr>
          <w:rFonts w:hint="eastAsia" w:ascii="宋体" w:hAnsi="宋体" w:eastAsia="宋体" w:cs="宋体"/>
          <w:bCs/>
          <w:sz w:val="21"/>
          <w:szCs w:val="21"/>
        </w:rPr>
        <w:t>保证金有效期应当与</w:t>
      </w:r>
      <w:r>
        <w:rPr>
          <w:rFonts w:hint="eastAsia" w:ascii="宋体" w:hAnsi="宋体" w:eastAsia="宋体" w:cs="宋体"/>
          <w:sz w:val="21"/>
          <w:szCs w:val="21"/>
        </w:rPr>
        <w:t>本章第20.1</w:t>
      </w:r>
      <w:r>
        <w:rPr>
          <w:rFonts w:hint="eastAsia" w:ascii="宋体" w:hAnsi="宋体" w:eastAsia="宋体" w:cs="宋体"/>
          <w:sz w:val="21"/>
          <w:szCs w:val="21"/>
          <w:lang w:val="zh-CN"/>
        </w:rPr>
        <w:t>款</w:t>
      </w:r>
      <w:r>
        <w:rPr>
          <w:rFonts w:hint="eastAsia" w:ascii="宋体" w:hAnsi="宋体" w:eastAsia="宋体" w:cs="宋体"/>
          <w:sz w:val="21"/>
          <w:szCs w:val="21"/>
        </w:rPr>
        <w:t>规定的</w:t>
      </w:r>
      <w:r>
        <w:rPr>
          <w:rFonts w:hint="eastAsia" w:ascii="宋体" w:hAnsi="宋体" w:eastAsia="宋体" w:cs="宋体"/>
          <w:bCs/>
          <w:sz w:val="21"/>
          <w:szCs w:val="21"/>
        </w:rPr>
        <w:t>响应文件有效期一致。</w:t>
      </w:r>
    </w:p>
    <w:p w14:paraId="0948A2A3">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.2</w:t>
      </w:r>
      <w:r>
        <w:rPr>
          <w:rFonts w:hint="eastAsia" w:ascii="宋体" w:hAnsi="宋体" w:eastAsia="宋体" w:cs="宋体"/>
          <w:kern w:val="0"/>
          <w:sz w:val="21"/>
          <w:szCs w:val="21"/>
          <w:lang w:val="zh-CN"/>
        </w:rPr>
        <w:t>供应商为联合体的，可以由联合体中的一方或者共同交纳保证金，其交纳的保证金，对联合体各方均具有约束力。</w:t>
      </w:r>
    </w:p>
    <w:p w14:paraId="22B5486E">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.3未按磋商文件规定提交保证金的，</w:t>
      </w:r>
      <w:r>
        <w:rPr>
          <w:rFonts w:hint="eastAsia" w:ascii="宋体" w:hAnsi="宋体" w:eastAsia="宋体" w:cs="宋体"/>
          <w:bCs/>
          <w:sz w:val="21"/>
          <w:szCs w:val="21"/>
        </w:rPr>
        <w:t>采购人或采购代理机构应当拒绝接收供应商的响应文件</w:t>
      </w:r>
      <w:r>
        <w:rPr>
          <w:rFonts w:hint="eastAsia" w:ascii="宋体" w:hAnsi="宋体" w:eastAsia="宋体" w:cs="宋体"/>
          <w:sz w:val="21"/>
          <w:szCs w:val="21"/>
        </w:rPr>
        <w:t>。</w:t>
      </w:r>
    </w:p>
    <w:p w14:paraId="45011226">
      <w:pPr>
        <w:pStyle w:val="22"/>
        <w:pageBreakBefore w:val="0"/>
        <w:tabs>
          <w:tab w:val="left" w:pos="6300"/>
        </w:tabs>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.4采购代理机构在成交通知书发出后5个工作日内退还未成交供应商的保证金；在采购合同</w:t>
      </w:r>
      <w:r>
        <w:rPr>
          <w:rFonts w:hint="eastAsia" w:hAnsi="宋体" w:cs="宋体"/>
          <w:sz w:val="21"/>
          <w:szCs w:val="21"/>
          <w:lang w:eastAsia="zh-CN"/>
        </w:rPr>
        <w:t>签订</w:t>
      </w:r>
      <w:r>
        <w:rPr>
          <w:rFonts w:hint="eastAsia" w:ascii="宋体" w:hAnsi="宋体" w:eastAsia="宋体" w:cs="宋体"/>
          <w:sz w:val="21"/>
          <w:szCs w:val="21"/>
        </w:rPr>
        <w:t>后5个工作日内退还成交供应商的保证金，但因供应商自身原因导致无法及时退还的除外。</w:t>
      </w:r>
    </w:p>
    <w:p w14:paraId="7F338668">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.5有下列情形之一的，保证金不予退还，并上缴财政部门：</w:t>
      </w:r>
    </w:p>
    <w:p w14:paraId="4B59C8AE">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（1）供应商在提交首次响应文件截止时间后撤回响应文件的；</w:t>
      </w:r>
    </w:p>
    <w:p w14:paraId="37FAD058">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（2）供应商在响应文件中提供虚假材料的；</w:t>
      </w:r>
    </w:p>
    <w:p w14:paraId="55117F5B">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（3）确定成交结果后，无正当理由放弃成交资格的；</w:t>
      </w:r>
    </w:p>
    <w:p w14:paraId="49DAFAA5">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）除因不可抗力或磋商文件认可的情形以外，成交供应商不与采购人签订合同的；</w:t>
      </w:r>
    </w:p>
    <w:p w14:paraId="7D4A7628">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）供应商与采购人、其他供应商或者采购代理机构恶意串通的；</w:t>
      </w:r>
    </w:p>
    <w:p w14:paraId="4EC392FF">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）磋商文件规定的其他情形。</w:t>
      </w:r>
    </w:p>
    <w:p w14:paraId="520B5EBA">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w:t>
      </w:r>
      <w:r>
        <w:rPr>
          <w:rFonts w:hint="eastAsia" w:ascii="宋体" w:hAnsi="宋体" w:eastAsia="宋体" w:cs="宋体"/>
          <w:b/>
          <w:sz w:val="21"/>
          <w:szCs w:val="21"/>
        </w:rPr>
        <w:t>响应文件有效期</w:t>
      </w:r>
    </w:p>
    <w:p w14:paraId="31BC7807">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.1响应文件有效期见</w:t>
      </w:r>
      <w:r>
        <w:rPr>
          <w:rFonts w:hint="eastAsia" w:ascii="宋体" w:hAnsi="宋体" w:eastAsia="宋体" w:cs="宋体"/>
          <w:b/>
          <w:sz w:val="21"/>
          <w:szCs w:val="21"/>
        </w:rPr>
        <w:t>磋商须知前附表</w:t>
      </w:r>
      <w:r>
        <w:rPr>
          <w:rFonts w:hint="eastAsia" w:ascii="宋体" w:hAnsi="宋体" w:eastAsia="宋体" w:cs="宋体"/>
          <w:sz w:val="21"/>
          <w:szCs w:val="21"/>
        </w:rPr>
        <w:t>，在此期间响应文件对供应商具有法律约束力，从</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之日起计算。响应文件有效期不足的将被视为无效响应。</w:t>
      </w:r>
    </w:p>
    <w:p w14:paraId="6AB2AB96">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21</w:t>
      </w:r>
      <w:r>
        <w:rPr>
          <w:rFonts w:hint="eastAsia" w:ascii="宋体" w:hAnsi="宋体" w:eastAsia="宋体" w:cs="宋体"/>
          <w:b/>
          <w:bCs/>
          <w:sz w:val="21"/>
          <w:szCs w:val="21"/>
        </w:rPr>
        <w:t>.响应文件的签署及规定</w:t>
      </w:r>
    </w:p>
    <w:p w14:paraId="40EF3FCB">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.1</w:t>
      </w:r>
      <w:r>
        <w:rPr>
          <w:rFonts w:hint="eastAsia" w:ascii="宋体" w:hAnsi="宋体" w:eastAsia="宋体" w:cs="宋体"/>
          <w:sz w:val="21"/>
          <w:szCs w:val="21"/>
          <w:highlight w:val="none"/>
        </w:rPr>
        <w:t>响应文件的正本和副本应</w:t>
      </w:r>
      <w:r>
        <w:rPr>
          <w:rFonts w:hint="eastAsia" w:hAnsi="宋体" w:cs="宋体"/>
          <w:sz w:val="21"/>
          <w:szCs w:val="21"/>
          <w:highlight w:val="none"/>
          <w:lang w:val="en-US" w:eastAsia="zh-CN"/>
        </w:rPr>
        <w:t>胶装</w:t>
      </w:r>
      <w:r>
        <w:rPr>
          <w:rFonts w:hint="eastAsia" w:ascii="宋体" w:hAnsi="宋体" w:eastAsia="宋体" w:cs="宋体"/>
          <w:sz w:val="21"/>
          <w:szCs w:val="21"/>
          <w:highlight w:val="none"/>
        </w:rPr>
        <w:t>成册，</w:t>
      </w:r>
      <w:r>
        <w:rPr>
          <w:rFonts w:hint="eastAsia" w:ascii="宋体" w:hAnsi="宋体" w:eastAsia="宋体" w:cs="宋体"/>
          <w:sz w:val="21"/>
          <w:szCs w:val="21"/>
        </w:rPr>
        <w:t>正本一份，副本份数见</w:t>
      </w:r>
      <w:r>
        <w:rPr>
          <w:rFonts w:hint="eastAsia" w:ascii="宋体" w:hAnsi="宋体" w:eastAsia="宋体" w:cs="宋体"/>
          <w:b/>
          <w:sz w:val="21"/>
          <w:szCs w:val="21"/>
        </w:rPr>
        <w:t>磋商须知前附表</w:t>
      </w:r>
      <w:r>
        <w:rPr>
          <w:rFonts w:hint="eastAsia" w:ascii="宋体" w:hAnsi="宋体" w:eastAsia="宋体" w:cs="宋体"/>
          <w:sz w:val="21"/>
          <w:szCs w:val="21"/>
        </w:rPr>
        <w:t>。正本和副本的封面上应标记“正本”或“副本”的字样，当正本和副本有差异时，以正本为准。</w:t>
      </w:r>
    </w:p>
    <w:p w14:paraId="7E2EC6C0">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.2响应文件正本和副本应按磋商文件要求签章处盖单位章和由法定代表人或其委托代理人签字；任何加行、涂改、增删，应有法定代表人或其委托代理人在旁边签字。否则，将导致响应文件无效。</w:t>
      </w:r>
    </w:p>
    <w:p w14:paraId="610064B2">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.3在磋商过程中，供应商按磋商文件规定和磋商小组要求提交的最后报价</w:t>
      </w:r>
      <w:r>
        <w:rPr>
          <w:rFonts w:hint="eastAsia" w:hAnsi="宋体" w:cs="宋体"/>
          <w:sz w:val="21"/>
          <w:szCs w:val="21"/>
          <w:lang w:eastAsia="zh-CN"/>
        </w:rPr>
        <w:t>（</w:t>
      </w:r>
      <w:r>
        <w:rPr>
          <w:rFonts w:hint="eastAsia" w:ascii="宋体" w:hAnsi="宋体" w:eastAsia="宋体" w:cs="宋体"/>
          <w:sz w:val="21"/>
          <w:szCs w:val="21"/>
        </w:rPr>
        <w:t>或者</w:t>
      </w:r>
      <w:r>
        <w:rPr>
          <w:rFonts w:hint="eastAsia" w:ascii="宋体" w:hAnsi="宋体" w:eastAsia="宋体" w:cs="宋体"/>
          <w:bCs/>
          <w:sz w:val="21"/>
          <w:szCs w:val="21"/>
        </w:rPr>
        <w:t>重</w:t>
      </w:r>
      <w:r>
        <w:rPr>
          <w:rFonts w:hint="eastAsia" w:ascii="宋体" w:hAnsi="宋体" w:eastAsia="宋体" w:cs="宋体"/>
          <w:sz w:val="21"/>
          <w:szCs w:val="21"/>
        </w:rPr>
        <w:t>新提交的响应文件和最后报价</w:t>
      </w:r>
      <w:r>
        <w:rPr>
          <w:rFonts w:hint="eastAsia" w:hAnsi="宋体" w:cs="宋体"/>
          <w:sz w:val="21"/>
          <w:szCs w:val="21"/>
          <w:lang w:eastAsia="zh-CN"/>
        </w:rPr>
        <w:t>）</w:t>
      </w:r>
      <w:r>
        <w:rPr>
          <w:rFonts w:hint="eastAsia" w:ascii="宋体" w:hAnsi="宋体" w:eastAsia="宋体" w:cs="宋体"/>
          <w:sz w:val="21"/>
          <w:szCs w:val="21"/>
        </w:rPr>
        <w:t>，可打印或用不</w:t>
      </w:r>
      <w:r>
        <w:rPr>
          <w:rFonts w:hint="eastAsia" w:hAnsi="宋体" w:cs="宋体"/>
          <w:sz w:val="21"/>
          <w:szCs w:val="21"/>
          <w:lang w:eastAsia="zh-CN"/>
        </w:rPr>
        <w:t>褪色</w:t>
      </w:r>
      <w:r>
        <w:rPr>
          <w:rFonts w:hint="eastAsia" w:ascii="宋体" w:hAnsi="宋体" w:eastAsia="宋体" w:cs="宋体"/>
          <w:sz w:val="21"/>
          <w:szCs w:val="21"/>
        </w:rPr>
        <w:t>墨水书写，但需经法定代表人或其委托代理人签字，或者加盖供应商单</w:t>
      </w:r>
      <w:r>
        <w:rPr>
          <w:rFonts w:hint="eastAsia" w:hAnsi="宋体" w:cs="宋体"/>
          <w:sz w:val="21"/>
          <w:szCs w:val="21"/>
          <w:lang w:eastAsia="zh-CN"/>
        </w:rPr>
        <w:t>位公</w:t>
      </w:r>
      <w:r>
        <w:rPr>
          <w:rFonts w:hint="eastAsia" w:ascii="宋体" w:hAnsi="宋体" w:eastAsia="宋体" w:cs="宋体"/>
          <w:sz w:val="21"/>
          <w:szCs w:val="21"/>
        </w:rPr>
        <w:t>章。否则，将导致响应文件无效。</w:t>
      </w:r>
    </w:p>
    <w:p w14:paraId="2083C65D">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2" w:name="_Toc3804"/>
      <w:r>
        <w:rPr>
          <w:rFonts w:hint="eastAsia" w:ascii="宋体" w:hAnsi="宋体" w:eastAsia="宋体" w:cs="宋体"/>
          <w:b/>
          <w:sz w:val="21"/>
          <w:szCs w:val="21"/>
        </w:rPr>
        <w:t>四、响应文件的递交</w:t>
      </w:r>
      <w:bookmarkEnd w:id="22"/>
    </w:p>
    <w:p w14:paraId="6C16E739">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的密封和标记</w:t>
      </w:r>
    </w:p>
    <w:p w14:paraId="595324A1">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.1响应文件应密封包装，加贴封条，并在封套的封口</w:t>
      </w:r>
      <w:r>
        <w:rPr>
          <w:rFonts w:hint="eastAsia" w:hAnsi="宋体" w:cs="宋体"/>
          <w:sz w:val="21"/>
          <w:szCs w:val="21"/>
          <w:lang w:eastAsia="zh-CN"/>
        </w:rPr>
        <w:t>处加</w:t>
      </w:r>
      <w:r>
        <w:rPr>
          <w:rFonts w:hint="eastAsia" w:ascii="宋体" w:hAnsi="宋体" w:eastAsia="宋体" w:cs="宋体"/>
          <w:sz w:val="21"/>
          <w:szCs w:val="21"/>
        </w:rPr>
        <w:t>盖供应商单</w:t>
      </w:r>
      <w:r>
        <w:rPr>
          <w:rFonts w:hint="eastAsia" w:hAnsi="宋体" w:cs="宋体"/>
          <w:sz w:val="21"/>
          <w:szCs w:val="21"/>
          <w:lang w:eastAsia="zh-CN"/>
        </w:rPr>
        <w:t>位公</w:t>
      </w:r>
      <w:r>
        <w:rPr>
          <w:rFonts w:hint="eastAsia" w:ascii="宋体" w:hAnsi="宋体" w:eastAsia="宋体" w:cs="宋体"/>
          <w:sz w:val="21"/>
          <w:szCs w:val="21"/>
        </w:rPr>
        <w:t>章或者由法定代表人或其委托代理人签字。</w:t>
      </w:r>
    </w:p>
    <w:p w14:paraId="3F22542E">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.2响应文件封套上应写明的内容见</w:t>
      </w:r>
      <w:r>
        <w:rPr>
          <w:rFonts w:hint="eastAsia" w:ascii="宋体" w:hAnsi="宋体" w:eastAsia="宋体" w:cs="宋体"/>
          <w:b/>
          <w:sz w:val="21"/>
          <w:szCs w:val="21"/>
        </w:rPr>
        <w:t>磋商须知前附表。</w:t>
      </w:r>
    </w:p>
    <w:p w14:paraId="1A49D8C4">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.3响应文件如果未按上述规定密封和加写标记，采购人或采购代理机构将拒绝接收。</w:t>
      </w:r>
    </w:p>
    <w:p w14:paraId="6B9543F6">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.响应文件的</w:t>
      </w:r>
      <w:r>
        <w:rPr>
          <w:rFonts w:hint="eastAsia" w:ascii="宋体" w:hAnsi="宋体" w:eastAsia="宋体" w:cs="宋体"/>
          <w:b/>
          <w:kern w:val="0"/>
          <w:sz w:val="21"/>
          <w:szCs w:val="21"/>
          <w:lang w:val="zh-CN"/>
        </w:rPr>
        <w:t>补充、修改或者撤回</w:t>
      </w:r>
    </w:p>
    <w:p w14:paraId="699C1BFA">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.1供应商在提交首次响应文件截止时</w:t>
      </w:r>
      <w:r>
        <w:rPr>
          <w:rFonts w:hint="eastAsia" w:hAnsi="宋体" w:cs="宋体"/>
          <w:sz w:val="21"/>
          <w:szCs w:val="21"/>
          <w:lang w:eastAsia="zh-CN"/>
        </w:rPr>
        <w:t>间之</w:t>
      </w:r>
      <w:r>
        <w:rPr>
          <w:rFonts w:hint="eastAsia" w:ascii="宋体" w:hAnsi="宋体" w:eastAsia="宋体" w:cs="宋体"/>
          <w:sz w:val="21"/>
          <w:szCs w:val="21"/>
        </w:rPr>
        <w:t>前，可以对所提交的首次响应文件进行补充、修改或者撤回，并书面通知采购人、采购代理机构。该通知应有供应商法定代表人或其委托代理人签字。</w:t>
      </w:r>
    </w:p>
    <w:p w14:paraId="4249798C">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.2</w:t>
      </w:r>
      <w:r>
        <w:rPr>
          <w:rFonts w:hint="eastAsia" w:ascii="宋体" w:hAnsi="宋体" w:eastAsia="宋体" w:cs="宋体"/>
          <w:sz w:val="21"/>
          <w:szCs w:val="21"/>
          <w:lang w:val="zh-CN"/>
        </w:rPr>
        <w:t>补充、修改的内容与响应文件不一致时，以补充、修改的内容为准。</w:t>
      </w:r>
    </w:p>
    <w:p w14:paraId="38135282">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.响应文件的递交与接收</w:t>
      </w:r>
    </w:p>
    <w:p w14:paraId="40C9F45A">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.1供应商应在</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前，将响应文件送达</w:t>
      </w:r>
      <w:r>
        <w:rPr>
          <w:rFonts w:hint="eastAsia" w:ascii="宋体" w:hAnsi="宋体" w:eastAsia="宋体" w:cs="宋体"/>
          <w:b/>
          <w:sz w:val="21"/>
          <w:szCs w:val="21"/>
        </w:rPr>
        <w:t>磋商须知前附表</w:t>
      </w:r>
      <w:r>
        <w:rPr>
          <w:rFonts w:hint="eastAsia" w:ascii="宋体" w:hAnsi="宋体" w:eastAsia="宋体" w:cs="宋体"/>
          <w:sz w:val="21"/>
          <w:szCs w:val="21"/>
        </w:rPr>
        <w:t>中指定的地点。</w:t>
      </w:r>
      <w:r>
        <w:rPr>
          <w:rFonts w:hint="eastAsia" w:ascii="宋体" w:hAnsi="宋体" w:eastAsia="宋体" w:cs="宋体"/>
          <w:kern w:val="0"/>
          <w:sz w:val="21"/>
          <w:szCs w:val="21"/>
        </w:rPr>
        <w:t>在截止时间后送达的响应文件，采购人、采购代理机构或者磋商小组应当拒收。</w:t>
      </w:r>
    </w:p>
    <w:p w14:paraId="0FD328C0">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.2在提交首次响应文件截止时间后，由</w:t>
      </w:r>
      <w:r>
        <w:rPr>
          <w:rFonts w:hint="eastAsia" w:ascii="宋体" w:hAnsi="宋体" w:eastAsia="宋体" w:cs="宋体"/>
          <w:bCs/>
          <w:sz w:val="21"/>
          <w:szCs w:val="21"/>
        </w:rPr>
        <w:t>供应商代表</w:t>
      </w:r>
      <w:r>
        <w:rPr>
          <w:rFonts w:hint="eastAsia" w:ascii="宋体" w:hAnsi="宋体" w:eastAsia="宋体" w:cs="宋体"/>
          <w:sz w:val="21"/>
          <w:szCs w:val="21"/>
        </w:rPr>
        <w:t>当场查验</w:t>
      </w:r>
      <w:r>
        <w:rPr>
          <w:rFonts w:hint="eastAsia" w:ascii="宋体" w:hAnsi="宋体" w:eastAsia="宋体" w:cs="宋体"/>
          <w:bCs/>
          <w:sz w:val="21"/>
          <w:szCs w:val="21"/>
        </w:rPr>
        <w:t>响应文件</w:t>
      </w:r>
      <w:r>
        <w:rPr>
          <w:rFonts w:hint="eastAsia" w:ascii="宋体" w:hAnsi="宋体" w:eastAsia="宋体" w:cs="宋体"/>
          <w:sz w:val="21"/>
          <w:szCs w:val="21"/>
        </w:rPr>
        <w:t>的密封状况，采购人或</w:t>
      </w:r>
      <w:r>
        <w:rPr>
          <w:rFonts w:hint="eastAsia" w:ascii="宋体" w:hAnsi="宋体" w:eastAsia="宋体" w:cs="宋体"/>
          <w:bCs/>
          <w:sz w:val="21"/>
          <w:szCs w:val="21"/>
        </w:rPr>
        <w:t>采购代理机构</w:t>
      </w:r>
      <w:r>
        <w:rPr>
          <w:rFonts w:hint="eastAsia" w:ascii="宋体" w:hAnsi="宋体" w:eastAsia="宋体" w:cs="宋体"/>
          <w:sz w:val="21"/>
          <w:szCs w:val="21"/>
        </w:rPr>
        <w:t>不当场拆封</w:t>
      </w:r>
      <w:r>
        <w:rPr>
          <w:rFonts w:hint="eastAsia" w:ascii="宋体" w:hAnsi="宋体" w:eastAsia="宋体" w:cs="宋体"/>
          <w:bCs/>
          <w:sz w:val="21"/>
          <w:szCs w:val="21"/>
        </w:rPr>
        <w:t>响应文件</w:t>
      </w:r>
      <w:r>
        <w:rPr>
          <w:rFonts w:hint="eastAsia" w:ascii="宋体" w:hAnsi="宋体" w:eastAsia="宋体" w:cs="宋体"/>
          <w:sz w:val="21"/>
          <w:szCs w:val="21"/>
        </w:rPr>
        <w:t>。</w:t>
      </w:r>
    </w:p>
    <w:p w14:paraId="51F09156">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3" w:name="_Toc31598"/>
      <w:r>
        <w:rPr>
          <w:rFonts w:hint="eastAsia" w:ascii="宋体" w:hAnsi="宋体" w:eastAsia="宋体" w:cs="宋体"/>
          <w:b/>
          <w:sz w:val="21"/>
          <w:szCs w:val="21"/>
        </w:rPr>
        <w:t>五、响应文件的评审与磋商</w:t>
      </w:r>
      <w:bookmarkEnd w:id="23"/>
    </w:p>
    <w:p w14:paraId="31D4CE5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bookmarkStart w:id="24" w:name="_Toc21464"/>
      <w:r>
        <w:rPr>
          <w:rFonts w:hint="eastAsia" w:ascii="宋体" w:hAnsi="宋体" w:eastAsia="宋体" w:cs="宋体"/>
          <w:b/>
          <w:bCs w:val="0"/>
          <w:sz w:val="21"/>
          <w:szCs w:val="21"/>
        </w:rPr>
        <w:t>25.磋商程序</w:t>
      </w:r>
    </w:p>
    <w:p w14:paraId="23B58A02">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25.1磋商程序：响应文件审查、磋商（包括澄清）、响应文件评审、提出成交供应商。其中，磋商按本章第30.1</w:t>
      </w:r>
      <w:r>
        <w:rPr>
          <w:rFonts w:hint="eastAsia" w:ascii="宋体" w:hAnsi="宋体" w:eastAsia="宋体" w:cs="宋体"/>
          <w:b w:val="0"/>
          <w:bCs/>
          <w:sz w:val="21"/>
          <w:szCs w:val="21"/>
          <w:lang w:val="zh-CN"/>
        </w:rPr>
        <w:t>款或</w:t>
      </w:r>
      <w:r>
        <w:rPr>
          <w:rFonts w:hint="eastAsia" w:ascii="宋体" w:hAnsi="宋体" w:eastAsia="宋体" w:cs="宋体"/>
          <w:b w:val="0"/>
          <w:bCs/>
          <w:sz w:val="21"/>
          <w:szCs w:val="21"/>
        </w:rPr>
        <w:t>第30.2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情形进行。</w:t>
      </w:r>
    </w:p>
    <w:p w14:paraId="72456684">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26. 响应文件审查 </w:t>
      </w:r>
    </w:p>
    <w:p w14:paraId="63E9AD97">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26.1 资格性审查：根据本章第3.1项规定的供应商资格条件要求，对响应文件的资格证明等进行审查，以确定供应商是否具备磋商资格条件。</w:t>
      </w:r>
    </w:p>
    <w:p w14:paraId="49EBB99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26.2符合性审查</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对响应文件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包括首次提交的响应文件、重新提交的响应文件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的有效性、完整性和响应程度进行审查，以确定是否对磋商文件的实质性要求作出响应。</w:t>
      </w:r>
    </w:p>
    <w:p w14:paraId="70AB2521">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27.实质性响应</w:t>
      </w:r>
    </w:p>
    <w:p w14:paraId="4EA87CE5">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27.1实质性响应是指响应文件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包括首次响应文件、重新提交的响应文件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与磋商文件要求的所有条款、条件和规格相符，没有偏离。偏离指不满足</w:t>
      </w:r>
      <w:r>
        <w:rPr>
          <w:rFonts w:hint="eastAsia" w:ascii="宋体" w:hAnsi="宋体" w:eastAsia="宋体" w:cs="宋体"/>
          <w:b w:val="0"/>
          <w:bCs/>
          <w:sz w:val="21"/>
          <w:szCs w:val="21"/>
          <w:lang w:eastAsia="zh-CN"/>
        </w:rPr>
        <w:t>或</w:t>
      </w:r>
      <w:r>
        <w:rPr>
          <w:rFonts w:hint="eastAsia" w:ascii="宋体" w:hAnsi="宋体" w:eastAsia="宋体" w:cs="宋体"/>
          <w:b w:val="0"/>
          <w:bCs/>
          <w:sz w:val="21"/>
          <w:szCs w:val="21"/>
        </w:rPr>
        <w:t>不响应磋商文件的要求。</w:t>
      </w:r>
    </w:p>
    <w:p w14:paraId="295AE204">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27.2响应文件是否实质性响应磋商文件要求由磋商小组依据磋商文件规定认定。磋商小组决定响应文件的响应性只根据响应文件本身的真实无误的内容，而不依据外部的证据。</w:t>
      </w:r>
    </w:p>
    <w:p w14:paraId="62019CE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28.无效响应 </w:t>
      </w:r>
    </w:p>
    <w:p w14:paraId="7F384F0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28.1磋商小组在对资格性和符合性进行审查时，有下列情况之一的，</w:t>
      </w:r>
      <w:r>
        <w:rPr>
          <w:rFonts w:hint="eastAsia" w:ascii="宋体" w:hAnsi="宋体" w:eastAsia="宋体" w:cs="宋体"/>
          <w:b w:val="0"/>
          <w:bCs/>
          <w:sz w:val="21"/>
          <w:szCs w:val="21"/>
          <w:lang w:eastAsia="zh-CN"/>
        </w:rPr>
        <w:t>属于</w:t>
      </w:r>
      <w:r>
        <w:rPr>
          <w:rFonts w:hint="eastAsia" w:ascii="宋体" w:hAnsi="宋体" w:eastAsia="宋体" w:cs="宋体"/>
          <w:b w:val="0"/>
          <w:bCs/>
          <w:sz w:val="21"/>
          <w:szCs w:val="21"/>
        </w:rPr>
        <w:t>无效响应，磋商小组应当告知有关供应商：</w:t>
      </w:r>
    </w:p>
    <w:p w14:paraId="0D01AE1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（1）供应商不具备本章第3.1款规定的供应商资格条件要求，或存在本章第3.</w:t>
      </w: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款情形的；</w:t>
      </w:r>
    </w:p>
    <w:p w14:paraId="1B01C12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（2）联合体不符合本章第3.2款规定的；</w:t>
      </w:r>
    </w:p>
    <w:p w14:paraId="428C143B">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（3）应交未交磋商保证金或金额不足、磋商保证金缴纳形式不符合磋商文件要求的；</w:t>
      </w:r>
    </w:p>
    <w:p w14:paraId="11D0699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（4）响应文件未按照磋商文件要求签署、盖章的；</w:t>
      </w:r>
    </w:p>
    <w:p w14:paraId="5546F09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（4）响应文件不满足本章第27.1款规定的实质性要求的；</w:t>
      </w:r>
    </w:p>
    <w:p w14:paraId="799BCE4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（5）报价超过采购项目预算的；</w:t>
      </w:r>
    </w:p>
    <w:p w14:paraId="523AE09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（6）响应文件有效期不足的；</w:t>
      </w:r>
    </w:p>
    <w:p w14:paraId="6435E77C">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（7）响应文件不符合法律、规章、规范性文件和磋商文件规定及要求的。</w:t>
      </w:r>
    </w:p>
    <w:p w14:paraId="57F7E70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29.澄清</w:t>
      </w:r>
    </w:p>
    <w:p w14:paraId="34650B5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BFF374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D53AD1">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30.磋商</w:t>
      </w:r>
    </w:p>
    <w:p w14:paraId="083D7E9C">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6DD60F79">
      <w:pPr>
        <w:pageBreakBefore w:val="0"/>
        <w:kinsoku/>
        <w:wordWrap/>
        <w:overflowPunct/>
        <w:topLinePunct w:val="0"/>
        <w:bidi w:val="0"/>
        <w:adjustRightInd w:val="0"/>
        <w:snapToGrid w:val="0"/>
        <w:spacing w:beforeAutospacing="0" w:afterAutospacing="0" w:line="500" w:lineRule="exact"/>
        <w:ind w:firstLine="210" w:firstLineChars="1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（1）磋商结束后，磋商小组应当要求所有继续参加磋商的供应商在磋商小组规定时间内提交最后报价。</w:t>
      </w:r>
    </w:p>
    <w:p w14:paraId="3BB0119C">
      <w:pPr>
        <w:pageBreakBefore w:val="0"/>
        <w:kinsoku/>
        <w:wordWrap/>
        <w:overflowPunct/>
        <w:topLinePunct w:val="0"/>
        <w:bidi w:val="0"/>
        <w:adjustRightInd w:val="0"/>
        <w:snapToGrid w:val="0"/>
        <w:spacing w:beforeAutospacing="0" w:afterAutospacing="0" w:line="500" w:lineRule="exact"/>
        <w:ind w:firstLine="210" w:firstLineChars="1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（2）磋商文件明确可能发生实质性变动，但在磋商过程中磋商小组根据磋商情况认为磋商文件无需发生实质性变动的，磋商小组不另行通知。</w:t>
      </w:r>
    </w:p>
    <w:p w14:paraId="3036DCF2">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30.2本章第10.2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明确磋商文件实质性变动内容的，磋商小组可以组织多轮磋商。在每一轮磋商中，磋商小组可以根据磋商文件规定和磋商情况，对磋商文件的采购需求中的技术、服务要求以及合同草案条款作实质性变动</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磋商文件的实质性变动内容为磋商文件的组成部分</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，并以书面形式要求响应文件审查合格的供应商，在规定的截止时间前重新提交响应文件。磋商小组应当根据本章第26.2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规定对供应商重新提交的响应文件进行审查。供应商重新提交的响应文件审查不合格的，不得进入下一轮磋商，也不得要求提交最后报价。</w:t>
      </w:r>
    </w:p>
    <w:p w14:paraId="7B42D6E0">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（1）磋商文件能够详细列明采购需求的技术、服务要求的，磋商结束后，磋商小组应当要求所有继续参加磋商的供应商在规定时间内提交最后报价。</w:t>
      </w:r>
    </w:p>
    <w:p w14:paraId="22D5C80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9384046">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30.3 重新提交的响应文件或者最后报价应按本章第21.3</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规定，由其法定代表人或其委托代理人签字或者加盖供应商单位章，在规定时间内密封递交给磋商小组。</w:t>
      </w:r>
    </w:p>
    <w:p w14:paraId="17A5A3DD">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30.4</w:t>
      </w:r>
      <w:r>
        <w:rPr>
          <w:rFonts w:hint="eastAsia" w:ascii="宋体" w:hAnsi="宋体" w:eastAsia="宋体" w:cs="宋体"/>
          <w:b w:val="0"/>
          <w:bCs/>
          <w:sz w:val="21"/>
          <w:szCs w:val="21"/>
          <w:lang w:val="zh-CN"/>
        </w:rPr>
        <w:t>供应商的</w:t>
      </w:r>
      <w:r>
        <w:rPr>
          <w:rFonts w:hint="eastAsia" w:ascii="宋体" w:hAnsi="宋体" w:eastAsia="宋体" w:cs="宋体"/>
          <w:b w:val="0"/>
          <w:bCs/>
          <w:sz w:val="21"/>
          <w:szCs w:val="21"/>
        </w:rPr>
        <w:t>最</w:t>
      </w:r>
      <w:r>
        <w:rPr>
          <w:rFonts w:hint="eastAsia" w:ascii="宋体" w:hAnsi="宋体" w:eastAsia="宋体" w:cs="宋体"/>
          <w:b w:val="0"/>
          <w:bCs/>
          <w:sz w:val="21"/>
          <w:szCs w:val="21"/>
          <w:lang w:val="zh-CN"/>
        </w:rPr>
        <w:t>后</w:t>
      </w:r>
      <w:r>
        <w:rPr>
          <w:rFonts w:hint="eastAsia" w:ascii="宋体" w:hAnsi="宋体" w:eastAsia="宋体" w:cs="宋体"/>
          <w:b w:val="0"/>
          <w:bCs/>
          <w:sz w:val="21"/>
          <w:szCs w:val="21"/>
        </w:rPr>
        <w:t>报价及政府采购政策规定的价格扣除情况，磋商小组应召集所有参加最后报价的供应商当场开封</w:t>
      </w:r>
      <w:r>
        <w:rPr>
          <w:rFonts w:hint="eastAsia" w:ascii="宋体" w:hAnsi="宋体" w:eastAsia="宋体" w:cs="宋体"/>
          <w:b w:val="0"/>
          <w:bCs/>
          <w:sz w:val="21"/>
          <w:szCs w:val="21"/>
          <w:lang w:val="en-US" w:eastAsia="zh-CN"/>
        </w:rPr>
        <w:t>公布</w:t>
      </w:r>
      <w:r>
        <w:rPr>
          <w:rFonts w:hint="eastAsia" w:ascii="宋体" w:hAnsi="宋体" w:eastAsia="宋体" w:cs="宋体"/>
          <w:b w:val="0"/>
          <w:bCs/>
          <w:sz w:val="21"/>
          <w:szCs w:val="21"/>
        </w:rPr>
        <w:t>，并由供应商代表签字确认。</w:t>
      </w:r>
    </w:p>
    <w:p w14:paraId="144202D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30.5提交首次响应文件的供应商，在提交最后报价之前，可以根据磋商情况退出磋商，并书面通知采购代理机构或者磋商小组。该通知由供应商法定代表人或其委托代理人签字。采购代理机构按本章第19.4</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规定退还退出磋商的供应商的磋商保证金。</w:t>
      </w:r>
    </w:p>
    <w:p w14:paraId="1344B64D">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30.6提交首次响应文件的供应商，未按磋商文件规定及磋商小组要求提交最后报价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或者重新提交的响应文件和最后报价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，且又未按本章第30.5</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规定退出磋商的，供应商的磋商保证金不予退还。</w:t>
      </w:r>
    </w:p>
    <w:p w14:paraId="425F5965">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31.响应文件评审</w:t>
      </w:r>
    </w:p>
    <w:p w14:paraId="5B01E32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31.1经磋商确定最终采购需求和提交最后报价的供应商后，由磋商小组采用综合评分法对提交最后报价的供应商的响应文件和最后报价进行综合评价。</w:t>
      </w:r>
    </w:p>
    <w:p w14:paraId="275ED1FA">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31.2综合评分法，是指响应文件满足磋商文件全部实质性要求且按评审因素的量化指标评审得分最高的供应商为成交候选供应商的评审方法。</w:t>
      </w:r>
      <w:r>
        <w:rPr>
          <w:rFonts w:hint="eastAsia" w:ascii="宋体" w:hAnsi="宋体" w:eastAsia="宋体" w:cs="宋体"/>
          <w:b w:val="0"/>
          <w:bCs/>
          <w:sz w:val="21"/>
          <w:szCs w:val="21"/>
          <w:highlight w:val="none"/>
          <w:lang w:val="en-US" w:eastAsia="zh-CN"/>
        </w:rPr>
        <w:t>本采购项目的评审因素和标准见</w:t>
      </w:r>
      <w:r>
        <w:rPr>
          <w:rFonts w:hint="eastAsia" w:ascii="宋体" w:hAnsi="宋体" w:eastAsia="宋体" w:cs="宋体"/>
          <w:b/>
          <w:bCs w:val="0"/>
          <w:sz w:val="21"/>
          <w:szCs w:val="21"/>
          <w:highlight w:val="none"/>
          <w:lang w:val="en-US" w:eastAsia="zh-CN"/>
        </w:rPr>
        <w:t>磋商须知前附表</w:t>
      </w:r>
      <w:r>
        <w:rPr>
          <w:rFonts w:hint="eastAsia" w:ascii="宋体" w:hAnsi="宋体" w:eastAsia="宋体" w:cs="宋体"/>
          <w:b w:val="0"/>
          <w:bCs/>
          <w:sz w:val="21"/>
          <w:szCs w:val="21"/>
          <w:highlight w:val="none"/>
          <w:lang w:eastAsia="zh-CN"/>
        </w:rPr>
        <w:t>）</w:t>
      </w:r>
    </w:p>
    <w:p w14:paraId="0CB0FCD2">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6EE658E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31.4综合评分法中的价格分采用低价优先法计算，即满足磋商文件要求且经调整后的最后报价最低的供应商的价格为磋商基准价，其价格分为满分。其他供应商的价格分按照下列公式计算：</w:t>
      </w:r>
    </w:p>
    <w:p w14:paraId="0C2DB8DD">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val="0"/>
          <w:bCs/>
          <w:sz w:val="21"/>
          <w:szCs w:val="21"/>
          <w:lang w:val="en-US"/>
        </w:rPr>
      </w:pPr>
      <w:r>
        <w:rPr>
          <w:rFonts w:hint="eastAsia" w:ascii="宋体" w:hAnsi="宋体" w:eastAsia="宋体" w:cs="宋体"/>
          <w:b w:val="0"/>
          <w:bCs/>
          <w:sz w:val="21"/>
          <w:szCs w:val="21"/>
        </w:rPr>
        <w:t>磋商报价得分=（磋商基准价/最后磋商报价）×</w:t>
      </w:r>
      <w:r>
        <w:rPr>
          <w:rFonts w:hint="eastAsia" w:ascii="宋体" w:hAnsi="宋体" w:eastAsia="宋体" w:cs="宋体"/>
          <w:b w:val="0"/>
          <w:bCs/>
          <w:sz w:val="21"/>
          <w:szCs w:val="21"/>
          <w:lang w:val="en-US" w:eastAsia="zh-CN"/>
        </w:rPr>
        <w:t>投标报价权值</w:t>
      </w:r>
    </w:p>
    <w:p w14:paraId="433209D7">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项目评审过程中，不得去掉最后报价中的最高报价和最低报价。</w:t>
      </w:r>
    </w:p>
    <w:p w14:paraId="09F1887B">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31.5涉及政府采购政策优惠对供应商分值进行调整的，按</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规定调整供应商的技术、商务、价格得分或总得分。</w:t>
      </w:r>
    </w:p>
    <w:p w14:paraId="733BDDD5">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31.6涉及多处或部分获得政府采购政策优惠的，其多处或部分享受政府采购优惠政策的计算方法见</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相关规定。</w:t>
      </w:r>
    </w:p>
    <w:p w14:paraId="7FA27F40">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31.7评审时，磋商小组各成员应当独立对每个供应商的响应文件进行评价、评分，并按照政府采购优惠政策对最后报价进行价格扣除和技术、商务、价格加分后，汇总各供应商的总得分。</w:t>
      </w:r>
    </w:p>
    <w:p w14:paraId="7262C170">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32.提出成交供应商</w:t>
      </w:r>
    </w:p>
    <w:p w14:paraId="77314EB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    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财库〔2014〕214号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797DD850">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33.确定成交供应商</w:t>
      </w:r>
    </w:p>
    <w:p w14:paraId="563D4D4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33.1采购代理机构应当在评审结束后2个工作日内将评审报告送采购人确认。</w:t>
      </w:r>
    </w:p>
    <w:p w14:paraId="6D18F4EA">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33.2采购人应当在收到评审报告后5个工作日内，从评审报告提出的成交候选供应商中，按照排序由高到低的原则确定成交供应商，也可以书面授权磋商小组直接确定成交供应商。</w:t>
      </w:r>
    </w:p>
    <w:p w14:paraId="5ECB16DB">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34.磋商终止</w:t>
      </w:r>
    </w:p>
    <w:p w14:paraId="7693925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34.1出现下列情形之一的，采购人或者采购代理机构应当终止竞争性磋商采购活动，在本章第37.1款指定的媒体上发布项目终止公告并说明原因，重新开展采购活动： </w:t>
      </w:r>
    </w:p>
    <w:p w14:paraId="50E5317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（1）因情况变化，不再符合规定的竞争性磋商采购方式适用情形的；</w:t>
      </w:r>
    </w:p>
    <w:p w14:paraId="33FEA8C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（2）出现影响采购公正的违法、违规行为的；</w:t>
      </w:r>
    </w:p>
    <w:p w14:paraId="1D0EEA12">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（3）除《政府采购竞争性磋商采购方式管理暂行办法》</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财库〔2014〕214号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0830F69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（4）因重大变故，采购任务取消的。</w:t>
      </w:r>
    </w:p>
    <w:p w14:paraId="3FBAE754">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lang w:eastAsia="zh-CN"/>
        </w:rPr>
        <w:t>35.</w:t>
      </w:r>
      <w:r>
        <w:rPr>
          <w:rFonts w:hint="eastAsia" w:ascii="宋体" w:hAnsi="宋体" w:eastAsia="宋体" w:cs="宋体"/>
          <w:b/>
          <w:bCs w:val="0"/>
          <w:sz w:val="21"/>
          <w:szCs w:val="21"/>
        </w:rPr>
        <w:t>重新评审</w:t>
      </w:r>
    </w:p>
    <w:p w14:paraId="56E140B3">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84AA423">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36.保密及串通行为</w:t>
      </w:r>
    </w:p>
    <w:p w14:paraId="708EDB13">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36.1磋商小组成员以及与评审工作有关的人员不得泄露评审情况以及评审过程中获悉的国家秘密、商业秘密。</w:t>
      </w:r>
    </w:p>
    <w:p w14:paraId="48958A93">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51D3FBC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36.3</w:t>
      </w:r>
      <w:r>
        <w:rPr>
          <w:rFonts w:hint="eastAsia" w:ascii="宋体" w:hAnsi="宋体" w:eastAsia="宋体" w:cs="宋体"/>
          <w:b w:val="0"/>
          <w:bCs/>
          <w:sz w:val="21"/>
          <w:szCs w:val="21"/>
          <w:lang w:val="zh-CN"/>
        </w:rPr>
        <w:t>有下列情形之一的，属于恶意串通，对供应商依照政府采购法第七十七条第一款的规定追究法律责任：</w:t>
      </w:r>
    </w:p>
    <w:p w14:paraId="07A3832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（一）供应商直接或者间接从采购人或者采购代理机构处获得其他供应商的相关情况并修改其投标文件或者响应文件；</w:t>
      </w:r>
    </w:p>
    <w:p w14:paraId="0D1E897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（二）供应商按照采购人或者采购代理机构的授意撤换、修改投标文件或者响应文件；</w:t>
      </w:r>
    </w:p>
    <w:p w14:paraId="449BDFFB">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（三）供应商之间协商报价、技术方案等投标文件或者响应文件的实质性内容；</w:t>
      </w:r>
    </w:p>
    <w:p w14:paraId="14B45C7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（四）属于同一集团、协会、商会等组织成员的供应商按照该组织要求协同参加政府采购活动；</w:t>
      </w:r>
    </w:p>
    <w:p w14:paraId="2EDBD7D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（五）供应商之间事先约定由某一特定供应商中标、成交；</w:t>
      </w:r>
    </w:p>
    <w:p w14:paraId="5BA84BF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（六）供应商之间商定部分供应商放弃参加政府采购活动或者放弃中标、成交；</w:t>
      </w:r>
    </w:p>
    <w:p w14:paraId="7425077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（七）供应商与采购人或者采购代理机构之间、供应商相互之间，为谋求特定供应商中标、成交或者排斥其他供应商的其他串通行为。</w:t>
      </w:r>
    </w:p>
    <w:p w14:paraId="7854B477">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六、成交结果信息公布与授予合同</w:t>
      </w:r>
      <w:bookmarkEnd w:id="24"/>
    </w:p>
    <w:p w14:paraId="1B6F1D61">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38</w:t>
      </w:r>
      <w:r>
        <w:rPr>
          <w:rFonts w:hint="eastAsia" w:ascii="宋体" w:hAnsi="宋体" w:eastAsia="宋体" w:cs="宋体"/>
          <w:b/>
          <w:bCs/>
          <w:sz w:val="21"/>
          <w:szCs w:val="21"/>
        </w:rPr>
        <w:t>.成交信息的公布</w:t>
      </w:r>
    </w:p>
    <w:p w14:paraId="0422ECC7">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8</w:t>
      </w:r>
      <w:r>
        <w:rPr>
          <w:rFonts w:hint="eastAsia" w:ascii="宋体" w:hAnsi="宋体" w:eastAsia="宋体" w:cs="宋体"/>
          <w:sz w:val="21"/>
          <w:szCs w:val="21"/>
        </w:rPr>
        <w:t>.1成交供应商确定后2个工作日内，采购人或者采购代理机构应将成交结果信息在</w:t>
      </w:r>
      <w:r>
        <w:rPr>
          <w:rFonts w:hint="eastAsia" w:ascii="宋体" w:hAnsi="宋体" w:eastAsia="宋体" w:cs="宋体"/>
          <w:b/>
          <w:sz w:val="21"/>
          <w:szCs w:val="21"/>
        </w:rPr>
        <w:t>磋商须知前附表</w:t>
      </w:r>
      <w:r>
        <w:rPr>
          <w:rFonts w:hint="eastAsia" w:ascii="宋体" w:hAnsi="宋体" w:eastAsia="宋体" w:cs="宋体"/>
          <w:sz w:val="21"/>
          <w:szCs w:val="21"/>
        </w:rPr>
        <w:t>指定的媒体上公布。</w:t>
      </w:r>
    </w:p>
    <w:p w14:paraId="20FA8315">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.询问及质疑</w:t>
      </w:r>
    </w:p>
    <w:p w14:paraId="1FDF7508">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.1供应商对政府采购活动事项有疑问的，可以向采购人或采购代理机构提出询问。</w:t>
      </w:r>
    </w:p>
    <w:p w14:paraId="1F6E6BCE">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39</w:t>
      </w:r>
      <w:r>
        <w:rPr>
          <w:rFonts w:hint="eastAsia" w:ascii="宋体" w:hAnsi="宋体" w:eastAsia="宋体" w:cs="宋体"/>
          <w:sz w:val="21"/>
          <w:szCs w:val="21"/>
        </w:rPr>
        <w:t>.2供应商若认为磋商文件、采购过程和成交结果使自己的权益受到损害，可以按法律、规章及财政部相关文件规定向采购人或采购代理机构提出质疑。</w:t>
      </w:r>
    </w:p>
    <w:p w14:paraId="68ACC7BA">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40</w:t>
      </w:r>
      <w:r>
        <w:rPr>
          <w:rFonts w:hint="eastAsia" w:ascii="宋体" w:hAnsi="宋体" w:eastAsia="宋体" w:cs="宋体"/>
          <w:b/>
          <w:bCs/>
          <w:sz w:val="21"/>
          <w:szCs w:val="21"/>
        </w:rPr>
        <w:t>.成交通知</w:t>
      </w:r>
    </w:p>
    <w:p w14:paraId="6D67DE5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40.1成交供应商确定后，采购人或采购代理机构将以书面形式向成交供应商发出成交通知书。成交通知书对采购人和成交供应商具有同等法律效力。</w:t>
      </w:r>
    </w:p>
    <w:p w14:paraId="77A5A92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40.2 成交通知书是合同文件的组成部分。</w:t>
      </w:r>
    </w:p>
    <w:p w14:paraId="605B8DD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40.3 成交供应商在收到采购代理机构的成交通知书后10日内，应按照磋商须知前附表的规定，向采购人提交履约担保。联合体成交的，履约担保由联合体各方或联合体中牵头人的名义提交。</w:t>
      </w:r>
    </w:p>
    <w:p w14:paraId="71FA4D1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40.4 成交供应商没有按照本章第39.3款规定提交履约担保的，视为放弃成交资格，其保证金不予退还。</w:t>
      </w:r>
    </w:p>
    <w:p w14:paraId="09BAB6E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41</w:t>
      </w:r>
      <w:r>
        <w:rPr>
          <w:rFonts w:hint="eastAsia" w:ascii="宋体" w:hAnsi="宋体" w:eastAsia="宋体" w:cs="宋体"/>
          <w:b/>
          <w:bCs/>
          <w:sz w:val="21"/>
          <w:szCs w:val="21"/>
        </w:rPr>
        <w:t>.签订合同</w:t>
      </w:r>
    </w:p>
    <w:p w14:paraId="6BCA89CF">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.1磋商文件、成交供应商的响应文件及其补充的响应文件等均为签订政府采购合同的依据。</w:t>
      </w:r>
    </w:p>
    <w:p w14:paraId="7537EC4D">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.2成交供应商应当在成交通知书发出之日起30日内与采购人签订政府采购合同。</w:t>
      </w:r>
    </w:p>
    <w:p w14:paraId="3F05AB6C">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.3成交供应商应当按照合同约定履行义务。成交供应商不得向他人转让成交项目，也不得将成交项目分包后分别向他人转让。</w:t>
      </w:r>
    </w:p>
    <w:p w14:paraId="5AEB4026">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.4成交供应商有下列情形之一的，责令限期改正，情节严重的，列入不良行为记录名单，在1至3年内禁止参加政府采购活动，并予以通报：</w:t>
      </w:r>
    </w:p>
    <w:p w14:paraId="05B9018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（一）成交后无正当理由不与采购人签订合同的；</w:t>
      </w:r>
    </w:p>
    <w:p w14:paraId="576524C3">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（二）未按照采购文件确定的事项签订政府采购合同，或者与采购人另行订立背离合同实质性内容的协议的；</w:t>
      </w:r>
    </w:p>
    <w:p w14:paraId="6BE8BD5A">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（三）拒绝履行合同义务的；</w:t>
      </w:r>
    </w:p>
    <w:p w14:paraId="2F835285">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（四）违反法律、规章、规范性文件规定的。</w:t>
      </w:r>
    </w:p>
    <w:p w14:paraId="0318030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5" w:name="_Toc24042"/>
      <w:r>
        <w:rPr>
          <w:rFonts w:hint="eastAsia" w:ascii="宋体" w:hAnsi="宋体" w:eastAsia="宋体" w:cs="宋体"/>
          <w:b/>
          <w:sz w:val="21"/>
          <w:szCs w:val="21"/>
        </w:rPr>
        <w:t>七、其他规定</w:t>
      </w:r>
      <w:bookmarkEnd w:id="25"/>
    </w:p>
    <w:p w14:paraId="4EC2BD3F">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42</w:t>
      </w:r>
      <w:r>
        <w:rPr>
          <w:rFonts w:hint="eastAsia" w:ascii="宋体" w:hAnsi="宋体" w:eastAsia="宋体" w:cs="宋体"/>
          <w:b/>
          <w:sz w:val="21"/>
          <w:szCs w:val="21"/>
        </w:rPr>
        <w:t>.采购代理服务费</w:t>
      </w:r>
    </w:p>
    <w:p w14:paraId="0121FED2">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.1采购代理机构应按</w:t>
      </w:r>
      <w:r>
        <w:rPr>
          <w:rFonts w:hint="eastAsia" w:ascii="宋体" w:hAnsi="宋体" w:eastAsia="宋体" w:cs="宋体"/>
          <w:b/>
          <w:sz w:val="21"/>
          <w:szCs w:val="21"/>
        </w:rPr>
        <w:t>磋商须知前附表</w:t>
      </w:r>
      <w:r>
        <w:rPr>
          <w:rFonts w:hint="eastAsia" w:ascii="宋体" w:hAnsi="宋体" w:eastAsia="宋体" w:cs="宋体"/>
          <w:sz w:val="21"/>
          <w:szCs w:val="21"/>
        </w:rPr>
        <w:t>规定收取采购代理服务费。</w:t>
      </w:r>
    </w:p>
    <w:p w14:paraId="2E7C6EB5">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.2集中采购机构不得收取采购代理服务费。</w:t>
      </w:r>
    </w:p>
    <w:p w14:paraId="64473BE7">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4</w:t>
      </w:r>
      <w:r>
        <w:rPr>
          <w:rFonts w:hint="eastAsia" w:ascii="宋体" w:hAnsi="宋体" w:eastAsia="宋体" w:cs="宋体"/>
          <w:b/>
          <w:sz w:val="21"/>
          <w:szCs w:val="21"/>
          <w:lang w:val="en-US" w:eastAsia="zh-CN"/>
        </w:rPr>
        <w:t>3</w:t>
      </w:r>
      <w:r>
        <w:rPr>
          <w:rFonts w:hint="eastAsia" w:ascii="宋体" w:hAnsi="宋体" w:eastAsia="宋体" w:cs="宋体"/>
          <w:b/>
          <w:sz w:val="21"/>
          <w:szCs w:val="21"/>
        </w:rPr>
        <w:t>.其他规定</w:t>
      </w:r>
    </w:p>
    <w:p w14:paraId="7738BBFE">
      <w:pPr>
        <w:keepNext w:val="0"/>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3</w:t>
      </w:r>
      <w:r>
        <w:rPr>
          <w:rFonts w:hint="eastAsia" w:ascii="宋体" w:hAnsi="宋体" w:eastAsia="宋体" w:cs="宋体"/>
          <w:sz w:val="21"/>
          <w:szCs w:val="21"/>
        </w:rPr>
        <w:t>.1磋商文件的其他规定见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51F41DD0">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7BDF22D6">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3FFB3FEE">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64EA9C2E">
      <w:pPr>
        <w:pStyle w:val="3"/>
        <w:pageBreakBefore w:val="0"/>
        <w:kinsoku/>
        <w:overflowPunct/>
        <w:topLinePunct w:val="0"/>
        <w:bidi w:val="0"/>
        <w:spacing w:line="500" w:lineRule="exact"/>
        <w:textAlignment w:val="auto"/>
        <w:rPr>
          <w:rFonts w:hint="eastAsia" w:ascii="宋体" w:hAnsi="宋体" w:eastAsia="宋体" w:cs="宋体"/>
          <w:b/>
          <w:bCs/>
          <w:sz w:val="21"/>
          <w:szCs w:val="21"/>
        </w:rPr>
      </w:pPr>
    </w:p>
    <w:p w14:paraId="68016CB9">
      <w:pPr>
        <w:pageBreakBefore w:val="0"/>
        <w:kinsoku/>
        <w:overflowPunct/>
        <w:topLinePunct w:val="0"/>
        <w:bidi w:val="0"/>
        <w:spacing w:line="500" w:lineRule="exact"/>
        <w:textAlignment w:val="auto"/>
        <w:rPr>
          <w:rFonts w:hint="eastAsia" w:ascii="宋体" w:hAnsi="宋体" w:eastAsia="宋体" w:cs="宋体"/>
          <w:b/>
          <w:bCs/>
          <w:sz w:val="21"/>
          <w:szCs w:val="21"/>
        </w:rPr>
      </w:pPr>
    </w:p>
    <w:p w14:paraId="26C3AC7F">
      <w:pPr>
        <w:pStyle w:val="3"/>
        <w:pageBreakBefore w:val="0"/>
        <w:kinsoku/>
        <w:overflowPunct/>
        <w:topLinePunct w:val="0"/>
        <w:bidi w:val="0"/>
        <w:spacing w:line="500" w:lineRule="exact"/>
        <w:textAlignment w:val="auto"/>
        <w:rPr>
          <w:rFonts w:hint="eastAsia" w:ascii="宋体" w:hAnsi="宋体" w:eastAsia="宋体" w:cs="宋体"/>
          <w:b/>
          <w:bCs/>
          <w:sz w:val="21"/>
          <w:szCs w:val="21"/>
        </w:rPr>
      </w:pPr>
    </w:p>
    <w:p w14:paraId="057118C8">
      <w:pPr>
        <w:pageBreakBefore w:val="0"/>
        <w:kinsoku/>
        <w:overflowPunct/>
        <w:topLinePunct w:val="0"/>
        <w:bidi w:val="0"/>
        <w:spacing w:line="500" w:lineRule="exact"/>
        <w:textAlignment w:val="auto"/>
        <w:rPr>
          <w:rFonts w:hint="eastAsia" w:ascii="宋体" w:hAnsi="宋体" w:eastAsia="宋体" w:cs="宋体"/>
          <w:b/>
          <w:bCs/>
          <w:sz w:val="21"/>
          <w:szCs w:val="21"/>
        </w:rPr>
      </w:pPr>
    </w:p>
    <w:p w14:paraId="6CBABCBE">
      <w:pPr>
        <w:pStyle w:val="3"/>
        <w:pageBreakBefore w:val="0"/>
        <w:kinsoku/>
        <w:overflowPunct/>
        <w:topLinePunct w:val="0"/>
        <w:bidi w:val="0"/>
        <w:spacing w:line="500" w:lineRule="exact"/>
        <w:textAlignment w:val="auto"/>
        <w:rPr>
          <w:rFonts w:hint="eastAsia" w:ascii="宋体" w:hAnsi="宋体" w:eastAsia="宋体" w:cs="宋体"/>
          <w:b/>
          <w:bCs/>
          <w:sz w:val="21"/>
          <w:szCs w:val="21"/>
        </w:rPr>
      </w:pPr>
    </w:p>
    <w:p w14:paraId="22A56CF0">
      <w:pPr>
        <w:pageBreakBefore w:val="0"/>
        <w:kinsoku/>
        <w:overflowPunct/>
        <w:topLinePunct w:val="0"/>
        <w:bidi w:val="0"/>
        <w:spacing w:line="500" w:lineRule="exact"/>
        <w:textAlignment w:val="auto"/>
        <w:rPr>
          <w:rFonts w:hint="eastAsia" w:ascii="宋体" w:hAnsi="宋体" w:eastAsia="宋体" w:cs="宋体"/>
          <w:b/>
          <w:bCs/>
          <w:sz w:val="21"/>
          <w:szCs w:val="21"/>
        </w:rPr>
      </w:pPr>
    </w:p>
    <w:p w14:paraId="0BFB06D6">
      <w:pPr>
        <w:pStyle w:val="3"/>
        <w:pageBreakBefore w:val="0"/>
        <w:kinsoku/>
        <w:overflowPunct/>
        <w:topLinePunct w:val="0"/>
        <w:bidi w:val="0"/>
        <w:spacing w:line="500" w:lineRule="exact"/>
        <w:textAlignment w:val="auto"/>
        <w:rPr>
          <w:rFonts w:hint="eastAsia" w:ascii="宋体" w:hAnsi="宋体" w:eastAsia="宋体" w:cs="宋体"/>
          <w:b/>
          <w:bCs/>
          <w:sz w:val="21"/>
          <w:szCs w:val="21"/>
        </w:rPr>
      </w:pPr>
    </w:p>
    <w:p w14:paraId="3DFD3704">
      <w:pPr>
        <w:pageBreakBefore w:val="0"/>
        <w:kinsoku/>
        <w:overflowPunct/>
        <w:topLinePunct w:val="0"/>
        <w:bidi w:val="0"/>
        <w:spacing w:line="500" w:lineRule="exact"/>
        <w:textAlignment w:val="auto"/>
        <w:rPr>
          <w:rFonts w:hint="eastAsia" w:ascii="宋体" w:hAnsi="宋体" w:eastAsia="宋体" w:cs="宋体"/>
          <w:b/>
          <w:bCs/>
          <w:sz w:val="21"/>
          <w:szCs w:val="21"/>
        </w:rPr>
      </w:pPr>
    </w:p>
    <w:p w14:paraId="060A5379">
      <w:pPr>
        <w:pStyle w:val="3"/>
        <w:pageBreakBefore w:val="0"/>
        <w:kinsoku/>
        <w:overflowPunct/>
        <w:topLinePunct w:val="0"/>
        <w:bidi w:val="0"/>
        <w:spacing w:line="500" w:lineRule="exact"/>
        <w:textAlignment w:val="auto"/>
        <w:rPr>
          <w:rFonts w:hint="eastAsia" w:ascii="宋体" w:hAnsi="宋体" w:eastAsia="宋体" w:cs="宋体"/>
          <w:b/>
          <w:bCs/>
          <w:sz w:val="21"/>
          <w:szCs w:val="21"/>
        </w:rPr>
      </w:pPr>
    </w:p>
    <w:p w14:paraId="4DF6C3DA">
      <w:pPr>
        <w:pageBreakBefore w:val="0"/>
        <w:kinsoku/>
        <w:overflowPunct/>
        <w:topLinePunct w:val="0"/>
        <w:bidi w:val="0"/>
        <w:spacing w:line="500" w:lineRule="exact"/>
        <w:textAlignment w:val="auto"/>
        <w:rPr>
          <w:rFonts w:hint="eastAsia"/>
        </w:rPr>
      </w:pPr>
    </w:p>
    <w:p w14:paraId="1B6FE228">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078656E7">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60E9F00B">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0780484F">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5635FBA5">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44D86102">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3C26E50A">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31C28984">
      <w:pPr>
        <w:pStyle w:val="22"/>
        <w:rPr>
          <w:rFonts w:hint="eastAsia" w:ascii="宋体" w:hAnsi="宋体" w:eastAsia="宋体" w:cs="宋体"/>
          <w:b/>
          <w:sz w:val="28"/>
          <w:szCs w:val="28"/>
        </w:rPr>
      </w:pPr>
    </w:p>
    <w:p w14:paraId="1D3C72EB">
      <w:pPr>
        <w:pStyle w:val="22"/>
        <w:rPr>
          <w:rFonts w:hint="eastAsia" w:ascii="宋体" w:hAnsi="宋体" w:eastAsia="宋体" w:cs="宋体"/>
          <w:b/>
          <w:sz w:val="28"/>
          <w:szCs w:val="28"/>
        </w:rPr>
      </w:pPr>
    </w:p>
    <w:p w14:paraId="637A0190">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第三章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评审办法及标准</w:t>
      </w:r>
      <w:bookmarkEnd w:id="8"/>
    </w:p>
    <w:p w14:paraId="075D6DA6">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 xml:space="preserve"> </w:t>
      </w:r>
      <w:bookmarkStart w:id="26" w:name="_Toc508008698"/>
      <w:r>
        <w:rPr>
          <w:rFonts w:hint="eastAsia" w:ascii="宋体" w:hAnsi="宋体" w:eastAsia="宋体" w:cs="宋体"/>
          <w:b/>
          <w:bCs/>
          <w:sz w:val="21"/>
          <w:szCs w:val="21"/>
        </w:rPr>
        <w:t>1.评标方法</w:t>
      </w:r>
      <w:bookmarkEnd w:id="26"/>
    </w:p>
    <w:p w14:paraId="5B8938EF">
      <w:pPr>
        <w:pageBreakBefore w:val="0"/>
        <w:kinsoku/>
        <w:wordWrap/>
        <w:overflowPunct/>
        <w:topLinePunct w:val="0"/>
        <w:bidi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1.1评标方法：综合评分法</w:t>
      </w:r>
      <w:r>
        <w:rPr>
          <w:rFonts w:hint="eastAsia" w:ascii="宋体" w:hAnsi="宋体" w:eastAsia="宋体" w:cs="宋体"/>
          <w:sz w:val="21"/>
          <w:szCs w:val="21"/>
          <w:lang w:eastAsia="zh-CN"/>
        </w:rPr>
        <w:t>，是</w:t>
      </w:r>
      <w:r>
        <w:rPr>
          <w:rFonts w:hint="eastAsia" w:ascii="宋体" w:hAnsi="宋体" w:eastAsia="宋体" w:cs="宋体"/>
          <w:sz w:val="21"/>
          <w:szCs w:val="21"/>
        </w:rPr>
        <w:t>指</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全部实质性要求，且按照评审因素的量化指标评审得分最高的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为中标候选人的评标方法。</w:t>
      </w:r>
    </w:p>
    <w:p w14:paraId="41F08DBF">
      <w:pPr>
        <w:pageBreakBefore w:val="0"/>
        <w:kinsoku/>
        <w:wordWrap/>
        <w:overflowPunct/>
        <w:topLinePunct w:val="0"/>
        <w:bidi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1.2评标因素：评审因素的设定应当与</w:t>
      </w:r>
      <w:r>
        <w:rPr>
          <w:rFonts w:hint="eastAsia" w:ascii="宋体" w:hAnsi="宋体" w:eastAsia="宋体" w:cs="宋体"/>
          <w:sz w:val="21"/>
          <w:szCs w:val="21"/>
          <w:lang w:eastAsia="zh-CN"/>
        </w:rPr>
        <w:t>供应商</w:t>
      </w:r>
      <w:r>
        <w:rPr>
          <w:rFonts w:hint="eastAsia" w:ascii="宋体" w:hAnsi="宋体" w:eastAsia="宋体" w:cs="宋体"/>
          <w:sz w:val="21"/>
          <w:szCs w:val="21"/>
        </w:rPr>
        <w:t>所提供服务的质量相关，包括投标报价、技术或者服务水平、履约能力、售后服务等，但不包括第一章“</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w:t>
      </w:r>
    </w:p>
    <w:p w14:paraId="4F5144C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sz w:val="21"/>
          <w:szCs w:val="21"/>
        </w:rPr>
      </w:pPr>
      <w:bookmarkStart w:id="27" w:name="_Toc508008699"/>
      <w:r>
        <w:rPr>
          <w:rFonts w:hint="eastAsia" w:ascii="宋体" w:hAnsi="宋体" w:eastAsia="宋体" w:cs="宋体"/>
          <w:b/>
          <w:bCs/>
          <w:sz w:val="21"/>
          <w:szCs w:val="21"/>
        </w:rPr>
        <w:t>2.评标程序</w:t>
      </w:r>
      <w:bookmarkEnd w:id="27"/>
    </w:p>
    <w:p w14:paraId="440D9C8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2.1评标程序分为</w:t>
      </w:r>
      <w:r>
        <w:rPr>
          <w:rFonts w:hint="eastAsia" w:ascii="宋体" w:hAnsi="宋体" w:eastAsia="宋体" w:cs="宋体"/>
          <w:sz w:val="21"/>
          <w:szCs w:val="21"/>
          <w:lang w:eastAsia="zh-CN"/>
        </w:rPr>
        <w:t>响应文件</w:t>
      </w:r>
      <w:r>
        <w:rPr>
          <w:rFonts w:hint="eastAsia" w:ascii="宋体" w:hAnsi="宋体" w:eastAsia="宋体" w:cs="宋体"/>
          <w:sz w:val="21"/>
          <w:szCs w:val="21"/>
        </w:rPr>
        <w:t>资格审查、符合性审查、澄清有关问题、比较和评价、确定中标候选人名单。</w:t>
      </w:r>
    </w:p>
    <w:p w14:paraId="176C1E52">
      <w:pPr>
        <w:pageBreakBefore w:val="0"/>
        <w:kinsoku/>
        <w:wordWrap/>
        <w:overflowPunct/>
        <w:topLinePunct w:val="0"/>
        <w:bidi w:val="0"/>
        <w:spacing w:beforeAutospacing="0" w:afterAutospacing="0" w:line="500" w:lineRule="exact"/>
        <w:jc w:val="left"/>
        <w:textAlignment w:val="auto"/>
        <w:outlineLvl w:val="0"/>
        <w:rPr>
          <w:rFonts w:hint="default" w:ascii="宋体" w:hAnsi="宋体" w:eastAsia="宋体" w:cs="宋体"/>
          <w:b/>
          <w:bCs/>
          <w:sz w:val="21"/>
          <w:szCs w:val="21"/>
          <w:lang w:val="en-US" w:eastAsia="zh-CN"/>
        </w:rPr>
      </w:pPr>
      <w:bookmarkStart w:id="28" w:name="_Toc508008700"/>
      <w:r>
        <w:rPr>
          <w:rFonts w:hint="eastAsia" w:ascii="宋体" w:hAnsi="宋体" w:eastAsia="宋体" w:cs="宋体"/>
          <w:b/>
          <w:bCs/>
          <w:sz w:val="21"/>
          <w:szCs w:val="21"/>
        </w:rPr>
        <w:t>3.资格审查</w:t>
      </w:r>
    </w:p>
    <w:p w14:paraId="16246BC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3.1 供应商应当符合磋商须知前附表中规定的资格条件要求。</w:t>
      </w:r>
    </w:p>
    <w:p w14:paraId="63EC0F3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36216AB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（1）联合体各方应按磋商文件提供的格式签订联合体协议书，明确联合体牵头人和各方权利义务</w:t>
      </w:r>
      <w:r>
        <w:rPr>
          <w:rFonts w:hint="eastAsia" w:ascii="宋体" w:hAnsi="宋体" w:eastAsia="宋体" w:cs="宋体"/>
          <w:sz w:val="21"/>
          <w:szCs w:val="21"/>
          <w:lang w:eastAsia="zh-CN"/>
        </w:rPr>
        <w:t>（</w:t>
      </w:r>
      <w:r>
        <w:rPr>
          <w:rFonts w:hint="eastAsia" w:ascii="宋体" w:hAnsi="宋体" w:eastAsia="宋体" w:cs="宋体"/>
          <w:sz w:val="21"/>
          <w:szCs w:val="21"/>
        </w:rPr>
        <w:t>含承担工作及工作量比例</w:t>
      </w:r>
      <w:r>
        <w:rPr>
          <w:rFonts w:hint="eastAsia" w:ascii="宋体" w:hAnsi="宋体" w:eastAsia="宋体" w:cs="宋体"/>
          <w:sz w:val="21"/>
          <w:szCs w:val="21"/>
          <w:lang w:eastAsia="zh-CN"/>
        </w:rPr>
        <w:t>）</w:t>
      </w:r>
      <w:r>
        <w:rPr>
          <w:rFonts w:hint="eastAsia" w:ascii="宋体" w:hAnsi="宋体" w:eastAsia="宋体" w:cs="宋体"/>
          <w:sz w:val="21"/>
          <w:szCs w:val="21"/>
        </w:rPr>
        <w:t>；</w:t>
      </w:r>
    </w:p>
    <w:p w14:paraId="48A54D4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（2）联合体中有同类资质的供应商按照联合体分工承担相同工作的，应当按照资质等级较低的供应商确定资质等级；</w:t>
      </w:r>
    </w:p>
    <w:p w14:paraId="38D6DDC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（3）以联合体形式参加政府采购活动的，联合体各方不得再单独参加或者与其他供应商另外组成联合体参加同一合同项下的政府采购活动。</w:t>
      </w:r>
    </w:p>
    <w:p w14:paraId="548FF6C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0F760D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（1）与其他供应商的法定代表人（或者负责人）为同一人，或者与其他供应商存在直接控股、管理关系。</w:t>
      </w:r>
    </w:p>
    <w:p w14:paraId="2A7CB37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受到刑事处罚，或者受到三万元以上的罚款、责令停产停业、在一至三年内禁止参加政府采购活动、暂扣或者吊销许可证、暂扣或者吊销执照等情形之一的行政处罚，或者存在财政部门认定的其他重大违法记录。</w:t>
      </w:r>
    </w:p>
    <w:p w14:paraId="52DA80B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7E4E2D6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（1）不符合第二章第3条</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的资格要求的；</w:t>
      </w:r>
    </w:p>
    <w:p w14:paraId="67CA066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（2）联合体没有提交联合体协议书，或未提交联合体各方资格证明文件的；</w:t>
      </w:r>
    </w:p>
    <w:p w14:paraId="7E209DB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响应文件</w:t>
      </w:r>
      <w:r>
        <w:rPr>
          <w:rFonts w:hint="eastAsia" w:ascii="宋体" w:hAnsi="宋体" w:eastAsia="宋体" w:cs="宋体"/>
          <w:sz w:val="21"/>
          <w:szCs w:val="21"/>
        </w:rPr>
        <w:t>中资格证明文件未按照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要求签署、盖章的；</w:t>
      </w:r>
    </w:p>
    <w:p w14:paraId="090A6DF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（4）不符合</w:t>
      </w:r>
      <w:r>
        <w:rPr>
          <w:rFonts w:hint="eastAsia" w:ascii="宋体" w:hAnsi="宋体" w:eastAsia="宋体" w:cs="宋体"/>
          <w:sz w:val="21"/>
          <w:szCs w:val="21"/>
          <w:lang w:eastAsia="zh-CN"/>
        </w:rPr>
        <w:t>法律法规</w:t>
      </w:r>
      <w:r>
        <w:rPr>
          <w:rFonts w:hint="eastAsia" w:ascii="宋体" w:hAnsi="宋体" w:eastAsia="宋体" w:cs="宋体"/>
          <w:sz w:val="21"/>
          <w:szCs w:val="21"/>
        </w:rPr>
        <w:t>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1895FDD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对未通过资格审查的</w:t>
      </w:r>
      <w:r>
        <w:rPr>
          <w:rFonts w:hint="eastAsia" w:ascii="宋体" w:hAnsi="宋体" w:eastAsia="宋体" w:cs="宋体"/>
          <w:sz w:val="21"/>
          <w:szCs w:val="21"/>
          <w:lang w:eastAsia="zh-CN"/>
        </w:rPr>
        <w:t>供应商</w:t>
      </w:r>
      <w:r>
        <w:rPr>
          <w:rFonts w:hint="eastAsia" w:ascii="宋体" w:hAnsi="宋体" w:eastAsia="宋体" w:cs="宋体"/>
          <w:sz w:val="21"/>
          <w:szCs w:val="21"/>
        </w:rPr>
        <w:t>，应当告知其未通过的原因。</w:t>
      </w:r>
    </w:p>
    <w:p w14:paraId="31D2F6E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已进行资格预审的，可以不再对</w:t>
      </w:r>
      <w:r>
        <w:rPr>
          <w:rFonts w:hint="eastAsia" w:ascii="宋体" w:hAnsi="宋体" w:eastAsia="宋体" w:cs="宋体"/>
          <w:sz w:val="21"/>
          <w:szCs w:val="21"/>
          <w:lang w:eastAsia="zh-CN"/>
        </w:rPr>
        <w:t>供应商</w:t>
      </w:r>
      <w:r>
        <w:rPr>
          <w:rFonts w:hint="eastAsia" w:ascii="宋体" w:hAnsi="宋体" w:eastAsia="宋体" w:cs="宋体"/>
          <w:sz w:val="21"/>
          <w:szCs w:val="21"/>
        </w:rPr>
        <w:t>资格进行审查。资格预审合格的</w:t>
      </w:r>
      <w:r>
        <w:rPr>
          <w:rFonts w:hint="eastAsia" w:ascii="宋体" w:hAnsi="宋体" w:eastAsia="宋体" w:cs="宋体"/>
          <w:sz w:val="21"/>
          <w:szCs w:val="21"/>
          <w:lang w:eastAsia="zh-CN"/>
        </w:rPr>
        <w:t>供应商</w:t>
      </w:r>
      <w:r>
        <w:rPr>
          <w:rFonts w:hint="eastAsia" w:ascii="宋体" w:hAnsi="宋体" w:eastAsia="宋体" w:cs="宋体"/>
          <w:sz w:val="21"/>
          <w:szCs w:val="21"/>
        </w:rPr>
        <w:t>在提交</w:t>
      </w:r>
      <w:r>
        <w:rPr>
          <w:rFonts w:hint="eastAsia" w:ascii="宋体" w:hAnsi="宋体" w:eastAsia="宋体" w:cs="宋体"/>
          <w:sz w:val="21"/>
          <w:szCs w:val="21"/>
          <w:lang w:eastAsia="zh-CN"/>
        </w:rPr>
        <w:t>响应文件</w:t>
      </w:r>
      <w:r>
        <w:rPr>
          <w:rFonts w:hint="eastAsia" w:ascii="宋体" w:hAnsi="宋体" w:eastAsia="宋体" w:cs="宋体"/>
          <w:sz w:val="21"/>
          <w:szCs w:val="21"/>
        </w:rPr>
        <w:t>的截止时间前资格发生变化的，应当按新情况更新或补充其资格审查证明资料，以证实其各项资格条件仍能继续满足资格预审公告的要求。</w:t>
      </w:r>
    </w:p>
    <w:p w14:paraId="25C6687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7</w:t>
      </w:r>
      <w:r>
        <w:rPr>
          <w:rFonts w:hint="eastAsia" w:ascii="宋体" w:hAnsi="宋体" w:eastAsia="宋体" w:cs="宋体"/>
          <w:sz w:val="21"/>
          <w:szCs w:val="21"/>
        </w:rPr>
        <w:t>资格审查结束后，采购人及采购代理机构应将资格审查结果送交评标委员会。合格</w:t>
      </w:r>
      <w:r>
        <w:rPr>
          <w:rFonts w:hint="eastAsia" w:ascii="宋体" w:hAnsi="宋体" w:eastAsia="宋体" w:cs="宋体"/>
          <w:sz w:val="21"/>
          <w:szCs w:val="21"/>
          <w:lang w:eastAsia="zh-CN"/>
        </w:rPr>
        <w:t>供应商</w:t>
      </w:r>
      <w:r>
        <w:rPr>
          <w:rFonts w:hint="eastAsia" w:ascii="宋体" w:hAnsi="宋体" w:eastAsia="宋体" w:cs="宋体"/>
          <w:sz w:val="21"/>
          <w:szCs w:val="21"/>
        </w:rPr>
        <w:t>不足3家的，不得进入评标环节。</w:t>
      </w:r>
    </w:p>
    <w:p w14:paraId="42CF4C9D">
      <w:pPr>
        <w:pageBreakBefore w:val="0"/>
        <w:kinsoku/>
        <w:wordWrap/>
        <w:overflowPunct/>
        <w:topLinePunct w:val="0"/>
        <w:bidi w:val="0"/>
        <w:spacing w:beforeAutospacing="0" w:afterAutospacing="0" w:line="500" w:lineRule="exact"/>
        <w:jc w:val="left"/>
        <w:textAlignment w:val="auto"/>
        <w:outlineLvl w:val="0"/>
        <w:rPr>
          <w:rFonts w:hint="eastAsia"/>
        </w:rPr>
      </w:pPr>
      <w:r>
        <w:rPr>
          <w:rFonts w:hint="eastAsia" w:ascii="宋体" w:hAnsi="宋体" w:eastAsia="宋体" w:cs="宋体"/>
          <w:b/>
          <w:bCs/>
          <w:sz w:val="21"/>
          <w:szCs w:val="21"/>
        </w:rPr>
        <w:t>附表1</w:t>
      </w:r>
      <w:r>
        <w:rPr>
          <w:rFonts w:hint="eastAsia" w:ascii="宋体" w:hAnsi="宋体" w:eastAsia="宋体" w:cs="宋体"/>
          <w:b/>
          <w:bCs/>
          <w:sz w:val="21"/>
          <w:szCs w:val="21"/>
          <w:lang w:eastAsia="zh-CN"/>
        </w:rPr>
        <w:t>：</w:t>
      </w:r>
      <w:r>
        <w:rPr>
          <w:rFonts w:hint="eastAsia" w:ascii="宋体" w:hAnsi="宋体" w:eastAsia="宋体" w:cs="宋体"/>
          <w:b/>
          <w:bCs/>
          <w:sz w:val="21"/>
          <w:szCs w:val="21"/>
        </w:rPr>
        <w:t>供应商资格性审查表</w:t>
      </w:r>
    </w:p>
    <w:tbl>
      <w:tblPr>
        <w:tblStyle w:val="39"/>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600"/>
        <w:gridCol w:w="685"/>
        <w:gridCol w:w="879"/>
        <w:gridCol w:w="824"/>
      </w:tblGrid>
      <w:tr w14:paraId="78EB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1" w:type="dxa"/>
            <w:vMerge w:val="restart"/>
            <w:tcBorders>
              <w:top w:val="single" w:color="auto" w:sz="4" w:space="0"/>
              <w:left w:val="single" w:color="auto" w:sz="4" w:space="0"/>
              <w:right w:val="single" w:color="auto" w:sz="4" w:space="0"/>
            </w:tcBorders>
            <w:noWrap w:val="0"/>
            <w:vAlign w:val="center"/>
          </w:tcPr>
          <w:p w14:paraId="3AB5F94C">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600" w:type="dxa"/>
            <w:vMerge w:val="restart"/>
            <w:tcBorders>
              <w:top w:val="single" w:color="auto" w:sz="4" w:space="0"/>
              <w:left w:val="single" w:color="auto" w:sz="4" w:space="0"/>
              <w:right w:val="single" w:color="auto" w:sz="4" w:space="0"/>
            </w:tcBorders>
            <w:noWrap w:val="0"/>
            <w:vAlign w:val="center"/>
          </w:tcPr>
          <w:p w14:paraId="070A69A9">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lang w:val="en-US" w:eastAsia="zh-CN"/>
              </w:rPr>
              <w:t>资格性审查</w:t>
            </w:r>
            <w:r>
              <w:rPr>
                <w:rFonts w:hint="eastAsia" w:ascii="宋体" w:hAnsi="宋体" w:eastAsia="宋体" w:cs="宋体"/>
                <w:sz w:val="21"/>
                <w:szCs w:val="21"/>
              </w:rPr>
              <w:t>内容</w:t>
            </w:r>
          </w:p>
        </w:tc>
        <w:tc>
          <w:tcPr>
            <w:tcW w:w="2388" w:type="dxa"/>
            <w:gridSpan w:val="3"/>
            <w:tcBorders>
              <w:top w:val="single" w:color="auto" w:sz="4" w:space="0"/>
              <w:left w:val="single" w:color="auto" w:sz="4" w:space="0"/>
              <w:right w:val="single" w:color="auto" w:sz="4" w:space="0"/>
            </w:tcBorders>
            <w:noWrap w:val="0"/>
            <w:vAlign w:val="center"/>
          </w:tcPr>
          <w:p w14:paraId="62E4F9AB">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637D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671" w:type="dxa"/>
            <w:vMerge w:val="continue"/>
            <w:tcBorders>
              <w:left w:val="single" w:color="auto" w:sz="4" w:space="0"/>
              <w:right w:val="single" w:color="auto" w:sz="4" w:space="0"/>
            </w:tcBorders>
            <w:noWrap w:val="0"/>
            <w:vAlign w:val="center"/>
          </w:tcPr>
          <w:p w14:paraId="5B1F8147">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p>
        </w:tc>
        <w:tc>
          <w:tcPr>
            <w:tcW w:w="6600" w:type="dxa"/>
            <w:vMerge w:val="continue"/>
            <w:tcBorders>
              <w:left w:val="single" w:color="auto" w:sz="4" w:space="0"/>
              <w:right w:val="single" w:color="auto" w:sz="4" w:space="0"/>
            </w:tcBorders>
            <w:noWrap w:val="0"/>
            <w:vAlign w:val="center"/>
          </w:tcPr>
          <w:p w14:paraId="1DA3711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685" w:type="dxa"/>
            <w:tcBorders>
              <w:top w:val="single" w:color="auto" w:sz="4" w:space="0"/>
              <w:left w:val="single" w:color="auto" w:sz="4" w:space="0"/>
              <w:right w:val="single" w:color="auto" w:sz="4" w:space="0"/>
            </w:tcBorders>
            <w:noWrap w:val="0"/>
            <w:vAlign w:val="top"/>
          </w:tcPr>
          <w:p w14:paraId="38C33A3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78534E9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5FA39169">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214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0C6582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31206CA">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685" w:type="dxa"/>
            <w:tcBorders>
              <w:left w:val="single" w:color="auto" w:sz="4" w:space="0"/>
              <w:right w:val="single" w:color="auto" w:sz="4" w:space="0"/>
            </w:tcBorders>
            <w:noWrap w:val="0"/>
            <w:vAlign w:val="center"/>
          </w:tcPr>
          <w:p w14:paraId="5DB3AA0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A190A1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13963E">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574A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0037F10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6EBE9D3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法人提交法定代表人身份证明或者法定代表人授权委托书并附法定代表人身份证明，自然人提交身份证复印件。</w:t>
            </w:r>
          </w:p>
        </w:tc>
        <w:tc>
          <w:tcPr>
            <w:tcW w:w="685" w:type="dxa"/>
            <w:tcBorders>
              <w:left w:val="single" w:color="auto" w:sz="4" w:space="0"/>
              <w:right w:val="single" w:color="auto" w:sz="4" w:space="0"/>
            </w:tcBorders>
            <w:noWrap w:val="0"/>
            <w:vAlign w:val="center"/>
          </w:tcPr>
          <w:p w14:paraId="76E6313B">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5CE036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39270B">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11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DCA70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2F1C4BB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《供应商资格声明》原件或复印件。</w:t>
            </w:r>
          </w:p>
        </w:tc>
        <w:tc>
          <w:tcPr>
            <w:tcW w:w="685" w:type="dxa"/>
            <w:tcBorders>
              <w:left w:val="single" w:color="auto" w:sz="4" w:space="0"/>
              <w:right w:val="single" w:color="auto" w:sz="4" w:space="0"/>
            </w:tcBorders>
            <w:noWrap w:val="0"/>
            <w:vAlign w:val="center"/>
          </w:tcPr>
          <w:p w14:paraId="74FF95A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FF76730">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4C6B4C">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047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11561B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42A27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营业执照副本、税务登记证副本、组织机构代码证（“三证合一或五证合一”只提供营业执照副本）。</w:t>
            </w:r>
          </w:p>
        </w:tc>
        <w:tc>
          <w:tcPr>
            <w:tcW w:w="685" w:type="dxa"/>
            <w:tcBorders>
              <w:left w:val="single" w:color="auto" w:sz="4" w:space="0"/>
              <w:right w:val="single" w:color="auto" w:sz="4" w:space="0"/>
            </w:tcBorders>
            <w:noWrap w:val="0"/>
            <w:vAlign w:val="center"/>
          </w:tcPr>
          <w:p w14:paraId="744A266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59CA39">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F594F5B">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08E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FC6F53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5138CC9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685" w:type="dxa"/>
            <w:tcBorders>
              <w:left w:val="single" w:color="auto" w:sz="4" w:space="0"/>
              <w:right w:val="single" w:color="auto" w:sz="4" w:space="0"/>
            </w:tcBorders>
            <w:noWrap w:val="0"/>
            <w:vAlign w:val="center"/>
          </w:tcPr>
          <w:p w14:paraId="4F8DE330">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ED9B44">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5CEABF8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7CDD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A72F6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7133E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685" w:type="dxa"/>
            <w:tcBorders>
              <w:left w:val="single" w:color="auto" w:sz="4" w:space="0"/>
              <w:right w:val="single" w:color="auto" w:sz="4" w:space="0"/>
            </w:tcBorders>
            <w:noWrap w:val="0"/>
            <w:vAlign w:val="center"/>
          </w:tcPr>
          <w:p w14:paraId="5B8C186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22C354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AF008F6">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6E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6513320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3830DDB">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685" w:type="dxa"/>
            <w:tcBorders>
              <w:left w:val="single" w:color="auto" w:sz="4" w:space="0"/>
              <w:right w:val="single" w:color="auto" w:sz="4" w:space="0"/>
            </w:tcBorders>
            <w:noWrap w:val="0"/>
            <w:vAlign w:val="center"/>
          </w:tcPr>
          <w:p w14:paraId="47A9D5A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07CC966">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A97AF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2DC2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27D447C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26F2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中小企业参加投标必须提供《中小企业声明函》，否则视为无效投标。格式见财政部工业和信息化部关于《政府采购促进中小企业发展管理办法》的通知财库〔2020〕46号文。</w:t>
            </w:r>
          </w:p>
        </w:tc>
        <w:tc>
          <w:tcPr>
            <w:tcW w:w="685" w:type="dxa"/>
            <w:tcBorders>
              <w:left w:val="single" w:color="auto" w:sz="4" w:space="0"/>
              <w:right w:val="single" w:color="auto" w:sz="4" w:space="0"/>
            </w:tcBorders>
            <w:noWrap w:val="0"/>
            <w:vAlign w:val="center"/>
          </w:tcPr>
          <w:p w14:paraId="5D1E8A10">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A7B32D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0AF39C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30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80608E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9A299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投标人须具备行业主管部门颁发的城乡规划编制乙级及以上资质， 资质证书在有效期内。</w:t>
            </w:r>
          </w:p>
        </w:tc>
        <w:tc>
          <w:tcPr>
            <w:tcW w:w="685" w:type="dxa"/>
            <w:tcBorders>
              <w:left w:val="single" w:color="auto" w:sz="4" w:space="0"/>
              <w:right w:val="single" w:color="auto" w:sz="4" w:space="0"/>
            </w:tcBorders>
            <w:noWrap w:val="0"/>
            <w:vAlign w:val="center"/>
          </w:tcPr>
          <w:p w14:paraId="6C228BD9">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C769AE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EEF645E">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718B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79132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F2466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法律法规和磋商文件规定的其他投标无效情形的</w:t>
            </w:r>
          </w:p>
        </w:tc>
        <w:tc>
          <w:tcPr>
            <w:tcW w:w="685" w:type="dxa"/>
            <w:tcBorders>
              <w:left w:val="single" w:color="auto" w:sz="4" w:space="0"/>
              <w:right w:val="single" w:color="auto" w:sz="4" w:space="0"/>
            </w:tcBorders>
            <w:noWrap w:val="0"/>
            <w:vAlign w:val="center"/>
          </w:tcPr>
          <w:p w14:paraId="72C1FAFC">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403717B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DF6C088">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1217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71" w:type="dxa"/>
            <w:gridSpan w:val="2"/>
            <w:tcBorders>
              <w:top w:val="single" w:color="auto" w:sz="4" w:space="0"/>
              <w:left w:val="single" w:color="auto" w:sz="4" w:space="0"/>
              <w:bottom w:val="single" w:color="auto" w:sz="4" w:space="0"/>
              <w:right w:val="single" w:color="auto" w:sz="4" w:space="0"/>
            </w:tcBorders>
            <w:noWrap w:val="0"/>
            <w:vAlign w:val="center"/>
          </w:tcPr>
          <w:p w14:paraId="4C5D068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685" w:type="dxa"/>
            <w:tcBorders>
              <w:left w:val="single" w:color="auto" w:sz="4" w:space="0"/>
              <w:right w:val="single" w:color="auto" w:sz="4" w:space="0"/>
            </w:tcBorders>
            <w:noWrap w:val="0"/>
            <w:vAlign w:val="center"/>
          </w:tcPr>
          <w:p w14:paraId="5C751D4F">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D6A7A3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7A385E">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bl>
    <w:p w14:paraId="4072797A">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1DAAA2C">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2.</w:t>
      </w:r>
      <w:r>
        <w:rPr>
          <w:rFonts w:hint="eastAsia" w:ascii="宋体" w:hAnsi="宋体" w:eastAsia="宋体" w:cs="宋体"/>
          <w:sz w:val="21"/>
          <w:szCs w:val="21"/>
        </w:rPr>
        <w:t>结论填写“合格”或“不合格”。</w:t>
      </w:r>
    </w:p>
    <w:p w14:paraId="124F4CE6">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4"/>
          <w:szCs w:val="24"/>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3.</w:t>
      </w:r>
      <w:r>
        <w:rPr>
          <w:rFonts w:hint="eastAsia" w:ascii="宋体" w:hAnsi="宋体" w:eastAsia="宋体" w:cs="宋体"/>
          <w:sz w:val="21"/>
          <w:szCs w:val="21"/>
        </w:rPr>
        <w:t>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2E566C09">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4.</w:t>
      </w:r>
      <w:r>
        <w:rPr>
          <w:rFonts w:hint="eastAsia" w:ascii="宋体" w:hAnsi="宋体" w:eastAsia="宋体" w:cs="宋体"/>
          <w:b/>
          <w:bCs/>
          <w:sz w:val="21"/>
          <w:szCs w:val="21"/>
        </w:rPr>
        <w:t>符合性审查</w:t>
      </w:r>
      <w:bookmarkEnd w:id="28"/>
    </w:p>
    <w:p w14:paraId="64D244B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4.1评标委员会应当对资格审查合格的</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进行符合性审查，以确定其是否满足</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w:t>
      </w:r>
    </w:p>
    <w:p w14:paraId="6A3E570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（1）依据</w:t>
      </w:r>
      <w:r>
        <w:rPr>
          <w:rFonts w:hint="eastAsia" w:ascii="宋体" w:hAnsi="宋体" w:eastAsia="宋体" w:cs="宋体"/>
          <w:sz w:val="21"/>
          <w:szCs w:val="21"/>
          <w:lang w:eastAsia="zh-CN"/>
        </w:rPr>
        <w:t>磋商文件</w:t>
      </w:r>
      <w:r>
        <w:rPr>
          <w:rFonts w:hint="eastAsia" w:ascii="宋体" w:hAnsi="宋体" w:eastAsia="宋体" w:cs="宋体"/>
          <w:sz w:val="21"/>
          <w:szCs w:val="21"/>
        </w:rPr>
        <w:t>的规定，从</w:t>
      </w:r>
      <w:r>
        <w:rPr>
          <w:rFonts w:hint="eastAsia" w:ascii="宋体" w:hAnsi="宋体" w:eastAsia="宋体" w:cs="宋体"/>
          <w:sz w:val="21"/>
          <w:szCs w:val="21"/>
          <w:lang w:eastAsia="zh-CN"/>
        </w:rPr>
        <w:t>响应文件</w:t>
      </w:r>
      <w:r>
        <w:rPr>
          <w:rFonts w:hint="eastAsia" w:ascii="宋体" w:hAnsi="宋体" w:eastAsia="宋体" w:cs="宋体"/>
          <w:sz w:val="21"/>
          <w:szCs w:val="21"/>
        </w:rPr>
        <w:t>的有效性、完整性和对</w:t>
      </w:r>
      <w:r>
        <w:rPr>
          <w:rFonts w:hint="eastAsia" w:ascii="宋体" w:hAnsi="宋体" w:eastAsia="宋体" w:cs="宋体"/>
          <w:sz w:val="21"/>
          <w:szCs w:val="21"/>
          <w:lang w:eastAsia="zh-CN"/>
        </w:rPr>
        <w:t>磋商文件</w:t>
      </w:r>
      <w:r>
        <w:rPr>
          <w:rFonts w:hint="eastAsia" w:ascii="宋体" w:hAnsi="宋体" w:eastAsia="宋体" w:cs="宋体"/>
          <w:sz w:val="21"/>
          <w:szCs w:val="21"/>
        </w:rPr>
        <w:t>的响应程度进行审查，以确定是否对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的实质性要求作出响应。评标委员会决定</w:t>
      </w:r>
      <w:r>
        <w:rPr>
          <w:rFonts w:hint="eastAsia" w:ascii="宋体" w:hAnsi="宋体" w:eastAsia="宋体" w:cs="宋体"/>
          <w:sz w:val="21"/>
          <w:szCs w:val="21"/>
          <w:lang w:eastAsia="zh-CN"/>
        </w:rPr>
        <w:t>响应文件</w:t>
      </w:r>
      <w:r>
        <w:rPr>
          <w:rFonts w:hint="eastAsia" w:ascii="宋体" w:hAnsi="宋体" w:eastAsia="宋体" w:cs="宋体"/>
          <w:sz w:val="21"/>
          <w:szCs w:val="21"/>
        </w:rPr>
        <w:t>的响应性只根据</w:t>
      </w:r>
      <w:r>
        <w:rPr>
          <w:rFonts w:hint="eastAsia" w:ascii="宋体" w:hAnsi="宋体" w:eastAsia="宋体" w:cs="宋体"/>
          <w:sz w:val="21"/>
          <w:szCs w:val="21"/>
          <w:lang w:eastAsia="zh-CN"/>
        </w:rPr>
        <w:t>响应文件</w:t>
      </w:r>
      <w:r>
        <w:rPr>
          <w:rFonts w:hint="eastAsia" w:ascii="宋体" w:hAnsi="宋体" w:eastAsia="宋体" w:cs="宋体"/>
          <w:sz w:val="21"/>
          <w:szCs w:val="21"/>
        </w:rPr>
        <w:t>真实无误的内容，而不依据外部的证据，但</w:t>
      </w:r>
      <w:r>
        <w:rPr>
          <w:rFonts w:hint="eastAsia" w:ascii="宋体" w:hAnsi="宋体" w:eastAsia="宋体" w:cs="宋体"/>
          <w:sz w:val="21"/>
          <w:szCs w:val="21"/>
          <w:lang w:eastAsia="zh-CN"/>
        </w:rPr>
        <w:t>响应文件</w:t>
      </w:r>
      <w:r>
        <w:rPr>
          <w:rFonts w:hint="eastAsia" w:ascii="宋体" w:hAnsi="宋体" w:eastAsia="宋体" w:cs="宋体"/>
          <w:sz w:val="21"/>
          <w:szCs w:val="21"/>
        </w:rPr>
        <w:t>有不真实、不正确的内容时除外。</w:t>
      </w:r>
    </w:p>
    <w:p w14:paraId="5D661FD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供应商</w:t>
      </w:r>
      <w:r>
        <w:rPr>
          <w:rFonts w:hint="eastAsia" w:ascii="宋体" w:hAnsi="宋体" w:eastAsia="宋体" w:cs="宋体"/>
          <w:sz w:val="21"/>
          <w:szCs w:val="21"/>
        </w:rPr>
        <w:t>不得通过修正或撤销</w:t>
      </w:r>
      <w:r>
        <w:rPr>
          <w:rFonts w:hint="eastAsia" w:ascii="宋体" w:hAnsi="宋体" w:eastAsia="宋体" w:cs="宋体"/>
          <w:sz w:val="21"/>
          <w:szCs w:val="21"/>
          <w:lang w:eastAsia="zh-CN"/>
        </w:rPr>
        <w:t>不符</w:t>
      </w:r>
      <w:r>
        <w:rPr>
          <w:rFonts w:hint="eastAsia" w:ascii="宋体" w:hAnsi="宋体" w:eastAsia="宋体" w:cs="宋体"/>
          <w:sz w:val="21"/>
          <w:szCs w:val="21"/>
        </w:rPr>
        <w:t>合要求的偏离从而使其投标成为实质上响应的投标。</w:t>
      </w:r>
    </w:p>
    <w:p w14:paraId="1917946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4.2</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22B62EF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中商务技术文件未按照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规定要求签署、盖章的；</w:t>
      </w:r>
    </w:p>
    <w:p w14:paraId="657D17B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响应文件</w:t>
      </w:r>
      <w:r>
        <w:rPr>
          <w:rFonts w:hint="eastAsia" w:ascii="宋体" w:hAnsi="宋体" w:eastAsia="宋体" w:cs="宋体"/>
          <w:sz w:val="21"/>
          <w:szCs w:val="21"/>
        </w:rPr>
        <w:t>没有对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的实质性要求和条件作出响应，或者对</w:t>
      </w:r>
      <w:r>
        <w:rPr>
          <w:rFonts w:hint="eastAsia" w:ascii="宋体" w:hAnsi="宋体" w:eastAsia="宋体" w:cs="宋体"/>
          <w:sz w:val="21"/>
          <w:szCs w:val="21"/>
          <w:lang w:eastAsia="zh-CN"/>
        </w:rPr>
        <w:t>磋商文件</w:t>
      </w:r>
      <w:r>
        <w:rPr>
          <w:rFonts w:hint="eastAsia" w:ascii="宋体" w:hAnsi="宋体" w:eastAsia="宋体" w:cs="宋体"/>
          <w:sz w:val="21"/>
          <w:szCs w:val="21"/>
        </w:rPr>
        <w:t>的偏差超出</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规定的偏差范围或最高项数；</w:t>
      </w:r>
    </w:p>
    <w:p w14:paraId="29F8A3F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（3）报价超过</w:t>
      </w:r>
      <w:r>
        <w:rPr>
          <w:rFonts w:hint="eastAsia" w:ascii="宋体" w:hAnsi="宋体" w:eastAsia="宋体" w:cs="宋体"/>
          <w:sz w:val="21"/>
          <w:szCs w:val="21"/>
          <w:lang w:eastAsia="zh-CN"/>
        </w:rPr>
        <w:t>磋商文件</w:t>
      </w:r>
      <w:r>
        <w:rPr>
          <w:rFonts w:hint="eastAsia" w:ascii="宋体" w:hAnsi="宋体" w:eastAsia="宋体" w:cs="宋体"/>
          <w:sz w:val="21"/>
          <w:szCs w:val="21"/>
        </w:rPr>
        <w:t xml:space="preserve">中规定的最高限价和最低价的； </w:t>
      </w:r>
    </w:p>
    <w:p w14:paraId="41BBAD9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响应文件有效期</w:t>
      </w:r>
      <w:r>
        <w:rPr>
          <w:rFonts w:hint="eastAsia" w:ascii="宋体" w:hAnsi="宋体" w:eastAsia="宋体" w:cs="宋体"/>
          <w:sz w:val="21"/>
          <w:szCs w:val="21"/>
        </w:rPr>
        <w:t>不足的；</w:t>
      </w:r>
    </w:p>
    <w:p w14:paraId="4E55F63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响应文件</w:t>
      </w:r>
      <w:r>
        <w:rPr>
          <w:rFonts w:hint="eastAsia" w:ascii="宋体" w:hAnsi="宋体" w:eastAsia="宋体" w:cs="宋体"/>
          <w:sz w:val="21"/>
          <w:szCs w:val="21"/>
        </w:rPr>
        <w:t>含有采购人不能接受的附加条件的；</w:t>
      </w:r>
    </w:p>
    <w:p w14:paraId="455D870A">
      <w:pPr>
        <w:keepNext w:val="0"/>
        <w:keepLines w:val="0"/>
        <w:pageBreakBefore w:val="0"/>
        <w:kinsoku/>
        <w:wordWrap/>
        <w:overflowPunct/>
        <w:topLinePunct w:val="0"/>
        <w:autoSpaceDE/>
        <w:autoSpaceDN/>
        <w:bidi w:val="0"/>
        <w:spacing w:beforeAutospacing="0" w:afterAutospacing="0" w:line="500" w:lineRule="exact"/>
        <w:ind w:left="0" w:leftChars="0" w:firstLine="420" w:firstLineChars="200"/>
        <w:jc w:val="left"/>
        <w:textAlignment w:val="auto"/>
        <w:outlineLvl w:val="0"/>
        <w:rPr>
          <w:rFonts w:hint="eastAsia" w:ascii="宋体" w:hAnsi="宋体" w:eastAsia="宋体" w:cs="宋体"/>
          <w:b/>
          <w:bCs/>
          <w:sz w:val="21"/>
          <w:szCs w:val="21"/>
          <w:lang w:val="en-US" w:eastAsia="zh-CN"/>
        </w:rPr>
      </w:pPr>
      <w:r>
        <w:rPr>
          <w:rFonts w:hint="eastAsia" w:ascii="宋体" w:hAnsi="宋体" w:eastAsia="宋体" w:cs="宋体"/>
          <w:sz w:val="21"/>
          <w:szCs w:val="21"/>
        </w:rPr>
        <w:t>（6）</w:t>
      </w:r>
      <w:r>
        <w:rPr>
          <w:rFonts w:hint="eastAsia" w:ascii="宋体" w:hAnsi="宋体" w:eastAsia="宋体" w:cs="宋体"/>
          <w:sz w:val="21"/>
          <w:szCs w:val="21"/>
          <w:lang w:eastAsia="zh-CN"/>
        </w:rPr>
        <w:t>法律法规</w:t>
      </w:r>
      <w:r>
        <w:rPr>
          <w:rFonts w:hint="eastAsia" w:ascii="宋体" w:hAnsi="宋体" w:eastAsia="宋体" w:cs="宋体"/>
          <w:sz w:val="21"/>
          <w:szCs w:val="21"/>
        </w:rPr>
        <w:t>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261A40C6">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r>
        <w:rPr>
          <w:rFonts w:hint="eastAsia" w:ascii="宋体" w:hAnsi="宋体" w:eastAsia="宋体" w:cs="宋体"/>
          <w:b/>
          <w:bCs/>
          <w:sz w:val="21"/>
          <w:szCs w:val="21"/>
          <w:lang w:val="en-US" w:eastAsia="zh-CN"/>
        </w:rPr>
        <w:t>附表2：</w:t>
      </w:r>
      <w:r>
        <w:rPr>
          <w:rFonts w:hint="eastAsia" w:ascii="宋体" w:hAnsi="宋体" w:eastAsia="宋体" w:cs="宋体"/>
          <w:b/>
          <w:bCs/>
          <w:sz w:val="21"/>
          <w:szCs w:val="21"/>
        </w:rPr>
        <w:t>符合性审查表</w:t>
      </w:r>
    </w:p>
    <w:tbl>
      <w:tblPr>
        <w:tblStyle w:val="39"/>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811"/>
        <w:gridCol w:w="1550"/>
        <w:gridCol w:w="1567"/>
        <w:gridCol w:w="1504"/>
      </w:tblGrid>
      <w:tr w14:paraId="730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6" w:type="dxa"/>
            <w:vMerge w:val="restart"/>
            <w:vAlign w:val="center"/>
          </w:tcPr>
          <w:p w14:paraId="1E8144E2">
            <w:pPr>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4811" w:type="dxa"/>
            <w:vMerge w:val="restart"/>
            <w:vAlign w:val="center"/>
          </w:tcPr>
          <w:p w14:paraId="77756307">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符合性审查</w:t>
            </w:r>
            <w:r>
              <w:rPr>
                <w:rFonts w:hint="eastAsia" w:ascii="宋体" w:hAnsi="宋体" w:eastAsia="宋体" w:cs="宋体"/>
                <w:b w:val="0"/>
                <w:bCs w:val="0"/>
                <w:sz w:val="21"/>
                <w:szCs w:val="21"/>
              </w:rPr>
              <w:t>内容</w:t>
            </w:r>
          </w:p>
        </w:tc>
        <w:tc>
          <w:tcPr>
            <w:tcW w:w="4621" w:type="dxa"/>
            <w:gridSpan w:val="3"/>
            <w:vAlign w:val="center"/>
          </w:tcPr>
          <w:p w14:paraId="197C79AE">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供应商</w:t>
            </w:r>
          </w:p>
        </w:tc>
      </w:tr>
      <w:tr w14:paraId="357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26" w:type="dxa"/>
            <w:vMerge w:val="continue"/>
            <w:vAlign w:val="center"/>
          </w:tcPr>
          <w:p w14:paraId="04FFD3A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4811" w:type="dxa"/>
            <w:vMerge w:val="continue"/>
            <w:vAlign w:val="center"/>
          </w:tcPr>
          <w:p w14:paraId="0FB1BCC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50" w:type="dxa"/>
            <w:vAlign w:val="center"/>
          </w:tcPr>
          <w:p w14:paraId="223D1059">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p>
        </w:tc>
        <w:tc>
          <w:tcPr>
            <w:tcW w:w="1567" w:type="dxa"/>
            <w:vAlign w:val="center"/>
          </w:tcPr>
          <w:p w14:paraId="14EA827D">
            <w:pPr>
              <w:keepNext w:val="0"/>
              <w:keepLines w:val="0"/>
              <w:pageBreakBefore w:val="0"/>
              <w:kinsoku/>
              <w:wordWrap/>
              <w:overflowPunct/>
              <w:topLinePunct w:val="0"/>
              <w:autoSpaceDE/>
              <w:autoSpaceDN/>
              <w:bidi w:val="0"/>
              <w:spacing w:line="500" w:lineRule="exact"/>
              <w:ind w:left="211" w:leftChars="0" w:hanging="211" w:hangingChars="100"/>
              <w:jc w:val="left"/>
              <w:textAlignment w:val="auto"/>
              <w:rPr>
                <w:rFonts w:hint="eastAsia" w:ascii="宋体" w:hAnsi="宋体" w:eastAsia="宋体" w:cs="宋体"/>
                <w:b/>
                <w:bCs/>
                <w:sz w:val="21"/>
                <w:szCs w:val="21"/>
                <w:lang w:eastAsia="zh-CN"/>
              </w:rPr>
            </w:pPr>
          </w:p>
        </w:tc>
        <w:tc>
          <w:tcPr>
            <w:tcW w:w="1504" w:type="dxa"/>
            <w:vAlign w:val="center"/>
          </w:tcPr>
          <w:p w14:paraId="5512C633">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p>
        </w:tc>
      </w:tr>
      <w:tr w14:paraId="5D3E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26" w:type="dxa"/>
            <w:vAlign w:val="center"/>
          </w:tcPr>
          <w:p w14:paraId="5CD3E307">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w:t>
            </w:r>
          </w:p>
        </w:tc>
        <w:tc>
          <w:tcPr>
            <w:tcW w:w="4811" w:type="dxa"/>
            <w:vAlign w:val="center"/>
          </w:tcPr>
          <w:p w14:paraId="7B41736A">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响应文件的签署、盖章符合磋商文件要求</w:t>
            </w:r>
          </w:p>
        </w:tc>
        <w:tc>
          <w:tcPr>
            <w:tcW w:w="1550" w:type="dxa"/>
          </w:tcPr>
          <w:p w14:paraId="03C31E22">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63A5383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2E62E22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2F4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26" w:type="dxa"/>
            <w:vAlign w:val="center"/>
          </w:tcPr>
          <w:p w14:paraId="0B448623">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2</w:t>
            </w:r>
          </w:p>
        </w:tc>
        <w:tc>
          <w:tcPr>
            <w:tcW w:w="4811" w:type="dxa"/>
            <w:vAlign w:val="center"/>
          </w:tcPr>
          <w:p w14:paraId="7156E3F3">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投标有效期满足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64B88DFE">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36E2F998">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4A7D4A2A">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5AD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6" w:type="dxa"/>
            <w:vAlign w:val="center"/>
          </w:tcPr>
          <w:p w14:paraId="4339DA19">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3</w:t>
            </w:r>
          </w:p>
        </w:tc>
        <w:tc>
          <w:tcPr>
            <w:tcW w:w="4811" w:type="dxa"/>
            <w:vAlign w:val="center"/>
          </w:tcPr>
          <w:p w14:paraId="1A6F29E4">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lang w:eastAsia="zh-CN"/>
              </w:rPr>
              <w:t>期</w:t>
            </w: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2A424A2F">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2BC2F0B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580D477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167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F25D37E">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4</w:t>
            </w:r>
          </w:p>
        </w:tc>
        <w:tc>
          <w:tcPr>
            <w:tcW w:w="4811" w:type="dxa"/>
            <w:vAlign w:val="center"/>
          </w:tcPr>
          <w:p w14:paraId="5962BDE9">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付款方式响应</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134612A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62CA7F6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62AE08C6">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5589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0ADFF95">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4811" w:type="dxa"/>
            <w:vAlign w:val="center"/>
          </w:tcPr>
          <w:p w14:paraId="5C21B8B0">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服务技术要求、成果满足磋商文件要求</w:t>
            </w:r>
          </w:p>
        </w:tc>
        <w:tc>
          <w:tcPr>
            <w:tcW w:w="1550" w:type="dxa"/>
          </w:tcPr>
          <w:p w14:paraId="44DBAF46">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744D4BC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4A746315">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602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26" w:type="dxa"/>
            <w:vAlign w:val="center"/>
          </w:tcPr>
          <w:p w14:paraId="0E9FAB99">
            <w:pPr>
              <w:keepNext w:val="0"/>
              <w:keepLines w:val="0"/>
              <w:pageBreakBefore w:val="0"/>
              <w:widowControl/>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811" w:type="dxa"/>
            <w:vAlign w:val="center"/>
          </w:tcPr>
          <w:p w14:paraId="5BA9A16A">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报价没有超过</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文件中规定的预算金额或者最高限价</w:t>
            </w:r>
          </w:p>
        </w:tc>
        <w:tc>
          <w:tcPr>
            <w:tcW w:w="1550" w:type="dxa"/>
          </w:tcPr>
          <w:p w14:paraId="27D06A89">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0B5B1E9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0E5AD7A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2ACE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26" w:type="dxa"/>
            <w:vAlign w:val="center"/>
          </w:tcPr>
          <w:p w14:paraId="3E76F924">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lang w:eastAsia="zh-CN"/>
              </w:rPr>
            </w:pPr>
            <w:r>
              <w:rPr>
                <w:rFonts w:hint="eastAsia" w:ascii="宋体" w:hAnsi="宋体" w:cs="宋体"/>
                <w:sz w:val="21"/>
                <w:szCs w:val="21"/>
                <w:highlight w:val="none"/>
                <w:lang w:val="en-US" w:eastAsia="zh-CN"/>
              </w:rPr>
              <w:t>7</w:t>
            </w:r>
          </w:p>
        </w:tc>
        <w:tc>
          <w:tcPr>
            <w:tcW w:w="4811" w:type="dxa"/>
            <w:vAlign w:val="center"/>
          </w:tcPr>
          <w:p w14:paraId="682C868A">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文件中没有不符合</w:t>
            </w:r>
            <w:r>
              <w:rPr>
                <w:rFonts w:hint="eastAsia" w:ascii="宋体" w:hAnsi="宋体" w:eastAsia="宋体" w:cs="宋体"/>
                <w:sz w:val="21"/>
                <w:szCs w:val="21"/>
                <w:highlight w:val="none"/>
                <w:lang w:eastAsia="zh-CN"/>
              </w:rPr>
              <w:t>法律法规</w:t>
            </w:r>
            <w:r>
              <w:rPr>
                <w:rFonts w:hint="eastAsia" w:ascii="宋体" w:hAnsi="宋体" w:eastAsia="宋体" w:cs="宋体"/>
                <w:sz w:val="21"/>
                <w:szCs w:val="21"/>
                <w:highlight w:val="none"/>
              </w:rPr>
              <w:t>和</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文件其他实质性规定</w:t>
            </w:r>
          </w:p>
        </w:tc>
        <w:tc>
          <w:tcPr>
            <w:tcW w:w="1550" w:type="dxa"/>
          </w:tcPr>
          <w:p w14:paraId="7F218C46">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0F407822">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639D6BD2">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12A0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7" w:type="dxa"/>
            <w:gridSpan w:val="2"/>
            <w:vAlign w:val="center"/>
          </w:tcPr>
          <w:p w14:paraId="4EC9F4DC">
            <w:pPr>
              <w:keepNext w:val="0"/>
              <w:keepLines w:val="0"/>
              <w:pageBreakBefore w:val="0"/>
              <w:widowControl/>
              <w:kinsoku/>
              <w:wordWrap/>
              <w:overflowPunct/>
              <w:topLinePunct w:val="0"/>
              <w:autoSpaceDE/>
              <w:autoSpaceDN/>
              <w:bidi w:val="0"/>
              <w:spacing w:beforeAutospacing="0" w:afterAutospacing="0" w:line="5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结论（合格/不合格）</w:t>
            </w:r>
          </w:p>
        </w:tc>
        <w:tc>
          <w:tcPr>
            <w:tcW w:w="1550" w:type="dxa"/>
          </w:tcPr>
          <w:p w14:paraId="75C72ABF">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4B875F14">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36B2B4DB">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bl>
    <w:p w14:paraId="15CCE3B8">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FACC712">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2.</w:t>
      </w:r>
      <w:r>
        <w:rPr>
          <w:rFonts w:hint="eastAsia" w:ascii="宋体" w:hAnsi="宋体" w:eastAsia="宋体" w:cs="宋体"/>
          <w:sz w:val="21"/>
          <w:szCs w:val="21"/>
        </w:rPr>
        <w:t>结论填写“合格”或“不合格”。</w:t>
      </w:r>
    </w:p>
    <w:p w14:paraId="2554F8B0">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3.</w:t>
      </w:r>
      <w:r>
        <w:rPr>
          <w:rFonts w:hint="eastAsia" w:ascii="宋体" w:hAnsi="宋体" w:eastAsia="宋体" w:cs="宋体"/>
          <w:sz w:val="21"/>
          <w:szCs w:val="21"/>
        </w:rPr>
        <w:t>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bookmarkStart w:id="29" w:name="_Toc508008701"/>
    </w:p>
    <w:p w14:paraId="49F36B62">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5.澄清有关问题</w:t>
      </w:r>
      <w:bookmarkEnd w:id="29"/>
    </w:p>
    <w:p w14:paraId="47D46E3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5.1对于</w:t>
      </w:r>
      <w:r>
        <w:rPr>
          <w:rFonts w:hint="eastAsia" w:ascii="宋体" w:hAnsi="宋体" w:eastAsia="宋体" w:cs="宋体"/>
          <w:sz w:val="21"/>
          <w:szCs w:val="21"/>
          <w:lang w:eastAsia="zh-CN"/>
        </w:rPr>
        <w:t>响应文件</w:t>
      </w:r>
      <w:r>
        <w:rPr>
          <w:rFonts w:hint="eastAsia" w:ascii="宋体" w:hAnsi="宋体" w:eastAsia="宋体" w:cs="宋体"/>
          <w:sz w:val="21"/>
          <w:szCs w:val="21"/>
        </w:rPr>
        <w:t>中含义不明确、同类问题表述不一致或者有明显文字和计算错误的内容，评标委员会应当以书面形式要求</w:t>
      </w:r>
      <w:r>
        <w:rPr>
          <w:rFonts w:hint="eastAsia" w:ascii="宋体" w:hAnsi="宋体" w:eastAsia="宋体" w:cs="宋体"/>
          <w:sz w:val="21"/>
          <w:szCs w:val="21"/>
          <w:lang w:eastAsia="zh-CN"/>
        </w:rPr>
        <w:t>供应商</w:t>
      </w:r>
      <w:r>
        <w:rPr>
          <w:rFonts w:hint="eastAsia" w:ascii="宋体" w:hAnsi="宋体" w:eastAsia="宋体" w:cs="宋体"/>
          <w:sz w:val="21"/>
          <w:szCs w:val="21"/>
        </w:rPr>
        <w:t>作出必要的澄清、说明或者补正。</w:t>
      </w:r>
    </w:p>
    <w:p w14:paraId="7E2DF8E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5.2</w:t>
      </w:r>
      <w:r>
        <w:rPr>
          <w:rFonts w:hint="eastAsia" w:ascii="宋体" w:hAnsi="宋体" w:eastAsia="宋体" w:cs="宋体"/>
          <w:sz w:val="21"/>
          <w:szCs w:val="21"/>
          <w:lang w:eastAsia="zh-CN"/>
        </w:rPr>
        <w:t>响应文件</w:t>
      </w:r>
      <w:r>
        <w:rPr>
          <w:rFonts w:hint="eastAsia" w:ascii="宋体" w:hAnsi="宋体" w:eastAsia="宋体" w:cs="宋体"/>
          <w:sz w:val="21"/>
          <w:szCs w:val="21"/>
        </w:rPr>
        <w:t>报价出现前后不一致的，除【评标方法及标准前附表】另有规定外，按照下列规定修正：</w:t>
      </w:r>
    </w:p>
    <w:p w14:paraId="6FE4DB7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中开标一览表内容与</w:t>
      </w:r>
      <w:r>
        <w:rPr>
          <w:rFonts w:hint="eastAsia" w:ascii="宋体" w:hAnsi="宋体" w:eastAsia="宋体" w:cs="宋体"/>
          <w:sz w:val="21"/>
          <w:szCs w:val="21"/>
          <w:lang w:eastAsia="zh-CN"/>
        </w:rPr>
        <w:t>响应文件</w:t>
      </w:r>
      <w:r>
        <w:rPr>
          <w:rFonts w:hint="eastAsia" w:ascii="宋体" w:hAnsi="宋体" w:eastAsia="宋体" w:cs="宋体"/>
          <w:sz w:val="21"/>
          <w:szCs w:val="21"/>
        </w:rPr>
        <w:t>中相应内容不一致的，以开标一览表为准；</w:t>
      </w:r>
    </w:p>
    <w:p w14:paraId="03ACA40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（2）大写金额和小写金额不一致的，以大写金额为准；</w:t>
      </w:r>
    </w:p>
    <w:p w14:paraId="5B38AC8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（3）单价金额小数点或者百分比有明显错位的，以</w:t>
      </w:r>
      <w:r>
        <w:rPr>
          <w:rFonts w:hint="eastAsia" w:ascii="宋体" w:hAnsi="宋体" w:eastAsia="宋体" w:cs="宋体"/>
          <w:sz w:val="21"/>
          <w:szCs w:val="21"/>
          <w:lang w:val="en-US" w:eastAsia="zh-CN"/>
        </w:rPr>
        <w:t>报价</w:t>
      </w:r>
      <w:r>
        <w:rPr>
          <w:rFonts w:hint="eastAsia" w:ascii="宋体" w:hAnsi="宋体" w:eastAsia="宋体" w:cs="宋体"/>
          <w:sz w:val="21"/>
          <w:szCs w:val="21"/>
        </w:rPr>
        <w:t>一览表的总价为准，并修改单价；</w:t>
      </w:r>
    </w:p>
    <w:p w14:paraId="0E2CAA2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（4）总价金额与按单价汇总金额不一致的，以单价金额计算结果为准。</w:t>
      </w:r>
    </w:p>
    <w:p w14:paraId="184D3BC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5.3</w:t>
      </w:r>
      <w:r>
        <w:rPr>
          <w:rFonts w:hint="eastAsia" w:ascii="宋体" w:hAnsi="宋体" w:eastAsia="宋体" w:cs="宋体"/>
          <w:sz w:val="21"/>
          <w:szCs w:val="21"/>
          <w:lang w:eastAsia="zh-CN"/>
        </w:rPr>
        <w:t>响应文件</w:t>
      </w:r>
      <w:r>
        <w:rPr>
          <w:rFonts w:hint="eastAsia" w:ascii="宋体" w:hAnsi="宋体" w:eastAsia="宋体" w:cs="宋体"/>
          <w:sz w:val="21"/>
          <w:szCs w:val="21"/>
        </w:rPr>
        <w:t>报价同时出现两种以上不一致的，按照前款规定的顺序修正。修正后的报价由</w:t>
      </w:r>
      <w:r>
        <w:rPr>
          <w:rFonts w:hint="eastAsia" w:ascii="宋体" w:hAnsi="宋体" w:eastAsia="宋体" w:cs="宋体"/>
          <w:sz w:val="21"/>
          <w:szCs w:val="21"/>
          <w:lang w:eastAsia="zh-CN"/>
        </w:rPr>
        <w:t>供应商</w:t>
      </w:r>
      <w:r>
        <w:rPr>
          <w:rFonts w:hint="eastAsia" w:ascii="宋体" w:hAnsi="宋体" w:eastAsia="宋体" w:cs="宋体"/>
          <w:sz w:val="21"/>
          <w:szCs w:val="21"/>
        </w:rPr>
        <w:t>代表签字或者加盖单</w:t>
      </w:r>
      <w:r>
        <w:rPr>
          <w:rFonts w:hint="eastAsia" w:ascii="宋体" w:hAnsi="宋体" w:eastAsia="宋体" w:cs="宋体"/>
          <w:sz w:val="21"/>
          <w:szCs w:val="21"/>
          <w:lang w:eastAsia="zh-CN"/>
        </w:rPr>
        <w:t>位公</w:t>
      </w:r>
      <w:r>
        <w:rPr>
          <w:rFonts w:hint="eastAsia" w:ascii="宋体" w:hAnsi="宋体" w:eastAsia="宋体" w:cs="宋体"/>
          <w:sz w:val="21"/>
          <w:szCs w:val="21"/>
        </w:rPr>
        <w:t>章确认后产生约束力，</w:t>
      </w:r>
      <w:r>
        <w:rPr>
          <w:rFonts w:hint="eastAsia" w:ascii="宋体" w:hAnsi="宋体" w:eastAsia="宋体" w:cs="宋体"/>
          <w:sz w:val="21"/>
          <w:szCs w:val="21"/>
          <w:lang w:eastAsia="zh-CN"/>
        </w:rPr>
        <w:t>供应商</w:t>
      </w:r>
      <w:r>
        <w:rPr>
          <w:rFonts w:hint="eastAsia" w:ascii="宋体" w:hAnsi="宋体" w:eastAsia="宋体" w:cs="宋体"/>
          <w:sz w:val="21"/>
          <w:szCs w:val="21"/>
        </w:rPr>
        <w:t>不确认的，其投标无效。</w:t>
      </w:r>
    </w:p>
    <w:p w14:paraId="63CA1EB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5.4</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的澄清、说明或者补正应当采用书面形式，并加盖公章，或者由法定代表人或其授权的代表签字，并按评标委员会的通知要求递交。</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的澄清、说明或者补正不得超出</w:t>
      </w:r>
      <w:r>
        <w:rPr>
          <w:rFonts w:hint="eastAsia" w:ascii="宋体" w:hAnsi="宋体" w:eastAsia="宋体" w:cs="宋体"/>
          <w:sz w:val="21"/>
          <w:szCs w:val="21"/>
          <w:lang w:eastAsia="zh-CN"/>
        </w:rPr>
        <w:t>响应文件</w:t>
      </w:r>
      <w:r>
        <w:rPr>
          <w:rFonts w:hint="eastAsia" w:ascii="宋体" w:hAnsi="宋体" w:eastAsia="宋体" w:cs="宋体"/>
          <w:sz w:val="21"/>
          <w:szCs w:val="21"/>
        </w:rPr>
        <w:t>的范围或者改变</w:t>
      </w:r>
      <w:r>
        <w:rPr>
          <w:rFonts w:hint="eastAsia" w:ascii="宋体" w:hAnsi="宋体" w:eastAsia="宋体" w:cs="宋体"/>
          <w:sz w:val="21"/>
          <w:szCs w:val="21"/>
          <w:lang w:eastAsia="zh-CN"/>
        </w:rPr>
        <w:t>响应文件</w:t>
      </w:r>
      <w:r>
        <w:rPr>
          <w:rFonts w:hint="eastAsia" w:ascii="宋体" w:hAnsi="宋体" w:eastAsia="宋体" w:cs="宋体"/>
          <w:sz w:val="21"/>
          <w:szCs w:val="21"/>
        </w:rPr>
        <w:t>的实质性内容。</w:t>
      </w:r>
    </w:p>
    <w:p w14:paraId="3F8819E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5.5有效的书面澄清材料，是</w:t>
      </w:r>
      <w:r>
        <w:rPr>
          <w:rFonts w:hint="eastAsia" w:ascii="宋体" w:hAnsi="宋体" w:eastAsia="宋体" w:cs="宋体"/>
          <w:sz w:val="21"/>
          <w:szCs w:val="21"/>
          <w:lang w:eastAsia="zh-CN"/>
        </w:rPr>
        <w:t>响应文件</w:t>
      </w:r>
      <w:r>
        <w:rPr>
          <w:rFonts w:hint="eastAsia" w:ascii="宋体" w:hAnsi="宋体" w:eastAsia="宋体" w:cs="宋体"/>
          <w:sz w:val="21"/>
          <w:szCs w:val="21"/>
        </w:rPr>
        <w:t>的补充材料，成为</w:t>
      </w:r>
      <w:r>
        <w:rPr>
          <w:rFonts w:hint="eastAsia" w:ascii="宋体" w:hAnsi="宋体" w:eastAsia="宋体" w:cs="宋体"/>
          <w:sz w:val="21"/>
          <w:szCs w:val="21"/>
          <w:lang w:eastAsia="zh-CN"/>
        </w:rPr>
        <w:t>响应文件</w:t>
      </w:r>
      <w:r>
        <w:rPr>
          <w:rFonts w:hint="eastAsia" w:ascii="宋体" w:hAnsi="宋体" w:eastAsia="宋体" w:cs="宋体"/>
          <w:sz w:val="21"/>
          <w:szCs w:val="21"/>
        </w:rPr>
        <w:t>的组成部分。</w:t>
      </w:r>
    </w:p>
    <w:p w14:paraId="080E38C8">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bookmarkStart w:id="30" w:name="_Toc508008702"/>
      <w:r>
        <w:rPr>
          <w:rFonts w:hint="eastAsia" w:ascii="宋体" w:hAnsi="宋体" w:eastAsia="宋体" w:cs="宋体"/>
          <w:b/>
          <w:bCs/>
          <w:sz w:val="21"/>
          <w:szCs w:val="21"/>
        </w:rPr>
        <w:t>6.比较与评价</w:t>
      </w:r>
      <w:bookmarkEnd w:id="30"/>
    </w:p>
    <w:p w14:paraId="6CF7636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6.1评标委员会应按照</w:t>
      </w:r>
      <w:r>
        <w:rPr>
          <w:rFonts w:hint="eastAsia" w:ascii="宋体" w:hAnsi="宋体" w:eastAsia="宋体" w:cs="宋体"/>
          <w:sz w:val="21"/>
          <w:szCs w:val="21"/>
          <w:lang w:eastAsia="zh-CN"/>
        </w:rPr>
        <w:t>磋商文件</w:t>
      </w:r>
      <w:r>
        <w:rPr>
          <w:rFonts w:hint="eastAsia" w:ascii="宋体" w:hAnsi="宋体" w:eastAsia="宋体" w:cs="宋体"/>
          <w:sz w:val="21"/>
          <w:szCs w:val="21"/>
        </w:rPr>
        <w:t>中规定的评标方法、标准和评标因素，对资格性检查和符合性检查合格的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进行评估，综合比较与评价。</w:t>
      </w:r>
    </w:p>
    <w:p w14:paraId="0071C35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6.2投标报价的修正或调整：</w:t>
      </w:r>
    </w:p>
    <w:p w14:paraId="1ED6814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（1）如果有算术错误，投标报价将按本章第4.2款进行算术修正及修正次序规则修正。</w:t>
      </w:r>
    </w:p>
    <w:p w14:paraId="3E36F3D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（2）评标基准价和投标报价按照上述顺序修正或调整。</w:t>
      </w:r>
    </w:p>
    <w:p w14:paraId="09C7B2E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6.3投标报价评价：价格分应当采用低价优先法计算，即满足</w:t>
      </w:r>
      <w:r>
        <w:rPr>
          <w:rFonts w:hint="eastAsia" w:ascii="宋体" w:hAnsi="宋体" w:eastAsia="宋体" w:cs="宋体"/>
          <w:sz w:val="21"/>
          <w:szCs w:val="21"/>
          <w:lang w:eastAsia="zh-CN"/>
        </w:rPr>
        <w:t>磋商文件</w:t>
      </w:r>
      <w:r>
        <w:rPr>
          <w:rFonts w:hint="eastAsia" w:ascii="宋体" w:hAnsi="宋体" w:eastAsia="宋体" w:cs="宋体"/>
          <w:sz w:val="21"/>
          <w:szCs w:val="21"/>
        </w:rPr>
        <w:t>要求且投标价格最低的投标报价为评标基准价，其价格分为满分（报价权重分）。其他</w:t>
      </w:r>
      <w:r>
        <w:rPr>
          <w:rFonts w:hint="eastAsia" w:ascii="宋体" w:hAnsi="宋体" w:eastAsia="宋体" w:cs="宋体"/>
          <w:sz w:val="21"/>
          <w:szCs w:val="21"/>
          <w:lang w:eastAsia="zh-CN"/>
        </w:rPr>
        <w:t>供应商</w:t>
      </w:r>
      <w:r>
        <w:rPr>
          <w:rFonts w:hint="eastAsia" w:ascii="宋体" w:hAnsi="宋体" w:eastAsia="宋体" w:cs="宋体"/>
          <w:sz w:val="21"/>
          <w:szCs w:val="21"/>
        </w:rPr>
        <w:t>的价格分统一按照下列公式计算：</w:t>
      </w:r>
    </w:p>
    <w:p w14:paraId="18E1199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投标报价得分=（评标基准价调整／） ×报价权重分</w:t>
      </w:r>
    </w:p>
    <w:p w14:paraId="567D847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6.4技术、商务等评分项响应评价</w:t>
      </w:r>
    </w:p>
    <w:p w14:paraId="3C71FD1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（1）技术、商务等评分项响应评分。按本章第1.2款规定的评标因素和标准，对技术、商务等评分项计算得分。</w:t>
      </w:r>
    </w:p>
    <w:p w14:paraId="11A2F8B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6.5评标总得分</w:t>
      </w:r>
    </w:p>
    <w:p w14:paraId="385605B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评标总得分＝F1＋F2＋……＋Fn</w:t>
      </w:r>
    </w:p>
    <w:p w14:paraId="452B2AC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F1、F2……Fn分别为各项评审因素的得分；</w:t>
      </w:r>
    </w:p>
    <w:p w14:paraId="4711F71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评标过程中，不得去掉报价中的最高报价和最低报价。</w:t>
      </w:r>
    </w:p>
    <w:p w14:paraId="6ECCE30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6.6评分分值计算保留小数点后两位，小数点后第三位“四舍五入”。</w:t>
      </w:r>
    </w:p>
    <w:p w14:paraId="7DF5409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6.7评标时，评标委员会各成员应当独立对每个</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进行评价、评分，然后汇总每个</w:t>
      </w:r>
      <w:r>
        <w:rPr>
          <w:rFonts w:hint="eastAsia" w:ascii="宋体" w:hAnsi="宋体" w:eastAsia="宋体" w:cs="宋体"/>
          <w:sz w:val="21"/>
          <w:szCs w:val="21"/>
          <w:lang w:eastAsia="zh-CN"/>
        </w:rPr>
        <w:t>供应商</w:t>
      </w:r>
      <w:r>
        <w:rPr>
          <w:rFonts w:hint="eastAsia" w:ascii="宋体" w:hAnsi="宋体" w:eastAsia="宋体" w:cs="宋体"/>
          <w:sz w:val="21"/>
          <w:szCs w:val="21"/>
        </w:rPr>
        <w:t>每项评分因素的得分。每个供应商的最终得分为所有磋商小组成员评分的算术平均值。</w:t>
      </w:r>
    </w:p>
    <w:p w14:paraId="7ABAFF9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6.8评审得分相同的，由采购人或者采购人委托评标委员会按照【评标方法及标准前附表】规定的方式确定一个</w:t>
      </w:r>
      <w:r>
        <w:rPr>
          <w:rFonts w:hint="eastAsia" w:ascii="宋体" w:hAnsi="宋体" w:eastAsia="宋体" w:cs="宋体"/>
          <w:sz w:val="21"/>
          <w:szCs w:val="21"/>
          <w:lang w:eastAsia="zh-CN"/>
        </w:rPr>
        <w:t>供应商</w:t>
      </w:r>
      <w:r>
        <w:rPr>
          <w:rFonts w:hint="eastAsia" w:ascii="宋体" w:hAnsi="宋体" w:eastAsia="宋体" w:cs="宋体"/>
          <w:sz w:val="21"/>
          <w:szCs w:val="21"/>
        </w:rPr>
        <w:t>获得</w:t>
      </w:r>
      <w:r>
        <w:rPr>
          <w:rFonts w:hint="eastAsia" w:ascii="宋体" w:hAnsi="宋体" w:eastAsia="宋体" w:cs="宋体"/>
          <w:sz w:val="21"/>
          <w:szCs w:val="21"/>
          <w:lang w:eastAsia="zh-CN"/>
        </w:rPr>
        <w:t>成交供应商</w:t>
      </w:r>
      <w:r>
        <w:rPr>
          <w:rFonts w:hint="eastAsia" w:ascii="宋体" w:hAnsi="宋体" w:eastAsia="宋体" w:cs="宋体"/>
          <w:sz w:val="21"/>
          <w:szCs w:val="21"/>
        </w:rPr>
        <w:t>推荐资格，</w:t>
      </w:r>
      <w:r>
        <w:rPr>
          <w:rFonts w:hint="eastAsia" w:ascii="宋体" w:hAnsi="宋体" w:eastAsia="宋体" w:cs="宋体"/>
          <w:sz w:val="21"/>
          <w:szCs w:val="21"/>
          <w:lang w:eastAsia="zh-CN"/>
        </w:rPr>
        <w:t>磋商文件</w:t>
      </w:r>
      <w:r>
        <w:rPr>
          <w:rFonts w:hint="eastAsia" w:ascii="宋体" w:hAnsi="宋体" w:eastAsia="宋体" w:cs="宋体"/>
          <w:sz w:val="21"/>
          <w:szCs w:val="21"/>
        </w:rPr>
        <w:t>未规定的采取随机抽取方式确定。</w:t>
      </w:r>
    </w:p>
    <w:p w14:paraId="358C7A11">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bookmarkStart w:id="31" w:name="_Toc508008703"/>
      <w:r>
        <w:rPr>
          <w:rFonts w:hint="eastAsia" w:ascii="宋体" w:hAnsi="宋体" w:eastAsia="宋体" w:cs="宋体"/>
          <w:b/>
          <w:bCs/>
          <w:sz w:val="21"/>
          <w:szCs w:val="21"/>
        </w:rPr>
        <w:t>7.</w:t>
      </w:r>
      <w:r>
        <w:rPr>
          <w:rFonts w:hint="eastAsia" w:ascii="宋体" w:hAnsi="宋体" w:eastAsia="宋体" w:cs="宋体"/>
          <w:b/>
          <w:bCs/>
          <w:sz w:val="21"/>
          <w:szCs w:val="21"/>
          <w:lang w:val="en-US" w:eastAsia="zh-CN"/>
        </w:rPr>
        <w:t>推荐成交</w:t>
      </w:r>
      <w:r>
        <w:rPr>
          <w:rFonts w:hint="eastAsia" w:ascii="宋体" w:hAnsi="宋体" w:eastAsia="宋体" w:cs="宋体"/>
          <w:b/>
          <w:bCs/>
          <w:sz w:val="21"/>
          <w:szCs w:val="21"/>
        </w:rPr>
        <w:t>候选人名单</w:t>
      </w:r>
      <w:bookmarkEnd w:id="31"/>
    </w:p>
    <w:p w14:paraId="69F54BB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7.1评标结果按评审后得分由高到低顺序排列。得分相同的，按投标报价由低到高顺序排列。得分与投标报价均相同的，按技术得分由高到低顺序排名。</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全部实质性要求，且按照评审因素的量化指标评审得分排名前三名的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w:t>
      </w:r>
    </w:p>
    <w:p w14:paraId="1ED31BCC">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bookmarkStart w:id="32" w:name="_Toc508008704"/>
      <w:r>
        <w:rPr>
          <w:rFonts w:hint="eastAsia" w:ascii="宋体" w:hAnsi="宋体" w:eastAsia="宋体" w:cs="宋体"/>
          <w:b/>
          <w:bCs/>
          <w:sz w:val="21"/>
          <w:szCs w:val="21"/>
        </w:rPr>
        <w:t>8.编写评</w:t>
      </w:r>
      <w:r>
        <w:rPr>
          <w:rFonts w:hint="eastAsia" w:ascii="宋体" w:hAnsi="宋体" w:eastAsia="宋体" w:cs="宋体"/>
          <w:b/>
          <w:bCs/>
          <w:sz w:val="21"/>
          <w:szCs w:val="21"/>
          <w:lang w:val="en-US" w:eastAsia="zh-CN"/>
        </w:rPr>
        <w:t>审</w:t>
      </w:r>
      <w:r>
        <w:rPr>
          <w:rFonts w:hint="eastAsia" w:ascii="宋体" w:hAnsi="宋体" w:eastAsia="宋体" w:cs="宋体"/>
          <w:b/>
          <w:bCs/>
          <w:sz w:val="21"/>
          <w:szCs w:val="21"/>
        </w:rPr>
        <w:t>报告</w:t>
      </w:r>
      <w:bookmarkEnd w:id="32"/>
    </w:p>
    <w:p w14:paraId="21F6B49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8.1评标委员会根据全体评标成员签字的原始评标记录和评标结果编写评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04BAC2A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8.2评标委员会成员对需要共同认定的事项存在争议的，应当按照少数服从多数的原则作出结论。持不同意见的评标委员会成员应当在评标报告上签署不同意见及理由，否则视为同意评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45D0A83D">
      <w:pPr>
        <w:keepNext w:val="0"/>
        <w:keepLines w:val="0"/>
        <w:pageBreakBefore w:val="0"/>
        <w:widowControl w:val="0"/>
        <w:kinsoku/>
        <w:wordWrap/>
        <w:overflowPunct/>
        <w:topLinePunct w:val="0"/>
        <w:autoSpaceDE/>
        <w:autoSpaceDN/>
        <w:bidi w:val="0"/>
        <w:spacing w:beforeAutospacing="0" w:afterAutospacing="0" w:line="470" w:lineRule="exact"/>
        <w:jc w:val="left"/>
        <w:textAlignment w:val="auto"/>
        <w:outlineLvl w:val="0"/>
        <w:rPr>
          <w:rFonts w:hint="eastAsia" w:ascii="宋体" w:hAnsi="宋体" w:eastAsia="宋体" w:cs="宋体"/>
          <w:sz w:val="21"/>
          <w:szCs w:val="21"/>
        </w:rPr>
      </w:pPr>
      <w:bookmarkStart w:id="33" w:name="_Toc508008705"/>
      <w:r>
        <w:rPr>
          <w:rFonts w:hint="eastAsia" w:ascii="宋体" w:hAnsi="宋体" w:eastAsia="宋体" w:cs="宋体"/>
          <w:sz w:val="21"/>
          <w:szCs w:val="21"/>
        </w:rPr>
        <w:t>9.评</w:t>
      </w:r>
      <w:r>
        <w:rPr>
          <w:rFonts w:hint="eastAsia" w:ascii="宋体" w:hAnsi="宋体" w:eastAsia="宋体" w:cs="宋体"/>
          <w:sz w:val="21"/>
          <w:szCs w:val="21"/>
          <w:lang w:val="en-US" w:eastAsia="zh-CN"/>
        </w:rPr>
        <w:t>审</w:t>
      </w:r>
      <w:r>
        <w:rPr>
          <w:rFonts w:hint="eastAsia" w:ascii="宋体" w:hAnsi="宋体" w:eastAsia="宋体" w:cs="宋体"/>
          <w:sz w:val="21"/>
          <w:szCs w:val="21"/>
        </w:rPr>
        <w:t>报告复核</w:t>
      </w:r>
      <w:bookmarkEnd w:id="33"/>
    </w:p>
    <w:p w14:paraId="3E0F3C5C">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9.1汇总完成后，除下列情形外，任何人不得修改评标结果：</w:t>
      </w:r>
    </w:p>
    <w:p w14:paraId="21491D9F">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（1）分值汇总计算错误的；</w:t>
      </w:r>
    </w:p>
    <w:p w14:paraId="0C3F8C6E">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（2）分项评分超出评分标准范围的；</w:t>
      </w:r>
    </w:p>
    <w:p w14:paraId="2EF9FAB1">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（3）评标委员会成员对客观评审因素评分不一致的；</w:t>
      </w:r>
    </w:p>
    <w:p w14:paraId="1C1ED604">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（4）经评标委员会认定评分畸高、畸低的。</w:t>
      </w:r>
    </w:p>
    <w:p w14:paraId="2C3802AF">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9.2评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报告签署前，经复核发现存在以上情形之一的，评标委员会应当当场修改评</w:t>
      </w:r>
      <w:r>
        <w:rPr>
          <w:rFonts w:hint="eastAsia" w:ascii="宋体" w:hAnsi="宋体" w:eastAsia="宋体" w:cs="宋体"/>
          <w:sz w:val="21"/>
          <w:szCs w:val="21"/>
          <w:lang w:val="en-US" w:eastAsia="zh-CN"/>
        </w:rPr>
        <w:t>审</w:t>
      </w:r>
      <w:r>
        <w:rPr>
          <w:rFonts w:hint="eastAsia" w:ascii="宋体" w:hAnsi="宋体" w:eastAsia="宋体" w:cs="宋体"/>
          <w:sz w:val="21"/>
          <w:szCs w:val="21"/>
        </w:rPr>
        <w:t>结果，并在评</w:t>
      </w:r>
      <w:r>
        <w:rPr>
          <w:rFonts w:hint="eastAsia" w:ascii="宋体" w:hAnsi="宋体" w:eastAsia="宋体" w:cs="宋体"/>
          <w:sz w:val="21"/>
          <w:szCs w:val="21"/>
          <w:lang w:val="en-US" w:eastAsia="zh-CN"/>
        </w:rPr>
        <w:t>审</w:t>
      </w:r>
      <w:r>
        <w:rPr>
          <w:rFonts w:hint="eastAsia" w:ascii="宋体" w:hAnsi="宋体" w:eastAsia="宋体" w:cs="宋体"/>
          <w:sz w:val="21"/>
          <w:szCs w:val="21"/>
        </w:rPr>
        <w:t>报告中记载；评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报告签署后，采购人或者采购代理机构发现存在以上情形之一的，应当组织原评标委员会进行重新评审，重新评审改变评</w:t>
      </w:r>
      <w:r>
        <w:rPr>
          <w:rFonts w:hint="eastAsia" w:ascii="宋体" w:hAnsi="宋体" w:eastAsia="宋体" w:cs="宋体"/>
          <w:sz w:val="21"/>
          <w:szCs w:val="21"/>
          <w:lang w:val="en-US" w:eastAsia="zh-CN"/>
        </w:rPr>
        <w:t>审</w:t>
      </w:r>
      <w:r>
        <w:rPr>
          <w:rFonts w:hint="eastAsia" w:ascii="宋体" w:hAnsi="宋体" w:eastAsia="宋体" w:cs="宋体"/>
          <w:sz w:val="21"/>
          <w:szCs w:val="21"/>
        </w:rPr>
        <w:t>结果的，书面报告监督管理部门。</w:t>
      </w:r>
    </w:p>
    <w:p w14:paraId="7D791EEE">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9.3</w:t>
      </w:r>
      <w:r>
        <w:rPr>
          <w:rFonts w:hint="eastAsia" w:ascii="宋体" w:hAnsi="宋体" w:eastAsia="宋体" w:cs="宋体"/>
          <w:sz w:val="21"/>
          <w:szCs w:val="21"/>
          <w:lang w:eastAsia="zh-CN"/>
        </w:rPr>
        <w:t>供应商</w:t>
      </w:r>
      <w:r>
        <w:rPr>
          <w:rFonts w:hint="eastAsia" w:ascii="宋体" w:hAnsi="宋体" w:eastAsia="宋体" w:cs="宋体"/>
          <w:sz w:val="21"/>
          <w:szCs w:val="21"/>
        </w:rPr>
        <w:t>对本条第一款情形提出质疑的，采购人或者采购代理机构可以组织原评标委员会进行重新评审，重新评审改变评标结果的，书面报告监督管理部门。</w:t>
      </w:r>
    </w:p>
    <w:p w14:paraId="678BD447">
      <w:pPr>
        <w:keepNext w:val="0"/>
        <w:keepLines w:val="0"/>
        <w:pageBreakBefore w:val="0"/>
        <w:widowControl w:val="0"/>
        <w:kinsoku/>
        <w:wordWrap/>
        <w:overflowPunct/>
        <w:topLinePunct w:val="0"/>
        <w:autoSpaceDE/>
        <w:autoSpaceDN/>
        <w:bidi w:val="0"/>
        <w:spacing w:beforeAutospacing="0" w:afterAutospacing="0" w:line="470" w:lineRule="exact"/>
        <w:jc w:val="left"/>
        <w:textAlignment w:val="auto"/>
        <w:outlineLvl w:val="0"/>
        <w:rPr>
          <w:rFonts w:hint="eastAsia" w:ascii="宋体" w:hAnsi="宋体" w:eastAsia="宋体" w:cs="宋体"/>
          <w:b/>
          <w:bCs/>
          <w:sz w:val="21"/>
          <w:szCs w:val="21"/>
        </w:rPr>
      </w:pPr>
      <w:bookmarkStart w:id="34" w:name="_Toc508008706"/>
      <w:r>
        <w:rPr>
          <w:rFonts w:hint="eastAsia" w:ascii="宋体" w:hAnsi="宋体" w:eastAsia="宋体" w:cs="宋体"/>
          <w:b/>
          <w:bCs/>
          <w:sz w:val="21"/>
          <w:szCs w:val="21"/>
        </w:rPr>
        <w:t>10.停止评标</w:t>
      </w:r>
      <w:bookmarkEnd w:id="34"/>
    </w:p>
    <w:p w14:paraId="3FBD4773">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10.1评标委员会发现</w:t>
      </w:r>
      <w:r>
        <w:rPr>
          <w:rFonts w:hint="eastAsia" w:ascii="宋体" w:hAnsi="宋体" w:eastAsia="宋体" w:cs="宋体"/>
          <w:sz w:val="21"/>
          <w:szCs w:val="21"/>
          <w:lang w:eastAsia="zh-CN"/>
        </w:rPr>
        <w:t>磋商文件</w:t>
      </w:r>
      <w:r>
        <w:rPr>
          <w:rFonts w:hint="eastAsia" w:ascii="宋体" w:hAnsi="宋体" w:eastAsia="宋体" w:cs="宋体"/>
          <w:sz w:val="21"/>
          <w:szCs w:val="21"/>
        </w:rPr>
        <w:t>存在歧义、重大缺陷导致评标工作无法进行，或者</w:t>
      </w:r>
      <w:r>
        <w:rPr>
          <w:rFonts w:hint="eastAsia" w:ascii="宋体" w:hAnsi="宋体" w:eastAsia="宋体" w:cs="宋体"/>
          <w:sz w:val="21"/>
          <w:szCs w:val="21"/>
          <w:lang w:eastAsia="zh-CN"/>
        </w:rPr>
        <w:t>磋商文件</w:t>
      </w:r>
      <w:r>
        <w:rPr>
          <w:rFonts w:hint="eastAsia" w:ascii="宋体" w:hAnsi="宋体" w:eastAsia="宋体" w:cs="宋体"/>
          <w:sz w:val="21"/>
          <w:szCs w:val="21"/>
        </w:rPr>
        <w:t>内容违反国家有关强制性规定的，应当停止评标工作，与采购人或者采购代理机构沟通并作书面记录。采购人或者采购代理机构确认后，应当修改</w:t>
      </w:r>
      <w:r>
        <w:rPr>
          <w:rFonts w:hint="eastAsia" w:ascii="宋体" w:hAnsi="宋体" w:eastAsia="宋体" w:cs="宋体"/>
          <w:sz w:val="21"/>
          <w:szCs w:val="21"/>
          <w:lang w:eastAsia="zh-CN"/>
        </w:rPr>
        <w:t>磋商文件</w:t>
      </w:r>
      <w:r>
        <w:rPr>
          <w:rFonts w:hint="eastAsia" w:ascii="宋体" w:hAnsi="宋体" w:eastAsia="宋体" w:cs="宋体"/>
          <w:sz w:val="21"/>
          <w:szCs w:val="21"/>
        </w:rPr>
        <w:t>，重新组织采购活动。</w:t>
      </w:r>
    </w:p>
    <w:p w14:paraId="6F52A810">
      <w:pPr>
        <w:keepNext w:val="0"/>
        <w:keepLines w:val="0"/>
        <w:pageBreakBefore w:val="0"/>
        <w:widowControl w:val="0"/>
        <w:kinsoku/>
        <w:wordWrap/>
        <w:overflowPunct/>
        <w:topLinePunct w:val="0"/>
        <w:autoSpaceDE/>
        <w:autoSpaceDN/>
        <w:bidi w:val="0"/>
        <w:spacing w:beforeAutospacing="0" w:afterAutospacing="0" w:line="470" w:lineRule="exact"/>
        <w:jc w:val="left"/>
        <w:textAlignment w:val="auto"/>
        <w:outlineLvl w:val="0"/>
        <w:rPr>
          <w:rFonts w:hint="eastAsia" w:ascii="宋体" w:hAnsi="宋体" w:eastAsia="宋体" w:cs="宋体"/>
          <w:b/>
          <w:bCs/>
          <w:sz w:val="21"/>
          <w:szCs w:val="21"/>
        </w:rPr>
      </w:pPr>
      <w:bookmarkStart w:id="35" w:name="_Toc508008707"/>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.重新组建评标委员会进行评标</w:t>
      </w:r>
      <w:bookmarkEnd w:id="35"/>
    </w:p>
    <w:p w14:paraId="4EBAB04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.1评标委员会或者其成员存在下列情形导致评标结果无效的，采购人、采购代理机构可以重新组建评标委员会进行评标，并书面报告监督管理部门，但采购合同已经履行的除外：</w:t>
      </w:r>
    </w:p>
    <w:p w14:paraId="417765D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（1）评标委员会组成不符合《政府采购货物和服务招标投标管理办法》规定的；</w:t>
      </w:r>
    </w:p>
    <w:p w14:paraId="242BC5F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（2）有《政府采购货物和服务招标投标管理办法》第六十二条第一至五项情形的；</w:t>
      </w:r>
    </w:p>
    <w:p w14:paraId="57A1A8E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（3）评标委员会及其成员独立评标受到非法干预的；</w:t>
      </w:r>
    </w:p>
    <w:p w14:paraId="5963934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（4）有政府采购法实施条例第七十五条规定的违法行为的。</w:t>
      </w:r>
    </w:p>
    <w:p w14:paraId="22CCD55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10</w:t>
      </w:r>
      <w:r>
        <w:rPr>
          <w:rFonts w:hint="eastAsia" w:ascii="宋体" w:hAnsi="宋体" w:eastAsia="宋体" w:cs="宋体"/>
          <w:sz w:val="21"/>
          <w:szCs w:val="21"/>
        </w:rPr>
        <w:t>.2有违法违规行为的原评标委员会成员不得参加重新组建的评标委员会。</w:t>
      </w:r>
    </w:p>
    <w:p w14:paraId="0796D561">
      <w:pPr>
        <w:keepNext w:val="0"/>
        <w:keepLines w:val="0"/>
        <w:pageBreakBefore w:val="0"/>
        <w:widowControl w:val="0"/>
        <w:kinsoku/>
        <w:wordWrap/>
        <w:overflowPunct/>
        <w:topLinePunct w:val="0"/>
        <w:autoSpaceDE/>
        <w:autoSpaceDN/>
        <w:bidi w:val="0"/>
        <w:spacing w:beforeAutospacing="0" w:afterAutospacing="0" w:line="400" w:lineRule="exact"/>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附表：评审因素及评分标准</w:t>
      </w:r>
    </w:p>
    <w:tbl>
      <w:tblPr>
        <w:tblStyle w:val="39"/>
        <w:tblW w:w="0" w:type="auto"/>
        <w:tblInd w:w="113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3526"/>
        <w:gridCol w:w="2927"/>
      </w:tblGrid>
      <w:tr w14:paraId="7C032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12" w:type="dxa"/>
            <w:vAlign w:val="center"/>
          </w:tcPr>
          <w:p w14:paraId="07D4D66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526" w:type="dxa"/>
            <w:vAlign w:val="center"/>
          </w:tcPr>
          <w:p w14:paraId="22AA1AF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2927" w:type="dxa"/>
            <w:vAlign w:val="center"/>
          </w:tcPr>
          <w:p w14:paraId="6B4374C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权值范围</w:t>
            </w:r>
          </w:p>
        </w:tc>
      </w:tr>
      <w:tr w14:paraId="44309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1012" w:type="dxa"/>
            <w:vAlign w:val="center"/>
          </w:tcPr>
          <w:p w14:paraId="56346196">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26" w:type="dxa"/>
            <w:vAlign w:val="center"/>
          </w:tcPr>
          <w:p w14:paraId="4570BABA">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w:t>
            </w:r>
          </w:p>
        </w:tc>
        <w:tc>
          <w:tcPr>
            <w:tcW w:w="2927" w:type="dxa"/>
            <w:vAlign w:val="center"/>
          </w:tcPr>
          <w:p w14:paraId="0B2771A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r>
      <w:tr w14:paraId="73122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3" w:hRule="atLeast"/>
        </w:trPr>
        <w:tc>
          <w:tcPr>
            <w:tcW w:w="1012" w:type="dxa"/>
            <w:vAlign w:val="center"/>
          </w:tcPr>
          <w:p w14:paraId="39534681">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526" w:type="dxa"/>
            <w:vAlign w:val="center"/>
          </w:tcPr>
          <w:p w14:paraId="4A0BD4A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2927" w:type="dxa"/>
            <w:vAlign w:val="center"/>
          </w:tcPr>
          <w:p w14:paraId="34A0BE81">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p>
        </w:tc>
      </w:tr>
      <w:tr w14:paraId="5B80B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1012" w:type="dxa"/>
            <w:vAlign w:val="center"/>
          </w:tcPr>
          <w:p w14:paraId="1BD5287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526" w:type="dxa"/>
            <w:shd w:val="clear" w:color="auto" w:fill="auto"/>
            <w:vAlign w:val="center"/>
          </w:tcPr>
          <w:p w14:paraId="2FED422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w:t>
            </w:r>
          </w:p>
        </w:tc>
        <w:tc>
          <w:tcPr>
            <w:tcW w:w="2927" w:type="dxa"/>
            <w:shd w:val="clear" w:color="auto" w:fill="auto"/>
            <w:vAlign w:val="center"/>
          </w:tcPr>
          <w:p w14:paraId="0E0485DB">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p>
        </w:tc>
      </w:tr>
      <w:tr w14:paraId="30DDF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4538" w:type="dxa"/>
            <w:gridSpan w:val="2"/>
            <w:vAlign w:val="center"/>
          </w:tcPr>
          <w:p w14:paraId="70B68060">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∑(1+2+3)=100</w:t>
            </w:r>
          </w:p>
        </w:tc>
        <w:tc>
          <w:tcPr>
            <w:tcW w:w="2927" w:type="dxa"/>
            <w:vAlign w:val="center"/>
          </w:tcPr>
          <w:p w14:paraId="0D09945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14:paraId="1D73953D">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附表：评审因素及评分标准</w:t>
      </w:r>
    </w:p>
    <w:tbl>
      <w:tblPr>
        <w:tblStyle w:val="39"/>
        <w:tblW w:w="10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113"/>
        <w:gridCol w:w="1296"/>
        <w:gridCol w:w="636"/>
        <w:gridCol w:w="7231"/>
      </w:tblGrid>
      <w:tr w14:paraId="291D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400283F1">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47983C">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评审因素</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4FE00CF9">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分值</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486717B0">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tc>
      </w:tr>
      <w:tr w14:paraId="0A73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jc w:val="center"/>
        </w:trPr>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6932BFF5">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8B010BE">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价格部分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67173AF">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投标报价</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7234C6BC">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100</w:t>
            </w:r>
            <w:r>
              <w:rPr>
                <w:rFonts w:hint="eastAsia" w:ascii="宋体" w:hAnsi="宋体" w:eastAsia="宋体" w:cs="宋体"/>
                <w:sz w:val="21"/>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3968D42F">
            <w:pPr>
              <w:keepNext w:val="0"/>
              <w:keepLines w:val="0"/>
              <w:pageBreakBefore w:val="0"/>
              <w:widowControl/>
              <w:kinsoku/>
              <w:wordWrap/>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以</w:t>
            </w:r>
            <w:r>
              <w:rPr>
                <w:rFonts w:hint="eastAsia" w:ascii="宋体" w:hAnsi="宋体" w:eastAsia="宋体" w:cs="宋体"/>
                <w:color w:val="000000"/>
                <w:kern w:val="0"/>
                <w:sz w:val="21"/>
                <w:szCs w:val="21"/>
              </w:rPr>
              <w:t>经评审小组一致认定满足磋商文件要求</w:t>
            </w:r>
            <w:r>
              <w:rPr>
                <w:rFonts w:hint="eastAsia" w:ascii="宋体" w:hAnsi="宋体" w:eastAsia="宋体" w:cs="宋体"/>
                <w:sz w:val="21"/>
                <w:szCs w:val="21"/>
              </w:rPr>
              <w:t>且经调整后的最后报价最低的供应商的价格为评审基准价，其价格分为满分。其他供应商的价格得分统一按公式计算：报价得分＝评标基准价÷投标报价×投标报价分值。</w:t>
            </w:r>
          </w:p>
          <w:p w14:paraId="5D8F4E63">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eastAsia="宋体" w:cs="宋体"/>
                <w:b/>
                <w:bCs/>
                <w:sz w:val="21"/>
                <w:szCs w:val="21"/>
              </w:rPr>
              <w:t>注：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6ABE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exact"/>
          <w:jc w:val="center"/>
        </w:trPr>
        <w:tc>
          <w:tcPr>
            <w:tcW w:w="689" w:type="dxa"/>
            <w:vMerge w:val="restart"/>
            <w:tcBorders>
              <w:left w:val="single" w:color="auto" w:sz="4" w:space="0"/>
              <w:right w:val="single" w:color="auto" w:sz="4" w:space="0"/>
            </w:tcBorders>
            <w:shd w:val="clear" w:color="auto" w:fill="auto"/>
            <w:vAlign w:val="center"/>
          </w:tcPr>
          <w:p w14:paraId="5F2EB2EE">
            <w:pPr>
              <w:keepNext w:val="0"/>
              <w:keepLines w:val="0"/>
              <w:pageBreakBefore w:val="0"/>
              <w:kinsoku/>
              <w:wordWrap/>
              <w:overflowPunct/>
              <w:topLinePunct w:val="0"/>
              <w:autoSpaceDE/>
              <w:autoSpaceDN/>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13" w:type="dxa"/>
            <w:vMerge w:val="restart"/>
            <w:tcBorders>
              <w:left w:val="single" w:color="auto" w:sz="4" w:space="0"/>
              <w:right w:val="single" w:color="auto" w:sz="4" w:space="0"/>
            </w:tcBorders>
            <w:shd w:val="clear" w:color="auto" w:fill="auto"/>
            <w:vAlign w:val="center"/>
          </w:tcPr>
          <w:p w14:paraId="53BE3C86">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color w:val="auto"/>
                <w:sz w:val="21"/>
                <w:szCs w:val="21"/>
                <w:highlight w:val="none"/>
              </w:rPr>
              <w:t>商务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57E69755">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仿宋" w:eastAsiaTheme="minorEastAsia"/>
                <w:snapToGrid w:val="0"/>
                <w:color w:val="000000" w:themeColor="text1"/>
                <w:kern w:val="0"/>
                <w:sz w:val="21"/>
                <w:szCs w:val="21"/>
                <w:lang w:val="en-US" w:eastAsia="zh-CN" w:bidi="ar-SA"/>
              </w:rPr>
            </w:pPr>
            <w:r>
              <w:rPr>
                <w:rFonts w:hint="eastAsia" w:ascii="宋体" w:hAnsi="宋体" w:cs="仿宋"/>
                <w:snapToGrid w:val="0"/>
                <w:color w:val="000000" w:themeColor="text1"/>
                <w:kern w:val="0"/>
                <w:szCs w:val="21"/>
              </w:rPr>
              <w:t>项目负责人</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73F45C86">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lang w:val="en-US" w:eastAsia="zh-CN"/>
              </w:rPr>
            </w:pPr>
            <w:r>
              <w:rPr>
                <w:rFonts w:hint="eastAsia" w:ascii="宋体" w:hAnsi="宋体" w:cs="仿宋"/>
                <w:snapToGrid w:val="0"/>
                <w:color w:val="000000" w:themeColor="text1"/>
                <w:kern w:val="0"/>
                <w:szCs w:val="21"/>
                <w:lang w:val="en-US" w:eastAsia="zh-CN"/>
              </w:rPr>
              <w:t>50</w:t>
            </w:r>
            <w:r>
              <w:rPr>
                <w:rFonts w:hint="eastAsia" w:ascii="宋体" w:hAnsi="宋体" w:cs="仿宋"/>
                <w:snapToGrid w:val="0"/>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732B378B">
            <w:pPr>
              <w:keepNext w:val="0"/>
              <w:keepLines w:val="0"/>
              <w:pageBreakBefore w:val="0"/>
              <w:numPr>
                <w:ilvl w:val="0"/>
                <w:numId w:val="0"/>
              </w:numPr>
              <w:kinsoku/>
              <w:wordWrap/>
              <w:overflowPunct/>
              <w:topLinePunct w:val="0"/>
              <w:autoSpaceDE/>
              <w:autoSpaceDN/>
              <w:bidi w:val="0"/>
              <w:spacing w:line="400" w:lineRule="exact"/>
              <w:textAlignment w:val="auto"/>
              <w:rPr>
                <w:rFonts w:hint="eastAsia" w:ascii="宋体" w:hAnsi="宋体" w:cs="仿宋"/>
                <w:color w:val="000000" w:themeColor="text1"/>
                <w:szCs w:val="21"/>
              </w:rPr>
            </w:pPr>
            <w:r>
              <w:rPr>
                <w:rFonts w:hint="eastAsia" w:ascii="宋体" w:hAnsi="宋体" w:cs="仿宋"/>
                <w:color w:val="000000" w:themeColor="text1"/>
                <w:szCs w:val="21"/>
                <w:lang w:val="en-US" w:eastAsia="zh-CN"/>
              </w:rPr>
              <w:t>1.</w:t>
            </w:r>
            <w:r>
              <w:rPr>
                <w:rFonts w:hint="eastAsia" w:ascii="宋体" w:hAnsi="宋体" w:cs="仿宋"/>
                <w:color w:val="000000" w:themeColor="text1"/>
                <w:szCs w:val="21"/>
              </w:rPr>
              <w:t>具有国土空间规划(城乡规划或城市规划)正高级技术职称的，计</w:t>
            </w:r>
            <w:r>
              <w:rPr>
                <w:rFonts w:hint="eastAsia" w:ascii="宋体" w:hAnsi="宋体" w:cs="仿宋"/>
                <w:color w:val="000000" w:themeColor="text1"/>
                <w:szCs w:val="21"/>
                <w:lang w:val="en-US" w:eastAsia="zh-CN"/>
              </w:rPr>
              <w:t>20</w:t>
            </w:r>
            <w:r>
              <w:rPr>
                <w:rFonts w:hint="eastAsia" w:ascii="宋体" w:hAnsi="宋体" w:cs="仿宋"/>
                <w:color w:val="000000" w:themeColor="text1"/>
                <w:szCs w:val="21"/>
              </w:rPr>
              <w:t>分</w:t>
            </w:r>
          </w:p>
          <w:p w14:paraId="61F976BC">
            <w:pPr>
              <w:keepNext w:val="0"/>
              <w:keepLines w:val="0"/>
              <w:pageBreakBefore w:val="0"/>
              <w:numPr>
                <w:ilvl w:val="0"/>
                <w:numId w:val="0"/>
              </w:numPr>
              <w:kinsoku/>
              <w:wordWrap/>
              <w:overflowPunct/>
              <w:topLinePunct w:val="0"/>
              <w:autoSpaceDE/>
              <w:autoSpaceDN/>
              <w:bidi w:val="0"/>
              <w:spacing w:line="400" w:lineRule="exact"/>
              <w:textAlignment w:val="auto"/>
              <w:rPr>
                <w:rFonts w:hint="eastAsia" w:ascii="宋体" w:hAnsi="宋体" w:cs="仿宋"/>
                <w:color w:val="000000" w:themeColor="text1"/>
                <w:szCs w:val="21"/>
              </w:rPr>
            </w:pPr>
            <w:r>
              <w:rPr>
                <w:rFonts w:hint="eastAsia" w:ascii="宋体" w:hAnsi="宋体" w:cs="仿宋"/>
                <w:color w:val="000000" w:themeColor="text1"/>
                <w:szCs w:val="21"/>
                <w:lang w:val="en-US" w:eastAsia="zh-CN"/>
              </w:rPr>
              <w:t>2.</w:t>
            </w:r>
            <w:r>
              <w:rPr>
                <w:rFonts w:hint="eastAsia" w:ascii="宋体" w:hAnsi="宋体" w:cs="仿宋"/>
                <w:color w:val="000000" w:themeColor="text1"/>
                <w:szCs w:val="21"/>
              </w:rPr>
              <w:t>项目负责人已入选省（部）级规划人才（含国、省规划大师）的，计</w:t>
            </w:r>
            <w:r>
              <w:rPr>
                <w:rFonts w:hint="eastAsia" w:ascii="宋体" w:hAnsi="宋体" w:cs="仿宋"/>
                <w:color w:val="000000" w:themeColor="text1"/>
                <w:szCs w:val="21"/>
                <w:lang w:val="en-US" w:eastAsia="zh-CN"/>
              </w:rPr>
              <w:t>15</w:t>
            </w:r>
            <w:r>
              <w:rPr>
                <w:rFonts w:hint="eastAsia" w:ascii="宋体" w:hAnsi="宋体" w:cs="仿宋"/>
                <w:color w:val="000000" w:themeColor="text1"/>
                <w:szCs w:val="21"/>
              </w:rPr>
              <w:t>分。</w:t>
            </w:r>
          </w:p>
          <w:p w14:paraId="6FBB16D5">
            <w:pPr>
              <w:keepNext w:val="0"/>
              <w:keepLines w:val="0"/>
              <w:pageBreakBefore w:val="0"/>
              <w:numPr>
                <w:ilvl w:val="0"/>
                <w:numId w:val="0"/>
              </w:numPr>
              <w:kinsoku/>
              <w:wordWrap/>
              <w:overflowPunct/>
              <w:topLinePunct w:val="0"/>
              <w:autoSpaceDE/>
              <w:autoSpaceDN/>
              <w:bidi w:val="0"/>
              <w:spacing w:line="400" w:lineRule="exact"/>
              <w:textAlignment w:val="auto"/>
              <w:rPr>
                <w:rFonts w:hint="eastAsia" w:ascii="宋体" w:hAnsi="宋体" w:cs="仿宋"/>
                <w:color w:val="000000" w:themeColor="text1"/>
                <w:szCs w:val="21"/>
              </w:rPr>
            </w:pPr>
            <w:r>
              <w:rPr>
                <w:rFonts w:hint="eastAsia" w:ascii="宋体" w:hAnsi="宋体" w:cs="仿宋"/>
                <w:color w:val="000000" w:themeColor="text1"/>
                <w:szCs w:val="21"/>
              </w:rPr>
              <w:t>3.</w:t>
            </w:r>
            <w:r>
              <w:rPr>
                <w:rFonts w:hint="eastAsia" w:ascii="宋体" w:hAnsi="宋体" w:cs="仿宋"/>
                <w:snapToGrid w:val="0"/>
                <w:color w:val="000000" w:themeColor="text1"/>
                <w:kern w:val="0"/>
                <w:szCs w:val="21"/>
              </w:rPr>
              <w:t>具备注册城乡规划师资格证书的，计</w:t>
            </w:r>
            <w:r>
              <w:rPr>
                <w:rFonts w:hint="eastAsia" w:ascii="宋体" w:hAnsi="宋体" w:cs="仿宋"/>
                <w:snapToGrid w:val="0"/>
                <w:color w:val="000000" w:themeColor="text1"/>
                <w:kern w:val="0"/>
                <w:szCs w:val="21"/>
                <w:lang w:val="en-US" w:eastAsia="zh-CN"/>
              </w:rPr>
              <w:t>15</w:t>
            </w:r>
            <w:r>
              <w:rPr>
                <w:rFonts w:hint="eastAsia" w:ascii="宋体" w:hAnsi="宋体" w:cs="仿宋"/>
                <w:snapToGrid w:val="0"/>
                <w:color w:val="000000" w:themeColor="text1"/>
                <w:kern w:val="0"/>
                <w:szCs w:val="21"/>
              </w:rPr>
              <w:t>分；</w:t>
            </w:r>
          </w:p>
          <w:p w14:paraId="6927BAE0">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zh-CN" w:eastAsia="zh-CN" w:bidi="ar-SA"/>
              </w:rPr>
            </w:pPr>
            <w:r>
              <w:rPr>
                <w:rFonts w:hint="eastAsia" w:ascii="宋体" w:hAnsi="宋体" w:cs="仿宋"/>
                <w:b/>
                <w:bCs/>
                <w:snapToGrid w:val="0"/>
                <w:color w:val="000000" w:themeColor="text1"/>
                <w:kern w:val="0"/>
                <w:szCs w:val="21"/>
              </w:rPr>
              <w:t>注：提供相关证书复印件及供应商为其缴纳的近半年内连续三个月的社保证明复印件并加盖供应商公章，未提供或提供不全不予计分。</w:t>
            </w:r>
          </w:p>
        </w:tc>
      </w:tr>
      <w:tr w14:paraId="79C5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exact"/>
          <w:jc w:val="center"/>
        </w:trPr>
        <w:tc>
          <w:tcPr>
            <w:tcW w:w="689" w:type="dxa"/>
            <w:vMerge w:val="continue"/>
            <w:tcBorders>
              <w:left w:val="single" w:color="auto" w:sz="4" w:space="0"/>
              <w:right w:val="single" w:color="auto" w:sz="4" w:space="0"/>
            </w:tcBorders>
            <w:shd w:val="clear" w:color="auto" w:fill="auto"/>
            <w:vAlign w:val="center"/>
          </w:tcPr>
          <w:p w14:paraId="0A9C2EE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5972831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31B5F2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类似业绩</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4F3B0F3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50</w:t>
            </w:r>
            <w:r>
              <w:rPr>
                <w:rFonts w:hint="eastAsia" w:ascii="宋体" w:hAnsi="宋体" w:eastAsia="宋体" w:cs="宋体"/>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75D8E4B4">
            <w:pPr>
              <w:keepNext w:val="0"/>
              <w:keepLines w:val="0"/>
              <w:pageBreakBefore w:val="0"/>
              <w:widowControl w:val="0"/>
              <w:kinsoku/>
              <w:wordWrap/>
              <w:overflowPunct/>
              <w:topLinePunct w:val="0"/>
              <w:autoSpaceDE w:val="0"/>
              <w:autoSpaceDN w:val="0"/>
              <w:bidi w:val="0"/>
              <w:spacing w:line="400" w:lineRule="exact"/>
              <w:jc w:val="both"/>
              <w:textAlignment w:val="auto"/>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 w:val="21"/>
                <w:szCs w:val="21"/>
                <w:highlight w:val="none"/>
                <w:lang w:val="zh-CN" w:eastAsia="zh-CN" w:bidi="ar-SA"/>
              </w:rPr>
              <w:t>供应商近三年（指开标截止日前36个月）承担过类似业绩的，每提供一个得</w:t>
            </w:r>
            <w:r>
              <w:rPr>
                <w:rFonts w:hint="eastAsia" w:ascii="宋体" w:hAnsi="宋体" w:eastAsia="宋体" w:cs="宋体"/>
                <w:color w:val="auto"/>
                <w:kern w:val="0"/>
                <w:sz w:val="21"/>
                <w:szCs w:val="21"/>
                <w:highlight w:val="none"/>
                <w:lang w:val="en-US" w:eastAsia="zh-CN" w:bidi="ar-SA"/>
              </w:rPr>
              <w:t>25</w:t>
            </w:r>
            <w:r>
              <w:rPr>
                <w:rFonts w:hint="eastAsia" w:ascii="宋体" w:hAnsi="宋体" w:eastAsia="宋体" w:cs="宋体"/>
                <w:color w:val="auto"/>
                <w:kern w:val="0"/>
                <w:sz w:val="21"/>
                <w:szCs w:val="21"/>
                <w:highlight w:val="none"/>
                <w:lang w:val="zh-CN" w:eastAsia="zh-CN" w:bidi="ar-SA"/>
              </w:rPr>
              <w:t>分，本项最高得</w:t>
            </w:r>
            <w:r>
              <w:rPr>
                <w:rFonts w:hint="eastAsia" w:ascii="宋体" w:hAnsi="宋体" w:eastAsia="宋体" w:cs="宋体"/>
                <w:color w:val="auto"/>
                <w:kern w:val="0"/>
                <w:sz w:val="21"/>
                <w:szCs w:val="21"/>
                <w:highlight w:val="none"/>
                <w:lang w:val="en-US" w:eastAsia="zh-CN" w:bidi="ar-SA"/>
              </w:rPr>
              <w:t>50</w:t>
            </w:r>
            <w:r>
              <w:rPr>
                <w:rFonts w:hint="eastAsia" w:ascii="宋体" w:hAnsi="宋体" w:eastAsia="宋体" w:cs="宋体"/>
                <w:color w:val="auto"/>
                <w:kern w:val="0"/>
                <w:sz w:val="21"/>
                <w:szCs w:val="21"/>
                <w:highlight w:val="none"/>
                <w:lang w:val="zh-CN" w:eastAsia="zh-CN" w:bidi="ar-SA"/>
              </w:rPr>
              <w:t>分。</w:t>
            </w:r>
          </w:p>
          <w:p w14:paraId="60EE11E9">
            <w:pPr>
              <w:keepNext w:val="0"/>
              <w:keepLines w:val="0"/>
              <w:pageBreakBefore w:val="0"/>
              <w:widowControl w:val="0"/>
              <w:kinsoku/>
              <w:wordWrap/>
              <w:overflowPunct/>
              <w:topLinePunct w:val="0"/>
              <w:autoSpaceDE w:val="0"/>
              <w:autoSpaceDN w:val="0"/>
              <w:bidi w:val="0"/>
              <w:spacing w:line="400" w:lineRule="exact"/>
              <w:jc w:val="both"/>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zh-CN" w:eastAsia="zh-CN" w:bidi="ar-SA"/>
              </w:rPr>
              <w:t>注：提供合同或中标（成交）通知书复印件并加盖投标单位公章，否则不予计分</w:t>
            </w:r>
            <w:r>
              <w:rPr>
                <w:rFonts w:hint="eastAsia" w:ascii="宋体" w:hAnsi="宋体" w:eastAsia="宋体" w:cs="宋体"/>
                <w:color w:val="auto"/>
                <w:kern w:val="0"/>
                <w:sz w:val="21"/>
                <w:szCs w:val="21"/>
                <w:highlight w:val="none"/>
                <w:lang w:val="zh-CN" w:eastAsia="zh-CN" w:bidi="ar-SA"/>
              </w:rPr>
              <w:t>。</w:t>
            </w:r>
          </w:p>
        </w:tc>
      </w:tr>
      <w:tr w14:paraId="503A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5" w:hRule="exact"/>
          <w:jc w:val="center"/>
        </w:trPr>
        <w:tc>
          <w:tcPr>
            <w:tcW w:w="689" w:type="dxa"/>
            <w:tcBorders>
              <w:left w:val="single" w:color="auto" w:sz="4" w:space="0"/>
              <w:right w:val="single" w:color="auto" w:sz="4" w:space="0"/>
            </w:tcBorders>
            <w:shd w:val="clear" w:color="auto" w:fill="auto"/>
            <w:vAlign w:val="center"/>
          </w:tcPr>
          <w:p w14:paraId="434576F0">
            <w:pPr>
              <w:keepNext w:val="0"/>
              <w:keepLines w:val="0"/>
              <w:pageBreakBefore w:val="0"/>
              <w:kinsoku/>
              <w:wordWrap/>
              <w:overflowPunct/>
              <w:topLinePunct w:val="0"/>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tcBorders>
              <w:left w:val="single" w:color="auto" w:sz="4" w:space="0"/>
              <w:right w:val="single" w:color="auto" w:sz="4" w:space="0"/>
            </w:tcBorders>
            <w:shd w:val="clear" w:color="auto" w:fill="auto"/>
            <w:vAlign w:val="center"/>
          </w:tcPr>
          <w:p w14:paraId="5BE4AAD4">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技术部分</w:t>
            </w:r>
          </w:p>
          <w:p w14:paraId="0B108B01">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r>
              <w:rPr>
                <w:rFonts w:hint="eastAsia" w:ascii="宋体" w:hAnsi="宋体" w:eastAsia="宋体" w:cs="宋体"/>
                <w:lang w:val="en-US" w:eastAsia="zh-CN"/>
              </w:rPr>
              <w:t>(60%)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2FF2FCC7">
            <w:pPr>
              <w:keepNext w:val="0"/>
              <w:keepLines w:val="0"/>
              <w:pageBreakBefore w:val="0"/>
              <w:kinsoku/>
              <w:wordWrap/>
              <w:overflowPunct/>
              <w:topLinePunct w:val="0"/>
              <w:bidi w:val="0"/>
              <w:spacing w:line="400" w:lineRule="exact"/>
              <w:jc w:val="center"/>
              <w:textAlignment w:val="auto"/>
              <w:rPr>
                <w:rFonts w:hint="eastAsia" w:ascii="宋体" w:hAnsi="宋体" w:cs="宋体" w:eastAsiaTheme="minorEastAsia"/>
                <w:color w:val="auto"/>
                <w:kern w:val="2"/>
                <w:sz w:val="18"/>
                <w:szCs w:val="18"/>
                <w:highlight w:val="none"/>
                <w:lang w:val="en-US" w:eastAsia="zh-CN" w:bidi="ar-SA"/>
              </w:rPr>
            </w:pPr>
            <w:r>
              <w:rPr>
                <w:rFonts w:hint="eastAsia" w:ascii="宋体" w:hAnsi="宋体" w:cs="宋体"/>
                <w:color w:val="000000" w:themeColor="text1"/>
              </w:rPr>
              <w:t>项目理解与服务方案</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4B1406BC">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lang w:val="en-US" w:eastAsia="zh-CN"/>
              </w:rPr>
              <w:t>20</w:t>
            </w:r>
            <w:r>
              <w:rPr>
                <w:rFonts w:hint="eastAsia" w:ascii="宋体" w:hAnsi="宋体"/>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7B324CF4">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投标人针对项目特点、需求等，提出项目理解，制定整体工作方案，包括但不限于：①工作理解。需分析城市体检、城市更新专项规划的政策背景、规划要求等内容；</w:t>
            </w:r>
          </w:p>
          <w:p w14:paraId="2E8355DF">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②开展县城体检、城市更新专项规划编制的必要性分析；</w:t>
            </w:r>
          </w:p>
          <w:p w14:paraId="6754A4E1">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color w:val="000000" w:themeColor="text1"/>
              </w:rPr>
              <w:t>③</w:t>
            </w:r>
            <w:r>
              <w:rPr>
                <w:rFonts w:hint="eastAsia" w:ascii="宋体" w:hAnsi="宋体" w:cs="宋体"/>
                <w:color w:val="000000" w:themeColor="text1"/>
              </w:rPr>
              <w:t>工作思路。明确县城体检、城市更新专项规划编制的技术路线、技术方法；④工作组织方案。提出团队专业配备和组织构架；</w:t>
            </w:r>
          </w:p>
          <w:p w14:paraId="0ABD16FA">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⑤后续服务方案。包括规划实施体系的传导落地指引、资金支持政策导引等系列内容。</w:t>
            </w:r>
          </w:p>
          <w:p w14:paraId="0A49BC1D">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kern w:val="0"/>
                <w:sz w:val="21"/>
                <w:szCs w:val="21"/>
                <w:lang w:val="zh-CN" w:eastAsia="zh-CN"/>
              </w:rPr>
            </w:pPr>
            <w:r>
              <w:rPr>
                <w:rFonts w:hint="eastAsia" w:ascii="宋体" w:hAnsi="宋体" w:eastAsia="宋体" w:cs="宋体"/>
                <w:b/>
                <w:bCs/>
                <w:kern w:val="0"/>
                <w:sz w:val="21"/>
                <w:szCs w:val="21"/>
              </w:rPr>
              <w:t>上述</w:t>
            </w:r>
            <w:r>
              <w:rPr>
                <w:rFonts w:hint="eastAsia" w:ascii="宋体" w:hAnsi="宋体" w:eastAsia="宋体" w:cs="宋体"/>
                <w:b/>
                <w:bCs/>
                <w:kern w:val="0"/>
                <w:sz w:val="21"/>
                <w:szCs w:val="21"/>
                <w:lang w:val="en-US" w:eastAsia="zh-CN"/>
              </w:rPr>
              <w:t>5</w:t>
            </w:r>
            <w:r>
              <w:rPr>
                <w:rFonts w:hint="eastAsia" w:ascii="宋体" w:hAnsi="宋体" w:eastAsia="宋体" w:cs="宋体"/>
                <w:b/>
                <w:bCs/>
                <w:kern w:val="0"/>
                <w:sz w:val="21"/>
                <w:szCs w:val="21"/>
              </w:rPr>
              <w:t>项内容均提供了详尽描述，内容完整、思路清晰、针对性强、完全符合项目要求的</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得20</w:t>
            </w:r>
            <w:r>
              <w:rPr>
                <w:rFonts w:hint="eastAsia" w:ascii="宋体" w:hAnsi="宋体" w:eastAsia="宋体" w:cs="宋体"/>
                <w:b/>
                <w:bCs/>
                <w:kern w:val="0"/>
                <w:sz w:val="21"/>
                <w:szCs w:val="21"/>
              </w:rPr>
              <w:t>分。有缺漏项的每项扣</w:t>
            </w:r>
            <w:r>
              <w:rPr>
                <w:rFonts w:hint="eastAsia" w:ascii="宋体" w:hAnsi="宋体" w:eastAsia="宋体" w:cs="宋体"/>
                <w:b/>
                <w:bCs/>
                <w:kern w:val="0"/>
                <w:sz w:val="21"/>
                <w:szCs w:val="21"/>
                <w:lang w:val="en-US" w:eastAsia="zh-CN"/>
              </w:rPr>
              <w:t>4</w:t>
            </w:r>
            <w:r>
              <w:rPr>
                <w:rFonts w:hint="eastAsia" w:ascii="宋体" w:hAnsi="宋体" w:eastAsia="宋体" w:cs="宋体"/>
                <w:b/>
                <w:bCs/>
                <w:kern w:val="0"/>
                <w:sz w:val="21"/>
                <w:szCs w:val="21"/>
              </w:rPr>
              <w:t>分，各项内容有缺陷、欠合理、欠完整的每处扣</w:t>
            </w:r>
            <w:r>
              <w:rPr>
                <w:rFonts w:hint="eastAsia" w:ascii="宋体" w:hAnsi="宋体" w:eastAsia="宋体" w:cs="宋体"/>
                <w:b/>
                <w:bCs/>
                <w:kern w:val="0"/>
                <w:sz w:val="21"/>
                <w:szCs w:val="21"/>
                <w:lang w:val="en-US" w:eastAsia="zh-CN"/>
              </w:rPr>
              <w:t>2</w:t>
            </w:r>
            <w:r>
              <w:rPr>
                <w:rFonts w:hint="eastAsia" w:ascii="宋体" w:hAnsi="宋体" w:eastAsia="宋体" w:cs="宋体"/>
                <w:b/>
                <w:bCs/>
                <w:kern w:val="0"/>
                <w:sz w:val="21"/>
                <w:szCs w:val="21"/>
              </w:rPr>
              <w:t>分，扣完为止。</w:t>
            </w:r>
          </w:p>
        </w:tc>
      </w:tr>
      <w:tr w14:paraId="45E2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3" w:hRule="exact"/>
          <w:jc w:val="center"/>
        </w:trPr>
        <w:tc>
          <w:tcPr>
            <w:tcW w:w="689" w:type="dxa"/>
            <w:vMerge w:val="restart"/>
            <w:tcBorders>
              <w:left w:val="single" w:color="auto" w:sz="4" w:space="0"/>
              <w:right w:val="single" w:color="auto" w:sz="4" w:space="0"/>
            </w:tcBorders>
            <w:shd w:val="clear" w:color="auto" w:fill="auto"/>
            <w:vAlign w:val="center"/>
          </w:tcPr>
          <w:p w14:paraId="0ACE1B52">
            <w:pPr>
              <w:keepNext w:val="0"/>
              <w:keepLines w:val="0"/>
              <w:pageBreakBefore w:val="0"/>
              <w:kinsoku/>
              <w:wordWrap/>
              <w:overflowPunct/>
              <w:topLinePunct w:val="0"/>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vMerge w:val="restart"/>
            <w:tcBorders>
              <w:left w:val="single" w:color="auto" w:sz="4" w:space="0"/>
              <w:right w:val="single" w:color="auto" w:sz="4" w:space="0"/>
            </w:tcBorders>
            <w:shd w:val="clear" w:color="auto" w:fill="auto"/>
            <w:vAlign w:val="center"/>
          </w:tcPr>
          <w:p w14:paraId="483A5F7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技术部分</w:t>
            </w:r>
          </w:p>
          <w:p w14:paraId="66D220D6">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(60%)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BB2CBF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auto"/>
                <w:spacing w:val="-4"/>
                <w:w w:val="100"/>
                <w:kern w:val="2"/>
                <w:position w:val="0"/>
                <w:sz w:val="21"/>
                <w:szCs w:val="21"/>
                <w:highlight w:val="none"/>
                <w:shd w:val="clear"/>
                <w:lang w:val="en-US" w:eastAsia="zh-CN" w:bidi="ar-SA"/>
              </w:rPr>
            </w:pPr>
            <w:r>
              <w:rPr>
                <w:rFonts w:hint="eastAsia" w:ascii="宋体" w:hAnsi="宋体" w:cs="宋体"/>
                <w:color w:val="000000" w:themeColor="text1"/>
              </w:rPr>
              <w:t>项目重难点分析</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1F1DAB5">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rPr>
              <w:t>30分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top"/>
          </w:tcPr>
          <w:p w14:paraId="46A6E5C4">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投标人针对本项目需提供华容县城体检和城市更新专项规划项目的重难点分析，具体内容包括：</w:t>
            </w:r>
          </w:p>
          <w:p w14:paraId="627F35CF">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①上位及相关规划分析，主要包括发展类规划、国土空间总体规划、专项规划等；</w:t>
            </w:r>
          </w:p>
          <w:p w14:paraId="3E61725B">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②县城城市更新片区现状总体情况分析。包括但不限于人口及区划（社区/村）、现状用地分析等；</w:t>
            </w:r>
          </w:p>
          <w:p w14:paraId="3153B9EC">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③县城城市更新片区现状设施分析。包括综合交通、公服设施、公用设施、绿地与开敞空间、安全韧性设施等；</w:t>
            </w:r>
          </w:p>
          <w:p w14:paraId="649E21D9">
            <w:pPr>
              <w:keepNext w:val="0"/>
              <w:keepLines w:val="0"/>
              <w:pageBreakBefore w:val="0"/>
              <w:kinsoku/>
              <w:wordWrap/>
              <w:overflowPunct/>
              <w:topLinePunct w:val="0"/>
              <w:bidi w:val="0"/>
              <w:spacing w:line="400" w:lineRule="exact"/>
              <w:textAlignment w:val="auto"/>
              <w:rPr>
                <w:rFonts w:hint="eastAsia" w:ascii="宋体" w:hAnsi="宋体" w:cs="宋体"/>
                <w:color w:val="000000" w:themeColor="text1"/>
              </w:rPr>
            </w:pPr>
            <w:r>
              <w:rPr>
                <w:rFonts w:hint="eastAsia" w:ascii="宋体" w:hAnsi="宋体" w:cs="宋体"/>
              </w:rPr>
              <w:t>④县城城市更新片区建筑风貌分析，包括建筑高度、建筑质量分析等；⑤项目重难点分析及对</w:t>
            </w:r>
            <w:r>
              <w:rPr>
                <w:rFonts w:hint="eastAsia" w:ascii="宋体" w:hAnsi="宋体" w:cs="宋体"/>
                <w:color w:val="000000" w:themeColor="text1"/>
              </w:rPr>
              <w:t>策措施分析；</w:t>
            </w:r>
          </w:p>
          <w:p w14:paraId="6D5942FC">
            <w:pPr>
              <w:keepNext w:val="0"/>
              <w:keepLines w:val="0"/>
              <w:pageBreakBefore w:val="0"/>
              <w:kinsoku/>
              <w:wordWrap/>
              <w:overflowPunct/>
              <w:topLinePunct w:val="0"/>
              <w:bidi w:val="0"/>
              <w:spacing w:line="400" w:lineRule="exact"/>
              <w:textAlignment w:val="auto"/>
            </w:pPr>
            <w:r>
              <w:rPr>
                <w:rFonts w:hint="eastAsia"/>
                <w:color w:val="000000" w:themeColor="text1"/>
              </w:rPr>
              <w:t>⑥</w:t>
            </w:r>
            <w:r>
              <w:rPr>
                <w:rFonts w:hint="eastAsia" w:ascii="宋体" w:hAnsi="宋体" w:cs="宋体"/>
                <w:color w:val="000000" w:themeColor="text1"/>
              </w:rPr>
              <w:t>方案。一是县城体检工作方案，梳理省内其他市县城市体检经验做法、项目实施风险分析与合理化建议、县城体检指标体系构建；二是提出城市更新重点研究方案，具体从城市更新相关政策要点梳理，华容县城城市更新片区现行更新方案或计划分析、用地地类分类梳理、城市更新策略及任务梳理、城市更新项目或具体计划举措引导。</w:t>
            </w:r>
          </w:p>
          <w:p w14:paraId="085FB2E6">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eastAsiaTheme="minorEastAsia"/>
                <w:color w:val="000000" w:themeColor="text1"/>
                <w:kern w:val="2"/>
                <w:sz w:val="21"/>
                <w:szCs w:val="24"/>
                <w:lang w:val="en-US" w:eastAsia="zh-CN" w:bidi="ar-SA"/>
              </w:rPr>
            </w:pPr>
            <w:r>
              <w:rPr>
                <w:rFonts w:hint="eastAsia" w:ascii="宋体" w:hAnsi="宋体" w:eastAsia="宋体" w:cs="宋体"/>
                <w:b/>
                <w:bCs/>
                <w:kern w:val="0"/>
                <w:sz w:val="21"/>
                <w:szCs w:val="21"/>
              </w:rPr>
              <w:t>上述</w:t>
            </w:r>
            <w:r>
              <w:rPr>
                <w:rFonts w:hint="eastAsia" w:ascii="宋体" w:hAnsi="宋体" w:eastAsia="宋体" w:cs="宋体"/>
                <w:b/>
                <w:bCs/>
                <w:kern w:val="0"/>
                <w:sz w:val="21"/>
                <w:szCs w:val="21"/>
                <w:lang w:val="en-US" w:eastAsia="zh-CN"/>
              </w:rPr>
              <w:t>6</w:t>
            </w:r>
            <w:r>
              <w:rPr>
                <w:rFonts w:hint="eastAsia" w:ascii="宋体" w:hAnsi="宋体" w:eastAsia="宋体" w:cs="宋体"/>
                <w:b/>
                <w:bCs/>
                <w:kern w:val="0"/>
                <w:sz w:val="21"/>
                <w:szCs w:val="21"/>
              </w:rPr>
              <w:t>项内容均提供了详尽描述，内容完整、思路清晰、针对性强、完全符合项目要求的</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得30</w:t>
            </w:r>
            <w:r>
              <w:rPr>
                <w:rFonts w:hint="eastAsia" w:ascii="宋体" w:hAnsi="宋体" w:eastAsia="宋体" w:cs="宋体"/>
                <w:b/>
                <w:bCs/>
                <w:kern w:val="0"/>
                <w:sz w:val="21"/>
                <w:szCs w:val="21"/>
              </w:rPr>
              <w:t>分。有缺漏项的每项扣</w:t>
            </w:r>
            <w:r>
              <w:rPr>
                <w:rFonts w:hint="eastAsia" w:ascii="宋体" w:hAnsi="宋体" w:eastAsia="宋体" w:cs="宋体"/>
                <w:b/>
                <w:bCs/>
                <w:kern w:val="0"/>
                <w:sz w:val="21"/>
                <w:szCs w:val="21"/>
                <w:lang w:val="en-US" w:eastAsia="zh-CN"/>
              </w:rPr>
              <w:t>5</w:t>
            </w:r>
            <w:r>
              <w:rPr>
                <w:rFonts w:hint="eastAsia" w:ascii="宋体" w:hAnsi="宋体" w:eastAsia="宋体" w:cs="宋体"/>
                <w:b/>
                <w:bCs/>
                <w:kern w:val="0"/>
                <w:sz w:val="21"/>
                <w:szCs w:val="21"/>
              </w:rPr>
              <w:t>分，各项内容有缺陷、欠合理、欠完整的每处扣</w:t>
            </w:r>
            <w:r>
              <w:rPr>
                <w:rFonts w:ascii="宋体" w:hAnsi="宋体" w:eastAsia="宋体" w:cs="宋体"/>
                <w:b/>
                <w:bCs/>
                <w:kern w:val="0"/>
                <w:sz w:val="21"/>
                <w:szCs w:val="21"/>
              </w:rPr>
              <w:t>1</w:t>
            </w:r>
            <w:r>
              <w:rPr>
                <w:rFonts w:hint="eastAsia" w:ascii="宋体" w:hAnsi="宋体" w:eastAsia="宋体" w:cs="宋体"/>
                <w:b/>
                <w:bCs/>
                <w:kern w:val="0"/>
                <w:sz w:val="21"/>
                <w:szCs w:val="21"/>
              </w:rPr>
              <w:t>分，扣完为止。</w:t>
            </w:r>
            <w:r>
              <w:rPr>
                <w:rFonts w:ascii="宋体" w:hAnsi="宋体" w:eastAsia="宋体" w:cs="宋体"/>
                <w:b/>
                <w:bCs/>
                <w:kern w:val="0"/>
                <w:sz w:val="21"/>
                <w:szCs w:val="21"/>
              </w:rPr>
              <w:br w:type="textWrapping"/>
            </w:r>
          </w:p>
        </w:tc>
      </w:tr>
      <w:tr w14:paraId="01CF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exact"/>
          <w:jc w:val="center"/>
        </w:trPr>
        <w:tc>
          <w:tcPr>
            <w:tcW w:w="689" w:type="dxa"/>
            <w:vMerge w:val="continue"/>
            <w:tcBorders>
              <w:left w:val="single" w:color="auto" w:sz="4" w:space="0"/>
              <w:right w:val="single" w:color="auto" w:sz="4" w:space="0"/>
            </w:tcBorders>
            <w:shd w:val="clear" w:color="auto" w:fill="auto"/>
            <w:vAlign w:val="center"/>
          </w:tcPr>
          <w:p w14:paraId="5A118974">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308B488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8BECC7B">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auto"/>
                <w:spacing w:val="-4"/>
                <w:w w:val="100"/>
                <w:kern w:val="2"/>
                <w:position w:val="0"/>
                <w:sz w:val="21"/>
                <w:szCs w:val="21"/>
                <w:highlight w:val="none"/>
                <w:shd w:val="clear"/>
                <w:lang w:val="en-US" w:eastAsia="zh-CN" w:bidi="ar-SA"/>
              </w:rPr>
            </w:pPr>
            <w:r>
              <w:rPr>
                <w:rFonts w:hint="eastAsia" w:ascii="宋体" w:hAnsi="宋体" w:cs="宋体"/>
                <w:color w:val="000000" w:themeColor="text1"/>
              </w:rPr>
              <w:t>工作进度安排</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214DBDB4">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lang w:val="en-US" w:eastAsia="zh-CN"/>
              </w:rPr>
              <w:t>25</w:t>
            </w:r>
            <w:r>
              <w:rPr>
                <w:rFonts w:hint="eastAsia" w:ascii="宋体" w:hAnsi="宋体"/>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top"/>
          </w:tcPr>
          <w:p w14:paraId="6876F4B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lang w:eastAsia="zh-CN"/>
              </w:rPr>
            </w:pPr>
            <w:r>
              <w:rPr>
                <w:rFonts w:hint="eastAsia" w:ascii="宋体" w:hAnsi="宋体" w:cs="宋体"/>
                <w:color w:val="000000" w:themeColor="text1"/>
              </w:rPr>
              <w:t>投标人针对本项目的特点、需求提供相应的工作进度安排，内容包括</w:t>
            </w:r>
            <w:r>
              <w:rPr>
                <w:rFonts w:hint="eastAsia" w:ascii="宋体" w:hAnsi="宋体" w:cs="宋体"/>
                <w:color w:val="000000" w:themeColor="text1"/>
                <w:lang w:eastAsia="zh-CN"/>
              </w:rPr>
              <w:t>：</w:t>
            </w:r>
          </w:p>
          <w:p w14:paraId="7B48AB86">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①工作计划要求；②服务响应时限；③阶段任务安排；④工作人员安排；</w:t>
            </w:r>
          </w:p>
          <w:p w14:paraId="39B68554">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⑤进度保障措施。</w:t>
            </w:r>
          </w:p>
          <w:p w14:paraId="18F1386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eastAsia="宋体" w:cs="宋体"/>
                <w:kern w:val="0"/>
                <w:sz w:val="21"/>
                <w:szCs w:val="21"/>
              </w:rPr>
              <w:t>上述</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项内容均提供了详尽描述，内容完整、思路清晰、针对性强、完全符合项目要求的</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得25</w:t>
            </w:r>
            <w:r>
              <w:rPr>
                <w:rFonts w:hint="eastAsia" w:ascii="宋体" w:hAnsi="宋体" w:eastAsia="宋体" w:cs="宋体"/>
                <w:kern w:val="0"/>
                <w:sz w:val="21"/>
                <w:szCs w:val="21"/>
              </w:rPr>
              <w:t>分。有缺漏项的每项扣</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分，各项内容有缺陷、欠合理、欠完整的每处扣</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分，扣完为止。</w:t>
            </w:r>
          </w:p>
        </w:tc>
      </w:tr>
      <w:tr w14:paraId="724B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7" w:hRule="exact"/>
          <w:jc w:val="center"/>
        </w:trPr>
        <w:tc>
          <w:tcPr>
            <w:tcW w:w="689" w:type="dxa"/>
            <w:vMerge w:val="continue"/>
            <w:tcBorders>
              <w:left w:val="single" w:color="auto" w:sz="4" w:space="0"/>
              <w:bottom w:val="single" w:color="auto" w:sz="4" w:space="0"/>
              <w:right w:val="single" w:color="auto" w:sz="4" w:space="0"/>
            </w:tcBorders>
            <w:shd w:val="clear" w:color="auto" w:fill="auto"/>
            <w:vAlign w:val="center"/>
          </w:tcPr>
          <w:p w14:paraId="6E7CF0C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bottom w:val="single" w:color="auto" w:sz="4" w:space="0"/>
              <w:right w:val="single" w:color="auto" w:sz="4" w:space="0"/>
            </w:tcBorders>
            <w:shd w:val="clear" w:color="auto" w:fill="auto"/>
            <w:vAlign w:val="center"/>
          </w:tcPr>
          <w:p w14:paraId="564BF5A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35D70AB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auto"/>
                <w:spacing w:val="-4"/>
                <w:w w:val="100"/>
                <w:kern w:val="2"/>
                <w:position w:val="0"/>
                <w:sz w:val="21"/>
                <w:szCs w:val="21"/>
                <w:highlight w:val="none"/>
                <w:shd w:val="clear"/>
                <w:lang w:val="en-US" w:eastAsia="zh-CN" w:bidi="ar-SA"/>
              </w:rPr>
            </w:pPr>
            <w:r>
              <w:rPr>
                <w:rFonts w:hint="eastAsia" w:ascii="宋体" w:hAnsi="宋体" w:cs="宋体"/>
                <w:color w:val="000000" w:themeColor="text1"/>
              </w:rPr>
              <w:t>服务质量保障计划及承诺</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6020A03C">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lang w:val="en-US" w:eastAsia="zh-CN"/>
              </w:rPr>
              <w:t>25</w:t>
            </w:r>
            <w:r>
              <w:rPr>
                <w:rFonts w:hint="eastAsia" w:ascii="宋体" w:hAnsi="宋体"/>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54D9164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投标人针对项目特点、需求提供服务质量保障计划及承诺，内容包括：</w:t>
            </w:r>
          </w:p>
          <w:p w14:paraId="6DD74E1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①过程控制；</w:t>
            </w:r>
          </w:p>
          <w:p w14:paraId="695A029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②服务成果审核；</w:t>
            </w:r>
          </w:p>
          <w:p w14:paraId="76583F49">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③内部管理；</w:t>
            </w:r>
          </w:p>
          <w:p w14:paraId="3EE0F0D3">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④保障措施；</w:t>
            </w:r>
          </w:p>
          <w:p w14:paraId="347AAB83">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⑤服务质量承诺。</w:t>
            </w:r>
          </w:p>
          <w:p w14:paraId="6BE37CD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eastAsia="宋体" w:cs="宋体"/>
                <w:kern w:val="0"/>
                <w:sz w:val="21"/>
                <w:szCs w:val="21"/>
              </w:rPr>
              <w:t>上述</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项内容均提供了详尽描述，内容完整、思路清晰、针对性强、完全符合项目要求的</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得25</w:t>
            </w:r>
            <w:r>
              <w:rPr>
                <w:rFonts w:hint="eastAsia" w:ascii="宋体" w:hAnsi="宋体" w:eastAsia="宋体" w:cs="宋体"/>
                <w:kern w:val="0"/>
                <w:sz w:val="21"/>
                <w:szCs w:val="21"/>
              </w:rPr>
              <w:t>分。有缺漏项的每项扣</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分，各项内容有缺陷、欠合理、欠完整的每处扣</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分，扣完为止。</w:t>
            </w:r>
            <w:r>
              <w:rPr>
                <w:rFonts w:ascii="宋体" w:hAnsi="宋体" w:eastAsia="宋体" w:cs="宋体"/>
                <w:kern w:val="0"/>
                <w:sz w:val="21"/>
                <w:szCs w:val="21"/>
              </w:rPr>
              <w:br w:type="textWrapping"/>
            </w:r>
          </w:p>
        </w:tc>
      </w:tr>
    </w:tbl>
    <w:p w14:paraId="5F26EEA6">
      <w:pPr>
        <w:pStyle w:val="54"/>
        <w:keepNext w:val="0"/>
        <w:keepLines w:val="0"/>
        <w:pageBreakBefore w:val="0"/>
        <w:kinsoku/>
        <w:wordWrap/>
        <w:overflowPunct/>
        <w:topLinePunct w:val="0"/>
        <w:autoSpaceDE/>
        <w:autoSpaceDN/>
        <w:bidi w:val="0"/>
        <w:spacing w:line="400" w:lineRule="exact"/>
        <w:textAlignment w:val="auto"/>
        <w:rPr>
          <w:rFonts w:hint="eastAsia"/>
        </w:rPr>
        <w:sectPr>
          <w:footerReference r:id="rId11" w:type="default"/>
          <w:pgSz w:w="11906" w:h="16838"/>
          <w:pgMar w:top="1417" w:right="1247" w:bottom="1417" w:left="1247" w:header="851" w:footer="992" w:gutter="0"/>
          <w:pgNumType w:fmt="decimal"/>
          <w:cols w:space="720" w:num="1"/>
          <w:rtlGutter w:val="0"/>
          <w:docGrid w:type="lines" w:linePitch="312" w:charSpace="0"/>
        </w:sectPr>
      </w:pPr>
    </w:p>
    <w:tbl>
      <w:tblPr>
        <w:tblStyle w:val="39"/>
        <w:tblW w:w="10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0"/>
      </w:tblGrid>
      <w:tr w14:paraId="39F0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0570" w:type="dxa"/>
            <w:tcBorders>
              <w:top w:val="single" w:color="auto" w:sz="4" w:space="0"/>
              <w:left w:val="single" w:color="auto" w:sz="4" w:space="0"/>
              <w:bottom w:val="single" w:color="auto" w:sz="4" w:space="0"/>
              <w:right w:val="single" w:color="auto" w:sz="4" w:space="0"/>
            </w:tcBorders>
            <w:shd w:val="clear" w:color="auto" w:fill="auto"/>
            <w:vAlign w:val="center"/>
          </w:tcPr>
          <w:p w14:paraId="5DDCB556">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hint="eastAsia" w:ascii="宋体" w:hAnsi="宋体" w:eastAsia="宋体" w:cs="宋体"/>
                <w:b/>
                <w:bCs/>
                <w:color w:val="000000"/>
                <w:sz w:val="21"/>
                <w:szCs w:val="21"/>
                <w:highlight w:val="none"/>
              </w:rPr>
            </w:pPr>
            <w:bookmarkStart w:id="36" w:name="_Toc11880"/>
            <w:r>
              <w:rPr>
                <w:rFonts w:hint="eastAsia" w:ascii="宋体" w:hAnsi="宋体" w:eastAsia="宋体" w:cs="宋体"/>
                <w:b/>
                <w:bCs/>
                <w:sz w:val="21"/>
                <w:szCs w:val="21"/>
                <w:highlight w:val="none"/>
              </w:rPr>
              <w:t>注：1、评标委员会认为供应商的报价明显低于其他通过符合性审查供应商的报价，有可能影响产品质量或者不能诚信履约的，应当要求其在评标现场规定的时间内提供书面说明，必要时提交相关证明材料，供应商</w:t>
            </w:r>
            <w:r>
              <w:rPr>
                <w:rFonts w:hint="eastAsia" w:ascii="宋体" w:hAnsi="宋体" w:eastAsia="宋体" w:cs="宋体"/>
                <w:b/>
                <w:bCs/>
                <w:color w:val="000000"/>
                <w:sz w:val="21"/>
                <w:szCs w:val="21"/>
                <w:highlight w:val="none"/>
              </w:rPr>
              <w:t>不能证明报价合理性的，评标委员会应当将其作为无效投标处理。</w:t>
            </w:r>
          </w:p>
          <w:p w14:paraId="56CE15AC">
            <w:pPr>
              <w:keepNext w:val="0"/>
              <w:keepLines w:val="0"/>
              <w:pageBreakBefore w:val="0"/>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b/>
                <w:bCs/>
                <w:color w:val="000000"/>
                <w:sz w:val="21"/>
                <w:szCs w:val="21"/>
                <w:highlight w:val="none"/>
                <w:lang w:eastAsia="zh-CN"/>
              </w:rPr>
              <w:t>2.</w:t>
            </w:r>
            <w:r>
              <w:rPr>
                <w:rFonts w:hint="eastAsia" w:ascii="宋体" w:hAnsi="宋体" w:eastAsia="宋体" w:cs="宋体"/>
                <w:b/>
                <w:bCs/>
                <w:color w:val="000000"/>
                <w:sz w:val="21"/>
                <w:szCs w:val="21"/>
                <w:highlight w:val="none"/>
              </w:rPr>
              <w:t>采购人或评标委员会将保留要求对供应商提供的复</w:t>
            </w:r>
            <w:r>
              <w:rPr>
                <w:rFonts w:hint="eastAsia" w:ascii="宋体" w:hAnsi="宋体" w:eastAsia="宋体" w:cs="宋体"/>
                <w:b/>
                <w:bCs/>
                <w:sz w:val="21"/>
                <w:szCs w:val="21"/>
                <w:highlight w:val="none"/>
              </w:rPr>
              <w:t>印件和相关投标资料真实性予以核查的权利，如发现虚假，取消投标资格并报送有关监管部门按照有关</w:t>
            </w:r>
            <w:r>
              <w:rPr>
                <w:rFonts w:hint="eastAsia" w:ascii="宋体" w:hAnsi="宋体" w:eastAsia="宋体" w:cs="宋体"/>
                <w:b/>
                <w:bCs/>
                <w:color w:val="000000"/>
                <w:sz w:val="21"/>
                <w:szCs w:val="21"/>
                <w:highlight w:val="none"/>
              </w:rPr>
              <w:t>规定处理。</w:t>
            </w:r>
          </w:p>
        </w:tc>
      </w:tr>
    </w:tbl>
    <w:p w14:paraId="6FA52429">
      <w:pPr>
        <w:keepNext w:val="0"/>
        <w:keepLines w:val="0"/>
        <w:pageBreakBefore w:val="0"/>
        <w:kinsoku/>
        <w:wordWrap/>
        <w:overflowPunct/>
        <w:topLinePunct w:val="0"/>
        <w:autoSpaceDE/>
        <w:autoSpaceDN/>
        <w:bidi w:val="0"/>
        <w:spacing w:beforeAutospacing="0" w:afterAutospacing="0" w:line="40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说明：</w:t>
      </w:r>
    </w:p>
    <w:p w14:paraId="4C96AAE0">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ind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1.</w:t>
      </w:r>
      <w:r>
        <w:rPr>
          <w:rFonts w:hint="eastAsia" w:ascii="宋体" w:hAnsi="宋体" w:eastAsia="宋体" w:cs="宋体"/>
          <w:sz w:val="21"/>
          <w:szCs w:val="21"/>
          <w:lang w:val="en-US" w:eastAsia="zh-CN"/>
        </w:rPr>
        <w:t>依据《关于推动解决政府采购导演低价问题的通知》（财库〔2026〕2号）文件规定，</w:t>
      </w:r>
      <w:r>
        <w:rPr>
          <w:rFonts w:hint="eastAsia" w:ascii="宋体" w:hAnsi="宋体" w:eastAsia="宋体" w:cs="宋体"/>
          <w:sz w:val="21"/>
          <w:szCs w:val="21"/>
        </w:rPr>
        <w:t>政府采购评审中出现下列情形之一的，评审委员会应当启动异常低价投标（响应）审查程序：</w:t>
      </w:r>
    </w:p>
    <w:p w14:paraId="5E5CAF9B">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投标（响应）报价低于全部通过符合性审查供应商投标（响应）报价平均值50%的，即投标（响应）报价全部通过符合性审查供应商投标（响应）报价平均值×50%；</w:t>
      </w:r>
    </w:p>
    <w:p w14:paraId="5DA7CA19">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投标（响应）报价低于通过符合性审查的次低报价供应商投标（响应）报价50%的，即投标（响应）报价通过符合性审查的次低报价供应商投标（响应）报价×50%；</w:t>
      </w:r>
    </w:p>
    <w:p w14:paraId="30878235">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投标（响应）报价低于采购项目最高限价45%的，即投标（响应）报价采购项目最高限价×45%；</w:t>
      </w:r>
    </w:p>
    <w:p w14:paraId="2C21F820">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评审委员会基于专业判断，认为供应商报价过低，有可能影响产品质量或者不能诚信履约的其他情形。</w:t>
      </w:r>
    </w:p>
    <w:p w14:paraId="5E38B70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评审委员会启动异常低价投标（响应）审查后，属于前述4项情形的，相关供应商在评审现场</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分钟</w:t>
      </w:r>
      <w:r>
        <w:rPr>
          <w:rFonts w:hint="eastAsia" w:ascii="宋体" w:hAnsi="宋体" w:eastAsia="宋体" w:cs="宋体"/>
          <w:sz w:val="21"/>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投标人不能证明其报价合理性的，评标委员会可将其作为无效投标处理。</w:t>
      </w:r>
    </w:p>
    <w:p w14:paraId="13121ECC">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上述《评标因素和标准》中执行政府采购优惠政策的计算方法详见《磋商须知前附表》。表格中所述“报价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投标总价格</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投标报价”均指投标人的最后报价</w:t>
      </w:r>
      <w:r>
        <w:rPr>
          <w:rFonts w:hint="eastAsia" w:ascii="宋体" w:hAnsi="宋体" w:eastAsia="宋体" w:cs="宋体"/>
          <w:kern w:val="0"/>
          <w:sz w:val="21"/>
          <w:szCs w:val="21"/>
          <w:highlight w:val="none"/>
        </w:rPr>
        <w:t>按采购文件规定的办法进行算术修正及政府采购政策调整后的评标价格。</w:t>
      </w:r>
    </w:p>
    <w:p w14:paraId="5A5AF6C0">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6BA82700">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0FCD8F68">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Cs/>
          <w:sz w:val="21"/>
          <w:szCs w:val="21"/>
          <w:highlight w:val="none"/>
          <w:lang w:val="en-US" w:eastAsia="zh-CN"/>
        </w:rPr>
        <w:t>5、上述技术方案中的</w:t>
      </w:r>
      <w:r>
        <w:rPr>
          <w:rFonts w:hint="eastAsia" w:ascii="宋体" w:hAnsi="宋体" w:eastAsia="宋体" w:cs="宋体"/>
          <w:b w:val="0"/>
          <w:bCs w:val="0"/>
          <w:kern w:val="0"/>
          <w:sz w:val="21"/>
          <w:szCs w:val="21"/>
        </w:rPr>
        <w:t>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p w14:paraId="09A14AD4">
      <w:pPr>
        <w:pStyle w:val="28"/>
        <w:keepNext w:val="0"/>
        <w:keepLines w:val="0"/>
        <w:pageBreakBefore w:val="0"/>
        <w:kinsoku/>
        <w:wordWrap/>
        <w:overflowPunct/>
        <w:topLinePunct w:val="0"/>
        <w:bidi w:val="0"/>
        <w:spacing w:line="400" w:lineRule="exact"/>
        <w:ind w:left="0" w:leftChars="0" w:firstLine="0" w:firstLineChars="0"/>
        <w:textAlignment w:val="auto"/>
        <w:rPr>
          <w:rFonts w:hint="eastAsia"/>
          <w:b w:val="0"/>
          <w:bCs w:val="0"/>
        </w:rPr>
      </w:pPr>
    </w:p>
    <w:p w14:paraId="751FBBC9">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020370C4">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5ABF82E4">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第四章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政府采购合同格式</w:t>
      </w:r>
      <w:bookmarkEnd w:id="36"/>
    </w:p>
    <w:p w14:paraId="23E3EF2A">
      <w:pPr>
        <w:pageBreakBefore w:val="0"/>
        <w:kinsoku/>
        <w:wordWrap/>
        <w:overflowPunct/>
        <w:bidi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第一节</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政府采购合同协议书</w:t>
      </w:r>
    </w:p>
    <w:p w14:paraId="1DA1762D">
      <w:pPr>
        <w:pageBreakBefore w:val="0"/>
        <w:widowControl w:val="0"/>
        <w:kinsoku/>
        <w:wordWrap/>
        <w:overflowPunct/>
        <w:bidi w:val="0"/>
        <w:spacing w:beforeAutospacing="0" w:afterAutospacing="0" w:line="520" w:lineRule="exact"/>
        <w:ind w:firstLine="6062" w:firstLineChars="2887"/>
        <w:jc w:val="left"/>
        <w:textAlignment w:val="auto"/>
        <w:rPr>
          <w:rFonts w:hint="eastAsia" w:ascii="宋体" w:hAnsi="宋体" w:eastAsia="宋体" w:cs="宋体"/>
          <w:kern w:val="2"/>
          <w:sz w:val="21"/>
          <w:szCs w:val="21"/>
          <w:lang w:val="zh-TW" w:eastAsia="zh-TW" w:bidi="zh-TW"/>
        </w:rPr>
      </w:pPr>
      <w:bookmarkStart w:id="37" w:name="_Toc8566"/>
      <w:bookmarkStart w:id="38" w:name="_Toc22719"/>
      <w:bookmarkStart w:id="39" w:name="_Toc32558"/>
      <w:r>
        <w:rPr>
          <w:rFonts w:hint="eastAsia" w:ascii="宋体" w:hAnsi="宋体" w:eastAsia="宋体" w:cs="宋体"/>
          <w:color w:val="000000"/>
          <w:kern w:val="2"/>
          <w:sz w:val="21"/>
          <w:szCs w:val="21"/>
          <w:lang w:val="zh-TW" w:eastAsia="zh-TW" w:bidi="zh-TW"/>
        </w:rPr>
        <w:t>采购合同编号：</w:t>
      </w:r>
    </w:p>
    <w:p w14:paraId="71576A8D">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采购人（发包人）：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（甲方）</w:t>
      </w:r>
    </w:p>
    <w:p w14:paraId="1F8CD1F7">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供应商（承包人）：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（乙方）</w:t>
      </w:r>
    </w:p>
    <w:p w14:paraId="6C013946">
      <w:pPr>
        <w:pageBreakBefore w:val="0"/>
        <w:widowControl w:val="0"/>
        <w:kinsoku/>
        <w:wordWrap/>
        <w:overflowPunct/>
        <w:bidi w:val="0"/>
        <w:spacing w:beforeAutospacing="0" w:afterAutospacing="0" w:line="520" w:lineRule="exact"/>
        <w:ind w:firstLine="44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en-US" w:eastAsia="zh-CN" w:bidi="zh-TW"/>
        </w:rPr>
        <w:t>为了保护甲、乙双方合法权益，根</w:t>
      </w:r>
      <w:r>
        <w:rPr>
          <w:rFonts w:hint="eastAsia" w:ascii="宋体" w:hAnsi="宋体" w:eastAsia="宋体" w:cs="宋体"/>
          <w:color w:val="000000"/>
          <w:kern w:val="2"/>
          <w:sz w:val="21"/>
          <w:szCs w:val="21"/>
          <w:lang w:val="zh-TW" w:eastAsia="zh-TW" w:bidi="zh-TW"/>
        </w:rPr>
        <w:t>据《中华人民共和国</w:t>
      </w:r>
      <w:r>
        <w:rPr>
          <w:rFonts w:hint="eastAsia" w:ascii="宋体" w:hAnsi="宋体" w:eastAsia="宋体" w:cs="宋体"/>
          <w:color w:val="000000"/>
          <w:kern w:val="2"/>
          <w:sz w:val="21"/>
          <w:szCs w:val="21"/>
          <w:lang w:val="en-US" w:eastAsia="zh-CN" w:bidi="zh-TW"/>
        </w:rPr>
        <w:t>民法典》《</w:t>
      </w:r>
      <w:r>
        <w:rPr>
          <w:rFonts w:hint="eastAsia" w:ascii="宋体" w:hAnsi="宋体" w:eastAsia="宋体" w:cs="宋体"/>
          <w:color w:val="000000"/>
          <w:kern w:val="2"/>
          <w:sz w:val="21"/>
          <w:szCs w:val="21"/>
          <w:lang w:val="zh-TW" w:eastAsia="zh-TW" w:bidi="zh-TW"/>
        </w:rPr>
        <w:t>中华人民共和国政府采购法》及其他有关</w:t>
      </w:r>
      <w:r>
        <w:rPr>
          <w:rFonts w:hint="eastAsia" w:ascii="宋体" w:hAnsi="宋体" w:eastAsia="宋体" w:cs="宋体"/>
          <w:color w:val="000000"/>
          <w:kern w:val="2"/>
          <w:sz w:val="21"/>
          <w:szCs w:val="21"/>
          <w:lang w:val="zh-TW" w:eastAsia="zh-CN" w:bidi="zh-TW"/>
        </w:rPr>
        <w:t>法律法规、</w:t>
      </w:r>
      <w:r>
        <w:rPr>
          <w:rFonts w:hint="eastAsia" w:ascii="宋体" w:hAnsi="宋体" w:eastAsia="宋体" w:cs="宋体"/>
          <w:color w:val="000000"/>
          <w:kern w:val="2"/>
          <w:sz w:val="21"/>
          <w:szCs w:val="21"/>
          <w:lang w:val="en-US" w:eastAsia="zh-CN" w:bidi="zh-TW"/>
        </w:rPr>
        <w:t>规章，</w:t>
      </w:r>
      <w:r>
        <w:rPr>
          <w:rFonts w:hint="eastAsia" w:ascii="宋体" w:hAnsi="宋体" w:eastAsia="宋体" w:cs="宋体"/>
          <w:color w:val="000000"/>
          <w:kern w:val="2"/>
          <w:sz w:val="21"/>
          <w:szCs w:val="21"/>
          <w:lang w:val="zh-TW" w:eastAsia="zh-TW" w:bidi="zh-TW"/>
        </w:rPr>
        <w:t>双方</w:t>
      </w:r>
      <w:r>
        <w:rPr>
          <w:rFonts w:hint="eastAsia" w:ascii="宋体" w:hAnsi="宋体" w:eastAsia="宋体" w:cs="宋体"/>
          <w:color w:val="000000"/>
          <w:kern w:val="2"/>
          <w:sz w:val="21"/>
          <w:szCs w:val="21"/>
          <w:lang w:val="en-US" w:eastAsia="zh-CN" w:bidi="zh-TW"/>
        </w:rPr>
        <w:t>签订</w:t>
      </w:r>
      <w:r>
        <w:rPr>
          <w:rFonts w:hint="eastAsia" w:ascii="宋体" w:hAnsi="宋体" w:eastAsia="宋体" w:cs="宋体"/>
          <w:color w:val="000000"/>
          <w:kern w:val="2"/>
          <w:sz w:val="21"/>
          <w:szCs w:val="21"/>
          <w:lang w:val="zh-TW" w:eastAsia="zh-TW" w:bidi="zh-TW"/>
        </w:rPr>
        <w:t>本</w:t>
      </w:r>
      <w:r>
        <w:rPr>
          <w:rFonts w:hint="eastAsia" w:ascii="宋体" w:hAnsi="宋体" w:eastAsia="宋体" w:cs="宋体"/>
          <w:color w:val="000000"/>
          <w:kern w:val="2"/>
          <w:sz w:val="21"/>
          <w:szCs w:val="21"/>
          <w:lang w:val="en-US" w:eastAsia="zh-CN" w:bidi="zh-TW"/>
        </w:rPr>
        <w:t>合同</w:t>
      </w:r>
      <w:r>
        <w:rPr>
          <w:rFonts w:hint="eastAsia" w:ascii="宋体" w:hAnsi="宋体" w:eastAsia="宋体" w:cs="宋体"/>
          <w:color w:val="000000"/>
          <w:kern w:val="2"/>
          <w:sz w:val="21"/>
          <w:szCs w:val="21"/>
          <w:lang w:val="zh-TW" w:eastAsia="zh-TW" w:bidi="zh-TW"/>
        </w:rPr>
        <w:t>协议书。</w:t>
      </w:r>
    </w:p>
    <w:p w14:paraId="5A8830A4">
      <w:pPr>
        <w:keepNext/>
        <w:keepLines/>
        <w:pageBreakBefore w:val="0"/>
        <w:widowControl w:val="0"/>
        <w:tabs>
          <w:tab w:val="left" w:pos="363"/>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40" w:name="bookmark425"/>
      <w:bookmarkStart w:id="41" w:name="bookmark424"/>
      <w:bookmarkStart w:id="42" w:name="_Toc32082"/>
      <w:bookmarkStart w:id="43" w:name="_Toc4958"/>
      <w:bookmarkStart w:id="44" w:name="bookmark426"/>
      <w:bookmarkStart w:id="45" w:name="bookmark423"/>
      <w:r>
        <w:rPr>
          <w:rFonts w:hint="eastAsia" w:ascii="宋体" w:hAnsi="宋体" w:eastAsia="宋体" w:cs="宋体"/>
          <w:b/>
          <w:bCs/>
          <w:color w:val="000000"/>
          <w:kern w:val="2"/>
          <w:sz w:val="21"/>
          <w:szCs w:val="21"/>
          <w:lang w:val="zh-TW" w:eastAsia="zh-CN" w:bidi="zh-TW"/>
        </w:rPr>
        <w:t>1.</w:t>
      </w:r>
      <w:bookmarkEnd w:id="40"/>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项目信息</w:t>
      </w:r>
      <w:bookmarkEnd w:id="41"/>
      <w:bookmarkEnd w:id="42"/>
      <w:bookmarkEnd w:id="43"/>
      <w:bookmarkEnd w:id="44"/>
      <w:bookmarkEnd w:id="45"/>
    </w:p>
    <w:p w14:paraId="28FA1D4A">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1</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采购项目名称：</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133E75DB">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采购计划编号：</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2C121864">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项目内容：</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50E06EB9">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（4）是否分包：</w:t>
      </w:r>
      <w:r>
        <w:rPr>
          <w:rFonts w:hint="eastAsia" w:ascii="宋体" w:hAnsi="宋体" w:eastAsia="宋体" w:cs="宋体"/>
          <w:kern w:val="2"/>
          <w:sz w:val="21"/>
          <w:szCs w:val="21"/>
          <w:u w:val="single"/>
          <w:lang w:val="en-US" w:eastAsia="zh-CN" w:bidi="zh-TW"/>
        </w:rPr>
        <w:t xml:space="preserve">                                </w:t>
      </w:r>
    </w:p>
    <w:p w14:paraId="5BA1A6F1">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（5）项目负责人：</w:t>
      </w:r>
      <w:r>
        <w:rPr>
          <w:rFonts w:hint="eastAsia" w:ascii="宋体" w:hAnsi="宋体" w:eastAsia="宋体" w:cs="宋体"/>
          <w:kern w:val="2"/>
          <w:sz w:val="21"/>
          <w:szCs w:val="21"/>
          <w:u w:val="single"/>
          <w:lang w:val="en-US" w:eastAsia="zh-CN" w:bidi="zh-TW"/>
        </w:rPr>
        <w:t xml:space="preserve">                              </w:t>
      </w:r>
    </w:p>
    <w:p w14:paraId="0409E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（6）联系电话：</w:t>
      </w:r>
      <w:r>
        <w:rPr>
          <w:rFonts w:hint="eastAsia" w:ascii="宋体" w:hAnsi="宋体" w:eastAsia="宋体" w:cs="宋体"/>
          <w:kern w:val="2"/>
          <w:sz w:val="21"/>
          <w:szCs w:val="21"/>
          <w:u w:val="single"/>
          <w:lang w:val="en-US" w:eastAsia="zh-CN" w:bidi="zh-TW"/>
        </w:rPr>
        <w:t xml:space="preserve">                                </w:t>
      </w:r>
      <w:bookmarkStart w:id="46" w:name="bookmark430"/>
      <w:bookmarkStart w:id="47" w:name="bookmark427"/>
      <w:bookmarkStart w:id="48" w:name="bookmark428"/>
      <w:bookmarkStart w:id="49" w:name="bookmark429"/>
      <w:bookmarkStart w:id="50" w:name="_Toc24354"/>
      <w:bookmarkStart w:id="51" w:name="_Toc17910"/>
    </w:p>
    <w:p w14:paraId="1554CF76">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2.</w:t>
      </w:r>
      <w:bookmarkEnd w:id="46"/>
      <w:bookmarkEnd w:id="47"/>
      <w:bookmarkEnd w:id="48"/>
      <w:bookmarkEnd w:id="49"/>
      <w:r>
        <w:rPr>
          <w:rFonts w:hint="eastAsia" w:ascii="宋体" w:hAnsi="宋体" w:eastAsia="宋体" w:cs="宋体"/>
          <w:color w:val="000000"/>
          <w:kern w:val="2"/>
          <w:sz w:val="21"/>
          <w:szCs w:val="21"/>
          <w:lang w:val="en-US" w:eastAsia="zh-CN" w:bidi="zh-TW"/>
        </w:rPr>
        <w:t>合同金额</w:t>
      </w:r>
      <w:bookmarkEnd w:id="50"/>
      <w:bookmarkEnd w:id="51"/>
      <w:bookmarkStart w:id="52" w:name="bookmark431"/>
      <w:bookmarkStart w:id="53" w:name="bookmark432"/>
      <w:bookmarkStart w:id="54" w:name="bookmark433"/>
      <w:bookmarkStart w:id="55" w:name="bookmark434"/>
    </w:p>
    <w:p w14:paraId="22ED8CA9">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合同金额小写：</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大写：</w:t>
      </w:r>
      <w:r>
        <w:rPr>
          <w:rFonts w:hint="eastAsia" w:ascii="宋体" w:hAnsi="宋体" w:eastAsia="宋体" w:cs="宋体"/>
          <w:b w:val="0"/>
          <w:bCs w:val="0"/>
          <w:color w:val="000000"/>
          <w:kern w:val="2"/>
          <w:sz w:val="21"/>
          <w:szCs w:val="21"/>
          <w:u w:val="single"/>
          <w:lang w:val="en-US" w:eastAsia="zh-CN" w:bidi="zh-TW"/>
        </w:rPr>
        <w:t xml:space="preserve">                          </w:t>
      </w:r>
    </w:p>
    <w:p w14:paraId="4AA528B0">
      <w:pPr>
        <w:keepNext/>
        <w:keepLines/>
        <w:pageBreakBefore w:val="0"/>
        <w:widowControl w:val="0"/>
        <w:numPr>
          <w:ilvl w:val="0"/>
          <w:numId w:val="2"/>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具体标的见附件。</w:t>
      </w:r>
    </w:p>
    <w:p w14:paraId="611E3990">
      <w:pPr>
        <w:keepNext/>
        <w:keepLines/>
        <w:pageBreakBefore w:val="0"/>
        <w:widowControl w:val="0"/>
        <w:numPr>
          <w:ilvl w:val="0"/>
          <w:numId w:val="2"/>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合同定价方式：□固定总价    □固定单价   □成本补偿   □绩效激励</w:t>
      </w:r>
    </w:p>
    <w:p w14:paraId="7577E914">
      <w:pPr>
        <w:keepNext/>
        <w:keepLines/>
        <w:pageBreakBefore w:val="0"/>
        <w:widowControl w:val="0"/>
        <w:numPr>
          <w:ilvl w:val="0"/>
          <w:numId w:val="2"/>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付款方式（按项目实际勾选填写）：</w:t>
      </w:r>
    </w:p>
    <w:p w14:paraId="3C580AB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全额付款：</w:t>
      </w:r>
      <w:r>
        <w:rPr>
          <w:rFonts w:hint="eastAsia" w:ascii="宋体" w:hAnsi="宋体" w:eastAsia="宋体" w:cs="宋体"/>
          <w:b w:val="0"/>
          <w:bCs w:val="0"/>
          <w:color w:val="000000"/>
          <w:kern w:val="2"/>
          <w:sz w:val="21"/>
          <w:szCs w:val="21"/>
          <w:u w:val="single"/>
          <w:lang w:val="en-US" w:eastAsia="zh-CN" w:bidi="zh-TW"/>
        </w:rPr>
        <w:t>（应一次性支付全总合同款项）</w:t>
      </w:r>
    </w:p>
    <w:p w14:paraId="3A935BB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预付款：</w:t>
      </w:r>
      <w:r>
        <w:rPr>
          <w:rFonts w:hint="eastAsia" w:ascii="宋体" w:hAnsi="宋体" w:eastAsia="宋体" w:cs="宋体"/>
          <w:b w:val="0"/>
          <w:bCs w:val="0"/>
          <w:color w:val="000000"/>
          <w:kern w:val="2"/>
          <w:sz w:val="21"/>
          <w:szCs w:val="21"/>
          <w:u w:val="single"/>
          <w:lang w:val="en-US" w:eastAsia="zh-CN" w:bidi="zh-TW"/>
        </w:rPr>
        <w:t>（应明确预付款的支付比例和支付条件）</w:t>
      </w:r>
    </w:p>
    <w:p w14:paraId="0788AEC5">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分期付款：</w:t>
      </w:r>
      <w:r>
        <w:rPr>
          <w:rFonts w:hint="eastAsia" w:ascii="宋体" w:hAnsi="宋体" w:eastAsia="宋体" w:cs="宋体"/>
          <w:b w:val="0"/>
          <w:bCs w:val="0"/>
          <w:color w:val="000000"/>
          <w:kern w:val="2"/>
          <w:sz w:val="21"/>
          <w:szCs w:val="21"/>
          <w:u w:val="single"/>
          <w:lang w:val="en-US" w:eastAsia="zh-CN" w:bidi="zh-TW"/>
        </w:rPr>
        <w:t xml:space="preserve">（应按季度分期支付合同款项） </w:t>
      </w:r>
    </w:p>
    <w:p w14:paraId="499947A4">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成本补偿：</w:t>
      </w:r>
      <w:r>
        <w:rPr>
          <w:rFonts w:hint="eastAsia" w:ascii="宋体" w:hAnsi="宋体" w:eastAsia="宋体" w:cs="宋体"/>
          <w:b w:val="0"/>
          <w:bCs w:val="0"/>
          <w:color w:val="000000"/>
          <w:kern w:val="2"/>
          <w:sz w:val="21"/>
          <w:szCs w:val="21"/>
          <w:u w:val="single"/>
          <w:lang w:val="en-US" w:eastAsia="zh-CN" w:bidi="zh-TW"/>
        </w:rPr>
        <w:t>（应明确按照成本补偿方式的支付方式和支付条件）</w:t>
      </w:r>
    </w:p>
    <w:p w14:paraId="5F458E5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绩效激励：</w:t>
      </w:r>
      <w:r>
        <w:rPr>
          <w:rFonts w:hint="eastAsia" w:ascii="宋体" w:hAnsi="宋体" w:eastAsia="宋体" w:cs="宋体"/>
          <w:b w:val="0"/>
          <w:bCs w:val="0"/>
          <w:color w:val="000000"/>
          <w:kern w:val="2"/>
          <w:sz w:val="21"/>
          <w:szCs w:val="21"/>
          <w:u w:val="single"/>
          <w:lang w:val="en-US" w:eastAsia="zh-CN" w:bidi="zh-TW"/>
        </w:rPr>
        <w:t>（应明确按照绩效激励方式的支付方式和支付条件</w:t>
      </w:r>
      <w:r>
        <w:rPr>
          <w:rFonts w:hint="eastAsia" w:ascii="宋体" w:hAnsi="宋体" w:eastAsia="宋体" w:cs="宋体"/>
          <w:b/>
          <w:bCs/>
          <w:color w:val="000000"/>
          <w:kern w:val="2"/>
          <w:sz w:val="21"/>
          <w:szCs w:val="21"/>
          <w:u w:val="single"/>
          <w:lang w:val="en-US" w:eastAsia="zh-CN" w:bidi="zh-TW"/>
        </w:rPr>
        <w:t>）</w:t>
      </w:r>
    </w:p>
    <w:p w14:paraId="53E023E7">
      <w:pPr>
        <w:keepNext/>
        <w:keepLines/>
        <w:pageBreakBefore w:val="0"/>
        <w:widowControl w:val="0"/>
        <w:numPr>
          <w:ilvl w:val="0"/>
          <w:numId w:val="0"/>
        </w:numPr>
        <w:tabs>
          <w:tab w:val="left" w:pos="378"/>
        </w:tabs>
        <w:kinsoku/>
        <w:wordWrap/>
        <w:overflowPunct/>
        <w:bidi w:val="0"/>
        <w:spacing w:beforeAutospacing="0" w:afterAutospacing="0" w:line="520" w:lineRule="exact"/>
        <w:ind w:leftChars="0"/>
        <w:jc w:val="left"/>
        <w:textAlignment w:val="auto"/>
        <w:outlineLvl w:val="9"/>
        <w:rPr>
          <w:rFonts w:hint="eastAsia" w:ascii="宋体" w:hAnsi="宋体" w:eastAsia="宋体" w:cs="宋体"/>
          <w:b/>
          <w:bCs/>
          <w:kern w:val="2"/>
          <w:sz w:val="21"/>
          <w:szCs w:val="21"/>
          <w:lang w:val="zh-TW" w:eastAsia="zh-TW" w:bidi="zh-TW"/>
        </w:rPr>
      </w:pPr>
    </w:p>
    <w:p w14:paraId="7B3D752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p>
    <w:bookmarkEnd w:id="52"/>
    <w:bookmarkEnd w:id="53"/>
    <w:bookmarkEnd w:id="54"/>
    <w:bookmarkEnd w:id="55"/>
    <w:p w14:paraId="445BECBF">
      <w:pPr>
        <w:keepNext/>
        <w:keepLines/>
        <w:pageBreakBefore w:val="0"/>
        <w:widowControl w:val="0"/>
        <w:numPr>
          <w:ilvl w:val="0"/>
          <w:numId w:val="0"/>
        </w:numPr>
        <w:tabs>
          <w:tab w:val="left" w:pos="378"/>
        </w:tabs>
        <w:kinsoku/>
        <w:wordWrap/>
        <w:overflowPunct/>
        <w:bidi w:val="0"/>
        <w:spacing w:beforeAutospacing="0" w:afterAutospacing="0" w:line="520" w:lineRule="exact"/>
        <w:jc w:val="left"/>
        <w:textAlignment w:val="auto"/>
        <w:outlineLvl w:val="0"/>
        <w:rPr>
          <w:rFonts w:hint="eastAsia" w:ascii="宋体" w:hAnsi="宋体" w:eastAsia="宋体" w:cs="宋体"/>
          <w:b/>
          <w:bCs/>
          <w:color w:val="000000"/>
          <w:kern w:val="2"/>
          <w:sz w:val="21"/>
          <w:szCs w:val="21"/>
          <w:lang w:val="en-US" w:eastAsia="zh-CN" w:bidi="zh-TW"/>
        </w:rPr>
      </w:pPr>
      <w:bookmarkStart w:id="56" w:name="_Toc9225"/>
      <w:bookmarkStart w:id="57" w:name="_Toc13499"/>
      <w:r>
        <w:rPr>
          <w:rFonts w:hint="eastAsia" w:ascii="宋体" w:hAnsi="宋体" w:eastAsia="宋体" w:cs="宋体"/>
          <w:b/>
          <w:bCs/>
          <w:color w:val="000000"/>
          <w:kern w:val="2"/>
          <w:sz w:val="21"/>
          <w:szCs w:val="21"/>
          <w:lang w:val="en-US" w:eastAsia="zh-CN" w:bidi="zh-TW"/>
        </w:rPr>
        <w:t>3.合同履行</w:t>
      </w:r>
      <w:bookmarkEnd w:id="56"/>
      <w:bookmarkEnd w:id="57"/>
    </w:p>
    <w:p w14:paraId="023ACE6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（1）起始日期：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，完成日期：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。总日历天数：</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天</w:t>
      </w:r>
    </w:p>
    <w:p w14:paraId="6E8193CC">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t>（2）地点：</w:t>
      </w:r>
      <w:r>
        <w:rPr>
          <w:rFonts w:hint="eastAsia" w:ascii="宋体" w:hAnsi="宋体" w:eastAsia="宋体" w:cs="宋体"/>
          <w:b w:val="0"/>
          <w:bCs w:val="0"/>
          <w:color w:val="000000"/>
          <w:kern w:val="2"/>
          <w:sz w:val="21"/>
          <w:szCs w:val="21"/>
          <w:u w:val="single"/>
          <w:lang w:val="en-US" w:eastAsia="zh-CN" w:bidi="zh-TW"/>
        </w:rPr>
        <w:t xml:space="preserve">               </w:t>
      </w:r>
    </w:p>
    <w:p w14:paraId="02C8D27A">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none"/>
          <w:lang w:val="en-US" w:eastAsia="zh-CN" w:bidi="zh-TW"/>
        </w:rPr>
      </w:pPr>
      <w:r>
        <w:rPr>
          <w:rFonts w:hint="eastAsia" w:ascii="宋体" w:hAnsi="宋体" w:eastAsia="宋体" w:cs="宋体"/>
          <w:b w:val="0"/>
          <w:bCs w:val="0"/>
          <w:color w:val="000000"/>
          <w:kern w:val="2"/>
          <w:sz w:val="21"/>
          <w:szCs w:val="21"/>
          <w:u w:val="none"/>
          <w:lang w:val="en-US" w:eastAsia="zh-CN" w:bidi="zh-TW"/>
        </w:rPr>
        <w:t>（3）方式：</w:t>
      </w:r>
      <w:r>
        <w:rPr>
          <w:rFonts w:hint="eastAsia" w:ascii="宋体" w:hAnsi="宋体" w:eastAsia="宋体" w:cs="宋体"/>
          <w:b w:val="0"/>
          <w:bCs w:val="0"/>
          <w:color w:val="000000"/>
          <w:kern w:val="2"/>
          <w:sz w:val="21"/>
          <w:szCs w:val="21"/>
          <w:u w:val="single"/>
          <w:lang w:val="en-US" w:eastAsia="zh-CN" w:bidi="zh-TW"/>
        </w:rPr>
        <w:t xml:space="preserve">               </w:t>
      </w:r>
    </w:p>
    <w:p w14:paraId="3DDF8AC0">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（4）履约担保：</w:t>
      </w:r>
      <w:r>
        <w:rPr>
          <w:rFonts w:hint="eastAsia" w:ascii="宋体" w:hAnsi="宋体" w:eastAsia="宋体" w:cs="宋体"/>
          <w:b w:val="0"/>
          <w:bCs w:val="0"/>
          <w:color w:val="000000"/>
          <w:kern w:val="2"/>
          <w:sz w:val="21"/>
          <w:szCs w:val="21"/>
          <w:u w:val="single"/>
          <w:lang w:val="en-US" w:eastAsia="zh-CN" w:bidi="zh-TW"/>
        </w:rPr>
        <w:t>履约担保的金额、形式和期限要求。</w:t>
      </w:r>
    </w:p>
    <w:p w14:paraId="1A429D83">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（5）质量保证金：</w:t>
      </w:r>
      <w:r>
        <w:rPr>
          <w:rFonts w:hint="eastAsia" w:ascii="宋体" w:hAnsi="宋体" w:eastAsia="宋体" w:cs="宋体"/>
          <w:b w:val="0"/>
          <w:bCs w:val="0"/>
          <w:color w:val="000000"/>
          <w:kern w:val="2"/>
          <w:sz w:val="21"/>
          <w:szCs w:val="21"/>
          <w:u w:val="single"/>
          <w:lang w:val="en-US" w:eastAsia="zh-CN" w:bidi="zh-TW"/>
        </w:rPr>
        <w:t>质量保证金的金额、形式和期限要求。</w:t>
      </w:r>
    </w:p>
    <w:p w14:paraId="4038369B">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en-US" w:eastAsia="zh-CN" w:bidi="zh-TW"/>
        </w:rPr>
      </w:pPr>
      <w:bookmarkStart w:id="58" w:name="bookmark435"/>
      <w:bookmarkStart w:id="59" w:name="bookmark436"/>
      <w:bookmarkStart w:id="60" w:name="_Toc30255"/>
      <w:bookmarkStart w:id="61" w:name="_Toc19329"/>
      <w:r>
        <w:rPr>
          <w:rFonts w:hint="eastAsia" w:ascii="宋体" w:hAnsi="宋体" w:eastAsia="宋体" w:cs="宋体"/>
          <w:b/>
          <w:bCs/>
          <w:color w:val="000000"/>
          <w:kern w:val="2"/>
          <w:sz w:val="21"/>
          <w:szCs w:val="21"/>
          <w:lang w:val="zh-TW" w:eastAsia="zh-CN" w:bidi="zh-TW"/>
        </w:rPr>
        <w:t>4.</w:t>
      </w:r>
      <w:bookmarkEnd w:id="58"/>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合同</w:t>
      </w:r>
      <w:bookmarkEnd w:id="59"/>
      <w:r>
        <w:rPr>
          <w:rFonts w:hint="eastAsia" w:ascii="宋体" w:hAnsi="宋体" w:eastAsia="宋体" w:cs="宋体"/>
          <w:b/>
          <w:bCs/>
          <w:color w:val="000000"/>
          <w:kern w:val="2"/>
          <w:sz w:val="21"/>
          <w:szCs w:val="21"/>
          <w:lang w:val="en-US" w:eastAsia="zh-CN" w:bidi="zh-TW"/>
        </w:rPr>
        <w:t>验收</w:t>
      </w:r>
      <w:bookmarkEnd w:id="60"/>
      <w:bookmarkEnd w:id="61"/>
    </w:p>
    <w:p w14:paraId="31E761F0">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bookmarkStart w:id="62" w:name="bookmark438"/>
      <w:bookmarkStart w:id="63" w:name="bookmark437"/>
      <w:bookmarkStart w:id="64" w:name="bookmark439"/>
      <w:bookmarkStart w:id="65" w:name="bookmark440"/>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验收主体：</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 xml:space="preserve"> </w:t>
      </w:r>
    </w:p>
    <w:p w14:paraId="391CD1B3">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（2）验收方式：</w:t>
      </w:r>
      <w:r>
        <w:rPr>
          <w:rFonts w:hint="eastAsia" w:ascii="宋体" w:hAnsi="宋体" w:eastAsia="宋体" w:cs="宋体"/>
          <w:b w:val="0"/>
          <w:bCs w:val="0"/>
          <w:color w:val="000000"/>
          <w:kern w:val="2"/>
          <w:sz w:val="21"/>
          <w:szCs w:val="21"/>
          <w:u w:val="single"/>
          <w:lang w:val="en-US" w:eastAsia="zh-CN" w:bidi="zh-TW"/>
        </w:rPr>
        <w:t xml:space="preserve">                                </w:t>
      </w:r>
    </w:p>
    <w:p w14:paraId="20B81DBC">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（3）验收标准：</w:t>
      </w:r>
      <w:r>
        <w:rPr>
          <w:rFonts w:hint="eastAsia" w:ascii="宋体" w:hAnsi="宋体" w:eastAsia="宋体" w:cs="宋体"/>
          <w:b w:val="0"/>
          <w:bCs w:val="0"/>
          <w:color w:val="000000"/>
          <w:kern w:val="2"/>
          <w:sz w:val="21"/>
          <w:szCs w:val="21"/>
          <w:u w:val="single"/>
          <w:lang w:val="en-US" w:eastAsia="zh-CN" w:bidi="zh-TW"/>
        </w:rPr>
        <w:t xml:space="preserve">                                </w:t>
      </w:r>
      <w:bookmarkEnd w:id="62"/>
      <w:bookmarkEnd w:id="63"/>
      <w:bookmarkEnd w:id="64"/>
      <w:bookmarkEnd w:id="65"/>
    </w:p>
    <w:p w14:paraId="7B13DAA5">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66" w:name="_Toc4301"/>
      <w:bookmarkStart w:id="67" w:name="_Toc26220"/>
      <w:bookmarkStart w:id="68" w:name="bookmark445"/>
      <w:bookmarkStart w:id="69" w:name="bookmark450"/>
      <w:bookmarkStart w:id="70" w:name="bookmark446"/>
      <w:r>
        <w:rPr>
          <w:rFonts w:hint="eastAsia" w:ascii="宋体" w:hAnsi="宋体" w:eastAsia="宋体" w:cs="宋体"/>
          <w:b/>
          <w:bCs/>
          <w:color w:val="000000"/>
          <w:kern w:val="2"/>
          <w:sz w:val="21"/>
          <w:szCs w:val="21"/>
          <w:lang w:val="en-US" w:eastAsia="zh-CN" w:bidi="zh-TW"/>
        </w:rPr>
        <w:t>5.</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解决合同纠纷方式</w:t>
      </w:r>
      <w:bookmarkEnd w:id="66"/>
      <w:bookmarkEnd w:id="67"/>
      <w:bookmarkEnd w:id="68"/>
      <w:bookmarkEnd w:id="69"/>
      <w:bookmarkEnd w:id="70"/>
    </w:p>
    <w:p w14:paraId="0BF269B9">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TW" w:bidi="zh-TW"/>
        </w:rPr>
        <w:t>首先通过双方协商解决，协商解决不成，则通过以下途径之一解决纠纷：</w:t>
      </w:r>
    </w:p>
    <w:p w14:paraId="1A3D5F92">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sym w:font="Wingdings" w:char="00A8"/>
      </w:r>
      <w:r>
        <w:rPr>
          <w:rFonts w:hint="eastAsia" w:ascii="宋体" w:hAnsi="宋体" w:eastAsia="宋体" w:cs="宋体"/>
          <w:color w:val="000000"/>
          <w:kern w:val="2"/>
          <w:sz w:val="21"/>
          <w:szCs w:val="21"/>
          <w:lang w:val="zh-TW" w:eastAsia="zh-CN" w:bidi="zh-TW"/>
        </w:rPr>
        <w:t>提请仲裁</w:t>
      </w:r>
      <w:r>
        <w:rPr>
          <w:rFonts w:hint="eastAsia" w:ascii="宋体" w:hAnsi="宋体" w:eastAsia="宋体" w:cs="宋体"/>
          <w:color w:val="000000"/>
          <w:kern w:val="2"/>
          <w:sz w:val="21"/>
          <w:szCs w:val="21"/>
          <w:lang w:val="en-US" w:eastAsia="zh-CN" w:bidi="zh-TW"/>
        </w:rPr>
        <w:t xml:space="preserve">             </w:t>
      </w:r>
      <w:r>
        <w:rPr>
          <w:rFonts w:hint="eastAsia" w:ascii="宋体" w:hAnsi="宋体" w:eastAsia="宋体" w:cs="宋体"/>
          <w:color w:val="000000"/>
          <w:kern w:val="2"/>
          <w:sz w:val="21"/>
          <w:szCs w:val="21"/>
          <w:lang w:val="en-US" w:eastAsia="zh-CN" w:bidi="zh-TW"/>
        </w:rPr>
        <w:sym w:font="Wingdings" w:char="00A8"/>
      </w:r>
      <w:r>
        <w:rPr>
          <w:rFonts w:hint="eastAsia" w:ascii="宋体" w:hAnsi="宋体" w:eastAsia="宋体" w:cs="宋体"/>
          <w:color w:val="000000"/>
          <w:kern w:val="2"/>
          <w:sz w:val="21"/>
          <w:szCs w:val="21"/>
          <w:lang w:val="en-US" w:eastAsia="zh-CN" w:bidi="zh-TW"/>
        </w:rPr>
        <w:t>向人民法院提起诉讼</w:t>
      </w:r>
    </w:p>
    <w:p w14:paraId="1AC82EBC">
      <w:pPr>
        <w:keepNext/>
        <w:keepLines/>
        <w:pageBreakBefore w:val="0"/>
        <w:widowControl w:val="0"/>
        <w:numPr>
          <w:ilvl w:val="0"/>
          <w:numId w:val="3"/>
        </w:numPr>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color w:val="000000"/>
          <w:kern w:val="2"/>
          <w:sz w:val="21"/>
          <w:szCs w:val="21"/>
          <w:lang w:val="zh-TW" w:eastAsia="zh-TW" w:bidi="zh-TW"/>
        </w:rPr>
      </w:pPr>
      <w:bookmarkStart w:id="71" w:name="bookmark451"/>
      <w:bookmarkStart w:id="72" w:name="_Toc17954"/>
      <w:bookmarkStart w:id="73" w:name="_Toc19251"/>
      <w:bookmarkStart w:id="74" w:name="bookmark454"/>
      <w:bookmarkStart w:id="75" w:name="bookmark452"/>
      <w:r>
        <w:rPr>
          <w:rFonts w:hint="eastAsia" w:ascii="宋体" w:hAnsi="宋体" w:eastAsia="宋体" w:cs="宋体"/>
          <w:b/>
          <w:bCs/>
          <w:color w:val="000000"/>
          <w:kern w:val="2"/>
          <w:sz w:val="21"/>
          <w:szCs w:val="21"/>
          <w:lang w:val="zh-TW" w:eastAsia="zh-TW" w:bidi="zh-TW"/>
        </w:rPr>
        <w:t>组成合同的文件</w:t>
      </w:r>
      <w:bookmarkEnd w:id="71"/>
      <w:bookmarkEnd w:id="72"/>
      <w:bookmarkEnd w:id="73"/>
      <w:bookmarkEnd w:id="74"/>
      <w:bookmarkEnd w:id="75"/>
    </w:p>
    <w:p w14:paraId="6FD2ABEB">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420" w:firstLineChars="20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本协议与下列文件一起构成合同文件，如下述文件之间有任何抵触、矛盾或歧义，应按以下顺序解释：</w:t>
      </w:r>
    </w:p>
    <w:p w14:paraId="007AE468">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（1）在采购或合同履行过程中乙方作出的承诺以及双方协商达成的变更或补充协议。</w:t>
      </w:r>
    </w:p>
    <w:p w14:paraId="7FBBD3F5">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本合同协议书</w:t>
      </w:r>
    </w:p>
    <w:p w14:paraId="77A730CC">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中标</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成交</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通知书</w:t>
      </w:r>
      <w:bookmarkStart w:id="76" w:name="bookmark455"/>
      <w:bookmarkEnd w:id="76"/>
    </w:p>
    <w:p w14:paraId="5E83A198">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4</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投标</w:t>
      </w:r>
      <w:r>
        <w:rPr>
          <w:rFonts w:hint="eastAsia" w:ascii="宋体" w:hAnsi="宋体" w:eastAsia="宋体" w:cs="宋体"/>
          <w:color w:val="000000"/>
          <w:kern w:val="2"/>
          <w:sz w:val="21"/>
          <w:szCs w:val="21"/>
          <w:lang w:val="en-US" w:eastAsia="zh-CN" w:bidi="zh-TW"/>
        </w:rPr>
        <w:t>文件</w:t>
      </w:r>
    </w:p>
    <w:p w14:paraId="7C05364B">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color w:val="000000"/>
          <w:kern w:val="2"/>
          <w:sz w:val="21"/>
          <w:szCs w:val="21"/>
          <w:lang w:val="zh-TW" w:eastAsia="zh-TW" w:bidi="zh-TW"/>
        </w:rPr>
      </w:pPr>
      <w:bookmarkStart w:id="77" w:name="bookmark456"/>
      <w:bookmarkEnd w:id="77"/>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5</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合同专用条款</w:t>
      </w:r>
      <w:bookmarkStart w:id="78" w:name="bookmark457"/>
      <w:bookmarkEnd w:id="78"/>
    </w:p>
    <w:p w14:paraId="2C8CD5C1">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6</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合同通用条款</w:t>
      </w:r>
    </w:p>
    <w:p w14:paraId="701ECCB2">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en-US" w:eastAsia="zh-CN" w:bidi="zh-TW"/>
        </w:rPr>
      </w:pPr>
      <w:bookmarkStart w:id="79" w:name="bookmark458"/>
      <w:bookmarkEnd w:id="79"/>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7</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标准、规范及有关技术文件</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图纸</w:t>
      </w:r>
    </w:p>
    <w:p w14:paraId="7B4D82BD">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b/>
          <w:bCs/>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8</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其他合同文件</w:t>
      </w:r>
      <w:bookmarkStart w:id="80" w:name="_Toc27406"/>
      <w:bookmarkStart w:id="81" w:name="_Toc1269"/>
    </w:p>
    <w:p w14:paraId="1AA884A5">
      <w:pPr>
        <w:pageBreakBefore w:val="0"/>
        <w:widowControl w:val="0"/>
        <w:tabs>
          <w:tab w:val="left" w:pos="464"/>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bCs/>
          <w:color w:val="000000"/>
          <w:kern w:val="2"/>
          <w:sz w:val="21"/>
          <w:szCs w:val="21"/>
          <w:lang w:val="en-US" w:eastAsia="zh-CN" w:bidi="zh-TW"/>
        </w:rPr>
        <w:t>7.</w:t>
      </w:r>
      <w:r>
        <w:rPr>
          <w:rFonts w:hint="eastAsia" w:ascii="宋体" w:hAnsi="宋体" w:eastAsia="宋体" w:cs="宋体"/>
          <w:b/>
          <w:bCs/>
          <w:color w:val="000000"/>
          <w:kern w:val="2"/>
          <w:sz w:val="21"/>
          <w:szCs w:val="21"/>
          <w:lang w:val="zh-TW" w:eastAsia="zh-TW" w:bidi="zh-TW"/>
        </w:rPr>
        <w:t>合同生效</w:t>
      </w:r>
      <w:bookmarkEnd w:id="80"/>
      <w:bookmarkEnd w:id="81"/>
    </w:p>
    <w:p w14:paraId="4B996559">
      <w:pPr>
        <w:pageBreakBefore w:val="0"/>
        <w:widowControl w:val="0"/>
        <w:tabs>
          <w:tab w:val="left" w:pos="464"/>
        </w:tabs>
        <w:kinsoku/>
        <w:wordWrap/>
        <w:overflowPunct/>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 xml:space="preserve">本合同自 </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 xml:space="preserve"> 生效。</w:t>
      </w:r>
      <w:bookmarkStart w:id="82" w:name="_Toc28629"/>
      <w:bookmarkStart w:id="83" w:name="_Toc17854"/>
      <w:bookmarkStart w:id="84" w:name="bookmark463"/>
      <w:bookmarkStart w:id="85" w:name="bookmark464"/>
      <w:bookmarkStart w:id="86" w:name="bookmark466"/>
    </w:p>
    <w:p w14:paraId="35BB7971">
      <w:pPr>
        <w:keepNext/>
        <w:keepLines/>
        <w:pageBreakBefore w:val="0"/>
        <w:widowControl w:val="0"/>
        <w:tabs>
          <w:tab w:val="left" w:pos="469"/>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r>
        <w:rPr>
          <w:rFonts w:hint="eastAsia" w:ascii="宋体" w:hAnsi="宋体" w:eastAsia="宋体" w:cs="宋体"/>
          <w:b/>
          <w:bCs/>
          <w:color w:val="000000"/>
          <w:kern w:val="2"/>
          <w:sz w:val="21"/>
          <w:szCs w:val="21"/>
          <w:lang w:val="en-US" w:eastAsia="zh-CN" w:bidi="zh-TW"/>
        </w:rPr>
        <w:t>8.</w:t>
      </w:r>
      <w:r>
        <w:rPr>
          <w:rFonts w:hint="eastAsia" w:ascii="宋体" w:hAnsi="宋体" w:eastAsia="宋体" w:cs="宋体"/>
          <w:b/>
          <w:bCs/>
          <w:color w:val="000000"/>
          <w:kern w:val="2"/>
          <w:sz w:val="21"/>
          <w:szCs w:val="21"/>
          <w:lang w:val="zh-TW" w:eastAsia="zh-TW" w:bidi="zh-TW"/>
        </w:rPr>
        <w:t>合同份数</w:t>
      </w:r>
      <w:bookmarkEnd w:id="82"/>
      <w:bookmarkEnd w:id="83"/>
      <w:bookmarkEnd w:id="84"/>
      <w:bookmarkEnd w:id="85"/>
      <w:bookmarkEnd w:id="86"/>
    </w:p>
    <w:p w14:paraId="7030C7D4">
      <w:pPr>
        <w:pageBreakBefore w:val="0"/>
        <w:widowControl w:val="0"/>
        <w:tabs>
          <w:tab w:val="left" w:pos="493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本合同一式</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采购人</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供应商</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份，均具有同等法律效力。</w:t>
      </w:r>
    </w:p>
    <w:p w14:paraId="0483435D">
      <w:pPr>
        <w:pageBreakBefore w:val="0"/>
        <w:widowControl w:val="0"/>
        <w:tabs>
          <w:tab w:val="left" w:pos="2410"/>
          <w:tab w:val="left" w:pos="3250"/>
          <w:tab w:val="left" w:pos="409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合同订立时间：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月</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日</w:t>
      </w:r>
    </w:p>
    <w:p w14:paraId="160E5D18">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TW" w:bidi="zh-TW"/>
        </w:rPr>
        <w:t>合同订立地点</w:t>
      </w:r>
      <w:r>
        <w:rPr>
          <w:rFonts w:hint="eastAsia" w:ascii="宋体" w:hAnsi="宋体" w:eastAsia="宋体" w:cs="宋体"/>
          <w:color w:val="000000"/>
          <w:kern w:val="2"/>
          <w:sz w:val="21"/>
          <w:szCs w:val="21"/>
          <w:lang w:val="zh-TW" w:eastAsia="zh-CN" w:bidi="zh-TW"/>
        </w:rPr>
        <w:t>：</w:t>
      </w:r>
    </w:p>
    <w:p w14:paraId="118651A6">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en-US" w:eastAsia="zh-CN" w:bidi="zh-TW"/>
        </w:rPr>
        <w:t>附件：具体标的明细、分包合同等。</w:t>
      </w:r>
    </w:p>
    <w:p w14:paraId="31AA0FBB">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kern w:val="2"/>
          <w:sz w:val="21"/>
          <w:szCs w:val="21"/>
          <w:lang w:val="zh-TW" w:eastAsia="zh-TW" w:bidi="zh-TW"/>
        </w:rPr>
        <w:t>甲      方：（公章）                     乙      方：（公章）</w:t>
      </w:r>
    </w:p>
    <w:p w14:paraId="068B87F7">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法定代表人：</w:t>
      </w:r>
      <w:r>
        <w:rPr>
          <w:rFonts w:hint="eastAsia" w:ascii="宋体" w:hAnsi="宋体" w:eastAsia="宋体" w:cs="宋体"/>
          <w:sz w:val="21"/>
          <w:szCs w:val="21"/>
          <w:u w:val="single"/>
        </w:rPr>
        <w:t xml:space="preserve">                   </w:t>
      </w:r>
    </w:p>
    <w:p w14:paraId="6C752598">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委托代理人：</w:t>
      </w:r>
      <w:r>
        <w:rPr>
          <w:rFonts w:hint="eastAsia" w:ascii="宋体" w:hAnsi="宋体" w:eastAsia="宋体" w:cs="宋体"/>
          <w:sz w:val="21"/>
          <w:szCs w:val="21"/>
          <w:u w:val="single"/>
        </w:rPr>
        <w:t xml:space="preserve">                   </w:t>
      </w:r>
    </w:p>
    <w:p w14:paraId="6329C4A3">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电      话：</w:t>
      </w:r>
      <w:r>
        <w:rPr>
          <w:rFonts w:hint="eastAsia" w:ascii="宋体" w:hAnsi="宋体" w:eastAsia="宋体" w:cs="宋体"/>
          <w:sz w:val="21"/>
          <w:szCs w:val="21"/>
          <w:u w:val="single"/>
        </w:rPr>
        <w:t xml:space="preserve">                   </w:t>
      </w:r>
    </w:p>
    <w:p w14:paraId="5AF29EE5">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传      真：</w:t>
      </w:r>
      <w:r>
        <w:rPr>
          <w:rFonts w:hint="eastAsia" w:ascii="宋体" w:hAnsi="宋体" w:eastAsia="宋体" w:cs="宋体"/>
          <w:sz w:val="21"/>
          <w:szCs w:val="21"/>
          <w:u w:val="single"/>
        </w:rPr>
        <w:t xml:space="preserve">                   </w:t>
      </w:r>
    </w:p>
    <w:p w14:paraId="768BF44E">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开 户 银 行：</w:t>
      </w:r>
      <w:r>
        <w:rPr>
          <w:rFonts w:hint="eastAsia" w:ascii="宋体" w:hAnsi="宋体" w:eastAsia="宋体" w:cs="宋体"/>
          <w:sz w:val="21"/>
          <w:szCs w:val="21"/>
          <w:u w:val="single"/>
        </w:rPr>
        <w:t xml:space="preserve">                   </w:t>
      </w:r>
    </w:p>
    <w:p w14:paraId="5DD7057B">
      <w:pPr>
        <w:pageBreakBefore w:val="0"/>
        <w:kinsoku/>
        <w:wordWrap/>
        <w:overflowPunct/>
        <w:bidi w:val="0"/>
        <w:snapToGrid w:val="0"/>
        <w:spacing w:beforeAutospacing="0" w:afterAutospacing="0" w:line="520" w:lineRule="exact"/>
        <w:jc w:val="both"/>
        <w:textAlignment w:val="auto"/>
        <w:rPr>
          <w:rFonts w:hint="eastAsia"/>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账</w:t>
      </w:r>
      <w:r>
        <w:rPr>
          <w:rFonts w:hint="eastAsia" w:ascii="宋体" w:hAnsi="宋体" w:eastAsia="宋体" w:cs="宋体"/>
          <w:sz w:val="21"/>
          <w:szCs w:val="21"/>
        </w:rPr>
        <w:t xml:space="preserve">       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35210BBA">
      <w:pPr>
        <w:pStyle w:val="3"/>
        <w:bidi w:val="0"/>
        <w:jc w:val="center"/>
        <w:rPr>
          <w:rFonts w:hint="eastAsia"/>
        </w:rPr>
      </w:pPr>
    </w:p>
    <w:p w14:paraId="4D604B2C">
      <w:pPr>
        <w:pStyle w:val="3"/>
        <w:bidi w:val="0"/>
        <w:jc w:val="center"/>
        <w:rPr>
          <w:rFonts w:hint="eastAsia"/>
        </w:rPr>
      </w:pPr>
    </w:p>
    <w:p w14:paraId="5E897DEC">
      <w:pPr>
        <w:pStyle w:val="3"/>
        <w:bidi w:val="0"/>
        <w:jc w:val="center"/>
        <w:rPr>
          <w:rFonts w:hint="eastAsia"/>
        </w:rPr>
      </w:pPr>
    </w:p>
    <w:p w14:paraId="093AC406">
      <w:pPr>
        <w:pStyle w:val="3"/>
        <w:bidi w:val="0"/>
        <w:jc w:val="center"/>
        <w:rPr>
          <w:rFonts w:hint="eastAsia"/>
        </w:rPr>
      </w:pPr>
    </w:p>
    <w:p w14:paraId="403B8419">
      <w:pPr>
        <w:pStyle w:val="3"/>
        <w:bidi w:val="0"/>
        <w:jc w:val="center"/>
        <w:rPr>
          <w:rFonts w:hint="eastAsia"/>
        </w:rPr>
      </w:pPr>
    </w:p>
    <w:p w14:paraId="6DB9F01A">
      <w:pPr>
        <w:pStyle w:val="3"/>
        <w:bidi w:val="0"/>
        <w:jc w:val="center"/>
        <w:rPr>
          <w:rFonts w:hint="eastAsia"/>
        </w:rPr>
      </w:pPr>
    </w:p>
    <w:p w14:paraId="4D962F67">
      <w:pPr>
        <w:pStyle w:val="3"/>
        <w:bidi w:val="0"/>
        <w:jc w:val="center"/>
        <w:rPr>
          <w:rFonts w:hint="eastAsia"/>
        </w:rPr>
      </w:pPr>
    </w:p>
    <w:p w14:paraId="399822A1">
      <w:pPr>
        <w:pStyle w:val="3"/>
        <w:bidi w:val="0"/>
        <w:jc w:val="center"/>
        <w:rPr>
          <w:rFonts w:hint="eastAsia"/>
        </w:rPr>
      </w:pPr>
    </w:p>
    <w:p w14:paraId="02CE9B99">
      <w:pPr>
        <w:pStyle w:val="3"/>
        <w:bidi w:val="0"/>
        <w:jc w:val="center"/>
        <w:rPr>
          <w:rFonts w:hint="eastAsia"/>
        </w:rPr>
      </w:pPr>
    </w:p>
    <w:p w14:paraId="4ED735D3">
      <w:pPr>
        <w:pStyle w:val="3"/>
        <w:bidi w:val="0"/>
        <w:jc w:val="center"/>
        <w:rPr>
          <w:rFonts w:hint="eastAsia"/>
        </w:rPr>
      </w:pPr>
    </w:p>
    <w:p w14:paraId="6584EEEE">
      <w:pPr>
        <w:pStyle w:val="3"/>
        <w:bidi w:val="0"/>
        <w:jc w:val="center"/>
        <w:rPr>
          <w:rFonts w:hint="eastAsia"/>
        </w:rPr>
      </w:pPr>
    </w:p>
    <w:p w14:paraId="09DA8B40">
      <w:pPr>
        <w:pStyle w:val="3"/>
        <w:bidi w:val="0"/>
        <w:jc w:val="center"/>
        <w:rPr>
          <w:rFonts w:hint="eastAsia"/>
        </w:rPr>
      </w:pPr>
    </w:p>
    <w:p w14:paraId="72FAE184">
      <w:pPr>
        <w:pStyle w:val="3"/>
        <w:bidi w:val="0"/>
        <w:jc w:val="center"/>
        <w:rPr>
          <w:rFonts w:hint="eastAsia"/>
        </w:rPr>
      </w:pPr>
    </w:p>
    <w:p w14:paraId="6CFBB537">
      <w:pPr>
        <w:pStyle w:val="3"/>
        <w:bidi w:val="0"/>
        <w:jc w:val="center"/>
        <w:rPr>
          <w:rFonts w:hint="eastAsia"/>
        </w:rPr>
      </w:pPr>
    </w:p>
    <w:p w14:paraId="04726DDA">
      <w:pPr>
        <w:pStyle w:val="3"/>
        <w:bidi w:val="0"/>
        <w:jc w:val="center"/>
        <w:rPr>
          <w:rFonts w:hint="eastAsia"/>
        </w:rPr>
      </w:pPr>
    </w:p>
    <w:p w14:paraId="548E9437">
      <w:pPr>
        <w:pStyle w:val="3"/>
        <w:bidi w:val="0"/>
        <w:jc w:val="center"/>
        <w:rPr>
          <w:rFonts w:hint="eastAsia"/>
        </w:rPr>
      </w:pPr>
    </w:p>
    <w:p w14:paraId="4FA8AF1B">
      <w:pPr>
        <w:pStyle w:val="3"/>
        <w:bidi w:val="0"/>
        <w:jc w:val="center"/>
        <w:rPr>
          <w:rFonts w:hint="eastAsia"/>
        </w:rPr>
      </w:pPr>
    </w:p>
    <w:p w14:paraId="5401C852">
      <w:pPr>
        <w:pStyle w:val="3"/>
        <w:bidi w:val="0"/>
        <w:jc w:val="center"/>
        <w:rPr>
          <w:rFonts w:hint="eastAsia"/>
        </w:rPr>
      </w:pPr>
    </w:p>
    <w:p w14:paraId="575D8E0D">
      <w:pPr>
        <w:pStyle w:val="3"/>
        <w:bidi w:val="0"/>
        <w:jc w:val="both"/>
        <w:rPr>
          <w:rFonts w:hint="eastAsia"/>
        </w:rPr>
      </w:pPr>
    </w:p>
    <w:bookmarkEnd w:id="37"/>
    <w:bookmarkEnd w:id="38"/>
    <w:bookmarkEnd w:id="39"/>
    <w:p w14:paraId="47EE3390">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宋体" w:hAnsi="宋体" w:eastAsia="宋体" w:cs="宋体"/>
          <w:b/>
          <w:color w:val="000000"/>
          <w:sz w:val="21"/>
          <w:szCs w:val="21"/>
          <w:highlight w:val="none"/>
        </w:rPr>
      </w:pPr>
    </w:p>
    <w:p w14:paraId="079FB770">
      <w:pPr>
        <w:keepNext/>
        <w:keepLines/>
        <w:widowControl w:val="0"/>
        <w:bidi w:val="0"/>
        <w:spacing w:line="360" w:lineRule="auto"/>
        <w:jc w:val="center"/>
        <w:outlineLvl w:val="1"/>
        <w:rPr>
          <w:rFonts w:hint="eastAsia" w:ascii="宋体" w:hAnsi="宋体" w:eastAsia="宋体" w:cs="宋体"/>
          <w:b/>
          <w:color w:val="000000"/>
          <w:sz w:val="21"/>
          <w:szCs w:val="21"/>
          <w:highlight w:val="none"/>
        </w:rPr>
      </w:pPr>
      <w:r>
        <w:rPr>
          <w:rFonts w:hint="eastAsia" w:ascii="Arial" w:hAnsi="Arial" w:eastAsia="宋体" w:cs="Times New Roman"/>
          <w:b/>
          <w:bCs/>
          <w:kern w:val="2"/>
          <w:sz w:val="24"/>
          <w:szCs w:val="32"/>
          <w:lang w:val="en-US" w:eastAsia="zh-CN" w:bidi="ar-SA"/>
        </w:rPr>
        <w:t>第二节 政府采购合同通用条款</w:t>
      </w:r>
    </w:p>
    <w:p w14:paraId="1735B22D">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1.</w:t>
      </w:r>
      <w:r>
        <w:rPr>
          <w:rFonts w:hint="eastAsia" w:ascii="宋体" w:hAnsi="宋体" w:eastAsia="宋体" w:cs="宋体"/>
          <w:b/>
          <w:bCs/>
          <w:color w:val="000000"/>
          <w:sz w:val="21"/>
          <w:szCs w:val="21"/>
          <w:highlight w:val="none"/>
        </w:rPr>
        <w:t>定义</w:t>
      </w:r>
    </w:p>
    <w:p w14:paraId="74AD8FB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1.1合同当事人</w:t>
      </w:r>
    </w:p>
    <w:p w14:paraId="0B34C52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color w:val="000000"/>
          <w:sz w:val="21"/>
          <w:szCs w:val="21"/>
          <w:highlight w:val="none"/>
        </w:rPr>
        <w:t>（1）采购人（以</w:t>
      </w:r>
      <w:r>
        <w:rPr>
          <w:rFonts w:hint="eastAsia" w:ascii="宋体" w:hAnsi="宋体" w:eastAsia="宋体" w:cs="宋体"/>
          <w:color w:val="000000"/>
          <w:sz w:val="21"/>
          <w:szCs w:val="21"/>
          <w:highlight w:val="none"/>
          <w:lang w:eastAsia="zh-CN"/>
        </w:rPr>
        <w:t>下简</w:t>
      </w:r>
      <w:r>
        <w:rPr>
          <w:rFonts w:hint="eastAsia" w:ascii="宋体" w:hAnsi="宋体" w:eastAsia="宋体" w:cs="宋体"/>
          <w:color w:val="000000"/>
          <w:sz w:val="21"/>
          <w:szCs w:val="21"/>
          <w:highlight w:val="none"/>
        </w:rPr>
        <w:t>称甲方）是指使用财政性资金，通过政府采购程序向供应商购买货物、服务的国家机关、事业单位、团体组织。本次采购的甲方名称、地址见</w:t>
      </w:r>
      <w:r>
        <w:rPr>
          <w:rFonts w:hint="eastAsia" w:ascii="宋体" w:hAnsi="宋体" w:eastAsia="宋体" w:cs="宋体"/>
          <w:b/>
          <w:color w:val="000000"/>
          <w:sz w:val="21"/>
          <w:szCs w:val="21"/>
          <w:highlight w:val="none"/>
        </w:rPr>
        <w:t>【政府采购合同专用条款】。</w:t>
      </w:r>
    </w:p>
    <w:p w14:paraId="00F4E0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（2）供应商（以</w:t>
      </w:r>
      <w:r>
        <w:rPr>
          <w:rFonts w:hint="eastAsia" w:ascii="宋体" w:hAnsi="宋体" w:eastAsia="宋体" w:cs="宋体"/>
          <w:sz w:val="21"/>
          <w:szCs w:val="21"/>
          <w:highlight w:val="none"/>
          <w:lang w:eastAsia="zh-CN"/>
        </w:rPr>
        <w:t>下简</w:t>
      </w:r>
      <w:r>
        <w:rPr>
          <w:rFonts w:hint="eastAsia" w:ascii="宋体" w:hAnsi="宋体" w:eastAsia="宋体" w:cs="宋体"/>
          <w:sz w:val="21"/>
          <w:szCs w:val="21"/>
          <w:highlight w:val="none"/>
        </w:rPr>
        <w:t>称乙方）是指参加政府采购活动而取得中标结果，并向采购人提供货物、服务的法人、其他组织或者自然人。</w:t>
      </w:r>
    </w:p>
    <w:p w14:paraId="58D5FFDD">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1.2本合同下列术语应解释为：</w:t>
      </w:r>
    </w:p>
    <w:p w14:paraId="744ECC73">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（1）“合同”系指甲乙双方签署的、政府采购合同协议书中载明的甲乙双方所达成的协议，包括所有的附件、附录和上述文件所提到的构成合同的所有文件。</w:t>
      </w:r>
    </w:p>
    <w:p w14:paraId="34A0799E">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（2）“合同价”系指根据本合同规定乙方在正确地完全履行合同义务后甲方应支付给乙方的价款。</w:t>
      </w:r>
    </w:p>
    <w:p w14:paraId="77829616">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（3）“货物”系指乙方根据本合同规定须向甲方提供的各种形态和种类的物品，包括原材料、设备、产品（包括软件）及相关的</w:t>
      </w:r>
      <w:r>
        <w:rPr>
          <w:rFonts w:hint="eastAsia" w:ascii="宋体" w:hAnsi="宋体" w:eastAsia="宋体" w:cs="宋体"/>
          <w:sz w:val="21"/>
          <w:szCs w:val="21"/>
          <w:highlight w:val="none"/>
          <w:lang w:eastAsia="zh-CN"/>
        </w:rPr>
        <w:t>其他</w:t>
      </w:r>
      <w:r>
        <w:rPr>
          <w:rFonts w:hint="eastAsia" w:ascii="宋体" w:hAnsi="宋体" w:eastAsia="宋体" w:cs="宋体"/>
          <w:sz w:val="21"/>
          <w:szCs w:val="21"/>
          <w:highlight w:val="none"/>
        </w:rPr>
        <w:t>备品备件、工具、手册及其它技术资料和材料。</w:t>
      </w:r>
    </w:p>
    <w:p w14:paraId="431BA9BF">
      <w:pPr>
        <w:pageBreakBefore w:val="0"/>
        <w:tabs>
          <w:tab w:val="left" w:pos="570"/>
          <w:tab w:val="left" w:pos="888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（4）“服务”系指根据合同规定，乙方应提供的技术、管理和</w:t>
      </w:r>
      <w:r>
        <w:rPr>
          <w:rFonts w:hint="eastAsia" w:ascii="宋体" w:hAnsi="宋体" w:eastAsia="宋体" w:cs="宋体"/>
          <w:sz w:val="21"/>
          <w:szCs w:val="21"/>
          <w:highlight w:val="none"/>
          <w:lang w:eastAsia="zh-CN"/>
        </w:rPr>
        <w:t>其他</w:t>
      </w:r>
      <w:r>
        <w:rPr>
          <w:rFonts w:hint="eastAsia" w:ascii="宋体" w:hAnsi="宋体" w:eastAsia="宋体" w:cs="宋体"/>
          <w:sz w:val="21"/>
          <w:szCs w:val="21"/>
          <w:highlight w:val="none"/>
        </w:rPr>
        <w:t>服务，包括但不限于：管理和质量保证、运输、保险、检验、现场准备、安装、集成、调试、培训、维修、技术支持等以及合同中规定乙方应承担的其它义务。</w:t>
      </w:r>
    </w:p>
    <w:p w14:paraId="6C0960D7">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（5）“合同条款”系指本合同条款。</w:t>
      </w:r>
    </w:p>
    <w:p w14:paraId="6F9CA422">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（6）“项目现场”系指本合同项下货物安装、运行的现场，其名称见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3641D4B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2.合同的适用范围</w:t>
      </w:r>
    </w:p>
    <w:p w14:paraId="65220D2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 本合同条款适用于没有被本合同其他部分的条款所取代的范围。</w:t>
      </w:r>
    </w:p>
    <w:p w14:paraId="7B2F280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 合同内容根据招标文件、投标文件而确定。</w:t>
      </w:r>
    </w:p>
    <w:p w14:paraId="6B7622A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sz w:val="21"/>
          <w:szCs w:val="21"/>
          <w:highlight w:val="none"/>
        </w:rPr>
        <w:t>合同标的及金额</w:t>
      </w:r>
    </w:p>
    <w:p w14:paraId="6EF52BF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 合同标的及金额应与中标结果一致。</w:t>
      </w:r>
    </w:p>
    <w:p w14:paraId="4C57316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r>
        <w:rPr>
          <w:rFonts w:hint="eastAsia" w:ascii="宋体" w:hAnsi="宋体" w:eastAsia="宋体" w:cs="宋体"/>
          <w:b/>
          <w:sz w:val="21"/>
          <w:szCs w:val="21"/>
          <w:highlight w:val="none"/>
        </w:rPr>
        <w:t>合同价款</w:t>
      </w:r>
    </w:p>
    <w:p w14:paraId="69C8E90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bCs/>
          <w:i/>
          <w:iCs/>
          <w:sz w:val="21"/>
          <w:szCs w:val="21"/>
          <w:highlight w:val="none"/>
        </w:rPr>
      </w:pPr>
      <w:r>
        <w:rPr>
          <w:rFonts w:hint="eastAsia" w:ascii="宋体" w:hAnsi="宋体" w:eastAsia="宋体" w:cs="宋体"/>
          <w:sz w:val="21"/>
          <w:szCs w:val="21"/>
          <w:highlight w:val="none"/>
        </w:rPr>
        <w:t>4.1具体合同价款见本合同第3.1条。乙方为履行本合同而发生的所有费用均应包含在合同价款中，甲方不再另行支付</w:t>
      </w:r>
      <w:r>
        <w:rPr>
          <w:rFonts w:hint="eastAsia" w:ascii="宋体" w:hAnsi="宋体" w:eastAsia="宋体" w:cs="宋体"/>
          <w:sz w:val="21"/>
          <w:szCs w:val="21"/>
          <w:highlight w:val="none"/>
          <w:lang w:eastAsia="zh-CN"/>
        </w:rPr>
        <w:t>其他</w:t>
      </w:r>
      <w:r>
        <w:rPr>
          <w:rFonts w:hint="eastAsia" w:ascii="宋体" w:hAnsi="宋体" w:eastAsia="宋体" w:cs="宋体"/>
          <w:sz w:val="21"/>
          <w:szCs w:val="21"/>
          <w:highlight w:val="none"/>
        </w:rPr>
        <w:t>任何费用。</w:t>
      </w:r>
    </w:p>
    <w:p w14:paraId="7DA79586">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5.履行合同的时间、地点和方式</w:t>
      </w:r>
    </w:p>
    <w:p w14:paraId="34DC3AB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5.1 乙方应当在甲方确定的时间、指定的地点履行合同，具体的交货时间、地点和方式见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492C21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5.2 乙方提供</w:t>
      </w:r>
      <w:r>
        <w:rPr>
          <w:rFonts w:hint="eastAsia" w:ascii="宋体" w:hAnsi="宋体" w:eastAsia="宋体" w:cs="宋体"/>
          <w:sz w:val="21"/>
          <w:szCs w:val="21"/>
          <w:highlight w:val="none"/>
          <w:lang w:eastAsia="zh-CN"/>
        </w:rPr>
        <w:t>服务</w:t>
      </w:r>
      <w:r>
        <w:rPr>
          <w:rFonts w:hint="eastAsia" w:ascii="宋体" w:hAnsi="宋体" w:eastAsia="宋体" w:cs="宋体"/>
          <w:sz w:val="21"/>
          <w:szCs w:val="21"/>
          <w:highlight w:val="none"/>
        </w:rPr>
        <w:t>应当在甲方指定的地点完成服务项目。</w:t>
      </w:r>
    </w:p>
    <w:p w14:paraId="013B9B3D">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r>
        <w:rPr>
          <w:rFonts w:hint="eastAsia" w:ascii="宋体" w:hAnsi="宋体" w:eastAsia="宋体" w:cs="宋体"/>
          <w:b/>
          <w:sz w:val="21"/>
          <w:szCs w:val="21"/>
          <w:highlight w:val="none"/>
        </w:rPr>
        <w:t>货物的验收</w:t>
      </w:r>
    </w:p>
    <w:p w14:paraId="2B3AD50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6.1 甲方在收到乙方交付的货物后应当及时组织验收。</w:t>
      </w:r>
    </w:p>
    <w:p w14:paraId="78BAE07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6.2 货物的表面瑕疵，甲方应在验收时当面提出；对质量问题有异议的应在安装调试后十个工作日内提出。</w:t>
      </w:r>
    </w:p>
    <w:p w14:paraId="776B3A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6.3 在验收过程中发现数量不足或有质量、技术等问题，乙方应负责按照甲方的要求采取补足、更换或退货等处理措施，并承担由此发生的一切费用和损失。</w:t>
      </w:r>
    </w:p>
    <w:p w14:paraId="7047133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6.4 甲方在乙方按合同规定交货或安装、调试后，无正当理由而拖延接收、验收或拒绝接收、验收的，应承担因此给乙方造成的直接损失。</w:t>
      </w:r>
    </w:p>
    <w:p w14:paraId="00D83DF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6.5 甲方对货物进行检查验收合格后，应当收取发票并在《交货验收单》上签署验收意见及加盖单位印章。</w:t>
      </w:r>
    </w:p>
    <w:p w14:paraId="7CA66D2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6.6 大型或者复杂的货物采购项目，甲方可以邀请国家认可的质量检测机构参加验收工作，并由其出具验收报告单。</w:t>
      </w:r>
    </w:p>
    <w:p w14:paraId="0534CB0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sz w:val="21"/>
          <w:szCs w:val="21"/>
          <w:highlight w:val="none"/>
        </w:rPr>
        <w:t>6.7 乙方提供的进口产品，乙方应出示中华人民共和国进出口商品检验部门出具的检验证书（招标文件第五章采购需求另有约定的除外）。</w:t>
      </w:r>
    </w:p>
    <w:p w14:paraId="650BDD5C">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7.货物包装要求</w:t>
      </w:r>
    </w:p>
    <w:p w14:paraId="5CC1D82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954A6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 每一个包装箱内应附一份详细装箱单、质量证书和保修保养证书。</w:t>
      </w:r>
    </w:p>
    <w:p w14:paraId="2816A781">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8.运输和保险</w:t>
      </w:r>
    </w:p>
    <w:p w14:paraId="4B7B1EF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8.1乙方负责办理将货物运抵本合同第5.1条规定的交货地点的一切运输事项，相关费用应包括在合同总价中。</w:t>
      </w:r>
    </w:p>
    <w:p w14:paraId="4C94370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8.2乙方应向保险公司投保以甲方为受益人的发运合同货物发票金额的</w:t>
      </w: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0％运输一切险。</w:t>
      </w:r>
    </w:p>
    <w:p w14:paraId="4D09EC6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9.质量标准和保证</w:t>
      </w:r>
    </w:p>
    <w:p w14:paraId="65FDA03B">
      <w:pPr>
        <w:pStyle w:val="22"/>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9.1 质量标准</w:t>
      </w:r>
    </w:p>
    <w:p w14:paraId="46783BB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（1）本合同下交付的货物应符合招标文件第四章“技术规格、参数与要求”所述的标准。如果没有提及适用标准，则应符合中华人民共和国有关机构发布的最新版本的标准。</w:t>
      </w:r>
    </w:p>
    <w:p w14:paraId="7897A709">
      <w:pPr>
        <w:pStyle w:val="22"/>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（2）采用中华人民共和国法定计量单位。</w:t>
      </w:r>
    </w:p>
    <w:p w14:paraId="0ED0ECF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（3）乙方所出售的货物还应符合国家有关安全、环保、卫生之规定。</w:t>
      </w:r>
    </w:p>
    <w:p w14:paraId="16986E5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9.2 保证</w:t>
      </w:r>
    </w:p>
    <w:p w14:paraId="5E7AA44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规定或乙方承诺（两者以较长的为准）的质量保证期内，本保证保持有效。</w:t>
      </w:r>
    </w:p>
    <w:p w14:paraId="3AEB208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（2）在质量保证期内所发现的缺陷，甲方应尽快以书面形式通知乙方。</w:t>
      </w:r>
    </w:p>
    <w:p w14:paraId="2C641CA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（3）乙方收到通知后应在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规定的响应时间内以合理的速度免费维修或更换有缺陷的货物或部件。</w:t>
      </w:r>
    </w:p>
    <w:p w14:paraId="3AF55C5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0D71996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（5）乙方在约定的时间内未能弥补缺陷，甲方可采取必要的补救措施，但其风险和费用将由乙方承担，甲方根据合同规定对乙方行使的其他权利不受影响。</w:t>
      </w:r>
    </w:p>
    <w:p w14:paraId="7DC9775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10.权利瑕疵担保</w:t>
      </w:r>
    </w:p>
    <w:p w14:paraId="3339FBF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 乙方保证对其出售的货物享有合法的权利。</w:t>
      </w:r>
    </w:p>
    <w:p w14:paraId="5A8BBE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 乙方保证在其出售的货物上不存在任何未曾向甲方透露的担保物权，如抵押权、质押权、留置权等。</w:t>
      </w:r>
    </w:p>
    <w:p w14:paraId="1886C2A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10.3 如甲方使用该货物构成上述侵权的，则由乙方承担全部责任。</w:t>
      </w:r>
    </w:p>
    <w:p w14:paraId="6C11BA5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10</w:t>
      </w:r>
      <w:r>
        <w:rPr>
          <w:rFonts w:hint="eastAsia" w:ascii="宋体" w:hAnsi="宋体" w:eastAsia="宋体" w:cs="宋体"/>
          <w:b/>
          <w:bCs/>
          <w:sz w:val="21"/>
          <w:szCs w:val="21"/>
          <w:highlight w:val="none"/>
        </w:rPr>
        <w:t>.知识产权保护</w:t>
      </w:r>
    </w:p>
    <w:p w14:paraId="2BFDBD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.1 乙方对其所销售的货物应当享有知识产权或经权利人合法授权，保证没有侵犯任何第三人的知识产权和商业秘密等权利。</w:t>
      </w:r>
    </w:p>
    <w:p w14:paraId="5167BD9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.2 甲方使用乙方提供的货物对第三人构成侵权的，应当由乙方承担全部法律责任，给甲方造成损害的，乙方应当承担赔偿责任。</w:t>
      </w:r>
    </w:p>
    <w:p w14:paraId="3D5D30A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.3 甲方委托乙方开发的产品，甲方享有知识产权，未经甲方许可不得转让任何第三人。</w:t>
      </w:r>
    </w:p>
    <w:p w14:paraId="3938ADD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12.保密义务</w:t>
      </w:r>
    </w:p>
    <w:p w14:paraId="6D30217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 甲、乙双方在采购和履行合同过程中所获悉的对方属于保密的内容，双方均有保密义务。</w:t>
      </w:r>
    </w:p>
    <w:p w14:paraId="0ABBFB5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13.合同价款支付</w:t>
      </w:r>
    </w:p>
    <w:p w14:paraId="48C0FD2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13.1验收合格后，乙方出具正规发票给甲方，凭甲方开具的《政府采购合同验收报告单》办理合同价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结算手续。</w:t>
      </w:r>
    </w:p>
    <w:p w14:paraId="2265A1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13.2 合同价款构成中应当由财政支付的部分，甲方应当在货物验收合格后的十五个工作日内向国库管理部门申请支付，经国库管理部门审核后直接支付给乙方。</w:t>
      </w:r>
    </w:p>
    <w:p w14:paraId="6199EE6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13.3 合同价款构成中应当由甲方自行支付的部分，甲方应当在货物验收合格后十五个</w:t>
      </w:r>
      <w:r>
        <w:rPr>
          <w:rFonts w:hint="eastAsia" w:ascii="宋体" w:hAnsi="宋体" w:eastAsia="宋体" w:cs="宋体"/>
          <w:sz w:val="21"/>
          <w:szCs w:val="21"/>
          <w:highlight w:val="none"/>
          <w:lang w:eastAsia="zh-CN"/>
        </w:rPr>
        <w:t>工作日内</w:t>
      </w:r>
      <w:r>
        <w:rPr>
          <w:rFonts w:hint="eastAsia" w:ascii="宋体" w:hAnsi="宋体" w:eastAsia="宋体" w:cs="宋体"/>
          <w:sz w:val="21"/>
          <w:szCs w:val="21"/>
          <w:highlight w:val="none"/>
        </w:rPr>
        <w:t>支付。</w:t>
      </w:r>
    </w:p>
    <w:p w14:paraId="5C6230D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13.4支付合同价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08746D5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13.5 合同价款支付方式</w:t>
      </w:r>
      <w:r>
        <w:rPr>
          <w:rFonts w:hint="eastAsia" w:ascii="宋体" w:hAnsi="宋体" w:eastAsia="宋体" w:cs="宋体"/>
          <w:bCs/>
          <w:sz w:val="21"/>
          <w:szCs w:val="21"/>
          <w:highlight w:val="none"/>
        </w:rPr>
        <w:t>和条件在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中另有规定。</w:t>
      </w:r>
    </w:p>
    <w:p w14:paraId="003F7A1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14.</w:t>
      </w:r>
      <w:r>
        <w:rPr>
          <w:rFonts w:hint="eastAsia" w:ascii="宋体" w:hAnsi="宋体" w:eastAsia="宋体" w:cs="宋体"/>
          <w:b/>
          <w:sz w:val="21"/>
          <w:szCs w:val="21"/>
          <w:highlight w:val="none"/>
        </w:rPr>
        <w:t>乙方应提供的服务</w:t>
      </w:r>
    </w:p>
    <w:p w14:paraId="406DD3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14.1 乙方应向甲方提交所提供货物的技术文件，包括相应的中文技术文件，如：产品目录、图纸、操作手册、使用说明、维护手册或服务指南。这些文件应包装好随同货物一起发运。</w:t>
      </w:r>
    </w:p>
    <w:p w14:paraId="5F09646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14.2 乙方还应提供下列服务：</w:t>
      </w:r>
    </w:p>
    <w:p w14:paraId="541E341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（1）货物的现场移动、安装、调试、启动监督及技术支持；</w:t>
      </w:r>
    </w:p>
    <w:p w14:paraId="360CB5B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（2）提供货物组装和维修所需的专用工具和辅助材料；</w:t>
      </w:r>
    </w:p>
    <w:p w14:paraId="55CC615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（3）在合同各方商定的一定期限内对所有的货物实施运行监督、维修，但前提条件是该服务并不能免除乙方在质量保证期内所承担的义务；</w:t>
      </w:r>
    </w:p>
    <w:p w14:paraId="046EB3D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（4）在制造商或项目现场就货物的安装、启动、运营、维护对甲方操作人员进行培训；</w:t>
      </w:r>
    </w:p>
    <w:p w14:paraId="7EF8B2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规定由乙方提供的其他服务。</w:t>
      </w:r>
    </w:p>
    <w:p w14:paraId="02F28CC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14.3 乙方提供的服务的费用应包含在合同价款中，甲方不再另行支付。</w:t>
      </w:r>
    </w:p>
    <w:p w14:paraId="6420033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15.违约责任</w:t>
      </w:r>
    </w:p>
    <w:p w14:paraId="7202646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15.1质量瑕疵的补救措施和索赔</w:t>
      </w:r>
    </w:p>
    <w:p w14:paraId="56B460A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24C3BD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①乙方同意退货并将货款退还给甲方，由此发生的一切费用和损失由乙方承担。</w:t>
      </w:r>
    </w:p>
    <w:p w14:paraId="7A12B67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②根据货物的质量状况以及甲方所遭受的损失，经过甲乙双方商定降低货物的价格。</w:t>
      </w:r>
    </w:p>
    <w:p w14:paraId="368387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F25902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549743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15.2 迟延交货的违约责任</w:t>
      </w:r>
    </w:p>
    <w:p w14:paraId="009774B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5A448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（2）除本合同</w:t>
      </w:r>
      <w:r>
        <w:rPr>
          <w:rFonts w:hint="eastAsia" w:ascii="宋体" w:hAnsi="宋体" w:eastAsia="宋体" w:cs="宋体"/>
          <w:bCs/>
          <w:sz w:val="21"/>
          <w:szCs w:val="21"/>
          <w:highlight w:val="none"/>
        </w:rPr>
        <w:t>第20条</w:t>
      </w:r>
      <w:r>
        <w:rPr>
          <w:rFonts w:hint="eastAsia" w:ascii="宋体" w:hAnsi="宋体" w:eastAsia="宋体" w:cs="宋体"/>
          <w:sz w:val="21"/>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0DFA3D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54A2817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16.合同的变更</w:t>
      </w:r>
    </w:p>
    <w:p w14:paraId="51B9A01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16.1 在合同履行过程中，甲、乙双方可就合同履行的时间、地点和方式等协商进行变更。协商一致后，双方应签订书面的补充协议。</w:t>
      </w:r>
    </w:p>
    <w:p w14:paraId="78A73B4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16.2 在不改变合同其他条款的前提下，甲方有权在合同价款百分之十的范围内追加与合同标的相同的货物或服务，并就此与乙方签订补充合同，乙方不得拒绝。</w:t>
      </w:r>
    </w:p>
    <w:p w14:paraId="4E45803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16.3 除双方签署书面协议，并成为合同不可分割的一部分外，本合同条件不得有任何变更。</w:t>
      </w:r>
    </w:p>
    <w:p w14:paraId="3AE88E2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17.合同中止与终止</w:t>
      </w:r>
    </w:p>
    <w:p w14:paraId="4641E9F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17.1合同的中止</w:t>
      </w:r>
    </w:p>
    <w:p w14:paraId="7E6D132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（1）合同在履行过程中，因采购计划调整，甲方可以要求中止履行，待计划确定后继续履行；</w:t>
      </w:r>
    </w:p>
    <w:p w14:paraId="4D0EB7F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（2）合同履行过程中因供应商就采购过程或结果提起投诉的，甲方认为有必要或财政部门责令中止的，应当中止合同的履行。</w:t>
      </w:r>
    </w:p>
    <w:p w14:paraId="7CA68B20">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17.2合同的终止</w:t>
      </w:r>
    </w:p>
    <w:p w14:paraId="41FF01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（1）合同因有效期限届满而终止；</w:t>
      </w:r>
    </w:p>
    <w:p w14:paraId="70B8DCE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（2）乙方未能依照本合同约定条件履行合同，已构成根本性违约的，甲方有权终止本合同，并追究乙方的违约责任。</w:t>
      </w:r>
    </w:p>
    <w:p w14:paraId="6825AE7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（3）如果乙方丧失履约能力或被宣告破产，甲方可在任何时候以书面形式通知乙方终止合同而不给乙方补偿。</w:t>
      </w:r>
    </w:p>
    <w:p w14:paraId="78FFEB4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（4）如果乙方在履行合同过程中有不正当竞争行为，甲方有权解除合同，并按《中华人民共和国反不正当竞争法》规定由有关部门追究其法律责任。</w:t>
      </w:r>
    </w:p>
    <w:p w14:paraId="217602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（5）如果合同的履行将损害国家利益或社会公共利益，甲方有权终止合同的履行，给乙方造成损失的予以相应补偿。</w:t>
      </w:r>
    </w:p>
    <w:p w14:paraId="45F12C8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18.合同转让和分包</w:t>
      </w:r>
    </w:p>
    <w:p w14:paraId="0D9AFE5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18.1 乙方不得以任何形式将合同转包。</w:t>
      </w:r>
    </w:p>
    <w:p w14:paraId="2E50E1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18.2 乙方未在投标文件中说明，不得将</w:t>
      </w:r>
      <w:r>
        <w:rPr>
          <w:rFonts w:hint="eastAsia" w:ascii="宋体" w:hAnsi="宋体" w:eastAsia="宋体" w:cs="宋体"/>
          <w:bCs/>
          <w:sz w:val="21"/>
          <w:szCs w:val="21"/>
          <w:highlight w:val="none"/>
        </w:rPr>
        <w:t>合同</w:t>
      </w:r>
      <w:r>
        <w:rPr>
          <w:rFonts w:hint="eastAsia" w:ascii="宋体" w:hAnsi="宋体" w:eastAsia="宋体" w:cs="宋体"/>
          <w:sz w:val="21"/>
          <w:szCs w:val="21"/>
          <w:highlight w:val="none"/>
        </w:rPr>
        <w:t>的非主体、非关键性工作分包给他人。</w:t>
      </w:r>
    </w:p>
    <w:p w14:paraId="24504F1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19.不可抗力</w:t>
      </w:r>
    </w:p>
    <w:p w14:paraId="457962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19.1 不可抗力是指合同双方不可预见、不可避免、不可克服的自然灾害和社会事件。</w:t>
      </w:r>
    </w:p>
    <w:p w14:paraId="52C444E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19.2 任何一方对由于不可抗力造成的部分或全部不能履行合同不承担违约责任。但迟延履行后发生不可抗力的，不能免除责任。</w:t>
      </w:r>
    </w:p>
    <w:p w14:paraId="20222FC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19.3 遇有不可抗力的一方，应在三日内将事件的情况以书面形式通知另一方，并在事件发生后十日内，向另一方提交合同不能履行或部分不能履行或需要延期履行理由的报告。</w:t>
      </w:r>
    </w:p>
    <w:p w14:paraId="7930B11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20.解决争议的方法</w:t>
      </w:r>
    </w:p>
    <w:p w14:paraId="7883C2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20.1 合同各方应通过友好协商，解决在执行合同过程中所发生的或与合同有关的一切争端。如从协商开始后十日内仍不能解决，可以向财政部门提请调解。</w:t>
      </w:r>
    </w:p>
    <w:p w14:paraId="6F820BE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20.2 调解不成可以按</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中约定中规定下列方式之一提起仲裁或诉讼：</w:t>
      </w:r>
    </w:p>
    <w:p w14:paraId="15FC6B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（1）向甲方所在地仲裁机构提起仲裁；</w:t>
      </w:r>
    </w:p>
    <w:p w14:paraId="0F84400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（2）向甲方所在地人民法院提起诉讼。</w:t>
      </w:r>
    </w:p>
    <w:p w14:paraId="25E0EE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20.3 如仲裁或诉讼事项不影响合同</w:t>
      </w:r>
      <w:r>
        <w:rPr>
          <w:rFonts w:hint="eastAsia" w:ascii="宋体" w:hAnsi="宋体" w:eastAsia="宋体" w:cs="宋体"/>
          <w:sz w:val="21"/>
          <w:szCs w:val="21"/>
          <w:highlight w:val="none"/>
          <w:lang w:eastAsia="zh-CN"/>
        </w:rPr>
        <w:t>其他部分</w:t>
      </w:r>
      <w:r>
        <w:rPr>
          <w:rFonts w:hint="eastAsia" w:ascii="宋体" w:hAnsi="宋体" w:eastAsia="宋体" w:cs="宋体"/>
          <w:sz w:val="21"/>
          <w:szCs w:val="21"/>
          <w:highlight w:val="none"/>
        </w:rPr>
        <w:t>的履行，则在仲裁或诉讼期间，除正在进行仲裁或诉讼的部分外，合同</w:t>
      </w:r>
      <w:r>
        <w:rPr>
          <w:rFonts w:hint="eastAsia" w:ascii="宋体" w:hAnsi="宋体" w:eastAsia="宋体" w:cs="宋体"/>
          <w:sz w:val="21"/>
          <w:szCs w:val="21"/>
          <w:highlight w:val="none"/>
          <w:lang w:eastAsia="zh-CN"/>
        </w:rPr>
        <w:t>的其他部分</w:t>
      </w:r>
      <w:r>
        <w:rPr>
          <w:rFonts w:hint="eastAsia" w:ascii="宋体" w:hAnsi="宋体" w:eastAsia="宋体" w:cs="宋体"/>
          <w:sz w:val="21"/>
          <w:szCs w:val="21"/>
          <w:highlight w:val="none"/>
        </w:rPr>
        <w:t>应继续执行。</w:t>
      </w:r>
    </w:p>
    <w:p w14:paraId="79D17929">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21.法律适用</w:t>
      </w:r>
    </w:p>
    <w:p w14:paraId="2C50FA4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 本合同适用中华人民共和国现行法律、行政法规和规章，如合同条款与法律、行政法规和规章不一致的，按照法律、行政法规和规章修改本合同。</w:t>
      </w:r>
    </w:p>
    <w:p w14:paraId="03EF590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22.</w:t>
      </w:r>
      <w:r>
        <w:rPr>
          <w:rFonts w:hint="eastAsia" w:ascii="宋体" w:hAnsi="宋体" w:eastAsia="宋体" w:cs="宋体"/>
          <w:b/>
          <w:sz w:val="21"/>
          <w:szCs w:val="21"/>
          <w:highlight w:val="none"/>
        </w:rPr>
        <w:t>通知</w:t>
      </w:r>
    </w:p>
    <w:p w14:paraId="0863F50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22.1本合同一方给另一方的通知均应采用书面形式，传真或快递送到本合同中规定的对方的地址和办理签收手续，</w:t>
      </w:r>
    </w:p>
    <w:p w14:paraId="2AE56CA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22.2通知以</w:t>
      </w:r>
      <w:r>
        <w:rPr>
          <w:rFonts w:hint="eastAsia" w:ascii="宋体" w:hAnsi="宋体" w:eastAsia="宋体" w:cs="宋体"/>
          <w:sz w:val="21"/>
          <w:szCs w:val="21"/>
          <w:highlight w:val="none"/>
          <w:lang w:eastAsia="zh-CN"/>
        </w:rPr>
        <w:t>送达</w:t>
      </w:r>
      <w:r>
        <w:rPr>
          <w:rFonts w:hint="eastAsia" w:ascii="宋体" w:hAnsi="宋体" w:eastAsia="宋体" w:cs="宋体"/>
          <w:sz w:val="21"/>
          <w:szCs w:val="21"/>
          <w:highlight w:val="none"/>
        </w:rPr>
        <w:t>之日或通知书中规定的生效之日起生效，两者中以较迟之日为准。</w:t>
      </w:r>
    </w:p>
    <w:p w14:paraId="39EFC9B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 合同未尽事项</w:t>
      </w:r>
    </w:p>
    <w:p w14:paraId="4190433C">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23.1合同未尽事项见</w:t>
      </w:r>
      <w:r>
        <w:rPr>
          <w:rFonts w:hint="eastAsia" w:ascii="宋体" w:hAnsi="宋体" w:eastAsia="宋体" w:cs="宋体"/>
          <w:b/>
          <w:sz w:val="21"/>
          <w:szCs w:val="21"/>
          <w:highlight w:val="none"/>
        </w:rPr>
        <w:t>【政府采购合同专用条款】。</w:t>
      </w:r>
    </w:p>
    <w:p w14:paraId="6711990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24.合同生效</w:t>
      </w:r>
    </w:p>
    <w:p w14:paraId="7B8011CC">
      <w:pPr>
        <w:pageBreakBefore w:val="0"/>
        <w:kinsoku/>
        <w:wordWrap/>
        <w:overflowPunct/>
        <w:topLinePunct w:val="0"/>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24.1 本合同在合同双方签字盖章后生效。</w:t>
      </w:r>
    </w:p>
    <w:p w14:paraId="0F8EBE4D">
      <w:pPr>
        <w:pStyle w:val="17"/>
        <w:rPr>
          <w:rFonts w:hint="eastAsia" w:ascii="宋体" w:hAnsi="宋体" w:eastAsia="宋体" w:cs="宋体"/>
          <w:sz w:val="21"/>
          <w:szCs w:val="21"/>
          <w:highlight w:val="none"/>
        </w:rPr>
      </w:pPr>
    </w:p>
    <w:p w14:paraId="48536487">
      <w:pPr>
        <w:pStyle w:val="19"/>
        <w:rPr>
          <w:rFonts w:hint="eastAsia" w:ascii="宋体" w:hAnsi="宋体" w:eastAsia="宋体" w:cs="宋体"/>
          <w:sz w:val="21"/>
          <w:szCs w:val="21"/>
          <w:highlight w:val="none"/>
        </w:rPr>
      </w:pPr>
    </w:p>
    <w:p w14:paraId="700F1D11">
      <w:pPr>
        <w:pStyle w:val="3"/>
        <w:pageBreakBefore w:val="0"/>
        <w:widowControl/>
        <w:kinsoku/>
        <w:wordWrap/>
        <w:overflowPunct/>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第三节</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政府采购合同专用条款（服务类）</w:t>
      </w:r>
    </w:p>
    <w:p w14:paraId="6B305ABA">
      <w:pPr>
        <w:pageBreakBefore w:val="0"/>
        <w:kinsoku/>
        <w:wordWrap/>
        <w:overflowPunct/>
        <w:bidi w:val="0"/>
        <w:spacing w:line="360" w:lineRule="auto"/>
        <w:ind w:firstLine="420" w:firstLineChars="200"/>
        <w:textAlignment w:val="auto"/>
        <w:rPr>
          <w:rFonts w:hint="eastAsia" w:ascii="宋体" w:hAnsi="宋体" w:eastAsia="宋体" w:cs="宋体"/>
          <w:kern w:val="22"/>
          <w:position w:val="-2"/>
          <w:sz w:val="21"/>
          <w:szCs w:val="21"/>
        </w:rPr>
      </w:pPr>
      <w:r>
        <w:rPr>
          <w:rFonts w:hint="eastAsia" w:ascii="宋体" w:hAnsi="宋体" w:eastAsia="宋体" w:cs="宋体"/>
          <w:sz w:val="21"/>
          <w:szCs w:val="21"/>
        </w:rPr>
        <w:t>服务类政府采购合同专用条款参照（服务类）专用条款的格式和相关内容，根据项目的实际情况，按照服务内容、服务要求、委托经营期</w:t>
      </w:r>
      <w:r>
        <w:rPr>
          <w:rFonts w:hint="eastAsia" w:ascii="宋体" w:hAnsi="宋体" w:eastAsia="宋体" w:cs="宋体"/>
          <w:sz w:val="21"/>
          <w:szCs w:val="21"/>
          <w:lang w:eastAsia="zh-CN"/>
        </w:rPr>
        <w:t>限</w:t>
      </w:r>
      <w:r>
        <w:rPr>
          <w:rFonts w:hint="eastAsia" w:ascii="宋体" w:hAnsi="宋体" w:eastAsia="宋体" w:cs="宋体"/>
          <w:sz w:val="21"/>
          <w:szCs w:val="21"/>
        </w:rPr>
        <w:t>、服务流程、考核方式等内容进行编制。</w:t>
      </w:r>
    </w:p>
    <w:p w14:paraId="16A4700F">
      <w:pPr>
        <w:pStyle w:val="34"/>
        <w:pageBreakBefore w:val="0"/>
        <w:widowControl/>
        <w:kinsoku/>
        <w:wordWrap/>
        <w:overflowPunct/>
        <w:bidi w:val="0"/>
        <w:spacing w:line="360" w:lineRule="auto"/>
        <w:ind w:firstLine="420"/>
        <w:jc w:val="left"/>
        <w:textAlignment w:val="auto"/>
        <w:rPr>
          <w:rFonts w:hint="eastAsia" w:ascii="宋体" w:hAnsi="宋体" w:eastAsia="宋体" w:cs="宋体"/>
          <w:b/>
          <w:bCs/>
          <w:kern w:val="22"/>
          <w:sz w:val="21"/>
          <w:szCs w:val="21"/>
        </w:rPr>
      </w:pPr>
      <w:r>
        <w:rPr>
          <w:rFonts w:hint="eastAsia" w:ascii="宋体" w:hAnsi="宋体" w:eastAsia="宋体" w:cs="宋体"/>
          <w:b/>
          <w:bCs/>
          <w:kern w:val="22"/>
          <w:sz w:val="21"/>
          <w:szCs w:val="21"/>
        </w:rPr>
        <w:t>以实际合同签订为准。</w:t>
      </w:r>
    </w:p>
    <w:p w14:paraId="5DBFAF6E">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b/>
          <w:bCs/>
          <w:sz w:val="21"/>
          <w:szCs w:val="21"/>
        </w:rPr>
      </w:pPr>
    </w:p>
    <w:p w14:paraId="078E4831">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1BE8FFA">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799637C7">
      <w:pPr>
        <w:pageBreakBefore w:val="0"/>
        <w:kinsoku/>
        <w:wordWrap/>
        <w:overflowPunct/>
        <w:bidi w:val="0"/>
        <w:spacing w:line="360" w:lineRule="auto"/>
        <w:jc w:val="center"/>
        <w:textAlignment w:val="auto"/>
        <w:outlineLvl w:val="0"/>
        <w:rPr>
          <w:rFonts w:hint="eastAsia" w:ascii="宋体" w:hAnsi="宋体" w:eastAsia="宋体" w:cs="宋体"/>
          <w:b/>
          <w:sz w:val="28"/>
          <w:szCs w:val="28"/>
          <w:highlight w:val="none"/>
        </w:rPr>
      </w:pPr>
      <w:bookmarkStart w:id="87" w:name="_Toc31036"/>
      <w:r>
        <w:rPr>
          <w:rFonts w:hint="eastAsia" w:ascii="宋体" w:hAnsi="宋体" w:eastAsia="宋体" w:cs="宋体"/>
          <w:b/>
          <w:sz w:val="28"/>
          <w:szCs w:val="28"/>
          <w:highlight w:val="none"/>
        </w:rPr>
        <w:t>第五章</w:t>
      </w:r>
      <w:r>
        <w:rPr>
          <w:rFonts w:hint="eastAsia" w:ascii="宋体" w:hAnsi="宋体" w:eastAsia="宋体" w:cs="宋体"/>
          <w:b/>
          <w:sz w:val="28"/>
          <w:szCs w:val="28"/>
          <w:highlight w:val="none"/>
          <w:lang w:val="en-US" w:eastAsia="zh-CN"/>
        </w:rPr>
        <w:t xml:space="preserve"> </w:t>
      </w:r>
      <w:r>
        <w:rPr>
          <w:rFonts w:hint="eastAsia" w:ascii="宋体" w:hAnsi="宋体" w:eastAsia="宋体" w:cs="宋体"/>
          <w:b/>
          <w:sz w:val="28"/>
          <w:szCs w:val="28"/>
          <w:highlight w:val="none"/>
        </w:rPr>
        <w:t>采购需求</w:t>
      </w:r>
    </w:p>
    <w:p w14:paraId="12C48C54">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outlineLvl w:val="1"/>
        <w:rPr>
          <w:rFonts w:hint="eastAsia" w:ascii="宋体" w:hAnsi="宋体" w:eastAsia="宋体" w:cs="宋体"/>
          <w:color w:val="000000"/>
          <w:spacing w:val="0"/>
          <w:w w:val="100"/>
          <w:kern w:val="2"/>
          <w:position w:val="0"/>
          <w:sz w:val="24"/>
          <w:szCs w:val="24"/>
          <w:shd w:val="clear" w:color="auto" w:fill="auto"/>
          <w:lang w:eastAsia="zh-CN" w:bidi="ar-SA"/>
        </w:rPr>
      </w:pPr>
      <w:r>
        <w:rPr>
          <w:rFonts w:hint="eastAsia" w:ascii="宋体" w:hAnsi="宋体" w:eastAsia="宋体" w:cs="宋体"/>
          <w:b/>
          <w:bCs/>
          <w:color w:val="000000"/>
          <w:spacing w:val="-2"/>
          <w:w w:val="100"/>
          <w:kern w:val="2"/>
          <w:position w:val="0"/>
          <w:sz w:val="24"/>
          <w:szCs w:val="24"/>
          <w:shd w:val="clear" w:color="auto" w:fill="auto"/>
          <w:lang w:eastAsia="zh-CN" w:bidi="ar-SA"/>
        </w:rPr>
        <w:t>一、基本信息</w:t>
      </w:r>
    </w:p>
    <w:tbl>
      <w:tblPr>
        <w:tblStyle w:val="167"/>
        <w:tblpPr w:leftFromText="180" w:rightFromText="180" w:vertAnchor="text" w:horzAnchor="page" w:tblpX="1576" w:tblpY="284"/>
        <w:tblOverlap w:val="never"/>
        <w:tblW w:w="92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2"/>
        <w:gridCol w:w="2288"/>
        <w:gridCol w:w="2025"/>
        <w:gridCol w:w="2669"/>
      </w:tblGrid>
      <w:tr w14:paraId="0A700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exact"/>
        </w:trPr>
        <w:tc>
          <w:tcPr>
            <w:tcW w:w="2242" w:type="dxa"/>
            <w:noWrap w:val="0"/>
            <w:vAlign w:val="center"/>
          </w:tcPr>
          <w:p w14:paraId="278FFD4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项目名称</w:t>
            </w:r>
          </w:p>
        </w:tc>
        <w:tc>
          <w:tcPr>
            <w:tcW w:w="6982" w:type="dxa"/>
            <w:gridSpan w:val="3"/>
            <w:noWrap w:val="0"/>
            <w:vAlign w:val="center"/>
          </w:tcPr>
          <w:p w14:paraId="707BB9B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华容县城体检和城市更新专项规划编制技术服务项目</w:t>
            </w:r>
          </w:p>
        </w:tc>
      </w:tr>
      <w:tr w14:paraId="7D7B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exact"/>
        </w:trPr>
        <w:tc>
          <w:tcPr>
            <w:tcW w:w="2242" w:type="dxa"/>
            <w:noWrap w:val="0"/>
            <w:vAlign w:val="center"/>
          </w:tcPr>
          <w:p w14:paraId="75E986D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采购单位</w:t>
            </w:r>
          </w:p>
        </w:tc>
        <w:tc>
          <w:tcPr>
            <w:tcW w:w="6982" w:type="dxa"/>
            <w:gridSpan w:val="3"/>
            <w:noWrap w:val="0"/>
            <w:vAlign w:val="center"/>
          </w:tcPr>
          <w:p w14:paraId="48827784">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2100" w:firstLineChars="10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华容县住房和城乡建设局</w:t>
            </w:r>
          </w:p>
        </w:tc>
      </w:tr>
      <w:tr w14:paraId="6489C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exact"/>
        </w:trPr>
        <w:tc>
          <w:tcPr>
            <w:tcW w:w="2242" w:type="dxa"/>
            <w:vMerge w:val="restart"/>
            <w:tcBorders>
              <w:bottom w:val="nil"/>
            </w:tcBorders>
            <w:noWrap w:val="0"/>
            <w:vAlign w:val="center"/>
          </w:tcPr>
          <w:p w14:paraId="1BDE7C4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3088B29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4223CC6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0"/>
                <w:w w:val="100"/>
                <w:kern w:val="2"/>
                <w:position w:val="0"/>
                <w:sz w:val="21"/>
                <w:szCs w:val="21"/>
                <w:shd w:val="clear" w:color="auto" w:fill="auto"/>
                <w:lang w:eastAsia="zh-CN" w:bidi="ar-SA"/>
              </w:rPr>
              <w:t>自行组织编制</w:t>
            </w:r>
          </w:p>
        </w:tc>
        <w:tc>
          <w:tcPr>
            <w:tcW w:w="2288" w:type="dxa"/>
            <w:noWrap w:val="0"/>
            <w:vAlign w:val="center"/>
          </w:tcPr>
          <w:p w14:paraId="11A8138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363"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负责人</w:t>
            </w:r>
          </w:p>
        </w:tc>
        <w:tc>
          <w:tcPr>
            <w:tcW w:w="2025" w:type="dxa"/>
            <w:noWrap w:val="0"/>
            <w:vAlign w:val="center"/>
          </w:tcPr>
          <w:p w14:paraId="767DDBF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66" w:right="0" w:firstLine="105" w:firstLineChars="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2669" w:type="dxa"/>
            <w:noWrap w:val="0"/>
            <w:vAlign w:val="center"/>
          </w:tcPr>
          <w:p w14:paraId="1DFA442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630" w:firstLineChars="3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7D029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trPr>
        <w:tc>
          <w:tcPr>
            <w:tcW w:w="2242" w:type="dxa"/>
            <w:vMerge w:val="continue"/>
            <w:tcBorders>
              <w:top w:val="nil"/>
              <w:bottom w:val="nil"/>
            </w:tcBorders>
            <w:noWrap w:val="0"/>
            <w:vAlign w:val="center"/>
          </w:tcPr>
          <w:p w14:paraId="7C3877B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6A536F1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2025" w:type="dxa"/>
            <w:noWrap w:val="0"/>
            <w:vAlign w:val="center"/>
          </w:tcPr>
          <w:p w14:paraId="5CDEEC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2669" w:type="dxa"/>
            <w:noWrap w:val="0"/>
            <w:vAlign w:val="center"/>
          </w:tcPr>
          <w:p w14:paraId="7159353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140D4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2242" w:type="dxa"/>
            <w:vMerge w:val="continue"/>
            <w:tcBorders>
              <w:top w:val="nil"/>
            </w:tcBorders>
            <w:noWrap w:val="0"/>
            <w:vAlign w:val="center"/>
          </w:tcPr>
          <w:p w14:paraId="42FDA03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3D1345D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其它参与编制人员</w:t>
            </w:r>
          </w:p>
        </w:tc>
        <w:tc>
          <w:tcPr>
            <w:tcW w:w="4694" w:type="dxa"/>
            <w:gridSpan w:val="2"/>
            <w:noWrap w:val="0"/>
            <w:vAlign w:val="center"/>
          </w:tcPr>
          <w:p w14:paraId="2377EEC6">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1C1D1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exact"/>
        </w:trPr>
        <w:tc>
          <w:tcPr>
            <w:tcW w:w="2242" w:type="dxa"/>
            <w:vMerge w:val="restart"/>
            <w:tcBorders>
              <w:bottom w:val="nil"/>
            </w:tcBorders>
            <w:noWrap w:val="0"/>
            <w:vAlign w:val="center"/>
          </w:tcPr>
          <w:p w14:paraId="40A8498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4301C09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委托采购代理机构或者其他单位编制</w:t>
            </w:r>
          </w:p>
        </w:tc>
        <w:tc>
          <w:tcPr>
            <w:tcW w:w="2288" w:type="dxa"/>
            <w:noWrap w:val="0"/>
            <w:vAlign w:val="center"/>
          </w:tcPr>
          <w:p w14:paraId="5788983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机构名称</w:t>
            </w:r>
          </w:p>
        </w:tc>
        <w:tc>
          <w:tcPr>
            <w:tcW w:w="4694" w:type="dxa"/>
            <w:gridSpan w:val="2"/>
            <w:noWrap w:val="0"/>
            <w:vAlign w:val="center"/>
          </w:tcPr>
          <w:p w14:paraId="183898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435" w:right="0" w:firstLine="630" w:firstLineChars="3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湖南双博招标代理有限公司</w:t>
            </w:r>
          </w:p>
        </w:tc>
      </w:tr>
      <w:tr w14:paraId="3BB38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exact"/>
        </w:trPr>
        <w:tc>
          <w:tcPr>
            <w:tcW w:w="2242" w:type="dxa"/>
            <w:vMerge w:val="continue"/>
            <w:tcBorders>
              <w:top w:val="nil"/>
              <w:bottom w:val="nil"/>
            </w:tcBorders>
            <w:noWrap w:val="0"/>
            <w:vAlign w:val="center"/>
          </w:tcPr>
          <w:p w14:paraId="03C40C4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2C38A909">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联系人</w:t>
            </w:r>
          </w:p>
        </w:tc>
        <w:tc>
          <w:tcPr>
            <w:tcW w:w="2025" w:type="dxa"/>
            <w:noWrap w:val="0"/>
            <w:vAlign w:val="center"/>
          </w:tcPr>
          <w:p w14:paraId="3728469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38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2669" w:type="dxa"/>
            <w:noWrap w:val="0"/>
            <w:vAlign w:val="center"/>
          </w:tcPr>
          <w:p w14:paraId="24F547A2">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8" w:right="0" w:firstLine="315" w:firstLineChars="1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1381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242" w:type="dxa"/>
            <w:vMerge w:val="continue"/>
            <w:tcBorders>
              <w:top w:val="nil"/>
            </w:tcBorders>
            <w:noWrap w:val="0"/>
            <w:vAlign w:val="center"/>
          </w:tcPr>
          <w:p w14:paraId="6150CB5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5147017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840" w:firstLineChars="400"/>
              <w:jc w:val="both"/>
              <w:textAlignment w:val="auto"/>
              <w:rPr>
                <w:rFonts w:hint="default"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廖姣云</w:t>
            </w:r>
          </w:p>
        </w:tc>
        <w:tc>
          <w:tcPr>
            <w:tcW w:w="2025" w:type="dxa"/>
            <w:noWrap w:val="0"/>
            <w:vAlign w:val="center"/>
          </w:tcPr>
          <w:p w14:paraId="388A73B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210" w:firstLineChars="100"/>
              <w:jc w:val="center"/>
              <w:textAlignment w:val="auto"/>
              <w:rPr>
                <w:rFonts w:hint="default"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17373077718</w:t>
            </w:r>
          </w:p>
        </w:tc>
        <w:tc>
          <w:tcPr>
            <w:tcW w:w="2669" w:type="dxa"/>
            <w:noWrap w:val="0"/>
            <w:vAlign w:val="center"/>
          </w:tcPr>
          <w:p w14:paraId="5D9409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3352722691</w:t>
            </w:r>
            <w:r>
              <w:rPr>
                <w:rFonts w:hint="eastAsia" w:ascii="宋体" w:hAnsi="宋体" w:eastAsia="宋体" w:cs="宋体"/>
                <w:color w:val="000000"/>
                <w:spacing w:val="0"/>
                <w:w w:val="100"/>
                <w:kern w:val="2"/>
                <w:position w:val="0"/>
                <w:sz w:val="21"/>
                <w:szCs w:val="21"/>
                <w:shd w:val="clear" w:color="auto" w:fill="auto"/>
                <w:lang w:eastAsia="zh-CN" w:bidi="ar-SA"/>
              </w:rPr>
              <w:t>@qq.com</w:t>
            </w:r>
          </w:p>
        </w:tc>
      </w:tr>
      <w:tr w14:paraId="5A36C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exact"/>
        </w:trPr>
        <w:tc>
          <w:tcPr>
            <w:tcW w:w="2242" w:type="dxa"/>
            <w:noWrap w:val="0"/>
            <w:vAlign w:val="center"/>
          </w:tcPr>
          <w:p w14:paraId="5164716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04"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采购项目类别</w:t>
            </w:r>
          </w:p>
        </w:tc>
        <w:tc>
          <w:tcPr>
            <w:tcW w:w="6982" w:type="dxa"/>
            <w:gridSpan w:val="3"/>
            <w:noWrap w:val="0"/>
            <w:vAlign w:val="center"/>
          </w:tcPr>
          <w:p w14:paraId="68D0157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413"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口货物</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口工程</w:t>
            </w:r>
          </w:p>
        </w:tc>
      </w:tr>
    </w:tbl>
    <w:p w14:paraId="46B2047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firstLineChars="0"/>
        <w:jc w:val="both"/>
        <w:textAlignment w:val="auto"/>
        <w:outlineLvl w:val="1"/>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0"/>
          <w:w w:val="100"/>
          <w:kern w:val="2"/>
          <w:position w:val="0"/>
          <w:sz w:val="21"/>
          <w:szCs w:val="21"/>
          <w:shd w:val="clear" w:color="auto" w:fill="auto"/>
          <w:lang w:eastAsia="zh-CN" w:bidi="ar-SA"/>
        </w:rPr>
        <w:t>二</w:t>
      </w:r>
      <w:r>
        <w:rPr>
          <w:rFonts w:hint="eastAsia" w:ascii="宋体" w:hAnsi="宋体" w:eastAsia="宋体" w:cs="宋体"/>
          <w:color w:val="000000"/>
          <w:spacing w:val="0"/>
          <w:w w:val="100"/>
          <w:kern w:val="2"/>
          <w:position w:val="0"/>
          <w:sz w:val="21"/>
          <w:szCs w:val="21"/>
          <w:shd w:val="clear" w:color="auto" w:fill="auto"/>
          <w:lang w:eastAsia="zh-CN" w:bidi="ar-SA"/>
        </w:rPr>
        <w:t xml:space="preserve"> </w:t>
      </w:r>
      <w:r>
        <w:rPr>
          <w:rFonts w:hint="eastAsia" w:ascii="宋体" w:hAnsi="宋体" w:eastAsia="宋体" w:cs="宋体"/>
          <w:b/>
          <w:bCs/>
          <w:color w:val="000000"/>
          <w:spacing w:val="0"/>
          <w:w w:val="100"/>
          <w:kern w:val="2"/>
          <w:position w:val="0"/>
          <w:sz w:val="21"/>
          <w:szCs w:val="21"/>
          <w:shd w:val="clear" w:color="auto" w:fill="auto"/>
          <w:lang w:eastAsia="zh-CN" w:bidi="ar-SA"/>
        </w:rPr>
        <w:t>、需求调查情况</w:t>
      </w:r>
    </w:p>
    <w:p w14:paraId="6CEF9AA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416"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1"/>
          <w:w w:val="100"/>
          <w:kern w:val="2"/>
          <w:position w:val="0"/>
          <w:sz w:val="21"/>
          <w:szCs w:val="21"/>
          <w:shd w:val="clear" w:color="auto" w:fill="auto"/>
          <w:lang w:eastAsia="zh-CN" w:bidi="ar-SA"/>
        </w:rPr>
        <w:t>属于《政府采购需求管理办法》第十一条规定情形的，应当填写本部分。第十一条对于下列采购项目，应当开展需求调查：</w:t>
      </w:r>
    </w:p>
    <w:p w14:paraId="3689F73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4"/>
          <w:w w:val="100"/>
          <w:kern w:val="2"/>
          <w:position w:val="0"/>
          <w:sz w:val="21"/>
          <w:szCs w:val="21"/>
          <w:shd w:val="clear" w:color="auto" w:fill="auto"/>
          <w:lang w:eastAsia="zh-CN" w:bidi="ar-SA"/>
        </w:rPr>
        <w:t>(一)1000万元以上的货物、服务采购项目，3000万元以上的</w:t>
      </w:r>
      <w:r>
        <w:rPr>
          <w:rFonts w:hint="eastAsia" w:ascii="宋体" w:hAnsi="宋体" w:eastAsia="宋体" w:cs="宋体"/>
          <w:color w:val="000000"/>
          <w:spacing w:val="3"/>
          <w:w w:val="100"/>
          <w:kern w:val="2"/>
          <w:position w:val="0"/>
          <w:sz w:val="21"/>
          <w:szCs w:val="21"/>
          <w:shd w:val="clear" w:color="auto" w:fill="auto"/>
          <w:lang w:eastAsia="zh-CN" w:bidi="ar-SA"/>
        </w:rPr>
        <w:t>工程采购项目；</w:t>
      </w:r>
    </w:p>
    <w:p w14:paraId="3477B6B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(二)涉及公共利益、社会关注度较高的采购项目，包括政府向社会公众提供的公共服务项目等。</w:t>
      </w:r>
    </w:p>
    <w:p w14:paraId="43ADF81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(三)技术复杂、专业性较强的项目，包括需定制开发的信息化建设项目、采购进口产品的项目等；</w:t>
      </w:r>
    </w:p>
    <w:p w14:paraId="35E235E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3"/>
          <w:w w:val="100"/>
          <w:kern w:val="2"/>
          <w:position w:val="0"/>
          <w:sz w:val="21"/>
          <w:szCs w:val="21"/>
          <w:shd w:val="clear" w:color="auto" w:fill="auto"/>
          <w:lang w:eastAsia="zh-CN" w:bidi="ar-SA"/>
        </w:rPr>
        <w:t>(四)主管预算单位或者采购人认为需要开展</w:t>
      </w:r>
      <w:r>
        <w:rPr>
          <w:rFonts w:hint="eastAsia" w:ascii="宋体" w:hAnsi="宋体" w:eastAsia="宋体" w:cs="宋体"/>
          <w:color w:val="000000"/>
          <w:spacing w:val="2"/>
          <w:w w:val="100"/>
          <w:kern w:val="2"/>
          <w:position w:val="0"/>
          <w:sz w:val="21"/>
          <w:szCs w:val="21"/>
          <w:shd w:val="clear" w:color="auto" w:fill="auto"/>
          <w:lang w:eastAsia="zh-CN" w:bidi="ar-SA"/>
        </w:rPr>
        <w:t>需求调查的其他采购项目。</w:t>
      </w:r>
    </w:p>
    <w:p w14:paraId="104EA10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对于应当开展需求调查的项目，但不开展需求调查的，应在此处写明不开展的具体原因。</w:t>
      </w:r>
    </w:p>
    <w:p w14:paraId="1F88AB4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编制采购需求前一年内，采购人已就相关采购标的开展过需求调查的可以不再重复开展。</w:t>
      </w:r>
    </w:p>
    <w:p w14:paraId="4F6C0D6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412"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按照法律法规的规定，对采购项目开展可行性研究等前期工作，已包含</w:t>
      </w:r>
      <w:r>
        <w:rPr>
          <w:rFonts w:hint="eastAsia" w:ascii="宋体" w:hAnsi="宋体" w:eastAsia="宋体" w:cs="宋体"/>
          <w:color w:val="000000"/>
          <w:spacing w:val="-3"/>
          <w:w w:val="100"/>
          <w:kern w:val="2"/>
          <w:position w:val="0"/>
          <w:sz w:val="21"/>
          <w:szCs w:val="21"/>
          <w:shd w:val="clear" w:color="auto" w:fill="auto"/>
          <w:lang w:eastAsia="zh-CN" w:bidi="ar-SA"/>
        </w:rPr>
        <w:t>《政府采购需求管理办法》规定的需求调查内容的，可以不再重复调查；对在可行性研究等前期工作中未涉及的部分，应当按照《政府采购需求管理办法》的规定</w:t>
      </w:r>
      <w:r>
        <w:rPr>
          <w:rFonts w:hint="eastAsia" w:ascii="宋体" w:hAnsi="宋体" w:eastAsia="宋体" w:cs="宋体"/>
          <w:color w:val="000000"/>
          <w:spacing w:val="-1"/>
          <w:w w:val="100"/>
          <w:kern w:val="2"/>
          <w:position w:val="0"/>
          <w:sz w:val="21"/>
          <w:szCs w:val="21"/>
          <w:shd w:val="clear" w:color="auto" w:fill="auto"/>
          <w:lang w:eastAsia="zh-CN" w:bidi="ar-SA"/>
        </w:rPr>
        <w:t>开展需求调查。</w:t>
      </w:r>
    </w:p>
    <w:p w14:paraId="2642CCE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10"/>
          <w:w w:val="100"/>
          <w:kern w:val="2"/>
          <w:position w:val="0"/>
          <w:sz w:val="21"/>
          <w:szCs w:val="21"/>
          <w:shd w:val="clear" w:color="auto" w:fill="auto"/>
          <w:lang w:eastAsia="zh-CN" w:bidi="ar-SA"/>
        </w:rPr>
        <w:t>(一)是否开展需求调查</w:t>
      </w:r>
    </w:p>
    <w:p w14:paraId="5B65A38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5"/>
          <w:w w:val="100"/>
          <w:kern w:val="2"/>
          <w:position w:val="0"/>
          <w:sz w:val="21"/>
          <w:szCs w:val="21"/>
          <w:shd w:val="clear" w:color="auto" w:fill="auto"/>
          <w:lang w:eastAsia="zh-CN" w:bidi="ar-SA"/>
        </w:rPr>
        <w:t>1</w:t>
      </w:r>
      <w:r>
        <w:rPr>
          <w:rFonts w:hint="eastAsia" w:ascii="宋体" w:hAnsi="宋体" w:eastAsia="宋体" w:cs="宋体"/>
          <w:color w:val="000000"/>
          <w:spacing w:val="-49"/>
          <w:w w:val="100"/>
          <w:kern w:val="2"/>
          <w:position w:val="0"/>
          <w:sz w:val="21"/>
          <w:szCs w:val="21"/>
          <w:shd w:val="clear" w:color="auto" w:fill="auto"/>
          <w:lang w:eastAsia="zh-CN" w:bidi="ar-SA"/>
        </w:rPr>
        <w:t xml:space="preserve"> </w:t>
      </w:r>
      <w:r>
        <w:rPr>
          <w:rFonts w:hint="eastAsia" w:ascii="宋体" w:hAnsi="宋体" w:eastAsia="宋体" w:cs="宋体"/>
          <w:color w:val="000000"/>
          <w:spacing w:val="-5"/>
          <w:w w:val="100"/>
          <w:kern w:val="2"/>
          <w:position w:val="0"/>
          <w:sz w:val="21"/>
          <w:szCs w:val="21"/>
          <w:shd w:val="clear" w:color="auto" w:fill="auto"/>
          <w:lang w:eastAsia="zh-CN" w:bidi="ar-SA"/>
        </w:rPr>
        <w:t>.</w:t>
      </w:r>
      <w:r>
        <w:rPr>
          <w:rFonts w:hint="eastAsia" w:ascii="宋体" w:hAnsi="宋体" w:eastAsia="宋体" w:cs="宋体"/>
          <w:color w:val="000000"/>
          <w:spacing w:val="-47"/>
          <w:w w:val="100"/>
          <w:kern w:val="2"/>
          <w:position w:val="0"/>
          <w:sz w:val="21"/>
          <w:szCs w:val="21"/>
          <w:shd w:val="clear" w:color="auto" w:fill="auto"/>
          <w:lang w:eastAsia="zh-CN" w:bidi="ar-SA"/>
        </w:rPr>
        <w:t xml:space="preserve"> </w:t>
      </w:r>
      <w:r>
        <w:rPr>
          <w:rFonts w:hint="eastAsia" w:ascii="宋体" w:hAnsi="宋体" w:eastAsia="宋体" w:cs="宋体"/>
          <w:color w:val="000000"/>
          <w:spacing w:val="-47"/>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5"/>
          <w:w w:val="100"/>
          <w:kern w:val="2"/>
          <w:position w:val="0"/>
          <w:sz w:val="21"/>
          <w:szCs w:val="21"/>
          <w:shd w:val="clear" w:color="auto" w:fill="auto"/>
          <w:lang w:eastAsia="zh-CN" w:bidi="ar-SA"/>
        </w:rPr>
        <w:t>是</w:t>
      </w:r>
    </w:p>
    <w:p w14:paraId="76420A8F">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否，理由：本项目不属于《政府采购需求管理办法》第十一条规定的</w:t>
      </w:r>
      <w:r>
        <w:rPr>
          <w:rFonts w:hint="eastAsia" w:ascii="宋体" w:hAnsi="宋体" w:eastAsia="宋体" w:cs="宋体"/>
          <w:color w:val="000000"/>
          <w:spacing w:val="-9"/>
          <w:w w:val="100"/>
          <w:kern w:val="2"/>
          <w:position w:val="0"/>
          <w:sz w:val="21"/>
          <w:szCs w:val="21"/>
          <w:shd w:val="clear" w:color="auto" w:fill="auto"/>
          <w:lang w:eastAsia="zh-CN" w:bidi="ar-SA"/>
        </w:rPr>
        <w:t>情形。</w:t>
      </w:r>
    </w:p>
    <w:p w14:paraId="13D6EB48">
      <w:pPr>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beforeAutospacing="0" w:after="0" w:afterAutospacing="0" w:line="440" w:lineRule="exact"/>
        <w:ind w:left="0" w:right="5983"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12"/>
          <w:w w:val="100"/>
          <w:kern w:val="2"/>
          <w:position w:val="0"/>
          <w:sz w:val="21"/>
          <w:szCs w:val="21"/>
          <w:shd w:val="clear" w:color="auto" w:fill="auto"/>
          <w:lang w:eastAsia="zh-CN" w:bidi="ar-SA"/>
        </w:rPr>
        <w:t>采购需求清单</w:t>
      </w:r>
      <w:r>
        <w:rPr>
          <w:rFonts w:hint="eastAsia" w:ascii="宋体" w:hAnsi="宋体" w:eastAsia="宋体" w:cs="宋体"/>
          <w:color w:val="000000"/>
          <w:spacing w:val="0"/>
          <w:w w:val="100"/>
          <w:kern w:val="2"/>
          <w:position w:val="0"/>
          <w:sz w:val="21"/>
          <w:szCs w:val="21"/>
          <w:shd w:val="clear" w:color="auto" w:fill="auto"/>
          <w:lang w:eastAsia="zh-CN" w:bidi="ar-SA"/>
        </w:rPr>
        <w:t xml:space="preserve"> </w:t>
      </w:r>
    </w:p>
    <w:p w14:paraId="7838465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5"/>
          <w:w w:val="100"/>
          <w:kern w:val="2"/>
          <w:position w:val="0"/>
          <w:sz w:val="21"/>
          <w:szCs w:val="21"/>
          <w:highlight w:val="none"/>
          <w:shd w:val="clear" w:color="auto" w:fill="auto"/>
          <w:lang w:val="en-US" w:eastAsia="zh-CN" w:bidi="ar-SA"/>
        </w:rPr>
        <w:t>（一）、</w:t>
      </w:r>
      <w:r>
        <w:rPr>
          <w:rFonts w:hint="eastAsia" w:ascii="宋体" w:hAnsi="宋体" w:eastAsia="宋体" w:cs="宋体"/>
          <w:b/>
          <w:bCs/>
          <w:color w:val="000000"/>
          <w:spacing w:val="5"/>
          <w:w w:val="100"/>
          <w:kern w:val="2"/>
          <w:position w:val="0"/>
          <w:sz w:val="21"/>
          <w:szCs w:val="21"/>
          <w:highlight w:val="none"/>
          <w:shd w:val="clear" w:color="auto" w:fill="auto"/>
          <w:lang w:eastAsia="zh-CN" w:bidi="ar-SA"/>
        </w:rPr>
        <w:t>采购项目预(概)算：864045.00元</w:t>
      </w:r>
      <w:r>
        <w:rPr>
          <w:rFonts w:hint="eastAsia" w:ascii="宋体" w:hAnsi="宋体" w:eastAsia="宋体" w:cs="宋体"/>
          <w:b/>
          <w:bCs/>
          <w:color w:val="000000"/>
          <w:spacing w:val="5"/>
          <w:w w:val="100"/>
          <w:kern w:val="2"/>
          <w:position w:val="0"/>
          <w:sz w:val="21"/>
          <w:szCs w:val="21"/>
          <w:highlight w:val="none"/>
          <w:shd w:val="clear" w:color="auto" w:fill="auto"/>
          <w:lang w:val="en-US" w:eastAsia="zh-CN" w:bidi="ar-SA"/>
        </w:rPr>
        <w:t xml:space="preserve">。 </w:t>
      </w:r>
    </w:p>
    <w:p w14:paraId="438E931D">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4"/>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t>（二）、</w:t>
      </w:r>
      <w:r>
        <w:rPr>
          <w:rFonts w:hint="eastAsia" w:ascii="宋体" w:hAnsi="宋体" w:eastAsia="宋体" w:cs="宋体"/>
          <w:b/>
          <w:bCs/>
          <w:color w:val="000000"/>
          <w:spacing w:val="-4"/>
          <w:w w:val="100"/>
          <w:kern w:val="2"/>
          <w:position w:val="0"/>
          <w:sz w:val="21"/>
          <w:szCs w:val="21"/>
          <w:highlight w:val="none"/>
          <w:shd w:val="clear" w:color="auto" w:fill="auto"/>
          <w:lang w:eastAsia="zh-CN" w:bidi="ar-SA"/>
        </w:rPr>
        <w:t>项目概况：</w:t>
      </w:r>
    </w:p>
    <w:p w14:paraId="3025D5C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211" w:firstLineChars="1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1.项目背景</w:t>
      </w:r>
    </w:p>
    <w:p w14:paraId="368740E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为深入贯彻中央城市工作会议精神，落实中共中央办公厅 国务院办公厅印发的《关于持续推进城市更新行动的意见》（中办发〔2025〕34号）、《住房城乡建设部关于全面开展城市体检工作的指导意见》（建科〔2023〕75号）、湖南省人民政府办公厅发布的《关于持续推进城市更新行动的实施意见》（湘政办发〔2025〕49号）、《县城体检工作手册（试行）》、《城市更新规划编制导则》（建办科〔2025〕46号）等文件要求和决策部署，适应城市发展从大规模增量扩张阶段转向存量提质增效为主阶段的新形势，为抢抓政策机遇，落实华容县“十五五”县城发展新需求，需推进县城开发建设方式转型，坚持城市体检先行、强化规划引领，全面掌握县城建设发展状况，聚焦解决群众难题与补齐短板；立足长远，科学谋划更新建设计划。特开展华容县城城体检及城市更新专项规划编制，服务华容建设“产业强县、开放大县、江湖美县、品质名县”，推动富美华容现代化强县建设。</w:t>
      </w:r>
    </w:p>
    <w:p w14:paraId="7DD1E9A8">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2.编制依据</w:t>
      </w:r>
    </w:p>
    <w:p w14:paraId="78FDC904">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《中华人民共和国民法典》；</w:t>
      </w:r>
    </w:p>
    <w:p w14:paraId="3B15896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《中华人民共和国城乡规划法》；</w:t>
      </w:r>
    </w:p>
    <w:p w14:paraId="44440982">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《中华人民共和国土地管理法》；</w:t>
      </w:r>
    </w:p>
    <w:p w14:paraId="012D8DB5">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《中共中央办公厅国务院办公厅关于持续推进城市更新行动的意见》；</w:t>
      </w:r>
    </w:p>
    <w:p w14:paraId="4BA2053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《中共中央国务院关于推动城市高质量发展的意见》；</w:t>
      </w:r>
    </w:p>
    <w:p w14:paraId="21ADD144">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《住房城乡建设部办公厅关于印发城市更新规划编制导则的通知》；</w:t>
      </w:r>
    </w:p>
    <w:p w14:paraId="59C4D86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《住房城乡建设部关于全面开展城市体检工作的指导意见》（建科〔2023〕75号）；</w:t>
      </w:r>
    </w:p>
    <w:p w14:paraId="4B5DD54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湖南省人民政府办公厅发布的《关于持续推进城市更新行动的实施意见》（湘政办发〔2025〕49号）；</w:t>
      </w:r>
    </w:p>
    <w:p w14:paraId="50660EBD">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《岳阳市关于支持城市更新行动的若干政策措施（试行）》（征求意见稿）；</w:t>
      </w:r>
    </w:p>
    <w:p w14:paraId="76505621">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10</w:t>
      </w:r>
      <w:r>
        <w:rPr>
          <w:rFonts w:hint="eastAsia" w:ascii="宋体" w:hAnsi="宋体" w:eastAsia="宋体" w:cs="宋体"/>
          <w:color w:val="000000"/>
          <w:spacing w:val="0"/>
          <w:w w:val="100"/>
          <w:kern w:val="0"/>
          <w:position w:val="0"/>
          <w:sz w:val="21"/>
          <w:szCs w:val="21"/>
          <w:shd w:val="clear" w:color="auto" w:fill="auto"/>
          <w:lang w:eastAsia="zh-CN" w:bidi="ar"/>
        </w:rPr>
        <w:t>）《县城体检工作手册》（试行）；</w:t>
      </w:r>
    </w:p>
    <w:p w14:paraId="2441DFF1">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11</w:t>
      </w:r>
      <w:r>
        <w:rPr>
          <w:rFonts w:hint="eastAsia" w:ascii="宋体" w:hAnsi="宋体" w:eastAsia="宋体" w:cs="宋体"/>
          <w:color w:val="000000"/>
          <w:spacing w:val="0"/>
          <w:w w:val="100"/>
          <w:kern w:val="0"/>
          <w:position w:val="0"/>
          <w:sz w:val="21"/>
          <w:szCs w:val="21"/>
          <w:shd w:val="clear" w:color="auto" w:fill="auto"/>
          <w:lang w:eastAsia="zh-CN" w:bidi="ar"/>
        </w:rPr>
        <w:t>）《城市更新规划编制工作手册》；</w:t>
      </w:r>
    </w:p>
    <w:p w14:paraId="0E38E9E9">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12</w:t>
      </w:r>
      <w:r>
        <w:rPr>
          <w:rFonts w:hint="eastAsia" w:ascii="宋体" w:hAnsi="宋体" w:eastAsia="宋体" w:cs="宋体"/>
          <w:color w:val="000000"/>
          <w:spacing w:val="0"/>
          <w:w w:val="100"/>
          <w:kern w:val="0"/>
          <w:position w:val="0"/>
          <w:sz w:val="21"/>
          <w:szCs w:val="21"/>
          <w:shd w:val="clear" w:color="auto" w:fill="auto"/>
          <w:lang w:eastAsia="zh-CN" w:bidi="ar"/>
        </w:rPr>
        <w:t>）《城市更新规划技术指南》（中国城市规划协会2025.11.13）；</w:t>
      </w:r>
    </w:p>
    <w:p w14:paraId="38723C74">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13</w:t>
      </w:r>
      <w:r>
        <w:rPr>
          <w:rFonts w:hint="eastAsia" w:ascii="宋体" w:hAnsi="宋体" w:eastAsia="宋体" w:cs="宋体"/>
          <w:color w:val="000000"/>
          <w:spacing w:val="0"/>
          <w:w w:val="100"/>
          <w:kern w:val="0"/>
          <w:position w:val="0"/>
          <w:sz w:val="21"/>
          <w:szCs w:val="21"/>
          <w:shd w:val="clear" w:color="auto" w:fill="auto"/>
          <w:lang w:eastAsia="zh-CN" w:bidi="ar"/>
        </w:rPr>
        <w:t>）《华容县国土空间总体规划（2021-2035年）》；</w:t>
      </w:r>
    </w:p>
    <w:p w14:paraId="1185F972">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14</w:t>
      </w:r>
      <w:r>
        <w:rPr>
          <w:rFonts w:hint="eastAsia" w:ascii="宋体" w:hAnsi="宋体" w:eastAsia="宋体" w:cs="宋体"/>
          <w:color w:val="000000"/>
          <w:spacing w:val="0"/>
          <w:w w:val="100"/>
          <w:kern w:val="0"/>
          <w:position w:val="0"/>
          <w:sz w:val="21"/>
          <w:szCs w:val="21"/>
          <w:shd w:val="clear" w:color="auto" w:fill="auto"/>
          <w:lang w:eastAsia="zh-CN" w:bidi="ar"/>
        </w:rPr>
        <w:t>）国家、省、市现行的其他相关法律、法规、规范、标准、规划等。</w:t>
      </w:r>
    </w:p>
    <w:p w14:paraId="43399D7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420" w:right="0" w:firstLine="0"/>
        <w:jc w:val="both"/>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0"/>
          <w:w w:val="100"/>
          <w:kern w:val="0"/>
          <w:position w:val="0"/>
          <w:sz w:val="21"/>
          <w:szCs w:val="21"/>
          <w:shd w:val="clear" w:color="auto" w:fill="auto"/>
          <w:lang w:eastAsia="zh-CN" w:bidi="ar"/>
        </w:rPr>
        <w:t>3</w:t>
      </w:r>
      <w:r>
        <w:rPr>
          <w:rFonts w:hint="eastAsia" w:ascii="宋体" w:hAnsi="宋体" w:eastAsia="宋体" w:cs="宋体"/>
          <w:b/>
          <w:color w:val="000000"/>
          <w:spacing w:val="0"/>
          <w:w w:val="100"/>
          <w:kern w:val="0"/>
          <w:position w:val="0"/>
          <w:sz w:val="21"/>
          <w:szCs w:val="21"/>
          <w:shd w:val="clear" w:color="auto" w:fill="auto"/>
          <w:lang w:eastAsia="zh-CN" w:bidi="ar"/>
        </w:rPr>
        <w:t>.规划范围：</w:t>
      </w:r>
      <w:r>
        <w:rPr>
          <w:rFonts w:hint="eastAsia" w:ascii="宋体" w:hAnsi="宋体" w:eastAsia="宋体" w:cs="宋体"/>
          <w:color w:val="000000"/>
          <w:spacing w:val="0"/>
          <w:w w:val="100"/>
          <w:kern w:val="0"/>
          <w:position w:val="0"/>
          <w:sz w:val="21"/>
          <w:szCs w:val="21"/>
          <w:shd w:val="clear" w:color="auto" w:fill="auto"/>
          <w:lang w:eastAsia="zh-CN" w:bidi="ar"/>
        </w:rPr>
        <w:t>华容县城（与县级国土空间总体规划划定的中心城区城镇开发边界基本一致）。</w:t>
      </w:r>
    </w:p>
    <w:p w14:paraId="5033BFAC">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t>（三）、服务内容</w:t>
      </w:r>
    </w:p>
    <w:p w14:paraId="031EFBAA">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404" w:firstLineChars="20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1.开展县城、街区、小区住房维度的城市体检、主要工作内容包含指标体系构建、数据采集与处理、分析评价、形成问题清单和整治建议清单、城市体检报告编制等内容。</w:t>
      </w:r>
    </w:p>
    <w:p w14:paraId="0F0AEE42">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404" w:firstLineChars="20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2.依据城市体检结果，协调我县“十五五”期间的总体发展部署，编制城市更新专项规划，包含问题分析与更新对象识别、规划目标、重点任务、城市设计、片区指引、项目库、保障措施等内容。</w:t>
      </w:r>
    </w:p>
    <w:p w14:paraId="649426C6">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bCs/>
          <w:color w:val="000000"/>
          <w:spacing w:val="8"/>
          <w:w w:val="100"/>
          <w:kern w:val="2"/>
          <w:position w:val="0"/>
          <w:sz w:val="21"/>
          <w:szCs w:val="21"/>
          <w:highlight w:val="none"/>
          <w:shd w:val="clear" w:color="auto" w:fill="auto"/>
          <w:lang w:val="en-US" w:eastAsia="zh-CN" w:bidi="ar-SA"/>
        </w:rPr>
      </w:pPr>
      <w:r>
        <w:rPr>
          <w:rFonts w:hint="eastAsia" w:ascii="宋体" w:hAnsi="宋体" w:eastAsia="宋体" w:cs="宋体"/>
          <w:b/>
          <w:bCs/>
          <w:color w:val="000000"/>
          <w:spacing w:val="8"/>
          <w:w w:val="100"/>
          <w:kern w:val="2"/>
          <w:position w:val="0"/>
          <w:sz w:val="21"/>
          <w:szCs w:val="21"/>
          <w:highlight w:val="none"/>
          <w:shd w:val="clear" w:color="auto" w:fill="auto"/>
          <w:lang w:val="en-US" w:eastAsia="zh-CN" w:bidi="ar-SA"/>
        </w:rPr>
        <w:t>四、技术要求</w:t>
      </w:r>
    </w:p>
    <w:p w14:paraId="7F3C1762">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color w:val="000000"/>
          <w:spacing w:val="0"/>
          <w:w w:val="100"/>
          <w:kern w:val="0"/>
          <w:position w:val="0"/>
          <w:sz w:val="21"/>
          <w:szCs w:val="21"/>
          <w:shd w:val="clear" w:color="auto" w:fill="auto"/>
          <w:lang w:eastAsia="zh-CN" w:bidi="ar"/>
        </w:rPr>
      </w:pPr>
      <w:r>
        <w:rPr>
          <w:rFonts w:hint="eastAsia" w:ascii="宋体" w:hAnsi="宋体" w:eastAsia="宋体" w:cs="宋体"/>
          <w:b/>
          <w:color w:val="000000"/>
          <w:spacing w:val="0"/>
          <w:w w:val="100"/>
          <w:kern w:val="0"/>
          <w:position w:val="0"/>
          <w:sz w:val="21"/>
          <w:szCs w:val="21"/>
          <w:shd w:val="clear" w:color="auto" w:fill="auto"/>
          <w:lang w:eastAsia="zh-CN" w:bidi="ar"/>
        </w:rPr>
        <w:t>（</w:t>
      </w:r>
      <w:r>
        <w:rPr>
          <w:rFonts w:hint="eastAsia" w:ascii="宋体" w:hAnsi="宋体" w:eastAsia="宋体" w:cs="宋体"/>
          <w:b/>
          <w:color w:val="000000"/>
          <w:spacing w:val="0"/>
          <w:w w:val="100"/>
          <w:kern w:val="0"/>
          <w:position w:val="0"/>
          <w:sz w:val="21"/>
          <w:szCs w:val="21"/>
          <w:shd w:val="clear" w:color="auto" w:fill="auto"/>
          <w:lang w:val="en-US" w:eastAsia="zh-CN" w:bidi="ar"/>
        </w:rPr>
        <w:t>一</w:t>
      </w:r>
      <w:r>
        <w:rPr>
          <w:rFonts w:hint="eastAsia" w:ascii="宋体" w:hAnsi="宋体" w:eastAsia="宋体" w:cs="宋体"/>
          <w:b/>
          <w:color w:val="000000"/>
          <w:spacing w:val="0"/>
          <w:w w:val="100"/>
          <w:kern w:val="0"/>
          <w:position w:val="0"/>
          <w:sz w:val="21"/>
          <w:szCs w:val="21"/>
          <w:shd w:val="clear" w:color="auto" w:fill="auto"/>
          <w:lang w:eastAsia="zh-CN" w:bidi="ar"/>
        </w:rPr>
        <w:t>）县城体检</w:t>
      </w:r>
    </w:p>
    <w:p w14:paraId="1B99641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（1）前期组织与现状调研</w:t>
      </w:r>
    </w:p>
    <w:p w14:paraId="66A1D3BE">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县政府抓落实，住建部门统筹，组织好工作专班、第三方服务机构，各部门、乡镇、社区和村共同参与，召开工作部署会并制定印发工作方案，根据体检工作数据采集进度要求，组织开展技术培训工作。结合县城的实际情况划分县城体检单元，在此基础上全面开展体检现场调研、部门座谈、基础资料收集及线上线下问卷调查等工作，通过实地踏勘走访、发放居民满意度调查问卷等形式，广泛收集与征求群众、部门意见，找寻群众“急难愁盼”问题和县城建设发展的短板弱项。</w:t>
      </w:r>
    </w:p>
    <w:p w14:paraId="1A8AD2E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（2）指标体系构建</w:t>
      </w:r>
    </w:p>
    <w:p w14:paraId="066FA7E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根据《县城体检工作手册（试行）》的要求，结合华容县城发展现状、居民需求和重点建设项目等，按照“可量化、可感知、可评价”的原则选取与完善华容县城体检指标体系，具体包括基础指标、特色指标两大类。其中，基础指标从《县城体检工作手册》中选取；特色指标从落实国省部署、岳阳市级提出的重点任务或要求、结合县城特色、聚焦地方重点战略（如服务华容建设“产业强县、开放大县、江湖美县、品质名县”，推动富美华容现代化强县建设）等方面选取。</w:t>
      </w:r>
    </w:p>
    <w:p w14:paraId="113F0364">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（3）数据采集与处理</w:t>
      </w:r>
    </w:p>
    <w:p w14:paraId="3971CAED">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结合现场调研走访、部门座谈、多元数据来源、居民问卷调查等开展住房、小区（社区）、街区、县城维度数据采集，坚持实事求是的原则，充分使用调查数据、专业部门统计数据、遥感影像数据、社会大数据等已有数据资源。通过分维度、分类型、分部门等多种方式进行数据采集与处理。</w:t>
      </w:r>
    </w:p>
    <w:p w14:paraId="7AC27A9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标数据采集方面：</w:t>
      </w:r>
      <w:r>
        <w:rPr>
          <w:rFonts w:hint="eastAsia" w:ascii="宋体" w:hAnsi="宋体" w:eastAsia="宋体" w:cs="宋体"/>
          <w:color w:val="000000"/>
          <w:spacing w:val="0"/>
          <w:w w:val="100"/>
          <w:kern w:val="0"/>
          <w:position w:val="0"/>
          <w:sz w:val="21"/>
          <w:szCs w:val="21"/>
          <w:shd w:val="clear" w:color="auto" w:fill="auto"/>
          <w:lang w:eastAsia="zh-CN" w:bidi="ar"/>
        </w:rPr>
        <w:t>全面开展数据采集，做好数据采样的规范性工作，保质保量按时完成数据采集汇总工作。住房、小区（社区）维度指标数据采集以社区、行政村为基本单元统筹开展，按照社区（村委会）部门确认、小区（村民小组）整体检查、入楼入户检查三类开展；未有明确小区管理边界的住宅片区应划定调查统计单元，由社区网格员（村两委工作人员）及专业机构共同配合第三方专家团队开展调查工作。各县级部门根据分工，根据指标体系计算规则进行指标汇总；充分利用遥感影像、手机信令数据、社会商业大数据等既有数据。同时，注重利用智慧化手段，提高效率。对于体检重点对象空间，应结合现场调研、访谈形式开展数据采集工作。</w:t>
      </w:r>
    </w:p>
    <w:p w14:paraId="11E648C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居民抽样问卷调查方面：</w:t>
      </w:r>
      <w:r>
        <w:rPr>
          <w:rFonts w:hint="eastAsia" w:ascii="宋体" w:hAnsi="宋体" w:eastAsia="宋体" w:cs="宋体"/>
          <w:color w:val="000000"/>
          <w:spacing w:val="0"/>
          <w:w w:val="100"/>
          <w:kern w:val="0"/>
          <w:position w:val="0"/>
          <w:sz w:val="21"/>
          <w:szCs w:val="21"/>
          <w:shd w:val="clear" w:color="auto" w:fill="auto"/>
          <w:lang w:eastAsia="zh-CN" w:bidi="ar"/>
        </w:rPr>
        <w:t>分为住房、小区（社区）、街区、县城四个板块及基本调查信息。基本调查信息包含居民住房、出行以及居民整体生活评价和相关社会经济属性。通过线上线下多渠道开展居民问卷抽样调查，综合考虑县城的人口规模、人口密度分布等多种因素，采用空间分层抽样法投放调查问卷。同时，在日常网络工作群组、本地政务服务APP或主流网络媒体上投放调查问卷，扩大调查范围。</w:t>
      </w:r>
    </w:p>
    <w:p w14:paraId="4A82C43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（4）分析评价</w:t>
      </w:r>
    </w:p>
    <w:p w14:paraId="15AF8972">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数据采集与整理完成后，对照县城体检指标体系开展分析评价，综合采用结构性时序性分析、主客观结合分析、问题地图空间分析、参考比较法等进行系统分析评价，对住房、小区（社区）、街区、县城等四个维度体检指标进行拆解测算分析和分类定级，综合评价县城建设发展质量，找准县城建设短板弱项。</w:t>
      </w:r>
    </w:p>
    <w:p w14:paraId="0A3884C1">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（5）形成问题清单和整治建议清单</w:t>
      </w:r>
    </w:p>
    <w:p w14:paraId="3549854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按照轻重缓急的原则对体检发现的问题进行系统梳理、诊断分析，形成问题清单，并根据政府计划提出整治建议清单。</w:t>
      </w:r>
    </w:p>
    <w:p w14:paraId="608AD23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行业专家、行业主管部门共同论证整治建议清单的科学性及可行性，制定整改方案，将县城体检报告提出的问题清单分解落实到乡镇（社区）、各有关部门，明确整治措施和完成时限，并根据实际工作安排，依据县城体检结果，制定县城建设实施方案和年度实施计划生成县城建设项目库。</w:t>
      </w:r>
    </w:p>
    <w:p w14:paraId="48AFE851">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（6）体检成果报告编制</w:t>
      </w:r>
    </w:p>
    <w:p w14:paraId="7C5EA0B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在全面汇总县城体检工作开展情况基础上，根据分析评价汇总县城体检结果，编写县城体检报告，为后续城市更新专项规划的编制提供依据与指导。</w:t>
      </w:r>
    </w:p>
    <w:p w14:paraId="00AF0A1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color w:val="000000"/>
          <w:spacing w:val="0"/>
          <w:w w:val="100"/>
          <w:kern w:val="0"/>
          <w:position w:val="0"/>
          <w:sz w:val="21"/>
          <w:szCs w:val="21"/>
          <w:shd w:val="clear" w:color="auto" w:fill="auto"/>
          <w:lang w:eastAsia="zh-CN" w:bidi="ar"/>
        </w:rPr>
      </w:pPr>
      <w:r>
        <w:rPr>
          <w:rFonts w:hint="eastAsia" w:ascii="宋体" w:hAnsi="宋体" w:eastAsia="宋体" w:cs="宋体"/>
          <w:b/>
          <w:color w:val="000000"/>
          <w:spacing w:val="0"/>
          <w:w w:val="100"/>
          <w:kern w:val="0"/>
          <w:position w:val="0"/>
          <w:sz w:val="21"/>
          <w:szCs w:val="21"/>
          <w:shd w:val="clear" w:color="auto" w:fill="auto"/>
          <w:lang w:eastAsia="zh-CN" w:bidi="ar"/>
        </w:rPr>
        <w:t>（</w:t>
      </w:r>
      <w:r>
        <w:rPr>
          <w:rFonts w:hint="eastAsia" w:ascii="宋体" w:hAnsi="宋体" w:eastAsia="宋体" w:cs="宋体"/>
          <w:b/>
          <w:color w:val="000000"/>
          <w:spacing w:val="0"/>
          <w:w w:val="100"/>
          <w:kern w:val="0"/>
          <w:position w:val="0"/>
          <w:sz w:val="21"/>
          <w:szCs w:val="21"/>
          <w:shd w:val="clear" w:color="auto" w:fill="auto"/>
          <w:lang w:val="en-US" w:eastAsia="zh-CN" w:bidi="ar"/>
        </w:rPr>
        <w:t>二</w:t>
      </w:r>
      <w:r>
        <w:rPr>
          <w:rFonts w:hint="eastAsia" w:ascii="宋体" w:hAnsi="宋体" w:eastAsia="宋体" w:cs="宋体"/>
          <w:b/>
          <w:color w:val="000000"/>
          <w:spacing w:val="0"/>
          <w:w w:val="100"/>
          <w:kern w:val="0"/>
          <w:position w:val="0"/>
          <w:sz w:val="21"/>
          <w:szCs w:val="21"/>
          <w:shd w:val="clear" w:color="auto" w:fill="auto"/>
          <w:lang w:eastAsia="zh-CN" w:bidi="ar"/>
        </w:rPr>
        <w:t>）城市更新</w:t>
      </w:r>
    </w:p>
    <w:p w14:paraId="68A9B098">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（1）问题分析与更新对象识别</w:t>
      </w:r>
    </w:p>
    <w:p w14:paraId="50E8A776">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以县城体检问题清单为基础，通过基础资料调研、现场踏勘等实地工作，结合大数据分析技术，精准研判城市问题的空间分布特征与影响程度。以物质空间老旧破坏程度及闲置、低效、不当使用情况为核心依据，系统筛选更新对象，全面分析其价值与使用效率，最终整合形成更新对象“一张图”，实现全域更新对象可视化、精细化管理。</w:t>
      </w:r>
    </w:p>
    <w:p w14:paraId="086D377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（2）更新规划目标</w:t>
      </w:r>
    </w:p>
    <w:p w14:paraId="60F531F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根据城市中长期发展需求，确定城市更新五年期的总体目标和年度工作目标。结合城市发展实际，将目标分解为可量化、可考核的年度工作目标与指标，通过城市更新规划对城市更新实施成效进行定期评估。</w:t>
      </w:r>
    </w:p>
    <w:p w14:paraId="398A758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（3）更新重点任务与策略</w:t>
      </w:r>
    </w:p>
    <w:p w14:paraId="1B8845DC">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主要包括八项内容，具体为确定既有建筑更新改造利用、城镇老旧小区整治改造、完整社区建设、老旧街区老旧厂区城中村更新改造、城市功能完善、城市基础设施建设改造、城市生态系统修复、城市历史文化保护传承等任务和要求。</w:t>
      </w:r>
    </w:p>
    <w:p w14:paraId="1705A53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（4）城市设计指引</w:t>
      </w:r>
    </w:p>
    <w:p w14:paraId="4EA11AD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1）城市结构和形态优化</w:t>
      </w:r>
    </w:p>
    <w:p w14:paraId="158F390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从城市更新总体目标出发，提出更新主导功能方向，补齐城市功能短板，引导存量空间功能转换与混合利用，明确城市更新空间结构，优化居住、就业、服务、休闲等城市功能，促进产城融合、职住平衡。强化城市规划的管控和引导作用，做到功能复合、密度适中、高低错落、蓝绿交织。针对城市不同功能片区、功能组团等提出主导功能方向，保护和彰显自然山水格局，塑造更具特色、更有利于城市发展的空间形态。</w:t>
      </w:r>
    </w:p>
    <w:p w14:paraId="328B2DE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2）不同层次设计引导要求</w:t>
      </w:r>
    </w:p>
    <w:p w14:paraId="206D2D3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房屋层面。</w:t>
      </w:r>
      <w:r>
        <w:rPr>
          <w:rFonts w:hint="eastAsia" w:ascii="宋体" w:hAnsi="宋体" w:eastAsia="宋体" w:cs="宋体"/>
          <w:color w:val="000000"/>
          <w:spacing w:val="0"/>
          <w:w w:val="100"/>
          <w:kern w:val="0"/>
          <w:position w:val="0"/>
          <w:sz w:val="21"/>
          <w:szCs w:val="21"/>
          <w:shd w:val="clear" w:color="auto" w:fill="auto"/>
          <w:lang w:eastAsia="zh-CN" w:bidi="ar"/>
        </w:rPr>
        <w:t>传承中华优秀建筑文化，应用创新理念和现代科技，促进新建建筑、改扩建建筑与保护建筑的风貌协调。明确单体建筑形体、色彩、材质、第五立面等的控制与引导要求。</w:t>
      </w:r>
    </w:p>
    <w:p w14:paraId="176C9490">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小区、社区层面。</w:t>
      </w:r>
      <w:r>
        <w:rPr>
          <w:rFonts w:hint="eastAsia" w:ascii="宋体" w:hAnsi="宋体" w:eastAsia="宋体" w:cs="宋体"/>
          <w:color w:val="000000"/>
          <w:spacing w:val="0"/>
          <w:w w:val="100"/>
          <w:kern w:val="0"/>
          <w:position w:val="0"/>
          <w:sz w:val="21"/>
          <w:szCs w:val="21"/>
          <w:shd w:val="clear" w:color="auto" w:fill="auto"/>
          <w:lang w:eastAsia="zh-CN" w:bidi="ar"/>
        </w:rPr>
        <w:t>完善公共服务设施布局，推动设施的功能复合与共享利用，优化小区、社区的整体空间形态、建筑布局和风貌特色，加强地上地下空间的复合利用。强化公共空间营造，精细化景观环境设计，构建慢行空间网络，协同市政交通等工程建设，因地制宜利用消极邻避空间。</w:t>
      </w:r>
    </w:p>
    <w:p w14:paraId="7C0EABA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县城层面。</w:t>
      </w:r>
      <w:r>
        <w:rPr>
          <w:rFonts w:hint="eastAsia" w:ascii="宋体" w:hAnsi="宋体" w:eastAsia="宋体" w:cs="宋体"/>
          <w:color w:val="000000"/>
          <w:spacing w:val="0"/>
          <w:w w:val="100"/>
          <w:kern w:val="0"/>
          <w:position w:val="0"/>
          <w:sz w:val="21"/>
          <w:szCs w:val="21"/>
          <w:shd w:val="clear" w:color="auto" w:fill="auto"/>
          <w:lang w:eastAsia="zh-CN" w:bidi="ar"/>
        </w:rPr>
        <w:t>优化城区整体空间布局，完善城区功能业态，提升城区活力，提出城区建设高度、强度与密度分级指引要求，建立清晰有序的建设空间秩序。构建城区公共开放空间网络，提升环境品质，加强交通可达性，鼓励复合利用，梳理重要节点、界面与特色街道等，提出设计控制要求。</w:t>
      </w:r>
    </w:p>
    <w:p w14:paraId="0925799B">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县城及周边区域层面。</w:t>
      </w:r>
      <w:r>
        <w:rPr>
          <w:rFonts w:hint="eastAsia" w:ascii="宋体" w:hAnsi="宋体" w:eastAsia="宋体" w:cs="宋体"/>
          <w:color w:val="000000"/>
          <w:spacing w:val="0"/>
          <w:w w:val="100"/>
          <w:kern w:val="0"/>
          <w:position w:val="0"/>
          <w:sz w:val="21"/>
          <w:szCs w:val="21"/>
          <w:shd w:val="clear" w:color="auto" w:fill="auto"/>
          <w:lang w:eastAsia="zh-CN" w:bidi="ar"/>
        </w:rPr>
        <w:t>保护城市山水格局，传承城市历史文化与风貌特色，构建城市总体空间格局，识别城市特色风貌地区，保护强化城市核心景观，塑造城市天际线，控制城市重要景观眺望廊道，提出城市设计分区管控要求。</w:t>
      </w:r>
    </w:p>
    <w:p w14:paraId="7DB6F06B">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3）底线管控措施</w:t>
      </w:r>
    </w:p>
    <w:p w14:paraId="6E32332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对生态廊道、滨河景观带等结构性控制地区及有特殊控制要求的区域，提出底线管控措施，划定视线通廊控制范围，保障城市景观通透性与层次感。严格保护文化遗产本体及历史环境，明确保护重点，严格拆除管理，在老城区应采用低影响更新方式，保护传统格局和街巷肌理。</w:t>
      </w:r>
    </w:p>
    <w:p w14:paraId="16E149CB">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（5）片区指引</w:t>
      </w:r>
    </w:p>
    <w:p w14:paraId="5BD8B681">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统筹划定若干个城市更新片区，提出各片区的功能定位、更新规模、更新方式、更新内容、底线要求、重点项目、配套政策等，根据轻重缓急确定更新时序安排。</w:t>
      </w:r>
    </w:p>
    <w:p w14:paraId="23DE50D3">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更新片区划定：</w:t>
      </w:r>
      <w:r>
        <w:rPr>
          <w:rFonts w:hint="eastAsia" w:ascii="宋体" w:hAnsi="宋体" w:eastAsia="宋体" w:cs="宋体"/>
          <w:color w:val="000000"/>
          <w:spacing w:val="0"/>
          <w:w w:val="100"/>
          <w:kern w:val="0"/>
          <w:position w:val="0"/>
          <w:sz w:val="21"/>
          <w:szCs w:val="21"/>
          <w:shd w:val="clear" w:color="auto" w:fill="auto"/>
          <w:lang w:eastAsia="zh-CN" w:bidi="ar"/>
        </w:rPr>
        <w:t>根据城市更新目标任务，结合存量资源摸查、更新潜力评估结果和更新需求分析，从紧迫程度、影响程度、重要程度等多因素综合研判，识别城市更新重点区域，结合实际合理划定更新单元。</w:t>
      </w:r>
    </w:p>
    <w:p w14:paraId="22CF7FF4">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更新片区指引：</w:t>
      </w:r>
      <w:r>
        <w:rPr>
          <w:rFonts w:hint="eastAsia" w:ascii="宋体" w:hAnsi="宋体" w:eastAsia="宋体" w:cs="宋体"/>
          <w:color w:val="000000"/>
          <w:spacing w:val="0"/>
          <w:w w:val="100"/>
          <w:kern w:val="0"/>
          <w:position w:val="0"/>
          <w:sz w:val="21"/>
          <w:szCs w:val="21"/>
          <w:shd w:val="clear" w:color="auto" w:fill="auto"/>
          <w:lang w:eastAsia="zh-CN" w:bidi="ar"/>
        </w:rPr>
        <w:t>根据更新片区的资源禀赋特征与功能发展需要，提出片区的更新目标、更新规模、更新方式、更新内容、底线要求等，落实好城市更新规划重点任务和实施要求。</w:t>
      </w:r>
    </w:p>
    <w:p w14:paraId="1332964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（6）项目库：</w:t>
      </w:r>
      <w:r>
        <w:rPr>
          <w:rFonts w:hint="eastAsia" w:ascii="宋体" w:hAnsi="宋体" w:eastAsia="宋体" w:cs="宋体"/>
          <w:color w:val="000000"/>
          <w:spacing w:val="0"/>
          <w:w w:val="100"/>
          <w:kern w:val="0"/>
          <w:position w:val="0"/>
          <w:sz w:val="21"/>
          <w:szCs w:val="21"/>
          <w:shd w:val="clear" w:color="auto" w:fill="auto"/>
          <w:lang w:eastAsia="zh-CN" w:bidi="ar"/>
        </w:rPr>
        <w:t>建立城市更新项目库，确定项目名称、类型、规模和实施时序等。优先纳入民生短板补足、安全韧性提升、产业转型升级等项目，明确项目名称、类型、建设规模、实施时序及四至范围等，优先纳入实施主体明确、资金来源确定的项目。</w:t>
      </w:r>
    </w:p>
    <w:p w14:paraId="36CD8780">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（7）保障措施：</w:t>
      </w:r>
      <w:r>
        <w:rPr>
          <w:rFonts w:hint="eastAsia" w:ascii="宋体" w:hAnsi="宋体" w:eastAsia="宋体" w:cs="宋体"/>
          <w:color w:val="000000"/>
          <w:spacing w:val="0"/>
          <w:w w:val="100"/>
          <w:kern w:val="0"/>
          <w:position w:val="0"/>
          <w:sz w:val="21"/>
          <w:szCs w:val="21"/>
          <w:shd w:val="clear" w:color="auto" w:fill="auto"/>
          <w:lang w:eastAsia="zh-CN" w:bidi="ar"/>
        </w:rPr>
        <w:t>提出土地、财政等配套支持政策建议。</w:t>
      </w:r>
    </w:p>
    <w:p w14:paraId="15426F3E">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（具体工作内容以上级发布的最新技术标准或文件为准）</w:t>
      </w:r>
    </w:p>
    <w:p w14:paraId="43DD69F7">
      <w:pPr>
        <w:keepNext w:val="0"/>
        <w:keepLines w:val="0"/>
        <w:pageBreakBefore w:val="0"/>
        <w:widowControl/>
        <w:numPr>
          <w:ilvl w:val="0"/>
          <w:numId w:val="5"/>
        </w:numPr>
        <w:shd w:val="clear" w:color="auto" w:fill="auto"/>
        <w:kinsoku/>
        <w:wordWrap/>
        <w:overflowPunct/>
        <w:topLinePunct w:val="0"/>
        <w:autoSpaceDE/>
        <w:autoSpaceDN/>
        <w:bidi w:val="0"/>
        <w:adjustRightInd/>
        <w:spacing w:before="0" w:after="0" w:line="440" w:lineRule="exact"/>
        <w:ind w:left="0" w:leftChars="0" w:right="0" w:firstLine="0" w:firstLineChars="0"/>
        <w:jc w:val="both"/>
        <w:textAlignment w:val="auto"/>
        <w:rPr>
          <w:rFonts w:hint="eastAsia" w:ascii="宋体" w:hAnsi="宋体" w:eastAsia="宋体" w:cs="宋体"/>
          <w:b/>
          <w:bCs/>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商务要求</w:t>
      </w:r>
    </w:p>
    <w:p w14:paraId="03B9BF70">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right="0" w:rightChars="0"/>
        <w:jc w:val="left"/>
        <w:textAlignment w:val="auto"/>
        <w:rPr>
          <w:rFonts w:hint="eastAsia" w:ascii="宋体" w:hAnsi="宋体" w:eastAsia="宋体" w:cs="宋体"/>
          <w:color w:val="000000"/>
          <w:spacing w:val="0"/>
          <w:w w:val="100"/>
          <w:kern w:val="2"/>
          <w:position w:val="0"/>
          <w:sz w:val="21"/>
          <w:szCs w:val="21"/>
          <w:shd w:val="clear" w:color="auto" w:fill="auto"/>
          <w:lang w:val="zh-CN"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（一）</w:t>
      </w:r>
      <w:r>
        <w:rPr>
          <w:rFonts w:hint="eastAsia" w:ascii="宋体" w:hAnsi="宋体" w:eastAsia="宋体" w:cs="宋体"/>
          <w:color w:val="000000"/>
          <w:spacing w:val="0"/>
          <w:w w:val="100"/>
          <w:kern w:val="2"/>
          <w:position w:val="0"/>
          <w:sz w:val="21"/>
          <w:szCs w:val="21"/>
          <w:shd w:val="clear" w:color="auto" w:fill="auto"/>
          <w:lang w:val="zh-CN"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实施</w:t>
      </w:r>
      <w:r>
        <w:rPr>
          <w:rFonts w:hint="eastAsia" w:ascii="宋体" w:hAnsi="宋体" w:eastAsia="宋体" w:cs="宋体"/>
          <w:color w:val="000000"/>
          <w:spacing w:val="0"/>
          <w:w w:val="100"/>
          <w:kern w:val="2"/>
          <w:position w:val="0"/>
          <w:sz w:val="21"/>
          <w:szCs w:val="21"/>
          <w:shd w:val="clear" w:color="auto" w:fill="auto"/>
          <w:lang w:val="zh-CN" w:eastAsia="zh-CN" w:bidi="ar-SA"/>
        </w:rPr>
        <w:t>地点：</w:t>
      </w:r>
      <w:r>
        <w:rPr>
          <w:rFonts w:hint="eastAsia" w:ascii="宋体" w:hAnsi="宋体" w:eastAsia="宋体" w:cs="宋体"/>
          <w:color w:val="000000"/>
          <w:spacing w:val="0"/>
          <w:w w:val="100"/>
          <w:kern w:val="2"/>
          <w:position w:val="0"/>
          <w:sz w:val="21"/>
          <w:szCs w:val="21"/>
          <w:shd w:val="clear" w:color="auto" w:fill="auto"/>
          <w:lang w:val="en-US" w:eastAsia="zh-CN" w:bidi="ar-SA"/>
        </w:rPr>
        <w:t>采购人指定地点</w:t>
      </w:r>
      <w:r>
        <w:rPr>
          <w:rFonts w:hint="eastAsia" w:ascii="宋体" w:hAnsi="宋体" w:eastAsia="宋体" w:cs="宋体"/>
          <w:color w:val="000000"/>
          <w:spacing w:val="0"/>
          <w:w w:val="100"/>
          <w:kern w:val="2"/>
          <w:position w:val="0"/>
          <w:sz w:val="21"/>
          <w:szCs w:val="21"/>
          <w:shd w:val="clear" w:color="auto" w:fill="auto"/>
          <w:lang w:val="zh-CN" w:eastAsia="zh-CN" w:bidi="ar-SA"/>
        </w:rPr>
        <w:t>。</w:t>
      </w:r>
    </w:p>
    <w:p w14:paraId="0A36EF04">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right="0" w:rightChars="0"/>
        <w:jc w:val="left"/>
        <w:textAlignment w:val="auto"/>
        <w:rPr>
          <w:rFonts w:hint="eastAsia" w:ascii="宋体" w:hAnsi="宋体" w:eastAsia="宋体" w:cs="宋体"/>
          <w:color w:val="000000"/>
          <w:spacing w:val="0"/>
          <w:w w:val="100"/>
          <w:kern w:val="2"/>
          <w:position w:val="0"/>
          <w:sz w:val="21"/>
          <w:szCs w:val="21"/>
          <w:highlight w:val="none"/>
          <w:shd w:val="clear" w:color="auto" w:fill="auto"/>
          <w:lang w:val="en-US"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（二）服务期限：120日历天完成所有成果的提交。</w:t>
      </w:r>
    </w:p>
    <w:p w14:paraId="3D0C059D">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（三）成果交付要求：</w:t>
      </w:r>
    </w:p>
    <w:p w14:paraId="13F1869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val="0"/>
          <w:bCs/>
          <w:color w:val="000000"/>
          <w:spacing w:val="0"/>
          <w:w w:val="100"/>
          <w:kern w:val="0"/>
          <w:position w:val="0"/>
          <w:sz w:val="21"/>
          <w:szCs w:val="21"/>
          <w:shd w:val="clear" w:color="auto" w:fill="auto"/>
          <w:lang w:val="en-US" w:eastAsia="zh-CN" w:bidi="ar"/>
        </w:rPr>
        <w:t>（1）</w:t>
      </w:r>
      <w:r>
        <w:rPr>
          <w:rFonts w:hint="eastAsia" w:ascii="宋体" w:hAnsi="宋体" w:eastAsia="宋体" w:cs="宋体"/>
          <w:b w:val="0"/>
          <w:bCs/>
          <w:color w:val="000000"/>
          <w:spacing w:val="0"/>
          <w:w w:val="100"/>
          <w:kern w:val="0"/>
          <w:position w:val="0"/>
          <w:sz w:val="21"/>
          <w:szCs w:val="21"/>
          <w:shd w:val="clear" w:color="auto" w:fill="auto"/>
          <w:lang w:eastAsia="zh-CN" w:bidi="ar"/>
        </w:rPr>
        <w:t>城市体检专项规划的成果要求：</w:t>
      </w:r>
      <w:r>
        <w:rPr>
          <w:rFonts w:hint="eastAsia" w:ascii="宋体" w:hAnsi="宋体" w:eastAsia="宋体" w:cs="宋体"/>
          <w:color w:val="000000"/>
          <w:spacing w:val="0"/>
          <w:w w:val="100"/>
          <w:kern w:val="0"/>
          <w:position w:val="0"/>
          <w:sz w:val="21"/>
          <w:szCs w:val="21"/>
          <w:shd w:val="clear" w:color="auto" w:fill="auto"/>
          <w:lang w:eastAsia="zh-CN" w:bidi="ar"/>
        </w:rPr>
        <w:t>县城体检Word成果报告，由文本、图纸和附件等三部分组成。</w:t>
      </w:r>
    </w:p>
    <w:p w14:paraId="7D8FFEE2">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各部分内容要求如下：</w:t>
      </w:r>
    </w:p>
    <w:p w14:paraId="1A9B960F">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1）</w:t>
      </w:r>
      <w:r>
        <w:rPr>
          <w:rFonts w:hint="eastAsia" w:ascii="宋体" w:hAnsi="宋体" w:eastAsia="宋体" w:cs="宋体"/>
          <w:color w:val="000000"/>
          <w:spacing w:val="0"/>
          <w:w w:val="100"/>
          <w:kern w:val="0"/>
          <w:position w:val="0"/>
          <w:sz w:val="21"/>
          <w:szCs w:val="21"/>
          <w:shd w:val="clear" w:color="auto" w:fill="auto"/>
          <w:lang w:eastAsia="zh-CN" w:bidi="ar"/>
        </w:rPr>
        <w:t>文本内容应包括县城体检工作概述、指标体系构建情况、住房-小区（社区）-街区-县城维度的指标分析诊断与综合评价、居民问卷调查、问题清单、整治建议清单、项目建议清单、治理对策与行动建议等内容，须有数据支撑，问题描述具体量化。</w:t>
      </w:r>
    </w:p>
    <w:p w14:paraId="7AC073CB">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2）</w:t>
      </w:r>
      <w:r>
        <w:rPr>
          <w:rFonts w:hint="eastAsia" w:ascii="宋体" w:hAnsi="宋体" w:eastAsia="宋体" w:cs="宋体"/>
          <w:color w:val="000000"/>
          <w:spacing w:val="0"/>
          <w:w w:val="100"/>
          <w:kern w:val="0"/>
          <w:position w:val="0"/>
          <w:sz w:val="21"/>
          <w:szCs w:val="21"/>
          <w:shd w:val="clear" w:color="auto" w:fill="auto"/>
          <w:lang w:eastAsia="zh-CN" w:bidi="ar"/>
        </w:rPr>
        <w:t>图纸应包括涉及体检指标要求的相关图纸。</w:t>
      </w:r>
    </w:p>
    <w:p w14:paraId="300208DB">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3）</w:t>
      </w:r>
      <w:r>
        <w:rPr>
          <w:rFonts w:hint="eastAsia" w:ascii="宋体" w:hAnsi="宋体" w:eastAsia="宋体" w:cs="宋体"/>
          <w:color w:val="000000"/>
          <w:spacing w:val="0"/>
          <w:w w:val="100"/>
          <w:kern w:val="0"/>
          <w:position w:val="0"/>
          <w:sz w:val="21"/>
          <w:szCs w:val="21"/>
          <w:shd w:val="clear" w:color="auto" w:fill="auto"/>
          <w:lang w:eastAsia="zh-CN" w:bidi="ar"/>
        </w:rPr>
        <w:t>附件应包括指标调查表、住房、小区（社区）、街区维度问题台账、问题清单、整治建议清单等内容。</w:t>
      </w:r>
      <w:bookmarkStart w:id="88" w:name="OLE_LINK11"/>
      <w:r>
        <w:rPr>
          <w:rFonts w:hint="eastAsia" w:ascii="宋体" w:hAnsi="宋体" w:eastAsia="宋体" w:cs="宋体"/>
          <w:color w:val="000000"/>
          <w:spacing w:val="0"/>
          <w:w w:val="100"/>
          <w:kern w:val="0"/>
          <w:position w:val="0"/>
          <w:sz w:val="21"/>
          <w:szCs w:val="21"/>
          <w:shd w:val="clear" w:color="auto" w:fill="auto"/>
          <w:lang w:eastAsia="zh-CN" w:bidi="ar"/>
        </w:rPr>
        <w:t>（具体成果要求以上级发布的最新技术标准或文件为准）</w:t>
      </w:r>
      <w:bookmarkEnd w:id="88"/>
    </w:p>
    <w:p w14:paraId="1548F11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val="0"/>
          <w:bCs/>
          <w:color w:val="000000"/>
          <w:spacing w:val="0"/>
          <w:w w:val="100"/>
          <w:kern w:val="0"/>
          <w:position w:val="0"/>
          <w:sz w:val="21"/>
          <w:szCs w:val="21"/>
          <w:shd w:val="clear" w:color="auto" w:fill="auto"/>
          <w:lang w:val="en-US" w:eastAsia="zh-CN" w:bidi="ar"/>
        </w:rPr>
        <w:t>（2）</w:t>
      </w:r>
      <w:r>
        <w:rPr>
          <w:rFonts w:hint="eastAsia" w:ascii="宋体" w:hAnsi="宋体" w:eastAsia="宋体" w:cs="宋体"/>
          <w:b w:val="0"/>
          <w:bCs/>
          <w:color w:val="000000"/>
          <w:spacing w:val="0"/>
          <w:w w:val="100"/>
          <w:kern w:val="0"/>
          <w:position w:val="0"/>
          <w:sz w:val="21"/>
          <w:szCs w:val="21"/>
          <w:shd w:val="clear" w:color="auto" w:fill="auto"/>
          <w:lang w:eastAsia="zh-CN" w:bidi="ar"/>
        </w:rPr>
        <w:t>城市更新专项规划的成果要求：</w:t>
      </w:r>
      <w:r>
        <w:rPr>
          <w:rFonts w:hint="eastAsia" w:ascii="宋体" w:hAnsi="宋体" w:eastAsia="宋体" w:cs="宋体"/>
          <w:color w:val="000000"/>
          <w:spacing w:val="0"/>
          <w:w w:val="100"/>
          <w:kern w:val="0"/>
          <w:position w:val="0"/>
          <w:sz w:val="21"/>
          <w:szCs w:val="21"/>
          <w:shd w:val="clear" w:color="auto" w:fill="auto"/>
          <w:lang w:eastAsia="zh-CN" w:bidi="ar"/>
        </w:rPr>
        <w:t>城市更新专项规划成果由规划文本、规划图表、其他支撑材料三部分组成。</w:t>
      </w:r>
    </w:p>
    <w:p w14:paraId="5973BCB8">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各部分成果的具体要求如下：</w:t>
      </w:r>
    </w:p>
    <w:p w14:paraId="59E92F01">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1）</w:t>
      </w:r>
      <w:r>
        <w:rPr>
          <w:rFonts w:hint="eastAsia" w:ascii="宋体" w:hAnsi="宋体" w:eastAsia="宋体" w:cs="宋体"/>
          <w:color w:val="000000"/>
          <w:spacing w:val="0"/>
          <w:w w:val="100"/>
          <w:kern w:val="0"/>
          <w:position w:val="0"/>
          <w:sz w:val="21"/>
          <w:szCs w:val="21"/>
          <w:shd w:val="clear" w:color="auto" w:fill="auto"/>
          <w:lang w:eastAsia="zh-CN" w:bidi="ar"/>
        </w:rPr>
        <w:t>城市更新专项规划文本应包括总则、问题分析与更新对象识别、规划目标、重点任务与策略、城市设计引导、片区指引、项目库、保障措施八部分。</w:t>
      </w:r>
    </w:p>
    <w:p w14:paraId="69EADF0F">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2）</w:t>
      </w:r>
      <w:r>
        <w:rPr>
          <w:rFonts w:hint="eastAsia" w:ascii="宋体" w:hAnsi="宋体" w:eastAsia="宋体" w:cs="宋体"/>
          <w:color w:val="000000"/>
          <w:spacing w:val="0"/>
          <w:w w:val="100"/>
          <w:kern w:val="0"/>
          <w:position w:val="0"/>
          <w:sz w:val="21"/>
          <w:szCs w:val="21"/>
          <w:shd w:val="clear" w:color="auto" w:fill="auto"/>
          <w:lang w:eastAsia="zh-CN" w:bidi="ar"/>
        </w:rPr>
        <w:t>规划图表是规划文本的空间化、可视化表达，需与文本内容一一对应，应包括更新对象分布图、更新任务规划图、城市设计引导图、更新片区划分图、更新片区引导图、更新项目实施计划表等。电子数据成果的文本正文采用 word 格式或 pdf格式。图则采用jpg格式，图纸比例宜采用1:2000-1:10000，图纸目录和表达内容可根据需要拆分与增减。</w:t>
      </w:r>
    </w:p>
    <w:p w14:paraId="606D93CB">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r>
        <w:rPr>
          <w:rFonts w:hint="eastAsia" w:ascii="宋体" w:hAnsi="宋体" w:eastAsia="宋体" w:cs="宋体"/>
          <w:color w:val="000000"/>
          <w:spacing w:val="0"/>
          <w:w w:val="100"/>
          <w:kern w:val="0"/>
          <w:position w:val="0"/>
          <w:sz w:val="21"/>
          <w:szCs w:val="21"/>
          <w:shd w:val="clear" w:color="auto" w:fill="auto"/>
          <w:lang w:val="en-US" w:eastAsia="zh-CN" w:bidi="ar"/>
        </w:rPr>
        <w:t>3）</w:t>
      </w:r>
      <w:r>
        <w:rPr>
          <w:rFonts w:hint="eastAsia" w:ascii="宋体" w:hAnsi="宋体" w:eastAsia="宋体" w:cs="宋体"/>
          <w:color w:val="000000"/>
          <w:spacing w:val="0"/>
          <w:w w:val="100"/>
          <w:kern w:val="0"/>
          <w:position w:val="0"/>
          <w:sz w:val="21"/>
          <w:szCs w:val="21"/>
          <w:shd w:val="clear" w:color="auto" w:fill="auto"/>
          <w:lang w:eastAsia="zh-CN" w:bidi="ar"/>
        </w:rPr>
        <w:t>其他支撑材料包括城市设计相关成果、专题研究、会议纪要部门意见、专家论证意见等。（具体成果要求以上级发布的最新技术标准或文件为准）</w:t>
      </w:r>
    </w:p>
    <w:p w14:paraId="4F69604B">
      <w:pPr>
        <w:keepNext w:val="0"/>
        <w:keepLines w:val="0"/>
        <w:pageBreakBefore w:val="0"/>
        <w:shd w:val="clear" w:color="auto" w:fill="auto"/>
        <w:kinsoku/>
        <w:wordWrap/>
        <w:overflowPunct/>
        <w:topLinePunct w:val="0"/>
        <w:autoSpaceDE/>
        <w:autoSpaceDN/>
        <w:bidi w:val="0"/>
        <w:adjustRightInd/>
        <w:spacing w:before="0" w:after="0" w:line="440" w:lineRule="exact"/>
        <w:ind w:left="0" w:right="0" w:firstLine="0"/>
        <w:jc w:val="left"/>
        <w:textAlignment w:val="auto"/>
        <w:rPr>
          <w:rFonts w:hint="eastAsia" w:ascii="Times New Roman" w:hAnsi="Times New Roman" w:eastAsia="Times New Roman" w:cs="Times New Roman"/>
          <w:color w:val="000000"/>
          <w:spacing w:val="0"/>
          <w:w w:val="100"/>
          <w:kern w:val="0"/>
          <w:position w:val="0"/>
          <w:sz w:val="24"/>
          <w:highlight w:val="none"/>
          <w:shd w:val="clear" w:color="auto" w:fill="auto"/>
          <w:lang w:eastAsia="zh-CN" w:bidi="en-US"/>
        </w:rPr>
      </w:pPr>
      <w:r>
        <w:rPr>
          <w:rFonts w:hint="eastAsia" w:ascii="宋体" w:hAnsi="宋体" w:eastAsia="宋体" w:cs="宋体"/>
          <w:b/>
          <w:bCs/>
          <w:color w:val="000000"/>
          <w:spacing w:val="0"/>
          <w:w w:val="100"/>
          <w:kern w:val="2"/>
          <w:position w:val="0"/>
          <w:sz w:val="21"/>
          <w:szCs w:val="21"/>
          <w:highlight w:val="none"/>
          <w:shd w:val="clear" w:color="auto" w:fill="auto"/>
          <w:lang w:val="en-US" w:eastAsia="zh-CN" w:bidi="ar-SA"/>
        </w:rPr>
        <w:t>（四）</w:t>
      </w:r>
      <w:r>
        <w:rPr>
          <w:rFonts w:hint="eastAsia" w:ascii="宋体" w:hAnsi="宋体" w:eastAsia="宋体" w:cs="宋体"/>
          <w:b/>
          <w:bCs/>
          <w:color w:val="000000"/>
          <w:spacing w:val="0"/>
          <w:w w:val="100"/>
          <w:kern w:val="2"/>
          <w:position w:val="0"/>
          <w:sz w:val="21"/>
          <w:szCs w:val="21"/>
          <w:highlight w:val="none"/>
          <w:shd w:val="clear" w:color="auto" w:fill="auto"/>
          <w:lang w:eastAsia="zh-CN" w:bidi="ar-SA"/>
        </w:rPr>
        <w:t>合同价款支付方式</w:t>
      </w:r>
      <w:r>
        <w:rPr>
          <w:rFonts w:hint="eastAsia" w:ascii="宋体" w:hAnsi="宋体" w:eastAsia="宋体" w:cs="宋体"/>
          <w:color w:val="000000"/>
          <w:spacing w:val="0"/>
          <w:w w:val="100"/>
          <w:kern w:val="2"/>
          <w:position w:val="0"/>
          <w:sz w:val="21"/>
          <w:szCs w:val="21"/>
          <w:highlight w:val="none"/>
          <w:shd w:val="clear" w:color="auto" w:fill="auto"/>
          <w:lang w:eastAsia="zh-CN" w:bidi="ar-SA"/>
        </w:rPr>
        <w:t>：县城体检成果通过华容县住房和城乡建设局组织的专家和部门审查，采购人支付合同金额的30%；城市更新专项规划成果通过县级审查，采购人支付合同金额的</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5</w:t>
      </w:r>
      <w:r>
        <w:rPr>
          <w:rFonts w:hint="eastAsia" w:ascii="宋体" w:hAnsi="宋体" w:eastAsia="宋体" w:cs="宋体"/>
          <w:color w:val="000000"/>
          <w:spacing w:val="0"/>
          <w:w w:val="100"/>
          <w:kern w:val="2"/>
          <w:position w:val="0"/>
          <w:sz w:val="21"/>
          <w:szCs w:val="21"/>
          <w:highlight w:val="none"/>
          <w:shd w:val="clear" w:color="auto" w:fill="auto"/>
          <w:lang w:eastAsia="zh-CN" w:bidi="ar-SA"/>
        </w:rPr>
        <w:t>0%；供应商交付最终成果，采购人支付合同金额的</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2</w:t>
      </w:r>
      <w:r>
        <w:rPr>
          <w:rFonts w:hint="eastAsia" w:ascii="宋体" w:hAnsi="宋体" w:eastAsia="宋体" w:cs="宋体"/>
          <w:color w:val="000000"/>
          <w:spacing w:val="0"/>
          <w:w w:val="100"/>
          <w:kern w:val="2"/>
          <w:position w:val="0"/>
          <w:sz w:val="21"/>
          <w:szCs w:val="21"/>
          <w:highlight w:val="none"/>
          <w:shd w:val="clear" w:color="auto" w:fill="auto"/>
          <w:lang w:eastAsia="zh-CN" w:bidi="ar-SA"/>
        </w:rPr>
        <w:t>0%。（每次付款前，成交供应商向采购人开具合法有效的增值税</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发</w:t>
      </w:r>
      <w:r>
        <w:rPr>
          <w:rFonts w:hint="eastAsia" w:ascii="宋体" w:hAnsi="宋体" w:eastAsia="宋体" w:cs="宋体"/>
          <w:color w:val="000000"/>
          <w:spacing w:val="0"/>
          <w:w w:val="100"/>
          <w:kern w:val="2"/>
          <w:position w:val="0"/>
          <w:sz w:val="21"/>
          <w:szCs w:val="21"/>
          <w:highlight w:val="none"/>
          <w:shd w:val="clear" w:color="auto" w:fill="auto"/>
          <w:lang w:eastAsia="zh-CN" w:bidi="ar-SA"/>
        </w:rPr>
        <w:t>票。）</w:t>
      </w:r>
    </w:p>
    <w:p w14:paraId="20E2C60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bCs/>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0"/>
          <w:w w:val="100"/>
          <w:kern w:val="2"/>
          <w:position w:val="0"/>
          <w:sz w:val="21"/>
          <w:szCs w:val="21"/>
          <w:shd w:val="clear" w:color="auto" w:fill="auto"/>
          <w:lang w:eastAsia="zh-CN" w:bidi="ar-SA"/>
        </w:rPr>
        <w:t>六、其他要求：</w:t>
      </w:r>
    </w:p>
    <w:p w14:paraId="0636C5E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一</w:t>
      </w:r>
      <w:r>
        <w:rPr>
          <w:rFonts w:hint="eastAsia" w:ascii="宋体" w:hAnsi="宋体" w:eastAsia="宋体" w:cs="宋体"/>
          <w:b w:val="0"/>
          <w:bCs w:val="0"/>
          <w:color w:val="000000"/>
          <w:spacing w:val="0"/>
          <w:w w:val="100"/>
          <w:kern w:val="2"/>
          <w:position w:val="0"/>
          <w:sz w:val="21"/>
          <w:szCs w:val="21"/>
          <w:shd w:val="clear" w:color="auto" w:fill="auto"/>
          <w:lang w:eastAsia="zh-CN" w:bidi="ar-SA"/>
        </w:rPr>
        <w:t>）本项目不组织集中踏勘，供应商自行与采购人联系踏勘事</w:t>
      </w:r>
      <w:r>
        <w:rPr>
          <w:rFonts w:hint="eastAsia" w:ascii="宋体" w:hAnsi="宋体" w:eastAsia="宋体" w:cs="宋体"/>
          <w:color w:val="000000"/>
          <w:spacing w:val="0"/>
          <w:w w:val="100"/>
          <w:kern w:val="2"/>
          <w:position w:val="0"/>
          <w:sz w:val="21"/>
          <w:szCs w:val="21"/>
          <w:shd w:val="clear" w:color="auto" w:fill="auto"/>
          <w:lang w:eastAsia="zh-CN" w:bidi="ar-SA"/>
        </w:rPr>
        <w:t xml:space="preserve">宜。 </w:t>
      </w:r>
      <w:r>
        <w:rPr>
          <w:rFonts w:hint="eastAsia" w:ascii="宋体" w:hAnsi="宋体" w:eastAsia="宋体" w:cs="宋体"/>
          <w:color w:val="000000"/>
          <w:spacing w:val="1"/>
          <w:w w:val="100"/>
          <w:kern w:val="2"/>
          <w:position w:val="0"/>
          <w:sz w:val="21"/>
          <w:szCs w:val="21"/>
          <w:shd w:val="clear" w:color="auto" w:fill="auto"/>
          <w:lang w:eastAsia="zh-CN" w:bidi="ar-SA"/>
        </w:rPr>
        <w:t>自行承担踏勘中有可能发生的人员伤亡事故和财产损失的后果。现场</w:t>
      </w:r>
      <w:r>
        <w:rPr>
          <w:rFonts w:hint="eastAsia" w:ascii="宋体" w:hAnsi="宋体" w:eastAsia="宋体" w:cs="宋体"/>
          <w:color w:val="000000"/>
          <w:spacing w:val="0"/>
          <w:w w:val="100"/>
          <w:kern w:val="2"/>
          <w:position w:val="0"/>
          <w:sz w:val="21"/>
          <w:szCs w:val="21"/>
          <w:shd w:val="clear" w:color="auto" w:fill="auto"/>
          <w:lang w:eastAsia="zh-CN" w:bidi="ar-SA"/>
        </w:rPr>
        <w:t>踏勘中获取</w:t>
      </w:r>
      <w:r>
        <w:rPr>
          <w:rFonts w:hint="eastAsia" w:ascii="宋体" w:hAnsi="宋体" w:eastAsia="宋体" w:cs="宋体"/>
          <w:color w:val="000000"/>
          <w:spacing w:val="1"/>
          <w:w w:val="100"/>
          <w:kern w:val="2"/>
          <w:position w:val="0"/>
          <w:sz w:val="21"/>
          <w:szCs w:val="21"/>
          <w:shd w:val="clear" w:color="auto" w:fill="auto"/>
          <w:lang w:eastAsia="zh-CN" w:bidi="ar-SA"/>
        </w:rPr>
        <w:t>的资料和数据可作为编制响应文件时使用，采购人不对使用上述资料和数据所</w:t>
      </w:r>
      <w:r>
        <w:rPr>
          <w:rFonts w:hint="eastAsia" w:ascii="宋体" w:hAnsi="宋体" w:eastAsia="宋体" w:cs="宋体"/>
          <w:color w:val="000000"/>
          <w:spacing w:val="0"/>
          <w:w w:val="100"/>
          <w:kern w:val="2"/>
          <w:position w:val="0"/>
          <w:sz w:val="21"/>
          <w:szCs w:val="21"/>
          <w:shd w:val="clear" w:color="auto" w:fill="auto"/>
          <w:lang w:eastAsia="zh-CN" w:bidi="ar-SA"/>
        </w:rPr>
        <w:t>作</w:t>
      </w:r>
      <w:r>
        <w:rPr>
          <w:rFonts w:hint="eastAsia" w:ascii="宋体" w:hAnsi="宋体" w:eastAsia="宋体" w:cs="宋体"/>
          <w:color w:val="000000"/>
          <w:spacing w:val="-2"/>
          <w:w w:val="100"/>
          <w:kern w:val="2"/>
          <w:position w:val="0"/>
          <w:sz w:val="21"/>
          <w:szCs w:val="21"/>
          <w:shd w:val="clear" w:color="auto" w:fill="auto"/>
          <w:lang w:eastAsia="zh-CN" w:bidi="ar-SA"/>
        </w:rPr>
        <w:t>的分析判断和结论负责。供应商现场踏勘的一切费用自理。</w:t>
      </w:r>
    </w:p>
    <w:p w14:paraId="09E11430">
      <w:pPr>
        <w:keepNext/>
        <w:keepLines/>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0"/>
        <w:jc w:val="both"/>
        <w:textAlignment w:val="auto"/>
        <w:outlineLvl w:val="1"/>
        <w:rPr>
          <w:rFonts w:hint="eastAsia" w:ascii="宋体" w:hAnsi="宋体" w:eastAsia="宋体" w:cs="宋体"/>
          <w:b/>
          <w:bCs/>
          <w:color w:val="000000"/>
          <w:spacing w:val="-2"/>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1"/>
          <w:w w:val="100"/>
          <w:kern w:val="2"/>
          <w:position w:val="0"/>
          <w:sz w:val="21"/>
          <w:szCs w:val="21"/>
          <w:shd w:val="clear" w:color="auto" w:fill="auto"/>
          <w:lang w:val="en-US" w:eastAsia="zh-CN" w:bidi="ar-SA"/>
        </w:rPr>
        <w:t>（二）成交供应商负责其派出的技术人员</w:t>
      </w:r>
      <w:r>
        <w:rPr>
          <w:rFonts w:hint="eastAsia" w:ascii="宋体" w:hAnsi="宋体" w:eastAsia="宋体" w:cs="宋体"/>
          <w:b w:val="0"/>
          <w:bCs w:val="0"/>
          <w:color w:val="000000"/>
          <w:spacing w:val="-2"/>
          <w:w w:val="100"/>
          <w:kern w:val="2"/>
          <w:position w:val="0"/>
          <w:sz w:val="21"/>
          <w:szCs w:val="21"/>
          <w:shd w:val="clear" w:color="auto" w:fill="auto"/>
          <w:lang w:val="en-US" w:eastAsia="zh-CN" w:bidi="ar-SA"/>
        </w:rPr>
        <w:t>的人身意外保险和工伤保险</w:t>
      </w:r>
      <w:r>
        <w:rPr>
          <w:rFonts w:hint="eastAsia" w:ascii="宋体" w:hAnsi="宋体" w:eastAsia="宋体" w:cs="宋体"/>
          <w:b/>
          <w:bCs/>
          <w:color w:val="000000"/>
          <w:spacing w:val="-2"/>
          <w:w w:val="100"/>
          <w:kern w:val="2"/>
          <w:position w:val="0"/>
          <w:sz w:val="21"/>
          <w:szCs w:val="21"/>
          <w:shd w:val="clear" w:color="auto" w:fill="auto"/>
          <w:lang w:val="en-US" w:eastAsia="zh-CN" w:bidi="ar-SA"/>
        </w:rPr>
        <w:t>。</w:t>
      </w:r>
    </w:p>
    <w:p w14:paraId="14373C63">
      <w:pPr>
        <w:keepNext w:val="0"/>
        <w:keepLines w:val="0"/>
        <w:pageBreakBefore w:val="0"/>
        <w:widowControl w:val="0"/>
        <w:shd w:val="clear" w:color="auto" w:fill="auto"/>
        <w:kinsoku/>
        <w:wordWrap/>
        <w:overflowPunct/>
        <w:topLinePunct w:val="0"/>
        <w:autoSpaceDE/>
        <w:autoSpaceDN/>
        <w:bidi w:val="0"/>
        <w:adjustRightInd/>
        <w:spacing w:before="0" w:after="0" w:line="440" w:lineRule="exact"/>
        <w:ind w:left="0" w:leftChars="0" w:right="0" w:firstLine="0" w:firstLineChars="0"/>
        <w:jc w:val="left"/>
        <w:textAlignment w:val="auto"/>
        <w:rPr>
          <w:rFonts w:hint="eastAsia" w:ascii="Times New Roman" w:hAnsi="Times New Roman" w:eastAsia="Times New Roman" w:cs="Times New Roman"/>
          <w:b/>
          <w:bCs/>
          <w:color w:val="000000"/>
          <w:spacing w:val="0"/>
          <w:w w:val="100"/>
          <w:kern w:val="0"/>
          <w:position w:val="0"/>
          <w:sz w:val="24"/>
          <w:szCs w:val="20"/>
          <w:shd w:val="clear" w:color="auto" w:fill="auto"/>
          <w:lang w:val="en-US" w:eastAsia="zh-CN" w:bidi="en-US"/>
        </w:rPr>
      </w:pPr>
      <w:r>
        <w:rPr>
          <w:rFonts w:hint="eastAsia" w:ascii="Times New Roman" w:hAnsi="Times New Roman" w:eastAsia="Times New Roman" w:cs="Times New Roman"/>
          <w:color w:val="000000"/>
          <w:spacing w:val="0"/>
          <w:w w:val="100"/>
          <w:kern w:val="0"/>
          <w:position w:val="0"/>
          <w:sz w:val="24"/>
          <w:szCs w:val="20"/>
          <w:shd w:val="clear" w:color="auto" w:fill="auto"/>
          <w:lang w:val="en-US" w:eastAsia="zh-CN" w:bidi="en-US"/>
        </w:rPr>
        <w:t>（三）</w:t>
      </w:r>
      <w:r>
        <w:rPr>
          <w:rFonts w:hint="eastAsia" w:ascii="宋体" w:hAnsi="宋体" w:eastAsia="宋体" w:cs="宋体"/>
          <w:color w:val="000000"/>
          <w:spacing w:val="0"/>
          <w:w w:val="100"/>
          <w:kern w:val="2"/>
          <w:position w:val="0"/>
          <w:sz w:val="21"/>
          <w:szCs w:val="21"/>
          <w:shd w:val="clear" w:color="auto" w:fill="auto"/>
          <w:lang w:val="zh-CN" w:eastAsia="zh-CN" w:bidi="ar-SA"/>
        </w:rPr>
        <w:t>未尽事项：双方在合同中书面约定。</w:t>
      </w:r>
    </w:p>
    <w:p w14:paraId="06F8AE7C">
      <w:pPr>
        <w:keepNext/>
        <w:keepLines/>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0"/>
        <w:jc w:val="both"/>
        <w:textAlignment w:val="auto"/>
        <w:outlineLvl w:val="1"/>
        <w:rPr>
          <w:rFonts w:hint="eastAsia" w:ascii="宋体" w:hAnsi="宋体" w:eastAsia="宋体" w:cs="宋体"/>
          <w:b/>
          <w:bCs/>
          <w:color w:val="000000"/>
          <w:spacing w:val="0"/>
          <w:w w:val="100"/>
          <w:kern w:val="2"/>
          <w:position w:val="0"/>
          <w:sz w:val="21"/>
          <w:szCs w:val="21"/>
          <w:shd w:val="clear" w:color="auto" w:fill="auto"/>
          <w:lang w:val="en-US" w:eastAsia="zh-CN" w:bidi="ar-SA"/>
        </w:rPr>
      </w:pPr>
      <w:r>
        <w:rPr>
          <w:rFonts w:hint="eastAsia" w:ascii="宋体" w:hAnsi="宋体" w:eastAsia="宋体" w:cs="宋体"/>
          <w:b/>
          <w:bCs/>
          <w:color w:val="000000"/>
          <w:spacing w:val="-3"/>
          <w:w w:val="100"/>
          <w:kern w:val="2"/>
          <w:position w:val="0"/>
          <w:sz w:val="21"/>
          <w:szCs w:val="21"/>
          <w:shd w:val="clear" w:color="auto" w:fill="auto"/>
          <w:lang w:val="en-US" w:eastAsia="zh-CN" w:bidi="ar-SA"/>
        </w:rPr>
        <w:t>七、本项目需要提交的附件：无</w:t>
      </w:r>
      <w:r>
        <w:rPr>
          <w:rFonts w:hint="eastAsia" w:ascii="宋体" w:hAnsi="宋体" w:eastAsia="宋体" w:cs="宋体"/>
          <w:b/>
          <w:bCs/>
          <w:color w:val="000000"/>
          <w:spacing w:val="41"/>
          <w:w w:val="100"/>
          <w:kern w:val="2"/>
          <w:position w:val="0"/>
          <w:sz w:val="21"/>
          <w:szCs w:val="21"/>
          <w:shd w:val="clear" w:color="auto" w:fill="auto"/>
          <w:lang w:val="en-US" w:eastAsia="zh-CN" w:bidi="ar-SA"/>
        </w:rPr>
        <w:t xml:space="preserve"> </w:t>
      </w:r>
    </w:p>
    <w:p w14:paraId="7968410C">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left"/>
        <w:textAlignment w:val="auto"/>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54F2EACF">
      <w:pPr>
        <w:pStyle w:val="3"/>
        <w:pageBreakBefore w:val="0"/>
        <w:widowControl/>
        <w:kinsoku/>
        <w:wordWrap/>
        <w:overflowPunct/>
        <w:topLinePunct w:val="0"/>
        <w:autoSpaceDE/>
        <w:autoSpaceDN/>
        <w:bidi w:val="0"/>
        <w:adjustRightInd/>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pacing w:val="0"/>
          <w:sz w:val="21"/>
          <w:szCs w:val="21"/>
          <w:lang w:val="en-US" w:eastAsia="zh-CN"/>
        </w:rPr>
        <w:t xml:space="preserve"> </w:t>
      </w:r>
    </w:p>
    <w:bookmarkEnd w:id="87"/>
    <w:p w14:paraId="08CB46B0">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p w14:paraId="6099A5D9">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p w14:paraId="3051A50D">
      <w:pPr>
        <w:pStyle w:val="3"/>
        <w:pageBreakBefore w:val="0"/>
        <w:widowControl/>
        <w:kinsoku/>
        <w:wordWrap/>
        <w:overflowPunct/>
        <w:bidi w:val="0"/>
        <w:spacing w:line="360" w:lineRule="auto"/>
        <w:jc w:val="center"/>
        <w:textAlignment w:val="auto"/>
        <w:rPr>
          <w:rFonts w:hint="eastAsia" w:ascii="宋体" w:hAnsi="宋体" w:eastAsia="宋体" w:cs="宋体"/>
          <w:b/>
          <w:bCs/>
          <w:sz w:val="28"/>
          <w:szCs w:val="28"/>
        </w:rPr>
      </w:pPr>
    </w:p>
    <w:p w14:paraId="215BFBD1">
      <w:pPr>
        <w:pStyle w:val="3"/>
        <w:pageBreakBefore w:val="0"/>
        <w:widowControl/>
        <w:kinsoku/>
        <w:wordWrap/>
        <w:overflowPunct/>
        <w:bidi w:val="0"/>
        <w:spacing w:line="360" w:lineRule="auto"/>
        <w:jc w:val="both"/>
        <w:textAlignment w:val="auto"/>
        <w:rPr>
          <w:rFonts w:hint="eastAsia" w:ascii="宋体" w:hAnsi="宋体" w:eastAsia="宋体" w:cs="宋体"/>
          <w:b/>
          <w:bCs/>
          <w:sz w:val="28"/>
          <w:szCs w:val="28"/>
        </w:rPr>
      </w:pPr>
    </w:p>
    <w:p w14:paraId="663E2A9D">
      <w:pPr>
        <w:pStyle w:val="3"/>
        <w:pageBreakBefore w:val="0"/>
        <w:widowControl/>
        <w:kinsoku/>
        <w:wordWrap/>
        <w:overflowPunct/>
        <w:bidi w:val="0"/>
        <w:spacing w:line="360" w:lineRule="auto"/>
        <w:jc w:val="both"/>
        <w:textAlignment w:val="auto"/>
        <w:rPr>
          <w:rFonts w:hint="eastAsia" w:ascii="宋体" w:hAnsi="宋体" w:eastAsia="宋体" w:cs="宋体"/>
          <w:b/>
          <w:bCs/>
          <w:sz w:val="28"/>
          <w:szCs w:val="28"/>
        </w:rPr>
      </w:pPr>
    </w:p>
    <w:p w14:paraId="5C551D11">
      <w:pPr>
        <w:pStyle w:val="3"/>
        <w:pageBreakBefore w:val="0"/>
        <w:widowControl/>
        <w:kinsoku/>
        <w:wordWrap/>
        <w:overflowPunct/>
        <w:bidi w:val="0"/>
        <w:spacing w:line="360" w:lineRule="auto"/>
        <w:jc w:val="both"/>
        <w:textAlignment w:val="auto"/>
        <w:rPr>
          <w:rFonts w:hint="eastAsia" w:ascii="宋体" w:hAnsi="宋体" w:eastAsia="宋体" w:cs="宋体"/>
          <w:b/>
          <w:bCs/>
          <w:sz w:val="28"/>
          <w:szCs w:val="28"/>
        </w:rPr>
      </w:pPr>
    </w:p>
    <w:p w14:paraId="6B89BAEA">
      <w:pPr>
        <w:bidi w:val="0"/>
        <w:rPr>
          <w:rFonts w:hint="eastAsia"/>
        </w:rPr>
      </w:pPr>
    </w:p>
    <w:p w14:paraId="628F0BFB">
      <w:pPr>
        <w:bidi w:val="0"/>
        <w:rPr>
          <w:rFonts w:hint="eastAsia"/>
        </w:rPr>
      </w:pPr>
    </w:p>
    <w:p w14:paraId="14B31381">
      <w:pPr>
        <w:bidi w:val="0"/>
        <w:rPr>
          <w:rFonts w:hint="eastAsia"/>
        </w:rPr>
      </w:pPr>
    </w:p>
    <w:p w14:paraId="353238FC">
      <w:pPr>
        <w:bidi w:val="0"/>
        <w:rPr>
          <w:rFonts w:hint="eastAsia"/>
        </w:rPr>
      </w:pPr>
    </w:p>
    <w:p w14:paraId="32B1F01E">
      <w:pPr>
        <w:bidi w:val="0"/>
        <w:rPr>
          <w:rFonts w:hint="eastAsia"/>
        </w:rPr>
      </w:pPr>
    </w:p>
    <w:p w14:paraId="10209A0C">
      <w:pPr>
        <w:bidi w:val="0"/>
        <w:jc w:val="center"/>
        <w:rPr>
          <w:rFonts w:hint="eastAsia"/>
          <w:b/>
          <w:bCs/>
          <w:sz w:val="28"/>
          <w:szCs w:val="28"/>
        </w:rPr>
      </w:pPr>
      <w:r>
        <w:rPr>
          <w:rFonts w:hint="eastAsia"/>
          <w:b/>
          <w:bCs/>
          <w:sz w:val="28"/>
          <w:szCs w:val="28"/>
        </w:rPr>
        <w:t>第六章</w:t>
      </w:r>
      <w:r>
        <w:rPr>
          <w:rFonts w:hint="eastAsia"/>
          <w:b/>
          <w:bCs/>
          <w:sz w:val="28"/>
          <w:szCs w:val="28"/>
          <w:lang w:val="en-US" w:eastAsia="zh-CN"/>
        </w:rPr>
        <w:t xml:space="preserve"> </w:t>
      </w:r>
      <w:r>
        <w:rPr>
          <w:rFonts w:hint="eastAsia"/>
          <w:b/>
          <w:bCs/>
          <w:sz w:val="28"/>
          <w:szCs w:val="28"/>
        </w:rPr>
        <w:t>响应文件组成</w:t>
      </w:r>
    </w:p>
    <w:p w14:paraId="23D145BE">
      <w:pPr>
        <w:keepLines w:val="0"/>
        <w:pageBreakBefore w:val="0"/>
        <w:widowControl w:val="0"/>
        <w:kinsoku/>
        <w:wordWrap/>
        <w:overflowPunct/>
        <w:topLinePunct w:val="0"/>
        <w:autoSpaceDE/>
        <w:autoSpaceDN/>
        <w:bidi w:val="0"/>
        <w:spacing w:beforeAutospacing="0" w:afterAutospacing="0" w:line="480" w:lineRule="exact"/>
        <w:textAlignment w:val="auto"/>
        <w:rPr>
          <w:rFonts w:hint="eastAsia" w:ascii="宋体" w:hAnsi="宋体" w:eastAsia="宋体" w:cs="宋体"/>
          <w:sz w:val="21"/>
          <w:szCs w:val="21"/>
        </w:rPr>
      </w:pPr>
      <w:r>
        <w:rPr>
          <w:rFonts w:hint="eastAsia" w:ascii="宋体" w:hAnsi="宋体" w:eastAsia="宋体" w:cs="宋体"/>
          <w:sz w:val="21"/>
          <w:szCs w:val="21"/>
        </w:rPr>
        <w:t>供应商的响应文件应包含以下部分：</w:t>
      </w:r>
    </w:p>
    <w:p w14:paraId="75CF4785">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89" w:name="_Toc25383"/>
      <w:r>
        <w:rPr>
          <w:rFonts w:hint="eastAsia" w:ascii="宋体" w:hAnsi="宋体" w:eastAsia="宋体" w:cs="宋体"/>
          <w:b/>
          <w:sz w:val="21"/>
          <w:szCs w:val="21"/>
        </w:rPr>
        <w:t>一、磋商响应声明</w:t>
      </w:r>
      <w:bookmarkEnd w:id="89"/>
    </w:p>
    <w:p w14:paraId="38CA4A23">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sz w:val="21"/>
          <w:szCs w:val="21"/>
        </w:rPr>
      </w:pPr>
      <w:bookmarkStart w:id="90" w:name="_Toc32334"/>
      <w:r>
        <w:rPr>
          <w:rFonts w:hint="eastAsia" w:ascii="宋体" w:hAnsi="宋体" w:eastAsia="宋体" w:cs="宋体"/>
          <w:sz w:val="21"/>
          <w:szCs w:val="21"/>
        </w:rPr>
        <w:t>附件1-1 法定代表人身份证明</w:t>
      </w:r>
      <w:bookmarkEnd w:id="90"/>
    </w:p>
    <w:p w14:paraId="6AFC4119">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sz w:val="21"/>
          <w:szCs w:val="21"/>
        </w:rPr>
      </w:pPr>
      <w:bookmarkStart w:id="91" w:name="_Toc22133"/>
      <w:r>
        <w:rPr>
          <w:rFonts w:hint="eastAsia" w:ascii="宋体" w:hAnsi="宋体" w:eastAsia="宋体" w:cs="宋体"/>
          <w:sz w:val="21"/>
          <w:szCs w:val="21"/>
        </w:rPr>
        <w:t>附件1-2 法定代表人授权委托书</w:t>
      </w:r>
      <w:bookmarkEnd w:id="91"/>
    </w:p>
    <w:p w14:paraId="3D1607BA">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92" w:name="_Toc5338"/>
      <w:r>
        <w:rPr>
          <w:rFonts w:hint="eastAsia" w:ascii="宋体" w:hAnsi="宋体" w:eastAsia="宋体" w:cs="宋体"/>
          <w:b/>
          <w:sz w:val="21"/>
          <w:szCs w:val="21"/>
        </w:rPr>
        <w:t>二、保证金</w:t>
      </w:r>
      <w:bookmarkEnd w:id="92"/>
    </w:p>
    <w:p w14:paraId="3272B050">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sz w:val="21"/>
          <w:szCs w:val="21"/>
          <w:lang w:val="en-US" w:eastAsia="zh-CN"/>
        </w:rPr>
      </w:pPr>
      <w:bookmarkStart w:id="93" w:name="_Toc31249"/>
      <w:r>
        <w:rPr>
          <w:rFonts w:hint="eastAsia" w:ascii="宋体" w:hAnsi="宋体" w:eastAsia="宋体" w:cs="宋体"/>
          <w:sz w:val="21"/>
          <w:szCs w:val="21"/>
        </w:rPr>
        <w:t>附件2</w:t>
      </w:r>
      <w:r>
        <w:rPr>
          <w:rFonts w:hint="eastAsia" w:ascii="宋体" w:hAnsi="宋体" w:eastAsia="宋体" w:cs="宋体"/>
          <w:sz w:val="21"/>
          <w:szCs w:val="21"/>
          <w:lang w:val="en-US" w:eastAsia="zh-CN"/>
        </w:rPr>
        <w:t>-1 保函</w:t>
      </w:r>
      <w:bookmarkEnd w:id="93"/>
    </w:p>
    <w:p w14:paraId="4B9C8301">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lang w:eastAsia="zh-CN"/>
        </w:rPr>
      </w:pPr>
      <w:bookmarkStart w:id="94" w:name="_Toc19047"/>
      <w:r>
        <w:rPr>
          <w:rFonts w:hint="eastAsia" w:ascii="宋体" w:hAnsi="宋体" w:eastAsia="宋体" w:cs="宋体"/>
          <w:b/>
          <w:sz w:val="21"/>
          <w:szCs w:val="21"/>
        </w:rPr>
        <w:t>三、供应商的资格证明</w:t>
      </w:r>
      <w:r>
        <w:rPr>
          <w:rFonts w:hint="eastAsia" w:ascii="宋体" w:hAnsi="宋体" w:eastAsia="宋体" w:cs="宋体"/>
          <w:b/>
          <w:sz w:val="21"/>
          <w:szCs w:val="21"/>
          <w:lang w:eastAsia="zh-CN"/>
        </w:rPr>
        <w:t>文件</w:t>
      </w:r>
      <w:bookmarkEnd w:id="94"/>
    </w:p>
    <w:p w14:paraId="27AE388C">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jc w:val="left"/>
        <w:textAlignment w:val="auto"/>
        <w:outlineLvl w:val="0"/>
        <w:rPr>
          <w:rFonts w:hint="eastAsia" w:ascii="宋体" w:hAnsi="宋体" w:eastAsia="宋体" w:cs="宋体"/>
          <w:sz w:val="21"/>
          <w:szCs w:val="21"/>
          <w:lang w:eastAsia="zh-CN"/>
        </w:rPr>
      </w:pPr>
      <w:bookmarkStart w:id="95" w:name="_Toc30178"/>
      <w:r>
        <w:rPr>
          <w:rFonts w:hint="eastAsia" w:ascii="宋体" w:hAnsi="宋体" w:eastAsia="宋体" w:cs="宋体"/>
          <w:spacing w:val="-6"/>
          <w:sz w:val="21"/>
          <w:szCs w:val="21"/>
          <w:lang w:val="en-US" w:eastAsia="zh-CN"/>
        </w:rPr>
        <w:t xml:space="preserve">附件3-1 </w:t>
      </w:r>
      <w:r>
        <w:rPr>
          <w:rFonts w:hint="eastAsia" w:ascii="宋体" w:hAnsi="宋体" w:eastAsia="宋体" w:cs="宋体"/>
          <w:sz w:val="21"/>
          <w:szCs w:val="21"/>
          <w:lang w:eastAsia="zh-CN"/>
        </w:rPr>
        <w:t>供应商资格声明</w:t>
      </w:r>
      <w:bookmarkEnd w:id="95"/>
    </w:p>
    <w:p w14:paraId="0CD7178B">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jc w:val="left"/>
        <w:textAlignment w:val="auto"/>
        <w:outlineLvl w:val="0"/>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附件3-2 法人或者其他组织的营业执照等主体资格证明文件，自然人的身份证明</w:t>
      </w:r>
    </w:p>
    <w:p w14:paraId="622DCFDF">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eastAsia" w:ascii="宋体" w:hAnsi="宋体" w:eastAsia="宋体" w:cs="宋体"/>
          <w:sz w:val="21"/>
          <w:szCs w:val="21"/>
        </w:rPr>
      </w:pPr>
      <w:bookmarkStart w:id="96" w:name="_Toc2223"/>
      <w:r>
        <w:rPr>
          <w:rFonts w:hint="eastAsia" w:ascii="宋体" w:hAnsi="宋体" w:eastAsia="宋体" w:cs="宋体"/>
          <w:spacing w:val="-6"/>
          <w:sz w:val="21"/>
          <w:szCs w:val="21"/>
          <w:lang w:val="en-US" w:eastAsia="zh-CN"/>
        </w:rPr>
        <w:t xml:space="preserve">附件3-3 </w:t>
      </w:r>
      <w:r>
        <w:rPr>
          <w:rFonts w:hint="eastAsia" w:ascii="宋体" w:hAnsi="宋体" w:eastAsia="宋体" w:cs="宋体"/>
          <w:sz w:val="21"/>
          <w:szCs w:val="21"/>
        </w:rPr>
        <w:t>湖南省政府采购供应商资格承诺函（格式）</w:t>
      </w:r>
      <w:bookmarkEnd w:id="96"/>
    </w:p>
    <w:p w14:paraId="605490F8">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eastAsia"/>
        </w:rPr>
      </w:pPr>
      <w:r>
        <w:rPr>
          <w:rFonts w:hint="eastAsia" w:ascii="宋体" w:hAnsi="宋体" w:eastAsia="宋体" w:cs="宋体"/>
          <w:spacing w:val="-6"/>
          <w:sz w:val="21"/>
          <w:szCs w:val="21"/>
          <w:lang w:val="en-US" w:eastAsia="zh-CN"/>
        </w:rPr>
        <w:t xml:space="preserve">附件3-4 </w:t>
      </w:r>
      <w:r>
        <w:rPr>
          <w:rFonts w:hint="eastAsia" w:ascii="宋体" w:hAnsi="宋体" w:eastAsia="宋体" w:cs="宋体"/>
          <w:sz w:val="21"/>
          <w:szCs w:val="21"/>
        </w:rPr>
        <w:t>参加政府采购活动前三年内在经营活动中没有重大违法记录的书面声明</w:t>
      </w:r>
    </w:p>
    <w:p w14:paraId="1FDDD005">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eastAsia" w:ascii="宋体" w:hAnsi="宋体" w:eastAsia="宋体" w:cs="宋体"/>
          <w:sz w:val="21"/>
          <w:szCs w:val="21"/>
        </w:rPr>
      </w:pPr>
      <w:bookmarkStart w:id="97" w:name="_Toc4218"/>
      <w:r>
        <w:rPr>
          <w:rFonts w:hint="eastAsia" w:ascii="宋体" w:hAnsi="宋体" w:eastAsia="宋体" w:cs="宋体"/>
          <w:spacing w:val="-6"/>
          <w:sz w:val="21"/>
          <w:szCs w:val="21"/>
          <w:lang w:val="en-US" w:eastAsia="zh-CN"/>
        </w:rPr>
        <w:t xml:space="preserve">附件3-5 </w:t>
      </w:r>
      <w:r>
        <w:rPr>
          <w:rFonts w:hint="eastAsia" w:ascii="宋体" w:hAnsi="宋体" w:eastAsia="宋体" w:cs="宋体"/>
          <w:sz w:val="21"/>
          <w:szCs w:val="21"/>
        </w:rPr>
        <w:t>磋商文件规定的</w:t>
      </w:r>
      <w:r>
        <w:rPr>
          <w:rFonts w:hint="eastAsia" w:ascii="宋体" w:hAnsi="宋体" w:eastAsia="宋体" w:cs="宋体"/>
          <w:sz w:val="21"/>
          <w:szCs w:val="21"/>
          <w:lang w:val="en-US" w:eastAsia="zh-CN"/>
        </w:rPr>
        <w:t>特定</w:t>
      </w:r>
      <w:r>
        <w:rPr>
          <w:rFonts w:hint="eastAsia" w:ascii="宋体" w:hAnsi="宋体" w:eastAsia="宋体" w:cs="宋体"/>
          <w:sz w:val="21"/>
          <w:szCs w:val="21"/>
        </w:rPr>
        <w:t>资格条件证明资料</w:t>
      </w:r>
      <w:bookmarkEnd w:id="97"/>
    </w:p>
    <w:p w14:paraId="4AB4B3E6">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default" w:ascii="宋体" w:hAnsi="宋体" w:eastAsia="宋体" w:cs="宋体"/>
          <w:sz w:val="21"/>
          <w:szCs w:val="21"/>
          <w:lang w:val="en-US" w:eastAsia="zh-CN"/>
        </w:rPr>
      </w:pPr>
      <w:bookmarkStart w:id="98" w:name="_Toc30897"/>
      <w:r>
        <w:rPr>
          <w:rFonts w:hint="eastAsia" w:ascii="宋体" w:hAnsi="宋体" w:eastAsia="宋体" w:cs="宋体"/>
          <w:spacing w:val="-6"/>
          <w:sz w:val="21"/>
          <w:szCs w:val="21"/>
          <w:lang w:val="en-US" w:eastAsia="zh-CN"/>
        </w:rPr>
        <w:t>附件3-6</w:t>
      </w:r>
      <w:r>
        <w:rPr>
          <w:rFonts w:hint="eastAsia" w:ascii="宋体" w:hAnsi="宋体" w:eastAsia="宋体" w:cs="宋体"/>
          <w:sz w:val="21"/>
          <w:szCs w:val="21"/>
        </w:rPr>
        <w:t xml:space="preserve"> </w:t>
      </w:r>
      <w:r>
        <w:rPr>
          <w:rFonts w:hint="eastAsia" w:ascii="宋体" w:hAnsi="宋体" w:eastAsia="宋体" w:cs="宋体"/>
          <w:sz w:val="21"/>
          <w:szCs w:val="21"/>
          <w:highlight w:val="none"/>
        </w:rPr>
        <w:t>供应商</w:t>
      </w:r>
      <w:bookmarkEnd w:id="98"/>
      <w:r>
        <w:rPr>
          <w:rFonts w:hint="eastAsia" w:ascii="宋体" w:hAnsi="宋体" w:eastAsia="宋体" w:cs="宋体"/>
          <w:sz w:val="21"/>
          <w:szCs w:val="21"/>
          <w:highlight w:val="none"/>
          <w:lang w:val="en-US" w:eastAsia="zh-CN"/>
        </w:rPr>
        <w:t>基本情况表</w:t>
      </w:r>
    </w:p>
    <w:p w14:paraId="5B7F0C82">
      <w:pPr>
        <w:pStyle w:val="2"/>
        <w:keepLines w:val="0"/>
        <w:pageBreakBefore w:val="0"/>
        <w:widowControl w:val="0"/>
        <w:kinsoku/>
        <w:wordWrap/>
        <w:overflowPunct/>
        <w:topLinePunct w:val="0"/>
        <w:autoSpaceDE/>
        <w:autoSpaceDN/>
        <w:bidi w:val="0"/>
        <w:spacing w:beforeAutospacing="0" w:afterAutospacing="0" w:line="480" w:lineRule="exact"/>
        <w:ind w:firstLine="396" w:firstLineChars="200"/>
        <w:jc w:val="both"/>
        <w:textAlignment w:val="auto"/>
        <w:rPr>
          <w:rFonts w:hint="eastAsia" w:ascii="宋体" w:hAnsi="宋体" w:eastAsia="宋体" w:cs="宋体"/>
          <w:b w:val="0"/>
          <w:bCs w:val="0"/>
          <w:sz w:val="21"/>
          <w:szCs w:val="21"/>
          <w:lang w:val="en-US" w:eastAsia="zh-CN"/>
        </w:rPr>
      </w:pPr>
      <w:bookmarkStart w:id="99" w:name="_Toc16562"/>
      <w:r>
        <w:rPr>
          <w:rFonts w:hint="eastAsia" w:ascii="宋体" w:hAnsi="宋体" w:eastAsia="宋体" w:cs="宋体"/>
          <w:b w:val="0"/>
          <w:bCs/>
          <w:spacing w:val="-6"/>
          <w:sz w:val="21"/>
          <w:szCs w:val="21"/>
          <w:lang w:val="en-US" w:eastAsia="zh-CN"/>
        </w:rPr>
        <w:t>附件3-7</w:t>
      </w:r>
      <w:r>
        <w:rPr>
          <w:rFonts w:hint="eastAsia" w:ascii="宋体" w:hAnsi="宋体" w:eastAsia="宋体" w:cs="宋体"/>
          <w:spacing w:val="-6"/>
          <w:sz w:val="21"/>
          <w:szCs w:val="21"/>
          <w:lang w:val="en-US" w:eastAsia="zh-CN"/>
        </w:rPr>
        <w:t xml:space="preserve"> </w:t>
      </w:r>
      <w:r>
        <w:rPr>
          <w:rFonts w:hint="eastAsia" w:ascii="宋体" w:hAnsi="宋体" w:eastAsia="宋体" w:cs="宋体"/>
          <w:b w:val="0"/>
          <w:bCs w:val="0"/>
          <w:sz w:val="21"/>
          <w:szCs w:val="21"/>
          <w:lang w:val="en-US" w:eastAsia="zh-CN"/>
        </w:rPr>
        <w:t>本项目人员配备情况表</w:t>
      </w:r>
      <w:bookmarkEnd w:id="99"/>
    </w:p>
    <w:p w14:paraId="1B98E4E1">
      <w:pPr>
        <w:keepLines w:val="0"/>
        <w:pageBreakBefore w:val="0"/>
        <w:widowControl w:val="0"/>
        <w:kinsoku/>
        <w:wordWrap/>
        <w:overflowPunct/>
        <w:topLinePunct w:val="0"/>
        <w:autoSpaceDE/>
        <w:autoSpaceDN/>
        <w:bidi w:val="0"/>
        <w:spacing w:line="480" w:lineRule="exact"/>
        <w:ind w:firstLine="42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附件3-8联合体协议书（格式）</w:t>
      </w:r>
    </w:p>
    <w:p w14:paraId="16E43C09">
      <w:pPr>
        <w:keepLines w:val="0"/>
        <w:pageBreakBefore w:val="0"/>
        <w:widowControl w:val="0"/>
        <w:kinsoku/>
        <w:wordWrap/>
        <w:overflowPunct/>
        <w:topLinePunct w:val="0"/>
        <w:autoSpaceDE/>
        <w:autoSpaceDN/>
        <w:bidi w:val="0"/>
        <w:spacing w:line="480" w:lineRule="exact"/>
        <w:textAlignment w:val="auto"/>
        <w:rPr>
          <w:rFonts w:hint="default"/>
          <w:b/>
          <w:bCs/>
          <w:lang w:val="en-US" w:eastAsia="zh-CN"/>
        </w:rPr>
      </w:pPr>
      <w:r>
        <w:rPr>
          <w:rFonts w:hint="eastAsia" w:ascii="宋体" w:hAnsi="宋体" w:eastAsia="宋体" w:cs="宋体"/>
          <w:b/>
          <w:bCs/>
          <w:sz w:val="21"/>
          <w:szCs w:val="21"/>
          <w:lang w:val="en-US" w:eastAsia="zh-CN"/>
        </w:rPr>
        <w:t>四、项目实施方案</w:t>
      </w:r>
    </w:p>
    <w:p w14:paraId="7BBA3A3C">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0" w:name="_Toc10354"/>
      <w:r>
        <w:rPr>
          <w:rFonts w:hint="eastAsia" w:ascii="宋体" w:hAnsi="宋体" w:eastAsia="宋体" w:cs="宋体"/>
          <w:b/>
          <w:sz w:val="21"/>
          <w:szCs w:val="21"/>
          <w:lang w:val="en-US" w:eastAsia="zh-CN"/>
        </w:rPr>
        <w:t>五</w:t>
      </w:r>
      <w:r>
        <w:rPr>
          <w:rFonts w:hint="eastAsia" w:ascii="宋体" w:hAnsi="宋体" w:eastAsia="宋体" w:cs="宋体"/>
          <w:b/>
          <w:sz w:val="21"/>
          <w:szCs w:val="21"/>
        </w:rPr>
        <w:t>、技术/商务响应与偏离表</w:t>
      </w:r>
      <w:bookmarkEnd w:id="100"/>
    </w:p>
    <w:p w14:paraId="47EB63A0">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1" w:name="_Toc11484"/>
      <w:r>
        <w:rPr>
          <w:rFonts w:hint="eastAsia" w:ascii="宋体" w:hAnsi="宋体" w:eastAsia="宋体" w:cs="宋体"/>
          <w:b/>
          <w:sz w:val="21"/>
          <w:szCs w:val="21"/>
          <w:lang w:val="en-US" w:eastAsia="zh-CN"/>
        </w:rPr>
        <w:t>六</w:t>
      </w:r>
      <w:r>
        <w:rPr>
          <w:rFonts w:hint="eastAsia" w:ascii="宋体" w:hAnsi="宋体" w:eastAsia="宋体" w:cs="宋体"/>
          <w:b/>
          <w:sz w:val="21"/>
          <w:szCs w:val="21"/>
        </w:rPr>
        <w:t>、提供</w:t>
      </w:r>
      <w:r>
        <w:rPr>
          <w:rFonts w:hint="eastAsia" w:ascii="宋体" w:hAnsi="宋体" w:eastAsia="宋体" w:cs="宋体"/>
          <w:b/>
          <w:sz w:val="21"/>
          <w:szCs w:val="21"/>
          <w:lang w:val="en-US" w:eastAsia="zh-CN"/>
        </w:rPr>
        <w:t>享受</w:t>
      </w:r>
      <w:r>
        <w:rPr>
          <w:rFonts w:hint="eastAsia" w:ascii="宋体" w:hAnsi="宋体" w:eastAsia="宋体" w:cs="宋体"/>
          <w:b/>
          <w:sz w:val="21"/>
          <w:szCs w:val="21"/>
        </w:rPr>
        <w:t>政府采购政策</w:t>
      </w:r>
      <w:r>
        <w:rPr>
          <w:rFonts w:hint="eastAsia" w:ascii="宋体" w:hAnsi="宋体" w:eastAsia="宋体" w:cs="宋体"/>
          <w:b/>
          <w:sz w:val="21"/>
          <w:szCs w:val="21"/>
          <w:lang w:val="en-US" w:eastAsia="zh-CN"/>
        </w:rPr>
        <w:t>的</w:t>
      </w:r>
      <w:r>
        <w:rPr>
          <w:rFonts w:hint="eastAsia" w:ascii="宋体" w:hAnsi="宋体" w:eastAsia="宋体" w:cs="宋体"/>
          <w:b/>
          <w:sz w:val="21"/>
          <w:szCs w:val="21"/>
        </w:rPr>
        <w:t>证明材料</w:t>
      </w:r>
      <w:bookmarkEnd w:id="101"/>
    </w:p>
    <w:p w14:paraId="42E635E3">
      <w:pPr>
        <w:pStyle w:val="2"/>
        <w:keepLines w:val="0"/>
        <w:pageBreakBefore w:val="0"/>
        <w:widowControl w:val="0"/>
        <w:kinsoku/>
        <w:wordWrap/>
        <w:overflowPunct/>
        <w:topLinePunct w:val="0"/>
        <w:autoSpaceDE/>
        <w:autoSpaceDN/>
        <w:bidi w:val="0"/>
        <w:spacing w:beforeAutospacing="0" w:afterAutospacing="0" w:line="480" w:lineRule="exact"/>
        <w:ind w:firstLine="420" w:firstLineChars="200"/>
        <w:jc w:val="both"/>
        <w:textAlignment w:val="auto"/>
        <w:rPr>
          <w:rFonts w:hint="eastAsia" w:ascii="宋体" w:hAnsi="宋体" w:eastAsia="宋体" w:cs="宋体"/>
          <w:b w:val="0"/>
          <w:bCs w:val="0"/>
          <w:sz w:val="21"/>
          <w:szCs w:val="21"/>
        </w:rPr>
      </w:pPr>
      <w:bookmarkStart w:id="102" w:name="_Toc15311"/>
      <w:r>
        <w:rPr>
          <w:rFonts w:hint="eastAsia" w:ascii="宋体" w:hAnsi="宋体" w:eastAsia="宋体" w:cs="宋体"/>
          <w:b w:val="0"/>
          <w:bCs w:val="0"/>
          <w:sz w:val="21"/>
          <w:szCs w:val="21"/>
        </w:rPr>
        <w:t>附件</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-1中、小企业声明函</w:t>
      </w:r>
      <w:bookmarkEnd w:id="102"/>
    </w:p>
    <w:p w14:paraId="06CA0FFC">
      <w:pPr>
        <w:keepLines w:val="0"/>
        <w:pageBreakBefore w:val="0"/>
        <w:widowControl w:val="0"/>
        <w:kinsoku/>
        <w:wordWrap/>
        <w:overflowPunct/>
        <w:topLinePunct w:val="0"/>
        <w:autoSpaceDE/>
        <w:autoSpaceDN/>
        <w:bidi w:val="0"/>
        <w:spacing w:beforeAutospacing="0" w:afterAutospacing="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-2 残疾人福利性单位声明函</w:t>
      </w:r>
    </w:p>
    <w:p w14:paraId="0ECD915B">
      <w:pPr>
        <w:keepLines w:val="0"/>
        <w:pageBreakBefore w:val="0"/>
        <w:widowControl w:val="0"/>
        <w:kinsoku/>
        <w:wordWrap/>
        <w:overflowPunct/>
        <w:topLinePunct w:val="0"/>
        <w:autoSpaceDE/>
        <w:autoSpaceDN/>
        <w:bidi w:val="0"/>
        <w:spacing w:beforeAutospacing="0" w:afterAutospacing="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-3 监狱企业证明资料</w:t>
      </w:r>
    </w:p>
    <w:p w14:paraId="004C2042">
      <w:pPr>
        <w:keepLines w:val="0"/>
        <w:pageBreakBefore w:val="0"/>
        <w:widowControl w:val="0"/>
        <w:kinsoku/>
        <w:wordWrap/>
        <w:overflowPunct/>
        <w:topLinePunct w:val="0"/>
        <w:autoSpaceDE/>
        <w:autoSpaceDN/>
        <w:bidi w:val="0"/>
        <w:spacing w:beforeAutospacing="0" w:afterAutospacing="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-4 强制采购或者优先采购产品的证明材料</w:t>
      </w:r>
    </w:p>
    <w:p w14:paraId="183DFDE7">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3" w:name="_Toc3281"/>
      <w:r>
        <w:rPr>
          <w:rFonts w:hint="eastAsia" w:ascii="宋体" w:hAnsi="宋体" w:eastAsia="宋体" w:cs="宋体"/>
          <w:b/>
          <w:sz w:val="21"/>
          <w:szCs w:val="21"/>
          <w:lang w:val="en-US" w:eastAsia="zh-CN"/>
        </w:rPr>
        <w:t>七</w:t>
      </w:r>
      <w:r>
        <w:rPr>
          <w:rFonts w:hint="eastAsia" w:ascii="宋体" w:hAnsi="宋体" w:eastAsia="宋体" w:cs="宋体"/>
          <w:b/>
          <w:sz w:val="21"/>
          <w:szCs w:val="21"/>
        </w:rPr>
        <w:t>、报价一览表及分项价格表</w:t>
      </w:r>
      <w:bookmarkEnd w:id="103"/>
    </w:p>
    <w:p w14:paraId="241865DC">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textAlignment w:val="auto"/>
        <w:outlineLvl w:val="0"/>
        <w:rPr>
          <w:rFonts w:hint="eastAsia" w:ascii="宋体" w:hAnsi="宋体" w:eastAsia="宋体" w:cs="宋体"/>
          <w:sz w:val="21"/>
          <w:szCs w:val="21"/>
        </w:rPr>
      </w:pPr>
      <w:bookmarkStart w:id="104" w:name="_Toc26861"/>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-1 报价一览表</w:t>
      </w:r>
      <w:bookmarkEnd w:id="104"/>
    </w:p>
    <w:p w14:paraId="567B56E5">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b/>
          <w:sz w:val="21"/>
          <w:szCs w:val="21"/>
          <w:lang w:eastAsia="zh-CN"/>
        </w:rPr>
      </w:pPr>
      <w:bookmarkStart w:id="105" w:name="_Toc19750"/>
      <w:r>
        <w:rPr>
          <w:rFonts w:hint="eastAsia" w:ascii="宋体" w:hAnsi="宋体" w:eastAsia="宋体" w:cs="宋体"/>
          <w:b w:val="0"/>
          <w:bCs/>
          <w:sz w:val="21"/>
          <w:szCs w:val="21"/>
          <w:lang w:eastAsia="zh-CN"/>
        </w:rPr>
        <w:t>附件</w:t>
      </w: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lang w:eastAsia="zh-CN"/>
        </w:rPr>
        <w:t>-2分项报价明细表</w:t>
      </w:r>
      <w:bookmarkEnd w:id="105"/>
    </w:p>
    <w:p w14:paraId="42DF9200">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6" w:name="_Toc17666"/>
      <w:r>
        <w:rPr>
          <w:rFonts w:hint="eastAsia" w:ascii="宋体" w:hAnsi="宋体" w:eastAsia="宋体" w:cs="宋体"/>
          <w:b/>
          <w:sz w:val="21"/>
          <w:szCs w:val="21"/>
          <w:lang w:val="en-US" w:eastAsia="zh-CN"/>
        </w:rPr>
        <w:t>八</w:t>
      </w:r>
      <w:r>
        <w:rPr>
          <w:rFonts w:hint="eastAsia" w:ascii="宋体" w:hAnsi="宋体" w:eastAsia="宋体" w:cs="宋体"/>
          <w:b/>
          <w:sz w:val="21"/>
          <w:szCs w:val="21"/>
        </w:rPr>
        <w:t>、供应商认为需提供的资料及说明</w:t>
      </w:r>
      <w:bookmarkEnd w:id="106"/>
    </w:p>
    <w:p w14:paraId="254486F5">
      <w:pPr>
        <w:pStyle w:val="22"/>
        <w:keepLines w:val="0"/>
        <w:pageBreakBefore w:val="0"/>
        <w:widowControl w:val="0"/>
        <w:kinsoku/>
        <w:wordWrap/>
        <w:overflowPunct/>
        <w:topLinePunct w:val="0"/>
        <w:autoSpaceDE/>
        <w:autoSpaceDN/>
        <w:bidi w:val="0"/>
        <w:adjustRightInd w:val="0"/>
        <w:snapToGrid w:val="0"/>
        <w:spacing w:beforeAutospacing="0" w:afterAutospacing="0" w:line="480" w:lineRule="exact"/>
        <w:textAlignment w:val="auto"/>
        <w:rPr>
          <w:rFonts w:hint="eastAsia" w:ascii="宋体" w:hAnsi="宋体" w:eastAsia="宋体" w:cs="宋体"/>
          <w:b/>
          <w:sz w:val="21"/>
          <w:szCs w:val="21"/>
          <w:lang w:eastAsia="zh-CN"/>
        </w:rPr>
      </w:pPr>
      <w:r>
        <w:rPr>
          <w:rFonts w:hint="eastAsia" w:hAnsi="宋体" w:cs="宋体"/>
          <w:b/>
          <w:sz w:val="21"/>
          <w:szCs w:val="21"/>
          <w:lang w:val="en-US" w:eastAsia="zh-CN"/>
        </w:rPr>
        <w:t>九</w:t>
      </w:r>
      <w:r>
        <w:rPr>
          <w:rFonts w:hint="eastAsia" w:ascii="宋体" w:hAnsi="宋体" w:eastAsia="宋体" w:cs="宋体"/>
          <w:b/>
          <w:sz w:val="21"/>
          <w:szCs w:val="21"/>
        </w:rPr>
        <w:t>、</w:t>
      </w:r>
      <w:r>
        <w:rPr>
          <w:rFonts w:hint="eastAsia" w:ascii="宋体" w:hAnsi="宋体" w:eastAsia="宋体" w:cs="宋体"/>
          <w:b/>
          <w:sz w:val="21"/>
          <w:szCs w:val="21"/>
          <w:lang w:eastAsia="zh-CN"/>
        </w:rPr>
        <w:t>最终报价表</w:t>
      </w:r>
    </w:p>
    <w:p w14:paraId="00CBA429">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both"/>
        <w:textAlignment w:val="auto"/>
        <w:outlineLvl w:val="0"/>
        <w:rPr>
          <w:rFonts w:hint="eastAsia" w:hAnsi="宋体" w:cs="宋体"/>
          <w:b/>
          <w:bCs/>
          <w:spacing w:val="113"/>
          <w:sz w:val="72"/>
          <w:szCs w:val="72"/>
          <w:lang w:val="en-US" w:eastAsia="zh-CN"/>
        </w:rPr>
      </w:pPr>
      <w:r>
        <w:rPr>
          <w:rFonts w:hint="eastAsia" w:hAnsi="宋体" w:cs="宋体"/>
          <w:b/>
          <w:bCs/>
          <w:spacing w:val="113"/>
          <w:sz w:val="72"/>
          <w:szCs w:val="72"/>
          <w:lang w:val="en-US" w:eastAsia="zh-CN"/>
        </w:rPr>
        <w:t xml:space="preserve"> </w:t>
      </w:r>
    </w:p>
    <w:p w14:paraId="7A83C3E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r>
        <w:rPr>
          <w:rFonts w:hint="eastAsia" w:hAnsi="宋体" w:cs="宋体"/>
          <w:b/>
          <w:bCs/>
          <w:spacing w:val="113"/>
          <w:sz w:val="72"/>
          <w:szCs w:val="72"/>
          <w:lang w:val="en-US" w:eastAsia="zh-CN"/>
        </w:rPr>
        <w:t xml:space="preserve"> </w:t>
      </w:r>
      <w:r>
        <w:rPr>
          <w:rFonts w:hint="eastAsia" w:ascii="宋体" w:hAnsi="宋体" w:eastAsia="宋体" w:cs="宋体"/>
          <w:b/>
          <w:bCs/>
          <w:spacing w:val="113"/>
          <w:sz w:val="72"/>
          <w:szCs w:val="72"/>
        </w:rPr>
        <w:t>政府采购</w:t>
      </w:r>
      <w:bookmarkStart w:id="107" w:name="_Toc24716"/>
    </w:p>
    <w:p w14:paraId="1660D911">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bookmarkStart w:id="108" w:name="_Toc19597"/>
    </w:p>
    <w:p w14:paraId="0138BDCC">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ind w:firstLine="1898" w:firstLineChars="200"/>
        <w:jc w:val="both"/>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响</w:t>
      </w:r>
      <w:r>
        <w:rPr>
          <w:rFonts w:hint="eastAsia" w:ascii="宋体" w:hAnsi="宋体" w:eastAsia="宋体" w:cs="宋体"/>
          <w:b/>
          <w:bCs/>
          <w:spacing w:val="113"/>
          <w:sz w:val="72"/>
          <w:szCs w:val="72"/>
          <w:lang w:val="en-US" w:eastAsia="zh-CN"/>
        </w:rPr>
        <w:t xml:space="preserve"> </w:t>
      </w:r>
      <w:r>
        <w:rPr>
          <w:rFonts w:hint="eastAsia" w:ascii="宋体" w:hAnsi="宋体" w:eastAsia="宋体" w:cs="宋体"/>
          <w:b/>
          <w:bCs/>
          <w:spacing w:val="113"/>
          <w:sz w:val="72"/>
          <w:szCs w:val="72"/>
        </w:rPr>
        <w:t xml:space="preserve"> 应 文 件</w:t>
      </w:r>
      <w:bookmarkEnd w:id="107"/>
      <w:bookmarkEnd w:id="108"/>
    </w:p>
    <w:p w14:paraId="78D3AB22">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textAlignment w:val="auto"/>
        <w:rPr>
          <w:rFonts w:hint="eastAsia" w:ascii="宋体" w:hAnsi="宋体" w:eastAsia="宋体" w:cs="宋体"/>
          <w:b/>
          <w:color w:val="000000"/>
          <w:sz w:val="21"/>
          <w:szCs w:val="21"/>
        </w:rPr>
      </w:pPr>
    </w:p>
    <w:p w14:paraId="339291B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color w:val="000000"/>
          <w:sz w:val="28"/>
          <w:szCs w:val="28"/>
        </w:rPr>
      </w:pPr>
    </w:p>
    <w:p w14:paraId="7A4C86E1">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09" w:name="_Toc8032"/>
      <w:bookmarkStart w:id="110" w:name="_Toc12440"/>
      <w:r>
        <w:rPr>
          <w:rFonts w:hint="eastAsia" w:ascii="宋体" w:hAnsi="宋体" w:eastAsia="宋体" w:cs="宋体"/>
          <w:b/>
          <w:bCs/>
          <w:sz w:val="28"/>
          <w:szCs w:val="28"/>
        </w:rPr>
        <w:t>采购项目名称</w:t>
      </w:r>
      <w:r>
        <w:rPr>
          <w:rFonts w:hint="eastAsia" w:hAnsi="宋体" w:cs="宋体"/>
          <w:b/>
          <w:bCs/>
          <w:sz w:val="28"/>
          <w:szCs w:val="28"/>
          <w:lang w:eastAsia="zh-CN"/>
        </w:rPr>
        <w:t>：</w:t>
      </w:r>
      <w:bookmarkEnd w:id="109"/>
      <w:bookmarkEnd w:id="110"/>
    </w:p>
    <w:p w14:paraId="67197CA9">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rPr>
      </w:pPr>
      <w:bookmarkStart w:id="111" w:name="_Toc7569"/>
      <w:bookmarkStart w:id="112" w:name="_Toc10815"/>
      <w:r>
        <w:rPr>
          <w:rFonts w:hint="eastAsia" w:ascii="宋体" w:hAnsi="宋体" w:eastAsia="宋体" w:cs="宋体"/>
          <w:b/>
          <w:bCs/>
          <w:sz w:val="28"/>
          <w:szCs w:val="28"/>
        </w:rPr>
        <w:t>采   购   人：</w:t>
      </w:r>
      <w:bookmarkEnd w:id="111"/>
      <w:bookmarkEnd w:id="112"/>
    </w:p>
    <w:p w14:paraId="064A1883">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rPr>
      </w:pPr>
      <w:r>
        <w:rPr>
          <w:rFonts w:hint="eastAsia" w:ascii="宋体" w:hAnsi="宋体" w:eastAsia="宋体" w:cs="宋体"/>
          <w:b/>
          <w:bCs/>
          <w:sz w:val="28"/>
          <w:szCs w:val="28"/>
        </w:rPr>
        <w:t>采购项目编号：</w:t>
      </w:r>
    </w:p>
    <w:p w14:paraId="3671B28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13" w:name="_Toc18444"/>
      <w:bookmarkStart w:id="114" w:name="_Toc3452"/>
      <w:r>
        <w:rPr>
          <w:rFonts w:hint="eastAsia" w:ascii="宋体" w:hAnsi="宋体" w:eastAsia="宋体" w:cs="宋体"/>
          <w:b/>
          <w:bCs/>
          <w:sz w:val="28"/>
          <w:szCs w:val="28"/>
        </w:rPr>
        <w:t>政府采购计划编号</w:t>
      </w:r>
      <w:r>
        <w:rPr>
          <w:rFonts w:hint="eastAsia" w:hAnsi="宋体" w:cs="宋体"/>
          <w:b/>
          <w:bCs/>
          <w:sz w:val="28"/>
          <w:szCs w:val="28"/>
          <w:lang w:eastAsia="zh-CN"/>
        </w:rPr>
        <w:t>：</w:t>
      </w:r>
      <w:bookmarkEnd w:id="113"/>
      <w:bookmarkEnd w:id="114"/>
    </w:p>
    <w:p w14:paraId="106BAD1F">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15" w:name="_Toc28327"/>
      <w:bookmarkStart w:id="116" w:name="_Toc6678"/>
      <w:r>
        <w:rPr>
          <w:rFonts w:hint="eastAsia" w:hAnsi="宋体" w:cs="宋体"/>
          <w:b/>
          <w:bCs/>
          <w:sz w:val="28"/>
          <w:szCs w:val="28"/>
          <w:lang w:val="en-US" w:eastAsia="zh-CN"/>
        </w:rPr>
        <w:t>委托</w:t>
      </w:r>
      <w:r>
        <w:rPr>
          <w:rFonts w:hint="eastAsia" w:ascii="宋体" w:hAnsi="宋体" w:eastAsia="宋体" w:cs="宋体"/>
          <w:b/>
          <w:bCs/>
          <w:sz w:val="28"/>
          <w:szCs w:val="28"/>
        </w:rPr>
        <w:t>代理编号</w:t>
      </w:r>
      <w:r>
        <w:rPr>
          <w:rFonts w:hint="eastAsia" w:hAnsi="宋体" w:cs="宋体"/>
          <w:b/>
          <w:bCs/>
          <w:sz w:val="28"/>
          <w:szCs w:val="28"/>
          <w:lang w:eastAsia="zh-CN"/>
        </w:rPr>
        <w:t>：</w:t>
      </w:r>
      <w:bookmarkEnd w:id="115"/>
      <w:bookmarkEnd w:id="116"/>
    </w:p>
    <w:p w14:paraId="56DE62B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17" w:name="_Toc30738"/>
      <w:bookmarkStart w:id="118" w:name="_Toc11665"/>
      <w:r>
        <w:rPr>
          <w:rFonts w:hint="eastAsia" w:ascii="宋体" w:hAnsi="宋体" w:eastAsia="宋体" w:cs="宋体"/>
          <w:b/>
          <w:bCs/>
          <w:sz w:val="28"/>
          <w:szCs w:val="28"/>
        </w:rPr>
        <w:t>采购代理机构：</w:t>
      </w:r>
      <w:bookmarkEnd w:id="117"/>
      <w:bookmarkEnd w:id="118"/>
    </w:p>
    <w:p w14:paraId="6683481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bCs/>
          <w:color w:val="000000"/>
          <w:sz w:val="28"/>
          <w:szCs w:val="28"/>
          <w:lang w:val="en-US" w:eastAsia="zh-CN"/>
        </w:rPr>
      </w:pPr>
      <w:r>
        <w:rPr>
          <w:rFonts w:hint="eastAsia" w:ascii="宋体" w:hAnsi="宋体" w:eastAsia="宋体" w:cs="宋体"/>
          <w:color w:val="000000"/>
          <w:sz w:val="28"/>
          <w:szCs w:val="28"/>
          <w:lang w:val="en-US" w:eastAsia="zh-CN"/>
        </w:rPr>
        <w:t xml:space="preserve">            </w:t>
      </w:r>
      <w:r>
        <w:rPr>
          <w:rFonts w:hint="eastAsia" w:ascii="宋体" w:hAnsi="宋体" w:eastAsia="宋体" w:cs="宋体"/>
          <w:b/>
          <w:bCs/>
          <w:color w:val="000000"/>
          <w:sz w:val="28"/>
          <w:szCs w:val="28"/>
          <w:lang w:val="en-US" w:eastAsia="zh-CN"/>
        </w:rPr>
        <w:t xml:space="preserve"> </w:t>
      </w:r>
      <w:r>
        <w:rPr>
          <w:rFonts w:hint="eastAsia" w:ascii="宋体" w:hAnsi="宋体" w:eastAsia="宋体" w:cs="宋体"/>
          <w:b/>
          <w:bCs/>
          <w:color w:val="000000"/>
          <w:spacing w:val="142"/>
          <w:sz w:val="28"/>
          <w:szCs w:val="28"/>
          <w:lang w:val="en-US" w:eastAsia="zh-CN"/>
        </w:rPr>
        <w:t>供应商：</w:t>
      </w:r>
    </w:p>
    <w:p w14:paraId="1FDB15A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color w:val="000000"/>
          <w:sz w:val="21"/>
          <w:szCs w:val="21"/>
        </w:rPr>
      </w:pPr>
    </w:p>
    <w:p w14:paraId="36AFC37D">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242C4B81">
      <w:pPr>
        <w:pageBreakBefore w:val="0"/>
        <w:kinsoku/>
        <w:wordWrap/>
        <w:overflowPunct/>
        <w:bidi w:val="0"/>
        <w:spacing w:beforeAutospacing="0" w:afterAutospacing="0" w:line="560" w:lineRule="exact"/>
        <w:jc w:val="both"/>
        <w:rPr>
          <w:rFonts w:hint="eastAsia" w:ascii="宋体" w:hAnsi="宋体" w:eastAsia="宋体" w:cs="宋体"/>
          <w:sz w:val="21"/>
          <w:szCs w:val="21"/>
        </w:rPr>
      </w:pPr>
    </w:p>
    <w:p w14:paraId="6FE54457">
      <w:pPr>
        <w:pageBreakBefore w:val="0"/>
        <w:kinsoku/>
        <w:wordWrap/>
        <w:overflowPunct/>
        <w:bidi w:val="0"/>
        <w:spacing w:beforeAutospacing="0" w:afterAutospacing="0" w:line="560" w:lineRule="exact"/>
        <w:ind w:firstLine="3373" w:firstLineChars="1200"/>
        <w:jc w:val="both"/>
        <w:outlineLvl w:val="0"/>
        <w:rPr>
          <w:rFonts w:hint="eastAsia" w:ascii="宋体" w:hAnsi="宋体" w:eastAsia="宋体" w:cs="宋体"/>
          <w:b/>
          <w:bCs/>
          <w:sz w:val="28"/>
          <w:szCs w:val="28"/>
        </w:rPr>
      </w:pPr>
      <w:bookmarkStart w:id="119" w:name="_Toc29317"/>
      <w:bookmarkStart w:id="120" w:name="_Toc2782"/>
      <w:r>
        <w:rPr>
          <w:rFonts w:hint="eastAsia" w:ascii="宋体" w:hAnsi="宋体" w:eastAsia="宋体" w:cs="宋体"/>
          <w:b/>
          <w:bCs/>
          <w:sz w:val="28"/>
          <w:szCs w:val="28"/>
        </w:rPr>
        <w:t>年  月  日</w:t>
      </w:r>
      <w:bookmarkEnd w:id="119"/>
      <w:bookmarkEnd w:id="120"/>
    </w:p>
    <w:p w14:paraId="57509387">
      <w:pPr>
        <w:pageBreakBefore w:val="0"/>
        <w:widowControl/>
        <w:tabs>
          <w:tab w:val="left" w:pos="753"/>
        </w:tabs>
        <w:kinsoku/>
        <w:wordWrap/>
        <w:overflowPunct/>
        <w:bidi w:val="0"/>
        <w:adjustRightInd w:val="0"/>
        <w:snapToGrid w:val="0"/>
        <w:spacing w:beforeAutospacing="0" w:afterAutospacing="0" w:line="560" w:lineRule="exact"/>
        <w:ind w:firstLine="560" w:firstLineChars="200"/>
        <w:jc w:val="center"/>
        <w:rPr>
          <w:rFonts w:hint="eastAsia" w:ascii="宋体" w:hAnsi="宋体" w:eastAsia="宋体" w:cs="宋体"/>
          <w:b/>
          <w:bCs/>
          <w:sz w:val="21"/>
          <w:szCs w:val="21"/>
        </w:rPr>
      </w:pPr>
      <w:r>
        <w:rPr>
          <w:rFonts w:hint="eastAsia" w:ascii="宋体" w:hAnsi="宋体" w:eastAsia="宋体" w:cs="宋体"/>
          <w:sz w:val="28"/>
          <w:szCs w:val="28"/>
        </w:rPr>
        <w:br w:type="page"/>
      </w:r>
    </w:p>
    <w:p w14:paraId="3D16FC00">
      <w:pPr>
        <w:pStyle w:val="3"/>
        <w:pageBreakBefore w:val="0"/>
        <w:widowControl/>
        <w:kinsoku/>
        <w:wordWrap/>
        <w:overflowPunct/>
        <w:bidi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一、磋商响应声明</w:t>
      </w:r>
    </w:p>
    <w:p w14:paraId="7CE8B497">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致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采购人、采购代理机构</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p w14:paraId="1DDE7BCB">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根据贵方为</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的磋商邀请（政府</w:t>
      </w:r>
      <w:r>
        <w:rPr>
          <w:rFonts w:hint="eastAsia" w:ascii="宋体" w:hAnsi="宋体" w:eastAsia="宋体" w:cs="宋体"/>
          <w:iCs/>
          <w:color w:val="000000"/>
          <w:sz w:val="21"/>
          <w:szCs w:val="21"/>
        </w:rPr>
        <w:t>采购</w:t>
      </w:r>
      <w:r>
        <w:rPr>
          <w:rFonts w:hint="eastAsia" w:ascii="宋体" w:hAnsi="宋体" w:eastAsia="宋体" w:cs="宋体"/>
          <w:iCs/>
          <w:color w:val="000000"/>
          <w:sz w:val="21"/>
          <w:szCs w:val="21"/>
          <w:lang w:val="en-US" w:eastAsia="zh-CN"/>
        </w:rPr>
        <w:t>计划</w:t>
      </w:r>
      <w:r>
        <w:rPr>
          <w:rFonts w:hint="eastAsia" w:ascii="宋体" w:hAnsi="宋体" w:eastAsia="宋体" w:cs="宋体"/>
          <w:iCs/>
          <w:color w:val="000000"/>
          <w:sz w:val="21"/>
          <w:szCs w:val="21"/>
        </w:rPr>
        <w:t>编号：</w:t>
      </w:r>
      <w:r>
        <w:rPr>
          <w:rFonts w:hint="eastAsia" w:ascii="宋体" w:hAnsi="宋体" w:eastAsia="宋体" w:cs="宋体"/>
          <w:iCs/>
          <w:color w:val="000000"/>
          <w:sz w:val="21"/>
          <w:szCs w:val="21"/>
          <w:u w:val="single"/>
          <w:lang w:val="en-US" w:eastAsia="zh-CN"/>
        </w:rPr>
        <w:t xml:space="preserve">            </w:t>
      </w:r>
      <w:r>
        <w:rPr>
          <w:rFonts w:hint="eastAsia" w:ascii="宋体" w:hAnsi="宋体" w:eastAsia="宋体" w:cs="宋体"/>
          <w:iCs/>
          <w:color w:val="000000"/>
          <w:sz w:val="21"/>
          <w:szCs w:val="21"/>
        </w:rPr>
        <w:t>，采购项目编号</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，签字代表</w:t>
      </w:r>
      <w:r>
        <w:rPr>
          <w:rFonts w:hint="eastAsia" w:ascii="宋体" w:hAnsi="宋体" w:eastAsia="宋体" w:cs="宋体"/>
          <w:color w:val="000000"/>
          <w:sz w:val="21"/>
          <w:szCs w:val="21"/>
          <w:u w:val="single"/>
        </w:rPr>
        <w:t>（姓名、职务）</w:t>
      </w:r>
      <w:r>
        <w:rPr>
          <w:rFonts w:hint="eastAsia" w:ascii="宋体" w:hAnsi="宋体" w:eastAsia="宋体" w:cs="宋体"/>
          <w:color w:val="000000"/>
          <w:sz w:val="21"/>
          <w:szCs w:val="21"/>
        </w:rPr>
        <w:t>经正式授权并代表供应商</w:t>
      </w:r>
      <w:r>
        <w:rPr>
          <w:rFonts w:hint="eastAsia" w:ascii="宋体" w:hAnsi="宋体" w:eastAsia="宋体" w:cs="宋体"/>
          <w:color w:val="000000"/>
          <w:sz w:val="21"/>
          <w:szCs w:val="21"/>
          <w:u w:val="single"/>
        </w:rPr>
        <w:t>（供应商名称）</w:t>
      </w:r>
      <w:r>
        <w:rPr>
          <w:rFonts w:hint="eastAsia" w:ascii="宋体" w:hAnsi="宋体" w:eastAsia="宋体" w:cs="宋体"/>
          <w:color w:val="000000"/>
          <w:sz w:val="21"/>
          <w:szCs w:val="21"/>
        </w:rPr>
        <w:t>提交响应文件正本一份</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副本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份；响应文件电子文档一份，参加采购项目第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包磋商，并在此声明，所递交的响应文件内容完整、真实。</w:t>
      </w:r>
    </w:p>
    <w:p w14:paraId="33B66D71">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一、我方已详细审查磋商文件。我们完全理解并同意放弃对这方面有不明及误解的权力。</w:t>
      </w:r>
    </w:p>
    <w:p w14:paraId="7D28331B">
      <w:pPr>
        <w:pStyle w:val="34"/>
        <w:pageBreakBefore w:val="0"/>
        <w:kinsoku/>
        <w:wordWrap/>
        <w:overflowPunct/>
        <w:bidi w:val="0"/>
        <w:spacing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二、我方愿意向贵方提供任何与本项采购有关的数据、情况和技术资料。若贵方需要，我方愿意提供我方作出的一切承诺的证明材料。</w:t>
      </w:r>
    </w:p>
    <w:p w14:paraId="50DE9953">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三、我方愿意按磋商文件规定和磋商小组要求重新提交响应文件和最后报价。</w:t>
      </w:r>
    </w:p>
    <w:p w14:paraId="37C3651C">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四、我方同意在磋商文件中规定的提交首次响应文件截止时间起</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日内</w:t>
      </w:r>
      <w:r>
        <w:rPr>
          <w:rFonts w:hint="eastAsia" w:ascii="宋体" w:hAnsi="宋体" w:eastAsia="宋体" w:cs="宋体"/>
          <w:sz w:val="21"/>
          <w:szCs w:val="21"/>
          <w:lang w:eastAsia="zh-CN"/>
        </w:rPr>
        <w:t>（</w:t>
      </w:r>
      <w:r>
        <w:rPr>
          <w:rFonts w:hint="eastAsia" w:ascii="宋体" w:hAnsi="宋体" w:eastAsia="宋体" w:cs="宋体"/>
          <w:sz w:val="21"/>
          <w:szCs w:val="21"/>
        </w:rPr>
        <w:t>响应文件有效期</w:t>
      </w:r>
      <w:r>
        <w:rPr>
          <w:rFonts w:hint="eastAsia" w:ascii="宋体" w:hAnsi="宋体" w:eastAsia="宋体" w:cs="宋体"/>
          <w:sz w:val="21"/>
          <w:szCs w:val="21"/>
          <w:lang w:eastAsia="zh-CN"/>
        </w:rPr>
        <w:t>）</w:t>
      </w:r>
      <w:r>
        <w:rPr>
          <w:rFonts w:hint="eastAsia" w:ascii="宋体" w:hAnsi="宋体" w:eastAsia="宋体" w:cs="宋体"/>
          <w:sz w:val="21"/>
          <w:szCs w:val="21"/>
        </w:rPr>
        <w:t>遵守本响应文件中的承诺且在此期限期满之前均具有法律约束力。</w:t>
      </w:r>
    </w:p>
    <w:p w14:paraId="2448D450">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五、我方承诺遵守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及实施条例、《政府采购非招标方式管理办法》（财政部第74号令）的有关规定，保证在获得成交资格后，按照磋商文件确定的事项签订政府采购合同，履行双方所签订的合同，并承担合同规定的责任和义务。</w:t>
      </w:r>
    </w:p>
    <w:p w14:paraId="173218C4">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六、我方承诺在参与竞争性磋商过程中，若出现</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第七十七条、《</w:t>
      </w:r>
      <w:r>
        <w:rPr>
          <w:rFonts w:hint="eastAsia" w:ascii="宋体" w:hAnsi="宋体" w:eastAsia="宋体" w:cs="宋体"/>
          <w:sz w:val="21"/>
          <w:szCs w:val="21"/>
          <w:lang w:eastAsia="zh-CN"/>
        </w:rPr>
        <w:t>中华人民共和国政府采购法实施条例</w:t>
      </w:r>
      <w:r>
        <w:rPr>
          <w:rFonts w:hint="eastAsia" w:ascii="宋体" w:hAnsi="宋体" w:eastAsia="宋体" w:cs="宋体"/>
          <w:sz w:val="21"/>
          <w:szCs w:val="21"/>
        </w:rPr>
        <w:t>》第七十二条和《政府采购非招标方式管理办法》第五十四条规定之情形，我方同意接受条款规定作出的处罚。</w:t>
      </w:r>
    </w:p>
    <w:p w14:paraId="227A950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七、我方的联系方式：</w:t>
      </w:r>
    </w:p>
    <w:p w14:paraId="36467D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地址：</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；邮编</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；电话：</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；电子邮箱：</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w:t>
      </w:r>
    </w:p>
    <w:p w14:paraId="05DBF6D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供应商名称</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盖单位公章</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p w14:paraId="5F3F52D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sz w:val="21"/>
          <w:szCs w:val="21"/>
        </w:rPr>
        <w:t>或其授权的代理人（签字或印章）：</w:t>
      </w:r>
    </w:p>
    <w:p w14:paraId="6886EA26">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7D9A7C7E">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0729CF0A">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348C91D2">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1" w:name="_Toc34637791"/>
    </w:p>
    <w:p w14:paraId="3CB2DF4C">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39CB659">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54D6C2B6">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F99AAB8">
      <w:pPr>
        <w:rPr>
          <w:rFonts w:hint="eastAsia"/>
        </w:rPr>
      </w:pPr>
    </w:p>
    <w:p w14:paraId="513A6A49">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45EEDCE0">
      <w:pPr>
        <w:rPr>
          <w:rFonts w:hint="eastAsia"/>
        </w:rPr>
      </w:pPr>
    </w:p>
    <w:p w14:paraId="0FE11C03">
      <w:pPr>
        <w:pStyle w:val="3"/>
        <w:pageBreakBefore w:val="0"/>
        <w:widowControl/>
        <w:kinsoku/>
        <w:wordWrap/>
        <w:overflowPunct/>
        <w:bidi w:val="0"/>
        <w:spacing w:line="240" w:lineRule="auto"/>
        <w:jc w:val="left"/>
        <w:textAlignment w:val="auto"/>
        <w:rPr>
          <w:rFonts w:hint="eastAsia" w:ascii="宋体" w:hAnsi="宋体" w:eastAsia="宋体" w:cs="宋体"/>
          <w:b w:val="0"/>
          <w:bCs w:val="0"/>
          <w:color w:val="000000"/>
          <w:sz w:val="24"/>
          <w:szCs w:val="24"/>
        </w:rPr>
      </w:pPr>
      <w:r>
        <w:rPr>
          <w:rFonts w:hint="eastAsia" w:ascii="宋体" w:hAnsi="宋体" w:eastAsia="宋体" w:cs="宋体"/>
          <w:color w:val="000000"/>
          <w:sz w:val="24"/>
          <w:szCs w:val="24"/>
        </w:rPr>
        <w:t xml:space="preserve">附件1-1  </w:t>
      </w:r>
    </w:p>
    <w:p w14:paraId="0952E390">
      <w:pPr>
        <w:pStyle w:val="3"/>
        <w:pageBreakBefore w:val="0"/>
        <w:widowControl/>
        <w:kinsoku/>
        <w:wordWrap/>
        <w:overflowPunct/>
        <w:bidi w:val="0"/>
        <w:spacing w:line="360" w:lineRule="auto"/>
        <w:jc w:val="center"/>
        <w:textAlignment w:val="auto"/>
        <w:rPr>
          <w:rFonts w:hint="eastAsia" w:ascii="宋体" w:hAnsi="宋体" w:eastAsia="宋体" w:cs="宋体"/>
          <w:color w:val="000000"/>
          <w:kern w:val="0"/>
          <w:position w:val="-4"/>
          <w:sz w:val="24"/>
          <w:szCs w:val="24"/>
        </w:rPr>
      </w:pPr>
      <w:r>
        <w:rPr>
          <w:rFonts w:hint="eastAsia" w:ascii="宋体" w:hAnsi="宋体" w:eastAsia="宋体" w:cs="宋体"/>
          <w:color w:val="000000"/>
          <w:sz w:val="24"/>
          <w:szCs w:val="24"/>
        </w:rPr>
        <w:t>法定代表人（单位负责人）身份证明</w:t>
      </w:r>
    </w:p>
    <w:p w14:paraId="388A750B">
      <w:pPr>
        <w:pageBreakBefore w:val="0"/>
        <w:tabs>
          <w:tab w:val="left" w:pos="388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4"/>
          <w:sz w:val="21"/>
          <w:szCs w:val="21"/>
        </w:rPr>
        <w:t>供应商名</w:t>
      </w:r>
      <w:r>
        <w:rPr>
          <w:rFonts w:hint="eastAsia" w:ascii="宋体" w:hAnsi="宋体" w:eastAsia="宋体" w:cs="宋体"/>
          <w:color w:val="000000"/>
          <w:spacing w:val="-2"/>
          <w:kern w:val="0"/>
          <w:position w:val="-4"/>
          <w:sz w:val="21"/>
          <w:szCs w:val="21"/>
        </w:rPr>
        <w:t>称</w:t>
      </w:r>
      <w:r>
        <w:rPr>
          <w:rFonts w:hint="eastAsia" w:ascii="宋体" w:hAnsi="宋体" w:eastAsia="宋体" w:cs="宋体"/>
          <w:color w:val="000000"/>
          <w:kern w:val="0"/>
          <w:position w:val="-4"/>
          <w:sz w:val="21"/>
          <w:szCs w:val="21"/>
        </w:rPr>
        <w:t>：</w:t>
      </w:r>
    </w:p>
    <w:p w14:paraId="65F1F391">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统一社会信用代码：</w:t>
      </w:r>
    </w:p>
    <w:p w14:paraId="05DD7170">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注册地址：</w:t>
      </w:r>
    </w:p>
    <w:p w14:paraId="60F6BF17">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2" w:right="-23"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2"/>
          <w:sz w:val="21"/>
          <w:szCs w:val="21"/>
        </w:rPr>
        <w:t>姓名</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性别</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年</w:t>
      </w:r>
      <w:r>
        <w:rPr>
          <w:rFonts w:hint="eastAsia" w:ascii="宋体" w:hAnsi="宋体" w:eastAsia="宋体" w:cs="宋体"/>
          <w:color w:val="000000"/>
          <w:spacing w:val="-2"/>
          <w:kern w:val="0"/>
          <w:position w:val="-2"/>
          <w:sz w:val="21"/>
          <w:szCs w:val="21"/>
        </w:rPr>
        <w:t>龄</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lang w:val="en-US" w:eastAsia="zh-CN"/>
        </w:rPr>
        <w:t xml:space="preserve"> </w:t>
      </w:r>
      <w:r>
        <w:rPr>
          <w:rFonts w:hint="eastAsia" w:ascii="宋体" w:hAnsi="宋体" w:eastAsia="宋体" w:cs="宋体"/>
          <w:color w:val="000000"/>
          <w:kern w:val="0"/>
          <w:position w:val="-2"/>
          <w:sz w:val="21"/>
          <w:szCs w:val="21"/>
        </w:rPr>
        <w:t>职</w:t>
      </w:r>
      <w:r>
        <w:rPr>
          <w:rFonts w:hint="eastAsia" w:ascii="宋体" w:hAnsi="宋体" w:eastAsia="宋体" w:cs="宋体"/>
          <w:color w:val="000000"/>
          <w:spacing w:val="-2"/>
          <w:kern w:val="0"/>
          <w:position w:val="-2"/>
          <w:sz w:val="21"/>
          <w:szCs w:val="21"/>
        </w:rPr>
        <w:t>务</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系</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供应商</w:t>
      </w:r>
      <w:r>
        <w:rPr>
          <w:rFonts w:hint="eastAsia" w:ascii="宋体" w:hAnsi="宋体" w:eastAsia="宋体" w:cs="宋体"/>
          <w:color w:val="000000"/>
          <w:spacing w:val="-2"/>
          <w:kern w:val="0"/>
          <w:position w:val="-2"/>
          <w:sz w:val="21"/>
          <w:szCs w:val="21"/>
        </w:rPr>
        <w:t>名</w:t>
      </w:r>
      <w:r>
        <w:rPr>
          <w:rFonts w:hint="eastAsia" w:ascii="宋体" w:hAnsi="宋体" w:eastAsia="宋体" w:cs="宋体"/>
          <w:color w:val="000000"/>
          <w:kern w:val="0"/>
          <w:position w:val="-2"/>
          <w:sz w:val="21"/>
          <w:szCs w:val="21"/>
        </w:rPr>
        <w:t>称</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的</w:t>
      </w:r>
      <w:r>
        <w:rPr>
          <w:rFonts w:hint="eastAsia" w:ascii="宋体" w:hAnsi="宋体" w:eastAsia="宋体" w:cs="宋体"/>
          <w:color w:val="000000"/>
          <w:spacing w:val="-2"/>
          <w:kern w:val="0"/>
          <w:position w:val="-2"/>
          <w:sz w:val="21"/>
          <w:szCs w:val="21"/>
        </w:rPr>
        <w:t>法定</w:t>
      </w:r>
      <w:r>
        <w:rPr>
          <w:rFonts w:hint="eastAsia" w:ascii="宋体" w:hAnsi="宋体" w:eastAsia="宋体" w:cs="宋体"/>
          <w:color w:val="000000"/>
          <w:kern w:val="0"/>
          <w:position w:val="-2"/>
          <w:sz w:val="21"/>
          <w:szCs w:val="21"/>
        </w:rPr>
        <w:t>代表</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kern w:val="0"/>
          <w:position w:val="-2"/>
          <w:sz w:val="21"/>
          <w:szCs w:val="21"/>
        </w:rPr>
        <w:t>（</w:t>
      </w:r>
      <w:r>
        <w:rPr>
          <w:rFonts w:hint="eastAsia" w:ascii="宋体" w:hAnsi="宋体" w:eastAsia="宋体" w:cs="宋体"/>
          <w:color w:val="000000"/>
          <w:spacing w:val="-2"/>
          <w:kern w:val="0"/>
          <w:position w:val="-2"/>
          <w:sz w:val="21"/>
          <w:szCs w:val="21"/>
        </w:rPr>
        <w:t>单</w:t>
      </w:r>
      <w:r>
        <w:rPr>
          <w:rFonts w:hint="eastAsia" w:ascii="宋体" w:hAnsi="宋体" w:eastAsia="宋体" w:cs="宋体"/>
          <w:color w:val="000000"/>
          <w:kern w:val="0"/>
          <w:position w:val="-2"/>
          <w:sz w:val="21"/>
          <w:szCs w:val="21"/>
        </w:rPr>
        <w:t>位</w:t>
      </w:r>
      <w:r>
        <w:rPr>
          <w:rFonts w:hint="eastAsia" w:ascii="宋体" w:hAnsi="宋体" w:eastAsia="宋体" w:cs="宋体"/>
          <w:color w:val="000000"/>
          <w:spacing w:val="-2"/>
          <w:kern w:val="0"/>
          <w:position w:val="-2"/>
          <w:sz w:val="21"/>
          <w:szCs w:val="21"/>
        </w:rPr>
        <w:t>负</w:t>
      </w:r>
      <w:r>
        <w:rPr>
          <w:rFonts w:hint="eastAsia" w:ascii="宋体" w:hAnsi="宋体" w:eastAsia="宋体" w:cs="宋体"/>
          <w:color w:val="000000"/>
          <w:kern w:val="0"/>
          <w:position w:val="-2"/>
          <w:sz w:val="21"/>
          <w:szCs w:val="21"/>
        </w:rPr>
        <w:t>责</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spacing w:val="-106"/>
          <w:kern w:val="0"/>
          <w:position w:val="-2"/>
          <w:sz w:val="21"/>
          <w:szCs w:val="21"/>
        </w:rPr>
        <w:t>）</w:t>
      </w:r>
      <w:r>
        <w:rPr>
          <w:rFonts w:hint="eastAsia" w:ascii="宋体" w:hAnsi="宋体" w:eastAsia="宋体" w:cs="宋体"/>
          <w:color w:val="000000"/>
          <w:kern w:val="0"/>
          <w:position w:val="-2"/>
          <w:sz w:val="21"/>
          <w:szCs w:val="21"/>
        </w:rPr>
        <w:t>。</w:t>
      </w:r>
    </w:p>
    <w:p w14:paraId="1D267472">
      <w:pPr>
        <w:pageBreakBefore w:val="0"/>
        <w:kinsoku/>
        <w:wordWrap/>
        <w:overflowPunct/>
        <w:autoSpaceDE w:val="0"/>
        <w:autoSpaceDN w:val="0"/>
        <w:bidi w:val="0"/>
        <w:adjustRightInd w:val="0"/>
        <w:snapToGrid w:val="0"/>
        <w:spacing w:beforeLines="50" w:line="360" w:lineRule="auto"/>
        <w:ind w:left="52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w:t>
      </w:r>
      <w:r>
        <w:rPr>
          <w:rFonts w:hint="eastAsia" w:ascii="宋体" w:hAnsi="宋体" w:eastAsia="宋体" w:cs="宋体"/>
          <w:color w:val="000000"/>
          <w:spacing w:val="-2"/>
          <w:kern w:val="0"/>
          <w:sz w:val="21"/>
          <w:szCs w:val="21"/>
        </w:rPr>
        <w:t>证</w:t>
      </w:r>
      <w:r>
        <w:rPr>
          <w:rFonts w:hint="eastAsia" w:ascii="宋体" w:hAnsi="宋体" w:eastAsia="宋体" w:cs="宋体"/>
          <w:color w:val="000000"/>
          <w:kern w:val="0"/>
          <w:sz w:val="21"/>
          <w:szCs w:val="21"/>
        </w:rPr>
        <w:t>明。</w:t>
      </w:r>
    </w:p>
    <w:p w14:paraId="27C106FA">
      <w:pPr>
        <w:pageBreakBefore w:val="0"/>
        <w:kinsoku/>
        <w:wordWrap/>
        <w:overflowPunct/>
        <w:autoSpaceDE w:val="0"/>
        <w:autoSpaceDN w:val="0"/>
        <w:bidi w:val="0"/>
        <w:adjustRightInd w:val="0"/>
        <w:snapToGrid w:val="0"/>
        <w:spacing w:beforeLines="50" w:line="360" w:lineRule="auto"/>
        <w:ind w:right="4231"/>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附：</w:t>
      </w: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身</w:t>
      </w:r>
      <w:r>
        <w:rPr>
          <w:rFonts w:hint="eastAsia" w:ascii="宋体" w:hAnsi="宋体" w:eastAsia="宋体" w:cs="宋体"/>
          <w:color w:val="000000"/>
          <w:spacing w:val="-2"/>
          <w:kern w:val="0"/>
          <w:sz w:val="21"/>
          <w:szCs w:val="21"/>
        </w:rPr>
        <w:t>份</w:t>
      </w:r>
      <w:r>
        <w:rPr>
          <w:rFonts w:hint="eastAsia" w:ascii="宋体" w:hAnsi="宋体" w:eastAsia="宋体" w:cs="宋体"/>
          <w:color w:val="000000"/>
          <w:kern w:val="0"/>
          <w:sz w:val="21"/>
          <w:szCs w:val="21"/>
        </w:rPr>
        <w:t>证</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r>
        <w:rPr>
          <w:rFonts w:hint="eastAsia" w:ascii="宋体" w:hAnsi="宋体" w:eastAsia="宋体" w:cs="宋体"/>
          <w:color w:val="000000"/>
          <w:kern w:val="0"/>
          <w:sz w:val="21"/>
          <w:szCs w:val="21"/>
        </w:rPr>
        <w:t>。</w:t>
      </w:r>
    </w:p>
    <w:tbl>
      <w:tblPr>
        <w:tblStyle w:val="3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82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AE0675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37890B4D">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2271331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15CB2C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注：供应商代表为法定代表人（单位负责人）的提供。供应商为自然人的无需提供。</w:t>
      </w:r>
    </w:p>
    <w:p w14:paraId="3F0C3D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D39E2D2">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w:t>
      </w:r>
      <w:r>
        <w:rPr>
          <w:rFonts w:hint="eastAsia" w:ascii="宋体" w:hAnsi="宋体" w:eastAsia="宋体" w:cs="宋体"/>
          <w:sz w:val="21"/>
          <w:szCs w:val="21"/>
          <w:lang w:eastAsia="zh-CN"/>
        </w:rPr>
        <w:t>（</w:t>
      </w:r>
      <w:r>
        <w:rPr>
          <w:rFonts w:hint="eastAsia" w:ascii="宋体" w:hAnsi="宋体" w:eastAsia="宋体" w:cs="宋体"/>
          <w:sz w:val="21"/>
          <w:szCs w:val="21"/>
        </w:rPr>
        <w:t>盖单位公章</w:t>
      </w:r>
      <w:r>
        <w:rPr>
          <w:rFonts w:hint="eastAsia" w:ascii="宋体" w:hAnsi="宋体" w:eastAsia="宋体" w:cs="宋体"/>
          <w:sz w:val="21"/>
          <w:szCs w:val="21"/>
          <w:lang w:eastAsia="zh-CN"/>
        </w:rPr>
        <w:t>）</w:t>
      </w:r>
      <w:r>
        <w:rPr>
          <w:rFonts w:hint="eastAsia" w:ascii="宋体" w:hAnsi="宋体" w:eastAsia="宋体" w:cs="宋体"/>
          <w:sz w:val="21"/>
          <w:szCs w:val="21"/>
        </w:rPr>
        <w:t>：</w:t>
      </w:r>
    </w:p>
    <w:p w14:paraId="724C418F">
      <w:pPr>
        <w:pageBreakBefore w:val="0"/>
        <w:kinsoku/>
        <w:wordWrap/>
        <w:overflowPunct/>
        <w:bidi w:val="0"/>
        <w:adjustRightInd w:val="0"/>
        <w:snapToGrid w:val="0"/>
        <w:spacing w:beforeLines="50" w:line="360" w:lineRule="auto"/>
        <w:ind w:right="2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1A8BF04D">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6702F0E">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C1AFB65">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8FC91F7">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B117089">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3E9BE17">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0ED525B">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9ABAF13">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C302162">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E1BAC71">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EDFCDB5">
      <w:pPr>
        <w:pStyle w:val="3"/>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388212E">
      <w:pPr>
        <w:pStyle w:val="38"/>
        <w:ind w:left="0" w:leftChars="0" w:firstLine="0" w:firstLineChars="0"/>
        <w:rPr>
          <w:rFonts w:hint="eastAsia" w:ascii="宋体" w:hAnsi="宋体" w:eastAsia="宋体" w:cs="宋体"/>
          <w:b/>
          <w:bCs/>
          <w:highlight w:val="none"/>
        </w:rPr>
        <w:sectPr>
          <w:footerReference r:id="rId12" w:type="default"/>
          <w:pgSz w:w="11906" w:h="16839"/>
          <w:pgMar w:top="1431" w:right="1785" w:bottom="1152" w:left="1785" w:header="0" w:footer="987" w:gutter="0"/>
          <w:pgBorders>
            <w:top w:val="none" w:sz="0" w:space="0"/>
            <w:left w:val="none" w:sz="0" w:space="0"/>
            <w:bottom w:val="none" w:sz="0" w:space="0"/>
            <w:right w:val="none" w:sz="0" w:space="0"/>
          </w:pgBorders>
          <w:pgNumType w:fmt="decimal" w:start="48"/>
          <w:cols w:space="720" w:num="1"/>
        </w:sectPr>
      </w:pPr>
      <w:r>
        <w:rPr>
          <w:rFonts w:hint="eastAsia" w:ascii="宋体" w:hAnsi="宋体" w:eastAsia="宋体" w:cs="宋体"/>
          <w:b/>
          <w:bCs/>
          <w:spacing w:val="-11"/>
          <w:sz w:val="24"/>
          <w:szCs w:val="24"/>
          <w:highlight w:val="none"/>
          <w:lang w:val="en-US" w:eastAsia="zh-CN"/>
        </w:rPr>
        <w:t>备注：</w:t>
      </w:r>
      <w:r>
        <w:rPr>
          <w:rFonts w:hint="eastAsia" w:ascii="宋体" w:hAnsi="宋体" w:eastAsia="宋体" w:cs="宋体"/>
          <w:b/>
          <w:bCs/>
          <w:spacing w:val="-11"/>
          <w:sz w:val="24"/>
          <w:szCs w:val="24"/>
          <w:highlight w:val="none"/>
        </w:rPr>
        <w:t>本法定代表人身份证明须单独另备一份及法定代表人身份证原件</w:t>
      </w:r>
      <w:r>
        <w:rPr>
          <w:rFonts w:hint="eastAsia" w:ascii="宋体" w:hAnsi="宋体" w:cs="宋体"/>
          <w:b/>
          <w:bCs/>
          <w:spacing w:val="-11"/>
          <w:sz w:val="24"/>
          <w:szCs w:val="24"/>
          <w:highlight w:val="none"/>
          <w:lang w:val="en-US" w:eastAsia="zh-CN"/>
        </w:rPr>
        <w:t>开标</w:t>
      </w:r>
      <w:r>
        <w:rPr>
          <w:rFonts w:hint="eastAsia" w:ascii="宋体" w:hAnsi="宋体" w:eastAsia="宋体" w:cs="宋体"/>
          <w:b/>
          <w:bCs/>
          <w:spacing w:val="-11"/>
          <w:sz w:val="24"/>
          <w:szCs w:val="24"/>
          <w:highlight w:val="none"/>
        </w:rPr>
        <w:t>现场查验</w:t>
      </w:r>
      <w:r>
        <w:rPr>
          <w:rFonts w:hint="eastAsia" w:ascii="宋体" w:hAnsi="宋体" w:eastAsia="宋体" w:cs="宋体"/>
          <w:b/>
          <w:bCs/>
          <w:spacing w:val="-11"/>
          <w:sz w:val="24"/>
          <w:szCs w:val="24"/>
          <w:highlight w:val="none"/>
          <w:lang w:eastAsia="zh-CN"/>
        </w:rPr>
        <w:t>。</w:t>
      </w:r>
    </w:p>
    <w:bookmarkEnd w:id="121"/>
    <w:p w14:paraId="1BB7F44D">
      <w:pPr>
        <w:pStyle w:val="3"/>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2" w:name="_Toc34637792"/>
      <w:r>
        <w:rPr>
          <w:rFonts w:hint="eastAsia" w:ascii="宋体" w:hAnsi="宋体" w:eastAsia="宋体" w:cs="宋体"/>
          <w:color w:val="000000"/>
          <w:sz w:val="24"/>
          <w:szCs w:val="24"/>
        </w:rPr>
        <w:t xml:space="preserve">附件1-2  </w:t>
      </w:r>
    </w:p>
    <w:bookmarkEnd w:id="122"/>
    <w:p w14:paraId="69815E9A">
      <w:pPr>
        <w:pStyle w:val="3"/>
        <w:pageBreakBefore w:val="0"/>
        <w:widowControl/>
        <w:kinsoku/>
        <w:wordWrap/>
        <w:overflowPunct/>
        <w:bidi w:val="0"/>
        <w:spacing w:line="36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法定代表人授权委托书</w:t>
      </w:r>
    </w:p>
    <w:p w14:paraId="3078291D">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本人</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系</w:t>
      </w:r>
      <w:r>
        <w:rPr>
          <w:rFonts w:hint="eastAsia" w:ascii="宋体" w:hAnsi="宋体" w:eastAsia="宋体" w:cs="宋体"/>
          <w:color w:val="000000"/>
          <w:kern w:val="0"/>
          <w:sz w:val="21"/>
          <w:szCs w:val="21"/>
          <w:u w:val="single"/>
        </w:rPr>
        <w:t>（</w:t>
      </w:r>
      <w:r>
        <w:rPr>
          <w:rFonts w:hint="eastAsia" w:ascii="宋体" w:hAnsi="宋体" w:eastAsia="宋体" w:cs="宋体"/>
          <w:color w:val="000000"/>
          <w:sz w:val="21"/>
          <w:szCs w:val="21"/>
          <w:u w:val="single"/>
        </w:rPr>
        <w:t>供应商</w:t>
      </w:r>
      <w:r>
        <w:rPr>
          <w:rFonts w:hint="eastAsia" w:ascii="宋体" w:hAnsi="宋体" w:eastAsia="宋体" w:cs="宋体"/>
          <w:color w:val="000000"/>
          <w:kern w:val="0"/>
          <w:sz w:val="21"/>
          <w:szCs w:val="21"/>
          <w:u w:val="single"/>
        </w:rPr>
        <w:t>名称）</w:t>
      </w:r>
      <w:r>
        <w:rPr>
          <w:rFonts w:hint="eastAsia" w:ascii="宋体" w:hAnsi="宋体" w:eastAsia="宋体" w:cs="宋体"/>
          <w:color w:val="000000"/>
          <w:kern w:val="0"/>
          <w:sz w:val="21"/>
          <w:szCs w:val="21"/>
        </w:rPr>
        <w:t>的法定代表人（</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，现授权</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为我方代理人。代理人根据授权，以我方名义：</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签署、澄清、补正、修改、撤回、提交（项目名称、</w:t>
      </w:r>
      <w:r>
        <w:rPr>
          <w:rFonts w:hint="eastAsia" w:ascii="宋体" w:hAnsi="宋体" w:eastAsia="宋体" w:cs="宋体"/>
          <w:color w:val="000000"/>
          <w:sz w:val="21"/>
          <w:szCs w:val="21"/>
        </w:rPr>
        <w:t>政府</w:t>
      </w:r>
      <w:r>
        <w:rPr>
          <w:rFonts w:hint="eastAsia" w:ascii="宋体" w:hAnsi="宋体" w:eastAsia="宋体" w:cs="宋体"/>
          <w:color w:val="000000"/>
          <w:kern w:val="0"/>
          <w:sz w:val="21"/>
          <w:szCs w:val="21"/>
        </w:rPr>
        <w:t>采购</w:t>
      </w:r>
      <w:r>
        <w:rPr>
          <w:rFonts w:hint="eastAsia" w:ascii="宋体" w:hAnsi="宋体" w:eastAsia="宋体" w:cs="宋体"/>
          <w:color w:val="000000"/>
          <w:kern w:val="0"/>
          <w:sz w:val="21"/>
          <w:szCs w:val="21"/>
          <w:lang w:val="en-US" w:eastAsia="zh-CN"/>
        </w:rPr>
        <w:t>计划</w:t>
      </w:r>
      <w:r>
        <w:rPr>
          <w:rFonts w:hint="eastAsia" w:ascii="宋体" w:hAnsi="宋体" w:eastAsia="宋体" w:cs="宋体"/>
          <w:color w:val="000000"/>
          <w:kern w:val="0"/>
          <w:sz w:val="21"/>
          <w:szCs w:val="21"/>
        </w:rPr>
        <w:t>编号、</w:t>
      </w:r>
      <w:r>
        <w:rPr>
          <w:rFonts w:hint="eastAsia" w:ascii="宋体" w:hAnsi="宋体" w:eastAsia="宋体" w:cs="宋体"/>
          <w:color w:val="000000"/>
          <w:kern w:val="0"/>
          <w:sz w:val="21"/>
          <w:szCs w:val="21"/>
          <w:lang w:val="en-US" w:eastAsia="zh-CN"/>
        </w:rPr>
        <w:t>委托</w:t>
      </w:r>
      <w:r>
        <w:rPr>
          <w:rFonts w:hint="eastAsia" w:ascii="宋体" w:hAnsi="宋体" w:eastAsia="宋体" w:cs="宋体"/>
          <w:color w:val="000000"/>
          <w:kern w:val="0"/>
          <w:sz w:val="21"/>
          <w:szCs w:val="21"/>
        </w:rPr>
        <w:t>代理编号）响应文件；</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签署并重新提交响应文件及最后报价；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退出</w:t>
      </w:r>
      <w:r>
        <w:rPr>
          <w:rFonts w:hint="eastAsia" w:ascii="宋体" w:hAnsi="宋体" w:eastAsia="宋体" w:cs="宋体"/>
          <w:color w:val="000000"/>
          <w:kern w:val="0"/>
          <w:sz w:val="21"/>
          <w:szCs w:val="21"/>
          <w:lang w:val="en-US" w:eastAsia="zh-CN"/>
        </w:rPr>
        <w:t>磋商</w:t>
      </w:r>
      <w:r>
        <w:rPr>
          <w:rFonts w:hint="eastAsia" w:ascii="宋体" w:hAnsi="宋体" w:eastAsia="宋体" w:cs="宋体"/>
          <w:color w:val="000000"/>
          <w:kern w:val="0"/>
          <w:sz w:val="21"/>
          <w:szCs w:val="21"/>
        </w:rPr>
        <w:t>（如可能）；</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签订合同和处理有关事宜，其法律后果由我方承担。</w:t>
      </w:r>
    </w:p>
    <w:p w14:paraId="21AEDEE7">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委托期限：</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w:t>
      </w:r>
    </w:p>
    <w:p w14:paraId="63E73515">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w:t>
      </w:r>
    </w:p>
    <w:p w14:paraId="4C4EC8A4">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本授权书于</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日签字生效，特此声明。</w:t>
      </w:r>
    </w:p>
    <w:tbl>
      <w:tblPr>
        <w:tblStyle w:val="39"/>
        <w:tblpPr w:leftFromText="180" w:rightFromText="180" w:vertAnchor="text" w:horzAnchor="page" w:tblpX="2249" w:tblpY="460"/>
        <w:tblOverlap w:val="never"/>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3901"/>
      </w:tblGrid>
      <w:tr w14:paraId="2CB1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7F419B23">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3B0405AA">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身份证（正面）复印件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729C695">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76E5CC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身份证（反面）复印件</w:t>
            </w:r>
          </w:p>
        </w:tc>
      </w:tr>
      <w:tr w14:paraId="080C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E06FC3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0DB8C3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A983D9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65CE015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797B47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FB87265">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99CCB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63FCEDD">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80573C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ABED74C">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4669F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CD9F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注：供应商代表不是供应商的法定代表人（单位负责人）的提供。供应商为自然人的无需提供。</w:t>
      </w:r>
    </w:p>
    <w:p w14:paraId="40DDCE0D">
      <w:pPr>
        <w:pStyle w:val="34"/>
        <w:pageBreakBefore w:val="0"/>
        <w:kinsoku/>
        <w:wordWrap/>
        <w:overflowPunct/>
        <w:bidi w:val="0"/>
        <w:spacing w:line="360" w:lineRule="auto"/>
        <w:textAlignment w:val="auto"/>
        <w:rPr>
          <w:rFonts w:hint="eastAsia" w:ascii="宋体" w:hAnsi="宋体" w:eastAsia="宋体" w:cs="宋体"/>
          <w:sz w:val="21"/>
          <w:szCs w:val="21"/>
        </w:rPr>
      </w:pPr>
    </w:p>
    <w:p w14:paraId="1C284A9E">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w:t>
      </w:r>
      <w:r>
        <w:rPr>
          <w:rFonts w:hint="eastAsia" w:ascii="宋体" w:hAnsi="宋体" w:eastAsia="宋体" w:cs="宋体"/>
          <w:sz w:val="21"/>
          <w:szCs w:val="21"/>
          <w:lang w:eastAsia="zh-CN"/>
        </w:rPr>
        <w:t>（</w:t>
      </w:r>
      <w:r>
        <w:rPr>
          <w:rFonts w:hint="eastAsia" w:ascii="宋体" w:hAnsi="宋体" w:eastAsia="宋体" w:cs="宋体"/>
          <w:sz w:val="21"/>
          <w:szCs w:val="21"/>
        </w:rPr>
        <w:t>盖单位公章</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C843848">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pacing w:val="-2"/>
          <w:kern w:val="0"/>
          <w:sz w:val="21"/>
          <w:szCs w:val="21"/>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（签字或印章</w:t>
      </w:r>
      <w:r>
        <w:rPr>
          <w:rFonts w:hint="eastAsia" w:ascii="宋体" w:hAnsi="宋体" w:eastAsia="宋体" w:cs="宋体"/>
          <w:color w:val="000000"/>
          <w:spacing w:val="-2"/>
          <w:kern w:val="0"/>
          <w:sz w:val="21"/>
          <w:szCs w:val="21"/>
        </w:rPr>
        <w:t>）</w:t>
      </w:r>
      <w:r>
        <w:rPr>
          <w:rFonts w:hint="eastAsia" w:ascii="宋体" w:hAnsi="宋体" w:eastAsia="宋体" w:cs="宋体"/>
          <w:color w:val="000000"/>
          <w:spacing w:val="-2"/>
          <w:kern w:val="0"/>
          <w:sz w:val="21"/>
          <w:szCs w:val="21"/>
          <w:lang w:eastAsia="zh-CN"/>
        </w:rPr>
        <w:t>：</w:t>
      </w:r>
    </w:p>
    <w:p w14:paraId="76BF11C1">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授权的代理人（</w:t>
      </w:r>
      <w:r>
        <w:rPr>
          <w:rFonts w:hint="eastAsia" w:ascii="宋体" w:hAnsi="宋体" w:eastAsia="宋体" w:cs="宋体"/>
          <w:color w:val="000000"/>
          <w:kern w:val="0"/>
          <w:sz w:val="21"/>
          <w:szCs w:val="21"/>
        </w:rPr>
        <w:t>签字或印章</w:t>
      </w:r>
      <w:r>
        <w:rPr>
          <w:rFonts w:hint="eastAsia" w:ascii="宋体" w:hAnsi="宋体" w:eastAsia="宋体" w:cs="宋体"/>
          <w:color w:val="000000"/>
          <w:sz w:val="21"/>
          <w:szCs w:val="21"/>
        </w:rPr>
        <w:t>）：</w:t>
      </w:r>
    </w:p>
    <w:p w14:paraId="494319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2808B98">
      <w:pPr>
        <w:pageBreakBefore w:val="0"/>
        <w:kinsoku/>
        <w:wordWrap/>
        <w:overflowPunct/>
        <w:bidi w:val="0"/>
        <w:spacing w:line="360" w:lineRule="auto"/>
        <w:textAlignment w:val="auto"/>
        <w:rPr>
          <w:rFonts w:hint="eastAsia" w:ascii="宋体" w:hAnsi="宋体" w:eastAsia="宋体" w:cs="宋体"/>
          <w:color w:val="000000"/>
          <w:sz w:val="21"/>
          <w:szCs w:val="21"/>
        </w:rPr>
      </w:pPr>
      <w:bookmarkStart w:id="123" w:name="_Toc20702"/>
      <w:bookmarkStart w:id="124" w:name="_Toc11143"/>
      <w:bookmarkStart w:id="125" w:name="_Toc12683"/>
      <w:bookmarkStart w:id="126" w:name="_Toc1078"/>
      <w:bookmarkStart w:id="127" w:name="_Toc2805"/>
      <w:bookmarkStart w:id="128" w:name="_Toc34637795"/>
    </w:p>
    <w:p w14:paraId="12CD2733">
      <w:pPr>
        <w:pStyle w:val="3"/>
        <w:pageBreakBefore w:val="0"/>
        <w:kinsoku/>
        <w:wordWrap/>
        <w:overflowPunct/>
        <w:bidi w:val="0"/>
        <w:spacing w:line="360" w:lineRule="auto"/>
        <w:textAlignment w:val="auto"/>
        <w:rPr>
          <w:rFonts w:hint="eastAsia" w:ascii="宋体" w:hAnsi="宋体" w:eastAsia="宋体" w:cs="宋体"/>
          <w:color w:val="000000"/>
          <w:sz w:val="21"/>
          <w:szCs w:val="21"/>
        </w:rPr>
      </w:pPr>
    </w:p>
    <w:p w14:paraId="62900D06">
      <w:pPr>
        <w:pageBreakBefore w:val="0"/>
        <w:kinsoku/>
        <w:wordWrap/>
        <w:overflowPunct/>
        <w:bidi w:val="0"/>
        <w:spacing w:line="360" w:lineRule="auto"/>
        <w:textAlignment w:val="auto"/>
        <w:rPr>
          <w:rFonts w:hint="eastAsia" w:ascii="宋体" w:hAnsi="宋体" w:eastAsia="宋体" w:cs="宋体"/>
          <w:sz w:val="21"/>
          <w:szCs w:val="21"/>
        </w:rPr>
      </w:pPr>
    </w:p>
    <w:p w14:paraId="73010C2E">
      <w:pPr>
        <w:rPr>
          <w:rFonts w:hint="eastAsia"/>
          <w:b/>
          <w:bCs/>
        </w:rPr>
      </w:pPr>
    </w:p>
    <w:p w14:paraId="5709D577">
      <w:pPr>
        <w:jc w:val="left"/>
        <w:rPr>
          <w:rFonts w:hint="eastAsia"/>
          <w:b/>
          <w:bCs/>
        </w:rPr>
      </w:pPr>
      <w:r>
        <w:rPr>
          <w:rFonts w:hint="eastAsia" w:asciiTheme="minorEastAsia" w:hAnsiTheme="minorEastAsia" w:eastAsiaTheme="minorEastAsia" w:cstheme="minorEastAsia"/>
          <w:b/>
          <w:bCs/>
          <w:snapToGrid w:val="0"/>
          <w:color w:val="000000"/>
          <w:spacing w:val="9"/>
          <w:kern w:val="0"/>
          <w:sz w:val="24"/>
          <w:szCs w:val="24"/>
          <w:highlight w:val="none"/>
          <w:lang w:eastAsia="en-US"/>
        </w:rPr>
        <w:t>备注</w:t>
      </w:r>
      <w:r>
        <w:rPr>
          <w:rFonts w:hint="eastAsia" w:asciiTheme="minorEastAsia" w:hAnsiTheme="minorEastAsia" w:eastAsiaTheme="minorEastAsia" w:cstheme="minorEastAsia"/>
          <w:b/>
          <w:bCs/>
          <w:snapToGrid w:val="0"/>
          <w:color w:val="000000"/>
          <w:spacing w:val="9"/>
          <w:kern w:val="0"/>
          <w:sz w:val="24"/>
          <w:szCs w:val="24"/>
          <w:highlight w:val="none"/>
          <w:lang w:eastAsia="zh-CN"/>
        </w:rPr>
        <w:t>：</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本授权委托书须单独另备一份及委托代理人身份证原件，并附法定代表人身份证明</w:t>
      </w:r>
      <w:r>
        <w:rPr>
          <w:rFonts w:hint="eastAsia" w:asciiTheme="minorEastAsia" w:hAnsiTheme="minorEastAsia" w:cstheme="minorEastAsia"/>
          <w:b/>
          <w:bCs/>
          <w:snapToGrid w:val="0"/>
          <w:color w:val="000000"/>
          <w:spacing w:val="9"/>
          <w:kern w:val="0"/>
          <w:sz w:val="24"/>
          <w:szCs w:val="24"/>
          <w:highlight w:val="none"/>
          <w:lang w:val="en-US" w:eastAsia="zh-CN"/>
        </w:rPr>
        <w:t>开标</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现场查验。</w:t>
      </w:r>
    </w:p>
    <w:p w14:paraId="43CDC2CD">
      <w:pPr>
        <w:pStyle w:val="3"/>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p>
    <w:p w14:paraId="639947F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二、保证金</w:t>
      </w:r>
      <w:bookmarkEnd w:id="123"/>
      <w:bookmarkEnd w:id="124"/>
      <w:bookmarkEnd w:id="125"/>
    </w:p>
    <w:p w14:paraId="1177C000">
      <w:pPr>
        <w:pageBreakBefore w:val="0"/>
        <w:kinsoku/>
        <w:wordWrap/>
        <w:overflowPunct/>
        <w:bidi w:val="0"/>
        <w:adjustRightInd w:val="0"/>
        <w:snapToGrid w:val="0"/>
        <w:spacing w:beforeAutospacing="0" w:afterAutospacing="0" w:line="360" w:lineRule="auto"/>
        <w:ind w:firstLine="482" w:firstLineChars="200"/>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备注：（本项目不提供保证金）</w:t>
      </w:r>
    </w:p>
    <w:p w14:paraId="516297D9">
      <w:pPr>
        <w:pStyle w:val="54"/>
        <w:pageBreakBefore w:val="0"/>
        <w:kinsoku/>
        <w:wordWrap/>
        <w:overflowPunct/>
        <w:bidi w:val="0"/>
        <w:spacing w:beforeAutospacing="0" w:afterAutospacing="0" w:line="360" w:lineRule="auto"/>
        <w:ind w:firstLine="0" w:firstLineChars="0"/>
        <w:textAlignment w:val="auto"/>
        <w:rPr>
          <w:rFonts w:hint="eastAsia" w:ascii="宋体" w:hAnsi="宋体" w:eastAsia="宋体" w:cs="宋体"/>
          <w:b/>
          <w:color w:val="000000"/>
          <w:sz w:val="21"/>
          <w:szCs w:val="21"/>
        </w:rPr>
      </w:pPr>
    </w:p>
    <w:p w14:paraId="1528D5EC">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如需提供：付款凭证复印件，或金融机构、担保机构出具的保函原件。</w:t>
      </w:r>
    </w:p>
    <w:p w14:paraId="6757913B">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附件2-1 </w:t>
      </w:r>
      <w:bookmarkEnd w:id="126"/>
      <w:bookmarkEnd w:id="127"/>
    </w:p>
    <w:p w14:paraId="03440FB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color w:val="000000"/>
          <w:sz w:val="21"/>
          <w:szCs w:val="21"/>
          <w:u w:val="single"/>
        </w:rPr>
      </w:pPr>
      <w:r>
        <w:rPr>
          <w:rFonts w:hint="eastAsia" w:ascii="宋体" w:hAnsi="宋体" w:eastAsia="宋体" w:cs="宋体"/>
          <w:b/>
          <w:color w:val="000000"/>
          <w:sz w:val="21"/>
          <w:szCs w:val="21"/>
        </w:rPr>
        <w:t>保函</w:t>
      </w:r>
    </w:p>
    <w:p w14:paraId="17A8AB0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（金融机构、担保机构保函）</w:t>
      </w:r>
    </w:p>
    <w:p w14:paraId="379648DF">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（采购人名称）：</w:t>
      </w:r>
    </w:p>
    <w:p w14:paraId="0F2165F0">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鉴于（供应商名称）（以</w:t>
      </w:r>
      <w:r>
        <w:rPr>
          <w:rFonts w:hint="eastAsia" w:ascii="宋体" w:hAnsi="宋体" w:eastAsia="宋体" w:cs="宋体"/>
          <w:color w:val="000000"/>
          <w:sz w:val="21"/>
          <w:szCs w:val="21"/>
          <w:lang w:eastAsia="zh-CN"/>
        </w:rPr>
        <w:t>下简</w:t>
      </w:r>
      <w:r>
        <w:rPr>
          <w:rFonts w:hint="eastAsia" w:ascii="宋体" w:hAnsi="宋体" w:eastAsia="宋体" w:cs="宋体"/>
          <w:color w:val="000000"/>
          <w:sz w:val="21"/>
          <w:szCs w:val="21"/>
        </w:rPr>
        <w:t>称“供应商”）于  年  月  日参加（项目名称）的竞争性磋商（政府采购计划编号</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采购代理编号</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 </w:t>
      </w:r>
    </w:p>
    <w:p w14:paraId="7C312534">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本保函在响应文件有效期内保持有效。要求我方承担保证责任的通知应在响应文件有效期内送达我方。</w:t>
      </w:r>
    </w:p>
    <w:p w14:paraId="52EDB6D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担保人名称：（盖单位公章）</w:t>
      </w:r>
    </w:p>
    <w:p w14:paraId="1CE1BE46">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法定代表人（单位负责人）或委托代理人：（签字或印章）</w:t>
      </w:r>
    </w:p>
    <w:p w14:paraId="54F7E80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    址：</w:t>
      </w:r>
    </w:p>
    <w:p w14:paraId="1DB779DB">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p w14:paraId="70025737">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    话：</w:t>
      </w:r>
    </w:p>
    <w:p w14:paraId="7F76FE0E">
      <w:pPr>
        <w:pageBreakBefore w:val="0"/>
        <w:kinsoku/>
        <w:wordWrap/>
        <w:overflowPunct/>
        <w:bidi w:val="0"/>
        <w:adjustRightInd w:val="0"/>
        <w:snapToGrid w:val="0"/>
        <w:spacing w:beforeAutospacing="0" w:afterAutospacing="0" w:line="360" w:lineRule="auto"/>
        <w:ind w:firstLine="420" w:firstLineChars="200"/>
        <w:jc w:val="both"/>
        <w:textAlignment w:val="auto"/>
        <w:rPr>
          <w:rFonts w:hint="eastAsia" w:ascii="宋体" w:hAnsi="宋体" w:eastAsia="宋体" w:cs="宋体"/>
          <w:color w:val="000000"/>
          <w:sz w:val="21"/>
          <w:szCs w:val="21"/>
        </w:rPr>
        <w:sectPr>
          <w:headerReference r:id="rId13" w:type="default"/>
          <w:footerReference r:id="rId14" w:type="default"/>
          <w:pgSz w:w="11906" w:h="16838"/>
          <w:pgMar w:top="1134" w:right="1247" w:bottom="1134" w:left="1247" w:header="851" w:footer="992" w:gutter="0"/>
          <w:pgNumType w:fmt="decimal"/>
          <w:cols w:space="0" w:num="1"/>
          <w:rtlGutter w:val="0"/>
          <w:docGrid w:type="lines" w:linePitch="312" w:charSpace="0"/>
        </w:sectPr>
      </w:pPr>
      <w:r>
        <w:rPr>
          <w:rFonts w:hint="eastAsia" w:ascii="宋体" w:hAnsi="宋体" w:eastAsia="宋体" w:cs="宋体"/>
          <w:color w:val="000000"/>
          <w:sz w:val="21"/>
          <w:szCs w:val="21"/>
        </w:rPr>
        <w:t xml:space="preserve">日期：年   </w:t>
      </w:r>
    </w:p>
    <w:p w14:paraId="6C64077E">
      <w:pPr>
        <w:pStyle w:val="4"/>
        <w:pageBreakBefore w:val="0"/>
        <w:widowControl/>
        <w:kinsoku/>
        <w:wordWrap/>
        <w:overflowPunct/>
        <w:bidi w:val="0"/>
        <w:spacing w:line="360" w:lineRule="auto"/>
        <w:jc w:val="center"/>
        <w:textAlignment w:val="auto"/>
        <w:rPr>
          <w:rFonts w:hint="eastAsia" w:ascii="宋体" w:hAnsi="宋体" w:eastAsia="宋体" w:cs="宋体"/>
          <w:sz w:val="24"/>
          <w:szCs w:val="24"/>
        </w:rPr>
      </w:pPr>
      <w:bookmarkStart w:id="129" w:name="_Toc34637835"/>
      <w:r>
        <w:rPr>
          <w:rFonts w:hint="eastAsia" w:ascii="宋体" w:hAnsi="宋体" w:eastAsia="宋体" w:cs="宋体"/>
          <w:sz w:val="24"/>
          <w:szCs w:val="24"/>
        </w:rPr>
        <w:t>三、供应商的资格证明材料</w:t>
      </w:r>
    </w:p>
    <w:bookmarkEnd w:id="129"/>
    <w:p w14:paraId="1A1AFE1D">
      <w:pPr>
        <w:pageBreakBefore w:val="0"/>
        <w:kinsoku/>
        <w:wordWrap/>
        <w:overflowPunct/>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附件3-1</w:t>
      </w:r>
    </w:p>
    <w:p w14:paraId="09FB8BD7">
      <w:pPr>
        <w:pageBreakBefore w:val="0"/>
        <w:kinsoku/>
        <w:wordWrap/>
        <w:overflowPunct/>
        <w:bidi w:val="0"/>
        <w:adjustRightInd w:val="0"/>
        <w:snapToGri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供应商资格声明</w:t>
      </w:r>
    </w:p>
    <w:p w14:paraId="7FFB5E62">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致</w:t>
      </w:r>
      <w:r>
        <w:rPr>
          <w:rFonts w:hint="eastAsia" w:ascii="宋体" w:hAnsi="宋体" w:eastAsia="宋体" w:cs="宋体"/>
          <w:sz w:val="21"/>
          <w:szCs w:val="21"/>
          <w:lang w:eastAsia="zh-CN"/>
        </w:rPr>
        <w:t>（</w:t>
      </w:r>
      <w:r>
        <w:rPr>
          <w:rFonts w:hint="eastAsia" w:ascii="宋体" w:hAnsi="宋体" w:eastAsia="宋体" w:cs="宋体"/>
          <w:sz w:val="21"/>
          <w:szCs w:val="21"/>
        </w:rPr>
        <w:t>采购人、采购代理机构</w:t>
      </w:r>
      <w:r>
        <w:rPr>
          <w:rFonts w:hint="eastAsia" w:ascii="宋体" w:hAnsi="宋体" w:eastAsia="宋体" w:cs="宋体"/>
          <w:sz w:val="21"/>
          <w:szCs w:val="21"/>
          <w:lang w:eastAsia="zh-CN"/>
        </w:rPr>
        <w:t>）</w:t>
      </w:r>
      <w:r>
        <w:rPr>
          <w:rFonts w:hint="eastAsia" w:ascii="宋体" w:hAnsi="宋体" w:eastAsia="宋体" w:cs="宋体"/>
          <w:sz w:val="21"/>
          <w:szCs w:val="21"/>
        </w:rPr>
        <w:t>：</w:t>
      </w:r>
    </w:p>
    <w:p w14:paraId="128F07EE">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按照《中华人民共和国政府采购法》及实施条例和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项目名称</w:t>
      </w:r>
      <w:r>
        <w:rPr>
          <w:rFonts w:hint="eastAsia" w:ascii="宋体" w:hAnsi="宋体" w:eastAsia="宋体" w:cs="宋体"/>
          <w:sz w:val="21"/>
          <w:szCs w:val="21"/>
          <w:u w:val="single"/>
          <w:lang w:eastAsia="zh-CN"/>
        </w:rPr>
        <w:t>）</w:t>
      </w:r>
      <w:r>
        <w:rPr>
          <w:rFonts w:hint="eastAsia" w:ascii="宋体" w:hAnsi="宋体" w:eastAsia="宋体" w:cs="宋体"/>
          <w:sz w:val="21"/>
          <w:szCs w:val="21"/>
        </w:rPr>
        <w:t>邀请</w:t>
      </w:r>
      <w:r>
        <w:rPr>
          <w:rFonts w:hint="eastAsia" w:ascii="宋体" w:hAnsi="宋体" w:eastAsia="宋体" w:cs="宋体"/>
          <w:sz w:val="21"/>
          <w:szCs w:val="21"/>
          <w:lang w:val="en-US" w:eastAsia="zh-CN"/>
        </w:rPr>
        <w:t>公告</w:t>
      </w:r>
      <w:r>
        <w:rPr>
          <w:rFonts w:hint="eastAsia" w:ascii="宋体" w:hAnsi="宋体" w:eastAsia="宋体" w:cs="宋体"/>
          <w:sz w:val="21"/>
          <w:szCs w:val="21"/>
        </w:rPr>
        <w:t>的规定，我单位郑重声明如下：</w:t>
      </w:r>
    </w:p>
    <w:p w14:paraId="1957CD93">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一、我单位是按照中华人民共和国法律规定登记注册的，注册地点为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，全称为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，统一社会信用代码为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，法定代表人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，具有独立承担民事责任的能力。</w:t>
      </w:r>
    </w:p>
    <w:p w14:paraId="588FE94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二、我单位具有良好的商业信誉和健全的财务会计制度。</w:t>
      </w:r>
    </w:p>
    <w:p w14:paraId="4FE7D0A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三、我</w:t>
      </w:r>
      <w:r>
        <w:rPr>
          <w:rFonts w:hint="eastAsia" w:ascii="宋体" w:hAnsi="宋体" w:eastAsia="宋体" w:cs="宋体"/>
          <w:sz w:val="21"/>
          <w:szCs w:val="21"/>
        </w:rPr>
        <w:t>单位</w:t>
      </w:r>
      <w:r>
        <w:rPr>
          <w:rFonts w:hint="eastAsia" w:ascii="宋体" w:hAnsi="宋体" w:eastAsia="宋体" w:cs="宋体"/>
          <w:kern w:val="0"/>
          <w:sz w:val="21"/>
          <w:szCs w:val="21"/>
        </w:rPr>
        <w:t>依法进行纳税和社会保险申报并实际履行了义务。</w:t>
      </w:r>
    </w:p>
    <w:p w14:paraId="244B1780">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四、</w:t>
      </w:r>
      <w:r>
        <w:rPr>
          <w:rFonts w:hint="eastAsia" w:ascii="宋体" w:hAnsi="宋体" w:eastAsia="宋体" w:cs="宋体"/>
          <w:sz w:val="21"/>
          <w:szCs w:val="21"/>
        </w:rPr>
        <w:t>我单位具有履行本项目采购合同所必需的设备和专业技术能力，并具有履行合同的良好记录。</w:t>
      </w:r>
    </w:p>
    <w:p w14:paraId="58861F8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w:t>
      </w:r>
      <w:r>
        <w:rPr>
          <w:rFonts w:hint="eastAsia" w:ascii="宋体" w:hAnsi="宋体" w:eastAsia="宋体" w:cs="宋体"/>
          <w:sz w:val="21"/>
          <w:szCs w:val="21"/>
          <w:lang w:eastAsia="zh-CN"/>
        </w:rPr>
        <w:t>法律法规</w:t>
      </w:r>
      <w:r>
        <w:rPr>
          <w:rFonts w:hint="eastAsia" w:ascii="宋体" w:hAnsi="宋体" w:eastAsia="宋体" w:cs="宋体"/>
          <w:sz w:val="21"/>
          <w:szCs w:val="21"/>
        </w:rPr>
        <w:t>、规章、国务院有关行政主管部门对“较大数额罚款”金额标准另有规定的，从其规定。</w:t>
      </w:r>
    </w:p>
    <w:p w14:paraId="2C0A3F2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供应商在参加政府采购活动前3年内因违法经营被禁止在一定期限内参加政府采购活动，期限届满的，可以参加政府采购活动。</w:t>
      </w:r>
    </w:p>
    <w:p w14:paraId="378D0EB4">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六、我单位具备法律、行政法规规定的其他条件。</w:t>
      </w:r>
    </w:p>
    <w:p w14:paraId="6362F63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七、与我单位存在“单位负责人为同一人或者存在直接控股、管理关系”的其他单位信息如下（如无，填写“无”）：</w:t>
      </w:r>
    </w:p>
    <w:p w14:paraId="343682EF">
      <w:pPr>
        <w:pageBreakBefore w:val="0"/>
        <w:kinsoku/>
        <w:wordWrap/>
        <w:overflowPunct/>
        <w:bidi w:val="0"/>
        <w:adjustRightInd w:val="0"/>
        <w:snapToGrid w:val="0"/>
        <w:spacing w:beforeLines="50" w:line="360" w:lineRule="auto"/>
        <w:ind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lang w:eastAsia="zh-CN"/>
        </w:rPr>
        <w:t>1.</w:t>
      </w:r>
      <w:r>
        <w:rPr>
          <w:rFonts w:hint="eastAsia" w:ascii="宋体" w:hAnsi="宋体" w:eastAsia="宋体" w:cs="宋体"/>
          <w:sz w:val="21"/>
          <w:szCs w:val="21"/>
        </w:rPr>
        <w:t>与我单位的法定代表人（单位负责人）为同一人的其他单位如下：</w:t>
      </w:r>
      <w:r>
        <w:rPr>
          <w:rFonts w:hint="eastAsia" w:ascii="宋体" w:hAnsi="宋体" w:eastAsia="宋体" w:cs="宋体"/>
          <w:sz w:val="21"/>
          <w:szCs w:val="21"/>
          <w:u w:val="single"/>
          <w:lang w:val="en-US" w:eastAsia="zh-CN"/>
        </w:rPr>
        <w:t xml:space="preserve">     </w:t>
      </w:r>
    </w:p>
    <w:p w14:paraId="05CC3742">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lang w:eastAsia="zh-CN"/>
        </w:rPr>
        <w:t>2.</w:t>
      </w:r>
      <w:r>
        <w:rPr>
          <w:rFonts w:hint="eastAsia" w:ascii="宋体" w:hAnsi="宋体" w:eastAsia="宋体" w:cs="宋体"/>
          <w:sz w:val="21"/>
          <w:szCs w:val="21"/>
        </w:rPr>
        <w:t>我单位直接控股的其他单位如下：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04BE091">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3.</w:t>
      </w:r>
      <w:r>
        <w:rPr>
          <w:rFonts w:hint="eastAsia" w:ascii="宋体" w:hAnsi="宋体" w:eastAsia="宋体" w:cs="宋体"/>
          <w:sz w:val="21"/>
          <w:szCs w:val="21"/>
        </w:rPr>
        <w:t>与我单位存在管理关系的其他单位如下：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579480E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八、</w:t>
      </w:r>
      <w:r>
        <w:rPr>
          <w:rFonts w:hint="eastAsia" w:ascii="宋体" w:hAnsi="宋体" w:eastAsia="宋体" w:cs="宋体"/>
          <w:sz w:val="21"/>
          <w:szCs w:val="21"/>
        </w:rPr>
        <w:t>我单位不属于为本项目提供整体设计、规范编制或者项目管理、监理、检测等服务的供应商。</w:t>
      </w:r>
    </w:p>
    <w:p w14:paraId="2F5A5E95">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九、我单位无以下不良信用记录情形：</w:t>
      </w:r>
    </w:p>
    <w:p w14:paraId="0D9E1F31">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在“信用中国”网站被列入失信被执行人和重大税收违法案件当事人名单；</w:t>
      </w:r>
    </w:p>
    <w:p w14:paraId="4330458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在“中国政府采购网”网站被列入政府采购严重违法失信行为记录名单；</w:t>
      </w:r>
    </w:p>
    <w:p w14:paraId="6CBF2C3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不符合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第二十二条规定的条件。</w:t>
      </w:r>
    </w:p>
    <w:p w14:paraId="00C04679">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我单位保证上述声明的事项都是真实的，如有虚假，我单位愿意承担相应的法律责任，并承担因此所造成的一切损失。</w:t>
      </w:r>
    </w:p>
    <w:p w14:paraId="12DCF22C">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注：第三条“良好的商业信誉”是指供应商经营状况良好，无本资格声明第九条情形。</w:t>
      </w:r>
    </w:p>
    <w:p w14:paraId="19D576F7">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p>
    <w:p w14:paraId="5BC7E15F">
      <w:pPr>
        <w:pageBreakBefore w:val="0"/>
        <w:widowControl/>
        <w:kinsoku/>
        <w:wordWrap/>
        <w:overflowPunct/>
        <w:bidi w:val="0"/>
        <w:adjustRightInd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供应商名称（盖单位公章）：</w:t>
      </w:r>
    </w:p>
    <w:p w14:paraId="37668534">
      <w:pPr>
        <w:pageBreakBefore w:val="0"/>
        <w:widowControl/>
        <w:kinsoku/>
        <w:wordWrap/>
        <w:overflowPunct/>
        <w:bidi w:val="0"/>
        <w:adjustRightInd w:val="0"/>
        <w:snapToGrid w:val="0"/>
        <w:spacing w:line="360" w:lineRule="auto"/>
        <w:jc w:val="left"/>
        <w:textAlignment w:val="auto"/>
        <w:rPr>
          <w:rFonts w:hint="eastAsia" w:ascii="宋体" w:hAnsi="宋体" w:eastAsia="宋体" w:cs="宋体"/>
          <w:b/>
          <w:bCs/>
          <w:kern w:val="0"/>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或委托代理人：（签字或印章）</w:t>
      </w:r>
    </w:p>
    <w:p w14:paraId="16479529">
      <w:pPr>
        <w:pageBreakBefore w:val="0"/>
        <w:widowControl/>
        <w:kinsoku/>
        <w:wordWrap/>
        <w:overflowPunct/>
        <w:bidi w:val="0"/>
        <w:adjustRightInd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3B3D5D0E">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7D7E5F46">
      <w:pPr>
        <w:pageBreakBefore w:val="0"/>
        <w:kinsoku/>
        <w:wordWrap/>
        <w:overflowPunct/>
        <w:bidi w:val="0"/>
        <w:spacing w:line="360" w:lineRule="auto"/>
        <w:textAlignment w:val="auto"/>
        <w:rPr>
          <w:rFonts w:hint="eastAsia" w:ascii="宋体" w:hAnsi="宋体" w:eastAsia="宋体" w:cs="宋体"/>
          <w:b/>
          <w:bCs/>
          <w:sz w:val="21"/>
          <w:szCs w:val="21"/>
        </w:rPr>
      </w:pPr>
    </w:p>
    <w:p w14:paraId="5CAE679B">
      <w:pPr>
        <w:pageBreakBefore w:val="0"/>
        <w:kinsoku/>
        <w:wordWrap/>
        <w:overflowPunct/>
        <w:bidi w:val="0"/>
        <w:spacing w:line="360" w:lineRule="auto"/>
        <w:textAlignment w:val="auto"/>
        <w:rPr>
          <w:rFonts w:hint="eastAsia" w:ascii="宋体" w:hAnsi="宋体" w:eastAsia="宋体" w:cs="宋体"/>
          <w:b/>
          <w:bCs/>
          <w:sz w:val="21"/>
          <w:szCs w:val="21"/>
        </w:rPr>
      </w:pPr>
    </w:p>
    <w:p w14:paraId="3161CCA3">
      <w:pPr>
        <w:pageBreakBefore w:val="0"/>
        <w:kinsoku/>
        <w:wordWrap/>
        <w:overflowPunct/>
        <w:bidi w:val="0"/>
        <w:spacing w:line="360" w:lineRule="auto"/>
        <w:textAlignment w:val="auto"/>
        <w:rPr>
          <w:rFonts w:hint="eastAsia" w:ascii="宋体" w:hAnsi="宋体" w:eastAsia="宋体" w:cs="宋体"/>
          <w:b/>
          <w:bCs/>
          <w:sz w:val="21"/>
          <w:szCs w:val="21"/>
        </w:rPr>
      </w:pPr>
    </w:p>
    <w:p w14:paraId="3DDD4FCD">
      <w:pPr>
        <w:pageBreakBefore w:val="0"/>
        <w:kinsoku/>
        <w:wordWrap/>
        <w:overflowPunct/>
        <w:bidi w:val="0"/>
        <w:spacing w:line="360" w:lineRule="auto"/>
        <w:textAlignment w:val="auto"/>
        <w:rPr>
          <w:rFonts w:hint="eastAsia" w:ascii="宋体" w:hAnsi="宋体" w:eastAsia="宋体" w:cs="宋体"/>
          <w:b/>
          <w:bCs/>
          <w:sz w:val="21"/>
          <w:szCs w:val="21"/>
        </w:rPr>
      </w:pPr>
    </w:p>
    <w:p w14:paraId="3B544CB4">
      <w:pPr>
        <w:pageBreakBefore w:val="0"/>
        <w:kinsoku/>
        <w:wordWrap/>
        <w:overflowPunct/>
        <w:bidi w:val="0"/>
        <w:spacing w:line="360" w:lineRule="auto"/>
        <w:textAlignment w:val="auto"/>
        <w:rPr>
          <w:rFonts w:hint="eastAsia" w:ascii="宋体" w:hAnsi="宋体" w:eastAsia="宋体" w:cs="宋体"/>
          <w:b/>
          <w:bCs/>
          <w:sz w:val="21"/>
          <w:szCs w:val="21"/>
        </w:rPr>
      </w:pPr>
    </w:p>
    <w:p w14:paraId="1D487CAA">
      <w:pPr>
        <w:pageBreakBefore w:val="0"/>
        <w:kinsoku/>
        <w:wordWrap/>
        <w:overflowPunct/>
        <w:bidi w:val="0"/>
        <w:spacing w:line="360" w:lineRule="auto"/>
        <w:textAlignment w:val="auto"/>
        <w:rPr>
          <w:rFonts w:hint="eastAsia" w:ascii="宋体" w:hAnsi="宋体" w:eastAsia="宋体" w:cs="宋体"/>
          <w:b/>
          <w:bCs/>
          <w:sz w:val="21"/>
          <w:szCs w:val="21"/>
        </w:rPr>
      </w:pPr>
    </w:p>
    <w:p w14:paraId="1F329CCE">
      <w:pPr>
        <w:pageBreakBefore w:val="0"/>
        <w:kinsoku/>
        <w:wordWrap/>
        <w:overflowPunct/>
        <w:bidi w:val="0"/>
        <w:spacing w:line="360" w:lineRule="auto"/>
        <w:textAlignment w:val="auto"/>
        <w:rPr>
          <w:rFonts w:hint="eastAsia" w:ascii="宋体" w:hAnsi="宋体" w:eastAsia="宋体" w:cs="宋体"/>
          <w:b/>
          <w:bCs/>
          <w:sz w:val="21"/>
          <w:szCs w:val="21"/>
        </w:rPr>
      </w:pPr>
    </w:p>
    <w:p w14:paraId="7EC46144">
      <w:pPr>
        <w:pageBreakBefore w:val="0"/>
        <w:kinsoku/>
        <w:wordWrap/>
        <w:overflowPunct/>
        <w:bidi w:val="0"/>
        <w:spacing w:line="360" w:lineRule="auto"/>
        <w:textAlignment w:val="auto"/>
        <w:rPr>
          <w:rFonts w:hint="eastAsia" w:ascii="宋体" w:hAnsi="宋体" w:eastAsia="宋体" w:cs="宋体"/>
          <w:b/>
          <w:bCs/>
          <w:sz w:val="21"/>
          <w:szCs w:val="21"/>
        </w:rPr>
      </w:pPr>
    </w:p>
    <w:p w14:paraId="6C82F9E4">
      <w:pPr>
        <w:pStyle w:val="34"/>
        <w:pageBreakBefore w:val="0"/>
        <w:widowControl/>
        <w:kinsoku/>
        <w:wordWrap/>
        <w:overflowPunct/>
        <w:bidi w:val="0"/>
        <w:spacing w:line="360" w:lineRule="auto"/>
        <w:ind w:firstLine="420"/>
        <w:jc w:val="left"/>
        <w:textAlignment w:val="auto"/>
        <w:rPr>
          <w:rFonts w:hint="eastAsia" w:ascii="宋体" w:hAnsi="宋体" w:eastAsia="宋体" w:cs="宋体"/>
          <w:b/>
          <w:sz w:val="21"/>
          <w:szCs w:val="21"/>
        </w:rPr>
      </w:pPr>
    </w:p>
    <w:p w14:paraId="4AFA90D7">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6D6AE9C">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156C1607">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DD84FF4">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00B47078">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A0F270F">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7D233BC">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FDDB17A">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0351C54">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5B01249">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6B84E501">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bookmarkEnd w:id="128"/>
    <w:p w14:paraId="68D19762">
      <w:pPr>
        <w:pStyle w:val="4"/>
        <w:pageBreakBefore w:val="0"/>
        <w:kinsoku/>
        <w:wordWrap/>
        <w:overflowPunct/>
        <w:bidi w:val="0"/>
        <w:spacing w:before="0" w:beforeAutospacing="0" w:after="0" w:afterAutospacing="0" w:line="36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附件3-</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w:t>
      </w:r>
    </w:p>
    <w:p w14:paraId="445F7AE8">
      <w:pPr>
        <w:pageBreakBefore w:val="0"/>
        <w:widowControl/>
        <w:kinsoku/>
        <w:wordWrap/>
        <w:overflowPunct/>
        <w:bidi w:val="0"/>
        <w:adjustRightInd w:val="0"/>
        <w:snapToGrid w:val="0"/>
        <w:spacing w:beforeAutospacing="0" w:afterAutospacing="0" w:line="360" w:lineRule="auto"/>
        <w:jc w:val="both"/>
        <w:textAlignment w:val="auto"/>
        <w:rPr>
          <w:rFonts w:hint="eastAsia" w:ascii="宋体" w:hAnsi="宋体" w:eastAsia="宋体" w:cs="宋体"/>
          <w:b/>
          <w:sz w:val="21"/>
          <w:szCs w:val="21"/>
          <w:highlight w:val="none"/>
        </w:rPr>
      </w:pPr>
    </w:p>
    <w:p w14:paraId="4AB70FD6">
      <w:pPr>
        <w:pageBreakBefore w:val="0"/>
        <w:widowControl/>
        <w:kinsoku/>
        <w:wordWrap/>
        <w:overflowPunct/>
        <w:bidi w:val="0"/>
        <w:adjustRightInd w:val="0"/>
        <w:snapToGrid w:val="0"/>
        <w:spacing w:beforeAutospacing="0" w:afterAutospacing="0" w:line="360" w:lineRule="auto"/>
        <w:ind w:left="0" w:leftChars="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法人或者其他组织的营业执照等主体资格证明文件，自然人的身份证明</w:t>
      </w:r>
    </w:p>
    <w:p w14:paraId="5136E460">
      <w:pPr>
        <w:pageBreakBefore w:val="0"/>
        <w:widowControl/>
        <w:kinsoku/>
        <w:wordWrap/>
        <w:overflowPunct/>
        <w:bidi w:val="0"/>
        <w:adjustRightInd w:val="0"/>
        <w:snapToGrid w:val="0"/>
        <w:spacing w:beforeAutospacing="0" w:afterAutospacing="0" w:line="360" w:lineRule="auto"/>
        <w:ind w:firstLine="426" w:firstLineChars="200"/>
        <w:jc w:val="center"/>
        <w:textAlignment w:val="auto"/>
        <w:rPr>
          <w:rFonts w:hint="eastAsia" w:ascii="宋体" w:hAnsi="宋体" w:eastAsia="宋体" w:cs="宋体"/>
          <w:sz w:val="21"/>
          <w:szCs w:val="21"/>
          <w:highlight w:val="none"/>
        </w:rPr>
      </w:pPr>
    </w:p>
    <w:p w14:paraId="56918A5F">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2FDD8E84">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（1）投标人为法人的，应提交营业执照或法人登记证书的复印件；</w:t>
      </w:r>
    </w:p>
    <w:p w14:paraId="1771CEE6">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（2）投标人为非法人组织的，应提交依法登记证书复印件；</w:t>
      </w:r>
    </w:p>
    <w:p w14:paraId="14635315">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（3）投标人为个体工商户的，应提交个体工商户营业执照复印件；</w:t>
      </w:r>
    </w:p>
    <w:p w14:paraId="4D4DE80C">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（4）投标人为自然人的，应提交自然人的身份证明复印件。</w:t>
      </w:r>
    </w:p>
    <w:p w14:paraId="0B71D670">
      <w:pPr>
        <w:pStyle w:val="22"/>
        <w:pageBreakBefore w:val="0"/>
        <w:kinsoku/>
        <w:wordWrap/>
        <w:overflowPunct/>
        <w:bidi w:val="0"/>
        <w:adjustRightInd w:val="0"/>
        <w:snapToGrid w:val="0"/>
        <w:spacing w:beforeAutospacing="0" w:afterAutospacing="0" w:line="360" w:lineRule="auto"/>
        <w:ind w:left="4686" w:leftChars="2200"/>
        <w:textAlignment w:val="auto"/>
        <w:rPr>
          <w:rFonts w:hint="eastAsia" w:ascii="宋体" w:hAnsi="宋体" w:eastAsia="宋体" w:cs="宋体"/>
          <w:sz w:val="21"/>
          <w:szCs w:val="21"/>
          <w:highlight w:val="none"/>
        </w:rPr>
      </w:pPr>
    </w:p>
    <w:p w14:paraId="6EFFE9C7">
      <w:pPr>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none"/>
        </w:rPr>
      </w:pPr>
    </w:p>
    <w:p w14:paraId="4359D934">
      <w:pPr>
        <w:pStyle w:val="5"/>
        <w:pageBreakBefore w:val="0"/>
        <w:kinsoku/>
        <w:wordWrap/>
        <w:overflowPunct/>
        <w:bidi w:val="0"/>
        <w:adjustRightInd w:val="0"/>
        <w:snapToGrid w:val="0"/>
        <w:spacing w:before="0" w:beforeAutospacing="0" w:after="0" w:afterAutospacing="0" w:line="360" w:lineRule="auto"/>
        <w:textAlignment w:val="auto"/>
        <w:outlineLvl w:val="9"/>
        <w:rPr>
          <w:rFonts w:hint="eastAsia" w:ascii="宋体" w:hAnsi="宋体" w:eastAsia="宋体" w:cs="宋体"/>
          <w:b w:val="0"/>
          <w:sz w:val="21"/>
          <w:szCs w:val="21"/>
          <w:highlight w:val="none"/>
        </w:rPr>
        <w:sectPr>
          <w:type w:val="continuous"/>
          <w:pgSz w:w="11906" w:h="16838"/>
          <w:pgMar w:top="1134" w:right="1417" w:bottom="1134" w:left="1417" w:header="851" w:footer="992" w:gutter="0"/>
          <w:pgNumType w:fmt="decimal"/>
          <w:cols w:space="0" w:num="1"/>
          <w:rtlGutter w:val="0"/>
          <w:docGrid w:type="linesAndChars" w:linePitch="316" w:charSpace="738"/>
        </w:sectPr>
      </w:pPr>
    </w:p>
    <w:p w14:paraId="452B0E70">
      <w:pPr>
        <w:pageBreakBefore w:val="0"/>
        <w:kinsoku/>
        <w:wordWrap/>
        <w:overflowPunct/>
        <w:bidi w:val="0"/>
        <w:spacing w:beforeAutospacing="0" w:afterAutospacing="0" w:line="360" w:lineRule="auto"/>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 xml:space="preserve">3                  </w:t>
      </w:r>
    </w:p>
    <w:p w14:paraId="633DFF93">
      <w:pPr>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湖南省政府采购供应商资格承诺函</w:t>
      </w:r>
    </w:p>
    <w:p w14:paraId="62A9ED7E">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CCC152">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按照《政府采购促进中小企业发展管理办法》（财库〔2020〕46号），本公司企业规模为：大型□ 中型□ 小型□ 微型□</w:t>
      </w:r>
    </w:p>
    <w:p w14:paraId="0B1ACA86">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p>
    <w:p w14:paraId="18BDD58C">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公司（单位）名称（盖章） </w:t>
      </w:r>
    </w:p>
    <w:p w14:paraId="0919080C">
      <w:pPr>
        <w:pageBreakBefore w:val="0"/>
        <w:widowControl/>
        <w:kinsoku/>
        <w:wordWrap/>
        <w:overflowPunct/>
        <w:topLinePunct w:val="0"/>
        <w:bidi w:val="0"/>
        <w:spacing w:beforeAutospacing="0" w:afterAutospacing="0" w:line="360" w:lineRule="auto"/>
        <w:ind w:right="630"/>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年    月    日</w:t>
      </w:r>
    </w:p>
    <w:p w14:paraId="00CBE75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机构代码</w:t>
      </w:r>
      <w:r>
        <w:rPr>
          <w:rFonts w:hint="eastAsia" w:ascii="宋体" w:hAnsi="宋体" w:eastAsia="宋体" w:cs="宋体"/>
          <w:kern w:val="0"/>
          <w:sz w:val="21"/>
          <w:szCs w:val="21"/>
          <w:highlight w:val="none"/>
          <w:lang w:eastAsia="zh-CN"/>
        </w:rPr>
        <w:t>：</w:t>
      </w:r>
    </w:p>
    <w:p w14:paraId="767D3A0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注册登记机构</w:t>
      </w:r>
      <w:r>
        <w:rPr>
          <w:rFonts w:hint="eastAsia" w:ascii="宋体" w:hAnsi="宋体" w:eastAsia="宋体" w:cs="宋体"/>
          <w:kern w:val="0"/>
          <w:sz w:val="21"/>
          <w:szCs w:val="21"/>
          <w:highlight w:val="none"/>
          <w:lang w:eastAsia="zh-CN"/>
        </w:rPr>
        <w:t>：</w:t>
      </w:r>
    </w:p>
    <w:p w14:paraId="4C4B41D0">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日期</w:t>
      </w:r>
      <w:r>
        <w:rPr>
          <w:rFonts w:hint="eastAsia" w:ascii="宋体" w:hAnsi="宋体" w:eastAsia="宋体" w:cs="宋体"/>
          <w:kern w:val="0"/>
          <w:sz w:val="21"/>
          <w:szCs w:val="21"/>
          <w:highlight w:val="none"/>
          <w:lang w:eastAsia="zh-CN"/>
        </w:rPr>
        <w:t>：</w:t>
      </w:r>
    </w:p>
    <w:p w14:paraId="2DECD01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有效期</w:t>
      </w:r>
      <w:r>
        <w:rPr>
          <w:rFonts w:hint="eastAsia" w:ascii="宋体" w:hAnsi="宋体" w:eastAsia="宋体" w:cs="宋体"/>
          <w:kern w:val="0"/>
          <w:sz w:val="21"/>
          <w:szCs w:val="21"/>
          <w:highlight w:val="none"/>
          <w:lang w:eastAsia="zh-CN"/>
        </w:rPr>
        <w:t>：</w:t>
      </w:r>
    </w:p>
    <w:p w14:paraId="180F63E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注册资本</w:t>
      </w:r>
      <w:r>
        <w:rPr>
          <w:rFonts w:hint="eastAsia" w:ascii="宋体" w:hAnsi="宋体" w:eastAsia="宋体" w:cs="宋体"/>
          <w:kern w:val="0"/>
          <w:sz w:val="21"/>
          <w:szCs w:val="21"/>
          <w:highlight w:val="none"/>
          <w:lang w:eastAsia="zh-CN"/>
        </w:rPr>
        <w:t>：</w:t>
      </w:r>
    </w:p>
    <w:p w14:paraId="517653DA">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地址</w:t>
      </w:r>
      <w:r>
        <w:rPr>
          <w:rFonts w:hint="eastAsia" w:ascii="宋体" w:hAnsi="宋体" w:eastAsia="宋体" w:cs="宋体"/>
          <w:kern w:val="0"/>
          <w:sz w:val="21"/>
          <w:szCs w:val="21"/>
          <w:highlight w:val="none"/>
          <w:lang w:eastAsia="zh-CN"/>
        </w:rPr>
        <w:t>：</w:t>
      </w:r>
    </w:p>
    <w:p w14:paraId="6400655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经济行业</w:t>
      </w:r>
      <w:r>
        <w:rPr>
          <w:rFonts w:hint="eastAsia" w:ascii="宋体" w:hAnsi="宋体" w:eastAsia="宋体" w:cs="宋体"/>
          <w:kern w:val="0"/>
          <w:sz w:val="21"/>
          <w:szCs w:val="21"/>
          <w:highlight w:val="none"/>
          <w:lang w:eastAsia="zh-CN"/>
        </w:rPr>
        <w:t>：</w:t>
      </w:r>
    </w:p>
    <w:p w14:paraId="2958113B">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经济性质：</w:t>
      </w:r>
    </w:p>
    <w:p w14:paraId="1FB02148">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法定代表人（负责人）姓名（签字）</w:t>
      </w:r>
      <w:r>
        <w:rPr>
          <w:rFonts w:hint="eastAsia" w:ascii="宋体" w:hAnsi="宋体" w:eastAsia="宋体" w:cs="宋体"/>
          <w:kern w:val="0"/>
          <w:sz w:val="21"/>
          <w:szCs w:val="21"/>
          <w:highlight w:val="none"/>
          <w:lang w:eastAsia="zh-CN"/>
        </w:rPr>
        <w:t>：</w:t>
      </w:r>
    </w:p>
    <w:p w14:paraId="06DEDD76">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75A7540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手机号： </w:t>
      </w:r>
    </w:p>
    <w:p w14:paraId="15E75C55">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授权代表人姓名（签字）</w:t>
      </w:r>
      <w:r>
        <w:rPr>
          <w:rFonts w:hint="eastAsia" w:ascii="宋体" w:hAnsi="宋体" w:eastAsia="宋体" w:cs="宋体"/>
          <w:kern w:val="0"/>
          <w:sz w:val="21"/>
          <w:szCs w:val="21"/>
          <w:highlight w:val="none"/>
          <w:lang w:eastAsia="zh-CN"/>
        </w:rPr>
        <w:t>：</w:t>
      </w:r>
    </w:p>
    <w:p w14:paraId="404A6598">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4DF9988A">
      <w:pPr>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手机号：</w:t>
      </w:r>
    </w:p>
    <w:p w14:paraId="7DC4C5DE">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BD65F0B">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075B3ED8">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2ABEE391">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64D36863">
      <w:pPr>
        <w:pStyle w:val="3"/>
        <w:rPr>
          <w:rFonts w:hint="eastAsia"/>
        </w:rPr>
      </w:pPr>
    </w:p>
    <w:p w14:paraId="11738468">
      <w:pPr>
        <w:rPr>
          <w:rFonts w:hint="eastAsia"/>
        </w:rPr>
      </w:pPr>
    </w:p>
    <w:p w14:paraId="1F461E19">
      <w:pPr>
        <w:pStyle w:val="3"/>
        <w:rPr>
          <w:rFonts w:hint="eastAsia"/>
        </w:rPr>
      </w:pPr>
    </w:p>
    <w:p w14:paraId="268002B5">
      <w:pPr>
        <w:adjustRightInd w:val="0"/>
        <w:snapToGrid w:val="0"/>
        <w:spacing w:line="360" w:lineRule="auto"/>
        <w:ind w:left="0" w:leftChars="0" w:firstLine="0" w:firstLineChars="0"/>
        <w:rPr>
          <w:rFonts w:hint="default" w:ascii="黑体" w:hAnsi="宋体" w:eastAsia="黑体"/>
          <w:sz w:val="28"/>
          <w:szCs w:val="28"/>
          <w:highlight w:val="none"/>
          <w:lang w:val="en-US"/>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4</w:t>
      </w:r>
    </w:p>
    <w:p w14:paraId="1D1F3274">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67A979EA">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01542429">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参加政府采购活动前三年内在经营活动中没有重大违法记录的书面声明</w:t>
      </w:r>
    </w:p>
    <w:p w14:paraId="33F35D62">
      <w:pPr>
        <w:adjustRightInd w:val="0"/>
        <w:snapToGrid w:val="0"/>
        <w:spacing w:before="156" w:beforeLines="50" w:line="360" w:lineRule="auto"/>
        <w:ind w:firstLine="480" w:firstLineChars="200"/>
        <w:rPr>
          <w:rFonts w:ascii="宋体" w:eastAsia="宋体"/>
          <w:sz w:val="24"/>
          <w:highlight w:val="none"/>
        </w:rPr>
      </w:pPr>
    </w:p>
    <w:p w14:paraId="3A8E850B">
      <w:pPr>
        <w:adjustRightInd w:val="0"/>
        <w:snapToGrid w:val="0"/>
        <w:spacing w:before="156" w:beforeLines="50" w:line="360" w:lineRule="auto"/>
        <w:ind w:left="-88" w:leftChars="-42" w:firstLine="420" w:firstLineChars="200"/>
        <w:rPr>
          <w:rFonts w:ascii="宋体" w:eastAsia="宋体"/>
          <w:sz w:val="21"/>
          <w:szCs w:val="21"/>
          <w:highlight w:val="none"/>
        </w:rPr>
      </w:pPr>
      <w:r>
        <w:rPr>
          <w:rFonts w:hint="eastAsia" w:ascii="宋体" w:hAnsi="宋体" w:eastAsia="宋体"/>
          <w:sz w:val="21"/>
          <w:szCs w:val="21"/>
          <w:highlight w:val="none"/>
        </w:rPr>
        <w:t>致</w:t>
      </w:r>
      <w:r>
        <w:rPr>
          <w:rFonts w:ascii="宋体" w:hAnsi="宋体" w:eastAsia="宋体"/>
          <w:sz w:val="21"/>
          <w:szCs w:val="21"/>
          <w:highlight w:val="none"/>
          <w:u w:val="single"/>
        </w:rPr>
        <w:t xml:space="preserve"> </w:t>
      </w:r>
      <w:r>
        <w:rPr>
          <w:rFonts w:hint="eastAsia" w:ascii="宋体" w:hAnsi="宋体" w:eastAsia="宋体"/>
          <w:sz w:val="21"/>
          <w:szCs w:val="21"/>
          <w:highlight w:val="none"/>
          <w:u w:val="single"/>
          <w:lang w:val="en-US" w:eastAsia="zh-CN"/>
        </w:rPr>
        <w:t xml:space="preserve">                    </w:t>
      </w:r>
      <w:r>
        <w:rPr>
          <w:rFonts w:ascii="宋体" w:hAnsi="宋体" w:eastAsia="宋体"/>
          <w:sz w:val="21"/>
          <w:szCs w:val="21"/>
          <w:highlight w:val="none"/>
          <w:u w:val="single"/>
        </w:rPr>
        <w:t xml:space="preserve"> </w:t>
      </w:r>
      <w:r>
        <w:rPr>
          <w:rFonts w:hint="eastAsia" w:ascii="宋体" w:hAnsi="宋体" w:eastAsia="宋体"/>
          <w:sz w:val="21"/>
          <w:szCs w:val="21"/>
          <w:highlight w:val="none"/>
          <w:u w:val="single"/>
          <w:lang w:eastAsia="zh-CN"/>
        </w:rPr>
        <w:t>（</w:t>
      </w:r>
      <w:r>
        <w:rPr>
          <w:rFonts w:hint="eastAsia" w:ascii="宋体" w:hAnsi="宋体" w:eastAsia="宋体"/>
          <w:sz w:val="21"/>
          <w:szCs w:val="21"/>
          <w:highlight w:val="none"/>
        </w:rPr>
        <w:t>采购代理机构</w:t>
      </w:r>
      <w:r>
        <w:rPr>
          <w:rFonts w:hint="eastAsia" w:ascii="宋体" w:hAnsi="宋体" w:eastAsia="宋体"/>
          <w:sz w:val="21"/>
          <w:szCs w:val="21"/>
          <w:highlight w:val="none"/>
          <w:lang w:eastAsia="zh-CN"/>
        </w:rPr>
        <w:t>）</w:t>
      </w:r>
      <w:r>
        <w:rPr>
          <w:rFonts w:hint="eastAsia" w:ascii="宋体" w:hAnsi="宋体" w:eastAsia="宋体"/>
          <w:sz w:val="21"/>
          <w:szCs w:val="21"/>
          <w:highlight w:val="none"/>
        </w:rPr>
        <w:t>：</w:t>
      </w:r>
    </w:p>
    <w:p w14:paraId="58F7D7D3">
      <w:pPr>
        <w:adjustRightInd w:val="0"/>
        <w:snapToGrid w:val="0"/>
        <w:spacing w:before="156" w:beforeLines="50" w:line="360" w:lineRule="auto"/>
        <w:ind w:left="-88" w:leftChars="-42" w:firstLine="420" w:firstLineChars="200"/>
        <w:rPr>
          <w:rFonts w:ascii="宋体" w:eastAsia="宋体"/>
          <w:sz w:val="21"/>
          <w:szCs w:val="21"/>
          <w:highlight w:val="none"/>
        </w:rPr>
      </w:pPr>
    </w:p>
    <w:p w14:paraId="676AA20E">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我单位在参加采购项目政府采购活动前三年内，没有因违法经营受到刑事处罚，或者责令停产停业、吊销许可证或者执照、受到</w:t>
      </w:r>
      <w:r>
        <w:rPr>
          <w:rFonts w:hint="eastAsia" w:ascii="宋体" w:hAnsi="宋体" w:eastAsia="宋体"/>
          <w:sz w:val="21"/>
          <w:szCs w:val="21"/>
          <w:highlight w:val="none"/>
          <w:lang w:val="en-US" w:eastAsia="zh-CN"/>
        </w:rPr>
        <w:t>数额较大及</w:t>
      </w:r>
      <w:r>
        <w:rPr>
          <w:rFonts w:hint="eastAsia" w:ascii="宋体" w:hAnsi="宋体" w:eastAsia="宋体"/>
          <w:sz w:val="21"/>
          <w:szCs w:val="21"/>
          <w:highlight w:val="none"/>
        </w:rPr>
        <w:t>以上的罚款等行政处罚。</w:t>
      </w:r>
    </w:p>
    <w:p w14:paraId="7E66130C">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特此声明！</w:t>
      </w:r>
    </w:p>
    <w:p w14:paraId="2AADC093">
      <w:pPr>
        <w:widowControl/>
        <w:adjustRightInd w:val="0"/>
        <w:snapToGrid w:val="0"/>
        <w:spacing w:before="156" w:beforeLines="50" w:line="360" w:lineRule="auto"/>
        <w:ind w:firstLine="420" w:firstLineChars="200"/>
        <w:rPr>
          <w:rFonts w:ascii="宋体" w:eastAsia="宋体"/>
          <w:sz w:val="21"/>
          <w:szCs w:val="21"/>
          <w:highlight w:val="none"/>
        </w:rPr>
      </w:pPr>
    </w:p>
    <w:p w14:paraId="235BD5BB">
      <w:pPr>
        <w:widowControl/>
        <w:adjustRightInd w:val="0"/>
        <w:snapToGrid w:val="0"/>
        <w:spacing w:before="156" w:beforeLines="50" w:line="360" w:lineRule="auto"/>
        <w:ind w:firstLine="420" w:firstLineChars="200"/>
        <w:rPr>
          <w:rFonts w:ascii="宋体" w:eastAsia="宋体"/>
          <w:sz w:val="21"/>
          <w:szCs w:val="21"/>
          <w:highlight w:val="none"/>
        </w:rPr>
      </w:pPr>
    </w:p>
    <w:p w14:paraId="1F5733B4">
      <w:pPr>
        <w:widowControl/>
        <w:adjustRightInd w:val="0"/>
        <w:snapToGrid w:val="0"/>
        <w:spacing w:before="156" w:beforeLines="50" w:line="360" w:lineRule="auto"/>
        <w:ind w:firstLine="420" w:firstLineChars="200"/>
        <w:rPr>
          <w:rFonts w:ascii="宋体" w:eastAsia="宋体"/>
          <w:sz w:val="21"/>
          <w:szCs w:val="21"/>
          <w:highlight w:val="none"/>
        </w:rPr>
      </w:pPr>
    </w:p>
    <w:p w14:paraId="75D804E8">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名称（</w:t>
      </w:r>
      <w:r>
        <w:rPr>
          <w:rFonts w:hint="eastAsia" w:ascii="宋体" w:hAnsi="宋体" w:eastAsia="宋体" w:cs="宋体"/>
          <w:color w:val="auto"/>
          <w:sz w:val="21"/>
          <w:szCs w:val="21"/>
          <w:highlight w:val="none"/>
        </w:rPr>
        <w:t>盖单位章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27B27DBB">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w:t>
      </w:r>
      <w:r>
        <w:rPr>
          <w:rFonts w:hint="eastAsia" w:ascii="宋体" w:hAnsi="宋体" w:eastAsia="宋体" w:cs="宋体"/>
          <w:color w:val="auto"/>
          <w:sz w:val="21"/>
          <w:szCs w:val="21"/>
          <w:highlight w:val="none"/>
        </w:rPr>
        <w:t>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7B33161B">
      <w:pPr>
        <w:adjustRightInd w:val="0"/>
        <w:snapToGrid w:val="0"/>
        <w:spacing w:line="360" w:lineRule="auto"/>
        <w:ind w:right="24" w:firstLine="420" w:firstLineChars="200"/>
        <w:rPr>
          <w:rFonts w:ascii="宋体" w:eastAsia="宋体"/>
          <w:sz w:val="21"/>
          <w:szCs w:val="21"/>
          <w:highlight w:val="none"/>
        </w:rPr>
      </w:pPr>
      <w:r>
        <w:rPr>
          <w:rFonts w:hint="eastAsia" w:ascii="宋体" w:hAnsi="宋体" w:eastAsia="宋体"/>
          <w:sz w:val="21"/>
          <w:szCs w:val="21"/>
          <w:highlight w:val="none"/>
        </w:rPr>
        <w:t>日期：</w:t>
      </w:r>
      <w:r>
        <w:rPr>
          <w:rFonts w:ascii="宋体" w:hAnsi="宋体" w:eastAsia="宋体"/>
          <w:sz w:val="21"/>
          <w:szCs w:val="21"/>
          <w:highlight w:val="none"/>
        </w:rPr>
        <w:t xml:space="preserve">  </w:t>
      </w:r>
      <w:r>
        <w:rPr>
          <w:rFonts w:hint="eastAsia" w:ascii="宋体" w:hAnsi="宋体" w:eastAsia="宋体"/>
          <w:sz w:val="21"/>
          <w:szCs w:val="21"/>
          <w:highlight w:val="none"/>
        </w:rPr>
        <w:t>年</w:t>
      </w:r>
      <w:r>
        <w:rPr>
          <w:rFonts w:ascii="宋体" w:hAnsi="宋体" w:eastAsia="宋体"/>
          <w:sz w:val="21"/>
          <w:szCs w:val="21"/>
          <w:highlight w:val="none"/>
        </w:rPr>
        <w:t xml:space="preserve">   </w:t>
      </w:r>
      <w:r>
        <w:rPr>
          <w:rFonts w:hint="eastAsia" w:ascii="宋体" w:hAnsi="宋体" w:eastAsia="宋体"/>
          <w:sz w:val="21"/>
          <w:szCs w:val="21"/>
          <w:highlight w:val="none"/>
        </w:rPr>
        <w:t>月</w:t>
      </w:r>
      <w:r>
        <w:rPr>
          <w:rFonts w:ascii="宋体" w:hAnsi="宋体" w:eastAsia="宋体"/>
          <w:sz w:val="21"/>
          <w:szCs w:val="21"/>
          <w:highlight w:val="none"/>
        </w:rPr>
        <w:t xml:space="preserve">    </w:t>
      </w:r>
      <w:r>
        <w:rPr>
          <w:rFonts w:hint="eastAsia" w:ascii="宋体" w:hAnsi="宋体" w:eastAsia="宋体"/>
          <w:sz w:val="21"/>
          <w:szCs w:val="21"/>
          <w:highlight w:val="none"/>
        </w:rPr>
        <w:t>日</w:t>
      </w:r>
    </w:p>
    <w:p w14:paraId="2880EB70">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16E1FE7">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32FFB19">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416EB44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77BAFAF0">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8C089FB">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1D855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70472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0BCC89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D9D81E">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ADB163">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9A8F36D">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7C8167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35AA291">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附件3-</w:t>
      </w:r>
      <w:r>
        <w:rPr>
          <w:rFonts w:hint="eastAsia" w:ascii="宋体" w:hAnsi="宋体" w:eastAsia="宋体" w:cs="宋体"/>
          <w:b/>
          <w:bCs/>
          <w:sz w:val="24"/>
          <w:szCs w:val="24"/>
          <w:lang w:val="en-US" w:eastAsia="zh-CN"/>
        </w:rPr>
        <w:t>5</w:t>
      </w:r>
    </w:p>
    <w:p w14:paraId="2BD662C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color w:val="000000"/>
          <w:kern w:val="36"/>
          <w:sz w:val="24"/>
          <w:szCs w:val="24"/>
          <w:highlight w:val="none"/>
        </w:rPr>
      </w:pPr>
      <w:r>
        <w:rPr>
          <w:rFonts w:hint="eastAsia" w:ascii="宋体" w:hAnsi="宋体" w:eastAsia="宋体" w:cs="宋体"/>
          <w:b/>
          <w:color w:val="000000"/>
          <w:kern w:val="36"/>
          <w:sz w:val="24"/>
          <w:szCs w:val="24"/>
          <w:highlight w:val="none"/>
        </w:rPr>
        <w:t>磋商文件规定的特定资格条件证明资料</w:t>
      </w:r>
    </w:p>
    <w:p w14:paraId="0F08ED90">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yellow"/>
        </w:rPr>
      </w:pPr>
    </w:p>
    <w:p w14:paraId="5202C31E">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备注：提供第二章磋商须知第3.1款供应商特定资格条件证明资料的复印件。</w:t>
      </w:r>
    </w:p>
    <w:p w14:paraId="08C47417">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09639FC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5" w:type="default"/>
          <w:pgSz w:w="11906" w:h="16838"/>
          <w:pgMar w:top="1134" w:right="1417" w:bottom="1134" w:left="1417" w:header="851" w:footer="992" w:gutter="0"/>
          <w:pgNumType w:fmt="decimal"/>
          <w:cols w:space="720" w:num="1"/>
          <w:rtlGutter w:val="0"/>
          <w:docGrid w:type="lines" w:linePitch="312" w:charSpace="0"/>
        </w:sectPr>
      </w:pPr>
    </w:p>
    <w:p w14:paraId="4968408F">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附件3-</w:t>
      </w:r>
      <w:bookmarkStart w:id="130" w:name="_Toc29574"/>
      <w:r>
        <w:rPr>
          <w:rFonts w:hint="eastAsia" w:ascii="宋体" w:hAnsi="宋体" w:eastAsia="宋体" w:cs="宋体"/>
          <w:b/>
          <w:bCs/>
          <w:sz w:val="21"/>
          <w:szCs w:val="21"/>
          <w:lang w:val="en-US" w:eastAsia="zh-CN"/>
        </w:rPr>
        <w:t xml:space="preserve">6                    </w:t>
      </w:r>
    </w:p>
    <w:p w14:paraId="1EF3E0F6">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供应商基本情况表</w:t>
      </w:r>
      <w:bookmarkEnd w:id="130"/>
    </w:p>
    <w:tbl>
      <w:tblPr>
        <w:tblStyle w:val="3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629"/>
        <w:gridCol w:w="876"/>
        <w:gridCol w:w="850"/>
        <w:gridCol w:w="590"/>
        <w:gridCol w:w="294"/>
        <w:gridCol w:w="1083"/>
        <w:gridCol w:w="1552"/>
        <w:gridCol w:w="1799"/>
      </w:tblGrid>
      <w:tr w14:paraId="7C7D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87" w:type="dxa"/>
            <w:gridSpan w:val="3"/>
            <w:tcBorders>
              <w:top w:val="double" w:color="auto" w:sz="4" w:space="0"/>
              <w:left w:val="double" w:color="auto" w:sz="4" w:space="0"/>
              <w:bottom w:val="single" w:color="auto" w:sz="6" w:space="0"/>
              <w:right w:val="single" w:color="auto" w:sz="6" w:space="0"/>
            </w:tcBorders>
            <w:vAlign w:val="center"/>
          </w:tcPr>
          <w:p w14:paraId="754A87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供应商名称</w:t>
            </w:r>
          </w:p>
        </w:tc>
        <w:tc>
          <w:tcPr>
            <w:tcW w:w="3693" w:type="dxa"/>
            <w:gridSpan w:val="5"/>
            <w:tcBorders>
              <w:top w:val="double" w:color="auto" w:sz="4" w:space="0"/>
              <w:left w:val="single" w:color="auto" w:sz="6" w:space="0"/>
              <w:bottom w:val="single" w:color="auto" w:sz="6" w:space="0"/>
              <w:right w:val="single" w:color="auto" w:sz="6" w:space="0"/>
            </w:tcBorders>
            <w:vAlign w:val="center"/>
          </w:tcPr>
          <w:p w14:paraId="09E791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double" w:color="auto" w:sz="4" w:space="0"/>
              <w:left w:val="single" w:color="auto" w:sz="6" w:space="0"/>
              <w:bottom w:val="single" w:color="auto" w:sz="6" w:space="0"/>
              <w:right w:val="single" w:color="auto" w:sz="6" w:space="0"/>
            </w:tcBorders>
            <w:vAlign w:val="center"/>
          </w:tcPr>
          <w:p w14:paraId="33F71FF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法定代表人</w:t>
            </w:r>
          </w:p>
        </w:tc>
        <w:tc>
          <w:tcPr>
            <w:tcW w:w="1799" w:type="dxa"/>
            <w:tcBorders>
              <w:top w:val="double" w:color="auto" w:sz="4" w:space="0"/>
              <w:left w:val="single" w:color="auto" w:sz="6" w:space="0"/>
              <w:bottom w:val="single" w:color="auto" w:sz="6" w:space="0"/>
              <w:right w:val="double" w:color="auto" w:sz="4" w:space="0"/>
            </w:tcBorders>
            <w:vAlign w:val="center"/>
          </w:tcPr>
          <w:p w14:paraId="4F9E461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141F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642C4F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组织机构代码</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1F7E433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7046D6E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邮政编码</w:t>
            </w:r>
          </w:p>
        </w:tc>
        <w:tc>
          <w:tcPr>
            <w:tcW w:w="1799" w:type="dxa"/>
            <w:tcBorders>
              <w:top w:val="single" w:color="auto" w:sz="6" w:space="0"/>
              <w:left w:val="single" w:color="auto" w:sz="6" w:space="0"/>
              <w:bottom w:val="single" w:color="auto" w:sz="6" w:space="0"/>
              <w:right w:val="double" w:color="auto" w:sz="4" w:space="0"/>
            </w:tcBorders>
            <w:vAlign w:val="center"/>
          </w:tcPr>
          <w:p w14:paraId="44159D9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6C5AE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0E3A0FB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委托代理人</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7E3CF9A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54A54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电子邮箱</w:t>
            </w:r>
          </w:p>
        </w:tc>
        <w:tc>
          <w:tcPr>
            <w:tcW w:w="1799" w:type="dxa"/>
            <w:tcBorders>
              <w:top w:val="single" w:color="auto" w:sz="6" w:space="0"/>
              <w:left w:val="single" w:color="auto" w:sz="6" w:space="0"/>
              <w:bottom w:val="single" w:color="auto" w:sz="6" w:space="0"/>
              <w:right w:val="double" w:color="auto" w:sz="4" w:space="0"/>
            </w:tcBorders>
            <w:vAlign w:val="center"/>
          </w:tcPr>
          <w:p w14:paraId="5DBCBFC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71F8D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2D6BA47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上年营业收入</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4B72DCE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1EFD30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员工总人数</w:t>
            </w:r>
          </w:p>
        </w:tc>
        <w:tc>
          <w:tcPr>
            <w:tcW w:w="1799" w:type="dxa"/>
            <w:tcBorders>
              <w:top w:val="single" w:color="auto" w:sz="6" w:space="0"/>
              <w:left w:val="single" w:color="auto" w:sz="6" w:space="0"/>
              <w:bottom w:val="single" w:color="auto" w:sz="6" w:space="0"/>
              <w:right w:val="double" w:color="auto" w:sz="4" w:space="0"/>
            </w:tcBorders>
            <w:vAlign w:val="center"/>
          </w:tcPr>
          <w:p w14:paraId="3A97F4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7BE4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A5BECF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E973B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E233535">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685B742">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05F2187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4A68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1E636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99BDB3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6347F8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534133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11B65D2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F7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4C8ADD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FCAC84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006CCA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4EC2E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6E54DD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520944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4E0F215D">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76C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D1D3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基本账户开户行</w:t>
            </w:r>
            <w:r>
              <w:rPr>
                <w:rFonts w:hint="eastAsia" w:ascii="宋体" w:hAnsi="宋体" w:eastAsia="宋体" w:cs="宋体"/>
                <w:sz w:val="21"/>
                <w:szCs w:val="21"/>
                <w:lang w:eastAsia="zh-CN"/>
              </w:rPr>
              <w:t>及账号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025EB17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5C64F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5CB24E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D9F684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8DA4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B6C94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7D9C59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1408A45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DF666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有效期</w:t>
            </w:r>
          </w:p>
        </w:tc>
      </w:tr>
      <w:tr w14:paraId="0EA4F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7180B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A6AEBB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C2D7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425184F">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FEA8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7856A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B430E3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2E9D16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9659C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01D5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51ADB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237C00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9D1161E">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E249B02">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82C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44EA8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E930F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EB9DD8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A8866D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25F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65C711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0746A245">
            <w:pPr>
              <w:pageBreakBefore w:val="0"/>
              <w:kinsoku/>
              <w:wordWrap/>
              <w:overflowPunct/>
              <w:topLine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提供营业执照</w:t>
            </w:r>
            <w:r>
              <w:rPr>
                <w:rFonts w:hint="eastAsia" w:ascii="宋体" w:hAnsi="宋体" w:eastAsia="宋体" w:cs="宋体"/>
                <w:sz w:val="21"/>
                <w:szCs w:val="21"/>
                <w:lang w:eastAsia="zh-CN"/>
              </w:rPr>
              <w:t>（</w:t>
            </w:r>
            <w:r>
              <w:rPr>
                <w:rFonts w:hint="eastAsia" w:ascii="宋体" w:hAnsi="宋体" w:eastAsia="宋体" w:cs="宋体"/>
                <w:sz w:val="21"/>
                <w:szCs w:val="21"/>
              </w:rPr>
              <w:t>副本复印件</w:t>
            </w:r>
            <w:r>
              <w:rPr>
                <w:rFonts w:hint="eastAsia" w:ascii="宋体" w:hAnsi="宋体" w:eastAsia="宋体" w:cs="宋体"/>
                <w:sz w:val="21"/>
                <w:szCs w:val="21"/>
                <w:lang w:eastAsia="zh-CN"/>
              </w:rPr>
              <w:t>）</w:t>
            </w:r>
          </w:p>
        </w:tc>
      </w:tr>
    </w:tbl>
    <w:p w14:paraId="2F3E126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3C20A195">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6D6DEEB">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13A80D55">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5B16B38A">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170B6826">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sz w:val="21"/>
          <w:szCs w:val="21"/>
        </w:rPr>
      </w:pPr>
      <w:r>
        <w:rPr>
          <w:rFonts w:hint="eastAsia" w:ascii="宋体" w:hAnsi="宋体" w:eastAsia="宋体" w:cs="宋体"/>
          <w:b/>
          <w:sz w:val="21"/>
          <w:szCs w:val="21"/>
        </w:rPr>
        <w:t>附件</w:t>
      </w:r>
      <w:r>
        <w:rPr>
          <w:rFonts w:hint="eastAsia" w:ascii="宋体" w:hAnsi="宋体" w:eastAsia="宋体" w:cs="宋体"/>
          <w:b/>
          <w:sz w:val="21"/>
          <w:szCs w:val="21"/>
          <w:lang w:val="en-US" w:eastAsia="zh-CN"/>
        </w:rPr>
        <w:t>3-7</w:t>
      </w:r>
    </w:p>
    <w:p w14:paraId="758CD8A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0139AF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本项目</w:t>
      </w:r>
      <w:r>
        <w:rPr>
          <w:rFonts w:hint="eastAsia" w:ascii="宋体" w:hAnsi="宋体" w:eastAsia="宋体" w:cs="宋体"/>
          <w:b/>
          <w:bCs/>
          <w:sz w:val="24"/>
          <w:szCs w:val="24"/>
        </w:rPr>
        <w:t>人员配备情况表</w:t>
      </w:r>
    </w:p>
    <w:p w14:paraId="5BCE8B28">
      <w:pPr>
        <w:pageBreakBefore w:val="0"/>
        <w:kinsoku/>
        <w:wordWrap/>
        <w:overflowPunct/>
        <w:bidi w:val="0"/>
        <w:adjustRightInd w:val="0"/>
        <w:snapToGrid w:val="0"/>
        <w:spacing w:beforeAutospacing="0" w:afterAutospacing="0"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政府采购计划编号：</w:t>
      </w:r>
    </w:p>
    <w:p w14:paraId="275BCF9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p>
    <w:p w14:paraId="160C370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项目名称：                           </w:t>
      </w:r>
    </w:p>
    <w:tbl>
      <w:tblPr>
        <w:tblStyle w:val="3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240"/>
        <w:gridCol w:w="1013"/>
        <w:gridCol w:w="2106"/>
        <w:gridCol w:w="1812"/>
        <w:gridCol w:w="1044"/>
      </w:tblGrid>
      <w:tr w14:paraId="23855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3" w:type="dxa"/>
            <w:tcBorders>
              <w:bottom w:val="single" w:color="auto" w:sz="4" w:space="0"/>
              <w:right w:val="single" w:color="auto" w:sz="4" w:space="0"/>
            </w:tcBorders>
            <w:vAlign w:val="center"/>
          </w:tcPr>
          <w:p w14:paraId="3A83DBE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2240" w:type="dxa"/>
            <w:tcBorders>
              <w:left w:val="single" w:color="auto" w:sz="4" w:space="0"/>
              <w:bottom w:val="single" w:color="auto" w:sz="4" w:space="0"/>
              <w:right w:val="single" w:color="auto" w:sz="4" w:space="0"/>
            </w:tcBorders>
            <w:vAlign w:val="center"/>
          </w:tcPr>
          <w:p w14:paraId="559B09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拟投本项目人员姓名</w:t>
            </w:r>
          </w:p>
        </w:tc>
        <w:tc>
          <w:tcPr>
            <w:tcW w:w="1013" w:type="dxa"/>
            <w:tcBorders>
              <w:left w:val="single" w:color="auto" w:sz="4" w:space="0"/>
              <w:bottom w:val="single" w:color="auto" w:sz="4" w:space="0"/>
              <w:right w:val="single" w:color="auto" w:sz="4" w:space="0"/>
            </w:tcBorders>
            <w:vAlign w:val="center"/>
          </w:tcPr>
          <w:p w14:paraId="0E08D1D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职称</w:t>
            </w:r>
          </w:p>
        </w:tc>
        <w:tc>
          <w:tcPr>
            <w:tcW w:w="2106" w:type="dxa"/>
            <w:tcBorders>
              <w:left w:val="single" w:color="auto" w:sz="4" w:space="0"/>
              <w:bottom w:val="single" w:color="auto" w:sz="4" w:space="0"/>
              <w:right w:val="single" w:color="auto" w:sz="4" w:space="0"/>
            </w:tcBorders>
            <w:vAlign w:val="center"/>
          </w:tcPr>
          <w:p w14:paraId="233FCDA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在本项目中</w:t>
            </w:r>
          </w:p>
          <w:p w14:paraId="7F63CAA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的工作职责</w:t>
            </w:r>
          </w:p>
        </w:tc>
        <w:tc>
          <w:tcPr>
            <w:tcW w:w="1812" w:type="dxa"/>
            <w:tcBorders>
              <w:left w:val="single" w:color="auto" w:sz="4" w:space="0"/>
              <w:bottom w:val="single" w:color="auto" w:sz="4" w:space="0"/>
              <w:right w:val="single" w:color="auto" w:sz="4" w:space="0"/>
            </w:tcBorders>
            <w:vAlign w:val="center"/>
          </w:tcPr>
          <w:p w14:paraId="5BF35660">
            <w:pPr>
              <w:pageBreakBefore w:val="0"/>
              <w:kinsoku/>
              <w:wordWrap/>
              <w:overflowPunct/>
              <w:bidi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相关证书名称</w:t>
            </w:r>
          </w:p>
        </w:tc>
        <w:tc>
          <w:tcPr>
            <w:tcW w:w="1044" w:type="dxa"/>
            <w:tcBorders>
              <w:left w:val="single" w:color="auto" w:sz="4" w:space="0"/>
              <w:bottom w:val="single" w:color="auto" w:sz="4" w:space="0"/>
            </w:tcBorders>
            <w:vAlign w:val="center"/>
          </w:tcPr>
          <w:p w14:paraId="12BA3E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备注</w:t>
            </w:r>
          </w:p>
        </w:tc>
      </w:tr>
      <w:tr w14:paraId="6A939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5A004E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5B8BFA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6BD674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0D18BF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763EAE8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5385523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37807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336FEC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1889A2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B897F6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571951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6019093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3C862C1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56F72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B0C20D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DFE4A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727797D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D6A74F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3D3EE881">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7A5ED2B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70142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4FEE8A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57F31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12EBF0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7B8080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17575B8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4E6ADFB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03957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right w:val="single" w:color="auto" w:sz="4" w:space="0"/>
            </w:tcBorders>
            <w:vAlign w:val="center"/>
          </w:tcPr>
          <w:p w14:paraId="77FBC8E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right w:val="single" w:color="auto" w:sz="4" w:space="0"/>
            </w:tcBorders>
            <w:vAlign w:val="center"/>
          </w:tcPr>
          <w:p w14:paraId="5BBAF2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right w:val="single" w:color="auto" w:sz="4" w:space="0"/>
            </w:tcBorders>
            <w:vAlign w:val="center"/>
          </w:tcPr>
          <w:p w14:paraId="3959173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right w:val="single" w:color="auto" w:sz="4" w:space="0"/>
            </w:tcBorders>
            <w:vAlign w:val="center"/>
          </w:tcPr>
          <w:p w14:paraId="1D86E3FD">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right w:val="single" w:color="auto" w:sz="4" w:space="0"/>
            </w:tcBorders>
            <w:vAlign w:val="center"/>
          </w:tcPr>
          <w:p w14:paraId="3417C0B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tcBorders>
            <w:vAlign w:val="center"/>
          </w:tcPr>
          <w:p w14:paraId="53E436C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bl>
    <w:p w14:paraId="35F46691">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注：1、供应商根据本项目实际需求配备人员。</w:t>
      </w:r>
    </w:p>
    <w:p w14:paraId="104220FA">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6C527F94">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7E6D7573">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p w14:paraId="52792718">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144105E">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4552F94D">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供应商名称：</w:t>
      </w:r>
    </w:p>
    <w:p w14:paraId="6E3A650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lang w:eastAsia="zh-CN"/>
        </w:rPr>
        <w:t>（</w:t>
      </w:r>
      <w:r>
        <w:rPr>
          <w:rFonts w:hint="eastAsia" w:ascii="宋体" w:hAnsi="宋体" w:eastAsia="宋体" w:cs="宋体"/>
          <w:sz w:val="21"/>
          <w:szCs w:val="21"/>
        </w:rPr>
        <w:t>签字</w:t>
      </w:r>
      <w:r>
        <w:rPr>
          <w:rFonts w:hint="eastAsia" w:ascii="宋体" w:hAnsi="宋体" w:eastAsia="宋体" w:cs="宋体"/>
          <w:sz w:val="21"/>
          <w:szCs w:val="21"/>
          <w:lang w:eastAsia="zh-CN"/>
        </w:rPr>
        <w:t>）</w:t>
      </w:r>
      <w:r>
        <w:rPr>
          <w:rFonts w:hint="eastAsia" w:ascii="宋体" w:hAnsi="宋体" w:eastAsia="宋体" w:cs="宋体"/>
          <w:sz w:val="21"/>
          <w:szCs w:val="21"/>
        </w:rPr>
        <w:t>：</w:t>
      </w:r>
    </w:p>
    <w:p w14:paraId="03F4161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A01CFBE">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p>
    <w:p w14:paraId="63E24056">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7115291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56194A12">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4BAE7580">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6FA6E1B5">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1FDF11CA">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0D032375">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70C70D54">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77A7D5D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18E2DE70">
      <w:pPr>
        <w:keepNext/>
        <w:keepLines/>
        <w:widowControl w:val="0"/>
        <w:spacing w:before="280" w:after="290" w:line="376" w:lineRule="auto"/>
        <w:jc w:val="both"/>
        <w:outlineLvl w:val="3"/>
        <w:rPr>
          <w:rFonts w:ascii="黑体" w:hAnsi="宋体" w:eastAsia="黑体" w:cs="宋体"/>
          <w:b w:val="0"/>
          <w:bCs/>
          <w:kern w:val="0"/>
          <w:sz w:val="21"/>
          <w:szCs w:val="21"/>
          <w:lang w:val="en-US" w:eastAsia="zh-CN" w:bidi="ar-SA"/>
        </w:rPr>
      </w:pPr>
      <w:r>
        <w:rPr>
          <w:rFonts w:hint="eastAsia" w:ascii="宋体" w:hAnsi="宋体" w:eastAsia="宋体" w:cs="宋体"/>
          <w:b/>
          <w:bCs/>
          <w:kern w:val="2"/>
          <w:sz w:val="24"/>
          <w:szCs w:val="24"/>
          <w:lang w:val="en-US" w:eastAsia="zh-CN" w:bidi="ar-SA"/>
        </w:rPr>
        <w:t xml:space="preserve">附件3-8    </w:t>
      </w:r>
    </w:p>
    <w:p w14:paraId="667F566A">
      <w:pPr>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联合体协议书（格式）</w:t>
      </w:r>
    </w:p>
    <w:p w14:paraId="609EC206">
      <w:pPr>
        <w:adjustRightInd w:val="0"/>
        <w:snapToGrid w:val="0"/>
        <w:spacing w:line="360" w:lineRule="auto"/>
        <w:jc w:val="center"/>
        <w:rPr>
          <w:rFonts w:hint="eastAsia" w:ascii="黑体" w:hAnsi="仿宋" w:eastAsia="黑体" w:cs="宋体"/>
          <w:b/>
          <w:sz w:val="28"/>
          <w:szCs w:val="28"/>
          <w:lang w:eastAsia="zh-CN"/>
        </w:rPr>
      </w:pPr>
      <w:r>
        <w:rPr>
          <w:rFonts w:hint="eastAsia" w:ascii="黑体" w:hAnsi="仿宋" w:eastAsia="黑体" w:cs="宋体"/>
          <w:b/>
          <w:sz w:val="28"/>
          <w:szCs w:val="28"/>
          <w:lang w:eastAsia="zh-CN"/>
        </w:rPr>
        <w:t>（</w:t>
      </w:r>
      <w:r>
        <w:rPr>
          <w:rFonts w:hint="eastAsia" w:ascii="黑体" w:hAnsi="仿宋" w:eastAsia="黑体" w:cs="宋体"/>
          <w:b/>
          <w:sz w:val="28"/>
          <w:szCs w:val="28"/>
          <w:lang w:val="en-US" w:eastAsia="zh-CN"/>
        </w:rPr>
        <w:t>本项目不适用</w:t>
      </w:r>
      <w:r>
        <w:rPr>
          <w:rFonts w:hint="eastAsia" w:ascii="黑体" w:hAnsi="仿宋" w:eastAsia="黑体" w:cs="宋体"/>
          <w:b/>
          <w:sz w:val="28"/>
          <w:szCs w:val="28"/>
          <w:lang w:eastAsia="zh-CN"/>
        </w:rPr>
        <w:t>）</w:t>
      </w:r>
    </w:p>
    <w:p w14:paraId="2D72FC4D">
      <w:pPr>
        <w:adjustRightInd w:val="0"/>
        <w:snapToGrid w:val="0"/>
        <w:spacing w:line="360" w:lineRule="auto"/>
        <w:rPr>
          <w:rFonts w:ascii="宋体" w:hAnsi="宋体" w:eastAsia="宋体" w:cs="Times New Roman"/>
          <w:szCs w:val="21"/>
        </w:rPr>
      </w:pPr>
    </w:p>
    <w:p w14:paraId="4723C8D0">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致（采购人、采购代理机构）：</w:t>
      </w:r>
    </w:p>
    <w:p w14:paraId="365B4989">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经研究，我们决定自愿组成联合体共同参加（项目名称</w:t>
      </w:r>
      <w:r>
        <w:rPr>
          <w:rFonts w:ascii="宋体" w:hAnsi="宋体" w:eastAsia="宋体" w:cs="Times New Roman"/>
          <w:szCs w:val="21"/>
        </w:rPr>
        <w:t>）</w:t>
      </w:r>
      <w:r>
        <w:rPr>
          <w:rFonts w:hint="eastAsia" w:ascii="宋体" w:hAnsi="宋体" w:eastAsia="宋体" w:cs="Times New Roman"/>
          <w:szCs w:val="21"/>
        </w:rPr>
        <w:t>（</w:t>
      </w:r>
      <w:r>
        <w:rPr>
          <w:rFonts w:hint="eastAsia" w:ascii="宋体" w:hAnsi="宋体" w:eastAsia="宋体" w:cs="Times New Roman"/>
          <w:szCs w:val="21"/>
          <w:lang w:val="en-US" w:eastAsia="zh-CN"/>
        </w:rPr>
        <w:t>委托</w:t>
      </w:r>
      <w:r>
        <w:rPr>
          <w:rFonts w:hint="eastAsia" w:ascii="宋体" w:hAnsi="宋体" w:eastAsia="宋体" w:cs="Times New Roman"/>
          <w:szCs w:val="21"/>
        </w:rPr>
        <w:t>代理编号： ）项目的投标。现就联合体投标事宜订立如下协议：</w:t>
      </w:r>
    </w:p>
    <w:p w14:paraId="4C48674C">
      <w:pPr>
        <w:adjustRightInd w:val="0"/>
        <w:snapToGrid w:val="0"/>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一、联合体基本信息：（各方公司名称、地址、注册资金、营业执照、</w:t>
      </w: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姓名）</w:t>
      </w:r>
    </w:p>
    <w:p w14:paraId="747D1207">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二、（某成员单位名称）为（联合体名称）牵头人。</w:t>
      </w:r>
    </w:p>
    <w:p w14:paraId="69969DE9">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5B29B4F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w:t>
      </w:r>
      <w:r>
        <w:rPr>
          <w:rFonts w:hint="eastAsia" w:ascii="宋体" w:hAnsi="宋体" w:eastAsia="宋体" w:cs="Times New Roman"/>
          <w:szCs w:val="21"/>
          <w:lang w:eastAsia="zh-CN"/>
        </w:rPr>
        <w:t>、</w:t>
      </w:r>
      <w:r>
        <w:rPr>
          <w:rFonts w:hint="eastAsia" w:ascii="宋体" w:hAnsi="宋体" w:eastAsia="宋体" w:cs="Times New Roman"/>
          <w:szCs w:val="21"/>
        </w:rPr>
        <w:t>联合体将严格按照招标文件的各项要求，递交投标文件，参加投标，履行中标义务和中标后的合同，并向采购人承担连带责任。</w:t>
      </w:r>
    </w:p>
    <w:p w14:paraId="1FF113BE">
      <w:pPr>
        <w:adjustRightInd w:val="0"/>
        <w:snapToGrid w:val="0"/>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五、联合体各成员单位内部的职责分工如下</w:t>
      </w:r>
      <w:r>
        <w:rPr>
          <w:rFonts w:hint="eastAsia" w:ascii="宋体" w:hAnsi="宋体" w:eastAsia="宋体" w:cs="Times New Roman"/>
          <w:szCs w:val="21"/>
          <w:lang w:eastAsia="zh-CN"/>
        </w:rPr>
        <w:t>：</w:t>
      </w:r>
      <w:r>
        <w:rPr>
          <w:rFonts w:hint="eastAsia" w:ascii="宋体" w:hAnsi="宋体" w:eastAsia="宋体" w:cs="Times New Roman"/>
          <w:szCs w:val="21"/>
        </w:rPr>
        <w:t>按照本条上述分工，联合体各成员的协议合同金额占联合体协议合同总金额比例如下</w:t>
      </w:r>
      <w:r>
        <w:rPr>
          <w:rFonts w:hint="eastAsia" w:ascii="宋体" w:hAnsi="宋体" w:eastAsia="宋体" w:cs="Times New Roman"/>
          <w:szCs w:val="21"/>
          <w:lang w:eastAsia="zh-CN"/>
        </w:rPr>
        <w:t>：</w:t>
      </w:r>
    </w:p>
    <w:p w14:paraId="1DBE4A5C">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六、本协议书自签署之日起生效，合同履行完毕后自动失效。</w:t>
      </w:r>
    </w:p>
    <w:p w14:paraId="715D7368">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七、本协议书一式份，联合体成员和采购人各执一份。</w:t>
      </w:r>
    </w:p>
    <w:p w14:paraId="02E70F36">
      <w:pPr>
        <w:adjustRightInd w:val="0"/>
        <w:snapToGrid w:val="0"/>
        <w:spacing w:line="360" w:lineRule="auto"/>
        <w:rPr>
          <w:rFonts w:ascii="宋体" w:hAnsi="宋体" w:eastAsia="宋体" w:cs="Times New Roman"/>
          <w:szCs w:val="21"/>
        </w:rPr>
      </w:pPr>
    </w:p>
    <w:p w14:paraId="6918FA20">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牵头人名称（盖单位章）：</w:t>
      </w:r>
    </w:p>
    <w:p w14:paraId="6A9AA539">
      <w:pPr>
        <w:adjustRightInd w:val="0"/>
        <w:snapToGrid w:val="0"/>
        <w:spacing w:line="360" w:lineRule="auto"/>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或其委托代理人（签字或印章）：</w:t>
      </w:r>
    </w:p>
    <w:p w14:paraId="60B0EF0B">
      <w:pPr>
        <w:adjustRightInd w:val="0"/>
        <w:snapToGrid w:val="0"/>
        <w:spacing w:line="360" w:lineRule="auto"/>
        <w:rPr>
          <w:rFonts w:ascii="宋体" w:hAnsi="宋体" w:eastAsia="宋体" w:cs="Times New Roman"/>
          <w:szCs w:val="21"/>
        </w:rPr>
      </w:pPr>
    </w:p>
    <w:p w14:paraId="34224BEB">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成员1名称（盖单位章）：</w:t>
      </w:r>
    </w:p>
    <w:p w14:paraId="3C5CB618">
      <w:pPr>
        <w:adjustRightInd w:val="0"/>
        <w:snapToGrid w:val="0"/>
        <w:spacing w:line="360" w:lineRule="auto"/>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或其委托代理人（签字或印章）：</w:t>
      </w:r>
    </w:p>
    <w:p w14:paraId="5B901D60">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成员2名称（盖单位章）：</w:t>
      </w:r>
    </w:p>
    <w:p w14:paraId="533D079D">
      <w:pPr>
        <w:adjustRightInd w:val="0"/>
        <w:snapToGrid w:val="0"/>
        <w:spacing w:line="360" w:lineRule="auto"/>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或其委托代理人（签字或印章）：</w:t>
      </w:r>
    </w:p>
    <w:p w14:paraId="22FC9AF3">
      <w:pPr>
        <w:adjustRightInd w:val="0"/>
        <w:snapToGrid w:val="0"/>
        <w:spacing w:line="360" w:lineRule="auto"/>
        <w:rPr>
          <w:rFonts w:ascii="宋体" w:hAnsi="宋体" w:eastAsia="宋体" w:cs="Times New Roman"/>
          <w:szCs w:val="21"/>
        </w:rPr>
      </w:pPr>
      <w:r>
        <w:rPr>
          <w:rFonts w:ascii="宋体" w:hAnsi="宋体" w:eastAsia="宋体" w:cs="Times New Roman"/>
          <w:szCs w:val="21"/>
        </w:rPr>
        <w:t>…</w:t>
      </w:r>
    </w:p>
    <w:p w14:paraId="2AD38BF6">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 xml:space="preserve">日期：年月日  </w:t>
      </w:r>
    </w:p>
    <w:p w14:paraId="1663DDEB">
      <w:pPr>
        <w:widowControl/>
        <w:adjustRightInd w:val="0"/>
        <w:snapToGrid w:val="0"/>
        <w:spacing w:line="360" w:lineRule="auto"/>
        <w:ind w:firstLine="422" w:firstLineChars="200"/>
        <w:jc w:val="left"/>
        <w:rPr>
          <w:rFonts w:ascii="宋体" w:hAnsi="宋体" w:eastAsia="宋体" w:cs="Times New Roman"/>
          <w:szCs w:val="21"/>
        </w:rPr>
      </w:pPr>
      <w:r>
        <w:rPr>
          <w:rFonts w:hint="eastAsia" w:ascii="宋体" w:hAnsi="宋体" w:eastAsia="宋体" w:cs="Times New Roman"/>
          <w:b/>
          <w:szCs w:val="21"/>
        </w:rPr>
        <w:t>注</w:t>
      </w:r>
      <w:r>
        <w:rPr>
          <w:rFonts w:hint="eastAsia" w:ascii="宋体" w:hAnsi="宋体" w:eastAsia="宋体" w:cs="Times New Roman"/>
          <w:szCs w:val="21"/>
        </w:rPr>
        <w:t>：1、本协议书由委托代理人签字的，应附法定代表人（单位负责人）授权委托书。</w:t>
      </w:r>
    </w:p>
    <w:p w14:paraId="64CD0AB0">
      <w:pPr>
        <w:widowControl/>
        <w:adjustRightInd w:val="0"/>
        <w:snapToGrid w:val="0"/>
        <w:spacing w:line="360" w:lineRule="auto"/>
        <w:ind w:firstLine="420" w:firstLineChars="200"/>
        <w:jc w:val="left"/>
        <w:rPr>
          <w:rFonts w:ascii="黑体" w:hAnsi="Times New Roman" w:eastAsia="黑体" w:cs="Times New Roman"/>
          <w:sz w:val="32"/>
          <w:szCs w:val="32"/>
        </w:rPr>
      </w:pPr>
      <w:r>
        <w:rPr>
          <w:rFonts w:hint="eastAsia" w:ascii="宋体" w:hAnsi="宋体" w:eastAsia="宋体" w:cs="Times New Roman"/>
          <w:szCs w:val="21"/>
          <w:lang w:eastAsia="zh-CN"/>
        </w:rPr>
        <w:t>2.</w:t>
      </w:r>
      <w:r>
        <w:rPr>
          <w:rFonts w:hint="eastAsia" w:ascii="宋体" w:hAnsi="宋体" w:eastAsia="宋体" w:cs="Times New Roman"/>
          <w:szCs w:val="21"/>
        </w:rPr>
        <w:t>投标人在提交投标文件的截止时间前修改“开标一览表”中的投标报价，影响本协议书第五条的，应同时修改本协议书第五条。否则，评审时价格评审优惠不</w:t>
      </w:r>
      <w:r>
        <w:rPr>
          <w:rFonts w:hint="eastAsia" w:ascii="宋体" w:hAnsi="宋体" w:eastAsia="宋体" w:cs="Times New Roman"/>
          <w:szCs w:val="21"/>
          <w:lang w:eastAsia="zh-CN"/>
        </w:rPr>
        <w:t>予考虑</w:t>
      </w:r>
      <w:r>
        <w:rPr>
          <w:rFonts w:hint="eastAsia" w:ascii="宋体" w:hAnsi="宋体" w:eastAsia="宋体" w:cs="Times New Roman"/>
          <w:szCs w:val="21"/>
        </w:rPr>
        <w:t>。</w:t>
      </w:r>
      <w:r>
        <w:rPr>
          <w:rFonts w:ascii="宋体" w:hAnsi="宋体" w:eastAsia="宋体" w:cs="Times New Roman"/>
          <w:szCs w:val="21"/>
        </w:rPr>
        <w:br w:type="page"/>
      </w:r>
    </w:p>
    <w:p w14:paraId="45E7699A">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6" w:type="default"/>
          <w:pgSz w:w="11906" w:h="16838"/>
          <w:pgMar w:top="1134" w:right="1417" w:bottom="1134" w:left="1417" w:header="851" w:footer="992" w:gutter="0"/>
          <w:pgNumType w:fmt="decimal"/>
          <w:cols w:space="720" w:num="1"/>
          <w:rtlGutter w:val="0"/>
          <w:docGrid w:type="lines" w:linePitch="312" w:charSpace="0"/>
        </w:sectPr>
      </w:pPr>
    </w:p>
    <w:p w14:paraId="1CB64068">
      <w:pPr>
        <w:pageBreakBefore w:val="0"/>
        <w:numPr>
          <w:ilvl w:val="0"/>
          <w:numId w:val="7"/>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bookmarkStart w:id="131" w:name="_Toc17403"/>
      <w:bookmarkStart w:id="132" w:name="_Toc4335"/>
      <w:bookmarkStart w:id="133" w:name="_Toc8086"/>
      <w:r>
        <w:rPr>
          <w:rFonts w:hint="eastAsia" w:ascii="宋体" w:hAnsi="宋体" w:eastAsia="宋体" w:cs="宋体"/>
          <w:b/>
          <w:sz w:val="24"/>
          <w:szCs w:val="24"/>
          <w:lang w:val="en-US" w:eastAsia="zh-CN"/>
        </w:rPr>
        <w:t>项目实施方案</w:t>
      </w:r>
    </w:p>
    <w:p w14:paraId="3A3F0C80">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r>
        <w:rPr>
          <w:rFonts w:hint="eastAsia" w:ascii="宋体" w:hAnsi="宋体" w:eastAsia="宋体" w:cs="宋体"/>
          <w:b w:val="0"/>
          <w:bCs/>
          <w:sz w:val="21"/>
          <w:szCs w:val="21"/>
          <w:highlight w:val="none"/>
          <w:lang w:val="en-US" w:eastAsia="zh-CN"/>
        </w:rPr>
        <w:t>说明：根据“第三章评审因素”编定具体项目实施方案，格式自拟。</w:t>
      </w:r>
    </w:p>
    <w:p w14:paraId="4197AEB4">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BAABA6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B47014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01513D">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A41CBF1">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722A7B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2A3DE3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AE1DED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870842C">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A50E113">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AE7023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08B96B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30A597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540599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135636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9EE070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282F5A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19958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FEE6B7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E885D0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7EC04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0B32B2E6">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33FC4DB2">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F9B5AD1">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D918597">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1CB1C78D">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827A14A">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494C009B">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60B3E94">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9A314D9">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3CD5BBC2">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sz w:val="24"/>
          <w:szCs w:val="24"/>
          <w:u w:val="single"/>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、技术/商务响应与偏离表</w:t>
      </w:r>
      <w:bookmarkEnd w:id="131"/>
      <w:bookmarkEnd w:id="132"/>
      <w:bookmarkEnd w:id="133"/>
    </w:p>
    <w:tbl>
      <w:tblPr>
        <w:tblStyle w:val="3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1788"/>
        <w:gridCol w:w="2067"/>
        <w:gridCol w:w="2760"/>
        <w:gridCol w:w="1288"/>
        <w:gridCol w:w="701"/>
      </w:tblGrid>
      <w:tr w14:paraId="286323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2" w:hRule="atLeast"/>
          <w:jc w:val="center"/>
        </w:trPr>
        <w:tc>
          <w:tcPr>
            <w:tcW w:w="872" w:type="dxa"/>
            <w:vAlign w:val="center"/>
          </w:tcPr>
          <w:p w14:paraId="3516675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bCs/>
                <w:sz w:val="21"/>
                <w:szCs w:val="21"/>
              </w:rPr>
            </w:pPr>
            <w:r>
              <w:rPr>
                <w:rFonts w:hint="eastAsia" w:ascii="宋体" w:hAnsi="宋体" w:eastAsia="宋体" w:cs="宋体"/>
                <w:bCs/>
                <w:sz w:val="21"/>
                <w:szCs w:val="21"/>
              </w:rPr>
              <w:t>序号</w:t>
            </w:r>
          </w:p>
        </w:tc>
        <w:tc>
          <w:tcPr>
            <w:tcW w:w="1788" w:type="dxa"/>
            <w:vAlign w:val="center"/>
          </w:tcPr>
          <w:p w14:paraId="0873BB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磋商文件条目号</w:t>
            </w:r>
          </w:p>
        </w:tc>
        <w:tc>
          <w:tcPr>
            <w:tcW w:w="2067" w:type="dxa"/>
            <w:vAlign w:val="center"/>
          </w:tcPr>
          <w:p w14:paraId="0FC2C85E">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采购规格/技术条款</w:t>
            </w:r>
          </w:p>
        </w:tc>
        <w:tc>
          <w:tcPr>
            <w:tcW w:w="2760" w:type="dxa"/>
            <w:vAlign w:val="center"/>
          </w:tcPr>
          <w:p w14:paraId="1953A94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响应文件的规格/技术条款</w:t>
            </w:r>
          </w:p>
        </w:tc>
        <w:tc>
          <w:tcPr>
            <w:tcW w:w="1288" w:type="dxa"/>
            <w:vAlign w:val="center"/>
          </w:tcPr>
          <w:p w14:paraId="65FE57F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响应与偏离</w:t>
            </w:r>
          </w:p>
        </w:tc>
        <w:tc>
          <w:tcPr>
            <w:tcW w:w="701" w:type="dxa"/>
            <w:vAlign w:val="center"/>
          </w:tcPr>
          <w:p w14:paraId="51985F1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2EB5F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36EECE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428CDBB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2B26594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16AFF30">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09AA14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2408E2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10E30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6542870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2845B85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55A44B6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6F62DC3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77EDB77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3222EC9A">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F56C3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B3937C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56A122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20898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7165593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8BD5AF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9D7A83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60263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2D58DE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6D547D4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64C1DC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4F59115">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0A194CC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0742319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5EA7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1C7F2CB2">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3E88D1D9">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C8B518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0C695C2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4B35DAD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21F7963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bl>
    <w:p w14:paraId="38E77C4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u w:val="single"/>
        </w:rPr>
      </w:pPr>
    </w:p>
    <w:p w14:paraId="690D9316">
      <w:pPr>
        <w:pageBreakBefore w:val="0"/>
        <w:kinsoku/>
        <w:wordWrap/>
        <w:overflowPunct/>
        <w:bidi w:val="0"/>
        <w:adjustRightInd w:val="0"/>
        <w:snapToGrid w:val="0"/>
        <w:spacing w:beforeAutospacing="0" w:afterAutospacing="0" w:line="360" w:lineRule="auto"/>
        <w:ind w:left="-88" w:leftChars="-42"/>
        <w:textAlignment w:val="auto"/>
        <w:rPr>
          <w:rFonts w:hint="eastAsia" w:ascii="宋体" w:hAnsi="宋体" w:eastAsia="宋体" w:cs="宋体"/>
          <w:sz w:val="21"/>
          <w:szCs w:val="21"/>
        </w:rPr>
      </w:pPr>
      <w:r>
        <w:rPr>
          <w:rFonts w:hint="eastAsia" w:ascii="宋体" w:hAnsi="宋体" w:eastAsia="宋体" w:cs="宋体"/>
          <w:sz w:val="21"/>
          <w:szCs w:val="21"/>
        </w:rPr>
        <w:t>说明：</w:t>
      </w:r>
    </w:p>
    <w:p w14:paraId="18AF952E">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“响应与偏离”应注明“响应”或“偏离”。</w:t>
      </w:r>
    </w:p>
    <w:p w14:paraId="25F4BE10">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属磋商文件规定可能变动的内容在“说明”栏中注明。</w:t>
      </w:r>
    </w:p>
    <w:p w14:paraId="32B3A63F">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60539495">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5FD9576">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u w:val="single"/>
        </w:rPr>
      </w:pPr>
      <w:r>
        <w:rPr>
          <w:rFonts w:hint="eastAsia" w:ascii="宋体" w:hAnsi="宋体" w:eastAsia="宋体" w:cs="宋体"/>
          <w:sz w:val="21"/>
          <w:szCs w:val="21"/>
        </w:rPr>
        <w:t>供应商名称（盖单位章）：</w:t>
      </w:r>
    </w:p>
    <w:p w14:paraId="5118658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法定代表人或其委托代理人（签字）： </w:t>
      </w:r>
    </w:p>
    <w:p w14:paraId="55290B22">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55D5981D">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footerReference r:id="rId17" w:type="default"/>
          <w:pgSz w:w="11906" w:h="16838"/>
          <w:pgMar w:top="1134" w:right="1417" w:bottom="1134" w:left="1417" w:header="851" w:footer="992" w:gutter="0"/>
          <w:pgNumType w:fmt="decimal"/>
          <w:cols w:space="720" w:num="1"/>
          <w:rtlGutter w:val="0"/>
          <w:docGrid w:type="linesAndChars" w:linePitch="312" w:charSpace="0"/>
        </w:sectPr>
      </w:pPr>
    </w:p>
    <w:p w14:paraId="6BC69CC4">
      <w:pPr>
        <w:pStyle w:val="3"/>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sz w:val="24"/>
          <w:szCs w:val="24"/>
        </w:rPr>
      </w:pPr>
      <w:bookmarkStart w:id="134" w:name="_Toc34637806"/>
      <w:bookmarkStart w:id="135" w:name="_Toc22201164"/>
      <w:r>
        <w:rPr>
          <w:rFonts w:hint="eastAsia" w:ascii="宋体" w:hAnsi="宋体" w:cs="宋体"/>
          <w:sz w:val="24"/>
          <w:szCs w:val="24"/>
          <w:lang w:val="en-US" w:eastAsia="zh-CN"/>
        </w:rPr>
        <w:t>六</w:t>
      </w:r>
      <w:r>
        <w:rPr>
          <w:rFonts w:hint="eastAsia" w:ascii="宋体" w:hAnsi="宋体" w:eastAsia="宋体" w:cs="宋体"/>
          <w:sz w:val="24"/>
          <w:szCs w:val="24"/>
          <w:lang w:eastAsia="zh-CN"/>
        </w:rPr>
        <w:t>、</w:t>
      </w:r>
      <w:r>
        <w:rPr>
          <w:rFonts w:hint="eastAsia" w:ascii="宋体" w:hAnsi="宋体" w:eastAsia="宋体" w:cs="宋体"/>
          <w:sz w:val="24"/>
          <w:szCs w:val="24"/>
        </w:rPr>
        <w:t>提供享受政府采购政策的证明资料</w:t>
      </w:r>
      <w:bookmarkStart w:id="136" w:name="_Toc34637805"/>
      <w:bookmarkStart w:id="137" w:name="_Toc22201162"/>
    </w:p>
    <w:p w14:paraId="5B00FA6A">
      <w:pPr>
        <w:pStyle w:val="3"/>
        <w:pageBreakBefore w:val="0"/>
        <w:numPr>
          <w:ilvl w:val="0"/>
          <w:numId w:val="0"/>
        </w:numPr>
        <w:kinsoku/>
        <w:wordWrap/>
        <w:overflowPunct/>
        <w:bidi w:val="0"/>
        <w:spacing w:beforeAutospacing="0" w:afterAutospacing="0" w:line="360" w:lineRule="auto"/>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6</w:t>
      </w:r>
      <w:r>
        <w:rPr>
          <w:rFonts w:hint="eastAsia" w:ascii="宋体" w:hAnsi="宋体" w:eastAsia="宋体" w:cs="宋体"/>
          <w:sz w:val="21"/>
          <w:szCs w:val="21"/>
        </w:rPr>
        <w:t>-1</w:t>
      </w:r>
      <w:bookmarkEnd w:id="136"/>
      <w:bookmarkEnd w:id="137"/>
      <w:r>
        <w:rPr>
          <w:rFonts w:hint="eastAsia" w:ascii="宋体" w:hAnsi="宋体" w:eastAsia="宋体" w:cs="宋体"/>
          <w:sz w:val="21"/>
          <w:szCs w:val="21"/>
          <w:lang w:val="en-US" w:eastAsia="zh-CN"/>
        </w:rPr>
        <w:t xml:space="preserve">      </w:t>
      </w:r>
    </w:p>
    <w:p w14:paraId="6A105D24">
      <w:pPr>
        <w:pStyle w:val="3"/>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b/>
          <w:spacing w:val="6"/>
          <w:kern w:val="0"/>
          <w:sz w:val="21"/>
          <w:szCs w:val="21"/>
        </w:rPr>
      </w:pPr>
      <w:r>
        <w:rPr>
          <w:rFonts w:hint="eastAsia" w:ascii="宋体" w:hAnsi="宋体" w:eastAsia="宋体" w:cs="宋体"/>
          <w:b/>
          <w:bCs/>
          <w:spacing w:val="6"/>
          <w:kern w:val="0"/>
          <w:sz w:val="21"/>
          <w:szCs w:val="21"/>
        </w:rPr>
        <w:t>中小企业声明函（工程、服务）</w:t>
      </w:r>
      <w:r>
        <w:rPr>
          <w:rFonts w:hint="eastAsia" w:ascii="宋体" w:hAnsi="宋体" w:cs="宋体"/>
          <w:b/>
          <w:bCs/>
          <w:spacing w:val="6"/>
          <w:kern w:val="0"/>
          <w:sz w:val="21"/>
          <w:szCs w:val="21"/>
          <w:lang w:eastAsia="zh-CN"/>
        </w:rPr>
        <w:t>（</w:t>
      </w:r>
      <w:r>
        <w:rPr>
          <w:rFonts w:hint="eastAsia" w:ascii="宋体" w:hAnsi="宋体" w:eastAsia="宋体" w:cs="宋体"/>
          <w:b/>
          <w:spacing w:val="6"/>
          <w:kern w:val="0"/>
          <w:sz w:val="21"/>
          <w:szCs w:val="21"/>
        </w:rPr>
        <w:t>不满足以下条件的无需填写</w:t>
      </w:r>
      <w:r>
        <w:rPr>
          <w:rFonts w:hint="eastAsia" w:ascii="宋体" w:hAnsi="宋体" w:cs="宋体"/>
          <w:b/>
          <w:spacing w:val="6"/>
          <w:kern w:val="0"/>
          <w:sz w:val="21"/>
          <w:szCs w:val="21"/>
          <w:lang w:eastAsia="zh-CN"/>
        </w:rPr>
        <w:t>）</w:t>
      </w:r>
    </w:p>
    <w:p w14:paraId="4F6B12D5">
      <w:pPr>
        <w:pStyle w:val="11"/>
        <w:pageBreakBefore w:val="0"/>
        <w:kinsoku/>
        <w:wordWrap/>
        <w:overflowPunct/>
        <w:bidi w:val="0"/>
        <w:spacing w:beforeAutospacing="0" w:afterAutospacing="0" w:line="360" w:lineRule="auto"/>
        <w:ind w:left="0" w:leftChars="0" w:firstLine="630" w:firstLineChars="300"/>
        <w:textAlignment w:val="auto"/>
        <w:rPr>
          <w:rFonts w:hint="eastAsia" w:ascii="宋体" w:hAnsi="宋体" w:eastAsia="宋体" w:cs="宋体"/>
          <w:kern w:val="2"/>
          <w:sz w:val="21"/>
          <w:szCs w:val="21"/>
        </w:rPr>
      </w:pPr>
      <w:r>
        <w:rPr>
          <w:rFonts w:hint="eastAsia" w:ascii="宋体" w:hAnsi="宋体" w:eastAsia="宋体" w:cs="宋体"/>
          <w:kern w:val="2"/>
          <w:sz w:val="21"/>
          <w:szCs w:val="2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0325D26">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 xml:space="preserve">1. （标的名称），属于（采购文件中明确的所属行业）；承建（承接）企业为（企业名称），从业人员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万元，属于（中型企业、小型企业、微型企业）；</w:t>
      </w:r>
    </w:p>
    <w:p w14:paraId="12EF47D3">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 （标的名称），属于（采购文件中明确的所属行业）；承建（承接）企业为（企业名称），从业人员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人，营业收入为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万元，属于（中型企业、小型企业、微型企业）；</w:t>
      </w:r>
    </w:p>
    <w:p w14:paraId="5B83433C">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w:t>
      </w:r>
    </w:p>
    <w:p w14:paraId="507A3FD2">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kern w:val="2"/>
          <w:sz w:val="21"/>
          <w:szCs w:val="21"/>
        </w:rPr>
      </w:pPr>
      <w:r>
        <w:rPr>
          <w:rFonts w:hint="eastAsia" w:ascii="宋体" w:hAnsi="宋体" w:eastAsia="宋体" w:cs="宋体"/>
          <w:kern w:val="2"/>
          <w:sz w:val="21"/>
          <w:szCs w:val="21"/>
        </w:rPr>
        <w:t>以上企业，不属于大企业的分支机构，不存在控股股东为大企业的情形，也不存在与大企业的负责人为同一人的情形。</w:t>
      </w:r>
    </w:p>
    <w:p w14:paraId="1FE69F6D">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本企业对上述声明内容的真实性负责。如有虚假，将依法承担相应责任。</w:t>
      </w:r>
    </w:p>
    <w:p w14:paraId="601EC92E">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8F2FF4A">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F37AD63">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企业名称（盖章）：</w:t>
      </w:r>
    </w:p>
    <w:p w14:paraId="48C73851">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5582EF34">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日 期：</w:t>
      </w:r>
    </w:p>
    <w:p w14:paraId="625407E7">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eastAsia="zh-CN"/>
        </w:rPr>
        <w:t>注：</w:t>
      </w:r>
      <w:r>
        <w:rPr>
          <w:rFonts w:hint="eastAsia" w:ascii="宋体" w:hAnsi="宋体" w:eastAsia="宋体" w:cs="宋体"/>
          <w:b w:val="0"/>
          <w:bCs w:val="0"/>
          <w:kern w:val="2"/>
          <w:sz w:val="21"/>
          <w:szCs w:val="21"/>
          <w:lang w:val="en-US" w:eastAsia="zh-CN"/>
        </w:rPr>
        <w:t>1、</w:t>
      </w:r>
      <w:r>
        <w:rPr>
          <w:rFonts w:hint="eastAsia" w:ascii="宋体" w:hAnsi="宋体" w:eastAsia="宋体" w:cs="宋体"/>
          <w:b w:val="0"/>
          <w:bCs w:val="0"/>
          <w:kern w:val="2"/>
          <w:sz w:val="21"/>
          <w:szCs w:val="21"/>
        </w:rPr>
        <w:t>从业人员、营业收入、资产总额填报上一年度数据，无上一年度数据的新成立企业可不填报。</w:t>
      </w:r>
    </w:p>
    <w:p w14:paraId="5B54E1A3">
      <w:pPr>
        <w:pStyle w:val="11"/>
        <w:pageBreakBefore w:val="0"/>
        <w:numPr>
          <w:ilvl w:val="0"/>
          <w:numId w:val="8"/>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rPr>
      </w:pPr>
      <w:r>
        <w:rPr>
          <w:rFonts w:hint="eastAsia" w:ascii="宋体" w:hAnsi="宋体" w:eastAsia="宋体" w:cs="宋体"/>
          <w:b w:val="0"/>
          <w:bCs w:val="0"/>
          <w:spacing w:val="6"/>
          <w:kern w:val="0"/>
          <w:sz w:val="21"/>
          <w:szCs w:val="21"/>
        </w:rPr>
        <w:t>本项目为专门面向中小企业采购。中小企业必须提供《中小企业声明函》，否则视为无效响应。</w:t>
      </w:r>
    </w:p>
    <w:p w14:paraId="3BDC0557">
      <w:pPr>
        <w:pStyle w:val="11"/>
        <w:pageBreakBefore w:val="0"/>
        <w:numPr>
          <w:ilvl w:val="0"/>
          <w:numId w:val="8"/>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eastAsia="zh-CN"/>
        </w:rPr>
        <w:t>本项目</w:t>
      </w:r>
      <w:r>
        <w:rPr>
          <w:rFonts w:hint="eastAsia" w:ascii="宋体" w:hAnsi="宋体" w:eastAsia="宋体" w:cs="宋体"/>
          <w:b w:val="0"/>
          <w:bCs w:val="0"/>
          <w:spacing w:val="6"/>
          <w:kern w:val="0"/>
          <w:sz w:val="21"/>
          <w:szCs w:val="21"/>
        </w:rPr>
        <w:t>划分标准所属行业：</w:t>
      </w:r>
      <w:r>
        <w:rPr>
          <w:rFonts w:hint="eastAsia" w:ascii="宋体" w:hAnsi="宋体" w:cs="宋体"/>
          <w:b w:val="0"/>
          <w:bCs w:val="0"/>
          <w:spacing w:val="6"/>
          <w:kern w:val="0"/>
          <w:sz w:val="21"/>
          <w:szCs w:val="21"/>
          <w:lang w:val="en-US" w:eastAsia="zh-CN"/>
        </w:rPr>
        <w:t>其他未列明行业</w:t>
      </w:r>
      <w:r>
        <w:rPr>
          <w:rFonts w:hint="eastAsia" w:ascii="宋体" w:hAnsi="宋体" w:eastAsia="宋体" w:cs="宋体"/>
          <w:b w:val="0"/>
          <w:bCs w:val="0"/>
          <w:spacing w:val="6"/>
          <w:kern w:val="0"/>
          <w:sz w:val="21"/>
          <w:szCs w:val="21"/>
          <w:lang w:val="en-US" w:eastAsia="zh-CN"/>
        </w:rPr>
        <w:t>。</w:t>
      </w:r>
    </w:p>
    <w:p w14:paraId="65C71528">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val="en-US" w:eastAsia="zh-CN"/>
        </w:rPr>
        <w:t>其他未列明行业中小企业划分标准为：从业人员300人以下的为中小微型企业。其中，从业</w:t>
      </w:r>
    </w:p>
    <w:p w14:paraId="7D972143">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spacing w:val="6"/>
          <w:kern w:val="0"/>
          <w:sz w:val="21"/>
          <w:szCs w:val="21"/>
        </w:rPr>
      </w:pPr>
      <w:r>
        <w:rPr>
          <w:rFonts w:hint="eastAsia" w:ascii="宋体" w:hAnsi="宋体" w:eastAsia="宋体" w:cs="宋体"/>
          <w:b w:val="0"/>
          <w:bCs w:val="0"/>
          <w:spacing w:val="6"/>
          <w:kern w:val="0"/>
          <w:sz w:val="21"/>
          <w:szCs w:val="21"/>
          <w:lang w:val="en-US" w:eastAsia="zh-CN"/>
        </w:rPr>
        <w:t>人员100人及以上的为中型企业；从业人员10人及以上的为小型企业；从业人员10人以下的为微型企业。</w:t>
      </w:r>
    </w:p>
    <w:p w14:paraId="19E02F60">
      <w:pPr>
        <w:rPr>
          <w:rFonts w:hint="eastAsia"/>
        </w:rPr>
      </w:pPr>
    </w:p>
    <w:p w14:paraId="15262143">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pacing w:val="6"/>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-2 </w:t>
      </w:r>
      <w:bookmarkEnd w:id="134"/>
      <w:bookmarkEnd w:id="135"/>
    </w:p>
    <w:p w14:paraId="58729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残疾人福利性单位声明函</w:t>
      </w:r>
    </w:p>
    <w:p w14:paraId="42F62A3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lang w:eastAsia="zh-CN"/>
        </w:rPr>
        <w:t>（</w:t>
      </w:r>
      <w:r>
        <w:rPr>
          <w:rFonts w:hint="eastAsia" w:ascii="宋体" w:hAnsi="宋体" w:eastAsia="宋体" w:cs="宋体"/>
          <w:b/>
          <w:spacing w:val="6"/>
          <w:sz w:val="21"/>
          <w:szCs w:val="21"/>
        </w:rPr>
        <w:t>不属于残疾人福利性单位的无需填写</w:t>
      </w:r>
      <w:r>
        <w:rPr>
          <w:rFonts w:hint="eastAsia" w:ascii="宋体" w:hAnsi="宋体" w:eastAsia="宋体" w:cs="宋体"/>
          <w:b/>
          <w:spacing w:val="6"/>
          <w:sz w:val="21"/>
          <w:szCs w:val="21"/>
          <w:lang w:eastAsia="zh-CN"/>
        </w:rPr>
        <w:t>）</w:t>
      </w:r>
    </w:p>
    <w:p w14:paraId="3200DF5A">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50923347">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214215">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14:paraId="2AD6E57F">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FC8A303">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7D77AE7">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单位名称（盖章）：</w:t>
      </w:r>
    </w:p>
    <w:p w14:paraId="76556BE1">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日  期：</w:t>
      </w:r>
    </w:p>
    <w:p w14:paraId="3A111817">
      <w:pPr>
        <w:pageBreakBefore w:val="0"/>
        <w:tabs>
          <w:tab w:val="left" w:pos="3600"/>
        </w:tabs>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p w14:paraId="238D9A6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5854403">
      <w:pPr>
        <w:pageBreakBefore w:val="0"/>
        <w:tabs>
          <w:tab w:val="left" w:pos="4860"/>
        </w:tabs>
        <w:kinsoku/>
        <w:wordWrap/>
        <w:overflowPunct/>
        <w:bidi w:val="0"/>
        <w:adjustRightInd w:val="0"/>
        <w:snapToGrid w:val="0"/>
        <w:spacing w:beforeAutospacing="0" w:afterAutospacing="0" w:line="360" w:lineRule="auto"/>
        <w:ind w:right="1560"/>
        <w:textAlignment w:val="auto"/>
        <w:rPr>
          <w:rFonts w:hint="eastAsia" w:ascii="宋体" w:hAnsi="宋体" w:eastAsia="宋体" w:cs="宋体"/>
          <w:b/>
          <w:bCs/>
          <w:sz w:val="24"/>
          <w:szCs w:val="24"/>
        </w:rPr>
      </w:pPr>
      <w:bookmarkStart w:id="138" w:name="_Toc34637807"/>
      <w:bookmarkStart w:id="139" w:name="_Toc22201165"/>
      <w:r>
        <w:rPr>
          <w:rFonts w:hint="eastAsia" w:ascii="宋体" w:hAnsi="宋体" w:eastAsia="宋体" w:cs="宋体"/>
          <w:b/>
          <w:bCs/>
          <w:kern w:val="0"/>
          <w:sz w:val="24"/>
          <w:szCs w:val="24"/>
        </w:rPr>
        <w:t>附件</w:t>
      </w:r>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 xml:space="preserve">-3 </w:t>
      </w:r>
      <w:bookmarkEnd w:id="138"/>
      <w:bookmarkEnd w:id="139"/>
    </w:p>
    <w:p w14:paraId="13231B6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监狱企业证明资料</w:t>
      </w:r>
    </w:p>
    <w:p w14:paraId="0D778A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lang w:eastAsia="zh-CN"/>
        </w:rPr>
        <w:t>（</w:t>
      </w:r>
      <w:r>
        <w:rPr>
          <w:rFonts w:hint="eastAsia" w:ascii="宋体" w:hAnsi="宋体" w:eastAsia="宋体" w:cs="宋体"/>
          <w:b/>
          <w:spacing w:val="6"/>
          <w:sz w:val="21"/>
          <w:szCs w:val="21"/>
        </w:rPr>
        <w:t>不属于监狱企业的无需提供</w:t>
      </w:r>
      <w:r>
        <w:rPr>
          <w:rFonts w:hint="eastAsia" w:ascii="宋体" w:hAnsi="宋体" w:eastAsia="宋体" w:cs="宋体"/>
          <w:b/>
          <w:spacing w:val="6"/>
          <w:sz w:val="21"/>
          <w:szCs w:val="21"/>
          <w:lang w:eastAsia="zh-CN"/>
        </w:rPr>
        <w:t>）</w:t>
      </w:r>
    </w:p>
    <w:p w14:paraId="5C2C8A7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FB9AFCC">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z w:val="21"/>
          <w:szCs w:val="21"/>
        </w:rPr>
      </w:pPr>
      <w:r>
        <w:rPr>
          <w:rFonts w:hint="eastAsia" w:ascii="宋体" w:hAnsi="宋体" w:eastAsia="宋体" w:cs="宋体"/>
          <w:bCs/>
          <w:spacing w:val="6"/>
          <w:kern w:val="0"/>
          <w:sz w:val="21"/>
          <w:szCs w:val="21"/>
        </w:rPr>
        <w:t>备注：</w:t>
      </w:r>
      <w:r>
        <w:rPr>
          <w:rFonts w:hint="eastAsia" w:ascii="宋体" w:hAnsi="宋体" w:eastAsia="宋体" w:cs="宋体"/>
          <w:sz w:val="21"/>
          <w:szCs w:val="21"/>
        </w:rPr>
        <w:t>按</w:t>
      </w:r>
      <w:r>
        <w:rPr>
          <w:rFonts w:hint="eastAsia" w:ascii="宋体" w:hAnsi="宋体" w:eastAsia="宋体" w:cs="宋体"/>
          <w:spacing w:val="6"/>
          <w:sz w:val="21"/>
          <w:szCs w:val="21"/>
        </w:rPr>
        <w:t>《</w:t>
      </w:r>
      <w:r>
        <w:rPr>
          <w:rFonts w:hint="eastAsia" w:ascii="宋体" w:hAnsi="宋体" w:eastAsia="宋体" w:cs="宋体"/>
          <w:sz w:val="21"/>
          <w:szCs w:val="21"/>
        </w:rPr>
        <w:t>财政部司法部关于政府采购支持监狱企业发展有关问题的通知</w:t>
      </w:r>
      <w:r>
        <w:rPr>
          <w:rFonts w:hint="eastAsia" w:ascii="宋体" w:hAnsi="宋体" w:eastAsia="宋体" w:cs="宋体"/>
          <w:spacing w:val="6"/>
          <w:sz w:val="21"/>
          <w:szCs w:val="21"/>
        </w:rPr>
        <w:t>》</w:t>
      </w:r>
      <w:r>
        <w:rPr>
          <w:rFonts w:hint="eastAsia" w:ascii="宋体" w:hAnsi="宋体" w:eastAsia="宋体" w:cs="宋体"/>
          <w:spacing w:val="6"/>
          <w:sz w:val="21"/>
          <w:szCs w:val="21"/>
          <w:lang w:eastAsia="zh-CN"/>
        </w:rPr>
        <w:t>（</w:t>
      </w:r>
      <w:r>
        <w:rPr>
          <w:rFonts w:hint="eastAsia" w:ascii="宋体" w:hAnsi="宋体" w:eastAsia="宋体" w:cs="宋体"/>
          <w:sz w:val="21"/>
          <w:szCs w:val="21"/>
        </w:rPr>
        <w:t>财库〔2014〕68号</w:t>
      </w:r>
      <w:r>
        <w:rPr>
          <w:rFonts w:hint="eastAsia" w:ascii="宋体" w:hAnsi="宋体" w:eastAsia="宋体" w:cs="宋体"/>
          <w:sz w:val="21"/>
          <w:szCs w:val="21"/>
          <w:lang w:eastAsia="zh-CN"/>
        </w:rPr>
        <w:t>）</w:t>
      </w:r>
      <w:r>
        <w:rPr>
          <w:rFonts w:hint="eastAsia" w:ascii="宋体" w:hAnsi="宋体" w:eastAsia="宋体" w:cs="宋体"/>
          <w:sz w:val="21"/>
          <w:szCs w:val="21"/>
        </w:rPr>
        <w:t>文件规定提供证明文件（复印件）。</w:t>
      </w:r>
    </w:p>
    <w:p w14:paraId="1D88DA93">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1839DF7">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-4 </w:t>
      </w:r>
    </w:p>
    <w:p w14:paraId="46D5B3B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强制采购或者优先采购产品</w:t>
      </w:r>
      <w:r>
        <w:rPr>
          <w:rFonts w:hint="eastAsia" w:ascii="宋体" w:hAnsi="宋体" w:eastAsia="宋体" w:cs="宋体"/>
          <w:b/>
          <w:bCs/>
          <w:sz w:val="24"/>
          <w:szCs w:val="24"/>
        </w:rPr>
        <w:t>的</w:t>
      </w:r>
      <w:r>
        <w:rPr>
          <w:rFonts w:hint="eastAsia" w:ascii="宋体" w:hAnsi="宋体" w:eastAsia="宋体" w:cs="宋体"/>
          <w:b/>
          <w:sz w:val="24"/>
          <w:szCs w:val="24"/>
        </w:rPr>
        <w:t>证明材料</w:t>
      </w:r>
    </w:p>
    <w:p w14:paraId="2914FD3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4"/>
          <w:szCs w:val="24"/>
        </w:rPr>
      </w:pPr>
      <w:r>
        <w:rPr>
          <w:rFonts w:hint="eastAsia" w:ascii="宋体" w:hAnsi="宋体" w:eastAsia="宋体" w:cs="宋体"/>
          <w:b/>
          <w:spacing w:val="6"/>
          <w:sz w:val="24"/>
          <w:szCs w:val="24"/>
          <w:lang w:eastAsia="zh-CN"/>
        </w:rPr>
        <w:t>（</w:t>
      </w:r>
      <w:r>
        <w:rPr>
          <w:rFonts w:hint="eastAsia" w:ascii="宋体" w:hAnsi="宋体" w:eastAsia="宋体" w:cs="宋体"/>
          <w:b/>
          <w:spacing w:val="6"/>
          <w:sz w:val="24"/>
          <w:szCs w:val="24"/>
        </w:rPr>
        <w:t>不属于强制采购或者优先采购产品的无需提供</w:t>
      </w:r>
      <w:r>
        <w:rPr>
          <w:rFonts w:hint="eastAsia" w:ascii="宋体" w:hAnsi="宋体" w:eastAsia="宋体" w:cs="宋体"/>
          <w:b/>
          <w:spacing w:val="6"/>
          <w:sz w:val="24"/>
          <w:szCs w:val="24"/>
          <w:lang w:eastAsia="zh-CN"/>
        </w:rPr>
        <w:t>）</w:t>
      </w:r>
    </w:p>
    <w:p w14:paraId="638A2371">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sz w:val="21"/>
          <w:szCs w:val="21"/>
        </w:rPr>
      </w:pPr>
    </w:p>
    <w:p w14:paraId="764E7339">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说明：1、供应商提供的产品</w:t>
      </w:r>
      <w:r>
        <w:rPr>
          <w:rFonts w:hint="eastAsia" w:ascii="宋体" w:hAnsi="宋体" w:eastAsia="宋体" w:cs="宋体"/>
          <w:bCs/>
          <w:sz w:val="21"/>
          <w:szCs w:val="21"/>
        </w:rPr>
        <w:t>属于强制采购或者优先采购的</w:t>
      </w:r>
      <w:r>
        <w:rPr>
          <w:rFonts w:hint="eastAsia" w:ascii="宋体" w:hAnsi="宋体" w:eastAsia="宋体" w:cs="宋体"/>
          <w:sz w:val="21"/>
          <w:szCs w:val="21"/>
        </w:rPr>
        <w:t>，应按第二章第九节规定提供证明材料和本章本节附页1“优先采购产品清单”，并加盖供应商单位公章。</w:t>
      </w:r>
    </w:p>
    <w:p w14:paraId="146A769E">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节能产品、环境标志产品</w:t>
      </w:r>
      <w:r>
        <w:rPr>
          <w:rFonts w:hint="eastAsia" w:ascii="宋体" w:hAnsi="宋体" w:eastAsia="宋体" w:cs="宋体"/>
          <w:sz w:val="21"/>
          <w:szCs w:val="21"/>
          <w:lang w:eastAsia="zh-CN"/>
        </w:rPr>
        <w:t>（</w:t>
      </w:r>
      <w:r>
        <w:rPr>
          <w:rFonts w:hint="eastAsia" w:ascii="宋体" w:hAnsi="宋体" w:eastAsia="宋体" w:cs="宋体"/>
          <w:sz w:val="21"/>
          <w:szCs w:val="21"/>
        </w:rPr>
        <w:t>强制采购或者优先采购产品</w:t>
      </w:r>
      <w:r>
        <w:rPr>
          <w:rFonts w:hint="eastAsia" w:ascii="宋体" w:hAnsi="宋体" w:eastAsia="宋体" w:cs="宋体"/>
          <w:sz w:val="21"/>
          <w:szCs w:val="21"/>
          <w:lang w:eastAsia="zh-CN"/>
        </w:rPr>
        <w:t>）</w:t>
      </w:r>
      <w:r>
        <w:rPr>
          <w:rFonts w:hint="eastAsia" w:ascii="宋体" w:hAnsi="宋体" w:eastAsia="宋体" w:cs="宋体"/>
          <w:sz w:val="21"/>
          <w:szCs w:val="21"/>
        </w:rPr>
        <w:t>认证证书内容注明“详见证书附件”的，应提供其附件，以证明认证证书与响应文件一致。</w:t>
      </w:r>
    </w:p>
    <w:p w14:paraId="04EFB7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9EB4EE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89E638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F18624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60322B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317A8F3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835C5E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59D62A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F23EE6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DA0A55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866A4B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436DA1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2B608EF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E7FBE2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591D3FE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BF7BBA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4E4F01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97AC51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2ABFB0D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1BC99B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081C889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43CF2E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84464DD">
      <w:pPr>
        <w:pStyle w:val="3"/>
        <w:rPr>
          <w:rFonts w:hint="eastAsia"/>
        </w:rPr>
      </w:pPr>
    </w:p>
    <w:p w14:paraId="11A8A57E">
      <w:pPr>
        <w:rPr>
          <w:rFonts w:hint="eastAsia"/>
        </w:rPr>
      </w:pPr>
    </w:p>
    <w:p w14:paraId="68FDABC3">
      <w:pPr>
        <w:pStyle w:val="3"/>
        <w:rPr>
          <w:rFonts w:hint="eastAsia"/>
        </w:rPr>
      </w:pPr>
    </w:p>
    <w:p w14:paraId="6B1B6757">
      <w:pPr>
        <w:pStyle w:val="3"/>
        <w:rPr>
          <w:rFonts w:hint="eastAsia"/>
        </w:rPr>
      </w:pPr>
    </w:p>
    <w:p w14:paraId="7F93D6B6">
      <w:pPr>
        <w:rPr>
          <w:rFonts w:hint="eastAsia"/>
        </w:rPr>
      </w:pPr>
    </w:p>
    <w:p w14:paraId="4C8F602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lang w:val="en-US"/>
        </w:rPr>
      </w:pPr>
      <w:r>
        <w:rPr>
          <w:rFonts w:hint="eastAsia" w:ascii="宋体" w:hAnsi="宋体" w:eastAsia="宋体" w:cs="宋体"/>
          <w:b/>
          <w:bCs/>
          <w:spacing w:val="6"/>
          <w:kern w:val="0"/>
          <w:sz w:val="24"/>
          <w:szCs w:val="24"/>
        </w:rPr>
        <w:t>附页1</w:t>
      </w:r>
      <w:r>
        <w:rPr>
          <w:rFonts w:hint="eastAsia" w:ascii="宋体" w:hAnsi="宋体" w:eastAsia="宋体" w:cs="宋体"/>
          <w:b/>
          <w:bCs/>
          <w:spacing w:val="6"/>
          <w:kern w:val="0"/>
          <w:sz w:val="24"/>
          <w:szCs w:val="24"/>
          <w:lang w:val="en-US"/>
        </w:rPr>
        <w:t xml:space="preserve"> </w:t>
      </w:r>
      <w:r>
        <w:rPr>
          <w:rFonts w:hint="eastAsia" w:ascii="宋体" w:hAnsi="宋体" w:eastAsia="宋体" w:cs="宋体"/>
          <w:b/>
          <w:bCs/>
          <w:spacing w:val="6"/>
          <w:kern w:val="0"/>
          <w:sz w:val="21"/>
          <w:szCs w:val="21"/>
          <w:lang w:val="en-US"/>
        </w:rPr>
        <w:t xml:space="preserve">                  </w:t>
      </w:r>
      <w:r>
        <w:rPr>
          <w:rFonts w:hint="eastAsia" w:ascii="宋体" w:hAnsi="宋体" w:eastAsia="宋体" w:cs="宋体"/>
          <w:b/>
          <w:bCs/>
          <w:spacing w:val="6"/>
          <w:kern w:val="0"/>
          <w:sz w:val="21"/>
          <w:szCs w:val="21"/>
          <w:lang w:val="en-US" w:eastAsia="zh-CN"/>
        </w:rPr>
        <w:t xml:space="preserve"> </w:t>
      </w:r>
      <w:r>
        <w:rPr>
          <w:rFonts w:hint="eastAsia" w:ascii="宋体" w:hAnsi="宋体" w:eastAsia="宋体" w:cs="宋体"/>
          <w:b/>
          <w:bCs/>
          <w:spacing w:val="6"/>
          <w:kern w:val="0"/>
          <w:sz w:val="21"/>
          <w:szCs w:val="21"/>
          <w:lang w:val="en-US"/>
        </w:rPr>
        <w:t xml:space="preserve"> </w:t>
      </w:r>
    </w:p>
    <w:p w14:paraId="7944315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优先采购产品清单</w:t>
      </w:r>
    </w:p>
    <w:p w14:paraId="53C27866">
      <w:pPr>
        <w:pStyle w:val="54"/>
        <w:ind w:left="0" w:leftChars="0" w:firstLine="0" w:firstLineChars="0"/>
        <w:rPr>
          <w:rFonts w:hint="default" w:eastAsia="宋体"/>
          <w:lang w:val="en-US" w:eastAsia="zh-CN"/>
        </w:rPr>
      </w:pPr>
      <w:r>
        <w:rPr>
          <w:rFonts w:hint="eastAsia"/>
          <w:lang w:val="en-US" w:eastAsia="zh-CN"/>
        </w:rPr>
        <w:t>政府采购计划编号：</w:t>
      </w:r>
    </w:p>
    <w:p w14:paraId="096B31B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p>
    <w:p w14:paraId="14961D7B">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项目名称：                    </w:t>
      </w:r>
      <w:r>
        <w:rPr>
          <w:rFonts w:hint="eastAsia" w:ascii="宋体" w:hAnsi="宋体" w:eastAsia="宋体" w:cs="宋体"/>
          <w:sz w:val="21"/>
          <w:szCs w:val="21"/>
          <w:lang w:val="en-US" w:eastAsia="zh-CN"/>
        </w:rPr>
        <w:t xml:space="preserve">      </w:t>
      </w:r>
    </w:p>
    <w:p w14:paraId="304F8FDB">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包名称：</w:t>
      </w:r>
    </w:p>
    <w:tbl>
      <w:tblPr>
        <w:tblStyle w:val="39"/>
        <w:tblW w:w="10156" w:type="dxa"/>
        <w:tblInd w:w="-11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559"/>
        <w:gridCol w:w="1276"/>
        <w:gridCol w:w="1276"/>
        <w:gridCol w:w="1984"/>
        <w:gridCol w:w="2983"/>
      </w:tblGrid>
      <w:tr w14:paraId="6ADF3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exact"/>
        </w:trPr>
        <w:tc>
          <w:tcPr>
            <w:tcW w:w="10156" w:type="dxa"/>
            <w:gridSpan w:val="6"/>
            <w:vAlign w:val="center"/>
          </w:tcPr>
          <w:p w14:paraId="47D5E6CC">
            <w:pPr>
              <w:keepNext w:val="0"/>
              <w:keepLines w:val="0"/>
              <w:pageBreakBefore w:val="0"/>
              <w:widowControl/>
              <w:kinsoku/>
              <w:wordWrap/>
              <w:overflowPunct/>
              <w:topLinePunct w:val="0"/>
              <w:bidi w:val="0"/>
              <w:adjustRightInd w:val="0"/>
              <w:snapToGrid w:val="0"/>
              <w:spacing w:beforeAutospacing="0" w:afterAutospacing="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以下为供应商提供的政府采购优先采购产品，供应商对本表的真实性负责。如有虚假，将依法承担相应责任。</w:t>
            </w:r>
          </w:p>
        </w:tc>
      </w:tr>
      <w:tr w14:paraId="13376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exact"/>
        </w:trPr>
        <w:tc>
          <w:tcPr>
            <w:tcW w:w="1078" w:type="dxa"/>
            <w:vAlign w:val="center"/>
          </w:tcPr>
          <w:p w14:paraId="05D1D05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559" w:type="dxa"/>
            <w:vAlign w:val="center"/>
          </w:tcPr>
          <w:p w14:paraId="4FB3323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276" w:type="dxa"/>
            <w:tcBorders>
              <w:right w:val="single" w:color="auto" w:sz="4" w:space="0"/>
            </w:tcBorders>
            <w:vAlign w:val="center"/>
          </w:tcPr>
          <w:p w14:paraId="63A2207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276" w:type="dxa"/>
            <w:tcBorders>
              <w:left w:val="single" w:color="auto" w:sz="4" w:space="0"/>
            </w:tcBorders>
            <w:vAlign w:val="center"/>
          </w:tcPr>
          <w:p w14:paraId="79F918FE">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984" w:type="dxa"/>
            <w:vAlign w:val="center"/>
          </w:tcPr>
          <w:p w14:paraId="06B11C7A">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983" w:type="dxa"/>
            <w:vAlign w:val="center"/>
          </w:tcPr>
          <w:p w14:paraId="6BEEBB5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r>
      <w:tr w14:paraId="36616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EEE5632">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559" w:type="dxa"/>
            <w:vAlign w:val="center"/>
          </w:tcPr>
          <w:p w14:paraId="50AE29D5">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276" w:type="dxa"/>
            <w:tcBorders>
              <w:right w:val="single" w:color="auto" w:sz="4" w:space="0"/>
            </w:tcBorders>
            <w:vAlign w:val="center"/>
          </w:tcPr>
          <w:p w14:paraId="3F2A0DB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276" w:type="dxa"/>
            <w:tcBorders>
              <w:left w:val="single" w:color="auto" w:sz="4" w:space="0"/>
            </w:tcBorders>
            <w:vAlign w:val="center"/>
          </w:tcPr>
          <w:p w14:paraId="24138C3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984" w:type="dxa"/>
            <w:vAlign w:val="center"/>
          </w:tcPr>
          <w:p w14:paraId="7A74A88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2983" w:type="dxa"/>
            <w:vAlign w:val="center"/>
          </w:tcPr>
          <w:p w14:paraId="5EB49ACC">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政策功能编码</w:t>
            </w:r>
          </w:p>
        </w:tc>
      </w:tr>
      <w:tr w14:paraId="2B008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exact"/>
        </w:trPr>
        <w:tc>
          <w:tcPr>
            <w:tcW w:w="10156" w:type="dxa"/>
            <w:gridSpan w:val="6"/>
            <w:vAlign w:val="center"/>
          </w:tcPr>
          <w:p w14:paraId="5D3C954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节能产品</w:t>
            </w:r>
          </w:p>
        </w:tc>
      </w:tr>
      <w:tr w14:paraId="3B22D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exact"/>
        </w:trPr>
        <w:tc>
          <w:tcPr>
            <w:tcW w:w="1078" w:type="dxa"/>
            <w:vAlign w:val="center"/>
          </w:tcPr>
          <w:p w14:paraId="6383B235">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0A817EE2">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6548A32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01FAF70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1BA424E3">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7B7993E9">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2E1A00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0C284D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6B97DC0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23D855F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CD95C8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7122630">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0ECE6F9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r w14:paraId="4B2A1E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exact"/>
        </w:trPr>
        <w:tc>
          <w:tcPr>
            <w:tcW w:w="10156" w:type="dxa"/>
            <w:gridSpan w:val="6"/>
            <w:vAlign w:val="center"/>
          </w:tcPr>
          <w:p w14:paraId="6F15B6C6">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环境标志产品</w:t>
            </w:r>
          </w:p>
        </w:tc>
      </w:tr>
      <w:tr w14:paraId="67730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909A58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1444487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349D709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2E0B2AD1">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879C6FD">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087FB4DA">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398AE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C86C73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3731ADDF">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162D3DA0">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A3C49F2">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27278144">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593EE71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bl>
    <w:p w14:paraId="13A7485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bCs/>
          <w:sz w:val="21"/>
          <w:szCs w:val="21"/>
        </w:rPr>
        <w:t>1、</w:t>
      </w:r>
      <w:r>
        <w:rPr>
          <w:rFonts w:hint="eastAsia" w:ascii="宋体" w:hAnsi="宋体" w:eastAsia="宋体" w:cs="宋体"/>
          <w:sz w:val="21"/>
          <w:szCs w:val="21"/>
        </w:rPr>
        <w:t>本表用于计算政府采购优先采购产品（节能产品或环境标志产品）的政府采购政策价格扣除。</w:t>
      </w:r>
    </w:p>
    <w:p w14:paraId="6818342E">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栏目4“价格”为综合单价，包含货物所有隐含的内容，如运输费、保险费、管理费和利润等。</w:t>
      </w:r>
    </w:p>
    <w:p w14:paraId="59A690E3">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栏目6“政策功能编码”是指货物的中国环境标志认证证书编号、中国节能标志认证证书号（货物同时属于节能产品、环境标志产品只</w:t>
      </w:r>
      <w:r>
        <w:rPr>
          <w:rFonts w:hint="eastAsia" w:ascii="宋体" w:hAnsi="宋体" w:eastAsia="宋体" w:cs="宋体"/>
          <w:sz w:val="21"/>
          <w:szCs w:val="21"/>
          <w:lang w:eastAsia="zh-CN"/>
        </w:rPr>
        <w:t>需</w:t>
      </w:r>
      <w:r>
        <w:rPr>
          <w:rFonts w:hint="eastAsia" w:ascii="宋体" w:hAnsi="宋体" w:eastAsia="宋体" w:cs="宋体"/>
          <w:sz w:val="21"/>
          <w:szCs w:val="21"/>
        </w:rPr>
        <w:t>填写一种）。</w:t>
      </w:r>
    </w:p>
    <w:p w14:paraId="65B3CAF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23EF06E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p>
    <w:p w14:paraId="4EAA9E6D">
      <w:pPr>
        <w:keepNext w:val="0"/>
        <w:keepLines w:val="0"/>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8701E9C">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4"/>
          <w:szCs w:val="24"/>
          <w:lang w:eastAsia="zh-CN"/>
        </w:rPr>
      </w:pPr>
      <w:bookmarkStart w:id="140" w:name="_Toc17657"/>
      <w:bookmarkStart w:id="141" w:name="_Toc15463"/>
      <w:bookmarkStart w:id="142" w:name="_Toc18359"/>
    </w:p>
    <w:p w14:paraId="35DC0DB8">
      <w:pPr>
        <w:rPr>
          <w:rFonts w:hint="eastAsia" w:ascii="宋体" w:hAnsi="宋体" w:eastAsia="宋体" w:cs="宋体"/>
          <w:sz w:val="24"/>
          <w:szCs w:val="24"/>
          <w:lang w:eastAsia="zh-CN"/>
        </w:rPr>
      </w:pPr>
    </w:p>
    <w:p w14:paraId="5B0FBB24">
      <w:pPr>
        <w:pStyle w:val="3"/>
        <w:rPr>
          <w:rFonts w:hint="eastAsia" w:ascii="宋体" w:hAnsi="宋体" w:eastAsia="宋体" w:cs="宋体"/>
          <w:sz w:val="24"/>
          <w:szCs w:val="24"/>
          <w:lang w:eastAsia="zh-CN"/>
        </w:rPr>
      </w:pPr>
    </w:p>
    <w:p w14:paraId="4899D08D">
      <w:pPr>
        <w:rPr>
          <w:rFonts w:hint="eastAsia" w:ascii="宋体" w:hAnsi="宋体" w:eastAsia="宋体" w:cs="宋体"/>
          <w:sz w:val="24"/>
          <w:szCs w:val="24"/>
          <w:lang w:eastAsia="zh-CN"/>
        </w:rPr>
      </w:pPr>
    </w:p>
    <w:p w14:paraId="33FE79AE">
      <w:pPr>
        <w:pStyle w:val="3"/>
        <w:rPr>
          <w:rFonts w:hint="eastAsia" w:ascii="宋体" w:hAnsi="宋体" w:eastAsia="宋体" w:cs="宋体"/>
          <w:sz w:val="24"/>
          <w:szCs w:val="24"/>
          <w:lang w:eastAsia="zh-CN"/>
        </w:rPr>
      </w:pPr>
    </w:p>
    <w:p w14:paraId="2185172E">
      <w:pPr>
        <w:rPr>
          <w:rFonts w:hint="eastAsia" w:ascii="宋体" w:hAnsi="宋体" w:eastAsia="宋体" w:cs="宋体"/>
          <w:sz w:val="24"/>
          <w:szCs w:val="24"/>
          <w:lang w:eastAsia="zh-CN"/>
        </w:rPr>
      </w:pPr>
    </w:p>
    <w:p w14:paraId="4674552E">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七</w:t>
      </w:r>
      <w:r>
        <w:rPr>
          <w:rFonts w:hint="eastAsia" w:ascii="宋体" w:hAnsi="宋体" w:eastAsia="宋体" w:cs="宋体"/>
          <w:sz w:val="24"/>
          <w:szCs w:val="24"/>
        </w:rPr>
        <w:t>、报价一览表及报价文件</w:t>
      </w:r>
      <w:bookmarkEnd w:id="140"/>
      <w:bookmarkEnd w:id="141"/>
      <w:bookmarkEnd w:id="142"/>
    </w:p>
    <w:p w14:paraId="6B221106">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z w:val="24"/>
          <w:szCs w:val="24"/>
        </w:rPr>
      </w:pPr>
      <w:bookmarkStart w:id="143" w:name="_Toc12462"/>
      <w:bookmarkStart w:id="144" w:name="_Toc12687"/>
      <w:r>
        <w:rPr>
          <w:rFonts w:hint="eastAsia" w:ascii="宋体" w:hAnsi="宋体" w:eastAsia="宋体" w:cs="宋体"/>
          <w:sz w:val="24"/>
          <w:szCs w:val="24"/>
        </w:rPr>
        <w:t>附件</w:t>
      </w:r>
      <w:r>
        <w:rPr>
          <w:rFonts w:hint="eastAsia" w:ascii="宋体" w:hAnsi="宋体" w:cs="宋体"/>
          <w:sz w:val="24"/>
          <w:szCs w:val="24"/>
          <w:lang w:val="en-US" w:eastAsia="zh-CN"/>
        </w:rPr>
        <w:t>7</w:t>
      </w:r>
      <w:r>
        <w:rPr>
          <w:rFonts w:hint="eastAsia" w:ascii="宋体" w:hAnsi="宋体" w:eastAsia="宋体" w:cs="宋体"/>
          <w:sz w:val="24"/>
          <w:szCs w:val="24"/>
        </w:rPr>
        <w:t xml:space="preserve">-1 </w:t>
      </w:r>
      <w:bookmarkEnd w:id="143"/>
      <w:bookmarkEnd w:id="144"/>
    </w:p>
    <w:p w14:paraId="559B6E93">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报价表</w:t>
      </w:r>
    </w:p>
    <w:p w14:paraId="3EA907E9">
      <w:pPr>
        <w:widowControl w:val="0"/>
        <w:jc w:val="both"/>
        <w:rPr>
          <w:rFonts w:hint="eastAsia" w:ascii="宋体" w:hAnsi="宋体" w:eastAsia="宋体" w:cs="宋体"/>
          <w:color w:val="000000"/>
          <w:sz w:val="21"/>
          <w:szCs w:val="21"/>
        </w:rPr>
      </w:pPr>
      <w:r>
        <w:rPr>
          <w:rFonts w:hint="eastAsia" w:ascii="Times New Roman" w:hAnsi="Times New Roman" w:eastAsia="宋体" w:cs="Times New Roman"/>
          <w:kern w:val="0"/>
          <w:sz w:val="21"/>
          <w:szCs w:val="20"/>
          <w:lang w:val="en-US" w:eastAsia="zh-CN" w:bidi="ar-SA"/>
        </w:rPr>
        <w:t>政府采购计划编号：</w:t>
      </w:r>
    </w:p>
    <w:p w14:paraId="0DB8C00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采购项目编号：</w:t>
      </w:r>
    </w:p>
    <w:p w14:paraId="46DFFDF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项目名称：</w:t>
      </w:r>
    </w:p>
    <w:p w14:paraId="26B3BBE6">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包名称：</w:t>
      </w:r>
    </w:p>
    <w:tbl>
      <w:tblPr>
        <w:tblStyle w:val="3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254A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55FF92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796FFE9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B1B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2" w:hRule="atLeast"/>
        </w:trPr>
        <w:tc>
          <w:tcPr>
            <w:tcW w:w="5670" w:type="dxa"/>
            <w:vAlign w:val="center"/>
          </w:tcPr>
          <w:p w14:paraId="27F78B5C">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51AFABB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u w:val="none"/>
              </w:rPr>
              <w:t>（</w:t>
            </w:r>
            <w:r>
              <w:rPr>
                <w:rFonts w:hint="eastAsia" w:ascii="宋体" w:hAnsi="宋体" w:eastAsia="宋体" w:cs="宋体"/>
                <w:kern w:val="0"/>
                <w:sz w:val="21"/>
                <w:szCs w:val="21"/>
              </w:rPr>
              <w:t>人民币元）</w:t>
            </w:r>
          </w:p>
          <w:p w14:paraId="1214602A">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106D5F50">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4B834E9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661D0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4F7AC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5E3510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p>
    <w:p w14:paraId="0802054F">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008AC2CF">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80B3D61">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2B9C76D8">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0E24AB2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3D22278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5975325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pacing w:val="-2"/>
          <w:kern w:val="0"/>
          <w:sz w:val="21"/>
          <w:szCs w:val="21"/>
        </w:rPr>
      </w:pPr>
    </w:p>
    <w:p w14:paraId="4C0476B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54DA3B5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BC8A8F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bookmarkStart w:id="145" w:name="_Toc840"/>
      <w:bookmarkStart w:id="146" w:name="_Toc27340"/>
    </w:p>
    <w:p w14:paraId="3263B88E">
      <w:pPr>
        <w:pStyle w:val="3"/>
        <w:rPr>
          <w:rFonts w:hint="eastAsia" w:ascii="宋体" w:hAnsi="宋体" w:eastAsia="宋体" w:cs="宋体"/>
          <w:sz w:val="21"/>
          <w:szCs w:val="21"/>
        </w:rPr>
      </w:pPr>
    </w:p>
    <w:p w14:paraId="66E2C5F0">
      <w:pPr>
        <w:rPr>
          <w:rFonts w:hint="eastAsia" w:ascii="宋体" w:hAnsi="宋体" w:eastAsia="宋体" w:cs="宋体"/>
          <w:sz w:val="21"/>
          <w:szCs w:val="21"/>
        </w:rPr>
      </w:pPr>
    </w:p>
    <w:p w14:paraId="5CAF1182">
      <w:pPr>
        <w:pStyle w:val="3"/>
        <w:rPr>
          <w:rFonts w:hint="eastAsia" w:ascii="宋体" w:hAnsi="宋体" w:eastAsia="宋体" w:cs="宋体"/>
          <w:sz w:val="21"/>
          <w:szCs w:val="21"/>
        </w:rPr>
      </w:pPr>
    </w:p>
    <w:p w14:paraId="0367C6FA">
      <w:pPr>
        <w:rPr>
          <w:rFonts w:hint="eastAsia" w:ascii="宋体" w:hAnsi="宋体" w:eastAsia="宋体" w:cs="宋体"/>
          <w:sz w:val="21"/>
          <w:szCs w:val="21"/>
        </w:rPr>
      </w:pPr>
    </w:p>
    <w:p w14:paraId="2053866D">
      <w:pPr>
        <w:pStyle w:val="3"/>
        <w:rPr>
          <w:rFonts w:hint="eastAsia" w:ascii="宋体" w:hAnsi="宋体" w:eastAsia="宋体" w:cs="宋体"/>
          <w:sz w:val="21"/>
          <w:szCs w:val="21"/>
        </w:rPr>
      </w:pPr>
    </w:p>
    <w:p w14:paraId="07606C81">
      <w:pPr>
        <w:rPr>
          <w:rFonts w:hint="eastAsia" w:ascii="宋体" w:hAnsi="宋体" w:eastAsia="宋体" w:cs="宋体"/>
          <w:sz w:val="21"/>
          <w:szCs w:val="21"/>
        </w:rPr>
      </w:pPr>
    </w:p>
    <w:p w14:paraId="0FFE7EB8">
      <w:pPr>
        <w:pStyle w:val="4"/>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387E7905">
      <w:pPr>
        <w:pStyle w:val="4"/>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178ED532">
      <w:pPr>
        <w:pStyle w:val="4"/>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sz w:val="21"/>
          <w:szCs w:val="21"/>
        </w:rPr>
      </w:pPr>
    </w:p>
    <w:p w14:paraId="42B10529">
      <w:pPr>
        <w:rPr>
          <w:rFonts w:hint="eastAsia"/>
        </w:rPr>
      </w:pPr>
    </w:p>
    <w:p w14:paraId="2F156FE4">
      <w:pPr>
        <w:pStyle w:val="4"/>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b/>
          <w:spacing w:val="-2"/>
          <w:kern w:val="0"/>
          <w:position w:val="-3"/>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7</w:t>
      </w:r>
      <w:r>
        <w:rPr>
          <w:rFonts w:hint="eastAsia" w:ascii="宋体" w:hAnsi="宋体" w:eastAsia="宋体" w:cs="宋体"/>
          <w:sz w:val="21"/>
          <w:szCs w:val="21"/>
        </w:rPr>
        <w:t>-2</w:t>
      </w:r>
      <w:bookmarkEnd w:id="145"/>
      <w:bookmarkEnd w:id="146"/>
    </w:p>
    <w:p w14:paraId="34C9146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position w:val="-3"/>
          <w:sz w:val="24"/>
          <w:szCs w:val="24"/>
        </w:rPr>
      </w:pPr>
      <w:r>
        <w:rPr>
          <w:rFonts w:hint="eastAsia" w:ascii="宋体" w:hAnsi="宋体" w:eastAsia="宋体" w:cs="宋体"/>
          <w:b/>
          <w:spacing w:val="-2"/>
          <w:kern w:val="0"/>
          <w:position w:val="-3"/>
          <w:sz w:val="24"/>
          <w:szCs w:val="24"/>
        </w:rPr>
        <w:t>分</w:t>
      </w:r>
      <w:r>
        <w:rPr>
          <w:rFonts w:hint="eastAsia" w:ascii="宋体" w:hAnsi="宋体" w:eastAsia="宋体" w:cs="宋体"/>
          <w:b/>
          <w:kern w:val="0"/>
          <w:position w:val="-3"/>
          <w:sz w:val="24"/>
          <w:szCs w:val="24"/>
        </w:rPr>
        <w:t>项</w:t>
      </w:r>
      <w:r>
        <w:rPr>
          <w:rFonts w:hint="eastAsia" w:ascii="宋体" w:hAnsi="宋体" w:eastAsia="宋体" w:cs="宋体"/>
          <w:b/>
          <w:spacing w:val="-2"/>
          <w:kern w:val="0"/>
          <w:position w:val="-3"/>
          <w:sz w:val="24"/>
          <w:szCs w:val="24"/>
        </w:rPr>
        <w:t>报</w:t>
      </w:r>
      <w:r>
        <w:rPr>
          <w:rFonts w:hint="eastAsia" w:ascii="宋体" w:hAnsi="宋体" w:eastAsia="宋体" w:cs="宋体"/>
          <w:b/>
          <w:kern w:val="0"/>
          <w:position w:val="-3"/>
          <w:sz w:val="24"/>
          <w:szCs w:val="24"/>
        </w:rPr>
        <w:t>价明细表</w:t>
      </w:r>
    </w:p>
    <w:p w14:paraId="7BE2B9BE">
      <w:pPr>
        <w:widowControl w:val="0"/>
        <w:ind w:left="0" w:leftChars="0" w:firstLine="0" w:firstLineChars="0"/>
        <w:jc w:val="both"/>
        <w:rPr>
          <w:rFonts w:hint="eastAsia"/>
        </w:rPr>
      </w:pPr>
      <w:r>
        <w:rPr>
          <w:rFonts w:hint="eastAsia" w:ascii="Times New Roman" w:hAnsi="Times New Roman" w:eastAsia="宋体" w:cs="Times New Roman"/>
          <w:kern w:val="0"/>
          <w:sz w:val="21"/>
          <w:szCs w:val="20"/>
          <w:lang w:val="en-US" w:eastAsia="zh-CN" w:bidi="ar-SA"/>
        </w:rPr>
        <w:t>政府采购计划编号：</w:t>
      </w:r>
    </w:p>
    <w:p w14:paraId="3C243E1C">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采购项目编号：</w:t>
      </w:r>
    </w:p>
    <w:p w14:paraId="30F1BEC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项目名称：</w:t>
      </w:r>
    </w:p>
    <w:p w14:paraId="1A2851F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包名称：</w:t>
      </w:r>
    </w:p>
    <w:tbl>
      <w:tblPr>
        <w:tblStyle w:val="39"/>
        <w:tblW w:w="9342" w:type="dxa"/>
        <w:tblInd w:w="0" w:type="dxa"/>
        <w:tblLayout w:type="fixed"/>
        <w:tblCellMar>
          <w:top w:w="0" w:type="dxa"/>
          <w:left w:w="0" w:type="dxa"/>
          <w:bottom w:w="0" w:type="dxa"/>
          <w:right w:w="0" w:type="dxa"/>
        </w:tblCellMar>
      </w:tblPr>
      <w:tblGrid>
        <w:gridCol w:w="333"/>
        <w:gridCol w:w="2073"/>
        <w:gridCol w:w="1812"/>
        <w:gridCol w:w="1020"/>
        <w:gridCol w:w="1159"/>
        <w:gridCol w:w="1036"/>
        <w:gridCol w:w="1037"/>
        <w:gridCol w:w="872"/>
      </w:tblGrid>
      <w:tr w14:paraId="68A02A65">
        <w:tblPrEx>
          <w:tblCellMar>
            <w:top w:w="0" w:type="dxa"/>
            <w:left w:w="0" w:type="dxa"/>
            <w:bottom w:w="0" w:type="dxa"/>
            <w:right w:w="0" w:type="dxa"/>
          </w:tblCellMar>
        </w:tblPrEx>
        <w:trPr>
          <w:trHeight w:val="550" w:hRule="exact"/>
        </w:trPr>
        <w:tc>
          <w:tcPr>
            <w:tcW w:w="2406" w:type="dxa"/>
            <w:gridSpan w:val="2"/>
            <w:vMerge w:val="restart"/>
            <w:tcBorders>
              <w:top w:val="double" w:color="auto" w:sz="4" w:space="0"/>
              <w:left w:val="double" w:color="auto" w:sz="4" w:space="0"/>
              <w:right w:val="single" w:color="auto" w:sz="6" w:space="0"/>
            </w:tcBorders>
            <w:vAlign w:val="center"/>
          </w:tcPr>
          <w:p w14:paraId="7B531A23">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分项项目名称</w:t>
            </w:r>
          </w:p>
        </w:tc>
        <w:tc>
          <w:tcPr>
            <w:tcW w:w="1812" w:type="dxa"/>
            <w:vMerge w:val="restart"/>
            <w:tcBorders>
              <w:top w:val="double" w:color="auto" w:sz="4" w:space="0"/>
              <w:left w:val="single" w:color="auto" w:sz="6" w:space="0"/>
              <w:bottom w:val="single" w:color="auto" w:sz="6" w:space="0"/>
              <w:right w:val="single" w:color="auto" w:sz="4" w:space="0"/>
            </w:tcBorders>
            <w:vAlign w:val="center"/>
          </w:tcPr>
          <w:p w14:paraId="44DDD78B">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规格型号</w:t>
            </w:r>
          </w:p>
          <w:p w14:paraId="0A0B29F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（或项目特征描述）</w:t>
            </w:r>
          </w:p>
        </w:tc>
        <w:tc>
          <w:tcPr>
            <w:tcW w:w="1020" w:type="dxa"/>
            <w:vMerge w:val="restart"/>
            <w:tcBorders>
              <w:top w:val="double" w:color="auto" w:sz="4" w:space="0"/>
              <w:left w:val="single" w:color="auto" w:sz="4" w:space="0"/>
              <w:bottom w:val="single" w:color="auto" w:sz="6" w:space="0"/>
              <w:right w:val="single" w:color="auto" w:sz="6" w:space="0"/>
            </w:tcBorders>
            <w:vAlign w:val="center"/>
          </w:tcPr>
          <w:p w14:paraId="29AB354D">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品牌/产地</w:t>
            </w:r>
          </w:p>
        </w:tc>
        <w:tc>
          <w:tcPr>
            <w:tcW w:w="1159" w:type="dxa"/>
            <w:vMerge w:val="restart"/>
            <w:tcBorders>
              <w:top w:val="double" w:color="auto" w:sz="4" w:space="0"/>
              <w:left w:val="single" w:color="auto" w:sz="6" w:space="0"/>
              <w:right w:val="single" w:color="auto" w:sz="4" w:space="0"/>
            </w:tcBorders>
            <w:vAlign w:val="center"/>
          </w:tcPr>
          <w:p w14:paraId="75EB86F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sz w:val="21"/>
                <w:szCs w:val="21"/>
              </w:rPr>
              <w:t>数量/单位</w:t>
            </w:r>
          </w:p>
        </w:tc>
        <w:tc>
          <w:tcPr>
            <w:tcW w:w="2073" w:type="dxa"/>
            <w:gridSpan w:val="2"/>
            <w:tcBorders>
              <w:top w:val="double" w:color="auto" w:sz="4" w:space="0"/>
              <w:left w:val="single" w:color="auto" w:sz="4" w:space="0"/>
              <w:bottom w:val="single" w:color="auto" w:sz="6" w:space="0"/>
              <w:right w:val="single" w:color="auto" w:sz="6" w:space="0"/>
            </w:tcBorders>
            <w:vAlign w:val="center"/>
          </w:tcPr>
          <w:p w14:paraId="79E6861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金额（元）</w:t>
            </w:r>
          </w:p>
        </w:tc>
        <w:tc>
          <w:tcPr>
            <w:tcW w:w="872" w:type="dxa"/>
            <w:vMerge w:val="restart"/>
            <w:tcBorders>
              <w:top w:val="double" w:color="auto" w:sz="4" w:space="0"/>
              <w:left w:val="single" w:color="auto" w:sz="6" w:space="0"/>
              <w:bottom w:val="single" w:color="auto" w:sz="6" w:space="0"/>
              <w:right w:val="double" w:color="auto" w:sz="4" w:space="0"/>
            </w:tcBorders>
            <w:vAlign w:val="center"/>
          </w:tcPr>
          <w:p w14:paraId="0749D3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备注</w:t>
            </w:r>
          </w:p>
        </w:tc>
      </w:tr>
      <w:tr w14:paraId="56F1F36C">
        <w:tblPrEx>
          <w:tblCellMar>
            <w:top w:w="0" w:type="dxa"/>
            <w:left w:w="0" w:type="dxa"/>
            <w:bottom w:w="0" w:type="dxa"/>
            <w:right w:w="0" w:type="dxa"/>
          </w:tblCellMar>
        </w:tblPrEx>
        <w:trPr>
          <w:trHeight w:val="805" w:hRule="exact"/>
        </w:trPr>
        <w:tc>
          <w:tcPr>
            <w:tcW w:w="2406" w:type="dxa"/>
            <w:gridSpan w:val="2"/>
            <w:vMerge w:val="continue"/>
            <w:tcBorders>
              <w:left w:val="double" w:color="auto" w:sz="4" w:space="0"/>
              <w:bottom w:val="single" w:color="auto" w:sz="6" w:space="0"/>
              <w:right w:val="single" w:color="auto" w:sz="6" w:space="0"/>
            </w:tcBorders>
          </w:tcPr>
          <w:p w14:paraId="73B8A16C">
            <w:pPr>
              <w:pageBreakBefore w:val="0"/>
              <w:kinsoku/>
              <w:wordWrap/>
              <w:overflowPunct/>
              <w:autoSpaceDE w:val="0"/>
              <w:autoSpaceDN w:val="0"/>
              <w:bidi w:val="0"/>
              <w:adjustRightInd w:val="0"/>
              <w:snapToGrid w:val="0"/>
              <w:spacing w:beforeAutospacing="0" w:afterAutospacing="0" w:line="360" w:lineRule="auto"/>
              <w:ind w:left="352" w:right="-20"/>
              <w:jc w:val="left"/>
              <w:textAlignment w:val="auto"/>
              <w:rPr>
                <w:rFonts w:hint="eastAsia" w:ascii="宋体" w:hAnsi="宋体" w:eastAsia="宋体" w:cs="宋体"/>
                <w:kern w:val="0"/>
                <w:sz w:val="21"/>
                <w:szCs w:val="21"/>
              </w:rPr>
            </w:pPr>
          </w:p>
        </w:tc>
        <w:tc>
          <w:tcPr>
            <w:tcW w:w="1812" w:type="dxa"/>
            <w:vMerge w:val="continue"/>
            <w:tcBorders>
              <w:top w:val="single" w:color="auto" w:sz="6" w:space="0"/>
              <w:left w:val="single" w:color="auto" w:sz="6" w:space="0"/>
              <w:bottom w:val="single" w:color="auto" w:sz="6" w:space="0"/>
              <w:right w:val="single" w:color="auto" w:sz="4" w:space="0"/>
            </w:tcBorders>
            <w:vAlign w:val="center"/>
          </w:tcPr>
          <w:p w14:paraId="48DCEE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020" w:type="dxa"/>
            <w:vMerge w:val="continue"/>
            <w:tcBorders>
              <w:top w:val="single" w:color="auto" w:sz="6" w:space="0"/>
              <w:left w:val="single" w:color="auto" w:sz="4" w:space="0"/>
              <w:bottom w:val="single" w:color="auto" w:sz="6" w:space="0"/>
              <w:right w:val="single" w:color="auto" w:sz="6" w:space="0"/>
            </w:tcBorders>
            <w:vAlign w:val="center"/>
          </w:tcPr>
          <w:p w14:paraId="6B353904">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159" w:type="dxa"/>
            <w:vMerge w:val="continue"/>
            <w:tcBorders>
              <w:left w:val="single" w:color="auto" w:sz="6" w:space="0"/>
              <w:bottom w:val="single" w:color="auto" w:sz="6" w:space="0"/>
              <w:right w:val="single" w:color="auto" w:sz="4" w:space="0"/>
            </w:tcBorders>
            <w:vAlign w:val="center"/>
          </w:tcPr>
          <w:p w14:paraId="0CED190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4" w:space="0"/>
            </w:tcBorders>
            <w:vAlign w:val="center"/>
          </w:tcPr>
          <w:p w14:paraId="5D3DE257">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单价</w:t>
            </w:r>
          </w:p>
        </w:tc>
        <w:tc>
          <w:tcPr>
            <w:tcW w:w="1037" w:type="dxa"/>
            <w:tcBorders>
              <w:top w:val="single" w:color="auto" w:sz="6" w:space="0"/>
              <w:left w:val="single" w:color="auto" w:sz="4" w:space="0"/>
              <w:bottom w:val="single" w:color="auto" w:sz="6" w:space="0"/>
              <w:right w:val="single" w:color="auto" w:sz="6" w:space="0"/>
            </w:tcBorders>
            <w:vAlign w:val="center"/>
          </w:tcPr>
          <w:p w14:paraId="027EC6A5">
            <w:pPr>
              <w:pageBreakBefore w:val="0"/>
              <w:kinsoku/>
              <w:wordWrap/>
              <w:overflowPunct/>
              <w:autoSpaceDE w:val="0"/>
              <w:autoSpaceDN w:val="0"/>
              <w:bidi w:val="0"/>
              <w:adjustRightInd w:val="0"/>
              <w:snapToGrid w:val="0"/>
              <w:spacing w:beforeAutospacing="0" w:afterAutospacing="0" w:line="360" w:lineRule="auto"/>
              <w:ind w:left="70" w:right="-2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小计</w:t>
            </w:r>
          </w:p>
        </w:tc>
        <w:tc>
          <w:tcPr>
            <w:tcW w:w="872" w:type="dxa"/>
            <w:vMerge w:val="continue"/>
            <w:tcBorders>
              <w:top w:val="single" w:color="auto" w:sz="6" w:space="0"/>
              <w:left w:val="single" w:color="auto" w:sz="6" w:space="0"/>
              <w:bottom w:val="single" w:color="auto" w:sz="6" w:space="0"/>
              <w:right w:val="double" w:color="auto" w:sz="4" w:space="0"/>
            </w:tcBorders>
          </w:tcPr>
          <w:p w14:paraId="64CC27E2">
            <w:pPr>
              <w:pageBreakBefore w:val="0"/>
              <w:kinsoku/>
              <w:wordWrap/>
              <w:overflowPunct/>
              <w:autoSpaceDE w:val="0"/>
              <w:autoSpaceDN w:val="0"/>
              <w:bidi w:val="0"/>
              <w:adjustRightInd w:val="0"/>
              <w:snapToGrid w:val="0"/>
              <w:spacing w:beforeAutospacing="0" w:afterAutospacing="0" w:line="360" w:lineRule="auto"/>
              <w:ind w:left="422" w:right="-20"/>
              <w:jc w:val="left"/>
              <w:textAlignment w:val="auto"/>
              <w:rPr>
                <w:rFonts w:hint="eastAsia" w:ascii="宋体" w:hAnsi="宋体" w:eastAsia="宋体" w:cs="宋体"/>
                <w:kern w:val="0"/>
                <w:sz w:val="21"/>
                <w:szCs w:val="21"/>
              </w:rPr>
            </w:pPr>
          </w:p>
        </w:tc>
      </w:tr>
      <w:tr w14:paraId="2E63A413">
        <w:tblPrEx>
          <w:tblCellMar>
            <w:top w:w="0" w:type="dxa"/>
            <w:left w:w="0" w:type="dxa"/>
            <w:bottom w:w="0" w:type="dxa"/>
            <w:right w:w="0" w:type="dxa"/>
          </w:tblCellMar>
        </w:tblPrEx>
        <w:trPr>
          <w:trHeight w:val="493" w:hRule="exact"/>
        </w:trPr>
        <w:tc>
          <w:tcPr>
            <w:tcW w:w="333" w:type="dxa"/>
            <w:tcBorders>
              <w:top w:val="single" w:color="auto" w:sz="6" w:space="0"/>
              <w:left w:val="double" w:color="auto" w:sz="4" w:space="0"/>
              <w:bottom w:val="single" w:color="auto" w:sz="6" w:space="0"/>
              <w:right w:val="single" w:color="auto" w:sz="6" w:space="0"/>
            </w:tcBorders>
            <w:vAlign w:val="center"/>
          </w:tcPr>
          <w:p w14:paraId="1A9F2D19">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2073" w:type="dxa"/>
            <w:tcBorders>
              <w:top w:val="single" w:color="auto" w:sz="6" w:space="0"/>
              <w:left w:val="single" w:color="auto" w:sz="6" w:space="0"/>
              <w:bottom w:val="single" w:color="auto" w:sz="6" w:space="0"/>
              <w:right w:val="single" w:color="auto" w:sz="6" w:space="0"/>
            </w:tcBorders>
            <w:vAlign w:val="center"/>
          </w:tcPr>
          <w:p w14:paraId="72B1158E">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3EA09B6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0EA2F21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911368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3203810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05DF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69090AF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09A614A">
        <w:tblPrEx>
          <w:tblCellMar>
            <w:top w:w="0" w:type="dxa"/>
            <w:left w:w="0" w:type="dxa"/>
            <w:bottom w:w="0" w:type="dxa"/>
            <w:right w:w="0" w:type="dxa"/>
          </w:tblCellMar>
        </w:tblPrEx>
        <w:trPr>
          <w:trHeight w:val="746" w:hRule="exact"/>
        </w:trPr>
        <w:tc>
          <w:tcPr>
            <w:tcW w:w="333" w:type="dxa"/>
            <w:tcBorders>
              <w:top w:val="single" w:color="auto" w:sz="6" w:space="0"/>
              <w:left w:val="double" w:color="auto" w:sz="4" w:space="0"/>
              <w:bottom w:val="single" w:color="auto" w:sz="6" w:space="0"/>
              <w:right w:val="single" w:color="auto" w:sz="6" w:space="0"/>
            </w:tcBorders>
            <w:vAlign w:val="center"/>
          </w:tcPr>
          <w:p w14:paraId="15DD850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2073" w:type="dxa"/>
            <w:tcBorders>
              <w:top w:val="single" w:color="auto" w:sz="6" w:space="0"/>
              <w:left w:val="single" w:color="auto" w:sz="6" w:space="0"/>
              <w:bottom w:val="single" w:color="auto" w:sz="6" w:space="0"/>
              <w:right w:val="single" w:color="auto" w:sz="6" w:space="0"/>
            </w:tcBorders>
            <w:vAlign w:val="center"/>
          </w:tcPr>
          <w:p w14:paraId="00942E54">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4497C53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193BF05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3D12B13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6CFA6D3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27C869F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9C32B5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28E87997">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13D2F2E0">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2073" w:type="dxa"/>
            <w:tcBorders>
              <w:top w:val="single" w:color="auto" w:sz="6" w:space="0"/>
              <w:left w:val="single" w:color="auto" w:sz="6" w:space="0"/>
              <w:bottom w:val="single" w:color="auto" w:sz="6" w:space="0"/>
              <w:right w:val="single" w:color="auto" w:sz="6" w:space="0"/>
            </w:tcBorders>
            <w:vAlign w:val="center"/>
          </w:tcPr>
          <w:p w14:paraId="54CC4F26">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3018E2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3D76852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022ECB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2E90CA2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89464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24D9072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13FAE72">
        <w:tblPrEx>
          <w:tblCellMar>
            <w:top w:w="0" w:type="dxa"/>
            <w:left w:w="0" w:type="dxa"/>
            <w:bottom w:w="0" w:type="dxa"/>
            <w:right w:w="0" w:type="dxa"/>
          </w:tblCellMar>
        </w:tblPrEx>
        <w:trPr>
          <w:trHeight w:val="575" w:hRule="exact"/>
        </w:trPr>
        <w:tc>
          <w:tcPr>
            <w:tcW w:w="333" w:type="dxa"/>
            <w:tcBorders>
              <w:top w:val="single" w:color="auto" w:sz="6" w:space="0"/>
              <w:left w:val="double" w:color="auto" w:sz="4" w:space="0"/>
              <w:bottom w:val="single" w:color="auto" w:sz="6" w:space="0"/>
              <w:right w:val="single" w:color="auto" w:sz="6" w:space="0"/>
            </w:tcBorders>
            <w:vAlign w:val="center"/>
          </w:tcPr>
          <w:p w14:paraId="3150A378">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2073" w:type="dxa"/>
            <w:tcBorders>
              <w:top w:val="single" w:color="auto" w:sz="6" w:space="0"/>
              <w:left w:val="single" w:color="auto" w:sz="6" w:space="0"/>
              <w:bottom w:val="single" w:color="auto" w:sz="6" w:space="0"/>
              <w:right w:val="single" w:color="auto" w:sz="6" w:space="0"/>
            </w:tcBorders>
            <w:vAlign w:val="center"/>
          </w:tcPr>
          <w:p w14:paraId="109ED40F">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0E41BE4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304E60D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1FA31F78">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74401ED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6346DD7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375F381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794C9E2">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578AF272">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2073" w:type="dxa"/>
            <w:tcBorders>
              <w:top w:val="single" w:color="auto" w:sz="6" w:space="0"/>
              <w:left w:val="single" w:color="auto" w:sz="6" w:space="0"/>
              <w:bottom w:val="single" w:color="auto" w:sz="6" w:space="0"/>
              <w:right w:val="single" w:color="auto" w:sz="6" w:space="0"/>
            </w:tcBorders>
            <w:vAlign w:val="center"/>
          </w:tcPr>
          <w:p w14:paraId="058A85BA">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5CF13ABF">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336DAA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4F020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428C0D5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14170A1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43CC1C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17E63FF7">
        <w:tblPrEx>
          <w:tblCellMar>
            <w:top w:w="0" w:type="dxa"/>
            <w:left w:w="0" w:type="dxa"/>
            <w:bottom w:w="0" w:type="dxa"/>
            <w:right w:w="0" w:type="dxa"/>
          </w:tblCellMar>
        </w:tblPrEx>
        <w:trPr>
          <w:trHeight w:val="745" w:hRule="exact"/>
        </w:trPr>
        <w:tc>
          <w:tcPr>
            <w:tcW w:w="333" w:type="dxa"/>
            <w:tcBorders>
              <w:top w:val="single" w:color="auto" w:sz="6" w:space="0"/>
              <w:left w:val="double" w:color="auto" w:sz="4" w:space="0"/>
              <w:bottom w:val="single" w:color="auto" w:sz="6" w:space="0"/>
              <w:right w:val="single" w:color="auto" w:sz="6" w:space="0"/>
            </w:tcBorders>
            <w:vAlign w:val="center"/>
          </w:tcPr>
          <w:p w14:paraId="3F8598A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073" w:type="dxa"/>
            <w:tcBorders>
              <w:top w:val="single" w:color="auto" w:sz="6" w:space="0"/>
              <w:left w:val="single" w:color="auto" w:sz="6" w:space="0"/>
              <w:bottom w:val="single" w:color="auto" w:sz="6" w:space="0"/>
              <w:right w:val="single" w:color="auto" w:sz="6" w:space="0"/>
            </w:tcBorders>
            <w:vAlign w:val="center"/>
          </w:tcPr>
          <w:p w14:paraId="63CFCD14">
            <w:pPr>
              <w:pageBreakBefore w:val="0"/>
              <w:kinsoku/>
              <w:wordWrap/>
              <w:overflowPunct/>
              <w:autoSpaceDE w:val="0"/>
              <w:autoSpaceDN w:val="0"/>
              <w:bidi w:val="0"/>
              <w:adjustRightInd w:val="0"/>
              <w:snapToGrid w:val="0"/>
              <w:spacing w:beforeAutospacing="0" w:afterAutospacing="0" w:line="360" w:lineRule="auto"/>
              <w:ind w:right="507"/>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7AF37D5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0FDEB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6D52D38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5B87E46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7E9DCD1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7CA77D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25729E5">
        <w:tblPrEx>
          <w:tblCellMar>
            <w:top w:w="0" w:type="dxa"/>
            <w:left w:w="0" w:type="dxa"/>
            <w:bottom w:w="0" w:type="dxa"/>
            <w:right w:w="0" w:type="dxa"/>
          </w:tblCellMar>
        </w:tblPrEx>
        <w:trPr>
          <w:trHeight w:val="625" w:hRule="exact"/>
        </w:trPr>
        <w:tc>
          <w:tcPr>
            <w:tcW w:w="7433" w:type="dxa"/>
            <w:gridSpan w:val="6"/>
            <w:tcBorders>
              <w:top w:val="single" w:color="auto" w:sz="6" w:space="0"/>
              <w:left w:val="double" w:color="auto" w:sz="4" w:space="0"/>
              <w:bottom w:val="double" w:color="auto" w:sz="4" w:space="0"/>
              <w:right w:val="single" w:color="auto" w:sz="6" w:space="0"/>
            </w:tcBorders>
            <w:vAlign w:val="center"/>
          </w:tcPr>
          <w:p w14:paraId="6C75C667">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报价（元）：</w:t>
            </w:r>
          </w:p>
        </w:tc>
        <w:tc>
          <w:tcPr>
            <w:tcW w:w="1037" w:type="dxa"/>
            <w:tcBorders>
              <w:top w:val="single" w:color="auto" w:sz="6" w:space="0"/>
              <w:left w:val="single" w:color="auto" w:sz="6" w:space="0"/>
              <w:bottom w:val="double" w:color="auto" w:sz="4" w:space="0"/>
              <w:right w:val="single" w:color="auto" w:sz="6" w:space="0"/>
            </w:tcBorders>
          </w:tcPr>
          <w:p w14:paraId="7B75F3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double" w:color="auto" w:sz="4" w:space="0"/>
              <w:right w:val="double" w:color="auto" w:sz="4" w:space="0"/>
            </w:tcBorders>
          </w:tcPr>
          <w:p w14:paraId="4A5499A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bl>
    <w:p w14:paraId="34EA1A0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备注：</w:t>
      </w:r>
    </w:p>
    <w:p w14:paraId="4C5340F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b/>
          <w:sz w:val="21"/>
          <w:szCs w:val="21"/>
        </w:rPr>
        <w:t>本表应对应</w:t>
      </w:r>
      <w:r>
        <w:rPr>
          <w:rFonts w:hint="eastAsia" w:ascii="宋体" w:hAnsi="宋体" w:eastAsia="宋体" w:cs="宋体"/>
          <w:sz w:val="21"/>
          <w:szCs w:val="21"/>
        </w:rPr>
        <w:t>“</w:t>
      </w:r>
      <w:r>
        <w:rPr>
          <w:rFonts w:hint="eastAsia" w:ascii="宋体" w:hAnsi="宋体" w:eastAsia="宋体" w:cs="宋体"/>
          <w:b/>
          <w:sz w:val="21"/>
          <w:szCs w:val="21"/>
        </w:rPr>
        <w:t>报价表</w:t>
      </w:r>
      <w:r>
        <w:rPr>
          <w:rFonts w:hint="eastAsia" w:ascii="宋体" w:hAnsi="宋体" w:eastAsia="宋体" w:cs="宋体"/>
          <w:sz w:val="21"/>
          <w:szCs w:val="21"/>
        </w:rPr>
        <w:t>”</w:t>
      </w:r>
      <w:r>
        <w:rPr>
          <w:rFonts w:hint="eastAsia" w:ascii="宋体" w:hAnsi="宋体" w:eastAsia="宋体" w:cs="宋体"/>
          <w:b/>
          <w:sz w:val="21"/>
          <w:szCs w:val="21"/>
        </w:rPr>
        <w:t>，按包填写</w:t>
      </w:r>
      <w:r>
        <w:rPr>
          <w:rFonts w:hint="eastAsia" w:ascii="宋体" w:hAnsi="宋体" w:eastAsia="宋体" w:cs="宋体"/>
          <w:sz w:val="21"/>
          <w:szCs w:val="21"/>
        </w:rPr>
        <w:t>。供应商如果不提供分项报价明细表，其</w:t>
      </w:r>
      <w:r>
        <w:rPr>
          <w:rFonts w:hint="eastAsia" w:ascii="宋体" w:hAnsi="宋体" w:eastAsia="宋体" w:cs="宋体"/>
          <w:b/>
          <w:sz w:val="21"/>
          <w:szCs w:val="21"/>
        </w:rPr>
        <w:t>响应无效</w:t>
      </w:r>
      <w:r>
        <w:rPr>
          <w:rFonts w:hint="eastAsia" w:ascii="宋体" w:hAnsi="宋体" w:eastAsia="宋体" w:cs="宋体"/>
          <w:sz w:val="21"/>
          <w:szCs w:val="21"/>
        </w:rPr>
        <w:t>。</w:t>
      </w:r>
    </w:p>
    <w:p w14:paraId="3A7B5EDD">
      <w:pPr>
        <w:pageBreakBefore w:val="0"/>
        <w:numPr>
          <w:ilvl w:val="0"/>
          <w:numId w:val="0"/>
        </w:numPr>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不得填写“免费”或“</w:t>
      </w:r>
      <w:r>
        <w:rPr>
          <w:rFonts w:hint="eastAsia" w:ascii="宋体" w:hAnsi="宋体" w:eastAsia="宋体" w:cs="宋体"/>
          <w:sz w:val="21"/>
          <w:szCs w:val="21"/>
          <w:lang w:eastAsia="zh-CN"/>
        </w:rPr>
        <w:t>赠予</w:t>
      </w:r>
      <w:r>
        <w:rPr>
          <w:rFonts w:hint="eastAsia" w:ascii="宋体" w:hAnsi="宋体" w:eastAsia="宋体" w:cs="宋体"/>
          <w:sz w:val="21"/>
          <w:szCs w:val="21"/>
        </w:rPr>
        <w:t>”，也不得进行“零”报价，否则</w:t>
      </w:r>
      <w:r>
        <w:rPr>
          <w:rFonts w:hint="eastAsia" w:ascii="宋体" w:hAnsi="宋体" w:eastAsia="宋体" w:cs="宋体"/>
          <w:b/>
          <w:sz w:val="21"/>
          <w:szCs w:val="21"/>
        </w:rPr>
        <w:t>响应无效</w:t>
      </w:r>
      <w:r>
        <w:rPr>
          <w:rFonts w:hint="eastAsia" w:ascii="宋体" w:hAnsi="宋体" w:eastAsia="宋体" w:cs="宋体"/>
          <w:sz w:val="21"/>
          <w:szCs w:val="21"/>
        </w:rPr>
        <w:t>。</w:t>
      </w:r>
    </w:p>
    <w:p w14:paraId="0D26E5FD">
      <w:pPr>
        <w:pStyle w:val="16"/>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3</w:t>
      </w:r>
      <w:r>
        <w:rPr>
          <w:rFonts w:hint="eastAsia" w:ascii="宋体" w:hAnsi="宋体" w:eastAsia="宋体" w:cs="宋体"/>
          <w:sz w:val="21"/>
          <w:szCs w:val="21"/>
        </w:rPr>
        <w:t>）本表可以根据项目实际情况编制。</w:t>
      </w:r>
    </w:p>
    <w:p w14:paraId="2785BBC8">
      <w:pPr>
        <w:pageBreakBefore w:val="0"/>
        <w:kinsoku/>
        <w:wordWrap/>
        <w:overflowPunct/>
        <w:bidi w:val="0"/>
        <w:adjustRightInd w:val="0"/>
        <w:snapToGrid w:val="0"/>
        <w:spacing w:beforeAutospacing="0" w:afterAutospacing="0" w:line="360" w:lineRule="auto"/>
        <w:ind w:firstLine="422" w:firstLineChars="200"/>
        <w:textAlignment w:val="auto"/>
        <w:rPr>
          <w:rFonts w:hint="eastAsia" w:ascii="宋体" w:hAnsi="宋体" w:eastAsia="宋体" w:cs="宋体"/>
          <w:b/>
          <w:sz w:val="21"/>
          <w:szCs w:val="21"/>
        </w:rPr>
      </w:pPr>
    </w:p>
    <w:p w14:paraId="349248C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15919E5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86A784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F69760E">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 w:linePitch="312" w:charSpace="0"/>
        </w:sectPr>
      </w:pPr>
    </w:p>
    <w:p w14:paraId="2D875F10">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7A6C0BB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47" w:name="_Toc34637800"/>
      <w:bookmarkStart w:id="148" w:name="_Toc22201157"/>
      <w:bookmarkStart w:id="149" w:name="_Toc15375"/>
    </w:p>
    <w:p w14:paraId="5B227C55">
      <w:pPr>
        <w:pStyle w:val="3"/>
        <w:pageBreakBefore w:val="0"/>
        <w:kinsoku/>
        <w:wordWrap/>
        <w:overflowPunct/>
        <w:bidi w:val="0"/>
        <w:spacing w:beforeAutospacing="0" w:afterAutospacing="0" w:line="360" w:lineRule="auto"/>
        <w:jc w:val="both"/>
        <w:textAlignment w:val="auto"/>
        <w:rPr>
          <w:rFonts w:hint="eastAsia" w:ascii="宋体" w:hAnsi="宋体" w:cs="宋体"/>
          <w:sz w:val="24"/>
          <w:szCs w:val="24"/>
          <w:lang w:val="en-US" w:eastAsia="zh-CN"/>
        </w:rPr>
      </w:pPr>
    </w:p>
    <w:p w14:paraId="1B3DF5E1">
      <w:pPr>
        <w:pStyle w:val="3"/>
        <w:pageBreakBefore w:val="0"/>
        <w:kinsoku/>
        <w:wordWrap/>
        <w:overflowPunct/>
        <w:bidi w:val="0"/>
        <w:spacing w:beforeAutospacing="0" w:afterAutospacing="0" w:line="360" w:lineRule="auto"/>
        <w:jc w:val="center"/>
        <w:textAlignment w:val="auto"/>
        <w:rPr>
          <w:rFonts w:hint="eastAsia" w:ascii="宋体" w:hAnsi="宋体" w:cs="宋体"/>
          <w:sz w:val="24"/>
          <w:szCs w:val="24"/>
          <w:lang w:val="en-US" w:eastAsia="zh-CN"/>
        </w:rPr>
      </w:pPr>
    </w:p>
    <w:p w14:paraId="44B61D15">
      <w:pPr>
        <w:pStyle w:val="3"/>
        <w:pageBreakBefore w:val="0"/>
        <w:kinsoku/>
        <w:wordWrap/>
        <w:overflowPunct/>
        <w:bidi w:val="0"/>
        <w:spacing w:beforeAutospacing="0" w:afterAutospacing="0" w:line="360" w:lineRule="auto"/>
        <w:jc w:val="both"/>
        <w:textAlignment w:val="auto"/>
        <w:rPr>
          <w:rFonts w:hint="eastAsia" w:ascii="宋体" w:hAnsi="宋体" w:cs="宋体"/>
          <w:sz w:val="24"/>
          <w:szCs w:val="24"/>
          <w:lang w:val="en-US" w:eastAsia="zh-CN"/>
        </w:rPr>
      </w:pPr>
    </w:p>
    <w:p w14:paraId="3ABF4C18">
      <w:pPr>
        <w:bidi w:val="0"/>
        <w:rPr>
          <w:rFonts w:hint="eastAsia"/>
          <w:lang w:val="en-US" w:eastAsia="zh-CN"/>
        </w:rPr>
      </w:pPr>
    </w:p>
    <w:p w14:paraId="4131A23B">
      <w:pPr>
        <w:bidi w:val="0"/>
        <w:rPr>
          <w:rFonts w:hint="eastAsia"/>
          <w:lang w:val="en-US" w:eastAsia="zh-CN"/>
        </w:rPr>
      </w:pPr>
    </w:p>
    <w:p w14:paraId="08D62505">
      <w:pPr>
        <w:bidi w:val="0"/>
        <w:jc w:val="center"/>
        <w:rPr>
          <w:rFonts w:hint="eastAsia"/>
          <w:b/>
          <w:bCs/>
          <w:sz w:val="28"/>
          <w:szCs w:val="28"/>
        </w:rPr>
      </w:pPr>
      <w:r>
        <w:rPr>
          <w:rFonts w:hint="eastAsia"/>
          <w:b/>
          <w:bCs/>
          <w:sz w:val="28"/>
          <w:szCs w:val="28"/>
          <w:lang w:val="en-US" w:eastAsia="zh-CN"/>
        </w:rPr>
        <w:t>八</w:t>
      </w:r>
      <w:r>
        <w:rPr>
          <w:rFonts w:hint="eastAsia"/>
          <w:b/>
          <w:bCs/>
          <w:sz w:val="28"/>
          <w:szCs w:val="28"/>
        </w:rPr>
        <w:t>、</w:t>
      </w:r>
      <w:bookmarkEnd w:id="147"/>
      <w:bookmarkEnd w:id="148"/>
      <w:r>
        <w:rPr>
          <w:rFonts w:hint="eastAsia"/>
          <w:b/>
          <w:bCs/>
          <w:sz w:val="28"/>
          <w:szCs w:val="28"/>
        </w:rPr>
        <w:t>供应商认为需要提供的</w:t>
      </w:r>
      <w:r>
        <w:rPr>
          <w:rFonts w:hint="eastAsia"/>
          <w:b/>
          <w:bCs/>
          <w:sz w:val="28"/>
          <w:szCs w:val="28"/>
          <w:lang w:eastAsia="zh-CN"/>
        </w:rPr>
        <w:t>其他</w:t>
      </w:r>
      <w:r>
        <w:rPr>
          <w:rFonts w:hint="eastAsia"/>
          <w:b/>
          <w:bCs/>
          <w:sz w:val="28"/>
          <w:szCs w:val="28"/>
        </w:rPr>
        <w:t>资料</w:t>
      </w:r>
      <w:bookmarkEnd w:id="149"/>
    </w:p>
    <w:p w14:paraId="66F95E4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30"/>
          <w:szCs w:val="30"/>
        </w:rPr>
      </w:pPr>
    </w:p>
    <w:p w14:paraId="3B5D4AB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bCs/>
          <w:sz w:val="21"/>
          <w:szCs w:val="21"/>
        </w:rPr>
        <w:t>说明：提供磋商文件或评分标准需要提供的其他相关资料。</w:t>
      </w:r>
    </w:p>
    <w:p w14:paraId="66BED30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50" w:name="_Toc16598"/>
      <w:bookmarkStart w:id="151" w:name="_Toc21471"/>
    </w:p>
    <w:p w14:paraId="2CCBC13D">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1E1BADC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057F5D0D">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34EEBB08">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51DC1D02">
      <w:pPr>
        <w:pStyle w:val="3"/>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22BF28C1">
      <w:pPr>
        <w:rPr>
          <w:rFonts w:hint="eastAsia" w:ascii="宋体" w:hAnsi="宋体" w:eastAsia="宋体" w:cs="宋体"/>
          <w:sz w:val="21"/>
          <w:szCs w:val="21"/>
        </w:rPr>
      </w:pPr>
    </w:p>
    <w:p w14:paraId="76B7746D">
      <w:pPr>
        <w:pStyle w:val="3"/>
        <w:rPr>
          <w:rFonts w:hint="eastAsia" w:ascii="宋体" w:hAnsi="宋体" w:eastAsia="宋体" w:cs="宋体"/>
          <w:sz w:val="21"/>
          <w:szCs w:val="21"/>
        </w:rPr>
      </w:pPr>
    </w:p>
    <w:p w14:paraId="473E0A01">
      <w:pPr>
        <w:rPr>
          <w:rFonts w:hint="eastAsia" w:ascii="宋体" w:hAnsi="宋体" w:eastAsia="宋体" w:cs="宋体"/>
          <w:sz w:val="21"/>
          <w:szCs w:val="21"/>
        </w:rPr>
      </w:pPr>
    </w:p>
    <w:p w14:paraId="62E2746B">
      <w:pPr>
        <w:pStyle w:val="3"/>
        <w:rPr>
          <w:rFonts w:hint="eastAsia" w:ascii="宋体" w:hAnsi="宋体" w:eastAsia="宋体" w:cs="宋体"/>
          <w:sz w:val="21"/>
          <w:szCs w:val="21"/>
        </w:rPr>
      </w:pPr>
    </w:p>
    <w:p w14:paraId="39018BBD">
      <w:pPr>
        <w:rPr>
          <w:rFonts w:hint="eastAsia" w:ascii="宋体" w:hAnsi="宋体" w:eastAsia="宋体" w:cs="宋体"/>
          <w:sz w:val="21"/>
          <w:szCs w:val="21"/>
        </w:rPr>
      </w:pPr>
    </w:p>
    <w:p w14:paraId="31C2106D">
      <w:pPr>
        <w:pStyle w:val="3"/>
        <w:rPr>
          <w:rFonts w:hint="eastAsia" w:ascii="宋体" w:hAnsi="宋体" w:eastAsia="宋体" w:cs="宋体"/>
          <w:sz w:val="21"/>
          <w:szCs w:val="21"/>
        </w:rPr>
      </w:pPr>
    </w:p>
    <w:p w14:paraId="0535C65D">
      <w:pPr>
        <w:rPr>
          <w:rFonts w:hint="eastAsia" w:ascii="宋体" w:hAnsi="宋体" w:eastAsia="宋体" w:cs="宋体"/>
          <w:sz w:val="21"/>
          <w:szCs w:val="21"/>
        </w:rPr>
      </w:pPr>
    </w:p>
    <w:p w14:paraId="30C0206F">
      <w:pPr>
        <w:pStyle w:val="3"/>
        <w:rPr>
          <w:rFonts w:hint="eastAsia" w:ascii="宋体" w:hAnsi="宋体" w:eastAsia="宋体" w:cs="宋体"/>
          <w:sz w:val="21"/>
          <w:szCs w:val="21"/>
        </w:rPr>
      </w:pPr>
    </w:p>
    <w:p w14:paraId="41E17DF8">
      <w:pPr>
        <w:rPr>
          <w:rFonts w:hint="eastAsia" w:ascii="宋体" w:hAnsi="宋体" w:eastAsia="宋体" w:cs="宋体"/>
          <w:sz w:val="21"/>
          <w:szCs w:val="21"/>
        </w:rPr>
      </w:pPr>
    </w:p>
    <w:p w14:paraId="0282F65D">
      <w:pPr>
        <w:pStyle w:val="3"/>
        <w:rPr>
          <w:rFonts w:hint="eastAsia" w:ascii="宋体" w:hAnsi="宋体" w:eastAsia="宋体" w:cs="宋体"/>
          <w:sz w:val="21"/>
          <w:szCs w:val="21"/>
        </w:rPr>
      </w:pPr>
    </w:p>
    <w:p w14:paraId="40CD6A2E">
      <w:pPr>
        <w:rPr>
          <w:rFonts w:hint="eastAsia" w:ascii="宋体" w:hAnsi="宋体" w:eastAsia="宋体" w:cs="宋体"/>
          <w:sz w:val="21"/>
          <w:szCs w:val="21"/>
        </w:rPr>
      </w:pPr>
    </w:p>
    <w:p w14:paraId="63C36836">
      <w:pPr>
        <w:pStyle w:val="3"/>
        <w:rPr>
          <w:rFonts w:hint="eastAsia" w:ascii="宋体" w:hAnsi="宋体" w:eastAsia="宋体" w:cs="宋体"/>
          <w:sz w:val="21"/>
          <w:szCs w:val="21"/>
        </w:rPr>
      </w:pPr>
    </w:p>
    <w:p w14:paraId="50DBB7C9">
      <w:pPr>
        <w:rPr>
          <w:rFonts w:hint="eastAsia" w:ascii="宋体" w:hAnsi="宋体" w:eastAsia="宋体" w:cs="宋体"/>
          <w:sz w:val="21"/>
          <w:szCs w:val="21"/>
        </w:rPr>
      </w:pPr>
    </w:p>
    <w:p w14:paraId="2B287FCE">
      <w:pPr>
        <w:pStyle w:val="3"/>
        <w:rPr>
          <w:rFonts w:hint="eastAsia" w:ascii="宋体" w:hAnsi="宋体" w:eastAsia="宋体" w:cs="宋体"/>
          <w:sz w:val="21"/>
          <w:szCs w:val="21"/>
        </w:rPr>
      </w:pPr>
    </w:p>
    <w:p w14:paraId="0C98C1DE">
      <w:pPr>
        <w:rPr>
          <w:rFonts w:hint="eastAsia" w:ascii="宋体" w:hAnsi="宋体" w:eastAsia="宋体" w:cs="宋体"/>
          <w:sz w:val="21"/>
          <w:szCs w:val="21"/>
        </w:rPr>
      </w:pPr>
    </w:p>
    <w:p w14:paraId="12A70C6D">
      <w:pPr>
        <w:pStyle w:val="3"/>
        <w:rPr>
          <w:rFonts w:hint="eastAsia" w:ascii="宋体" w:hAnsi="宋体" w:eastAsia="宋体" w:cs="宋体"/>
          <w:sz w:val="21"/>
          <w:szCs w:val="21"/>
        </w:rPr>
      </w:pPr>
    </w:p>
    <w:p w14:paraId="1BC3044B">
      <w:pPr>
        <w:rPr>
          <w:rFonts w:hint="eastAsia" w:ascii="宋体" w:hAnsi="宋体" w:eastAsia="宋体" w:cs="宋体"/>
          <w:sz w:val="21"/>
          <w:szCs w:val="21"/>
        </w:rPr>
      </w:pPr>
    </w:p>
    <w:p w14:paraId="09B5F99F">
      <w:pPr>
        <w:pStyle w:val="3"/>
        <w:rPr>
          <w:rFonts w:hint="eastAsia" w:ascii="宋体" w:hAnsi="宋体" w:eastAsia="宋体" w:cs="宋体"/>
          <w:sz w:val="21"/>
          <w:szCs w:val="21"/>
        </w:rPr>
      </w:pPr>
    </w:p>
    <w:p w14:paraId="2A029022">
      <w:pPr>
        <w:rPr>
          <w:rFonts w:hint="eastAsia" w:ascii="宋体" w:hAnsi="宋体" w:eastAsia="宋体" w:cs="宋体"/>
          <w:sz w:val="21"/>
          <w:szCs w:val="21"/>
        </w:rPr>
      </w:pPr>
    </w:p>
    <w:p w14:paraId="1E3EA5CA">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rPr>
      </w:pPr>
    </w:p>
    <w:p w14:paraId="3893C557">
      <w:pPr>
        <w:rPr>
          <w:rFonts w:hint="eastAsia" w:ascii="宋体" w:hAnsi="宋体" w:eastAsia="宋体" w:cs="宋体"/>
          <w:sz w:val="21"/>
          <w:szCs w:val="21"/>
        </w:rPr>
      </w:pPr>
    </w:p>
    <w:p w14:paraId="10CB4A02">
      <w:pPr>
        <w:pStyle w:val="3"/>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lang w:eastAsia="zh-CN"/>
        </w:rPr>
      </w:pPr>
    </w:p>
    <w:p w14:paraId="6B56CE95">
      <w:pPr>
        <w:rPr>
          <w:rFonts w:hint="eastAsia"/>
          <w:lang w:eastAsia="zh-CN"/>
        </w:rPr>
      </w:pPr>
    </w:p>
    <w:p w14:paraId="4821BEC0">
      <w:pPr>
        <w:pStyle w:val="3"/>
        <w:pageBreakBefore w:val="0"/>
        <w:kinsoku/>
        <w:wordWrap/>
        <w:overflowPunct/>
        <w:bidi w:val="0"/>
        <w:spacing w:beforeAutospacing="0" w:afterAutospacing="0" w:line="360" w:lineRule="auto"/>
        <w:jc w:val="both"/>
        <w:textAlignment w:val="auto"/>
        <w:rPr>
          <w:rFonts w:hint="eastAsia" w:ascii="宋体" w:hAnsi="宋体" w:cs="宋体"/>
          <w:sz w:val="24"/>
          <w:szCs w:val="24"/>
          <w:lang w:val="en-US" w:eastAsia="zh-CN"/>
        </w:rPr>
      </w:pPr>
    </w:p>
    <w:p w14:paraId="4978AFFA">
      <w:pPr>
        <w:pStyle w:val="3"/>
        <w:pageBreakBefore w:val="0"/>
        <w:numPr>
          <w:ilvl w:val="0"/>
          <w:numId w:val="10"/>
        </w:numPr>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最终报价表</w:t>
      </w:r>
      <w:bookmarkEnd w:id="150"/>
      <w:bookmarkEnd w:id="151"/>
    </w:p>
    <w:p w14:paraId="2887E3CF">
      <w:pPr>
        <w:numPr>
          <w:ilvl w:val="0"/>
          <w:numId w:val="0"/>
        </w:numPr>
        <w:rPr>
          <w:rFonts w:hint="eastAsia"/>
          <w:b/>
          <w:bCs/>
          <w:lang w:val="en-US" w:eastAsia="zh-CN"/>
        </w:rPr>
      </w:pPr>
      <w:r>
        <w:rPr>
          <w:rFonts w:hint="eastAsia"/>
          <w:b/>
          <w:bCs/>
          <w:lang w:val="en-US" w:eastAsia="zh-CN"/>
        </w:rPr>
        <w:t xml:space="preserve">附件9-1                </w:t>
      </w:r>
    </w:p>
    <w:p w14:paraId="52A55425">
      <w:pPr>
        <w:pStyle w:val="22"/>
        <w:jc w:val="center"/>
        <w:rPr>
          <w:rFonts w:hint="default"/>
          <w:b/>
          <w:bCs/>
          <w:sz w:val="24"/>
          <w:szCs w:val="24"/>
          <w:lang w:val="en-US" w:eastAsia="zh-CN"/>
        </w:rPr>
      </w:pPr>
      <w:r>
        <w:rPr>
          <w:rFonts w:hint="eastAsia"/>
          <w:b/>
          <w:bCs/>
          <w:sz w:val="24"/>
          <w:szCs w:val="24"/>
          <w:lang w:val="en-US" w:eastAsia="zh-CN"/>
        </w:rPr>
        <w:t>最终报价表</w:t>
      </w:r>
    </w:p>
    <w:p w14:paraId="710464B9">
      <w:pPr>
        <w:pStyle w:val="22"/>
        <w:rPr>
          <w:rFonts w:hint="default"/>
          <w:lang w:val="en-US" w:eastAsia="zh-CN"/>
        </w:rPr>
      </w:pPr>
    </w:p>
    <w:p w14:paraId="18459A79">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政府采购计划编号：</w:t>
      </w:r>
    </w:p>
    <w:p w14:paraId="5BAEA2D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采购项目编号：</w:t>
      </w:r>
    </w:p>
    <w:p w14:paraId="1D30F12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项目名称：</w:t>
      </w:r>
    </w:p>
    <w:p w14:paraId="3BB12D2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包名称：</w:t>
      </w:r>
    </w:p>
    <w:tbl>
      <w:tblPr>
        <w:tblStyle w:val="3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7B3E8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343C5BC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2F1E408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6B0B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29FC1E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081459F5">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38E71068">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787E34DB">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none"/>
              </w:rPr>
              <w:t>：</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11E064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1A9B871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92B7F9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0E4CF7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17F922D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符合磋商文件规定的实质性要求和条件的供应商在磋商小组规定时间内提交最后报价。</w:t>
      </w:r>
    </w:p>
    <w:p w14:paraId="21627D66">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EA03977">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7E50C84B">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3C135E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44F082D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62A65A1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7B4649D">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AB2BDB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25FC4F85">
      <w:pPr>
        <w:pageBreakBefore w:val="0"/>
        <w:kinsoku/>
        <w:wordWrap/>
        <w:overflowPunct/>
        <w:bidi w:val="0"/>
        <w:spacing w:beforeAutospacing="0" w:afterAutospacing="0" w:line="360" w:lineRule="auto"/>
        <w:ind w:left="482" w:hanging="422" w:hangingChars="200"/>
        <w:textAlignment w:val="auto"/>
        <w:rPr>
          <w:rFonts w:hint="eastAsia" w:ascii="宋体" w:hAnsi="宋体" w:eastAsia="宋体" w:cs="宋体"/>
          <w:b/>
          <w:sz w:val="21"/>
          <w:szCs w:val="21"/>
        </w:rPr>
      </w:pPr>
      <w:r>
        <w:rPr>
          <w:rFonts w:hint="eastAsia" w:ascii="宋体" w:hAnsi="宋体" w:eastAsia="宋体" w:cs="宋体"/>
          <w:b/>
          <w:sz w:val="21"/>
          <w:szCs w:val="21"/>
        </w:rPr>
        <w:t>注：本表不需要装订到响应文件中，可由委托代理人携带到开标现场，按磋商小组的要求密封报价。</w:t>
      </w:r>
    </w:p>
    <w:p w14:paraId="3BB9E588">
      <w:pPr>
        <w:pageBreakBefore w:val="0"/>
        <w:kinsoku/>
        <w:wordWrap/>
        <w:overflowPunct/>
        <w:bidi w:val="0"/>
        <w:spacing w:beforeAutospacing="0" w:afterAutospacing="0" w:line="360" w:lineRule="auto"/>
        <w:textAlignment w:val="auto"/>
        <w:rPr>
          <w:rFonts w:hint="eastAsia" w:ascii="宋体" w:hAnsi="宋体" w:eastAsia="宋体" w:cs="宋体"/>
          <w:b/>
          <w:sz w:val="21"/>
          <w:szCs w:val="21"/>
        </w:rPr>
      </w:pPr>
    </w:p>
    <w:p w14:paraId="0B3E2BD0">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p w14:paraId="787666BC">
      <w:pPr>
        <w:pStyle w:val="11"/>
        <w:rPr>
          <w:rFonts w:hint="eastAsia" w:ascii="宋体" w:hAnsi="宋体" w:eastAsia="宋体" w:cs="宋体"/>
          <w:sz w:val="21"/>
          <w:szCs w:val="21"/>
        </w:rPr>
      </w:pPr>
    </w:p>
    <w:p w14:paraId="4C35E0B3">
      <w:pPr>
        <w:pStyle w:val="11"/>
        <w:rPr>
          <w:rFonts w:hint="eastAsia" w:ascii="宋体" w:hAnsi="宋体" w:eastAsia="宋体" w:cs="宋体"/>
          <w:sz w:val="21"/>
          <w:szCs w:val="21"/>
        </w:rPr>
      </w:pPr>
    </w:p>
    <w:p w14:paraId="3D56A693">
      <w:pPr>
        <w:pStyle w:val="11"/>
        <w:rPr>
          <w:rFonts w:hint="eastAsia" w:ascii="宋体" w:hAnsi="宋体" w:eastAsia="宋体" w:cs="宋体"/>
          <w:sz w:val="21"/>
          <w:szCs w:val="21"/>
        </w:rPr>
      </w:pPr>
    </w:p>
    <w:p w14:paraId="648D79D0">
      <w:pPr>
        <w:pStyle w:val="11"/>
        <w:rPr>
          <w:rFonts w:hint="eastAsia" w:ascii="宋体" w:hAnsi="宋体" w:eastAsia="宋体" w:cs="宋体"/>
          <w:sz w:val="21"/>
          <w:szCs w:val="21"/>
        </w:rPr>
      </w:pPr>
    </w:p>
    <w:p w14:paraId="65163433">
      <w:pPr>
        <w:pStyle w:val="11"/>
        <w:rPr>
          <w:rFonts w:hint="eastAsia" w:ascii="宋体" w:hAnsi="宋体" w:eastAsia="宋体" w:cs="宋体"/>
          <w:sz w:val="21"/>
          <w:szCs w:val="21"/>
        </w:rPr>
      </w:pPr>
    </w:p>
    <w:p w14:paraId="4390A948">
      <w:pPr>
        <w:pStyle w:val="11"/>
        <w:ind w:left="0" w:leftChars="0" w:firstLine="0" w:firstLineChars="0"/>
        <w:rPr>
          <w:rFonts w:hint="eastAsia" w:ascii="宋体" w:hAnsi="宋体" w:eastAsia="宋体" w:cs="宋体"/>
          <w:sz w:val="21"/>
          <w:szCs w:val="21"/>
        </w:rPr>
      </w:pPr>
    </w:p>
    <w:p w14:paraId="73049CA4">
      <w:pPr>
        <w:pStyle w:val="11"/>
        <w:rPr>
          <w:rFonts w:hint="eastAsia" w:ascii="宋体" w:hAnsi="宋体" w:eastAsia="宋体" w:cs="宋体"/>
          <w:sz w:val="21"/>
          <w:szCs w:val="21"/>
        </w:rPr>
      </w:pPr>
    </w:p>
    <w:sectPr>
      <w:type w:val="continuous"/>
      <w:pgSz w:w="11906" w:h="16838"/>
      <w:pgMar w:top="1134" w:right="1417" w:bottom="1134" w:left="141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ail">
    <w:altName w:val="Times New Roman"/>
    <w:panose1 w:val="00000000000000000000"/>
    <w:charset w:val="00"/>
    <w:family w:val="auto"/>
    <w:pitch w:val="default"/>
    <w:sig w:usb0="00000000" w:usb1="00000000" w:usb2="00000008" w:usb3="00000000" w:csb0="0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3273">
    <w:pPr>
      <w:widowControl w:val="0"/>
      <w:tabs>
        <w:tab w:val="center" w:pos="4153"/>
        <w:tab w:val="right" w:pos="8306"/>
      </w:tabs>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5" o:spid="_x0000_s411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6ED92D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747E">
    <w:pPr>
      <w:pStyle w:val="25"/>
    </w:pPr>
    <w:r>
      <w:rPr>
        <w:sz w:val="18"/>
      </w:rPr>
      <w:pict>
        <v:shape id="_x0000_s4110" o:spid="_x0000_s4110"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0D80774">
                <w:pPr>
                  <w:pStyle w:val="25"/>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3D86">
    <w:pPr>
      <w:pStyle w:val="25"/>
    </w:pPr>
    <w:r>
      <w:rPr>
        <w:sz w:val="18"/>
      </w:rPr>
      <w:pict>
        <v:shape id="_x0000_s4111" o:spid="_x0000_s411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EB6923A">
                <w:pPr>
                  <w:pStyle w:val="25"/>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C13F">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5958">
    <w:pPr>
      <w:pStyle w:val="2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8139A6F">
                <w:pPr>
                  <w:pStyle w:val="2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172">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sz w:val="18"/>
      </w:rPr>
      <w:pict>
        <v:shape id="_x0000_s4114" o:spid="_x0000_s411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507250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3</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p w14:paraId="11854DC1">
    <w:pPr>
      <w:widowControl w:val="0"/>
      <w:snapToGrid w:val="0"/>
      <w:ind w:right="24"/>
      <w:jc w:val="center"/>
      <w:rPr>
        <w:rFonts w:ascii="Times New Roman" w:hAnsi="Times New Roman" w:eastAsia="宋体" w:cs="Times New Roman"/>
        <w:kern w:val="2"/>
        <w:sz w:val="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A03F">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3" o:spid="_x0000_s4113"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52312A1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49C3D">
    <w:pPr>
      <w:spacing w:line="14" w:lineRule="auto"/>
      <w:rPr>
        <w:rFonts w:ascii="Arial"/>
        <w:sz w:val="2"/>
      </w:rPr>
    </w:pPr>
    <w:r>
      <w:rPr>
        <w:sz w:val="2"/>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1938BA">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6C730">
    <w:pPr>
      <w:widowControl/>
      <w:kinsoku w:val="0"/>
      <w:autoSpaceDE w:val="0"/>
      <w:autoSpaceDN w:val="0"/>
      <w:adjustRightInd w:val="0"/>
      <w:snapToGrid w:val="0"/>
      <w:spacing w:line="169" w:lineRule="auto"/>
      <w:ind w:left="4084"/>
      <w:jc w:val="left"/>
      <w:textAlignment w:val="baseline"/>
      <w:rPr>
        <w:rFonts w:ascii="Calibri" w:hAnsi="Calibri" w:eastAsia="Calibri" w:cs="Calibri"/>
        <w:snapToGrid w:val="0"/>
        <w:color w:val="000000"/>
        <w:kern w:val="0"/>
        <w:sz w:val="18"/>
        <w:szCs w:val="18"/>
        <w:lang w:eastAsia="en-US"/>
      </w:rPr>
    </w:pPr>
    <w:r>
      <w:rPr>
        <w:sz w:val="18"/>
      </w:rPr>
      <w:pict>
        <v:shape id="_x0000_s4107" o:spid="_x0000_s410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DE571E2">
                <w:pPr>
                  <w:pStyle w:val="25"/>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B1FC2">
    <w:pPr>
      <w:spacing w:line="14" w:lineRule="auto"/>
      <w:rPr>
        <w:rFonts w:ascii="Arial"/>
        <w:sz w:val="2"/>
      </w:rPr>
    </w:pPr>
    <w:r>
      <w:rPr>
        <w:sz w:val="2"/>
      </w:rPr>
      <w:pict>
        <v:shape id="_x0000_s4108" o:spid="_x0000_s410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32DD557">
                <w:pPr>
                  <w:pStyle w:val="2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63BB2">
    <w:pPr>
      <w:pStyle w:val="25"/>
    </w:pPr>
    <w:r>
      <w:rPr>
        <w:sz w:val="18"/>
      </w:rPr>
      <w:pict>
        <v:shape id="_x0000_s4109" o:spid="_x0000_s410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F0CF48A">
                <w:pPr>
                  <w:pStyle w:val="2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5E27">
    <w:pPr>
      <w:widowControl w:val="0"/>
      <w:pBdr>
        <w:bottom w:val="none" w:color="auto" w:sz="0" w:space="0"/>
      </w:pBdr>
      <w:tabs>
        <w:tab w:val="center" w:pos="4153"/>
        <w:tab w:val="right" w:pos="8306"/>
      </w:tabs>
      <w:snapToGrid w:val="0"/>
      <w:jc w:val="center"/>
      <w:rPr>
        <w:rFonts w:ascii="宋体" w:hAnsi="宋体" w:eastAsia="宋体" w:cs="宋体"/>
        <w:kern w:val="2"/>
        <w:sz w:val="18"/>
        <w:szCs w:val="18"/>
        <w:u w:val="single"/>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0F8D">
    <w:pPr>
      <w:widowControl w:val="0"/>
      <w:pBdr>
        <w:bottom w:val="none" w:color="auto" w:sz="0" w:space="1"/>
      </w:pBdr>
      <w:tabs>
        <w:tab w:val="center" w:pos="4153"/>
        <w:tab w:val="right" w:pos="8306"/>
      </w:tabs>
      <w:snapToGrid w:val="0"/>
      <w:jc w:val="center"/>
      <w:rPr>
        <w:rFonts w:hint="eastAsia"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F124">
    <w:pPr>
      <w:widowControl w:val="0"/>
      <w:pBdr>
        <w:bottom w:val="none" w:color="auto" w:sz="0"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A074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FC275"/>
    <w:multiLevelType w:val="singleLevel"/>
    <w:tmpl w:val="8E5FC275"/>
    <w:lvl w:ilvl="0" w:tentative="0">
      <w:start w:val="6"/>
      <w:numFmt w:val="decimal"/>
      <w:lvlText w:val="%1、"/>
      <w:lvlJc w:val="left"/>
    </w:lvl>
  </w:abstractNum>
  <w:abstractNum w:abstractNumId="1">
    <w:nsid w:val="ADB10ED2"/>
    <w:multiLevelType w:val="singleLevel"/>
    <w:tmpl w:val="ADB10ED2"/>
    <w:lvl w:ilvl="0" w:tentative="0">
      <w:start w:val="2"/>
      <w:numFmt w:val="decimal"/>
      <w:suff w:val="nothing"/>
      <w:lvlText w:val="%1、"/>
      <w:lvlJc w:val="left"/>
    </w:lvl>
  </w:abstractNum>
  <w:abstractNum w:abstractNumId="2">
    <w:nsid w:val="B37CEA51"/>
    <w:multiLevelType w:val="singleLevel"/>
    <w:tmpl w:val="B37CEA51"/>
    <w:lvl w:ilvl="0" w:tentative="0">
      <w:start w:val="2"/>
      <w:numFmt w:val="decimal"/>
      <w:suff w:val="space"/>
      <w:lvlText w:val="%1."/>
      <w:lvlJc w:val="left"/>
    </w:lvl>
  </w:abstractNum>
  <w:abstractNum w:abstractNumId="3">
    <w:nsid w:val="B8460E54"/>
    <w:multiLevelType w:val="singleLevel"/>
    <w:tmpl w:val="B8460E54"/>
    <w:lvl w:ilvl="0" w:tentative="0">
      <w:start w:val="9"/>
      <w:numFmt w:val="chineseCounting"/>
      <w:suff w:val="nothing"/>
      <w:lvlText w:val="%1、"/>
      <w:lvlJc w:val="left"/>
      <w:rPr>
        <w:rFonts w:hint="eastAsia"/>
      </w:rPr>
    </w:lvl>
  </w:abstractNum>
  <w:abstractNum w:abstractNumId="4">
    <w:nsid w:val="DE7DCA7B"/>
    <w:multiLevelType w:val="singleLevel"/>
    <w:tmpl w:val="DE7DCA7B"/>
    <w:lvl w:ilvl="0" w:tentative="0">
      <w:start w:val="2"/>
      <w:numFmt w:val="decimal"/>
      <w:suff w:val="nothing"/>
      <w:lvlText w:val="（%1）"/>
      <w:lvlJc w:val="left"/>
      <w:rPr>
        <w:rFonts w:hint="default"/>
        <w:b w:val="0"/>
        <w:bCs w:val="0"/>
      </w:rPr>
    </w:lvl>
  </w:abstractNum>
  <w:abstractNum w:abstractNumId="5">
    <w:nsid w:val="F7274232"/>
    <w:multiLevelType w:val="singleLevel"/>
    <w:tmpl w:val="F7274232"/>
    <w:lvl w:ilvl="0" w:tentative="0">
      <w:start w:val="2"/>
      <w:numFmt w:val="decimal"/>
      <w:suff w:val="nothing"/>
      <w:lvlText w:val="%1、"/>
      <w:lvlJc w:val="left"/>
    </w:lvl>
  </w:abstractNum>
  <w:abstractNum w:abstractNumId="6">
    <w:nsid w:val="1C3B1630"/>
    <w:multiLevelType w:val="singleLevel"/>
    <w:tmpl w:val="1C3B1630"/>
    <w:lvl w:ilvl="0" w:tentative="0">
      <w:start w:val="1"/>
      <w:numFmt w:val="chineseCounting"/>
      <w:suff w:val="space"/>
      <w:lvlText w:val="第%1章"/>
      <w:lvlJc w:val="left"/>
      <w:rPr>
        <w:rFonts w:hint="eastAsia"/>
      </w:rPr>
    </w:lvl>
  </w:abstractNum>
  <w:abstractNum w:abstractNumId="7">
    <w:nsid w:val="2B857CDE"/>
    <w:multiLevelType w:val="singleLevel"/>
    <w:tmpl w:val="2B857CDE"/>
    <w:lvl w:ilvl="0" w:tentative="0">
      <w:start w:val="4"/>
      <w:numFmt w:val="chineseCounting"/>
      <w:suff w:val="nothing"/>
      <w:lvlText w:val="%1、"/>
      <w:lvlJc w:val="left"/>
      <w:rPr>
        <w:rFonts w:hint="eastAsia"/>
      </w:rPr>
    </w:lvl>
  </w:abstractNum>
  <w:abstractNum w:abstractNumId="8">
    <w:nsid w:val="3B0F6F40"/>
    <w:multiLevelType w:val="multilevel"/>
    <w:tmpl w:val="3B0F6F40"/>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608C7B27"/>
    <w:multiLevelType w:val="singleLevel"/>
    <w:tmpl w:val="608C7B27"/>
    <w:lvl w:ilvl="0" w:tentative="0">
      <w:start w:val="3"/>
      <w:numFmt w:val="chineseCounting"/>
      <w:suff w:val="space"/>
      <w:lvlText w:val="%1、"/>
      <w:lvlJc w:val="left"/>
      <w:rPr>
        <w:rFonts w:hint="eastAsia"/>
      </w:rPr>
    </w:lvl>
  </w:abstractNum>
  <w:num w:numId="1">
    <w:abstractNumId w:val="6"/>
  </w:num>
  <w:num w:numId="2">
    <w:abstractNumId w:val="4"/>
  </w:num>
  <w:num w:numId="3">
    <w:abstractNumId w:val="0"/>
  </w:num>
  <w:num w:numId="4">
    <w:abstractNumId w:val="2"/>
  </w:num>
  <w:num w:numId="5">
    <w:abstractNumId w:val="9"/>
  </w:num>
  <w:num w:numId="6">
    <w:abstractNumId w:val="8"/>
  </w:num>
  <w:num w:numId="7">
    <w:abstractNumId w:val="7"/>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I0OGIzNDgyMTc0MTRhZGU5YWU3MGQ3YmVmOGQyMTgifQ=="/>
  </w:docVars>
  <w:rsids>
    <w:rsidRoot w:val="00172A27"/>
    <w:rsid w:val="00075084"/>
    <w:rsid w:val="000A347C"/>
    <w:rsid w:val="00121831"/>
    <w:rsid w:val="00263FD0"/>
    <w:rsid w:val="002E6868"/>
    <w:rsid w:val="0032593C"/>
    <w:rsid w:val="00484D8E"/>
    <w:rsid w:val="00521F75"/>
    <w:rsid w:val="006914CE"/>
    <w:rsid w:val="006A6368"/>
    <w:rsid w:val="00775716"/>
    <w:rsid w:val="00782AB9"/>
    <w:rsid w:val="007B734A"/>
    <w:rsid w:val="008915A1"/>
    <w:rsid w:val="008E0C60"/>
    <w:rsid w:val="009A0670"/>
    <w:rsid w:val="00B35587"/>
    <w:rsid w:val="00CB1C02"/>
    <w:rsid w:val="00D871BD"/>
    <w:rsid w:val="00E058D5"/>
    <w:rsid w:val="00EC7AA5"/>
    <w:rsid w:val="00ED6033"/>
    <w:rsid w:val="00F42630"/>
    <w:rsid w:val="00F73A25"/>
    <w:rsid w:val="00F86AAB"/>
    <w:rsid w:val="017B7436"/>
    <w:rsid w:val="018E53BB"/>
    <w:rsid w:val="01F77F95"/>
    <w:rsid w:val="025D08EA"/>
    <w:rsid w:val="035D5C1E"/>
    <w:rsid w:val="035E0DBD"/>
    <w:rsid w:val="035F1E46"/>
    <w:rsid w:val="0370735E"/>
    <w:rsid w:val="03885BF9"/>
    <w:rsid w:val="03B90805"/>
    <w:rsid w:val="03FE7EAB"/>
    <w:rsid w:val="040C6A6B"/>
    <w:rsid w:val="044A47B4"/>
    <w:rsid w:val="045E6793"/>
    <w:rsid w:val="04800661"/>
    <w:rsid w:val="04DA0918"/>
    <w:rsid w:val="0543026B"/>
    <w:rsid w:val="0560706F"/>
    <w:rsid w:val="05860158"/>
    <w:rsid w:val="05922FA0"/>
    <w:rsid w:val="05985AF0"/>
    <w:rsid w:val="05A52CD4"/>
    <w:rsid w:val="05E25CD6"/>
    <w:rsid w:val="060770C1"/>
    <w:rsid w:val="06B50CF4"/>
    <w:rsid w:val="06B5320C"/>
    <w:rsid w:val="06E710CA"/>
    <w:rsid w:val="075A189C"/>
    <w:rsid w:val="07630750"/>
    <w:rsid w:val="081B54CF"/>
    <w:rsid w:val="082A79CB"/>
    <w:rsid w:val="08316AA1"/>
    <w:rsid w:val="08344773"/>
    <w:rsid w:val="085D2D0B"/>
    <w:rsid w:val="08852948"/>
    <w:rsid w:val="08892439"/>
    <w:rsid w:val="08BA0261"/>
    <w:rsid w:val="08F024B8"/>
    <w:rsid w:val="09440A55"/>
    <w:rsid w:val="09A60DC8"/>
    <w:rsid w:val="0A9D65EF"/>
    <w:rsid w:val="0AD119B0"/>
    <w:rsid w:val="0ADC2637"/>
    <w:rsid w:val="0AF2503A"/>
    <w:rsid w:val="0AF67B2D"/>
    <w:rsid w:val="0B536D2E"/>
    <w:rsid w:val="0BF70001"/>
    <w:rsid w:val="0C0B7609"/>
    <w:rsid w:val="0C443DDF"/>
    <w:rsid w:val="0C547201"/>
    <w:rsid w:val="0CBD5B3E"/>
    <w:rsid w:val="0CFC1BE3"/>
    <w:rsid w:val="0DA67783"/>
    <w:rsid w:val="0E3733A5"/>
    <w:rsid w:val="0EFA3A2B"/>
    <w:rsid w:val="0FC81CD8"/>
    <w:rsid w:val="0FEB1C2B"/>
    <w:rsid w:val="108160EB"/>
    <w:rsid w:val="10A64AC7"/>
    <w:rsid w:val="110F1881"/>
    <w:rsid w:val="113A4C18"/>
    <w:rsid w:val="11BE7BEC"/>
    <w:rsid w:val="11CC15E8"/>
    <w:rsid w:val="11CC4A99"/>
    <w:rsid w:val="11DF69C6"/>
    <w:rsid w:val="121A2353"/>
    <w:rsid w:val="124243FD"/>
    <w:rsid w:val="12476A3E"/>
    <w:rsid w:val="127A48D3"/>
    <w:rsid w:val="12C41B11"/>
    <w:rsid w:val="12D6271E"/>
    <w:rsid w:val="138E2FF9"/>
    <w:rsid w:val="139D62CF"/>
    <w:rsid w:val="13F331FC"/>
    <w:rsid w:val="14304CEF"/>
    <w:rsid w:val="14741FA9"/>
    <w:rsid w:val="14C404D0"/>
    <w:rsid w:val="14CF0760"/>
    <w:rsid w:val="151457AE"/>
    <w:rsid w:val="160A26DF"/>
    <w:rsid w:val="166B1554"/>
    <w:rsid w:val="169A6CAC"/>
    <w:rsid w:val="16A619FF"/>
    <w:rsid w:val="16C06DF8"/>
    <w:rsid w:val="16CB00C0"/>
    <w:rsid w:val="17504CDA"/>
    <w:rsid w:val="175574C1"/>
    <w:rsid w:val="1763654B"/>
    <w:rsid w:val="1783099B"/>
    <w:rsid w:val="17A36059"/>
    <w:rsid w:val="17A80401"/>
    <w:rsid w:val="17D932DD"/>
    <w:rsid w:val="18B55B78"/>
    <w:rsid w:val="18B621AE"/>
    <w:rsid w:val="18CE3E98"/>
    <w:rsid w:val="18D55226"/>
    <w:rsid w:val="190B2D72"/>
    <w:rsid w:val="192341E3"/>
    <w:rsid w:val="19B030B5"/>
    <w:rsid w:val="19DE010A"/>
    <w:rsid w:val="1A097878"/>
    <w:rsid w:val="1A383CBF"/>
    <w:rsid w:val="1A3F3AE4"/>
    <w:rsid w:val="1AC83294"/>
    <w:rsid w:val="1ADA61CC"/>
    <w:rsid w:val="1AE3240E"/>
    <w:rsid w:val="1B2D061A"/>
    <w:rsid w:val="1B3721C8"/>
    <w:rsid w:val="1B852F33"/>
    <w:rsid w:val="1C1918CE"/>
    <w:rsid w:val="1C3D380E"/>
    <w:rsid w:val="1C3E1334"/>
    <w:rsid w:val="1C9E2545"/>
    <w:rsid w:val="1CB33AD0"/>
    <w:rsid w:val="1D1117A0"/>
    <w:rsid w:val="1D1125A5"/>
    <w:rsid w:val="1D2616DA"/>
    <w:rsid w:val="1D7F1C04"/>
    <w:rsid w:val="1DA24769"/>
    <w:rsid w:val="1DEA1774"/>
    <w:rsid w:val="1E4B7669"/>
    <w:rsid w:val="1EBA7398"/>
    <w:rsid w:val="1EBD4792"/>
    <w:rsid w:val="1F260F41"/>
    <w:rsid w:val="20140D2A"/>
    <w:rsid w:val="202110DB"/>
    <w:rsid w:val="2091095B"/>
    <w:rsid w:val="20C8251E"/>
    <w:rsid w:val="21157E5B"/>
    <w:rsid w:val="21893DF4"/>
    <w:rsid w:val="21E46FC7"/>
    <w:rsid w:val="223D6116"/>
    <w:rsid w:val="22873A35"/>
    <w:rsid w:val="23151041"/>
    <w:rsid w:val="231C3E9C"/>
    <w:rsid w:val="237A2295"/>
    <w:rsid w:val="23841E03"/>
    <w:rsid w:val="23871813"/>
    <w:rsid w:val="23DA7D93"/>
    <w:rsid w:val="243C25FD"/>
    <w:rsid w:val="24632CC1"/>
    <w:rsid w:val="25AC3281"/>
    <w:rsid w:val="2661634B"/>
    <w:rsid w:val="269A5AA4"/>
    <w:rsid w:val="26AB5818"/>
    <w:rsid w:val="26F23447"/>
    <w:rsid w:val="270311B0"/>
    <w:rsid w:val="27035654"/>
    <w:rsid w:val="27A110F5"/>
    <w:rsid w:val="28255F4E"/>
    <w:rsid w:val="282B0278"/>
    <w:rsid w:val="28386BE0"/>
    <w:rsid w:val="283C7070"/>
    <w:rsid w:val="28567553"/>
    <w:rsid w:val="28864EB2"/>
    <w:rsid w:val="28EC1A62"/>
    <w:rsid w:val="28EF41A5"/>
    <w:rsid w:val="2A4E1779"/>
    <w:rsid w:val="2AD73080"/>
    <w:rsid w:val="2ADB376E"/>
    <w:rsid w:val="2AEA2DB3"/>
    <w:rsid w:val="2BF043F9"/>
    <w:rsid w:val="2BF10171"/>
    <w:rsid w:val="2C7E2617"/>
    <w:rsid w:val="2CCB2770"/>
    <w:rsid w:val="2CD750AA"/>
    <w:rsid w:val="2CED3AD0"/>
    <w:rsid w:val="2D0637A8"/>
    <w:rsid w:val="2D07243F"/>
    <w:rsid w:val="2D13096C"/>
    <w:rsid w:val="2D157E8F"/>
    <w:rsid w:val="2D255269"/>
    <w:rsid w:val="2D2931A2"/>
    <w:rsid w:val="2D524C40"/>
    <w:rsid w:val="2D834DF9"/>
    <w:rsid w:val="2DBD47AF"/>
    <w:rsid w:val="2DD438A6"/>
    <w:rsid w:val="2E534C57"/>
    <w:rsid w:val="2E6F7878"/>
    <w:rsid w:val="2E7B1BE8"/>
    <w:rsid w:val="2E81758A"/>
    <w:rsid w:val="2F1877C3"/>
    <w:rsid w:val="2F45680A"/>
    <w:rsid w:val="2F4F47F1"/>
    <w:rsid w:val="2F5E5921"/>
    <w:rsid w:val="2F6B5E7A"/>
    <w:rsid w:val="2F8B61E7"/>
    <w:rsid w:val="2F9A0360"/>
    <w:rsid w:val="300F506A"/>
    <w:rsid w:val="30112B90"/>
    <w:rsid w:val="30217DA6"/>
    <w:rsid w:val="302D405A"/>
    <w:rsid w:val="30322A82"/>
    <w:rsid w:val="30FA3624"/>
    <w:rsid w:val="30FE2706"/>
    <w:rsid w:val="312B1A2F"/>
    <w:rsid w:val="31903F88"/>
    <w:rsid w:val="32313075"/>
    <w:rsid w:val="323F1E74"/>
    <w:rsid w:val="32711639"/>
    <w:rsid w:val="32F87086"/>
    <w:rsid w:val="335F00B6"/>
    <w:rsid w:val="3390201E"/>
    <w:rsid w:val="33A904D9"/>
    <w:rsid w:val="33B201E6"/>
    <w:rsid w:val="33E94429"/>
    <w:rsid w:val="33F7221B"/>
    <w:rsid w:val="34160775"/>
    <w:rsid w:val="34482D34"/>
    <w:rsid w:val="349A13A6"/>
    <w:rsid w:val="349D49F2"/>
    <w:rsid w:val="359E4EC6"/>
    <w:rsid w:val="35A7632D"/>
    <w:rsid w:val="35D37B7A"/>
    <w:rsid w:val="36617CA1"/>
    <w:rsid w:val="366F0610"/>
    <w:rsid w:val="3671332B"/>
    <w:rsid w:val="36A149B1"/>
    <w:rsid w:val="36A706D6"/>
    <w:rsid w:val="36D913FC"/>
    <w:rsid w:val="36E32C2C"/>
    <w:rsid w:val="373C4EC6"/>
    <w:rsid w:val="37AF33BA"/>
    <w:rsid w:val="38303DCF"/>
    <w:rsid w:val="38C47F22"/>
    <w:rsid w:val="38CC7030"/>
    <w:rsid w:val="38F11218"/>
    <w:rsid w:val="39194863"/>
    <w:rsid w:val="39475874"/>
    <w:rsid w:val="395B4E7C"/>
    <w:rsid w:val="3961135B"/>
    <w:rsid w:val="39D32C64"/>
    <w:rsid w:val="3A5D01C8"/>
    <w:rsid w:val="3A7461F5"/>
    <w:rsid w:val="3AC94BB8"/>
    <w:rsid w:val="3AFB6916"/>
    <w:rsid w:val="3B380969"/>
    <w:rsid w:val="3BA13C6F"/>
    <w:rsid w:val="3BAB20EB"/>
    <w:rsid w:val="3BB0325D"/>
    <w:rsid w:val="3BF515B8"/>
    <w:rsid w:val="3C563230"/>
    <w:rsid w:val="3C706E90"/>
    <w:rsid w:val="3CC33464"/>
    <w:rsid w:val="3D0F66A9"/>
    <w:rsid w:val="3D7824A0"/>
    <w:rsid w:val="3DE72488"/>
    <w:rsid w:val="3F1909AD"/>
    <w:rsid w:val="3FB911DC"/>
    <w:rsid w:val="4050500F"/>
    <w:rsid w:val="40556AC9"/>
    <w:rsid w:val="40BC79FD"/>
    <w:rsid w:val="41456B3D"/>
    <w:rsid w:val="416C142E"/>
    <w:rsid w:val="41970A1B"/>
    <w:rsid w:val="41F36F4B"/>
    <w:rsid w:val="42010CB6"/>
    <w:rsid w:val="42335E3F"/>
    <w:rsid w:val="42673723"/>
    <w:rsid w:val="42A76F80"/>
    <w:rsid w:val="42C83582"/>
    <w:rsid w:val="434276E8"/>
    <w:rsid w:val="4375437C"/>
    <w:rsid w:val="43C006FD"/>
    <w:rsid w:val="43D45F4C"/>
    <w:rsid w:val="43F62371"/>
    <w:rsid w:val="4450382F"/>
    <w:rsid w:val="44CD3356"/>
    <w:rsid w:val="44D00F4B"/>
    <w:rsid w:val="44D74953"/>
    <w:rsid w:val="44DA6C3A"/>
    <w:rsid w:val="45097701"/>
    <w:rsid w:val="454B2248"/>
    <w:rsid w:val="45F07491"/>
    <w:rsid w:val="45F36B68"/>
    <w:rsid w:val="46176ABD"/>
    <w:rsid w:val="475A3E61"/>
    <w:rsid w:val="47A824CD"/>
    <w:rsid w:val="47B0471D"/>
    <w:rsid w:val="47CD163B"/>
    <w:rsid w:val="480E5EDB"/>
    <w:rsid w:val="48653F5C"/>
    <w:rsid w:val="4895343D"/>
    <w:rsid w:val="48BF488B"/>
    <w:rsid w:val="4909290D"/>
    <w:rsid w:val="49180694"/>
    <w:rsid w:val="4953791E"/>
    <w:rsid w:val="49576579"/>
    <w:rsid w:val="498B2BE2"/>
    <w:rsid w:val="49DC1E6F"/>
    <w:rsid w:val="49FA008C"/>
    <w:rsid w:val="49FB423D"/>
    <w:rsid w:val="4A1B18AC"/>
    <w:rsid w:val="4A4C0075"/>
    <w:rsid w:val="4A6C4828"/>
    <w:rsid w:val="4AE90539"/>
    <w:rsid w:val="4B2F7104"/>
    <w:rsid w:val="4B736055"/>
    <w:rsid w:val="4B7A3887"/>
    <w:rsid w:val="4B7D0689"/>
    <w:rsid w:val="4BD05255"/>
    <w:rsid w:val="4BDF193C"/>
    <w:rsid w:val="4BE920CC"/>
    <w:rsid w:val="4C6864D4"/>
    <w:rsid w:val="4CBD1C7E"/>
    <w:rsid w:val="4CF443DB"/>
    <w:rsid w:val="4D0F7FFF"/>
    <w:rsid w:val="4DE7546F"/>
    <w:rsid w:val="4E4E0B41"/>
    <w:rsid w:val="4EDD2163"/>
    <w:rsid w:val="4FEC63D6"/>
    <w:rsid w:val="500E459E"/>
    <w:rsid w:val="5023004A"/>
    <w:rsid w:val="511314A3"/>
    <w:rsid w:val="514705FA"/>
    <w:rsid w:val="51E2596D"/>
    <w:rsid w:val="5254412B"/>
    <w:rsid w:val="52D66BBF"/>
    <w:rsid w:val="52DE46FC"/>
    <w:rsid w:val="5362532D"/>
    <w:rsid w:val="53B37216"/>
    <w:rsid w:val="540218AF"/>
    <w:rsid w:val="5423646A"/>
    <w:rsid w:val="543317E7"/>
    <w:rsid w:val="551656A7"/>
    <w:rsid w:val="552E1137"/>
    <w:rsid w:val="558B4E58"/>
    <w:rsid w:val="5596306C"/>
    <w:rsid w:val="559E390F"/>
    <w:rsid w:val="55AC7905"/>
    <w:rsid w:val="55F02ED0"/>
    <w:rsid w:val="56F42740"/>
    <w:rsid w:val="56FE7A1E"/>
    <w:rsid w:val="57181687"/>
    <w:rsid w:val="575256B8"/>
    <w:rsid w:val="57DE08ED"/>
    <w:rsid w:val="5851771E"/>
    <w:rsid w:val="5874555D"/>
    <w:rsid w:val="58C223CA"/>
    <w:rsid w:val="58E6780D"/>
    <w:rsid w:val="59701E26"/>
    <w:rsid w:val="59883613"/>
    <w:rsid w:val="59D86349"/>
    <w:rsid w:val="59D979CB"/>
    <w:rsid w:val="5AC474BB"/>
    <w:rsid w:val="5B022012"/>
    <w:rsid w:val="5B5F03A4"/>
    <w:rsid w:val="5B6E19CE"/>
    <w:rsid w:val="5BD82630"/>
    <w:rsid w:val="5BDC37A3"/>
    <w:rsid w:val="5C9E3955"/>
    <w:rsid w:val="5CC7477B"/>
    <w:rsid w:val="5D4B3ED8"/>
    <w:rsid w:val="5D752101"/>
    <w:rsid w:val="5E0302A0"/>
    <w:rsid w:val="5F0279C4"/>
    <w:rsid w:val="5F1F2324"/>
    <w:rsid w:val="5F48659A"/>
    <w:rsid w:val="5F8F75F5"/>
    <w:rsid w:val="5FBF7663"/>
    <w:rsid w:val="5FC66C44"/>
    <w:rsid w:val="5FF26B44"/>
    <w:rsid w:val="61C62F2B"/>
    <w:rsid w:val="61F569EA"/>
    <w:rsid w:val="622D6B06"/>
    <w:rsid w:val="628137EA"/>
    <w:rsid w:val="628511E7"/>
    <w:rsid w:val="62B66AFB"/>
    <w:rsid w:val="62BC571C"/>
    <w:rsid w:val="62C31218"/>
    <w:rsid w:val="63400ABB"/>
    <w:rsid w:val="635A725B"/>
    <w:rsid w:val="63620970"/>
    <w:rsid w:val="63664A91"/>
    <w:rsid w:val="63AE78D8"/>
    <w:rsid w:val="64151614"/>
    <w:rsid w:val="64AA07E9"/>
    <w:rsid w:val="64DD4813"/>
    <w:rsid w:val="65355DF9"/>
    <w:rsid w:val="659D0447"/>
    <w:rsid w:val="66C97511"/>
    <w:rsid w:val="66D878AE"/>
    <w:rsid w:val="670A5668"/>
    <w:rsid w:val="67484DA3"/>
    <w:rsid w:val="676A4B31"/>
    <w:rsid w:val="67C25F42"/>
    <w:rsid w:val="67C3078A"/>
    <w:rsid w:val="67CE0CF9"/>
    <w:rsid w:val="67CF069A"/>
    <w:rsid w:val="67F72090"/>
    <w:rsid w:val="694035C3"/>
    <w:rsid w:val="69490784"/>
    <w:rsid w:val="69506585"/>
    <w:rsid w:val="695F5B21"/>
    <w:rsid w:val="69D87C9F"/>
    <w:rsid w:val="6A0171F6"/>
    <w:rsid w:val="6A266C5C"/>
    <w:rsid w:val="6A8B2D0B"/>
    <w:rsid w:val="6B0005A4"/>
    <w:rsid w:val="6B0D2DCF"/>
    <w:rsid w:val="6B4355EC"/>
    <w:rsid w:val="6B946927"/>
    <w:rsid w:val="6BAF4A30"/>
    <w:rsid w:val="6BBD0EFB"/>
    <w:rsid w:val="6C9627A2"/>
    <w:rsid w:val="6CAB51F7"/>
    <w:rsid w:val="6CE30E35"/>
    <w:rsid w:val="6CE45D81"/>
    <w:rsid w:val="6CFC3CA5"/>
    <w:rsid w:val="6D392803"/>
    <w:rsid w:val="6D7952F5"/>
    <w:rsid w:val="6DB22B2F"/>
    <w:rsid w:val="6EA91C0A"/>
    <w:rsid w:val="6EE449F0"/>
    <w:rsid w:val="6F0137F4"/>
    <w:rsid w:val="6F286FD3"/>
    <w:rsid w:val="6FD6129B"/>
    <w:rsid w:val="70AB6DA9"/>
    <w:rsid w:val="71946BA2"/>
    <w:rsid w:val="71E849EB"/>
    <w:rsid w:val="71F33365"/>
    <w:rsid w:val="720930EC"/>
    <w:rsid w:val="72161365"/>
    <w:rsid w:val="72367553"/>
    <w:rsid w:val="72604CD6"/>
    <w:rsid w:val="72677E12"/>
    <w:rsid w:val="7300452F"/>
    <w:rsid w:val="7319600E"/>
    <w:rsid w:val="735A1A70"/>
    <w:rsid w:val="73687171"/>
    <w:rsid w:val="73BC418E"/>
    <w:rsid w:val="73E011EF"/>
    <w:rsid w:val="73E7745D"/>
    <w:rsid w:val="74081181"/>
    <w:rsid w:val="74806D71"/>
    <w:rsid w:val="749333D5"/>
    <w:rsid w:val="74B530B7"/>
    <w:rsid w:val="74D6127F"/>
    <w:rsid w:val="74DC4AE7"/>
    <w:rsid w:val="75116FDD"/>
    <w:rsid w:val="754937FF"/>
    <w:rsid w:val="755676B5"/>
    <w:rsid w:val="75644ADD"/>
    <w:rsid w:val="75EF084A"/>
    <w:rsid w:val="75F47C0F"/>
    <w:rsid w:val="76711A4C"/>
    <w:rsid w:val="76875EB9"/>
    <w:rsid w:val="76C23869"/>
    <w:rsid w:val="76E81A30"/>
    <w:rsid w:val="770245AD"/>
    <w:rsid w:val="776675F3"/>
    <w:rsid w:val="776F38A5"/>
    <w:rsid w:val="7777294F"/>
    <w:rsid w:val="780B5900"/>
    <w:rsid w:val="78136298"/>
    <w:rsid w:val="78A829E5"/>
    <w:rsid w:val="78AF42C1"/>
    <w:rsid w:val="78B13B95"/>
    <w:rsid w:val="78DD711E"/>
    <w:rsid w:val="79330A4E"/>
    <w:rsid w:val="79A544EC"/>
    <w:rsid w:val="79BC6160"/>
    <w:rsid w:val="79E93803"/>
    <w:rsid w:val="7AE71AF0"/>
    <w:rsid w:val="7AED10D1"/>
    <w:rsid w:val="7AF64429"/>
    <w:rsid w:val="7AFB559C"/>
    <w:rsid w:val="7AFD18AC"/>
    <w:rsid w:val="7B637D31"/>
    <w:rsid w:val="7B7A2964"/>
    <w:rsid w:val="7C583360"/>
    <w:rsid w:val="7CE64029"/>
    <w:rsid w:val="7CF84488"/>
    <w:rsid w:val="7D8228F3"/>
    <w:rsid w:val="7DC425BD"/>
    <w:rsid w:val="7DEB7B49"/>
    <w:rsid w:val="7E7823B6"/>
    <w:rsid w:val="7E8F2BCB"/>
    <w:rsid w:val="7EC860DC"/>
    <w:rsid w:val="7F2B2C8A"/>
    <w:rsid w:val="7F431CAA"/>
    <w:rsid w:val="7F5636E8"/>
    <w:rsid w:val="7FDF7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1"/>
    <w:qFormat/>
    <w:uiPriority w:val="0"/>
    <w:pPr>
      <w:keepNext/>
      <w:keepLines/>
      <w:spacing w:line="576" w:lineRule="auto"/>
      <w:outlineLvl w:val="0"/>
    </w:pPr>
    <w:rPr>
      <w:b/>
      <w:kern w:val="44"/>
      <w:sz w:val="44"/>
    </w:rPr>
  </w:style>
  <w:style w:type="paragraph" w:styleId="3">
    <w:name w:val="heading 2"/>
    <w:basedOn w:val="1"/>
    <w:next w:val="1"/>
    <w:link w:val="112"/>
    <w:unhideWhenUsed/>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113"/>
    <w:unhideWhenUsed/>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5">
    <w:name w:val="heading 4"/>
    <w:basedOn w:val="1"/>
    <w:next w:val="1"/>
    <w:link w:val="114"/>
    <w:semiHidden/>
    <w:unhideWhenUsed/>
    <w:qFormat/>
    <w:uiPriority w:val="0"/>
    <w:pPr>
      <w:keepNext/>
      <w:keepLines/>
      <w:spacing w:before="280" w:after="290" w:line="374" w:lineRule="auto"/>
      <w:outlineLvl w:val="3"/>
    </w:pPr>
    <w:rPr>
      <w:rFonts w:ascii="Arial" w:hAnsi="Arial" w:eastAsia="黑体" w:cs="Times New Roman"/>
      <w:b/>
      <w:bCs/>
      <w:sz w:val="28"/>
      <w:szCs w:val="28"/>
    </w:rPr>
  </w:style>
  <w:style w:type="paragraph" w:styleId="6">
    <w:name w:val="heading 5"/>
    <w:basedOn w:val="1"/>
    <w:next w:val="1"/>
    <w:link w:val="115"/>
    <w:semiHidden/>
    <w:unhideWhenUsed/>
    <w:qFormat/>
    <w:uiPriority w:val="0"/>
    <w:pPr>
      <w:keepNext/>
      <w:keepLines/>
      <w:spacing w:line="372" w:lineRule="auto"/>
      <w:outlineLvl w:val="4"/>
    </w:pPr>
    <w:rPr>
      <w:b/>
      <w:sz w:val="28"/>
    </w:rPr>
  </w:style>
  <w:style w:type="paragraph" w:styleId="7">
    <w:name w:val="heading 6"/>
    <w:basedOn w:val="1"/>
    <w:next w:val="1"/>
    <w:link w:val="116"/>
    <w:semiHidden/>
    <w:unhideWhenUsed/>
    <w:qFormat/>
    <w:uiPriority w:val="0"/>
    <w:pPr>
      <w:keepNext/>
      <w:keepLines/>
      <w:spacing w:line="317" w:lineRule="auto"/>
      <w:outlineLvl w:val="5"/>
    </w:pPr>
    <w:rPr>
      <w:rFonts w:ascii="Arial" w:hAnsi="Arial" w:eastAsia="黑体"/>
      <w:b/>
      <w:sz w:val="24"/>
    </w:rPr>
  </w:style>
  <w:style w:type="paragraph" w:styleId="8">
    <w:name w:val="heading 7"/>
    <w:basedOn w:val="1"/>
    <w:next w:val="1"/>
    <w:link w:val="94"/>
    <w:semiHidden/>
    <w:unhideWhenUsed/>
    <w:qFormat/>
    <w:uiPriority w:val="0"/>
    <w:pPr>
      <w:keepNext/>
      <w:keepLines/>
      <w:spacing w:line="317" w:lineRule="auto"/>
      <w:outlineLvl w:val="6"/>
    </w:pPr>
    <w:rPr>
      <w:b/>
      <w:sz w:val="24"/>
    </w:rPr>
  </w:style>
  <w:style w:type="paragraph" w:styleId="9">
    <w:name w:val="heading 8"/>
    <w:basedOn w:val="1"/>
    <w:next w:val="1"/>
    <w:link w:val="117"/>
    <w:semiHidden/>
    <w:unhideWhenUsed/>
    <w:qFormat/>
    <w:uiPriority w:val="0"/>
    <w:pPr>
      <w:keepNext/>
      <w:keepLines/>
      <w:spacing w:line="317" w:lineRule="auto"/>
      <w:outlineLvl w:val="7"/>
    </w:pPr>
    <w:rPr>
      <w:rFonts w:ascii="Arial" w:hAnsi="Arial" w:eastAsia="黑体"/>
      <w:sz w:val="24"/>
    </w:rPr>
  </w:style>
  <w:style w:type="paragraph" w:styleId="10">
    <w:name w:val="heading 9"/>
    <w:basedOn w:val="1"/>
    <w:next w:val="1"/>
    <w:link w:val="78"/>
    <w:semiHidden/>
    <w:unhideWhenUsed/>
    <w:qFormat/>
    <w:uiPriority w:val="0"/>
    <w:pPr>
      <w:keepNext/>
      <w:keepLines/>
      <w:spacing w:line="317"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12">
    <w:name w:val="Document Map"/>
    <w:basedOn w:val="1"/>
    <w:link w:val="96"/>
    <w:qFormat/>
    <w:uiPriority w:val="0"/>
    <w:pPr>
      <w:shd w:val="clear" w:color="auto" w:fill="000080"/>
    </w:pPr>
  </w:style>
  <w:style w:type="paragraph" w:styleId="13">
    <w:name w:val="annotation text"/>
    <w:basedOn w:val="1"/>
    <w:link w:val="80"/>
    <w:qFormat/>
    <w:uiPriority w:val="0"/>
    <w:pPr>
      <w:jc w:val="left"/>
    </w:pPr>
  </w:style>
  <w:style w:type="paragraph" w:styleId="14">
    <w:name w:val="Salutation"/>
    <w:basedOn w:val="1"/>
    <w:next w:val="1"/>
    <w:link w:val="97"/>
    <w:qFormat/>
    <w:uiPriority w:val="0"/>
  </w:style>
  <w:style w:type="paragraph" w:styleId="15">
    <w:name w:val="Body Text 3"/>
    <w:basedOn w:val="1"/>
    <w:link w:val="98"/>
    <w:qFormat/>
    <w:uiPriority w:val="0"/>
    <w:rPr>
      <w:sz w:val="16"/>
    </w:rPr>
  </w:style>
  <w:style w:type="paragraph" w:styleId="16">
    <w:name w:val="Body Text"/>
    <w:basedOn w:val="1"/>
    <w:next w:val="17"/>
    <w:link w:val="99"/>
    <w:qFormat/>
    <w:uiPriority w:val="0"/>
    <w:pPr>
      <w:spacing w:after="120"/>
    </w:pPr>
    <w:rPr>
      <w:rFonts w:ascii="Times New Roman" w:hAnsi="Times New Roman" w:eastAsia="宋体" w:cs="Times New Roman"/>
    </w:rPr>
  </w:style>
  <w:style w:type="paragraph" w:customStyle="1" w:styleId="17">
    <w:name w:val="一级条标题"/>
    <w:basedOn w:val="18"/>
    <w:next w:val="19"/>
    <w:qFormat/>
    <w:uiPriority w:val="0"/>
    <w:pPr>
      <w:spacing w:line="240" w:lineRule="auto"/>
      <w:ind w:left="420"/>
      <w:outlineLvl w:val="2"/>
    </w:pPr>
  </w:style>
  <w:style w:type="paragraph" w:customStyle="1" w:styleId="18">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19">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styleId="20">
    <w:name w:val="Body Text Indent"/>
    <w:basedOn w:val="1"/>
    <w:next w:val="21"/>
    <w:link w:val="101"/>
    <w:qFormat/>
    <w:uiPriority w:val="0"/>
    <w:pPr>
      <w:spacing w:after="120"/>
      <w:ind w:left="420" w:leftChars="200"/>
    </w:pPr>
    <w:rPr>
      <w:rFonts w:ascii="Times New Roman" w:hAnsi="Times New Roman" w:eastAsia="宋体" w:cs="Times New Roman"/>
    </w:rPr>
  </w:style>
  <w:style w:type="paragraph" w:styleId="21">
    <w:name w:val="Body Text Indent 2"/>
    <w:basedOn w:val="1"/>
    <w:link w:val="103"/>
    <w:qFormat/>
    <w:uiPriority w:val="0"/>
    <w:pPr>
      <w:spacing w:line="480" w:lineRule="auto"/>
      <w:ind w:left="420" w:leftChars="200"/>
    </w:pPr>
  </w:style>
  <w:style w:type="paragraph" w:styleId="22">
    <w:name w:val="Plain Text"/>
    <w:basedOn w:val="1"/>
    <w:link w:val="63"/>
    <w:qFormat/>
    <w:uiPriority w:val="0"/>
    <w:rPr>
      <w:rFonts w:hint="eastAsia" w:ascii="宋体" w:hAnsi="Courier New" w:eastAsia="宋体" w:cs="Times New Roman"/>
      <w:szCs w:val="21"/>
    </w:rPr>
  </w:style>
  <w:style w:type="paragraph" w:styleId="23">
    <w:name w:val="Date"/>
    <w:basedOn w:val="1"/>
    <w:next w:val="1"/>
    <w:link w:val="118"/>
    <w:qFormat/>
    <w:uiPriority w:val="0"/>
    <w:rPr>
      <w:rFonts w:ascii="Times New Roman" w:hAnsi="Times New Roman" w:eastAsia="宋体" w:cs="Times New Roman"/>
      <w:sz w:val="24"/>
      <w:szCs w:val="20"/>
    </w:rPr>
  </w:style>
  <w:style w:type="paragraph" w:styleId="24">
    <w:name w:val="Balloon Text"/>
    <w:basedOn w:val="1"/>
    <w:link w:val="119"/>
    <w:qFormat/>
    <w:uiPriority w:val="0"/>
    <w:rPr>
      <w:sz w:val="18"/>
    </w:rPr>
  </w:style>
  <w:style w:type="paragraph" w:styleId="25">
    <w:name w:val="footer"/>
    <w:basedOn w:val="1"/>
    <w:link w:val="104"/>
    <w:qFormat/>
    <w:uiPriority w:val="0"/>
    <w:pPr>
      <w:tabs>
        <w:tab w:val="center" w:pos="4153"/>
        <w:tab w:val="right" w:pos="8306"/>
      </w:tabs>
      <w:snapToGrid w:val="0"/>
      <w:jc w:val="left"/>
    </w:pPr>
    <w:rPr>
      <w:sz w:val="18"/>
    </w:rPr>
  </w:style>
  <w:style w:type="paragraph" w:styleId="26">
    <w:name w:val="envelope return"/>
    <w:basedOn w:val="1"/>
    <w:qFormat/>
    <w:uiPriority w:val="0"/>
    <w:pPr>
      <w:snapToGrid w:val="0"/>
    </w:pPr>
    <w:rPr>
      <w:rFonts w:ascii="Arial" w:hAnsi="Arial"/>
    </w:rPr>
  </w:style>
  <w:style w:type="paragraph" w:styleId="27">
    <w:name w:val="header"/>
    <w:basedOn w:val="1"/>
    <w:link w:val="1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8">
    <w:name w:val="toc 4"/>
    <w:basedOn w:val="1"/>
    <w:next w:val="1"/>
    <w:qFormat/>
    <w:uiPriority w:val="0"/>
    <w:pPr>
      <w:ind w:left="1260" w:leftChars="600"/>
    </w:pPr>
  </w:style>
  <w:style w:type="paragraph" w:styleId="29">
    <w:name w:val="footnote text"/>
    <w:basedOn w:val="1"/>
    <w:link w:val="105"/>
    <w:qFormat/>
    <w:uiPriority w:val="0"/>
    <w:pPr>
      <w:snapToGrid w:val="0"/>
      <w:jc w:val="left"/>
    </w:pPr>
    <w:rPr>
      <w:rFonts w:ascii="Arial" w:hAnsi="Arial" w:eastAsia="宋体" w:cs="Times New Roman"/>
      <w:spacing w:val="80"/>
      <w:sz w:val="40"/>
      <w:szCs w:val="20"/>
    </w:rPr>
  </w:style>
  <w:style w:type="paragraph" w:styleId="30">
    <w:name w:val="Body Text Indent 3"/>
    <w:basedOn w:val="1"/>
    <w:link w:val="106"/>
    <w:qFormat/>
    <w:uiPriority w:val="0"/>
    <w:pPr>
      <w:ind w:left="420" w:leftChars="200"/>
    </w:pPr>
    <w:rPr>
      <w:sz w:val="16"/>
    </w:rPr>
  </w:style>
  <w:style w:type="paragraph" w:styleId="31">
    <w:name w:val="toc 2"/>
    <w:basedOn w:val="1"/>
    <w:next w:val="1"/>
    <w:qFormat/>
    <w:uiPriority w:val="0"/>
    <w:pPr>
      <w:ind w:left="420" w:leftChars="200"/>
    </w:pPr>
  </w:style>
  <w:style w:type="paragraph" w:styleId="32">
    <w:name w:val="Body Text 2"/>
    <w:basedOn w:val="1"/>
    <w:link w:val="107"/>
    <w:qFormat/>
    <w:uiPriority w:val="0"/>
    <w:pPr>
      <w:spacing w:line="480" w:lineRule="auto"/>
    </w:pPr>
  </w:style>
  <w:style w:type="paragraph" w:styleId="33">
    <w:name w:val="HTML Preformatted"/>
    <w:basedOn w:val="1"/>
    <w:link w:val="65"/>
    <w:qFormat/>
    <w:uiPriority w:val="0"/>
    <w:rPr>
      <w:rFonts w:ascii="Courier New" w:hAnsi="Courier New"/>
      <w:sz w:val="20"/>
    </w:rPr>
  </w:style>
  <w:style w:type="paragraph" w:styleId="34">
    <w:name w:val="Normal (Web)"/>
    <w:basedOn w:val="1"/>
    <w:qFormat/>
    <w:uiPriority w:val="0"/>
    <w:rPr>
      <w:sz w:val="24"/>
    </w:rPr>
  </w:style>
  <w:style w:type="paragraph" w:styleId="35">
    <w:name w:val="Title"/>
    <w:basedOn w:val="1"/>
    <w:link w:val="64"/>
    <w:qFormat/>
    <w:uiPriority w:val="0"/>
    <w:pPr>
      <w:jc w:val="center"/>
      <w:outlineLvl w:val="0"/>
    </w:pPr>
    <w:rPr>
      <w:rFonts w:ascii="Arial" w:hAnsi="Arial"/>
      <w:b/>
      <w:sz w:val="32"/>
    </w:rPr>
  </w:style>
  <w:style w:type="paragraph" w:styleId="36">
    <w:name w:val="annotation subject"/>
    <w:basedOn w:val="13"/>
    <w:next w:val="1"/>
    <w:link w:val="68"/>
    <w:qFormat/>
    <w:uiPriority w:val="0"/>
    <w:rPr>
      <w:b/>
    </w:rPr>
  </w:style>
  <w:style w:type="paragraph" w:styleId="37">
    <w:name w:val="Body Text First Indent"/>
    <w:basedOn w:val="16"/>
    <w:link w:val="108"/>
    <w:qFormat/>
    <w:uiPriority w:val="0"/>
    <w:pPr>
      <w:ind w:firstLine="420" w:firstLineChars="100"/>
    </w:pPr>
  </w:style>
  <w:style w:type="paragraph" w:styleId="38">
    <w:name w:val="Body Text First Indent 2"/>
    <w:basedOn w:val="20"/>
    <w:next w:val="11"/>
    <w:link w:val="110"/>
    <w:qFormat/>
    <w:uiPriority w:val="0"/>
    <w:pPr>
      <w:autoSpaceDE w:val="0"/>
      <w:autoSpaceDN w:val="0"/>
      <w:adjustRightInd w:val="0"/>
      <w:jc w:val="left"/>
    </w:pPr>
    <w:rPr>
      <w:kern w:val="0"/>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42">
    <w:name w:val="Strong"/>
    <w:basedOn w:val="41"/>
    <w:qFormat/>
    <w:uiPriority w:val="0"/>
    <w:rPr>
      <w:b/>
    </w:rPr>
  </w:style>
  <w:style w:type="character" w:styleId="43">
    <w:name w:val="page number"/>
    <w:basedOn w:val="41"/>
    <w:qFormat/>
    <w:uiPriority w:val="0"/>
  </w:style>
  <w:style w:type="character" w:styleId="44">
    <w:name w:val="FollowedHyperlink"/>
    <w:basedOn w:val="41"/>
    <w:qFormat/>
    <w:uiPriority w:val="0"/>
    <w:rPr>
      <w:color w:val="800080"/>
      <w:u w:val="single"/>
    </w:rPr>
  </w:style>
  <w:style w:type="character" w:styleId="45">
    <w:name w:val="Emphasis"/>
    <w:basedOn w:val="41"/>
    <w:qFormat/>
    <w:uiPriority w:val="0"/>
    <w:rPr>
      <w:rFonts w:hint="default" w:ascii="Times New Roman" w:hAnsi="Times New Roman" w:eastAsia="宋体" w:cs="Times New Roman"/>
    </w:rPr>
  </w:style>
  <w:style w:type="character" w:styleId="46">
    <w:name w:val="HTML Definition"/>
    <w:basedOn w:val="41"/>
    <w:qFormat/>
    <w:uiPriority w:val="0"/>
    <w:rPr>
      <w:rFonts w:hint="default" w:ascii="Times New Roman" w:hAnsi="Times New Roman" w:eastAsia="宋体" w:cs="Times New Roman"/>
    </w:rPr>
  </w:style>
  <w:style w:type="character" w:styleId="47">
    <w:name w:val="HTML Variable"/>
    <w:basedOn w:val="41"/>
    <w:qFormat/>
    <w:uiPriority w:val="0"/>
    <w:rPr>
      <w:rFonts w:hint="default" w:ascii="Times New Roman" w:hAnsi="Times New Roman" w:eastAsia="宋体" w:cs="Times New Roman"/>
    </w:rPr>
  </w:style>
  <w:style w:type="character" w:styleId="48">
    <w:name w:val="Hyperlink"/>
    <w:basedOn w:val="41"/>
    <w:qFormat/>
    <w:uiPriority w:val="0"/>
    <w:rPr>
      <w:color w:val="136EC2"/>
      <w:u w:val="single"/>
    </w:rPr>
  </w:style>
  <w:style w:type="character" w:styleId="49">
    <w:name w:val="HTML Code"/>
    <w:basedOn w:val="41"/>
    <w:qFormat/>
    <w:uiPriority w:val="0"/>
    <w:rPr>
      <w:rFonts w:ascii="Courier New" w:hAnsi="Courier New" w:eastAsia="Courier New" w:cs="Courier New"/>
      <w:sz w:val="20"/>
    </w:rPr>
  </w:style>
  <w:style w:type="character" w:styleId="50">
    <w:name w:val="annotation reference"/>
    <w:basedOn w:val="41"/>
    <w:qFormat/>
    <w:uiPriority w:val="0"/>
    <w:rPr>
      <w:sz w:val="21"/>
      <w:szCs w:val="21"/>
    </w:rPr>
  </w:style>
  <w:style w:type="character" w:styleId="51">
    <w:name w:val="HTML Cite"/>
    <w:basedOn w:val="41"/>
    <w:qFormat/>
    <w:uiPriority w:val="0"/>
    <w:rPr>
      <w:rFonts w:hint="default" w:ascii="Times New Roman" w:hAnsi="Times New Roman" w:eastAsia="宋体" w:cs="Times New Roman"/>
    </w:rPr>
  </w:style>
  <w:style w:type="character" w:styleId="52">
    <w:name w:val="HTML Keyboard"/>
    <w:basedOn w:val="41"/>
    <w:qFormat/>
    <w:uiPriority w:val="0"/>
    <w:rPr>
      <w:rFonts w:hint="default" w:ascii="Courier New" w:hAnsi="Courier New" w:eastAsia="Courier New" w:cs="Courier New"/>
      <w:sz w:val="20"/>
    </w:rPr>
  </w:style>
  <w:style w:type="character" w:styleId="53">
    <w:name w:val="HTML Sample"/>
    <w:basedOn w:val="41"/>
    <w:qFormat/>
    <w:uiPriority w:val="0"/>
    <w:rPr>
      <w:rFonts w:hint="default" w:ascii="Courier New" w:hAnsi="Courier New" w:eastAsia="Courier New" w:cs="Courier New"/>
    </w:rPr>
  </w:style>
  <w:style w:type="paragraph" w:customStyle="1" w:styleId="54">
    <w:name w:val="首行缩进"/>
    <w:basedOn w:val="1"/>
    <w:next w:val="28"/>
    <w:qFormat/>
    <w:uiPriority w:val="0"/>
    <w:pPr>
      <w:ind w:firstLine="480" w:firstLineChars="200"/>
    </w:pPr>
    <w:rPr>
      <w:rFonts w:ascii="Times New Roman" w:hAnsi="Times New Roman" w:eastAsia="宋体" w:cs="Times New Roman"/>
      <w:kern w:val="0"/>
      <w:szCs w:val="20"/>
    </w:rPr>
  </w:style>
  <w:style w:type="paragraph" w:customStyle="1" w:styleId="55">
    <w:name w:val="Default"/>
    <w:basedOn w:val="1"/>
    <w:qFormat/>
    <w:uiPriority w:val="0"/>
    <w:pPr>
      <w:autoSpaceDE w:val="0"/>
      <w:autoSpaceDN w:val="0"/>
      <w:adjustRightInd w:val="0"/>
      <w:jc w:val="left"/>
    </w:pPr>
    <w:rPr>
      <w:rFonts w:hint="eastAsia" w:ascii="黑体" w:hAnsi="Times New Roman" w:eastAsia="黑体" w:cs="Times New Roman"/>
      <w:kern w:val="0"/>
      <w:sz w:val="20"/>
      <w:szCs w:val="20"/>
    </w:rPr>
  </w:style>
  <w:style w:type="paragraph" w:customStyle="1" w:styleId="56">
    <w:name w:val="font5"/>
    <w:basedOn w:val="1"/>
    <w:qFormat/>
    <w:uiPriority w:val="0"/>
    <w:pPr>
      <w:widowControl/>
      <w:spacing w:beforeAutospacing="1" w:afterAutospacing="1"/>
      <w:jc w:val="left"/>
    </w:pPr>
    <w:rPr>
      <w:rFonts w:ascii="宋体"/>
      <w:kern w:val="0"/>
      <w:sz w:val="18"/>
      <w:szCs w:val="18"/>
    </w:rPr>
  </w:style>
  <w:style w:type="character" w:customStyle="1" w:styleId="57">
    <w:name w:val="标题 4 Char"/>
    <w:basedOn w:val="41"/>
    <w:link w:val="5"/>
    <w:qFormat/>
    <w:uiPriority w:val="0"/>
    <w:rPr>
      <w:rFonts w:hint="default" w:ascii="Cambria" w:hAnsi="Cambria" w:eastAsia="宋体" w:cs="Times New Roman"/>
      <w:b/>
      <w:bCs/>
      <w:kern w:val="2"/>
      <w:sz w:val="28"/>
      <w:szCs w:val="28"/>
    </w:rPr>
  </w:style>
  <w:style w:type="character" w:customStyle="1" w:styleId="58">
    <w:name w:val="批注主题 Char1"/>
    <w:basedOn w:val="41"/>
    <w:link w:val="36"/>
    <w:qFormat/>
    <w:uiPriority w:val="0"/>
    <w:rPr>
      <w:b/>
      <w:bCs/>
      <w:kern w:val="2"/>
      <w:sz w:val="21"/>
      <w:szCs w:val="24"/>
    </w:rPr>
  </w:style>
  <w:style w:type="character" w:customStyle="1" w:styleId="59">
    <w:name w:val="标题 7 Char1"/>
    <w:basedOn w:val="41"/>
    <w:link w:val="8"/>
    <w:qFormat/>
    <w:uiPriority w:val="0"/>
    <w:rPr>
      <w:b/>
      <w:bCs/>
      <w:sz w:val="24"/>
      <w:szCs w:val="24"/>
    </w:rPr>
  </w:style>
  <w:style w:type="character" w:customStyle="1" w:styleId="60">
    <w:name w:val="Font Style131"/>
    <w:basedOn w:val="41"/>
    <w:qFormat/>
    <w:uiPriority w:val="0"/>
    <w:rPr>
      <w:rFonts w:hint="default" w:ascii="Times New Roman" w:hAnsi="Times New Roman" w:eastAsia="Times New Roman" w:cs="Times New Roman"/>
      <w:sz w:val="18"/>
    </w:rPr>
  </w:style>
  <w:style w:type="character" w:customStyle="1" w:styleId="61">
    <w:name w:val="标题 9 Char1"/>
    <w:basedOn w:val="41"/>
    <w:link w:val="10"/>
    <w:qFormat/>
    <w:uiPriority w:val="0"/>
    <w:rPr>
      <w:rFonts w:hint="default" w:ascii="Arial" w:hAnsi="Arial" w:eastAsia="黑体" w:cs="Arial"/>
      <w:sz w:val="21"/>
      <w:szCs w:val="21"/>
    </w:rPr>
  </w:style>
  <w:style w:type="character" w:customStyle="1" w:styleId="62">
    <w:name w:val="页眉 Char"/>
    <w:basedOn w:val="41"/>
    <w:link w:val="27"/>
    <w:qFormat/>
    <w:uiPriority w:val="0"/>
    <w:rPr>
      <w:kern w:val="2"/>
      <w:sz w:val="18"/>
      <w:szCs w:val="18"/>
    </w:rPr>
  </w:style>
  <w:style w:type="character" w:customStyle="1" w:styleId="63">
    <w:name w:val="纯文本 Char"/>
    <w:basedOn w:val="41"/>
    <w:link w:val="22"/>
    <w:qFormat/>
    <w:uiPriority w:val="0"/>
    <w:rPr>
      <w:rFonts w:hint="eastAsia" w:ascii="宋体" w:hAnsi="Courier New" w:eastAsia="宋体" w:cs="Courier New"/>
      <w:kern w:val="2"/>
      <w:sz w:val="21"/>
      <w:szCs w:val="21"/>
    </w:rPr>
  </w:style>
  <w:style w:type="character" w:customStyle="1" w:styleId="64">
    <w:name w:val="标题 Char"/>
    <w:basedOn w:val="41"/>
    <w:link w:val="35"/>
    <w:qFormat/>
    <w:uiPriority w:val="0"/>
    <w:rPr>
      <w:rFonts w:hint="default" w:ascii="Cambria" w:hAnsi="Cambria" w:eastAsia="Cambria" w:cs="Cambria"/>
      <w:b/>
      <w:kern w:val="2"/>
      <w:sz w:val="32"/>
      <w:szCs w:val="24"/>
    </w:rPr>
  </w:style>
  <w:style w:type="character" w:customStyle="1" w:styleId="65">
    <w:name w:val="HTML 预设格式 Char"/>
    <w:basedOn w:val="41"/>
    <w:link w:val="33"/>
    <w:qFormat/>
    <w:uiPriority w:val="0"/>
    <w:rPr>
      <w:rFonts w:hint="default" w:ascii="Arial" w:hAnsi="Arial" w:cs="Arial"/>
      <w:sz w:val="24"/>
      <w:szCs w:val="24"/>
    </w:rPr>
  </w:style>
  <w:style w:type="character" w:customStyle="1" w:styleId="66">
    <w:name w:val="页脚 Char1"/>
    <w:basedOn w:val="41"/>
    <w:link w:val="25"/>
    <w:qFormat/>
    <w:uiPriority w:val="0"/>
    <w:rPr>
      <w:kern w:val="2"/>
      <w:sz w:val="18"/>
      <w:szCs w:val="18"/>
    </w:rPr>
  </w:style>
  <w:style w:type="paragraph" w:customStyle="1" w:styleId="67">
    <w:name w:val="Definition Term"/>
    <w:basedOn w:val="1"/>
    <w:next w:val="1"/>
    <w:qFormat/>
    <w:uiPriority w:val="0"/>
    <w:pPr>
      <w:spacing w:line="288" w:lineRule="auto"/>
    </w:pPr>
    <w:rPr>
      <w:rFonts w:ascii="Calibri" w:hAnsi="Calibri" w:eastAsia="宋体" w:cs="Times New Roman"/>
    </w:rPr>
  </w:style>
  <w:style w:type="character" w:customStyle="1" w:styleId="68">
    <w:name w:val="批注主题 Char"/>
    <w:basedOn w:val="69"/>
    <w:link w:val="36"/>
    <w:qFormat/>
    <w:uiPriority w:val="0"/>
    <w:rPr>
      <w:b/>
      <w:bCs/>
      <w:kern w:val="2"/>
      <w:sz w:val="21"/>
      <w:szCs w:val="24"/>
    </w:rPr>
  </w:style>
  <w:style w:type="character" w:customStyle="1" w:styleId="69">
    <w:name w:val="批注文字 Char"/>
    <w:basedOn w:val="41"/>
    <w:link w:val="13"/>
    <w:qFormat/>
    <w:uiPriority w:val="0"/>
    <w:rPr>
      <w:kern w:val="2"/>
      <w:sz w:val="21"/>
      <w:szCs w:val="24"/>
    </w:rPr>
  </w:style>
  <w:style w:type="paragraph" w:customStyle="1" w:styleId="70">
    <w:name w:val="Table Paragraph"/>
    <w:basedOn w:val="1"/>
    <w:qFormat/>
    <w:uiPriority w:val="0"/>
    <w:pPr>
      <w:autoSpaceDE w:val="0"/>
      <w:autoSpaceDN w:val="0"/>
      <w:jc w:val="left"/>
    </w:pPr>
    <w:rPr>
      <w:rFonts w:hint="eastAsia" w:ascii="宋体" w:hAnsi="宋体" w:eastAsia="宋体" w:cs="Times New Roman"/>
      <w:kern w:val="0"/>
      <w:sz w:val="22"/>
      <w:szCs w:val="22"/>
    </w:rPr>
  </w:style>
  <w:style w:type="character" w:customStyle="1" w:styleId="71">
    <w:name w:val="bds_more10"/>
    <w:basedOn w:val="41"/>
    <w:qFormat/>
    <w:uiPriority w:val="0"/>
    <w:rPr>
      <w:rFonts w:hint="default" w:ascii="Times New Roman" w:hAnsi="Times New Roman" w:eastAsia="宋体" w:cs="Times New Roman"/>
    </w:rPr>
  </w:style>
  <w:style w:type="paragraph" w:customStyle="1" w:styleId="72">
    <w:name w:val="p0"/>
    <w:basedOn w:val="1"/>
    <w:link w:val="100"/>
    <w:qFormat/>
    <w:uiPriority w:val="0"/>
    <w:pPr>
      <w:widowControl/>
    </w:pPr>
    <w:rPr>
      <w:rFonts w:ascii="Times New Roman" w:hAnsi="Times New Roman" w:eastAsia="宋体" w:cs="Times New Roman"/>
      <w:kern w:val="0"/>
      <w:szCs w:val="21"/>
    </w:rPr>
  </w:style>
  <w:style w:type="character" w:customStyle="1" w:styleId="73">
    <w:name w:val="Font Style115"/>
    <w:basedOn w:val="41"/>
    <w:qFormat/>
    <w:uiPriority w:val="0"/>
    <w:rPr>
      <w:rFonts w:hint="default" w:ascii="Times New Roman" w:hAnsi="Times New Roman" w:eastAsia="Times New Roman" w:cs="Times New Roman"/>
      <w:sz w:val="16"/>
    </w:rPr>
  </w:style>
  <w:style w:type="character" w:customStyle="1" w:styleId="74">
    <w:name w:val="Font Style124"/>
    <w:basedOn w:val="41"/>
    <w:qFormat/>
    <w:uiPriority w:val="0"/>
    <w:rPr>
      <w:rFonts w:hint="eastAsia" w:ascii="宋体" w:hAnsi="宋体" w:eastAsia="宋体" w:cs="宋体"/>
      <w:spacing w:val="30"/>
      <w:sz w:val="24"/>
    </w:rPr>
  </w:style>
  <w:style w:type="character" w:customStyle="1" w:styleId="75">
    <w:name w:val="标题 2 Char"/>
    <w:basedOn w:val="41"/>
    <w:link w:val="3"/>
    <w:qFormat/>
    <w:uiPriority w:val="0"/>
    <w:rPr>
      <w:rFonts w:hint="default" w:ascii="Cambria" w:hAnsi="Cambria" w:eastAsia="宋体" w:cs="Times New Roman"/>
      <w:b/>
      <w:bCs/>
      <w:kern w:val="2"/>
      <w:sz w:val="32"/>
      <w:szCs w:val="32"/>
    </w:rPr>
  </w:style>
  <w:style w:type="character" w:customStyle="1" w:styleId="76">
    <w:name w:val="bds_more9"/>
    <w:basedOn w:val="41"/>
    <w:qFormat/>
    <w:uiPriority w:val="0"/>
    <w:rPr>
      <w:rFonts w:hint="default" w:ascii="Times New Roman" w:hAnsi="Times New Roman" w:eastAsia="宋体" w:cs="Times New Roman"/>
    </w:rPr>
  </w:style>
  <w:style w:type="character" w:customStyle="1" w:styleId="77">
    <w:name w:val="Font Style119"/>
    <w:basedOn w:val="41"/>
    <w:qFormat/>
    <w:uiPriority w:val="0"/>
    <w:rPr>
      <w:rFonts w:hint="eastAsia" w:ascii="宋体" w:hAnsi="宋体" w:eastAsia="宋体" w:cs="宋体"/>
      <w:sz w:val="24"/>
    </w:rPr>
  </w:style>
  <w:style w:type="character" w:customStyle="1" w:styleId="78">
    <w:name w:val="标题 9 Char"/>
    <w:basedOn w:val="41"/>
    <w:link w:val="10"/>
    <w:qFormat/>
    <w:uiPriority w:val="0"/>
    <w:rPr>
      <w:rFonts w:hint="default" w:ascii="Cambria" w:hAnsi="Cambria" w:eastAsia="宋体" w:cs="Times New Roman"/>
      <w:kern w:val="2"/>
      <w:sz w:val="21"/>
      <w:szCs w:val="21"/>
    </w:rPr>
  </w:style>
  <w:style w:type="character" w:customStyle="1" w:styleId="79">
    <w:name w:val="sort1"/>
    <w:basedOn w:val="41"/>
    <w:qFormat/>
    <w:uiPriority w:val="0"/>
    <w:rPr>
      <w:rFonts w:hint="default" w:ascii="Times New Roman" w:hAnsi="Times New Roman" w:eastAsia="宋体" w:cs="Times New Roman"/>
    </w:rPr>
  </w:style>
  <w:style w:type="character" w:customStyle="1" w:styleId="80">
    <w:name w:val="批注文字 Char1"/>
    <w:basedOn w:val="41"/>
    <w:link w:val="13"/>
    <w:qFormat/>
    <w:uiPriority w:val="0"/>
    <w:rPr>
      <w:kern w:val="2"/>
      <w:sz w:val="21"/>
      <w:szCs w:val="24"/>
    </w:rPr>
  </w:style>
  <w:style w:type="character" w:customStyle="1" w:styleId="81">
    <w:name w:val="Font Style127"/>
    <w:basedOn w:val="41"/>
    <w:qFormat/>
    <w:uiPriority w:val="0"/>
    <w:rPr>
      <w:rFonts w:hint="default" w:ascii="Times New Roman" w:hAnsi="Times New Roman" w:eastAsia="Times New Roman" w:cs="Times New Roman"/>
      <w:sz w:val="20"/>
    </w:rPr>
  </w:style>
  <w:style w:type="character" w:customStyle="1" w:styleId="82">
    <w:name w:val="Font Style104"/>
    <w:basedOn w:val="41"/>
    <w:qFormat/>
    <w:uiPriority w:val="0"/>
    <w:rPr>
      <w:rFonts w:hint="eastAsia" w:ascii="宋体" w:hAnsi="宋体" w:eastAsia="宋体" w:cs="宋体"/>
      <w:spacing w:val="30"/>
      <w:sz w:val="18"/>
    </w:rPr>
  </w:style>
  <w:style w:type="character" w:customStyle="1" w:styleId="83">
    <w:name w:val="Font Style125"/>
    <w:basedOn w:val="41"/>
    <w:qFormat/>
    <w:uiPriority w:val="0"/>
    <w:rPr>
      <w:rFonts w:hint="eastAsia" w:ascii="宋体" w:hAnsi="宋体" w:eastAsia="宋体" w:cs="宋体"/>
      <w:b/>
      <w:sz w:val="26"/>
    </w:rPr>
  </w:style>
  <w:style w:type="character" w:customStyle="1" w:styleId="84">
    <w:name w:val="批注框文本 Char"/>
    <w:basedOn w:val="41"/>
    <w:link w:val="24"/>
    <w:qFormat/>
    <w:uiPriority w:val="0"/>
    <w:rPr>
      <w:kern w:val="2"/>
      <w:sz w:val="18"/>
      <w:szCs w:val="18"/>
    </w:rPr>
  </w:style>
  <w:style w:type="character" w:customStyle="1" w:styleId="85">
    <w:name w:val="bds_nopic2"/>
    <w:basedOn w:val="41"/>
    <w:qFormat/>
    <w:uiPriority w:val="0"/>
    <w:rPr>
      <w:rFonts w:hint="default" w:ascii="Times New Roman" w:hAnsi="Times New Roman" w:eastAsia="宋体" w:cs="Times New Roman"/>
    </w:rPr>
  </w:style>
  <w:style w:type="character" w:customStyle="1" w:styleId="86">
    <w:name w:val="Char Char16"/>
    <w:basedOn w:val="41"/>
    <w:qFormat/>
    <w:uiPriority w:val="0"/>
    <w:rPr>
      <w:rFonts w:hint="eastAsia" w:ascii="宋体" w:hAnsi="Times New Roman" w:eastAsia="宋体" w:cs="宋体"/>
      <w:b/>
      <w:sz w:val="24"/>
      <w:lang w:val="en-US" w:eastAsia="zh-CN"/>
    </w:rPr>
  </w:style>
  <w:style w:type="character" w:customStyle="1" w:styleId="87">
    <w:name w:val="正文文本缩进 3 Char1"/>
    <w:basedOn w:val="41"/>
    <w:link w:val="30"/>
    <w:qFormat/>
    <w:uiPriority w:val="0"/>
    <w:rPr>
      <w:kern w:val="2"/>
      <w:sz w:val="16"/>
      <w:szCs w:val="16"/>
    </w:rPr>
  </w:style>
  <w:style w:type="character" w:customStyle="1" w:styleId="88">
    <w:name w:val="日期 Char"/>
    <w:basedOn w:val="41"/>
    <w:link w:val="23"/>
    <w:qFormat/>
    <w:uiPriority w:val="0"/>
    <w:rPr>
      <w:kern w:val="2"/>
      <w:sz w:val="21"/>
      <w:szCs w:val="24"/>
    </w:rPr>
  </w:style>
  <w:style w:type="character" w:customStyle="1" w:styleId="89">
    <w:name w:val="标题 1 Char"/>
    <w:basedOn w:val="41"/>
    <w:link w:val="2"/>
    <w:qFormat/>
    <w:uiPriority w:val="0"/>
    <w:rPr>
      <w:b/>
      <w:bCs/>
      <w:kern w:val="44"/>
      <w:sz w:val="44"/>
      <w:szCs w:val="44"/>
    </w:rPr>
  </w:style>
  <w:style w:type="character" w:customStyle="1" w:styleId="90">
    <w:name w:val="标题 3 Char"/>
    <w:basedOn w:val="41"/>
    <w:link w:val="4"/>
    <w:qFormat/>
    <w:uiPriority w:val="0"/>
    <w:rPr>
      <w:b/>
      <w:bCs/>
      <w:kern w:val="2"/>
      <w:sz w:val="32"/>
      <w:szCs w:val="32"/>
    </w:rPr>
  </w:style>
  <w:style w:type="character" w:customStyle="1" w:styleId="91">
    <w:name w:val="标题 5 Char"/>
    <w:basedOn w:val="41"/>
    <w:link w:val="6"/>
    <w:qFormat/>
    <w:uiPriority w:val="0"/>
    <w:rPr>
      <w:b/>
      <w:bCs/>
      <w:kern w:val="2"/>
      <w:sz w:val="28"/>
      <w:szCs w:val="28"/>
    </w:rPr>
  </w:style>
  <w:style w:type="character" w:customStyle="1" w:styleId="92">
    <w:name w:val="标题 6 Char"/>
    <w:basedOn w:val="41"/>
    <w:link w:val="7"/>
    <w:qFormat/>
    <w:uiPriority w:val="0"/>
    <w:rPr>
      <w:rFonts w:hint="default" w:ascii="Cambria" w:hAnsi="Cambria" w:eastAsia="宋体" w:cs="Times New Roman"/>
      <w:b/>
      <w:bCs/>
      <w:kern w:val="2"/>
      <w:sz w:val="24"/>
      <w:szCs w:val="24"/>
    </w:rPr>
  </w:style>
  <w:style w:type="paragraph" w:customStyle="1" w:styleId="93">
    <w:name w:val="Body text|1"/>
    <w:basedOn w:val="1"/>
    <w:qFormat/>
    <w:uiPriority w:val="0"/>
    <w:pPr>
      <w:spacing w:line="432" w:lineRule="auto"/>
      <w:ind w:firstLine="400"/>
    </w:pPr>
    <w:rPr>
      <w:rFonts w:hint="eastAsia" w:ascii="宋体" w:hAnsi="宋体" w:eastAsia="宋体" w:cs="Times New Roman"/>
      <w:sz w:val="22"/>
      <w:szCs w:val="22"/>
    </w:rPr>
  </w:style>
  <w:style w:type="character" w:customStyle="1" w:styleId="94">
    <w:name w:val="标题 7 Char"/>
    <w:basedOn w:val="41"/>
    <w:link w:val="8"/>
    <w:qFormat/>
    <w:uiPriority w:val="0"/>
    <w:rPr>
      <w:b/>
      <w:bCs/>
      <w:kern w:val="2"/>
      <w:sz w:val="24"/>
      <w:szCs w:val="24"/>
    </w:rPr>
  </w:style>
  <w:style w:type="character" w:customStyle="1" w:styleId="95">
    <w:name w:val="标题 8 Char"/>
    <w:basedOn w:val="41"/>
    <w:link w:val="9"/>
    <w:qFormat/>
    <w:uiPriority w:val="0"/>
    <w:rPr>
      <w:rFonts w:hint="default" w:ascii="Cambria" w:hAnsi="Cambria" w:eastAsia="宋体" w:cs="Times New Roman"/>
      <w:kern w:val="2"/>
      <w:sz w:val="24"/>
      <w:szCs w:val="24"/>
    </w:rPr>
  </w:style>
  <w:style w:type="character" w:customStyle="1" w:styleId="96">
    <w:name w:val="文档结构图 Char"/>
    <w:basedOn w:val="41"/>
    <w:link w:val="12"/>
    <w:qFormat/>
    <w:uiPriority w:val="0"/>
    <w:rPr>
      <w:kern w:val="2"/>
      <w:sz w:val="21"/>
      <w:szCs w:val="24"/>
      <w:shd w:val="clear" w:color="auto" w:fill="000080"/>
    </w:rPr>
  </w:style>
  <w:style w:type="character" w:customStyle="1" w:styleId="97">
    <w:name w:val="称呼 Char"/>
    <w:basedOn w:val="41"/>
    <w:link w:val="14"/>
    <w:qFormat/>
    <w:uiPriority w:val="0"/>
    <w:rPr>
      <w:rFonts w:hint="eastAsia" w:ascii="仿宋_GB2312" w:eastAsia="仿宋_GB2312" w:cs="仿宋_GB2312"/>
      <w:kern w:val="2"/>
      <w:sz w:val="24"/>
      <w:szCs w:val="24"/>
    </w:rPr>
  </w:style>
  <w:style w:type="character" w:customStyle="1" w:styleId="98">
    <w:name w:val="正文文本 3 Char"/>
    <w:basedOn w:val="41"/>
    <w:link w:val="15"/>
    <w:qFormat/>
    <w:uiPriority w:val="0"/>
    <w:rPr>
      <w:rFonts w:hint="eastAsia" w:ascii="宋体" w:hAnsi="宋体" w:eastAsia="宋体" w:cs="宋体"/>
      <w:color w:val="000000"/>
      <w:sz w:val="24"/>
    </w:rPr>
  </w:style>
  <w:style w:type="character" w:customStyle="1" w:styleId="99">
    <w:name w:val="正文文本 Char"/>
    <w:basedOn w:val="41"/>
    <w:link w:val="16"/>
    <w:qFormat/>
    <w:uiPriority w:val="0"/>
    <w:rPr>
      <w:kern w:val="2"/>
      <w:sz w:val="21"/>
      <w:szCs w:val="24"/>
    </w:rPr>
  </w:style>
  <w:style w:type="character" w:customStyle="1" w:styleId="100">
    <w:name w:val="p0 Char"/>
    <w:basedOn w:val="41"/>
    <w:link w:val="72"/>
    <w:qFormat/>
    <w:uiPriority w:val="0"/>
    <w:rPr>
      <w:sz w:val="21"/>
      <w:szCs w:val="21"/>
    </w:rPr>
  </w:style>
  <w:style w:type="character" w:customStyle="1" w:styleId="101">
    <w:name w:val="正文文本缩进 Char"/>
    <w:basedOn w:val="41"/>
    <w:link w:val="20"/>
    <w:qFormat/>
    <w:uiPriority w:val="0"/>
    <w:rPr>
      <w:kern w:val="2"/>
      <w:sz w:val="21"/>
      <w:szCs w:val="24"/>
    </w:rPr>
  </w:style>
  <w:style w:type="character" w:customStyle="1" w:styleId="102">
    <w:name w:val="Font Style121"/>
    <w:basedOn w:val="41"/>
    <w:qFormat/>
    <w:uiPriority w:val="0"/>
    <w:rPr>
      <w:rFonts w:hint="eastAsia" w:ascii="宋体" w:hAnsi="宋体" w:eastAsia="宋体" w:cs="宋体"/>
      <w:spacing w:val="-10"/>
      <w:sz w:val="30"/>
    </w:rPr>
  </w:style>
  <w:style w:type="character" w:customStyle="1" w:styleId="103">
    <w:name w:val="正文文本缩进 2 Char"/>
    <w:basedOn w:val="41"/>
    <w:link w:val="21"/>
    <w:qFormat/>
    <w:uiPriority w:val="0"/>
    <w:rPr>
      <w:kern w:val="2"/>
      <w:sz w:val="21"/>
      <w:szCs w:val="24"/>
    </w:rPr>
  </w:style>
  <w:style w:type="character" w:customStyle="1" w:styleId="104">
    <w:name w:val="页脚 Char"/>
    <w:basedOn w:val="41"/>
    <w:link w:val="25"/>
    <w:qFormat/>
    <w:uiPriority w:val="0"/>
    <w:rPr>
      <w:kern w:val="2"/>
      <w:sz w:val="18"/>
      <w:szCs w:val="18"/>
    </w:rPr>
  </w:style>
  <w:style w:type="character" w:customStyle="1" w:styleId="105">
    <w:name w:val="脚注文本 Char"/>
    <w:basedOn w:val="41"/>
    <w:link w:val="29"/>
    <w:qFormat/>
    <w:uiPriority w:val="0"/>
    <w:rPr>
      <w:rFonts w:hint="default" w:ascii="Arial" w:hAnsi="Arial" w:cs="Arial"/>
      <w:spacing w:val="80"/>
      <w:kern w:val="2"/>
      <w:sz w:val="40"/>
      <w:lang w:eastAsia="en-US"/>
    </w:rPr>
  </w:style>
  <w:style w:type="character" w:customStyle="1" w:styleId="106">
    <w:name w:val="正文文本缩进 3 Char"/>
    <w:basedOn w:val="41"/>
    <w:link w:val="30"/>
    <w:qFormat/>
    <w:uiPriority w:val="0"/>
    <w:rPr>
      <w:kern w:val="2"/>
      <w:sz w:val="16"/>
      <w:szCs w:val="16"/>
    </w:rPr>
  </w:style>
  <w:style w:type="character" w:customStyle="1" w:styleId="107">
    <w:name w:val="正文文本 2 Char"/>
    <w:basedOn w:val="41"/>
    <w:link w:val="32"/>
    <w:qFormat/>
    <w:uiPriority w:val="0"/>
    <w:rPr>
      <w:kern w:val="2"/>
      <w:sz w:val="21"/>
      <w:szCs w:val="24"/>
    </w:rPr>
  </w:style>
  <w:style w:type="character" w:customStyle="1" w:styleId="108">
    <w:name w:val="正文首行缩进 Char"/>
    <w:basedOn w:val="99"/>
    <w:link w:val="37"/>
    <w:qFormat/>
    <w:uiPriority w:val="0"/>
    <w:rPr>
      <w:bCs/>
      <w:color w:val="000000"/>
      <w:kern w:val="28"/>
      <w:sz w:val="21"/>
      <w:szCs w:val="21"/>
    </w:rPr>
  </w:style>
  <w:style w:type="character" w:customStyle="1" w:styleId="109">
    <w:name w:val="Char Char17"/>
    <w:basedOn w:val="41"/>
    <w:qFormat/>
    <w:uiPriority w:val="0"/>
    <w:rPr>
      <w:rFonts w:hint="eastAsia" w:ascii="宋体" w:hAnsi="Times New Roman" w:eastAsia="宋体" w:cs="宋体"/>
      <w:b/>
      <w:sz w:val="28"/>
      <w:lang w:val="en-US" w:eastAsia="zh-CN"/>
    </w:rPr>
  </w:style>
  <w:style w:type="character" w:customStyle="1" w:styleId="110">
    <w:name w:val="正文首行缩进 2 Char"/>
    <w:basedOn w:val="101"/>
    <w:link w:val="38"/>
    <w:qFormat/>
    <w:uiPriority w:val="0"/>
    <w:rPr>
      <w:kern w:val="2"/>
      <w:sz w:val="21"/>
      <w:szCs w:val="24"/>
    </w:rPr>
  </w:style>
  <w:style w:type="character" w:customStyle="1" w:styleId="111">
    <w:name w:val="标题 1 Char1"/>
    <w:basedOn w:val="41"/>
    <w:link w:val="2"/>
    <w:qFormat/>
    <w:uiPriority w:val="0"/>
    <w:rPr>
      <w:b/>
      <w:bCs/>
      <w:kern w:val="2"/>
      <w:sz w:val="24"/>
    </w:rPr>
  </w:style>
  <w:style w:type="character" w:customStyle="1" w:styleId="112">
    <w:name w:val="标题 2 Char1"/>
    <w:basedOn w:val="41"/>
    <w:link w:val="3"/>
    <w:qFormat/>
    <w:uiPriority w:val="0"/>
    <w:rPr>
      <w:rFonts w:hint="default" w:ascii="Arial" w:hAnsi="Arial" w:cs="Arial"/>
      <w:b/>
      <w:bCs/>
      <w:kern w:val="2"/>
      <w:sz w:val="24"/>
      <w:szCs w:val="32"/>
    </w:rPr>
  </w:style>
  <w:style w:type="character" w:customStyle="1" w:styleId="113">
    <w:name w:val="标题 3 Char1"/>
    <w:basedOn w:val="41"/>
    <w:link w:val="4"/>
    <w:qFormat/>
    <w:uiPriority w:val="0"/>
    <w:rPr>
      <w:b/>
      <w:bCs/>
      <w:kern w:val="2"/>
      <w:sz w:val="32"/>
      <w:szCs w:val="32"/>
    </w:rPr>
  </w:style>
  <w:style w:type="character" w:customStyle="1" w:styleId="114">
    <w:name w:val="标题 4 Char1"/>
    <w:basedOn w:val="41"/>
    <w:link w:val="5"/>
    <w:qFormat/>
    <w:uiPriority w:val="0"/>
    <w:rPr>
      <w:rFonts w:hint="default" w:ascii="Arial" w:hAnsi="Arial" w:eastAsia="黑体" w:cs="Arial"/>
      <w:b/>
      <w:bCs/>
      <w:kern w:val="2"/>
      <w:sz w:val="28"/>
      <w:szCs w:val="28"/>
    </w:rPr>
  </w:style>
  <w:style w:type="character" w:customStyle="1" w:styleId="115">
    <w:name w:val="标题 5 Char1"/>
    <w:basedOn w:val="41"/>
    <w:link w:val="6"/>
    <w:qFormat/>
    <w:uiPriority w:val="0"/>
    <w:rPr>
      <w:b/>
      <w:bCs/>
      <w:sz w:val="28"/>
      <w:szCs w:val="28"/>
    </w:rPr>
  </w:style>
  <w:style w:type="character" w:customStyle="1" w:styleId="116">
    <w:name w:val="标题 6 Char1"/>
    <w:basedOn w:val="41"/>
    <w:link w:val="7"/>
    <w:qFormat/>
    <w:uiPriority w:val="0"/>
    <w:rPr>
      <w:rFonts w:hint="default" w:ascii="Arial" w:hAnsi="Arial" w:eastAsia="黑体" w:cs="Arial"/>
      <w:b/>
      <w:bCs/>
      <w:sz w:val="24"/>
      <w:szCs w:val="24"/>
    </w:rPr>
  </w:style>
  <w:style w:type="character" w:customStyle="1" w:styleId="117">
    <w:name w:val="标题 8 Char1"/>
    <w:basedOn w:val="41"/>
    <w:link w:val="9"/>
    <w:qFormat/>
    <w:uiPriority w:val="0"/>
    <w:rPr>
      <w:rFonts w:hint="default" w:ascii="Arial" w:hAnsi="Arial" w:eastAsia="黑体" w:cs="Arial"/>
      <w:sz w:val="24"/>
      <w:szCs w:val="24"/>
    </w:rPr>
  </w:style>
  <w:style w:type="character" w:customStyle="1" w:styleId="118">
    <w:name w:val="日期 Char1"/>
    <w:basedOn w:val="41"/>
    <w:link w:val="23"/>
    <w:qFormat/>
    <w:uiPriority w:val="0"/>
    <w:rPr>
      <w:kern w:val="2"/>
      <w:sz w:val="24"/>
    </w:rPr>
  </w:style>
  <w:style w:type="character" w:customStyle="1" w:styleId="119">
    <w:name w:val="批注框文本 Char1"/>
    <w:basedOn w:val="41"/>
    <w:link w:val="24"/>
    <w:qFormat/>
    <w:uiPriority w:val="0"/>
    <w:rPr>
      <w:rFonts w:hint="default" w:ascii="Calibri" w:hAnsi="Calibri" w:cs="Calibri"/>
      <w:kern w:val="2"/>
      <w:sz w:val="18"/>
      <w:szCs w:val="18"/>
    </w:rPr>
  </w:style>
  <w:style w:type="character" w:customStyle="1" w:styleId="120">
    <w:name w:val="页眉 Char1"/>
    <w:basedOn w:val="41"/>
    <w:link w:val="27"/>
    <w:qFormat/>
    <w:uiPriority w:val="0"/>
    <w:rPr>
      <w:kern w:val="2"/>
      <w:sz w:val="18"/>
      <w:szCs w:val="18"/>
    </w:rPr>
  </w:style>
  <w:style w:type="paragraph" w:customStyle="1" w:styleId="121">
    <w:name w:val="正文格式"/>
    <w:basedOn w:val="16"/>
    <w:next w:val="16"/>
    <w:qFormat/>
    <w:uiPriority w:val="0"/>
    <w:pPr>
      <w:widowControl/>
      <w:adjustRightInd w:val="0"/>
      <w:snapToGrid w:val="0"/>
      <w:spacing w:line="400" w:lineRule="atLeast"/>
      <w:ind w:firstLine="482"/>
    </w:pPr>
    <w:rPr>
      <w:kern w:val="0"/>
      <w:sz w:val="24"/>
    </w:rPr>
  </w:style>
  <w:style w:type="character" w:customStyle="1" w:styleId="122">
    <w:name w:val="polysemyexp"/>
    <w:basedOn w:val="41"/>
    <w:qFormat/>
    <w:uiPriority w:val="0"/>
    <w:rPr>
      <w:rFonts w:hint="default" w:ascii="Times New Roman" w:hAnsi="Times New Roman" w:eastAsia="宋体" w:cs="Times New Roman"/>
      <w:color w:val="AAAAAA"/>
      <w:sz w:val="18"/>
      <w:szCs w:val="18"/>
    </w:rPr>
  </w:style>
  <w:style w:type="character" w:customStyle="1" w:styleId="123">
    <w:name w:val="bds_more6"/>
    <w:basedOn w:val="41"/>
    <w:qFormat/>
    <w:uiPriority w:val="0"/>
    <w:rPr>
      <w:rFonts w:hint="eastAsia" w:ascii="宋体" w:hAnsi="宋体" w:eastAsia="宋体" w:cs="宋体"/>
    </w:rPr>
  </w:style>
  <w:style w:type="character" w:customStyle="1" w:styleId="124">
    <w:name w:val="sidecatalog-dot"/>
    <w:basedOn w:val="41"/>
    <w:qFormat/>
    <w:uiPriority w:val="0"/>
    <w:rPr>
      <w:rFonts w:hint="default" w:ascii="Times New Roman" w:hAnsi="Times New Roman" w:eastAsia="宋体" w:cs="Times New Roman"/>
    </w:rPr>
  </w:style>
  <w:style w:type="character" w:customStyle="1" w:styleId="125">
    <w:name w:val="Font Style117"/>
    <w:basedOn w:val="41"/>
    <w:qFormat/>
    <w:uiPriority w:val="0"/>
    <w:rPr>
      <w:rFonts w:hint="eastAsia" w:ascii="宋体" w:hAnsi="宋体" w:eastAsia="宋体" w:cs="宋体"/>
      <w:spacing w:val="20"/>
      <w:sz w:val="24"/>
    </w:rPr>
  </w:style>
  <w:style w:type="character" w:customStyle="1" w:styleId="126">
    <w:name w:val="NormalCharacter"/>
    <w:basedOn w:val="41"/>
    <w:qFormat/>
    <w:uiPriority w:val="0"/>
    <w:rPr>
      <w:kern w:val="2"/>
      <w:sz w:val="21"/>
      <w:szCs w:val="24"/>
      <w:lang w:val="en-US" w:eastAsia="zh-CN"/>
    </w:rPr>
  </w:style>
  <w:style w:type="character" w:customStyle="1" w:styleId="127">
    <w:name w:val="bds_more7"/>
    <w:basedOn w:val="41"/>
    <w:qFormat/>
    <w:uiPriority w:val="0"/>
    <w:rPr>
      <w:rFonts w:hint="default" w:ascii="Times New Roman" w:hAnsi="Times New Roman" w:eastAsia="宋体" w:cs="Times New Roman"/>
    </w:rPr>
  </w:style>
  <w:style w:type="character" w:customStyle="1" w:styleId="128">
    <w:name w:val="Font Style122"/>
    <w:basedOn w:val="41"/>
    <w:qFormat/>
    <w:uiPriority w:val="0"/>
    <w:rPr>
      <w:rFonts w:hint="eastAsia" w:ascii="宋体" w:hAnsi="宋体" w:eastAsia="宋体" w:cs="宋体"/>
      <w:spacing w:val="20"/>
      <w:sz w:val="24"/>
    </w:rPr>
  </w:style>
  <w:style w:type="character" w:customStyle="1" w:styleId="129">
    <w:name w:val="content_1"/>
    <w:basedOn w:val="41"/>
    <w:qFormat/>
    <w:uiPriority w:val="0"/>
    <w:rPr>
      <w:sz w:val="19"/>
      <w:szCs w:val="19"/>
    </w:rPr>
  </w:style>
  <w:style w:type="character" w:customStyle="1" w:styleId="130">
    <w:name w:val="Font Style86"/>
    <w:basedOn w:val="41"/>
    <w:qFormat/>
    <w:uiPriority w:val="0"/>
    <w:rPr>
      <w:rFonts w:hint="eastAsia" w:ascii="黑体" w:hAnsi="宋体" w:eastAsia="黑体" w:cs="黑体"/>
      <w:spacing w:val="10"/>
      <w:sz w:val="30"/>
    </w:rPr>
  </w:style>
  <w:style w:type="character" w:customStyle="1" w:styleId="131">
    <w:name w:val="lemmatitleh12"/>
    <w:basedOn w:val="41"/>
    <w:qFormat/>
    <w:uiPriority w:val="0"/>
    <w:rPr>
      <w:rFonts w:hint="default" w:ascii="Times New Roman" w:hAnsi="Times New Roman" w:eastAsia="宋体" w:cs="Times New Roman"/>
    </w:rPr>
  </w:style>
  <w:style w:type="character" w:customStyle="1" w:styleId="132">
    <w:name w:val="desc"/>
    <w:basedOn w:val="41"/>
    <w:qFormat/>
    <w:uiPriority w:val="0"/>
    <w:rPr>
      <w:rFonts w:hint="default" w:ascii="Times New Roman" w:hAnsi="Times New Roman" w:eastAsia="宋体" w:cs="Times New Roman"/>
      <w:color w:val="000000"/>
      <w:sz w:val="18"/>
      <w:szCs w:val="18"/>
    </w:rPr>
  </w:style>
  <w:style w:type="character" w:customStyle="1" w:styleId="133">
    <w:name w:val="bds_more8"/>
    <w:basedOn w:val="41"/>
    <w:qFormat/>
    <w:uiPriority w:val="0"/>
    <w:rPr>
      <w:rFonts w:hint="default" w:ascii="Times New Roman" w:hAnsi="Times New Roman" w:eastAsia="宋体" w:cs="Times New Roman"/>
    </w:rPr>
  </w:style>
  <w:style w:type="character" w:customStyle="1" w:styleId="134">
    <w:name w:val="Font Style126"/>
    <w:basedOn w:val="41"/>
    <w:qFormat/>
    <w:uiPriority w:val="0"/>
    <w:rPr>
      <w:rFonts w:hint="eastAsia" w:ascii="宋体" w:hAnsi="宋体" w:eastAsia="宋体" w:cs="宋体"/>
      <w:b/>
      <w:spacing w:val="-30"/>
      <w:sz w:val="28"/>
    </w:rPr>
  </w:style>
  <w:style w:type="character" w:customStyle="1" w:styleId="135">
    <w:name w:val="Char Char15"/>
    <w:basedOn w:val="41"/>
    <w:qFormat/>
    <w:uiPriority w:val="0"/>
    <w:rPr>
      <w:b/>
      <w:bCs/>
      <w:sz w:val="24"/>
      <w:szCs w:val="24"/>
    </w:rPr>
  </w:style>
  <w:style w:type="character" w:customStyle="1" w:styleId="136">
    <w:name w:val="Char Char14"/>
    <w:basedOn w:val="41"/>
    <w:qFormat/>
    <w:uiPriority w:val="0"/>
    <w:rPr>
      <w:rFonts w:hint="default" w:ascii="Arial" w:hAnsi="Arial" w:eastAsia="黑体" w:cs="Arial"/>
      <w:b/>
      <w:bCs/>
      <w:sz w:val="28"/>
      <w:szCs w:val="28"/>
      <w:lang w:val="en-US" w:eastAsia="zh-CN"/>
    </w:rPr>
  </w:style>
  <w:style w:type="character" w:customStyle="1" w:styleId="137">
    <w:name w:val="Font Style105"/>
    <w:basedOn w:val="41"/>
    <w:qFormat/>
    <w:uiPriority w:val="0"/>
    <w:rPr>
      <w:rFonts w:hint="default" w:ascii="Times New Roman" w:hAnsi="Times New Roman" w:eastAsia="Times New Roman" w:cs="Times New Roman"/>
      <w:w w:val="60"/>
      <w:sz w:val="26"/>
    </w:rPr>
  </w:style>
  <w:style w:type="character" w:customStyle="1" w:styleId="138">
    <w:name w:val="bds_nopic1"/>
    <w:basedOn w:val="41"/>
    <w:qFormat/>
    <w:uiPriority w:val="0"/>
    <w:rPr>
      <w:rFonts w:hint="default" w:ascii="Times New Roman" w:hAnsi="Times New Roman" w:eastAsia="宋体" w:cs="Times New Roman"/>
    </w:rPr>
  </w:style>
  <w:style w:type="character" w:customStyle="1" w:styleId="139">
    <w:name w:val="sort"/>
    <w:basedOn w:val="41"/>
    <w:qFormat/>
    <w:uiPriority w:val="0"/>
    <w:rPr>
      <w:rFonts w:hint="default" w:ascii="Times New Roman" w:hAnsi="Times New Roman" w:eastAsia="宋体" w:cs="Times New Roman"/>
      <w:color w:val="FFFFFF"/>
      <w:bdr w:val="single" w:color="auto" w:sz="24" w:space="0"/>
    </w:rPr>
  </w:style>
  <w:style w:type="character" w:customStyle="1" w:styleId="140">
    <w:name w:val="morelink-item"/>
    <w:basedOn w:val="41"/>
    <w:qFormat/>
    <w:uiPriority w:val="0"/>
    <w:rPr>
      <w:rFonts w:hint="default" w:ascii="Times New Roman" w:hAnsi="Times New Roman" w:eastAsia="宋体" w:cs="Times New Roman"/>
    </w:rPr>
  </w:style>
  <w:style w:type="character" w:customStyle="1" w:styleId="141">
    <w:name w:val="标题 4 Char Char"/>
    <w:basedOn w:val="41"/>
    <w:qFormat/>
    <w:uiPriority w:val="0"/>
    <w:rPr>
      <w:rFonts w:hint="default" w:ascii="Arial" w:hAnsi="Arial" w:eastAsia="宋体" w:cs="Arial"/>
      <w:b/>
      <w:bCs/>
      <w:kern w:val="2"/>
      <w:sz w:val="21"/>
      <w:szCs w:val="28"/>
      <w:lang w:val="en-US" w:eastAsia="zh-CN"/>
    </w:rPr>
  </w:style>
  <w:style w:type="character" w:customStyle="1" w:styleId="142">
    <w:name w:val="Font Style134"/>
    <w:basedOn w:val="41"/>
    <w:qFormat/>
    <w:uiPriority w:val="0"/>
    <w:rPr>
      <w:rFonts w:hint="eastAsia" w:ascii="宋体" w:hAnsi="宋体" w:eastAsia="宋体" w:cs="宋体"/>
      <w:spacing w:val="20"/>
      <w:sz w:val="22"/>
    </w:rPr>
  </w:style>
  <w:style w:type="character" w:customStyle="1" w:styleId="143">
    <w:name w:val="polysemyred"/>
    <w:basedOn w:val="41"/>
    <w:qFormat/>
    <w:uiPriority w:val="0"/>
    <w:rPr>
      <w:rFonts w:hint="default" w:ascii="Times New Roman" w:hAnsi="Times New Roman" w:eastAsia="宋体" w:cs="Times New Roman"/>
      <w:color w:val="FF6666"/>
      <w:sz w:val="18"/>
      <w:szCs w:val="18"/>
    </w:rPr>
  </w:style>
  <w:style w:type="character" w:customStyle="1" w:styleId="144">
    <w:name w:val="Font Style123"/>
    <w:basedOn w:val="41"/>
    <w:qFormat/>
    <w:uiPriority w:val="0"/>
    <w:rPr>
      <w:rFonts w:hint="eastAsia" w:ascii="宋体" w:hAnsi="宋体" w:eastAsia="宋体" w:cs="宋体"/>
      <w:b/>
      <w:sz w:val="32"/>
    </w:rPr>
  </w:style>
  <w:style w:type="character" w:customStyle="1" w:styleId="145">
    <w:name w:val="Font Style90"/>
    <w:basedOn w:val="41"/>
    <w:qFormat/>
    <w:uiPriority w:val="0"/>
    <w:rPr>
      <w:rFonts w:hint="eastAsia" w:ascii="宋体" w:hAnsi="宋体" w:eastAsia="宋体" w:cs="宋体"/>
      <w:b/>
      <w:spacing w:val="-20"/>
      <w:sz w:val="40"/>
    </w:rPr>
  </w:style>
  <w:style w:type="character" w:customStyle="1" w:styleId="146">
    <w:name w:val="apple-converted-space"/>
    <w:basedOn w:val="41"/>
    <w:qFormat/>
    <w:uiPriority w:val="0"/>
  </w:style>
  <w:style w:type="character" w:customStyle="1" w:styleId="147">
    <w:name w:val="15"/>
    <w:basedOn w:val="41"/>
    <w:qFormat/>
    <w:uiPriority w:val="0"/>
    <w:rPr>
      <w:rFonts w:hint="default" w:ascii="Times New Roman" w:hAnsi="Times New Roman" w:cs="Times New Roman"/>
      <w:color w:val="0563C1"/>
      <w:sz w:val="20"/>
      <w:szCs w:val="20"/>
      <w:u w:val="single"/>
    </w:rPr>
  </w:style>
  <w:style w:type="character" w:customStyle="1" w:styleId="148">
    <w:name w:val="Font Style128"/>
    <w:basedOn w:val="41"/>
    <w:qFormat/>
    <w:uiPriority w:val="0"/>
    <w:rPr>
      <w:rFonts w:hint="default" w:ascii="Times New Roman" w:hAnsi="Times New Roman" w:eastAsia="Times New Roman" w:cs="Times New Roman"/>
      <w:sz w:val="16"/>
    </w:rPr>
  </w:style>
  <w:style w:type="character" w:customStyle="1" w:styleId="149">
    <w:name w:val="纯文本 Char2"/>
    <w:basedOn w:val="41"/>
    <w:qFormat/>
    <w:uiPriority w:val="0"/>
    <w:rPr>
      <w:rFonts w:hint="eastAsia" w:ascii="宋体" w:hAnsi="Courier New" w:eastAsia="宋体" w:cs="宋体"/>
      <w:kern w:val="2"/>
      <w:sz w:val="21"/>
      <w:szCs w:val="21"/>
      <w:lang w:val="en-US" w:eastAsia="zh-CN"/>
    </w:rPr>
  </w:style>
  <w:style w:type="character" w:customStyle="1" w:styleId="150">
    <w:name w:val="Font Style116"/>
    <w:basedOn w:val="41"/>
    <w:qFormat/>
    <w:uiPriority w:val="0"/>
    <w:rPr>
      <w:rFonts w:hint="eastAsia" w:ascii="宋体" w:hAnsi="宋体" w:eastAsia="宋体" w:cs="宋体"/>
      <w:spacing w:val="-20"/>
      <w:sz w:val="24"/>
    </w:rPr>
  </w:style>
  <w:style w:type="character" w:customStyle="1" w:styleId="151">
    <w:name w:val="Font Style94"/>
    <w:basedOn w:val="41"/>
    <w:qFormat/>
    <w:uiPriority w:val="0"/>
    <w:rPr>
      <w:rFonts w:hint="default" w:ascii="Times New Roman" w:hAnsi="Times New Roman" w:eastAsia="Times New Roman" w:cs="Times New Roman"/>
      <w:sz w:val="28"/>
    </w:rPr>
  </w:style>
  <w:style w:type="character" w:customStyle="1" w:styleId="152">
    <w:name w:val="sidecatalog-index1"/>
    <w:basedOn w:val="41"/>
    <w:qFormat/>
    <w:uiPriority w:val="0"/>
    <w:rPr>
      <w:rFonts w:hint="default" w:ascii="Arial" w:hAnsi="Arial" w:eastAsia="宋体" w:cs="Arial"/>
      <w:b/>
      <w:color w:val="999999"/>
      <w:sz w:val="21"/>
      <w:szCs w:val="21"/>
    </w:rPr>
  </w:style>
  <w:style w:type="character" w:customStyle="1" w:styleId="153">
    <w:name w:val="bds_nopic"/>
    <w:basedOn w:val="41"/>
    <w:qFormat/>
    <w:uiPriority w:val="0"/>
    <w:rPr>
      <w:rFonts w:hint="default" w:ascii="Times New Roman" w:hAnsi="Times New Roman" w:eastAsia="宋体" w:cs="Times New Roman"/>
    </w:rPr>
  </w:style>
  <w:style w:type="character" w:customStyle="1" w:styleId="154">
    <w:name w:val="p0 Char Char"/>
    <w:basedOn w:val="41"/>
    <w:qFormat/>
    <w:uiPriority w:val="0"/>
    <w:rPr>
      <w:rFonts w:hint="eastAsia" w:ascii="宋体" w:hAnsi="宋体" w:eastAsia="宋体" w:cs="宋体"/>
      <w:kern w:val="2"/>
      <w:sz w:val="21"/>
      <w:szCs w:val="21"/>
      <w:lang w:val="en-US" w:eastAsia="zh-CN"/>
    </w:rPr>
  </w:style>
  <w:style w:type="character" w:customStyle="1" w:styleId="155">
    <w:name w:val="Font Style133"/>
    <w:basedOn w:val="41"/>
    <w:qFormat/>
    <w:uiPriority w:val="0"/>
    <w:rPr>
      <w:rFonts w:hint="eastAsia" w:ascii="宋体" w:hAnsi="宋体" w:eastAsia="宋体" w:cs="宋体"/>
      <w:spacing w:val="30"/>
      <w:sz w:val="24"/>
    </w:rPr>
  </w:style>
  <w:style w:type="character" w:customStyle="1" w:styleId="156">
    <w:name w:val="Char Char6"/>
    <w:basedOn w:val="41"/>
    <w:qFormat/>
    <w:uiPriority w:val="0"/>
    <w:rPr>
      <w:rFonts w:hint="default" w:ascii="Arial" w:hAnsi="Arial" w:eastAsia="黑体" w:cs="Arial"/>
      <w:sz w:val="24"/>
      <w:szCs w:val="24"/>
      <w:lang w:val="en-US" w:eastAsia="zh-CN"/>
    </w:rPr>
  </w:style>
  <w:style w:type="character" w:customStyle="1" w:styleId="157">
    <w:name w:val="样式2 Char Char"/>
    <w:basedOn w:val="41"/>
    <w:qFormat/>
    <w:uiPriority w:val="0"/>
    <w:rPr>
      <w:rFonts w:hint="eastAsia" w:ascii="宋体" w:hAnsi="宋体" w:eastAsia="宋体" w:cs="宋体"/>
      <w:kern w:val="2"/>
      <w:sz w:val="18"/>
      <w:szCs w:val="18"/>
      <w:lang w:val="en-US" w:eastAsia="zh-CN"/>
    </w:rPr>
  </w:style>
  <w:style w:type="character" w:customStyle="1" w:styleId="158">
    <w:name w:val="标题 Char1"/>
    <w:basedOn w:val="41"/>
    <w:qFormat/>
    <w:uiPriority w:val="0"/>
    <w:rPr>
      <w:rFonts w:hint="default" w:ascii="Cambria" w:hAnsi="Cambria" w:eastAsia="宋体" w:cs="Times New Roman"/>
      <w:b/>
      <w:bCs/>
      <w:sz w:val="32"/>
      <w:szCs w:val="32"/>
    </w:rPr>
  </w:style>
  <w:style w:type="character" w:customStyle="1" w:styleId="159">
    <w:name w:val="plus"/>
    <w:basedOn w:val="41"/>
    <w:qFormat/>
    <w:uiPriority w:val="0"/>
    <w:rPr>
      <w:rFonts w:hint="default" w:ascii="Times New Roman" w:hAnsi="Times New Roman" w:eastAsia="宋体" w:cs="Times New Roman"/>
      <w:b/>
      <w:vanish/>
      <w:color w:val="1F8DEF"/>
      <w:sz w:val="24"/>
      <w:szCs w:val="24"/>
    </w:rPr>
  </w:style>
  <w:style w:type="character" w:customStyle="1" w:styleId="160">
    <w:name w:val="content"/>
    <w:basedOn w:val="41"/>
    <w:qFormat/>
    <w:uiPriority w:val="0"/>
    <w:rPr>
      <w:sz w:val="19"/>
      <w:szCs w:val="19"/>
    </w:rPr>
  </w:style>
  <w:style w:type="character" w:customStyle="1" w:styleId="161">
    <w:name w:val="sidecatalog-index2"/>
    <w:basedOn w:val="41"/>
    <w:qFormat/>
    <w:uiPriority w:val="0"/>
    <w:rPr>
      <w:rFonts w:hint="default" w:ascii="Arail" w:hAnsi="Arail" w:eastAsia="Arail" w:cs="Arail"/>
      <w:color w:val="999999"/>
      <w:sz w:val="21"/>
      <w:szCs w:val="21"/>
    </w:rPr>
  </w:style>
  <w:style w:type="character" w:customStyle="1" w:styleId="162">
    <w:name w:val="批注文字 Char Char"/>
    <w:basedOn w:val="41"/>
    <w:qFormat/>
    <w:uiPriority w:val="0"/>
    <w:rPr>
      <w:kern w:val="2"/>
      <w:sz w:val="21"/>
      <w:szCs w:val="24"/>
    </w:rPr>
  </w:style>
  <w:style w:type="character" w:customStyle="1" w:styleId="163">
    <w:name w:val="sidecatalog-dot1"/>
    <w:basedOn w:val="41"/>
    <w:qFormat/>
    <w:uiPriority w:val="0"/>
    <w:rPr>
      <w:rFonts w:hint="default" w:ascii="Times New Roman" w:hAnsi="Times New Roman" w:eastAsia="宋体" w:cs="Times New Roman"/>
    </w:rPr>
  </w:style>
  <w:style w:type="paragraph" w:customStyle="1" w:styleId="164">
    <w:name w:val="WPSOffice手动目录 1"/>
    <w:basedOn w:val="1"/>
    <w:qFormat/>
    <w:uiPriority w:val="0"/>
    <w:pPr>
      <w:widowControl/>
      <w:jc w:val="left"/>
    </w:pPr>
    <w:rPr>
      <w:rFonts w:ascii="Times New Roman" w:hAnsi="Times New Roman" w:eastAsia="宋体" w:cs="Times New Roman"/>
      <w:kern w:val="0"/>
      <w:sz w:val="20"/>
      <w:szCs w:val="20"/>
    </w:rPr>
  </w:style>
  <w:style w:type="paragraph" w:customStyle="1" w:styleId="165">
    <w:name w:val="正文1"/>
    <w:basedOn w:val="1"/>
    <w:next w:val="38"/>
    <w:qFormat/>
    <w:uiPriority w:val="0"/>
    <w:pPr>
      <w:spacing w:line="360" w:lineRule="auto"/>
      <w:ind w:firstLine="480" w:firstLineChars="200"/>
    </w:pPr>
    <w:rPr>
      <w:rFonts w:ascii="Times New Roman" w:hAnsi="Times New Roman" w:eastAsia="宋体" w:cs="Times New Roman"/>
      <w:sz w:val="24"/>
    </w:rPr>
  </w:style>
  <w:style w:type="paragraph" w:customStyle="1" w:styleId="166">
    <w:name w:val="Normal_0_1"/>
    <w:basedOn w:val="1"/>
    <w:qFormat/>
    <w:uiPriority w:val="0"/>
    <w:pPr>
      <w:widowControl/>
      <w:jc w:val="left"/>
    </w:pPr>
    <w:rPr>
      <w:rFonts w:ascii="Times New Roman" w:hAnsi="Times New Roman" w:eastAsia="Times New Roman" w:cs="Times New Roman"/>
      <w:kern w:val="0"/>
      <w:sz w:val="24"/>
    </w:rPr>
  </w:style>
  <w:style w:type="table" w:customStyle="1" w:styleId="167">
    <w:name w:val="Table Normal"/>
    <w:basedOn w:val="39"/>
    <w:semiHidden/>
    <w:qFormat/>
    <w:uiPriority w:val="0"/>
    <w:pPr>
      <w:snapToGrid w:val="0"/>
    </w:pPr>
    <w:rPr>
      <w:rFonts w:ascii="Arial" w:hAnsi="Arial" w:cs="Arial"/>
      <w:color w:val="000000"/>
      <w:sz w:val="21"/>
      <w:szCs w:val="21"/>
    </w:rPr>
    <w:tblPr>
      <w:tblCellMar>
        <w:top w:w="0" w:type="dxa"/>
        <w:left w:w="0" w:type="dxa"/>
        <w:bottom w:w="0" w:type="dxa"/>
        <w:right w:w="0" w:type="dxa"/>
      </w:tblCellMar>
    </w:tblPr>
  </w:style>
  <w:style w:type="paragraph" w:customStyle="1" w:styleId="168">
    <w:name w:val="Table Text"/>
    <w:basedOn w:val="1"/>
    <w:semiHidden/>
    <w:qFormat/>
    <w:uiPriority w:val="0"/>
    <w:rPr>
      <w:rFonts w:ascii="仿宋" w:hAnsi="仿宋" w:eastAsia="仿宋" w:cs="仿宋"/>
      <w:sz w:val="28"/>
      <w:szCs w:val="28"/>
      <w:lang w:val="en-US" w:eastAsia="en-US" w:bidi="ar-SA"/>
    </w:rPr>
  </w:style>
  <w:style w:type="paragraph" w:customStyle="1" w:styleId="169">
    <w:name w:val="BodyText1I2"/>
    <w:basedOn w:val="170"/>
    <w:qFormat/>
    <w:uiPriority w:val="99"/>
    <w:pPr>
      <w:spacing w:before="100" w:beforeAutospacing="1" w:after="0"/>
      <w:ind w:left="0" w:firstLine="420" w:firstLineChars="200"/>
    </w:pPr>
  </w:style>
  <w:style w:type="paragraph" w:customStyle="1" w:styleId="170">
    <w:name w:val="BodyTextIndent"/>
    <w:basedOn w:val="1"/>
    <w:qFormat/>
    <w:uiPriority w:val="99"/>
    <w:pPr>
      <w:spacing w:after="120"/>
      <w:ind w:left="420" w:leftChars="200"/>
    </w:pPr>
  </w:style>
  <w:style w:type="paragraph" w:styleId="171">
    <w:name w:val="List Paragraph"/>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5" textRotate="1"/>
    <customShpInfo spid="_x0000_s4097" textRotate="1"/>
    <customShpInfo spid="_x0000_s4114" textRotate="1"/>
    <customShpInfo spid="_x0000_s4113" textRotate="1"/>
    <customShpInfo spid="_x0000_s4098" textRotate="1"/>
    <customShpInfo spid="_x0000_s4107" textRotate="1"/>
    <customShpInfo spid="_x0000_s4108" textRotate="1"/>
    <customShpInfo spid="_x0000_s4109" textRotate="1"/>
    <customShpInfo spid="_x0000_s4110" textRotate="1"/>
    <customShpInfo spid="_x0000_s4111" textRotate="1"/>
  </customShpExts>
</s:customData>
</file>

<file path=customXml/item2.xml><?xml version="1.0" encoding="utf-8"?>
<contractReview xmlns="http://schemas.wps.cn/vas-ai-hub/contract-review">
  <reviewItems>
    <reviewItem>
      <errorID>da0d5cc2-b4a0-4aff-8317-dfd6283db0f2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43519592</paraID>
      <start>257</start>
      <end>258</end>
      <status>ignored</status>
      <modifiedWord/>
      <trackRevisions>false</trackRevisions>
    </reviewItem>
    <reviewItem>
      <errorID>259b0990-45aa-4e37-948b-d1f4edcaf580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222801B2</paraID>
      <start>259</start>
      <end>260</end>
      <status>ignored</status>
      <modifiedWord/>
      <trackRevisions>false</trackRevisions>
    </reviewItem>
    <reviewItem>
      <errorID>3ef0cc26-b329-4789-8639-18d33e972ac1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43882918</paraID>
      <start>0</start>
      <end>2</end>
      <status>ignored</status>
      <modifiedWord/>
      <trackRevisions>false</trackRevisions>
    </reviewItem>
    <reviewItem>
      <errorID>4af2f493-43cb-452c-b6f3-b3a7e6442785</errorID>
      <errorWord>位</errorWord>
      <group>L1_Word</group>
      <groupName>字词问题</groupName>
      <ability>L2_Typo</ability>
      <abilityName>字词错误</abilityName>
      <candidateList>
        <item>位公</item>
      </candidateList>
      <explain/>
      <paraID>595324A1</paraID>
      <start>33</start>
      <end>35</end>
      <status>modified</status>
      <modifiedWord>位公</modifiedWord>
      <trackRevisions>false</trackRevisions>
    </reviewItem>
    <reviewItem>
      <errorID>b6e7ec1d-b293-4b99-9f9e-4e6fba0fea72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275ED1FA</paraID>
      <start>85</start>
      <end>86</end>
      <status>ignored</status>
      <modifiedWord/>
      <trackRevisions>false</trackRevisions>
    </reviewItem>
    <reviewItem>
      <errorID>d5e2c177-fbe6-4d3d-aa6d-9e09ad7e439c</errorID>
      <errorWord>（</errorWord>
      <group>L1_Punc</group>
      <groupName>标点问题</groupName>
      <ability>L2_Punc</ability>
      <abilityName>标点符号检查</abilityName>
      <candidateList/>
      <explain>同一形式括号套用。</explain>
      <paraID>4C48674C</paraID>
      <start>36</start>
      <end>37</end>
      <status>ignored</status>
      <modifiedWord/>
      <trackRevisions>false</trackRevisions>
    </reviewItem>
    <reviewItem>
      <errorID>092e93fa-3803-452a-a984-0a278d3d9915</errorID>
      <errorWord>）</errorWord>
      <group>L1_Punc</group>
      <groupName>标点问题</groupName>
      <ability>L2_Punc</ability>
      <abilityName>标点符号检查</abilityName>
      <candidateList/>
      <explain>同一形式括号套用。</explain>
      <paraID>4C48674C</paraID>
      <start>42</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2b944a-43b7-48d5-b3b6-d5a8acd40572}">
  <ds:schemaRefs/>
</ds:datastoreItem>
</file>

<file path=docProps/app.xml><?xml version="1.0" encoding="utf-8"?>
<Properties xmlns="http://schemas.openxmlformats.org/officeDocument/2006/extended-properties" xmlns:vt="http://schemas.openxmlformats.org/officeDocument/2006/docPropsVTypes">
  <Template>Normal</Template>
  <Pages>79</Pages>
  <Words>5712</Words>
  <Characters>6327</Characters>
  <Lines>1</Lines>
  <Paragraphs>1</Paragraphs>
  <TotalTime>4</TotalTime>
  <ScaleCrop>false</ScaleCrop>
  <LinksUpToDate>false</LinksUpToDate>
  <CharactersWithSpaces>6452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2022-12-27T08:31:00Z</dcterms:created>
  <dc:creator>姣</dc:creator>
  <cp:lastModifiedBy>Administrator</cp:lastModifiedBy>
  <cp:lastPrinted>2026-08-06T02:08:00Z</cp:lastPrinted>
  <dcterms:modified xsi:type="dcterms:W3CDTF">2026-08-07T00:21:13Z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A2A3E353E9374942B79801366D688B79_13</vt:lpwstr>
  </property>
  <property fmtid="{D5CDD505-2E9C-101B-9397-08002B2CF9AE}" pid="4" name="KSOTemplateDocerSaveRecord">
    <vt:lpwstr>eyJoZGlkIjoiMTI0OGIzNDgyMTc0MTRhZGU5YWU3MGQ3YmVmOGQyMTgiLCJ1c2VySWQiOiIxMTczNjM5NTk2In0=</vt:lpwstr>
  </property>
</Properties>
</file>