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C7957">
      <w:pPr>
        <w:numPr>
          <w:ilvl w:val="0"/>
          <w:numId w:val="1"/>
        </w:numPr>
        <w:spacing w:line="36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采购需求</w:t>
      </w:r>
    </w:p>
    <w:p w14:paraId="43A3E51C">
      <w:pPr>
        <w:adjustRightInd w:val="0"/>
        <w:snapToGrid w:val="0"/>
        <w:spacing w:line="360" w:lineRule="auto"/>
        <w:ind w:firstLine="422" w:firstLineChars="200"/>
        <w:jc w:val="left"/>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（一）采购项目名称：</w:t>
      </w:r>
      <w:r>
        <w:rPr>
          <w:rFonts w:hint="eastAsia" w:ascii="宋体" w:hAnsi="宋体" w:eastAsia="宋体" w:cs="宋体"/>
          <w:color w:val="000000" w:themeColor="text1"/>
          <w:szCs w:val="21"/>
          <w:lang w:eastAsia="zh-CN"/>
          <w14:textFill>
            <w14:solidFill>
              <w14:schemeClr w14:val="tx1"/>
            </w14:solidFill>
          </w14:textFill>
        </w:rPr>
        <w:t>郴州职业技术学院足球场及看台改造项目</w:t>
      </w:r>
    </w:p>
    <w:p w14:paraId="224F730E">
      <w:pPr>
        <w:snapToGrid w:val="0"/>
        <w:spacing w:line="360" w:lineRule="auto"/>
        <w:ind w:firstLine="422" w:firstLineChars="200"/>
        <w:rPr>
          <w:rFonts w:hint="eastAsia" w:ascii="Calibri" w:hAnsi="Calibri" w:eastAsia="宋体" w:cs="Times New Roman"/>
          <w:color w:val="000000" w:themeColor="text1"/>
          <w:szCs w:val="22"/>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（二）工程基本情况：</w:t>
      </w:r>
      <w:r>
        <w:rPr>
          <w:rFonts w:hint="eastAsia" w:ascii="宋体" w:hAnsi="宋体" w:eastAsia="宋体" w:cs="宋体"/>
          <w:bCs/>
          <w:color w:val="000000" w:themeColor="text1"/>
          <w:szCs w:val="21"/>
          <w14:textFill>
            <w14:solidFill>
              <w14:schemeClr w14:val="tx1"/>
            </w14:solidFill>
          </w14:textFill>
        </w:rPr>
        <w:t>已具备进场条件，</w:t>
      </w:r>
      <w:r>
        <w:rPr>
          <w:rFonts w:hint="eastAsia" w:ascii="宋体" w:hAnsi="宋体" w:eastAsia="宋体" w:cs="Times New Roman"/>
          <w:color w:val="000000" w:themeColor="text1"/>
          <w:szCs w:val="21"/>
          <w14:textFill>
            <w14:solidFill>
              <w14:schemeClr w14:val="tx1"/>
            </w14:solidFill>
          </w14:textFill>
        </w:rPr>
        <w:t>项目主要建设内容及规模:</w:t>
      </w:r>
      <w:r>
        <w:rPr>
          <w:rFonts w:hint="eastAsia" w:ascii="Calibri" w:hAnsi="Calibri" w:eastAsia="宋体" w:cs="Times New Roman"/>
          <w:color w:val="000000" w:themeColor="text1"/>
          <w:szCs w:val="22"/>
          <w14:textFill>
            <w14:solidFill>
              <w14:schemeClr w14:val="tx1"/>
            </w14:solidFill>
          </w14:textFill>
        </w:rPr>
        <w:t xml:space="preserve"> </w:t>
      </w:r>
      <w:r>
        <w:rPr>
          <w:rFonts w:hint="eastAsia" w:ascii="宋体" w:hAnsi="宋体" w:eastAsia="宋体" w:cs="宋体"/>
          <w:bCs/>
          <w:color w:val="000000" w:themeColor="text1"/>
          <w:szCs w:val="21"/>
          <w14:textFill>
            <w14:solidFill>
              <w14:schemeClr w14:val="tx1"/>
            </w14:solidFill>
          </w14:textFill>
        </w:rPr>
        <w:t>详见</w:t>
      </w:r>
      <w:r>
        <w:rPr>
          <w:rFonts w:hint="eastAsia" w:ascii="宋体" w:hAnsi="宋体" w:eastAsia="宋体" w:cs="宋体"/>
          <w:color w:val="000000" w:themeColor="text1"/>
          <w:szCs w:val="21"/>
          <w14:textFill>
            <w14:solidFill>
              <w14:schemeClr w14:val="tx1"/>
            </w14:solidFill>
          </w14:textFill>
        </w:rPr>
        <w:t>工程量清单及图纸。</w:t>
      </w:r>
    </w:p>
    <w:p w14:paraId="7DB6A930">
      <w:pPr>
        <w:adjustRightInd w:val="0"/>
        <w:snapToGrid w:val="0"/>
        <w:spacing w:line="360" w:lineRule="auto"/>
        <w:ind w:firstLine="422"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（三）工程承包范围：</w:t>
      </w:r>
      <w:r>
        <w:rPr>
          <w:rFonts w:hint="eastAsia" w:ascii="宋体" w:hAnsi="宋体" w:eastAsia="宋体" w:cs="宋体"/>
          <w:bCs/>
          <w:color w:val="000000" w:themeColor="text1"/>
          <w:szCs w:val="21"/>
          <w14:textFill>
            <w14:solidFill>
              <w14:schemeClr w14:val="tx1"/>
            </w14:solidFill>
          </w14:textFill>
        </w:rPr>
        <w:t>详见</w:t>
      </w:r>
      <w:r>
        <w:rPr>
          <w:rFonts w:hint="eastAsia" w:ascii="宋体" w:hAnsi="宋体" w:eastAsia="宋体" w:cs="宋体"/>
          <w:color w:val="000000" w:themeColor="text1"/>
          <w:szCs w:val="21"/>
          <w14:textFill>
            <w14:solidFill>
              <w14:schemeClr w14:val="tx1"/>
            </w14:solidFill>
          </w14:textFill>
        </w:rPr>
        <w:t>工程量清单及图纸。</w:t>
      </w:r>
    </w:p>
    <w:p w14:paraId="1D8B29B9">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（四）项目清单及说明：</w:t>
      </w:r>
    </w:p>
    <w:p w14:paraId="20A97623">
      <w:pPr>
        <w:adjustRightInd w:val="0"/>
        <w:snapToGrid w:val="0"/>
        <w:spacing w:line="360" w:lineRule="auto"/>
        <w:ind w:firstLine="420" w:firstLineChars="200"/>
        <w:jc w:val="left"/>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人造草皮足球中场拆除及重新铺设面积约7770m2，钢结构及雨棚工程翻新改造面积约1170m2，看台阶面、舞蹈室及乒乓球场翻新改造面积约1345.07m，照明灯具、音响设备及线路1项。工程建设符合《工程施工质量验收规范》要求验收合格。</w:t>
      </w:r>
    </w:p>
    <w:p w14:paraId="167E9CFA">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1、详见财政投资评审事务中心出具的《工程量清单合理定价》。</w:t>
      </w:r>
    </w:p>
    <w:p w14:paraId="60ABE05C">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2、图纸另附。</w:t>
      </w:r>
    </w:p>
    <w:p w14:paraId="4B505000">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（五）项目实施要求：</w:t>
      </w:r>
    </w:p>
    <w:p w14:paraId="27FF7C98">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1、材料运输、保管及保险</w:t>
      </w:r>
    </w:p>
    <w:p w14:paraId="7E965FFC">
      <w:pPr>
        <w:adjustRightInd w:val="0"/>
        <w:snapToGrid w:val="0"/>
        <w:spacing w:line="360" w:lineRule="auto"/>
        <w:ind w:firstLine="420" w:firstLineChars="200"/>
        <w:jc w:val="left"/>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1.1、成交供应商负责建筑材料等到施工地点的全部运输，包括装卸及现场搬运等</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并负责施工地点的的全部垃圾清运。</w:t>
      </w:r>
    </w:p>
    <w:p w14:paraId="7676B867">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1.2、成交供应商负责建筑材料等在施工地点的保管，直至项目验收合格。</w:t>
      </w:r>
    </w:p>
    <w:p w14:paraId="590CBB33">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1.3、成交供应商负责其派出的施工人员的人身意外保险。对于工作人员在工作中引起的各种工伤、安全事件和事故，均由成交供应商承担。</w:t>
      </w:r>
    </w:p>
    <w:p w14:paraId="07A3F59F">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1.4、成交供应商应货物包装完整，到达指定的交货地点前未拆封。</w:t>
      </w:r>
    </w:p>
    <w:p w14:paraId="17DBB921">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1.5、成交供应商在接到采购人送货通知后，按采购人要求运送至指定地点，货物经采购人现场验收合格后统一签收。</w:t>
      </w:r>
    </w:p>
    <w:p w14:paraId="0C823949">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2、施工要求</w:t>
      </w:r>
    </w:p>
    <w:p w14:paraId="05FD3530">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2.1、成交供应商须加强施工的组织管理，所有施工人员须遵守文明安全施工的有关规章制度，持证上岗。</w:t>
      </w:r>
    </w:p>
    <w:p w14:paraId="3884C81A">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2.2、施工期间，应接受采购人及有关部门的监督管理，遵守有关规定。</w:t>
      </w:r>
    </w:p>
    <w:p w14:paraId="4AD0B43E">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2.3、具体施工要求详见施工图纸及现行行业规定。</w:t>
      </w:r>
    </w:p>
    <w:p w14:paraId="4742D0E0">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 xml:space="preserve">3、安全文明施工与环境保护 </w:t>
      </w:r>
    </w:p>
    <w:p w14:paraId="13C0EA4E">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3.1、安全文明施工</w:t>
      </w:r>
    </w:p>
    <w:p w14:paraId="098269D6">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3.1.1、项目安全生产的达标目标及相应事项的约定：达标。 </w:t>
      </w:r>
    </w:p>
    <w:p w14:paraId="43CE5624">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3.2、文明施工</w:t>
      </w:r>
    </w:p>
    <w:p w14:paraId="69E81246">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合同当事人对文明施工的要求：</w:t>
      </w:r>
    </w:p>
    <w:p w14:paraId="66BDD535">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（1）施工期间，承包人应及时整理和安排所有机械、工具、材料、建筑垃圾等，以上物品在不需用时应按发包人要求清理出工地。</w:t>
      </w:r>
    </w:p>
    <w:p w14:paraId="0AFE550B">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（2）施工现场各类垃圾应当天清理，否则由发包人指派人员清理。</w:t>
      </w:r>
    </w:p>
    <w:p w14:paraId="0F0F7C4E">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（3）发包人或监理人有权对承包人的违章现象提出整改，承包人接书面整改通知后24小时内应采取相应整改措施。 </w:t>
      </w:r>
    </w:p>
    <w:p w14:paraId="28914EA6">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4、验收要求</w:t>
      </w:r>
    </w:p>
    <w:p w14:paraId="67B977D9">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4.1、由采购人组织验收活动，成交供应商负责在当地建设行政主管部门办理工程竣工验收备案（如需要）。</w:t>
      </w:r>
    </w:p>
    <w:p w14:paraId="23285FB9">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符合国家相关行业验收规范和标准。按行业验收标准达到合格。项目验收不合格，由中标人返工直至合格，有关返工、再行验收，以及给采购人造成的损失等费用由中标人承担。连续两次项目验收不合格的，采购人可终止合同，另行按规定选择其他供应商采购，由此带来的一切损失由中标人承担。</w:t>
      </w:r>
    </w:p>
    <w:p w14:paraId="08BBB1EE">
      <w:pPr>
        <w:adjustRightInd w:val="0"/>
        <w:spacing w:line="400" w:lineRule="exact"/>
        <w:ind w:firstLine="420" w:firstLineChars="200"/>
        <w:jc w:val="left"/>
        <w:outlineLvl w:val="0"/>
        <w:rPr>
          <w:rFonts w:ascii="宋体" w:hAnsi="Calibri" w:eastAsia="宋体" w:cs="宋体"/>
          <w:b/>
          <w:bCs/>
          <w:color w:val="000000" w:themeColor="text1"/>
          <w:sz w:val="2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Calibri" w:eastAsia="宋体" w:cs="宋体"/>
          <w:b/>
          <w:bCs/>
          <w:color w:val="000000" w:themeColor="text1"/>
          <w:sz w:val="21"/>
          <w:szCs w:val="21"/>
          <w14:textFill>
            <w14:solidFill>
              <w14:schemeClr w14:val="tx1"/>
            </w14:solidFill>
          </w14:textFill>
        </w:rPr>
        <w:t>人造草规格要求和参数要求</w:t>
      </w:r>
    </w:p>
    <w:p w14:paraId="2F3116B3">
      <w:pPr>
        <w:widowControl/>
        <w:spacing w:line="96" w:lineRule="atLeast"/>
        <w:ind w:firstLine="422" w:firstLineChars="200"/>
        <w:jc w:val="both"/>
        <w:rPr>
          <w:rFonts w:ascii="宋体" w:hAnsi="Calibri" w:eastAsia="宋体" w:cs="Times New Roman"/>
          <w:b/>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b/>
          <w:color w:val="000000" w:themeColor="text1"/>
          <w:kern w:val="2"/>
          <w:sz w:val="21"/>
          <w:szCs w:val="21"/>
          <w:lang w:val="en-US" w:eastAsia="zh-CN" w:bidi="ar-SA"/>
          <w14:textFill>
            <w14:solidFill>
              <w14:schemeClr w14:val="tx1"/>
            </w14:solidFill>
          </w14:textFill>
        </w:rPr>
        <w:t>5.1人造草坪化学性能应满足GB36246-2018下表内容</w:t>
      </w:r>
    </w:p>
    <w:tbl>
      <w:tblPr>
        <w:tblStyle w:val="4"/>
        <w:tblW w:w="82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0"/>
        <w:gridCol w:w="4643"/>
        <w:gridCol w:w="1320"/>
        <w:gridCol w:w="1096"/>
      </w:tblGrid>
      <w:tr w14:paraId="5453A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5883" w:type="dxa"/>
            <w:gridSpan w:val="2"/>
            <w:tcBorders>
              <w:top w:val="single" w:color="000000" w:sz="4" w:space="0"/>
              <w:left w:val="single" w:color="000000" w:sz="4" w:space="0"/>
              <w:bottom w:val="single" w:color="000000" w:sz="4" w:space="0"/>
              <w:right w:val="single" w:color="000000" w:sz="4" w:space="0"/>
            </w:tcBorders>
            <w:noWrap w:val="0"/>
            <w:vAlign w:val="center"/>
          </w:tcPr>
          <w:p w14:paraId="7DBC66E7">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检验检测项目</w:t>
            </w: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6D019F28">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单位</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696ADAF">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技术要求</w:t>
            </w:r>
          </w:p>
        </w:tc>
      </w:tr>
      <w:tr w14:paraId="7091E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12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348BB93">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有害物质含量</w:t>
            </w: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2FDADAFF">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3种邻苯二甲酸酯类化合物（DBP、BBP、DEHP）总和</w:t>
            </w:r>
          </w:p>
        </w:tc>
        <w:tc>
          <w:tcPr>
            <w:tcW w:w="13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88E33C6">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g/kg</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62997FAC">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≤1.0</w:t>
            </w:r>
          </w:p>
        </w:tc>
      </w:tr>
      <w:tr w14:paraId="4D0E7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E0EB6">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50BCDD60">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3种邻苯二甲酸酯类化合物（DNOP、DINP、DIDP）总和</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C5FE0">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527BED29">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≤1.0</w:t>
            </w:r>
          </w:p>
        </w:tc>
      </w:tr>
      <w:tr w14:paraId="5456B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72EB1">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2F99429B">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18种多环芳烃总和</w:t>
            </w:r>
          </w:p>
        </w:tc>
        <w:tc>
          <w:tcPr>
            <w:tcW w:w="13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4A45D7E">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mg/kg</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227F93F0">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≤50</w:t>
            </w:r>
          </w:p>
        </w:tc>
      </w:tr>
      <w:tr w14:paraId="5C1E4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96A7E">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5BC5B61D">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苯并[a]芘</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97316">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73D71894">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w:t>
            </w:r>
          </w:p>
        </w:tc>
      </w:tr>
      <w:tr w14:paraId="5E033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97C44">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41EF3883">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可溶性铅</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26D1F">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EEC69E2">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≤50</w:t>
            </w:r>
          </w:p>
        </w:tc>
      </w:tr>
      <w:tr w14:paraId="321D9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E7AD1">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27D96B1E">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可溶性铬</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17195">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403FE413">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≤10</w:t>
            </w:r>
          </w:p>
        </w:tc>
      </w:tr>
      <w:tr w14:paraId="5CB98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DC963">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55371125">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可溶性镉</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572A5">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53052FF5">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≤10</w:t>
            </w:r>
          </w:p>
        </w:tc>
      </w:tr>
      <w:tr w14:paraId="07365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43EE1">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61BA6DF5">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可溶性汞</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3D947">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7E140E84">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≤2</w:t>
            </w:r>
          </w:p>
        </w:tc>
      </w:tr>
      <w:tr w14:paraId="7CC12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82E44">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有害物质释放量</w:t>
            </w: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1876D751">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总挥发性有机化合物（TVOC）</w:t>
            </w:r>
          </w:p>
        </w:tc>
        <w:tc>
          <w:tcPr>
            <w:tcW w:w="13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AE30D6">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mg/（㎡</w:t>
            </w:r>
            <w:r>
              <w:rPr>
                <w:rFonts w:hint="eastAsia" w:ascii="MS Mincho" w:hAnsi="MS Mincho" w:eastAsia="MS Mincho" w:cs="MS Mincho"/>
                <w:color w:val="000000" w:themeColor="text1"/>
                <w:kern w:val="2"/>
                <w:sz w:val="21"/>
                <w:szCs w:val="21"/>
                <w:lang w:val="en-US" w:eastAsia="zh-CN" w:bidi="ar-SA"/>
                <w14:textFill>
                  <w14:solidFill>
                    <w14:schemeClr w14:val="tx1"/>
                  </w14:solidFill>
                </w14:textFill>
              </w:rPr>
              <w:t>▪</w:t>
            </w: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h）</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14515DFE">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≤5.0</w:t>
            </w:r>
          </w:p>
        </w:tc>
      </w:tr>
      <w:tr w14:paraId="635CB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AF1ED">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41E816D3">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甲醛</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2972B">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74EC4FD9">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≤0.4</w:t>
            </w:r>
          </w:p>
        </w:tc>
      </w:tr>
      <w:tr w14:paraId="5898B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B6316">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0C63BA31">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苯</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75D92">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5F55371B">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≤0.1</w:t>
            </w:r>
          </w:p>
        </w:tc>
      </w:tr>
      <w:tr w14:paraId="2588E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jc w:val="center"/>
        </w:trPr>
        <w:tc>
          <w:tcPr>
            <w:tcW w:w="12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1C7AC">
            <w:pPr>
              <w:rPr>
                <w:rFonts w:ascii="Calibri" w:hAnsi="Calibri" w:eastAsia="宋体" w:cs="Times New Roman"/>
                <w:color w:val="000000" w:themeColor="text1"/>
                <w14:textFill>
                  <w14:solidFill>
                    <w14:schemeClr w14:val="tx1"/>
                  </w14:solidFill>
                </w14:textFill>
              </w:rPr>
            </w:pPr>
          </w:p>
        </w:tc>
        <w:tc>
          <w:tcPr>
            <w:tcW w:w="4643" w:type="dxa"/>
            <w:tcBorders>
              <w:top w:val="single" w:color="000000" w:sz="4" w:space="0"/>
              <w:left w:val="single" w:color="000000" w:sz="4" w:space="0"/>
              <w:bottom w:val="single" w:color="000000" w:sz="4" w:space="0"/>
              <w:right w:val="single" w:color="000000" w:sz="4" w:space="0"/>
            </w:tcBorders>
            <w:noWrap w:val="0"/>
            <w:vAlign w:val="top"/>
          </w:tcPr>
          <w:p w14:paraId="055F2A68">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甲苯、二甲苯和乙苯总和</w:t>
            </w:r>
          </w:p>
        </w:tc>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E2E94">
            <w:pPr>
              <w:rPr>
                <w:rFonts w:ascii="Calibri" w:hAnsi="Calibri" w:eastAsia="宋体" w:cs="Times New Roman"/>
                <w:color w:val="000000" w:themeColor="text1"/>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14:paraId="18C043B9">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≤1.0</w:t>
            </w:r>
          </w:p>
        </w:tc>
      </w:tr>
    </w:tbl>
    <w:p w14:paraId="40CE379A">
      <w:pPr>
        <w:widowControl/>
        <w:spacing w:line="96" w:lineRule="atLeast"/>
        <w:ind w:firstLine="422" w:firstLineChars="200"/>
        <w:jc w:val="both"/>
        <w:rPr>
          <w:rFonts w:ascii="宋体" w:hAnsi="Calibri" w:eastAsia="宋体" w:cs="Times New Roman"/>
          <w:b/>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b/>
          <w:color w:val="000000" w:themeColor="text1"/>
          <w:kern w:val="2"/>
          <w:sz w:val="21"/>
          <w:szCs w:val="21"/>
          <w:lang w:val="en-US" w:eastAsia="zh-CN" w:bidi="ar-SA"/>
          <w14:textFill>
            <w14:solidFill>
              <w14:schemeClr w14:val="tx1"/>
            </w14:solidFill>
          </w14:textFill>
        </w:rPr>
        <w:t>5.2人造草坪物理性能应满足GB36246-2018下表内容</w:t>
      </w:r>
    </w:p>
    <w:tbl>
      <w:tblPr>
        <w:tblStyle w:val="4"/>
        <w:tblW w:w="481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087"/>
        <w:gridCol w:w="854"/>
        <w:gridCol w:w="853"/>
        <w:gridCol w:w="1418"/>
      </w:tblGrid>
      <w:tr w14:paraId="7376A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616" w:type="pct"/>
            <w:gridSpan w:val="2"/>
            <w:tcBorders>
              <w:top w:val="single" w:color="000000" w:sz="4" w:space="0"/>
              <w:left w:val="single" w:color="000000" w:sz="4" w:space="0"/>
              <w:bottom w:val="single" w:color="000000" w:sz="4" w:space="0"/>
              <w:right w:val="single" w:color="000000" w:sz="4" w:space="0"/>
            </w:tcBorders>
            <w:noWrap w:val="0"/>
            <w:vAlign w:val="center"/>
          </w:tcPr>
          <w:p w14:paraId="5C159101">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检验检测项目</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34936AE8">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单位</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2BC9E1BB">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技术要求</w:t>
            </w:r>
          </w:p>
        </w:tc>
      </w:tr>
      <w:tr w14:paraId="24B6F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61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E86129">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冲击吸收，%</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3F8AA52D">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w:t>
            </w:r>
          </w:p>
        </w:tc>
        <w:tc>
          <w:tcPr>
            <w:tcW w:w="86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4D3921">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45-70</w:t>
            </w:r>
          </w:p>
        </w:tc>
      </w:tr>
      <w:tr w14:paraId="69E89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61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E36B6C">
            <w:pPr>
              <w:rPr>
                <w:rFonts w:ascii="Calibri" w:hAnsi="Calibri" w:eastAsia="宋体" w:cs="Times New Roman"/>
                <w:color w:val="000000" w:themeColor="text1"/>
                <w14:textFill>
                  <w14:solidFill>
                    <w14:schemeClr w14:val="tx1"/>
                  </w14:solidFill>
                </w14:textFill>
              </w:rPr>
            </w:pP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41065DC">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w:t>
            </w:r>
          </w:p>
        </w:tc>
        <w:tc>
          <w:tcPr>
            <w:tcW w:w="8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C528D">
            <w:pPr>
              <w:rPr>
                <w:rFonts w:ascii="Calibri" w:hAnsi="Calibri" w:eastAsia="宋体" w:cs="Times New Roman"/>
                <w:color w:val="000000" w:themeColor="text1"/>
                <w14:textFill>
                  <w14:solidFill>
                    <w14:schemeClr w14:val="tx1"/>
                  </w14:solidFill>
                </w14:textFill>
              </w:rPr>
            </w:pPr>
          </w:p>
        </w:tc>
      </w:tr>
      <w:tr w14:paraId="4F57D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61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7CCCEA">
            <w:pPr>
              <w:rPr>
                <w:rFonts w:ascii="Calibri" w:hAnsi="Calibri" w:eastAsia="宋体" w:cs="Times New Roman"/>
                <w:color w:val="000000" w:themeColor="text1"/>
                <w14:textFill>
                  <w14:solidFill>
                    <w14:schemeClr w14:val="tx1"/>
                  </w14:solidFill>
                </w14:textFill>
              </w:rPr>
            </w:pP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31894DE8">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w:t>
            </w:r>
          </w:p>
        </w:tc>
        <w:tc>
          <w:tcPr>
            <w:tcW w:w="8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00F51">
            <w:pPr>
              <w:rPr>
                <w:rFonts w:ascii="Calibri" w:hAnsi="Calibri" w:eastAsia="宋体" w:cs="Times New Roman"/>
                <w:color w:val="000000" w:themeColor="text1"/>
                <w14:textFill>
                  <w14:solidFill>
                    <w14:schemeClr w14:val="tx1"/>
                  </w14:solidFill>
                </w14:textFill>
              </w:rPr>
            </w:pPr>
          </w:p>
        </w:tc>
      </w:tr>
      <w:tr w14:paraId="1FA45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616" w:type="pct"/>
            <w:gridSpan w:val="2"/>
            <w:tcBorders>
              <w:top w:val="single" w:color="000000" w:sz="4" w:space="0"/>
              <w:left w:val="single" w:color="000000" w:sz="4" w:space="0"/>
              <w:bottom w:val="single" w:color="000000" w:sz="4" w:space="0"/>
              <w:right w:val="single" w:color="000000" w:sz="4" w:space="0"/>
            </w:tcBorders>
            <w:noWrap w:val="0"/>
            <w:vAlign w:val="center"/>
          </w:tcPr>
          <w:p w14:paraId="7D02E4D5">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垂直变形</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408F9CB2">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mm</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7F45CCD0">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4～11</w:t>
            </w:r>
          </w:p>
        </w:tc>
      </w:tr>
      <w:tr w14:paraId="472AA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096" w:type="pct"/>
            <w:tcBorders>
              <w:top w:val="single" w:color="000000" w:sz="4" w:space="0"/>
              <w:left w:val="single" w:color="000000" w:sz="4" w:space="0"/>
              <w:bottom w:val="single" w:color="000000" w:sz="4" w:space="0"/>
              <w:right w:val="single" w:color="000000" w:sz="4" w:space="0"/>
            </w:tcBorders>
            <w:noWrap w:val="0"/>
            <w:vAlign w:val="center"/>
          </w:tcPr>
          <w:p w14:paraId="63BEA606">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草丝拉断力</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6E5A3193">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单丝</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D660D98">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N</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3A5F680D">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≥10</w:t>
            </w:r>
          </w:p>
        </w:tc>
      </w:tr>
      <w:tr w14:paraId="6DC46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3616" w:type="pct"/>
            <w:gridSpan w:val="2"/>
            <w:tcBorders>
              <w:top w:val="single" w:color="000000" w:sz="4" w:space="0"/>
              <w:left w:val="single" w:color="000000" w:sz="4" w:space="0"/>
              <w:bottom w:val="single" w:color="000000" w:sz="4" w:space="0"/>
              <w:right w:val="single" w:color="000000" w:sz="4" w:space="0"/>
            </w:tcBorders>
            <w:noWrap w:val="0"/>
            <w:vAlign w:val="center"/>
          </w:tcPr>
          <w:p w14:paraId="3F5A4EB0">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单簇草丝拔出力</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7D1160EB">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N</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12407DEB">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≥20</w:t>
            </w:r>
          </w:p>
        </w:tc>
      </w:tr>
      <w:tr w14:paraId="4758B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3096" w:type="pct"/>
            <w:tcBorders>
              <w:top w:val="single" w:color="000000" w:sz="4" w:space="0"/>
              <w:left w:val="single" w:color="000000" w:sz="4" w:space="0"/>
              <w:bottom w:val="single" w:color="000000" w:sz="4" w:space="0"/>
              <w:right w:val="single" w:color="000000" w:sz="4" w:space="0"/>
            </w:tcBorders>
            <w:noWrap w:val="0"/>
            <w:vAlign w:val="center"/>
          </w:tcPr>
          <w:p w14:paraId="0B8D07D1">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加速老化500h后草丝拉断力保持率，%</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6111C81E">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单丝</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AA32C5A">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77B9792E">
            <w:pPr>
              <w:widowControl/>
              <w:spacing w:line="96" w:lineRule="atLeast"/>
              <w:jc w:val="both"/>
              <w:rPr>
                <w:rFonts w:ascii="宋体" w:hAnsi="Calibri" w:eastAsia="宋体" w:cs="Times New Roman"/>
                <w:color w:val="000000" w:themeColor="text1"/>
                <w:kern w:val="2"/>
                <w:sz w:val="21"/>
                <w:szCs w:val="21"/>
                <w:lang w:val="en-US" w:eastAsia="zh-CN" w:bidi="ar-SA"/>
                <w14:textFill>
                  <w14:solidFill>
                    <w14:schemeClr w14:val="tx1"/>
                  </w14:solidFill>
                </w14:textFill>
              </w:rPr>
            </w:pPr>
            <w:r>
              <w:rPr>
                <w:rFonts w:hint="eastAsia" w:ascii="宋体" w:hAnsi="Calibri" w:eastAsia="宋体" w:cs="Times New Roman"/>
                <w:color w:val="000000" w:themeColor="text1"/>
                <w:kern w:val="2"/>
                <w:sz w:val="21"/>
                <w:szCs w:val="21"/>
                <w:lang w:val="en-US" w:eastAsia="zh-CN" w:bidi="ar-SA"/>
                <w14:textFill>
                  <w14:solidFill>
                    <w14:schemeClr w14:val="tx1"/>
                  </w14:solidFill>
                </w14:textFill>
              </w:rPr>
              <w:t>≥80</w:t>
            </w:r>
          </w:p>
        </w:tc>
      </w:tr>
    </w:tbl>
    <w:p w14:paraId="5B480183">
      <w:pPr>
        <w:widowControl/>
        <w:spacing w:line="96" w:lineRule="atLeast"/>
        <w:ind w:firstLine="422" w:firstLineChars="200"/>
        <w:jc w:val="both"/>
        <w:rPr>
          <w:rFonts w:ascii="Calibri" w:hAnsi="Calibri" w:eastAsia="宋体" w:cs="Times New Roman"/>
          <w:b/>
          <w:bCs/>
          <w:color w:val="000000" w:themeColor="text1"/>
          <w:kern w:val="2"/>
          <w:sz w:val="24"/>
          <w:szCs w:val="21"/>
          <w:lang w:val="en-US" w:eastAsia="zh-CN" w:bidi="ar-SA"/>
          <w14:textFill>
            <w14:solidFill>
              <w14:schemeClr w14:val="tx1"/>
            </w14:solidFill>
          </w14:textFill>
        </w:rPr>
      </w:pPr>
      <w:r>
        <w:rPr>
          <w:rFonts w:hint="eastAsia" w:ascii="宋体" w:hAnsi="Calibri" w:eastAsia="宋体" w:cs="Times New Roman"/>
          <w:b/>
          <w:color w:val="000000" w:themeColor="text1"/>
          <w:kern w:val="2"/>
          <w:sz w:val="21"/>
          <w:szCs w:val="21"/>
          <w:lang w:val="en-US" w:eastAsia="zh-CN" w:bidi="ar-SA"/>
          <w14:textFill>
            <w14:solidFill>
              <w14:schemeClr w14:val="tx1"/>
            </w14:solidFill>
          </w14:textFill>
        </w:rPr>
        <w:t>5.3</w:t>
      </w:r>
      <w:r>
        <w:rPr>
          <w:rFonts w:hint="eastAsia" w:ascii="Calibri" w:hAnsi="Calibri" w:eastAsia="宋体" w:cs="Times New Roman"/>
          <w:b/>
          <w:bCs/>
          <w:color w:val="000000" w:themeColor="text1"/>
          <w:kern w:val="2"/>
          <w:sz w:val="21"/>
          <w:szCs w:val="21"/>
          <w:lang w:val="en-US" w:eastAsia="zh-CN" w:bidi="ar-SA"/>
          <w14:textFill>
            <w14:solidFill>
              <w14:schemeClr w14:val="tx1"/>
            </w14:solidFill>
          </w14:textFill>
        </w:rPr>
        <w:t>足球场人造草坪的技术要求</w:t>
      </w:r>
    </w:p>
    <w:tbl>
      <w:tblPr>
        <w:tblStyle w:val="4"/>
        <w:tblW w:w="8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227"/>
        <w:gridCol w:w="5992"/>
      </w:tblGrid>
      <w:tr w14:paraId="3AC21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634AE">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草丝形状及编织工艺</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002DD">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加厚</w:t>
            </w:r>
            <w:r>
              <w:rPr>
                <w:rFonts w:ascii="宋体" w:hAnsi="Calibri" w:eastAsia="宋体" w:cs="宋体"/>
                <w:color w:val="000000" w:themeColor="text1"/>
                <w:kern w:val="0"/>
                <w:szCs w:val="21"/>
                <w14:textFill>
                  <w14:solidFill>
                    <w14:schemeClr w14:val="tx1"/>
                  </w14:solidFill>
                </w14:textFill>
              </w:rPr>
              <w:t>加宽</w:t>
            </w:r>
            <w:r>
              <w:rPr>
                <w:rFonts w:hint="eastAsia" w:ascii="宋体" w:hAnsi="Calibri" w:eastAsia="宋体" w:cs="宋体"/>
                <w:color w:val="000000" w:themeColor="text1"/>
                <w:kern w:val="0"/>
                <w:szCs w:val="21"/>
                <w14:textFill>
                  <w14:solidFill>
                    <w14:schemeClr w14:val="tx1"/>
                  </w14:solidFill>
                </w14:textFill>
              </w:rPr>
              <w:t>挤出型PE单丝</w:t>
            </w:r>
          </w:p>
        </w:tc>
      </w:tr>
      <w:tr w14:paraId="5C5A9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81923">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草丝颜色</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6A844">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翠绿</w:t>
            </w:r>
            <w:r>
              <w:rPr>
                <w:rFonts w:hint="eastAsia" w:ascii="宋体" w:hAnsi="Calibri" w:eastAsia="宋体" w:cs="宋体"/>
                <w:color w:val="000000" w:themeColor="text1"/>
                <w:kern w:val="0"/>
                <w:szCs w:val="21"/>
                <w:lang w:val="en-US" w:eastAsia="zh-CN"/>
                <w14:textFill>
                  <w14:solidFill>
                    <w14:schemeClr w14:val="tx1"/>
                  </w14:solidFill>
                </w14:textFill>
              </w:rPr>
              <w:t>/</w:t>
            </w:r>
            <w:r>
              <w:rPr>
                <w:rFonts w:hint="eastAsia" w:ascii="宋体" w:hAnsi="Calibri" w:eastAsia="宋体" w:cs="宋体"/>
                <w:color w:val="000000" w:themeColor="text1"/>
                <w:kern w:val="0"/>
                <w:szCs w:val="21"/>
                <w14:textFill>
                  <w14:solidFill>
                    <w14:schemeClr w14:val="tx1"/>
                  </w14:solidFill>
                </w14:textFill>
              </w:rPr>
              <w:t>柠檬黄</w:t>
            </w:r>
          </w:p>
        </w:tc>
      </w:tr>
      <w:tr w14:paraId="190B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47D5F">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底布走针方式</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EFD7E9">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“一</w:t>
            </w:r>
            <w:r>
              <w:rPr>
                <w:rStyle w:val="6"/>
                <w:rFonts w:hAnsi="Calibri"/>
                <w:color w:val="000000" w:themeColor="text1"/>
                <w14:textFill>
                  <w14:solidFill>
                    <w14:schemeClr w14:val="tx1"/>
                  </w14:solidFill>
                </w14:textFill>
              </w:rPr>
              <w:t>”字形走针</w:t>
            </w:r>
          </w:p>
        </w:tc>
      </w:tr>
      <w:tr w14:paraId="5F728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4084A">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草纤维磅重</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45F00">
            <w:pPr>
              <w:widowControl/>
              <w:jc w:val="center"/>
              <w:textAlignment w:val="top"/>
              <w:rPr>
                <w:rFonts w:ascii="宋体" w:hAnsi="Calibri" w:eastAsia="宋体" w:cs="宋体"/>
                <w:color w:val="000000" w:themeColor="text1"/>
                <w:szCs w:val="21"/>
                <w14:textFill>
                  <w14:solidFill>
                    <w14:schemeClr w14:val="tx1"/>
                  </w14:solidFill>
                </w14:textFill>
              </w:rPr>
            </w:pPr>
            <w:r>
              <w:rPr>
                <w:rStyle w:val="6"/>
                <w:rFonts w:hAnsi="Calibri"/>
                <w:color w:val="000000" w:themeColor="text1"/>
                <w14:textFill>
                  <w14:solidFill>
                    <w14:schemeClr w14:val="tx1"/>
                  </w14:solidFill>
                </w14:textFill>
              </w:rPr>
              <w:t>9500dtex</w:t>
            </w:r>
          </w:p>
        </w:tc>
      </w:tr>
      <w:tr w14:paraId="3244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D5F9B5">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草高</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59197">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50mm</w:t>
            </w:r>
          </w:p>
        </w:tc>
      </w:tr>
      <w:tr w14:paraId="4FF78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92096">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密度</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BF0A1">
            <w:pPr>
              <w:widowControl/>
              <w:jc w:val="center"/>
              <w:textAlignment w:val="top"/>
              <w:rPr>
                <w:rFonts w:ascii="宋体" w:hAnsi="Calibri" w:eastAsia="宋体" w:cs="宋体"/>
                <w:color w:val="000000" w:themeColor="text1"/>
                <w:szCs w:val="21"/>
                <w14:textFill>
                  <w14:solidFill>
                    <w14:schemeClr w14:val="tx1"/>
                  </w14:solidFill>
                </w14:textFill>
              </w:rPr>
            </w:pPr>
            <w:r>
              <w:rPr>
                <w:rStyle w:val="6"/>
                <w:rFonts w:hAnsi="Calibri"/>
                <w:color w:val="000000" w:themeColor="text1"/>
                <w14:textFill>
                  <w14:solidFill>
                    <w14:schemeClr w14:val="tx1"/>
                  </w14:solidFill>
                </w14:textFill>
              </w:rPr>
              <w:t>10500针/㎡</w:t>
            </w:r>
          </w:p>
        </w:tc>
      </w:tr>
      <w:tr w14:paraId="56529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 w:hRule="atLeast"/>
          <w:jc w:val="center"/>
        </w:trPr>
        <w:tc>
          <w:tcPr>
            <w:tcW w:w="2227" w:type="dxa"/>
            <w:tcBorders>
              <w:top w:val="single" w:color="000000" w:sz="4" w:space="0"/>
              <w:left w:val="single" w:color="000000" w:sz="4" w:space="0"/>
              <w:bottom w:val="single" w:color="000000" w:sz="4" w:space="0"/>
              <w:right w:val="single" w:color="000000" w:sz="4" w:space="0"/>
            </w:tcBorders>
            <w:noWrap w:val="0"/>
            <w:vAlign w:val="center"/>
          </w:tcPr>
          <w:p w14:paraId="36D1ECDA">
            <w:pPr>
              <w:widowControl/>
              <w:jc w:val="center"/>
              <w:textAlignment w:val="top"/>
              <w:rPr>
                <w:rFonts w:ascii="宋体" w:hAnsi="Calibri" w:eastAsia="宋体" w:cs="宋体"/>
                <w:color w:val="000000" w:themeColor="text1"/>
                <w:kern w:val="0"/>
                <w:szCs w:val="21"/>
                <w14:textFill>
                  <w14:solidFill>
                    <w14:schemeClr w14:val="tx1"/>
                  </w14:solidFill>
                </w14:textFill>
              </w:rPr>
            </w:pPr>
            <w:r>
              <w:rPr>
                <w:rFonts w:ascii="宋体" w:hAnsi="Calibri" w:eastAsia="宋体" w:cs="宋体"/>
                <w:color w:val="000000" w:themeColor="text1"/>
                <w:kern w:val="0"/>
                <w:szCs w:val="21"/>
                <w14:textFill>
                  <w14:solidFill>
                    <w14:schemeClr w14:val="tx1"/>
                  </w14:solidFill>
                </w14:textFill>
              </w:rPr>
              <w:t>草丝厚度</w:t>
            </w:r>
          </w:p>
        </w:tc>
        <w:tc>
          <w:tcPr>
            <w:tcW w:w="5992" w:type="dxa"/>
            <w:tcBorders>
              <w:top w:val="single" w:color="000000" w:sz="4" w:space="0"/>
              <w:left w:val="single" w:color="000000" w:sz="4" w:space="0"/>
              <w:bottom w:val="single" w:color="000000" w:sz="4" w:space="0"/>
              <w:right w:val="single" w:color="000000" w:sz="4" w:space="0"/>
            </w:tcBorders>
            <w:noWrap w:val="0"/>
            <w:vAlign w:val="center"/>
          </w:tcPr>
          <w:p w14:paraId="566BBF92">
            <w:pPr>
              <w:widowControl/>
              <w:jc w:val="center"/>
              <w:textAlignment w:val="top"/>
              <w:rPr>
                <w:rFonts w:ascii="宋体" w:hAnsi="Calibri" w:eastAsia="宋体" w:cs="宋体"/>
                <w:color w:val="000000" w:themeColor="text1"/>
                <w:kern w:val="0"/>
                <w:szCs w:val="21"/>
                <w14:textFill>
                  <w14:solidFill>
                    <w14:schemeClr w14:val="tx1"/>
                  </w14:solidFill>
                </w14:textFill>
              </w:rPr>
            </w:pPr>
            <w:r>
              <w:rPr>
                <w:rFonts w:ascii="宋体" w:hAnsi="Calibri" w:eastAsia="宋体" w:cs="宋体"/>
                <w:color w:val="000000" w:themeColor="text1"/>
                <w:kern w:val="0"/>
                <w:szCs w:val="21"/>
                <w14:textFill>
                  <w14:solidFill>
                    <w14:schemeClr w14:val="tx1"/>
                  </w14:solidFill>
                </w14:textFill>
              </w:rPr>
              <w:t>270-320</w:t>
            </w:r>
            <w:r>
              <w:rPr>
                <w:rFonts w:hint="eastAsia" w:ascii="宋体" w:hAnsi="Calibri" w:eastAsia="宋体" w:cs="宋体"/>
                <w:color w:val="000000" w:themeColor="text1"/>
                <w:kern w:val="0"/>
                <w:szCs w:val="21"/>
                <w14:textFill>
                  <w14:solidFill>
                    <w14:schemeClr w14:val="tx1"/>
                  </w14:solidFill>
                </w14:textFill>
              </w:rPr>
              <w:t>μm</w:t>
            </w:r>
          </w:p>
        </w:tc>
      </w:tr>
      <w:tr w14:paraId="56918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81077">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底布材质</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9082E">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双层加强底布</w:t>
            </w:r>
          </w:p>
        </w:tc>
      </w:tr>
      <w:tr w14:paraId="0F07B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904C3">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背胶</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300A3">
            <w:pPr>
              <w:widowControl/>
              <w:jc w:val="center"/>
              <w:textAlignment w:val="top"/>
              <w:rPr>
                <w:rFonts w:ascii="宋体" w:hAnsi="Calibri" w:eastAsia="宋体" w:cs="宋体"/>
                <w:color w:val="000000" w:themeColor="text1"/>
                <w:szCs w:val="21"/>
                <w14:textFill>
                  <w14:solidFill>
                    <w14:schemeClr w14:val="tx1"/>
                  </w14:solidFill>
                </w14:textFill>
              </w:rPr>
            </w:pPr>
            <w:r>
              <w:rPr>
                <w:rFonts w:ascii="宋体" w:hAnsi="Calibri" w:eastAsia="宋体" w:cs="宋体"/>
                <w:color w:val="000000" w:themeColor="text1"/>
                <w:kern w:val="0"/>
                <w:szCs w:val="21"/>
                <w14:textFill>
                  <w14:solidFill>
                    <w14:schemeClr w14:val="tx1"/>
                  </w14:solidFill>
                </w14:textFill>
              </w:rPr>
              <w:t>环保丁苯</w:t>
            </w:r>
            <w:r>
              <w:rPr>
                <w:rFonts w:hint="eastAsia" w:ascii="宋体" w:hAnsi="Calibri" w:eastAsia="宋体" w:cs="宋体"/>
                <w:color w:val="000000" w:themeColor="text1"/>
                <w:kern w:val="0"/>
                <w:szCs w:val="21"/>
                <w14:textFill>
                  <w14:solidFill>
                    <w14:schemeClr w14:val="tx1"/>
                  </w14:solidFill>
                </w14:textFill>
              </w:rPr>
              <w:t>乳胶（必须是机器通过高温渗透）</w:t>
            </w:r>
          </w:p>
        </w:tc>
      </w:tr>
      <w:tr w14:paraId="01139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BAB04">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排水性</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42EDA">
            <w:pPr>
              <w:widowControl/>
              <w:jc w:val="center"/>
              <w:textAlignment w:val="top"/>
              <w:rPr>
                <w:rFonts w:ascii="Calibri" w:hAnsi="Calibri" w:eastAsia="宋体" w:cs="Times New Roman"/>
                <w:color w:val="000000" w:themeColor="text1"/>
                <w14:textFill>
                  <w14:solidFill>
                    <w14:schemeClr w14:val="tx1"/>
                  </w14:solidFill>
                </w14:textFill>
              </w:rPr>
            </w:pPr>
            <w:r>
              <w:rPr>
                <w:rFonts w:hint="eastAsia" w:ascii="Calibri" w:hAnsi="Calibri" w:eastAsia="宋体" w:cs="Times New Roman"/>
                <w:color w:val="000000" w:themeColor="text1"/>
                <w14:textFill>
                  <w14:solidFill>
                    <w14:schemeClr w14:val="tx1"/>
                  </w14:solidFill>
                </w14:textFill>
              </w:rPr>
              <w:t>未填沙：</w:t>
            </w:r>
            <w:r>
              <w:rPr>
                <w:rFonts w:ascii="Calibri" w:hAnsi="Calibri" w:eastAsia="宋体" w:cs="Times New Roman"/>
                <w:color w:val="000000" w:themeColor="text1"/>
                <w14:textFill>
                  <w14:solidFill>
                    <w14:schemeClr w14:val="tx1"/>
                  </w14:solidFill>
                </w14:textFill>
              </w:rPr>
              <w:t>≥30升/平方米/分钟</w:t>
            </w:r>
          </w:p>
          <w:p w14:paraId="5656AE51">
            <w:pPr>
              <w:pStyle w:val="7"/>
              <w:jc w:val="center"/>
              <w:rPr>
                <w:color w:val="000000" w:themeColor="text1"/>
                <w14:textFill>
                  <w14:solidFill>
                    <w14:schemeClr w14:val="tx1"/>
                  </w14:solidFill>
                </w14:textFill>
              </w:rPr>
            </w:pPr>
            <w:r>
              <w:rPr>
                <w:rFonts w:hint="eastAsia" w:ascii="宋体" w:cs="宋体"/>
                <w:color w:val="000000" w:themeColor="text1"/>
                <w:kern w:val="0"/>
                <w:szCs w:val="21"/>
                <w14:textFill>
                  <w14:solidFill>
                    <w14:schemeClr w14:val="tx1"/>
                  </w14:solidFill>
                </w14:textFill>
              </w:rPr>
              <w:t>填沙：≥10升/平方米/分钟</w:t>
            </w:r>
          </w:p>
        </w:tc>
      </w:tr>
      <w:tr w14:paraId="3C9DA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FBF2C">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卷宽</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69189">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4米（卷长：按场地实际需要）</w:t>
            </w:r>
          </w:p>
        </w:tc>
      </w:tr>
      <w:tr w14:paraId="1CD99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A5C97">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填充物要求</w:t>
            </w: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9A3A2">
            <w:pPr>
              <w:widowControl/>
              <w:jc w:val="center"/>
              <w:textAlignment w:val="top"/>
              <w:rPr>
                <w:rFonts w:ascii="宋体" w:hAnsi="Calibri" w:eastAsia="宋体" w:cs="宋体"/>
                <w:color w:val="000000" w:themeColor="text1"/>
                <w:szCs w:val="21"/>
                <w14:textFill>
                  <w14:solidFill>
                    <w14:schemeClr w14:val="tx1"/>
                  </w14:solidFill>
                </w14:textFill>
              </w:rPr>
            </w:pPr>
            <w:r>
              <w:rPr>
                <w:rFonts w:hint="eastAsia" w:ascii="宋体" w:hAnsi="Calibri" w:eastAsia="宋体" w:cs="宋体"/>
                <w:color w:val="000000" w:themeColor="text1"/>
                <w:kern w:val="0"/>
                <w:szCs w:val="21"/>
                <w14:textFill>
                  <w14:solidFill>
                    <w14:schemeClr w14:val="tx1"/>
                  </w14:solidFill>
                </w14:textFill>
              </w:rPr>
              <w:t>石英砂粒径30-50目，填充</w:t>
            </w:r>
            <w:r>
              <w:rPr>
                <w:rFonts w:hint="eastAsia" w:ascii="宋体" w:hAnsi="Calibri" w:eastAsia="宋体" w:cs="宋体"/>
                <w:color w:val="000000" w:themeColor="text1"/>
                <w:kern w:val="0"/>
                <w:szCs w:val="21"/>
                <w:lang w:val="en-US" w:eastAsia="zh-CN"/>
                <w14:textFill>
                  <w14:solidFill>
                    <w14:schemeClr w14:val="tx1"/>
                  </w14:solidFill>
                </w14:textFill>
              </w:rPr>
              <w:t>28-32</w:t>
            </w:r>
            <w:r>
              <w:rPr>
                <w:rFonts w:hint="eastAsia" w:ascii="宋体" w:hAnsi="Calibri" w:eastAsia="宋体" w:cs="宋体"/>
                <w:color w:val="000000" w:themeColor="text1"/>
                <w:kern w:val="0"/>
                <w:szCs w:val="21"/>
                <w14:textFill>
                  <w14:solidFill>
                    <w14:schemeClr w14:val="tx1"/>
                  </w14:solidFill>
                </w14:textFill>
              </w:rPr>
              <w:t>kg/㎡；</w:t>
            </w:r>
          </w:p>
        </w:tc>
      </w:tr>
      <w:tr w14:paraId="13FF4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222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2BC3F">
            <w:pPr>
              <w:rPr>
                <w:rFonts w:ascii="Calibri" w:hAnsi="Calibri" w:eastAsia="宋体" w:cs="Times New Roman"/>
                <w:color w:val="000000" w:themeColor="text1"/>
                <w14:textFill>
                  <w14:solidFill>
                    <w14:schemeClr w14:val="tx1"/>
                  </w14:solidFill>
                </w14:textFill>
              </w:rPr>
            </w:pPr>
          </w:p>
        </w:tc>
        <w:tc>
          <w:tcPr>
            <w:tcW w:w="5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074D69">
            <w:pPr>
              <w:widowControl/>
              <w:jc w:val="center"/>
              <w:textAlignment w:val="top"/>
              <w:rPr>
                <w:rFonts w:ascii="宋体" w:hAnsi="Calibri" w:eastAsia="宋体" w:cs="宋体"/>
                <w:color w:val="000000" w:themeColor="text1"/>
                <w:szCs w:val="21"/>
                <w14:textFill>
                  <w14:solidFill>
                    <w14:schemeClr w14:val="tx1"/>
                  </w14:solidFill>
                </w14:textFill>
              </w:rPr>
            </w:pPr>
            <w:r>
              <w:rPr>
                <w:rFonts w:ascii="宋体" w:hAnsi="Calibri" w:eastAsia="宋体" w:cs="宋体"/>
                <w:color w:val="000000" w:themeColor="text1"/>
                <w:kern w:val="0"/>
                <w:szCs w:val="21"/>
                <w14:textFill>
                  <w14:solidFill>
                    <w14:schemeClr w14:val="tx1"/>
                  </w14:solidFill>
                </w14:textFill>
              </w:rPr>
              <w:t>绿色，环保</w:t>
            </w:r>
            <w:r>
              <w:rPr>
                <w:rFonts w:hint="eastAsia" w:ascii="宋体" w:hAnsi="Calibri" w:eastAsia="宋体" w:cs="宋体"/>
                <w:color w:val="000000" w:themeColor="text1"/>
                <w:kern w:val="0"/>
                <w:szCs w:val="21"/>
                <w14:textFill>
                  <w14:solidFill>
                    <w14:schemeClr w14:val="tx1"/>
                  </w14:solidFill>
                </w14:textFill>
              </w:rPr>
              <w:t>颗粒，填</w:t>
            </w:r>
            <w:r>
              <w:rPr>
                <w:rFonts w:ascii="宋体" w:hAnsi="Calibri" w:eastAsia="宋体" w:cs="宋体"/>
                <w:color w:val="000000" w:themeColor="text1"/>
                <w:kern w:val="0"/>
                <w:szCs w:val="21"/>
                <w14:textFill>
                  <w14:solidFill>
                    <w14:schemeClr w14:val="tx1"/>
                  </w14:solidFill>
                </w14:textFill>
              </w:rPr>
              <w:t>充5</w:t>
            </w:r>
            <w:r>
              <w:rPr>
                <w:rFonts w:hint="eastAsia" w:ascii="宋体" w:hAnsi="Calibri" w:eastAsia="宋体" w:cs="宋体"/>
                <w:color w:val="000000" w:themeColor="text1"/>
                <w:kern w:val="0"/>
                <w:szCs w:val="21"/>
                <w:lang w:val="en-US" w:eastAsia="zh-CN"/>
                <w14:textFill>
                  <w14:solidFill>
                    <w14:schemeClr w14:val="tx1"/>
                  </w14:solidFill>
                </w14:textFill>
              </w:rPr>
              <w:t>-6</w:t>
            </w:r>
            <w:r>
              <w:rPr>
                <w:rStyle w:val="6"/>
                <w:rFonts w:hAnsi="Calibri"/>
                <w:color w:val="000000" w:themeColor="text1"/>
                <w14:textFill>
                  <w14:solidFill>
                    <w14:schemeClr w14:val="tx1"/>
                  </w14:solidFill>
                </w14:textFill>
              </w:rPr>
              <w:t>kg/㎡</w:t>
            </w:r>
          </w:p>
        </w:tc>
      </w:tr>
    </w:tbl>
    <w:p w14:paraId="3492438F">
      <w:pPr>
        <w:keepNext w:val="0"/>
        <w:keepLines w:val="0"/>
        <w:widowControl/>
        <w:suppressLineNumbers w:val="0"/>
        <w:ind w:firstLine="420" w:firstLineChars="200"/>
        <w:jc w:val="left"/>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5.4</w:t>
      </w:r>
      <w:r>
        <w:rPr>
          <w:rFonts w:hint="eastAsia" w:ascii="宋体" w:hAnsi="宋体" w:eastAsia="宋体" w:cs="宋体"/>
          <w:b/>
          <w:bCs/>
          <w:color w:val="000000" w:themeColor="text1"/>
          <w:kern w:val="0"/>
          <w:sz w:val="20"/>
          <w:szCs w:val="20"/>
          <w:lang w:val="en-US" w:eastAsia="zh-CN" w:bidi="ar"/>
          <w14:textFill>
            <w14:solidFill>
              <w14:schemeClr w14:val="tx1"/>
            </w14:solidFill>
          </w14:textFill>
        </w:rPr>
        <w:t>人造草坪产品可靠性要求</w:t>
      </w:r>
    </w:p>
    <w:p w14:paraId="1F1F7C4B">
      <w:pPr>
        <w:widowControl/>
        <w:spacing w:line="276" w:lineRule="auto"/>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 xml:space="preserve">   </w:t>
      </w:r>
      <w:r>
        <w:rPr>
          <w:rFonts w:hint="eastAsia" w:ascii="宋体" w:hAnsi="宋体" w:eastAsia="宋体" w:cs="仿宋"/>
          <w:color w:val="000000" w:themeColor="text1"/>
          <w:kern w:val="0"/>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5.4.1</w:t>
      </w:r>
      <w:r>
        <w:rPr>
          <w:rFonts w:hint="eastAsia" w:ascii="宋体" w:hAnsi="宋体" w:eastAsia="宋体" w:cs="宋体"/>
          <w:color w:val="000000" w:themeColor="text1"/>
          <w:kern w:val="0"/>
          <w:szCs w:val="21"/>
          <w14:textFill>
            <w14:solidFill>
              <w14:schemeClr w14:val="tx1"/>
            </w14:solidFill>
          </w14:textFill>
        </w:rPr>
        <w:t>人造草坪产品依据GB/T 20394-2019、GB36246-2018、GB/T 43566-2023标准测试草丝拉断力≥23N、单簇草丝拔出力≥115N，底布拉断力（纵向）≥2200N,底布拉断力（横向）≥2000N，经过氙灯500h+耐酸（30%硫酸）500h+耐碱（20%碳酸钠）500h+常温常湿（23℃、湿度50%）500h+高温（90℃、湿度5%）500h+低温（-40℃、湿度5%）500h老化后测试草丝耐气候色牢度≥7级、草丝拉断力保留率≥85%、单簇草丝拔出力保留率≥85%，底布拉断力保留率（纵向）≥85%,底布拉断力保留率（横向）≥85%的专项报告。</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需提供具有运动场地检测资质的检验检测机构出具的具有CMA或CNAS标志的检验检测报告扫描件及该检测机构的运动场地检测资质证明截图并加盖投标人公章。</w:t>
      </w:r>
      <w:r>
        <w:rPr>
          <w:rFonts w:hint="eastAsia" w:ascii="宋体" w:hAnsi="宋体" w:eastAsia="宋体" w:cs="宋体"/>
          <w:color w:val="000000" w:themeColor="text1"/>
          <w:kern w:val="0"/>
          <w:szCs w:val="21"/>
          <w:lang w:eastAsia="zh-CN"/>
          <w14:textFill>
            <w14:solidFill>
              <w14:schemeClr w14:val="tx1"/>
            </w14:solidFill>
          </w14:textFill>
        </w:rPr>
        <w:t>）</w:t>
      </w:r>
    </w:p>
    <w:p w14:paraId="2343D6E7">
      <w:pPr>
        <w:widowControl/>
        <w:spacing w:line="276" w:lineRule="auto"/>
        <w:ind w:firstLine="420" w:firstLineChars="200"/>
        <w:rPr>
          <w:rFonts w:hint="default" w:ascii="宋体" w:hAnsi="宋体" w:eastAsia="宋体" w:cs="宋体"/>
          <w:color w:val="000000" w:themeColor="text1"/>
          <w:kern w:val="0"/>
          <w:szCs w:val="21"/>
          <w:lang w:val="en-US" w:eastAsia="zh-CN"/>
          <w14:textFill>
            <w14:solidFill>
              <w14:schemeClr w14:val="tx1"/>
            </w14:solidFill>
          </w14:textFill>
        </w:rPr>
      </w:pPr>
      <w:r>
        <w:rPr>
          <w:rFonts w:hint="eastAsia" w:ascii="宋体" w:hAnsi="宋体" w:eastAsia="宋体" w:cs="仿宋"/>
          <w:color w:val="000000" w:themeColor="text1"/>
          <w:kern w:val="0"/>
          <w:szCs w:val="21"/>
          <w14:textFill>
            <w14:solidFill>
              <w14:schemeClr w14:val="tx1"/>
            </w14:solidFill>
          </w14:textFill>
        </w:rPr>
        <w:t>▲</w:t>
      </w:r>
      <w:r>
        <w:rPr>
          <w:rFonts w:hint="eastAsia" w:ascii="宋体" w:hAnsi="宋体" w:eastAsia="宋体" w:cs="宋体"/>
          <w:color w:val="000000" w:themeColor="text1"/>
          <w:kern w:val="0"/>
          <w:szCs w:val="21"/>
          <w:lang w:val="en-US" w:eastAsia="zh-CN"/>
          <w14:textFill>
            <w14:solidFill>
              <w14:schemeClr w14:val="tx1"/>
            </w14:solidFill>
          </w14:textFill>
        </w:rPr>
        <w:t>5.4.2</w:t>
      </w:r>
      <w:r>
        <w:rPr>
          <w:rFonts w:hint="eastAsia" w:ascii="Times New Roman" w:hAnsi="Times New Roman" w:eastAsia="宋体" w:cs="Times New Roman"/>
          <w:color w:val="000000" w:themeColor="text1"/>
          <w14:textFill>
            <w14:solidFill>
              <w14:schemeClr w14:val="tx1"/>
            </w14:solidFill>
          </w14:textFill>
        </w:rPr>
        <w:t>人造草坪产品依据GB/T 20394-2019、GB36246-2018、GB/T 43566-2023标准进行经过氙灯500h+耐酸（30%硫酸）500h+耐碱（20%碳酸钠）500h+常温常湿（23℃、湿度50%）500h+高温（90℃、湿度5%）500h+低温（-40℃、湿度5%）500h老化后测试冲击吸收达50%-55%、垂直变形达6-8mm、阻燃性中心到损毁边沿最大距离≤45mm、抗静电：9×10</w:t>
      </w:r>
      <w:r>
        <w:rPr>
          <w:rFonts w:hint="eastAsia" w:ascii="Times New Roman" w:hAnsi="Times New Roman" w:eastAsia="宋体" w:cs="Times New Roman"/>
          <w:color w:val="000000" w:themeColor="text1"/>
          <w:vertAlign w:val="superscript"/>
          <w14:textFill>
            <w14:solidFill>
              <w14:schemeClr w14:val="tx1"/>
            </w14:solidFill>
          </w14:textFill>
        </w:rPr>
        <w:t>8</w:t>
      </w:r>
      <w:r>
        <w:rPr>
          <w:rFonts w:hint="eastAsia" w:ascii="Times New Roman" w:hAnsi="Times New Roman" w:eastAsia="宋体" w:cs="Times New Roman"/>
          <w:color w:val="000000" w:themeColor="text1"/>
          <w14:textFill>
            <w14:solidFill>
              <w14:schemeClr w14:val="tx1"/>
            </w14:solidFill>
          </w14:textFill>
        </w:rPr>
        <w:t>-1×10</w:t>
      </w:r>
      <w:r>
        <w:rPr>
          <w:rFonts w:hint="eastAsia" w:ascii="Times New Roman" w:hAnsi="Times New Roman" w:eastAsia="宋体" w:cs="Times New Roman"/>
          <w:color w:val="000000" w:themeColor="text1"/>
          <w:vertAlign w:val="superscript"/>
          <w14:textFill>
            <w14:solidFill>
              <w14:schemeClr w14:val="tx1"/>
            </w14:solidFill>
          </w14:textFill>
        </w:rPr>
        <w:t>9</w:t>
      </w:r>
      <w:r>
        <w:rPr>
          <w:rFonts w:hint="eastAsia" w:ascii="Times New Roman" w:hAnsi="Times New Roman" w:eastAsia="宋体" w:cs="Times New Roman"/>
          <w:color w:val="000000" w:themeColor="text1"/>
          <w14:textFill>
            <w14:solidFill>
              <w14:schemeClr w14:val="tx1"/>
            </w14:solidFill>
          </w14:textFill>
        </w:rPr>
        <w:t>Ω、拉伸强度≥700N/100mm、剥离强度≥90N/100mm、渗水速率≥200mm/h的专项报告。</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需提供具有运动场地检测资质的检验检测机构出具的具有CMA或CNAS标志的检验检测报告扫描件及该检测机构的运动场地检测资质证明截图并加盖投标人公章。</w:t>
      </w:r>
      <w:r>
        <w:rPr>
          <w:rFonts w:hint="eastAsia" w:ascii="宋体" w:hAnsi="宋体" w:eastAsia="宋体" w:cs="宋体"/>
          <w:color w:val="000000" w:themeColor="text1"/>
          <w:kern w:val="0"/>
          <w:szCs w:val="21"/>
          <w:lang w:eastAsia="zh-CN"/>
          <w14:textFill>
            <w14:solidFill>
              <w14:schemeClr w14:val="tx1"/>
            </w14:solidFill>
          </w14:textFill>
        </w:rPr>
        <w:t>）</w:t>
      </w:r>
    </w:p>
    <w:p w14:paraId="5AE9F392">
      <w:pPr>
        <w:widowControl/>
        <w:spacing w:line="276" w:lineRule="auto"/>
        <w:ind w:firstLine="420" w:firstLineChars="200"/>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eastAsia="宋体" w:cs="仿宋"/>
          <w:color w:val="000000" w:themeColor="text1"/>
          <w:kern w:val="0"/>
          <w:szCs w:val="21"/>
          <w14:textFill>
            <w14:solidFill>
              <w14:schemeClr w14:val="tx1"/>
            </w14:solidFill>
          </w14:textFill>
        </w:rPr>
        <w:t>▲</w:t>
      </w:r>
      <w:r>
        <w:rPr>
          <w:rFonts w:hint="eastAsia" w:ascii="宋体" w:hAnsi="宋体" w:eastAsia="宋体" w:cs="宋体"/>
          <w:color w:val="000000" w:themeColor="text1"/>
          <w:kern w:val="0"/>
          <w:szCs w:val="21"/>
          <w:lang w:val="en-US" w:eastAsia="zh-CN"/>
          <w14:textFill>
            <w14:solidFill>
              <w14:schemeClr w14:val="tx1"/>
            </w14:solidFill>
          </w14:textFill>
        </w:rPr>
        <w:t>5.4.3</w:t>
      </w:r>
      <w:r>
        <w:rPr>
          <w:rFonts w:hint="eastAsia" w:ascii="Times New Roman" w:hAnsi="Times New Roman" w:eastAsia="宋体" w:cs="Times New Roman"/>
          <w:color w:val="000000" w:themeColor="text1"/>
          <w14:textFill>
            <w14:solidFill>
              <w14:schemeClr w14:val="tx1"/>
            </w14:solidFill>
          </w14:textFill>
        </w:rPr>
        <w:t>人造草坪产品依据GB/T 20394-2019标准进行氙灯老化168小时+雨水（3%乙酸，40℃）老化168小时+高低温老化7次循环（每个循环60℃ 12小时、常温1小时、－40℃ 12小时）后测试TVOC、甲醛、苯乙烯、4-苯基环己烯及可迁移元素锑Sb、砷As、钡Ba、镉Cd、铬Cr、铅Pb、汞Hg、硒Se结果均为未检出，耐酸性(30%H₂SO₄,168h)、耐碱性(20%Na₂CO₃,168h)均合格的专项报告。</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需提供具有运动场地检测资质的检验检测机构出具的具有CMA或CNAS标志的检验检测报告扫描件及该检测机构的运动场地检测资质证明截图并加盖投标人公章。</w:t>
      </w:r>
      <w:r>
        <w:rPr>
          <w:rFonts w:hint="eastAsia" w:ascii="宋体" w:hAnsi="宋体" w:eastAsia="宋体" w:cs="宋体"/>
          <w:color w:val="000000" w:themeColor="text1"/>
          <w:kern w:val="0"/>
          <w:szCs w:val="21"/>
          <w:lang w:eastAsia="zh-CN"/>
          <w14:textFill>
            <w14:solidFill>
              <w14:schemeClr w14:val="tx1"/>
            </w14:solidFill>
          </w14:textFill>
        </w:rPr>
        <w:t>）</w:t>
      </w:r>
    </w:p>
    <w:p w14:paraId="1BDAE767">
      <w:pPr>
        <w:widowControl/>
        <w:spacing w:line="276" w:lineRule="auto"/>
        <w:ind w:firstLine="420" w:firstLineChars="200"/>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eastAsia="宋体" w:cs="仿宋"/>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5.4.4</w:t>
      </w:r>
      <w:r>
        <w:rPr>
          <w:rFonts w:hint="eastAsia" w:ascii="Times New Roman" w:hAnsi="Times New Roman" w:eastAsia="宋体" w:cs="Times New Roman"/>
          <w:color w:val="000000" w:themeColor="text1"/>
          <w14:textFill>
            <w14:solidFill>
              <w14:schemeClr w14:val="tx1"/>
            </w14:solidFill>
          </w14:textFill>
        </w:rPr>
        <w:t>人造草坪产品依据GB 36246-2018标准测试草丝拉断力≥12N、单簇草丝拔出力≥40N，经过氙灯老化500小时+雨水（3%乙酸，40℃）老化500小时+高低温老化20次循环（每个循环60℃ 12小时、常温1小时、－40℃ 12小时）老化后测试草丝拉断力保留率≥91%、单簇草丝拔出力保留率≥95%，冲击吸收、垂直变形均合格的专项报告。</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需提供具有运动场地检测资质的检验检测机构出具的具有CMA或CNAS标志的检验检测报告扫描件及该检测机构的运动场地检测资质证明截图并加盖投标人公章。</w:t>
      </w:r>
      <w:r>
        <w:rPr>
          <w:rFonts w:hint="eastAsia" w:ascii="宋体" w:hAnsi="宋体" w:eastAsia="宋体" w:cs="宋体"/>
          <w:color w:val="000000" w:themeColor="text1"/>
          <w:kern w:val="0"/>
          <w:szCs w:val="21"/>
          <w:lang w:eastAsia="zh-CN"/>
          <w14:textFill>
            <w14:solidFill>
              <w14:schemeClr w14:val="tx1"/>
            </w14:solidFill>
          </w14:textFill>
        </w:rPr>
        <w:t>）</w:t>
      </w:r>
    </w:p>
    <w:p w14:paraId="3409DF6C">
      <w:pPr>
        <w:widowControl/>
        <w:numPr>
          <w:ilvl w:val="0"/>
          <w:numId w:val="0"/>
        </w:numPr>
        <w:spacing w:line="276" w:lineRule="auto"/>
        <w:ind w:firstLine="420" w:firstLineChars="200"/>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pP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6、防锈</w:t>
      </w:r>
      <w:r>
        <w:rPr>
          <w:rFonts w:hint="default" w:ascii="Arial" w:hAnsi="Arial" w:eastAsia="宋体" w:cs="Arial"/>
          <w:i w:val="0"/>
          <w:iCs w:val="0"/>
          <w:caps w:val="0"/>
          <w:color w:val="000000" w:themeColor="text1"/>
          <w:spacing w:val="0"/>
          <w:sz w:val="21"/>
          <w:szCs w:val="21"/>
          <w:shd w:val="clear" w:color="auto" w:fill="FFFFFF"/>
          <w14:textFill>
            <w14:solidFill>
              <w14:schemeClr w14:val="tx1"/>
            </w14:solidFill>
          </w14:textFill>
        </w:rPr>
        <w:t>漆</w:t>
      </w: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需</w:t>
      </w:r>
      <w:r>
        <w:rPr>
          <w:rFonts w:hint="default" w:ascii="Arial" w:hAnsi="Arial" w:eastAsia="宋体" w:cs="Arial"/>
          <w:i w:val="0"/>
          <w:iCs w:val="0"/>
          <w:caps w:val="0"/>
          <w:color w:val="000000" w:themeColor="text1"/>
          <w:spacing w:val="0"/>
          <w:sz w:val="21"/>
          <w:szCs w:val="21"/>
          <w:shd w:val="clear" w:color="auto" w:fill="FFFFFF"/>
          <w14:textFill>
            <w14:solidFill>
              <w14:schemeClr w14:val="tx1"/>
            </w14:solidFill>
          </w14:textFill>
        </w:rPr>
        <w:t>符合</w:t>
      </w: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国家</w:t>
      </w:r>
      <w:r>
        <w:rPr>
          <w:rFonts w:hint="default" w:ascii="Arial" w:hAnsi="Arial" w:eastAsia="宋体" w:cs="Arial"/>
          <w:i w:val="0"/>
          <w:iCs w:val="0"/>
          <w:caps w:val="0"/>
          <w:color w:val="000000" w:themeColor="text1"/>
          <w:spacing w:val="0"/>
          <w:sz w:val="21"/>
          <w:szCs w:val="21"/>
          <w:shd w:val="clear" w:color="auto" w:fill="FFFFFF"/>
          <w14:textFill>
            <w14:solidFill>
              <w14:schemeClr w14:val="tx1"/>
            </w14:solidFill>
          </w14:textFill>
        </w:rPr>
        <w:t>标准</w:t>
      </w:r>
      <w:r>
        <w:rPr>
          <w:rFonts w:hint="eastAsia" w:ascii="宋体" w:hAnsi="宋体" w:eastAsia="宋体" w:cs="宋体"/>
          <w:color w:val="000000" w:themeColor="text1"/>
          <w:szCs w:val="21"/>
          <w:lang w:eastAsia="zh-CN"/>
          <w14:textFill>
            <w14:solidFill>
              <w14:schemeClr w14:val="tx1"/>
            </w14:solidFill>
          </w14:textFill>
        </w:rPr>
        <w:t>。</w:t>
      </w:r>
    </w:p>
    <w:p w14:paraId="17553C85">
      <w:pPr>
        <w:widowControl/>
        <w:numPr>
          <w:ilvl w:val="0"/>
          <w:numId w:val="0"/>
        </w:numPr>
        <w:spacing w:line="276" w:lineRule="auto"/>
        <w:ind w:firstLine="420" w:firstLineChars="200"/>
        <w:rPr>
          <w:rFonts w:hint="eastAsia" w:ascii="宋体" w:hAnsi="宋体" w:eastAsia="宋体" w:cs="宋体"/>
          <w:color w:val="000000" w:themeColor="text1"/>
          <w:kern w:val="0"/>
          <w:szCs w:val="21"/>
          <w:lang w:eastAsia="zh-CN"/>
          <w14:textFill>
            <w14:solidFill>
              <w14:schemeClr w14:val="tx1"/>
            </w14:solidFill>
          </w14:textFill>
        </w:rPr>
      </w:pP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7、张拉软膜需符合国家标准</w:t>
      </w:r>
      <w:r>
        <w:rPr>
          <w:rFonts w:hint="eastAsia" w:ascii="宋体" w:hAnsi="宋体" w:eastAsia="宋体" w:cs="宋体"/>
          <w:color w:val="000000" w:themeColor="text1"/>
          <w:szCs w:val="21"/>
          <w:lang w:eastAsia="zh-CN"/>
          <w14:textFill>
            <w14:solidFill>
              <w14:schemeClr w14:val="tx1"/>
            </w14:solidFill>
          </w14:textFill>
        </w:rPr>
        <w:t>。</w:t>
      </w:r>
    </w:p>
    <w:p w14:paraId="604FD9E1">
      <w:pPr>
        <w:overflowPunct w:val="0"/>
        <w:topLinePunct/>
        <w:spacing w:line="360" w:lineRule="auto"/>
        <w:ind w:firstLine="422" w:firstLineChars="200"/>
        <w:jc w:val="left"/>
        <w:textAlignment w:val="top"/>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（六）项目特别说明（含结算方式、工程变更、工程竣工结算等）：</w:t>
      </w:r>
    </w:p>
    <w:p w14:paraId="16DF37D8">
      <w:pPr>
        <w:adjustRightInd w:val="0"/>
        <w:snapToGrid w:val="0"/>
        <w:spacing w:line="360" w:lineRule="auto"/>
        <w:ind w:firstLine="420" w:firstLineChars="200"/>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1、工程款支付方式：</w:t>
      </w:r>
      <w:r>
        <w:rPr>
          <w:rFonts w:hint="eastAsia" w:ascii="宋体" w:hAnsi="宋体" w:eastAsia="宋体" w:cs="宋体"/>
          <w:color w:val="000000" w:themeColor="text1"/>
          <w:szCs w:val="21"/>
          <w:highlight w:val="none"/>
          <w:lang w:eastAsia="zh-CN"/>
          <w14:textFill>
            <w14:solidFill>
              <w14:schemeClr w14:val="tx1"/>
            </w14:solidFill>
          </w14:textFill>
        </w:rPr>
        <w:t>合同约定</w:t>
      </w:r>
    </w:p>
    <w:p w14:paraId="2ADD2755">
      <w:pPr>
        <w:pStyle w:val="2"/>
        <w:spacing w:after="0" w:line="360" w:lineRule="auto"/>
        <w:ind w:firstLine="422" w:firstLineChars="200"/>
        <w:jc w:val="left"/>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3、工程竣工结算</w:t>
      </w:r>
    </w:p>
    <w:p w14:paraId="3CF9F7D1">
      <w:pPr>
        <w:pStyle w:val="2"/>
        <w:spacing w:after="0" w:line="360" w:lineRule="auto"/>
        <w:ind w:firstLine="420" w:firstLineChars="20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以审计结果为最终结算依据</w:t>
      </w:r>
      <w:r>
        <w:rPr>
          <w:rFonts w:hint="eastAsia" w:ascii="宋体" w:hAnsi="宋体" w:eastAsia="宋体" w:cs="宋体"/>
          <w:color w:val="000000" w:themeColor="text1"/>
          <w:szCs w:val="21"/>
          <w:lang w:eastAsia="zh-CN"/>
          <w14:textFill>
            <w14:solidFill>
              <w14:schemeClr w14:val="tx1"/>
            </w14:solidFill>
          </w14:textFill>
        </w:rPr>
        <w:t>。</w:t>
      </w:r>
      <w:r>
        <w:rPr>
          <w:rFonts w:hint="eastAsia" w:ascii="宋体" w:hAnsi="宋体" w:eastAsia="宋体" w:cs="宋体"/>
          <w:color w:val="000000" w:themeColor="text1"/>
          <w:szCs w:val="21"/>
          <w14:textFill>
            <w14:solidFill>
              <w14:schemeClr w14:val="tx1"/>
            </w14:solidFill>
          </w14:textFill>
        </w:rPr>
        <w:t>工程竣工后双方应及时办理工程结算，承包人应积极配合，发包人在法定时间内审核认可。工程竣工验收后，承包方应在法定时间内提交完整齐备的工程竣工资料和验收资料装整成册交采购人四套存档，并必须保证所有归档资料的真实性。</w:t>
      </w:r>
    </w:p>
    <w:p w14:paraId="5FF52814">
      <w:pPr>
        <w:pStyle w:val="2"/>
        <w:spacing w:after="0" w:line="360" w:lineRule="auto"/>
        <w:ind w:firstLine="422" w:firstLineChars="200"/>
        <w:jc w:val="left"/>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4、争议的解决</w:t>
      </w:r>
    </w:p>
    <w:p w14:paraId="5D0FAF51">
      <w:pPr>
        <w:adjustRightInd w:val="0"/>
        <w:snapToGrid w:val="0"/>
        <w:spacing w:line="360" w:lineRule="auto"/>
        <w:ind w:firstLine="420" w:firstLineChars="200"/>
        <w:jc w:val="left"/>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本合同在履行过程中发生争议，双方应及时协商解决，协商不成时，提请</w:t>
      </w:r>
      <w:r>
        <w:rPr>
          <w:rFonts w:hint="eastAsia" w:ascii="宋体" w:hAnsi="宋体" w:eastAsia="宋体" w:cs="宋体"/>
          <w:bCs/>
          <w:color w:val="000000" w:themeColor="text1"/>
          <w:szCs w:val="21"/>
          <w:lang w:val="en-US" w:eastAsia="zh-CN"/>
          <w14:textFill>
            <w14:solidFill>
              <w14:schemeClr w14:val="tx1"/>
            </w14:solidFill>
          </w14:textFill>
        </w:rPr>
        <w:t>诉讼</w:t>
      </w:r>
      <w:r>
        <w:rPr>
          <w:rFonts w:hint="eastAsia" w:ascii="宋体" w:hAnsi="宋体" w:eastAsia="宋体" w:cs="宋体"/>
          <w:bCs/>
          <w:color w:val="000000" w:themeColor="text1"/>
          <w:szCs w:val="21"/>
          <w14:textFill>
            <w14:solidFill>
              <w14:schemeClr w14:val="tx1"/>
            </w14:solidFill>
          </w14:textFill>
        </w:rPr>
        <w:t>。</w:t>
      </w:r>
    </w:p>
    <w:p w14:paraId="40FDE316">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（七）工期及质量要求：</w:t>
      </w:r>
    </w:p>
    <w:p w14:paraId="1633CAEA">
      <w:pPr>
        <w:adjustRightInd w:val="0"/>
        <w:snapToGrid w:val="0"/>
        <w:spacing w:line="360" w:lineRule="auto"/>
        <w:ind w:firstLine="422" w:firstLineChars="200"/>
        <w:jc w:val="left"/>
        <w:rPr>
          <w:rFonts w:hint="eastAsia"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1、工期：</w:t>
      </w:r>
      <w:r>
        <w:rPr>
          <w:rFonts w:hint="eastAsia" w:ascii="宋体" w:hAnsi="宋体" w:eastAsia="宋体" w:cs="宋体"/>
          <w:b/>
          <w:color w:val="000000" w:themeColor="text1"/>
          <w:kern w:val="21"/>
          <w:szCs w:val="21"/>
          <w:lang w:val="en-US" w:eastAsia="zh-CN"/>
          <w14:textFill>
            <w14:solidFill>
              <w14:schemeClr w14:val="tx1"/>
            </w14:solidFill>
          </w14:textFill>
        </w:rPr>
        <w:t>30</w:t>
      </w:r>
      <w:r>
        <w:rPr>
          <w:rFonts w:hint="eastAsia" w:ascii="宋体" w:hAnsi="宋体" w:eastAsia="宋体" w:cs="宋体"/>
          <w:b/>
          <w:color w:val="000000" w:themeColor="text1"/>
          <w:kern w:val="21"/>
          <w:szCs w:val="21"/>
          <w14:textFill>
            <w14:solidFill>
              <w14:schemeClr w14:val="tx1"/>
            </w14:solidFill>
          </w14:textFill>
        </w:rPr>
        <w:t>日历天；</w:t>
      </w:r>
    </w:p>
    <w:p w14:paraId="297FCB6C">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2、质量要求：质量等级必须达到合格标准；</w:t>
      </w:r>
    </w:p>
    <w:p w14:paraId="32616433">
      <w:pPr>
        <w:widowControl/>
        <w:numPr>
          <w:ilvl w:val="0"/>
          <w:numId w:val="0"/>
        </w:numPr>
        <w:spacing w:line="276"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人造草坪</w:t>
      </w: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质</w:t>
      </w:r>
      <w:r>
        <w:rPr>
          <w:rFonts w:hint="eastAsia" w:ascii="宋体" w:hAnsi="宋体" w:eastAsia="宋体" w:cs="宋体"/>
          <w:b w:val="0"/>
          <w:bCs w:val="0"/>
          <w:color w:val="000000" w:themeColor="text1"/>
          <w:sz w:val="21"/>
          <w:szCs w:val="21"/>
          <w:lang w:val="en-US" w:eastAsia="zh-CN"/>
          <w14:textFill>
            <w14:solidFill>
              <w14:schemeClr w14:val="tx1"/>
            </w14:solidFill>
          </w14:textFill>
        </w:rPr>
        <w:t>保期：5年</w:t>
      </w: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（需提供承诺函</w:t>
      </w:r>
      <w:r>
        <w:rPr>
          <w:rFonts w:hint="eastAsia" w:ascii="宋体" w:hAnsi="宋体" w:eastAsia="宋体" w:cs="宋体"/>
          <w:color w:val="000000" w:themeColor="text1"/>
          <w:kern w:val="0"/>
          <w:szCs w:val="21"/>
          <w14:textFill>
            <w14:solidFill>
              <w14:schemeClr w14:val="tx1"/>
            </w14:solidFill>
          </w14:textFill>
        </w:rPr>
        <w:t>并加盖投标人公章</w:t>
      </w: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w:t>
      </w:r>
      <w:r>
        <w:rPr>
          <w:rFonts w:hint="eastAsia" w:ascii="宋体" w:hAnsi="宋体" w:eastAsia="宋体" w:cs="宋体"/>
          <w:b w:val="0"/>
          <w:bCs w:val="0"/>
          <w:color w:val="000000" w:themeColor="text1"/>
          <w:sz w:val="21"/>
          <w:szCs w:val="21"/>
          <w:lang w:val="en-US" w:eastAsia="zh-CN"/>
          <w14:textFill>
            <w14:solidFill>
              <w14:schemeClr w14:val="tx1"/>
            </w14:solidFill>
          </w14:textFill>
        </w:rPr>
        <w:t>；</w:t>
      </w:r>
    </w:p>
    <w:p w14:paraId="5AA76FD7">
      <w:pPr>
        <w:widowControl/>
        <w:numPr>
          <w:ilvl w:val="0"/>
          <w:numId w:val="0"/>
        </w:numPr>
        <w:spacing w:line="276" w:lineRule="auto"/>
        <w:ind w:firstLine="420" w:firstLineChars="200"/>
        <w:rPr>
          <w:rFonts w:hint="eastAsia" w:ascii="Arial" w:hAnsi="Arial" w:eastAsia="宋体" w:cs="Arial"/>
          <w:b w:val="0"/>
          <w:bCs w:val="0"/>
          <w:i w:val="0"/>
          <w:iCs w:val="0"/>
          <w:caps w:val="0"/>
          <w:color w:val="000000" w:themeColor="text1"/>
          <w:spacing w:val="0"/>
          <w:sz w:val="21"/>
          <w:szCs w:val="21"/>
          <w:shd w:val="clear" w:color="auto" w:fill="FFFFFF"/>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color="auto" w:fill="FFFFFF"/>
          <w:lang w:val="en-US" w:eastAsia="zh-CN"/>
          <w14:textFill>
            <w14:solidFill>
              <w14:schemeClr w14:val="tx1"/>
            </w14:solidFill>
          </w14:textFill>
        </w:rPr>
        <w:t>4、</w:t>
      </w:r>
      <w:r>
        <w:rPr>
          <w:rFonts w:hint="eastAsia" w:ascii="Arial" w:hAnsi="Arial" w:eastAsia="宋体" w:cs="Arial"/>
          <w:b w:val="0"/>
          <w:bCs w:val="0"/>
          <w:i w:val="0"/>
          <w:iCs w:val="0"/>
          <w:caps w:val="0"/>
          <w:color w:val="000000" w:themeColor="text1"/>
          <w:spacing w:val="0"/>
          <w:sz w:val="21"/>
          <w:szCs w:val="21"/>
          <w:shd w:val="clear" w:color="auto" w:fill="FFFFFF"/>
          <w:lang w:val="en-US" w:eastAsia="zh-CN"/>
          <w14:textFill>
            <w14:solidFill>
              <w14:schemeClr w14:val="tx1"/>
            </w14:solidFill>
          </w14:textFill>
        </w:rPr>
        <w:t>防锈</w:t>
      </w:r>
      <w:r>
        <w:rPr>
          <w:rFonts w:hint="default" w:ascii="Arial" w:hAnsi="Arial" w:eastAsia="宋体" w:cs="Arial"/>
          <w:b w:val="0"/>
          <w:bCs w:val="0"/>
          <w:i w:val="0"/>
          <w:iCs w:val="0"/>
          <w:caps w:val="0"/>
          <w:color w:val="000000" w:themeColor="text1"/>
          <w:spacing w:val="0"/>
          <w:sz w:val="21"/>
          <w:szCs w:val="21"/>
          <w:shd w:val="clear" w:color="auto" w:fill="FFFFFF"/>
          <w14:textFill>
            <w14:solidFill>
              <w14:schemeClr w14:val="tx1"/>
            </w14:solidFill>
          </w14:textFill>
        </w:rPr>
        <w:t>漆</w:t>
      </w:r>
      <w:r>
        <w:rPr>
          <w:rFonts w:hint="eastAsia" w:ascii="Arial" w:hAnsi="Arial" w:eastAsia="宋体" w:cs="Arial"/>
          <w:b w:val="0"/>
          <w:bCs w:val="0"/>
          <w:i w:val="0"/>
          <w:iCs w:val="0"/>
          <w:caps w:val="0"/>
          <w:color w:val="000000" w:themeColor="text1"/>
          <w:spacing w:val="0"/>
          <w:sz w:val="21"/>
          <w:szCs w:val="21"/>
          <w:shd w:val="clear" w:color="auto" w:fill="FFFFFF"/>
          <w:lang w:val="en-US" w:eastAsia="zh-CN"/>
          <w14:textFill>
            <w14:solidFill>
              <w14:schemeClr w14:val="tx1"/>
            </w14:solidFill>
          </w14:textFill>
        </w:rPr>
        <w:t>需</w:t>
      </w:r>
      <w:r>
        <w:rPr>
          <w:rFonts w:hint="default" w:ascii="Arial" w:hAnsi="Arial" w:eastAsia="宋体" w:cs="Arial"/>
          <w:b w:val="0"/>
          <w:bCs w:val="0"/>
          <w:i w:val="0"/>
          <w:iCs w:val="0"/>
          <w:caps w:val="0"/>
          <w:color w:val="000000" w:themeColor="text1"/>
          <w:spacing w:val="0"/>
          <w:sz w:val="21"/>
          <w:szCs w:val="21"/>
          <w:shd w:val="clear" w:color="auto" w:fill="FFFFFF"/>
          <w14:textFill>
            <w14:solidFill>
              <w14:schemeClr w14:val="tx1"/>
            </w14:solidFill>
          </w14:textFill>
        </w:rPr>
        <w:t>符合</w:t>
      </w:r>
      <w:r>
        <w:rPr>
          <w:rFonts w:hint="eastAsia" w:ascii="Arial" w:hAnsi="Arial" w:eastAsia="宋体" w:cs="Arial"/>
          <w:b w:val="0"/>
          <w:bCs w:val="0"/>
          <w:i w:val="0"/>
          <w:iCs w:val="0"/>
          <w:caps w:val="0"/>
          <w:color w:val="000000" w:themeColor="text1"/>
          <w:spacing w:val="0"/>
          <w:sz w:val="21"/>
          <w:szCs w:val="21"/>
          <w:shd w:val="clear" w:color="auto" w:fill="FFFFFF"/>
          <w:lang w:val="en-US" w:eastAsia="zh-CN"/>
          <w14:textFill>
            <w14:solidFill>
              <w14:schemeClr w14:val="tx1"/>
            </w14:solidFill>
          </w14:textFill>
        </w:rPr>
        <w:t>国家</w:t>
      </w:r>
      <w:r>
        <w:rPr>
          <w:rFonts w:hint="default" w:ascii="Arial" w:hAnsi="Arial" w:eastAsia="宋体" w:cs="Arial"/>
          <w:b w:val="0"/>
          <w:bCs w:val="0"/>
          <w:i w:val="0"/>
          <w:iCs w:val="0"/>
          <w:caps w:val="0"/>
          <w:color w:val="000000" w:themeColor="text1"/>
          <w:spacing w:val="0"/>
          <w:sz w:val="21"/>
          <w:szCs w:val="21"/>
          <w:shd w:val="clear" w:color="auto" w:fill="FFFFFF"/>
          <w14:textFill>
            <w14:solidFill>
              <w14:schemeClr w14:val="tx1"/>
            </w14:solidFill>
          </w14:textFill>
        </w:rPr>
        <w:t>标准</w:t>
      </w:r>
      <w:r>
        <w:rPr>
          <w:rFonts w:hint="eastAsia" w:ascii="Arial" w:hAnsi="Arial" w:eastAsia="宋体" w:cs="Arial"/>
          <w:b w:val="0"/>
          <w:bCs w:val="0"/>
          <w:i w:val="0"/>
          <w:iCs w:val="0"/>
          <w:caps w:val="0"/>
          <w:color w:val="000000" w:themeColor="text1"/>
          <w:spacing w:val="0"/>
          <w:sz w:val="21"/>
          <w:szCs w:val="21"/>
          <w:shd w:val="clear" w:color="auto" w:fill="FFFFFF"/>
          <w:lang w:eastAsia="zh-CN"/>
          <w14:textFill>
            <w14:solidFill>
              <w14:schemeClr w14:val="tx1"/>
            </w14:solidFill>
          </w14:textFill>
        </w:rPr>
        <w:t>，</w:t>
      </w:r>
      <w:r>
        <w:rPr>
          <w:rFonts w:hint="eastAsia" w:ascii="Arial" w:hAnsi="Arial" w:eastAsia="宋体" w:cs="Arial"/>
          <w:b w:val="0"/>
          <w:bCs w:val="0"/>
          <w:i w:val="0"/>
          <w:iCs w:val="0"/>
          <w:caps w:val="0"/>
          <w:color w:val="000000" w:themeColor="text1"/>
          <w:spacing w:val="0"/>
          <w:sz w:val="21"/>
          <w:szCs w:val="21"/>
          <w:shd w:val="clear" w:color="auto" w:fill="FFFFFF"/>
          <w:lang w:val="en-US" w:eastAsia="zh-CN"/>
          <w14:textFill>
            <w14:solidFill>
              <w14:schemeClr w14:val="tx1"/>
            </w14:solidFill>
          </w14:textFill>
        </w:rPr>
        <w:t>质保期4年。（需提供承诺函</w:t>
      </w:r>
      <w:r>
        <w:rPr>
          <w:rFonts w:hint="eastAsia" w:ascii="宋体" w:hAnsi="宋体" w:eastAsia="宋体" w:cs="宋体"/>
          <w:b w:val="0"/>
          <w:bCs w:val="0"/>
          <w:color w:val="000000" w:themeColor="text1"/>
          <w:kern w:val="0"/>
          <w:szCs w:val="21"/>
          <w14:textFill>
            <w14:solidFill>
              <w14:schemeClr w14:val="tx1"/>
            </w14:solidFill>
          </w14:textFill>
        </w:rPr>
        <w:t>并加盖投标人公章</w:t>
      </w:r>
      <w:r>
        <w:rPr>
          <w:rFonts w:hint="eastAsia" w:ascii="Arial" w:hAnsi="Arial" w:eastAsia="宋体" w:cs="Arial"/>
          <w:b w:val="0"/>
          <w:bCs w:val="0"/>
          <w:i w:val="0"/>
          <w:iCs w:val="0"/>
          <w:caps w:val="0"/>
          <w:color w:val="000000" w:themeColor="text1"/>
          <w:spacing w:val="0"/>
          <w:sz w:val="21"/>
          <w:szCs w:val="21"/>
          <w:shd w:val="clear" w:color="auto" w:fill="FFFFFF"/>
          <w:lang w:val="en-US" w:eastAsia="zh-CN"/>
          <w14:textFill>
            <w14:solidFill>
              <w14:schemeClr w14:val="tx1"/>
            </w14:solidFill>
          </w14:textFill>
        </w:rPr>
        <w:t>）；</w:t>
      </w:r>
    </w:p>
    <w:p w14:paraId="6B4813EA">
      <w:pPr>
        <w:widowControl/>
        <w:numPr>
          <w:ilvl w:val="0"/>
          <w:numId w:val="0"/>
        </w:numPr>
        <w:spacing w:line="276" w:lineRule="auto"/>
        <w:ind w:firstLine="420" w:firstLineChars="20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color="auto" w:fill="FFFFFF"/>
          <w:lang w:val="en-US" w:eastAsia="zh-CN"/>
          <w14:textFill>
            <w14:solidFill>
              <w14:schemeClr w14:val="tx1"/>
            </w14:solidFill>
          </w14:textFill>
        </w:rPr>
        <w:t>5</w:t>
      </w: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、张拉软膜需符合国家标准，质保期10年。（需提供承诺函</w:t>
      </w:r>
      <w:r>
        <w:rPr>
          <w:rFonts w:hint="eastAsia" w:ascii="宋体" w:hAnsi="宋体" w:eastAsia="宋体" w:cs="宋体"/>
          <w:color w:val="000000" w:themeColor="text1"/>
          <w:kern w:val="0"/>
          <w:szCs w:val="21"/>
          <w14:textFill>
            <w14:solidFill>
              <w14:schemeClr w14:val="tx1"/>
            </w14:solidFill>
          </w14:textFill>
        </w:rPr>
        <w:t>并加盖投标人公章</w:t>
      </w:r>
      <w:r>
        <w:rPr>
          <w:rFonts w:hint="eastAsia" w:ascii="Arial" w:hAnsi="Arial" w:eastAsia="宋体" w:cs="Arial"/>
          <w:i w:val="0"/>
          <w:iCs w:val="0"/>
          <w:caps w:val="0"/>
          <w:color w:val="000000" w:themeColor="text1"/>
          <w:spacing w:val="0"/>
          <w:sz w:val="21"/>
          <w:szCs w:val="21"/>
          <w:shd w:val="clear" w:color="auto" w:fill="FFFFFF"/>
          <w:lang w:val="en-US" w:eastAsia="zh-CN"/>
          <w14:textFill>
            <w14:solidFill>
              <w14:schemeClr w14:val="tx1"/>
            </w14:solidFill>
          </w14:textFill>
        </w:rPr>
        <w:t>）；</w:t>
      </w:r>
    </w:p>
    <w:p w14:paraId="42898F9B">
      <w:pPr>
        <w:adjustRightInd w:val="0"/>
        <w:snapToGrid w:val="0"/>
        <w:spacing w:line="360" w:lineRule="auto"/>
        <w:ind w:firstLine="420" w:firstLineChars="20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Cs/>
          <w:color w:val="000000" w:themeColor="text1"/>
          <w:szCs w:val="21"/>
          <w:lang w:val="en-US" w:eastAsia="zh-CN"/>
          <w14:textFill>
            <w14:solidFill>
              <w14:schemeClr w14:val="tx1"/>
            </w14:solidFill>
          </w14:textFill>
        </w:rPr>
        <w:t>6</w:t>
      </w:r>
      <w:r>
        <w:rPr>
          <w:rFonts w:hint="eastAsia" w:ascii="宋体" w:hAnsi="宋体" w:eastAsia="宋体" w:cs="宋体"/>
          <w:bCs/>
          <w:color w:val="000000" w:themeColor="text1"/>
          <w:szCs w:val="21"/>
          <w14:textFill>
            <w14:solidFill>
              <w14:schemeClr w14:val="tx1"/>
            </w14:solidFill>
          </w14:textFill>
        </w:rPr>
        <w:t>、保修要求：</w:t>
      </w:r>
      <w:r>
        <w:rPr>
          <w:rFonts w:hint="eastAsia" w:ascii="宋体" w:hAnsi="宋体" w:eastAsia="宋体" w:cs="宋体"/>
          <w:color w:val="000000" w:themeColor="text1"/>
          <w:szCs w:val="21"/>
          <w14:textFill>
            <w14:solidFill>
              <w14:schemeClr w14:val="tx1"/>
            </w14:solidFill>
          </w14:textFill>
        </w:rPr>
        <w:t>按中华人民共和国国务院令第 279 号《建设工程质量管理条例》及相关规定执行。</w:t>
      </w:r>
    </w:p>
    <w:p w14:paraId="5172B857">
      <w:pPr>
        <w:adjustRightInd w:val="0"/>
        <w:snapToGrid w:val="0"/>
        <w:spacing w:line="360" w:lineRule="auto"/>
        <w:ind w:firstLine="422"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（八）其它需要说明的事项：</w:t>
      </w:r>
    </w:p>
    <w:p w14:paraId="2C8C7104">
      <w:pPr>
        <w:adjustRightInd w:val="0"/>
        <w:snapToGrid w:val="0"/>
        <w:spacing w:line="360" w:lineRule="auto"/>
        <w:ind w:firstLine="420" w:firstLineChars="200"/>
        <w:jc w:val="left"/>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1、开工时间起算点：合同中约定具体的日期作为开工日期。</w:t>
      </w:r>
    </w:p>
    <w:p w14:paraId="60AF04B8">
      <w:pPr>
        <w:pStyle w:val="3"/>
        <w:ind w:firstLine="42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其他未明确事宜由双方协商约定；</w:t>
      </w:r>
    </w:p>
    <w:p w14:paraId="4B285A9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Mincho">
    <w:panose1 w:val="02020609040205080304"/>
    <w:charset w:val="80"/>
    <w:family w:val="roman"/>
    <w:pitch w:val="default"/>
    <w:sig w:usb0="E00002FF" w:usb1="6AC7FDFB" w:usb2="00000012" w:usb3="00000000" w:csb0="4002009F" w:csb1="DFD70000"/>
  </w:font>
  <w:font w:name="仿宋">
    <w:panose1 w:val="02010609060101010101"/>
    <w:charset w:val="86"/>
    <w:family w:val="modern"/>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AD21F9"/>
    <w:multiLevelType w:val="singleLevel"/>
    <w:tmpl w:val="4FAD21F9"/>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1A082A"/>
    <w:rsid w:val="5E1A08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next w:val="3"/>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Body Text First Indent"/>
    <w:qFormat/>
    <w:uiPriority w:val="0"/>
    <w:pPr>
      <w:widowControl w:val="0"/>
      <w:spacing w:after="120"/>
      <w:ind w:firstLine="480" w:firstLineChars="200"/>
      <w:jc w:val="both"/>
    </w:pPr>
    <w:rPr>
      <w:rFonts w:ascii="Times New Roman" w:hAnsi="Times New Roman" w:eastAsia="宋体" w:cs="Times New Roman"/>
      <w:kern w:val="2"/>
      <w:sz w:val="21"/>
      <w:szCs w:val="24"/>
      <w:lang w:val="en-US" w:eastAsia="zh-CN" w:bidi="ar-SA"/>
    </w:rPr>
  </w:style>
  <w:style w:type="character" w:customStyle="1" w:styleId="6">
    <w:name w:val="font01"/>
    <w:qFormat/>
    <w:uiPriority w:val="0"/>
    <w:rPr>
      <w:rFonts w:ascii="宋体" w:eastAsia="宋体" w:cs="宋体"/>
      <w:color w:val="000000"/>
      <w:sz w:val="21"/>
      <w:szCs w:val="21"/>
      <w:u w:val="none"/>
    </w:rPr>
  </w:style>
  <w:style w:type="paragraph" w:customStyle="1" w:styleId="7">
    <w:name w:val="Fließtext"/>
    <w:qFormat/>
    <w:uiPriority w:val="0"/>
    <w:pPr>
      <w:widowControl w:val="0"/>
      <w:overflowPunct w:val="0"/>
      <w:autoSpaceDE w:val="0"/>
      <w:autoSpaceDN w:val="0"/>
      <w:adjustRightInd w:val="0"/>
      <w:jc w:val="both"/>
      <w:textAlignment w:val="baseline"/>
    </w:pPr>
    <w:rPr>
      <w:rFonts w:ascii="Calibri" w:hAnsi="Calibri" w:eastAsia="宋体" w:cs="Times New Roman"/>
      <w:kern w:val="28"/>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2026-08-03T10:21:00Z</dcterms:created>
  <dc:creator>Administrator</dc:creator>
  <cp:lastModifiedBy>Administrator</cp:lastModifiedBy>
  <dcterms:modified xsi:type="dcterms:W3CDTF">2026-08-03T10:21:13Z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CBB9CE747B1C44199E0E905F8C4E4984_11</vt:lpwstr>
  </property>
  <property fmtid="{D5CDD505-2E9C-101B-9397-08002B2CF9AE}" pid="4" name="KSOTemplateDocerSaveRecord">
    <vt:lpwstr>eyJoZGlkIjoiMTZjOTY0M2Q5NGQ2ZjMxYTU4MjQwYTEzZTNkZGUwNTEiLCJ1c2VySWQiOiIzODMzNzYxNzQifQ==</vt:lpwstr>
  </property>
</Properties>
</file>