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adjustRightInd w:val="0"/>
        <w:snapToGrid w:val="0"/>
        <w:spacing w:line="240" w:lineRule="atLeast"/>
        <w:jc w:val="center"/>
        <w:rPr>
          <w:rFonts w:hAnsi="宋体"/>
          <w:color w:val="auto"/>
        </w:rPr>
      </w:pPr>
    </w:p>
    <w:p>
      <w:pPr>
        <w:pStyle w:val="24"/>
        <w:adjustRightInd w:val="0"/>
        <w:snapToGrid w:val="0"/>
        <w:spacing w:line="240" w:lineRule="atLeast"/>
        <w:jc w:val="center"/>
        <w:rPr>
          <w:rFonts w:hAnsi="宋体"/>
          <w:color w:val="auto"/>
        </w:rPr>
      </w:pPr>
    </w:p>
    <w:p>
      <w:pPr>
        <w:pStyle w:val="24"/>
        <w:adjustRightInd w:val="0"/>
        <w:snapToGrid w:val="0"/>
        <w:spacing w:line="240" w:lineRule="atLeast"/>
        <w:jc w:val="center"/>
        <w:rPr>
          <w:rFonts w:hAnsi="宋体"/>
          <w:color w:val="auto"/>
        </w:rPr>
      </w:pPr>
    </w:p>
    <w:p>
      <w:pPr>
        <w:pStyle w:val="24"/>
        <w:adjustRightInd w:val="0"/>
        <w:snapToGrid w:val="0"/>
        <w:spacing w:line="240" w:lineRule="atLeast"/>
        <w:jc w:val="center"/>
        <w:rPr>
          <w:rFonts w:hAnsi="宋体"/>
          <w:color w:val="auto"/>
        </w:rPr>
      </w:pPr>
    </w:p>
    <w:p>
      <w:pPr>
        <w:pStyle w:val="24"/>
        <w:adjustRightInd w:val="0"/>
        <w:snapToGrid w:val="0"/>
        <w:spacing w:line="240" w:lineRule="atLeast"/>
        <w:jc w:val="center"/>
        <w:rPr>
          <w:rFonts w:ascii="黑体" w:hAnsi="黑体" w:eastAsia="黑体" w:cs="黑体"/>
          <w:bCs/>
          <w:color w:val="auto"/>
          <w:sz w:val="72"/>
          <w:szCs w:val="72"/>
        </w:rPr>
      </w:pPr>
      <w:r>
        <w:rPr>
          <w:rFonts w:hint="eastAsia" w:ascii="黑体" w:hAnsi="黑体" w:eastAsia="黑体" w:cs="黑体"/>
          <w:bCs/>
          <w:color w:val="auto"/>
          <w:sz w:val="72"/>
          <w:szCs w:val="72"/>
        </w:rPr>
        <w:t>【郴州】政府采购</w:t>
      </w:r>
    </w:p>
    <w:p>
      <w:pPr>
        <w:pStyle w:val="24"/>
        <w:adjustRightInd w:val="0"/>
        <w:snapToGrid w:val="0"/>
        <w:spacing w:line="240" w:lineRule="atLeast"/>
        <w:jc w:val="center"/>
        <w:rPr>
          <w:rFonts w:ascii="黑体" w:hAnsi="黑体" w:eastAsia="黑体" w:cs="黑体"/>
          <w:bCs/>
          <w:color w:val="auto"/>
          <w:sz w:val="72"/>
          <w:szCs w:val="72"/>
        </w:rPr>
      </w:pPr>
    </w:p>
    <w:p>
      <w:pPr>
        <w:pStyle w:val="24"/>
        <w:adjustRightInd w:val="0"/>
        <w:snapToGrid w:val="0"/>
        <w:spacing w:line="240" w:lineRule="atLeast"/>
        <w:jc w:val="center"/>
        <w:rPr>
          <w:rFonts w:hint="default" w:ascii="黑体" w:hAnsi="黑体" w:eastAsia="黑体" w:cs="黑体"/>
          <w:b/>
          <w:bCs/>
          <w:color w:val="auto"/>
          <w:sz w:val="52"/>
          <w:szCs w:val="52"/>
          <w:lang w:val="en-US" w:eastAsia="zh-CN"/>
        </w:rPr>
      </w:pPr>
      <w:r>
        <w:rPr>
          <w:rFonts w:hint="eastAsia" w:ascii="黑体" w:hAnsi="黑体" w:eastAsia="黑体" w:cs="黑体"/>
          <w:b/>
          <w:bCs/>
          <w:color w:val="auto"/>
          <w:sz w:val="52"/>
          <w:szCs w:val="52"/>
        </w:rPr>
        <w:t>公开招标文件货物类</w:t>
      </w:r>
      <w:r>
        <w:rPr>
          <w:rFonts w:hint="eastAsia" w:ascii="黑体" w:hAnsi="黑体" w:eastAsia="黑体" w:cs="黑体"/>
          <w:b/>
          <w:bCs/>
          <w:color w:val="auto"/>
          <w:sz w:val="52"/>
          <w:szCs w:val="52"/>
          <w:lang w:val="en-US" w:eastAsia="zh-CN"/>
        </w:rPr>
        <w:t>最低评标价法</w:t>
      </w:r>
    </w:p>
    <w:p>
      <w:pPr>
        <w:pStyle w:val="24"/>
        <w:adjustRightInd w:val="0"/>
        <w:snapToGrid w:val="0"/>
        <w:spacing w:line="240" w:lineRule="atLeast"/>
        <w:jc w:val="center"/>
        <w:rPr>
          <w:rFonts w:ascii="黑体" w:hAnsi="黑体" w:eastAsia="黑体" w:cs="黑体"/>
          <w:b/>
          <w:bCs/>
          <w:color w:val="auto"/>
          <w:sz w:val="52"/>
          <w:szCs w:val="52"/>
        </w:rPr>
      </w:pPr>
      <w:r>
        <w:rPr>
          <w:rFonts w:hint="eastAsia" w:ascii="黑体" w:hAnsi="黑体" w:eastAsia="黑体" w:cs="黑体"/>
          <w:b/>
          <w:bCs/>
          <w:color w:val="auto"/>
          <w:sz w:val="52"/>
          <w:szCs w:val="52"/>
        </w:rPr>
        <w:t>（电子标）</w:t>
      </w:r>
    </w:p>
    <w:p>
      <w:pPr>
        <w:pStyle w:val="24"/>
        <w:adjustRightInd w:val="0"/>
        <w:snapToGrid w:val="0"/>
        <w:spacing w:line="240" w:lineRule="atLeast"/>
        <w:jc w:val="center"/>
        <w:rPr>
          <w:rFonts w:ascii="华文中宋" w:hAnsi="华文中宋" w:eastAsia="华文中宋"/>
          <w:b/>
          <w:bCs/>
          <w:color w:val="auto"/>
          <w:sz w:val="32"/>
          <w:szCs w:val="32"/>
        </w:rPr>
      </w:pPr>
    </w:p>
    <w:p>
      <w:pPr>
        <w:pStyle w:val="24"/>
        <w:adjustRightInd w:val="0"/>
        <w:snapToGrid w:val="0"/>
        <w:spacing w:line="240" w:lineRule="atLeast"/>
        <w:jc w:val="center"/>
        <w:rPr>
          <w:rFonts w:ascii="华文中宋" w:hAnsi="华文中宋" w:eastAsia="华文中宋"/>
          <w:b/>
          <w:bCs/>
          <w:color w:val="auto"/>
          <w:sz w:val="44"/>
          <w:szCs w:val="44"/>
        </w:rPr>
      </w:pPr>
    </w:p>
    <w:p>
      <w:pPr>
        <w:pStyle w:val="24"/>
        <w:adjustRightInd w:val="0"/>
        <w:snapToGrid w:val="0"/>
        <w:spacing w:line="240" w:lineRule="atLeast"/>
        <w:jc w:val="center"/>
        <w:rPr>
          <w:rFonts w:ascii="华文中宋" w:hAnsi="华文中宋" w:eastAsia="华文中宋"/>
          <w:b/>
          <w:bCs/>
          <w:color w:val="auto"/>
          <w:sz w:val="44"/>
          <w:szCs w:val="44"/>
        </w:rPr>
      </w:pPr>
    </w:p>
    <w:p>
      <w:pPr>
        <w:pStyle w:val="24"/>
        <w:adjustRightInd w:val="0"/>
        <w:snapToGrid w:val="0"/>
        <w:spacing w:line="240" w:lineRule="atLeast"/>
        <w:jc w:val="center"/>
        <w:rPr>
          <w:rFonts w:ascii="华文中宋" w:hAnsi="华文中宋" w:eastAsia="华文中宋"/>
          <w:bCs/>
          <w:color w:val="auto"/>
        </w:rPr>
      </w:pPr>
    </w:p>
    <w:p>
      <w:pPr>
        <w:adjustRightInd w:val="0"/>
        <w:snapToGrid w:val="0"/>
        <w:spacing w:line="360" w:lineRule="auto"/>
        <w:ind w:firstLine="1124" w:firstLineChars="350"/>
        <w:rPr>
          <w:rFonts w:hint="default" w:eastAsia="宋体"/>
          <w:b/>
          <w:color w:val="auto"/>
          <w:szCs w:val="21"/>
          <w:lang w:val="en-US" w:eastAsia="zh-CN"/>
        </w:rPr>
      </w:pPr>
      <w:r>
        <w:rPr>
          <w:rFonts w:hint="eastAsia" w:hAnsi="宋体"/>
          <w:b/>
          <w:color w:val="auto"/>
          <w:sz w:val="32"/>
          <w:szCs w:val="32"/>
        </w:rPr>
        <w:t>采购项目名称：</w:t>
      </w:r>
      <w:r>
        <w:rPr>
          <w:rFonts w:hint="eastAsia" w:ascii="宋体" w:hAnsi="宋体" w:cs="宋体"/>
          <w:b/>
          <w:color w:val="auto"/>
          <w:sz w:val="32"/>
          <w:szCs w:val="32"/>
          <w:highlight w:val="none"/>
          <w:u w:val="single"/>
          <w:lang w:eastAsia="zh-CN"/>
        </w:rPr>
        <w:t>教室课桌椅更换项目</w:t>
      </w:r>
      <w:r>
        <w:rPr>
          <w:rFonts w:hint="eastAsia" w:hAnsi="宋体"/>
          <w:b/>
          <w:color w:val="auto"/>
          <w:sz w:val="32"/>
          <w:szCs w:val="32"/>
          <w:u w:val="single"/>
        </w:rPr>
        <w:t xml:space="preserve">    </w:t>
      </w:r>
      <w:r>
        <w:rPr>
          <w:rFonts w:hint="eastAsia" w:hAnsi="宋体"/>
          <w:b/>
          <w:color w:val="auto"/>
          <w:sz w:val="32"/>
          <w:szCs w:val="32"/>
          <w:u w:val="single"/>
          <w:lang w:val="en-US" w:eastAsia="zh-CN"/>
        </w:rPr>
        <w:t xml:space="preserve">    </w:t>
      </w:r>
    </w:p>
    <w:p>
      <w:pPr>
        <w:adjustRightInd w:val="0"/>
        <w:snapToGrid w:val="0"/>
        <w:spacing w:line="360" w:lineRule="auto"/>
        <w:ind w:firstLine="1124" w:firstLineChars="350"/>
        <w:rPr>
          <w:rFonts w:hAnsi="宋体"/>
          <w:b/>
          <w:color w:val="auto"/>
          <w:sz w:val="32"/>
          <w:szCs w:val="32"/>
        </w:rPr>
      </w:pPr>
      <w:r>
        <w:rPr>
          <w:rFonts w:hint="eastAsia" w:hAnsi="宋体"/>
          <w:b/>
          <w:color w:val="auto"/>
          <w:sz w:val="32"/>
          <w:szCs w:val="32"/>
        </w:rPr>
        <w:t>政府采购</w:t>
      </w:r>
      <w:r>
        <w:rPr>
          <w:rFonts w:hint="eastAsia" w:hAnsi="宋体"/>
          <w:b/>
          <w:color w:val="auto"/>
          <w:sz w:val="32"/>
          <w:szCs w:val="32"/>
          <w:lang w:val="en-US" w:eastAsia="zh-CN"/>
        </w:rPr>
        <w:t>计划</w:t>
      </w:r>
      <w:r>
        <w:rPr>
          <w:rFonts w:hint="eastAsia" w:hAnsi="宋体"/>
          <w:b/>
          <w:color w:val="auto"/>
          <w:sz w:val="32"/>
          <w:szCs w:val="32"/>
        </w:rPr>
        <w:t>编号：</w:t>
      </w:r>
      <w:r>
        <w:rPr>
          <w:rFonts w:hint="eastAsia" w:ascii="宋体" w:hAnsi="宋体" w:cs="宋体"/>
          <w:b/>
          <w:color w:val="auto"/>
          <w:sz w:val="32"/>
          <w:szCs w:val="32"/>
          <w:highlight w:val="none"/>
          <w:u w:val="single"/>
          <w:lang w:val="en-US" w:eastAsia="zh-CN"/>
        </w:rPr>
        <w:t>(2026)431000000069-1</w:t>
      </w:r>
      <w:r>
        <w:rPr>
          <w:rFonts w:hint="eastAsia" w:hAnsi="宋体"/>
          <w:b/>
          <w:color w:val="auto"/>
          <w:sz w:val="32"/>
          <w:szCs w:val="32"/>
          <w:u w:val="single"/>
        </w:rPr>
        <w:t xml:space="preserve">   </w:t>
      </w:r>
    </w:p>
    <w:p>
      <w:pPr>
        <w:adjustRightInd w:val="0"/>
        <w:snapToGrid w:val="0"/>
        <w:spacing w:line="360" w:lineRule="auto"/>
        <w:ind w:firstLine="1124" w:firstLineChars="350"/>
        <w:rPr>
          <w:rFonts w:hAnsi="宋体"/>
          <w:b/>
          <w:color w:val="auto"/>
          <w:sz w:val="32"/>
          <w:szCs w:val="32"/>
          <w:u w:val="single"/>
        </w:rPr>
      </w:pPr>
      <w:r>
        <w:rPr>
          <w:rFonts w:hint="eastAsia" w:hAnsi="宋体"/>
          <w:b/>
          <w:color w:val="auto"/>
          <w:sz w:val="32"/>
          <w:szCs w:val="32"/>
          <w:lang w:val="en-US" w:eastAsia="zh-CN"/>
        </w:rPr>
        <w:t>委托</w:t>
      </w:r>
      <w:r>
        <w:rPr>
          <w:rFonts w:hint="eastAsia" w:hAnsi="宋体"/>
          <w:b/>
          <w:color w:val="auto"/>
          <w:sz w:val="32"/>
          <w:szCs w:val="32"/>
        </w:rPr>
        <w:t>代理编号：</w:t>
      </w:r>
      <w:r>
        <w:rPr>
          <w:rFonts w:hint="eastAsia" w:ascii="宋体" w:hAnsi="宋体" w:cs="宋体"/>
          <w:b/>
          <w:color w:val="auto"/>
          <w:sz w:val="32"/>
          <w:szCs w:val="32"/>
          <w:highlight w:val="none"/>
          <w:u w:val="single"/>
          <w:lang w:eastAsia="zh-CN"/>
        </w:rPr>
        <w:t>CZGA-2026-018</w:t>
      </w:r>
      <w:r>
        <w:rPr>
          <w:rFonts w:hint="eastAsia" w:hAnsi="宋体"/>
          <w:b/>
          <w:color w:val="auto"/>
          <w:sz w:val="32"/>
          <w:szCs w:val="32"/>
          <w:u w:val="single"/>
        </w:rPr>
        <w:t xml:space="preserve">             </w:t>
      </w:r>
    </w:p>
    <w:p>
      <w:pPr>
        <w:adjustRightInd w:val="0"/>
        <w:snapToGrid w:val="0"/>
        <w:spacing w:line="360" w:lineRule="auto"/>
        <w:ind w:firstLine="1124" w:firstLineChars="350"/>
        <w:rPr>
          <w:rFonts w:hAnsi="宋体"/>
          <w:b/>
          <w:color w:val="auto"/>
          <w:sz w:val="32"/>
          <w:szCs w:val="32"/>
        </w:rPr>
      </w:pPr>
      <w:r>
        <w:rPr>
          <w:rFonts w:hint="eastAsia" w:hAnsi="宋体"/>
          <w:b/>
          <w:color w:val="auto"/>
          <w:sz w:val="32"/>
          <w:szCs w:val="32"/>
        </w:rPr>
        <w:t>采</w:t>
      </w:r>
      <w:r>
        <w:rPr>
          <w:rFonts w:hAnsi="宋体"/>
          <w:b/>
          <w:color w:val="auto"/>
          <w:sz w:val="32"/>
          <w:szCs w:val="32"/>
        </w:rPr>
        <w:t xml:space="preserve">   </w:t>
      </w:r>
      <w:r>
        <w:rPr>
          <w:rFonts w:hint="eastAsia" w:hAnsi="宋体"/>
          <w:b/>
          <w:color w:val="auto"/>
          <w:sz w:val="32"/>
          <w:szCs w:val="32"/>
        </w:rPr>
        <w:t>购</w:t>
      </w:r>
      <w:r>
        <w:rPr>
          <w:rFonts w:hAnsi="宋体"/>
          <w:b/>
          <w:color w:val="auto"/>
          <w:sz w:val="32"/>
          <w:szCs w:val="32"/>
        </w:rPr>
        <w:t xml:space="preserve">   </w:t>
      </w:r>
      <w:r>
        <w:rPr>
          <w:rFonts w:hint="eastAsia" w:hAnsi="宋体"/>
          <w:b/>
          <w:color w:val="auto"/>
          <w:sz w:val="32"/>
          <w:szCs w:val="32"/>
        </w:rPr>
        <w:t>人：</w:t>
      </w:r>
      <w:r>
        <w:rPr>
          <w:rFonts w:hint="eastAsia" w:ascii="宋体" w:hAnsi="宋体" w:cs="宋体"/>
          <w:b/>
          <w:color w:val="auto"/>
          <w:sz w:val="32"/>
          <w:szCs w:val="21"/>
          <w:highlight w:val="none"/>
          <w:u w:val="single"/>
          <w:lang w:eastAsia="zh-CN"/>
        </w:rPr>
        <w:t>郴州职业技术学院</w:t>
      </w:r>
      <w:r>
        <w:rPr>
          <w:rFonts w:hint="eastAsia" w:hAnsi="宋体"/>
          <w:b/>
          <w:color w:val="auto"/>
          <w:sz w:val="32"/>
          <w:szCs w:val="32"/>
          <w:u w:val="single"/>
        </w:rPr>
        <w:t xml:space="preserve">          </w:t>
      </w:r>
    </w:p>
    <w:p>
      <w:pPr>
        <w:adjustRightInd w:val="0"/>
        <w:snapToGrid w:val="0"/>
        <w:spacing w:line="360" w:lineRule="auto"/>
        <w:ind w:firstLine="1124" w:firstLineChars="350"/>
        <w:rPr>
          <w:rFonts w:hint="eastAsia" w:ascii="宋体" w:hAnsi="宋体" w:eastAsia="宋体" w:cs="宋体"/>
          <w:b/>
          <w:color w:val="auto"/>
          <w:sz w:val="32"/>
          <w:szCs w:val="21"/>
          <w:highlight w:val="none"/>
          <w:u w:val="single"/>
          <w:lang w:eastAsia="zh-CN"/>
        </w:rPr>
      </w:pPr>
      <w:r>
        <w:rPr>
          <w:rFonts w:hint="eastAsia" w:ascii="宋体"/>
          <w:b/>
          <w:color w:val="auto"/>
          <w:sz w:val="32"/>
          <w:szCs w:val="21"/>
        </w:rPr>
        <w:t>采购代理机构：</w:t>
      </w:r>
      <w:r>
        <w:rPr>
          <w:rFonts w:hint="eastAsia" w:ascii="宋体" w:hAnsi="宋体" w:cs="宋体"/>
          <w:b/>
          <w:color w:val="auto"/>
          <w:sz w:val="32"/>
          <w:szCs w:val="21"/>
          <w:highlight w:val="none"/>
          <w:u w:val="single"/>
          <w:lang w:eastAsia="zh-CN"/>
        </w:rPr>
        <w:t>郴州国奥项目管理有限责任公司</w:t>
      </w:r>
    </w:p>
    <w:p>
      <w:pPr>
        <w:pStyle w:val="24"/>
        <w:adjustRightInd w:val="0"/>
        <w:snapToGrid w:val="0"/>
        <w:spacing w:line="360" w:lineRule="auto"/>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
          <w:bCs/>
          <w:color w:val="auto"/>
          <w:sz w:val="32"/>
          <w:szCs w:val="32"/>
        </w:rPr>
      </w:pPr>
      <w:r>
        <w:rPr>
          <w:rFonts w:hint="eastAsia" w:hAnsi="宋体"/>
          <w:b/>
          <w:color w:val="auto"/>
          <w:sz w:val="32"/>
          <w:lang w:val="en-US" w:eastAsia="zh-CN"/>
        </w:rPr>
        <w:t>2026</w:t>
      </w:r>
      <w:r>
        <w:rPr>
          <w:rFonts w:hint="eastAsia" w:hAnsi="宋体"/>
          <w:b/>
          <w:color w:val="auto"/>
          <w:sz w:val="32"/>
        </w:rPr>
        <w:t xml:space="preserve"> 年</w:t>
      </w:r>
      <w:r>
        <w:rPr>
          <w:rFonts w:hint="eastAsia" w:hAnsi="宋体"/>
          <w:b/>
          <w:color w:val="auto"/>
          <w:sz w:val="32"/>
          <w:lang w:val="en-US" w:eastAsia="zh-CN"/>
        </w:rPr>
        <w:t>7</w:t>
      </w:r>
      <w:r>
        <w:rPr>
          <w:rFonts w:hint="eastAsia" w:hAnsi="宋体"/>
          <w:b/>
          <w:color w:val="auto"/>
          <w:sz w:val="32"/>
        </w:rPr>
        <w:t>月</w:t>
      </w:r>
    </w:p>
    <w:p>
      <w:pPr>
        <w:pStyle w:val="24"/>
        <w:adjustRightInd w:val="0"/>
        <w:snapToGrid w:val="0"/>
        <w:spacing w:line="240" w:lineRule="atLeast"/>
        <w:jc w:val="center"/>
        <w:rPr>
          <w:rFonts w:hAnsi="宋体"/>
          <w:b/>
          <w:bCs/>
          <w:color w:val="auto"/>
          <w:sz w:val="32"/>
          <w:szCs w:val="32"/>
        </w:rPr>
      </w:pPr>
    </w:p>
    <w:p>
      <w:pPr>
        <w:pStyle w:val="24"/>
        <w:adjustRightInd w:val="0"/>
        <w:snapToGrid w:val="0"/>
        <w:spacing w:line="240" w:lineRule="atLeast"/>
        <w:jc w:val="center"/>
        <w:rPr>
          <w:rFonts w:hAnsi="宋体"/>
          <w:b/>
          <w:bCs/>
          <w:color w:val="auto"/>
          <w:sz w:val="32"/>
          <w:szCs w:val="32"/>
        </w:rPr>
        <w:sectPr>
          <w:headerReference r:id="rId3" w:type="default"/>
          <w:pgSz w:w="11906" w:h="16838"/>
          <w:pgMar w:top="1440" w:right="1588" w:bottom="1440" w:left="1588" w:header="851" w:footer="992" w:gutter="0"/>
          <w:cols w:space="720" w:num="1"/>
          <w:docGrid w:type="lines" w:linePitch="312" w:charSpace="0"/>
        </w:sectPr>
      </w:pPr>
    </w:p>
    <w:p>
      <w:pPr>
        <w:pStyle w:val="24"/>
        <w:adjustRightInd w:val="0"/>
        <w:snapToGrid w:val="0"/>
        <w:spacing w:line="360" w:lineRule="auto"/>
        <w:jc w:val="center"/>
        <w:rPr>
          <w:rFonts w:ascii="华文中宋" w:hAnsi="华文中宋" w:eastAsia="华文中宋"/>
          <w:b/>
          <w:color w:val="auto"/>
          <w:spacing w:val="160"/>
          <w:sz w:val="36"/>
          <w:szCs w:val="36"/>
        </w:rPr>
      </w:pPr>
      <w:r>
        <w:rPr>
          <w:rFonts w:hint="eastAsia" w:ascii="华文中宋" w:hAnsi="华文中宋" w:eastAsia="华文中宋"/>
          <w:b/>
          <w:color w:val="auto"/>
          <w:spacing w:val="160"/>
          <w:sz w:val="36"/>
          <w:szCs w:val="36"/>
        </w:rPr>
        <w:t>目录</w:t>
      </w:r>
    </w:p>
    <w:p>
      <w:pPr>
        <w:pStyle w:val="31"/>
        <w:tabs>
          <w:tab w:val="right" w:leader="dot" w:pos="8844"/>
        </w:tabs>
        <w:rPr>
          <w:color w:val="auto"/>
        </w:rPr>
      </w:pPr>
      <w:r>
        <w:rPr>
          <w:rStyle w:val="46"/>
          <w:b w:val="0"/>
          <w:color w:val="auto"/>
        </w:rPr>
        <w:fldChar w:fldCharType="begin"/>
      </w:r>
      <w:r>
        <w:rPr>
          <w:rStyle w:val="46"/>
          <w:b w:val="0"/>
          <w:color w:val="auto"/>
        </w:rPr>
        <w:instrText xml:space="preserve"> TOC \o "1-4" \h \z \u </w:instrText>
      </w:r>
      <w:r>
        <w:rPr>
          <w:rStyle w:val="46"/>
          <w:b w:val="0"/>
          <w:color w:val="auto"/>
        </w:rPr>
        <w:fldChar w:fldCharType="separate"/>
      </w:r>
      <w:r>
        <w:rPr>
          <w:color w:val="auto"/>
        </w:rPr>
        <w:fldChar w:fldCharType="begin"/>
      </w:r>
      <w:r>
        <w:rPr>
          <w:color w:val="auto"/>
        </w:rPr>
        <w:instrText xml:space="preserve"> HYPERLINK \l _Toc24130 </w:instrText>
      </w:r>
      <w:r>
        <w:rPr>
          <w:color w:val="auto"/>
        </w:rPr>
        <w:fldChar w:fldCharType="separate"/>
      </w:r>
      <w:r>
        <w:rPr>
          <w:rFonts w:hint="eastAsia" w:ascii="黑体" w:hAnsi="华文中宋" w:eastAsia="黑体"/>
          <w:color w:val="auto"/>
          <w:szCs w:val="32"/>
        </w:rPr>
        <w:t>第一章 投标邀请</w:t>
      </w:r>
      <w:r>
        <w:rPr>
          <w:color w:val="auto"/>
        </w:rPr>
        <w:tab/>
      </w:r>
      <w:r>
        <w:rPr>
          <w:color w:val="auto"/>
        </w:rPr>
        <w:fldChar w:fldCharType="begin"/>
      </w:r>
      <w:r>
        <w:rPr>
          <w:color w:val="auto"/>
        </w:rPr>
        <w:instrText xml:space="preserve"> PAGEREF _Toc24130 \h </w:instrText>
      </w:r>
      <w:r>
        <w:rPr>
          <w:color w:val="auto"/>
        </w:rPr>
        <w:fldChar w:fldCharType="separate"/>
      </w:r>
      <w:r>
        <w:rPr>
          <w:color w:val="auto"/>
        </w:rPr>
        <w:t>6</w:t>
      </w:r>
      <w:r>
        <w:rPr>
          <w:color w:val="auto"/>
        </w:rPr>
        <w:fldChar w:fldCharType="end"/>
      </w:r>
      <w:r>
        <w:rPr>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_Toc20250 </w:instrText>
      </w:r>
      <w:r>
        <w:rPr>
          <w:rFonts w:asciiTheme="minorEastAsia" w:hAnsiTheme="minorEastAsia" w:eastAsiaTheme="minorEastAsia"/>
          <w:color w:val="auto"/>
        </w:rPr>
        <w:fldChar w:fldCharType="separate"/>
      </w:r>
      <w:r>
        <w:rPr>
          <w:rFonts w:hint="eastAsia"/>
          <w:color w:val="auto"/>
        </w:rPr>
        <w:t>一、采购项目</w:t>
      </w:r>
      <w:r>
        <w:rPr>
          <w:rFonts w:hint="eastAsia"/>
          <w:color w:val="auto"/>
          <w:lang w:val="en-US" w:eastAsia="zh-CN"/>
        </w:rPr>
        <w:t>基本信息</w:t>
      </w:r>
      <w:r>
        <w:rPr>
          <w:color w:val="auto"/>
        </w:rPr>
        <w:tab/>
      </w:r>
      <w:r>
        <w:rPr>
          <w:color w:val="auto"/>
        </w:rPr>
        <w:fldChar w:fldCharType="begin"/>
      </w:r>
      <w:r>
        <w:rPr>
          <w:color w:val="auto"/>
        </w:rPr>
        <w:instrText xml:space="preserve"> PAGEREF _Toc20250 \h </w:instrText>
      </w:r>
      <w:r>
        <w:rPr>
          <w:color w:val="auto"/>
        </w:rPr>
        <w:fldChar w:fldCharType="separate"/>
      </w:r>
      <w:r>
        <w:rPr>
          <w:color w:val="auto"/>
        </w:rPr>
        <w:t>6</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_Toc19620 </w:instrText>
      </w:r>
      <w:r>
        <w:rPr>
          <w:rFonts w:asciiTheme="minorEastAsia" w:hAnsiTheme="minorEastAsia" w:eastAsiaTheme="minorEastAsia"/>
          <w:color w:val="auto"/>
        </w:rPr>
        <w:fldChar w:fldCharType="separate"/>
      </w:r>
      <w:r>
        <w:rPr>
          <w:rFonts w:hint="eastAsia"/>
          <w:color w:val="auto"/>
        </w:rPr>
        <w:t>二、采购人的采购需求（按包）</w:t>
      </w:r>
      <w:r>
        <w:rPr>
          <w:color w:val="auto"/>
        </w:rPr>
        <w:tab/>
      </w:r>
      <w:r>
        <w:rPr>
          <w:color w:val="auto"/>
        </w:rPr>
        <w:fldChar w:fldCharType="begin"/>
      </w:r>
      <w:r>
        <w:rPr>
          <w:color w:val="auto"/>
        </w:rPr>
        <w:instrText xml:space="preserve"> PAGEREF _Toc19620 \h </w:instrText>
      </w:r>
      <w:r>
        <w:rPr>
          <w:color w:val="auto"/>
        </w:rPr>
        <w:fldChar w:fldCharType="separate"/>
      </w:r>
      <w:r>
        <w:rPr>
          <w:color w:val="auto"/>
        </w:rPr>
        <w:t>6</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_Toc11204 </w:instrText>
      </w:r>
      <w:r>
        <w:rPr>
          <w:rFonts w:asciiTheme="minorEastAsia" w:hAnsiTheme="minorEastAsia" w:eastAsiaTheme="minorEastAsia"/>
          <w:color w:val="auto"/>
        </w:rPr>
        <w:fldChar w:fldCharType="separate"/>
      </w:r>
      <w:r>
        <w:rPr>
          <w:rFonts w:hint="eastAsia" w:asciiTheme="minorEastAsia" w:hAnsiTheme="minorEastAsia" w:eastAsiaTheme="minorEastAsia"/>
          <w:color w:val="auto"/>
        </w:rPr>
        <w:t>三、采购项目需落实的政府采购政策：(说明：应根据采购项目特点选择以下内容)：</w:t>
      </w:r>
      <w:r>
        <w:rPr>
          <w:color w:val="auto"/>
        </w:rPr>
        <w:tab/>
      </w:r>
      <w:r>
        <w:rPr>
          <w:color w:val="auto"/>
        </w:rPr>
        <w:fldChar w:fldCharType="begin"/>
      </w:r>
      <w:r>
        <w:rPr>
          <w:color w:val="auto"/>
        </w:rPr>
        <w:instrText xml:space="preserve"> PAGEREF _Toc11204 \h </w:instrText>
      </w:r>
      <w:r>
        <w:rPr>
          <w:color w:val="auto"/>
        </w:rPr>
        <w:fldChar w:fldCharType="separate"/>
      </w:r>
      <w:r>
        <w:rPr>
          <w:color w:val="auto"/>
        </w:rPr>
        <w:t>6</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_Toc28510 </w:instrText>
      </w:r>
      <w:r>
        <w:rPr>
          <w:rFonts w:asciiTheme="minorEastAsia" w:hAnsiTheme="minorEastAsia" w:eastAsiaTheme="minorEastAsia"/>
          <w:color w:val="auto"/>
        </w:rPr>
        <w:fldChar w:fldCharType="separate"/>
      </w:r>
      <w:r>
        <w:rPr>
          <w:rFonts w:hint="eastAsia"/>
          <w:color w:val="auto"/>
          <w:lang w:val="en-US" w:eastAsia="zh-CN"/>
        </w:rPr>
        <w:t>四</w:t>
      </w:r>
      <w:r>
        <w:rPr>
          <w:rFonts w:hint="eastAsia"/>
          <w:color w:val="auto"/>
        </w:rPr>
        <w:t>、投标人的资格要求：</w:t>
      </w:r>
      <w:r>
        <w:rPr>
          <w:color w:val="auto"/>
        </w:rPr>
        <w:tab/>
      </w:r>
      <w:r>
        <w:rPr>
          <w:color w:val="auto"/>
        </w:rPr>
        <w:fldChar w:fldCharType="begin"/>
      </w:r>
      <w:r>
        <w:rPr>
          <w:color w:val="auto"/>
        </w:rPr>
        <w:instrText xml:space="preserve"> PAGEREF _Toc28510 \h </w:instrText>
      </w:r>
      <w:r>
        <w:rPr>
          <w:color w:val="auto"/>
        </w:rPr>
        <w:fldChar w:fldCharType="separate"/>
      </w:r>
      <w:r>
        <w:rPr>
          <w:color w:val="auto"/>
        </w:rPr>
        <w:t>7</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_Toc2319 </w:instrText>
      </w:r>
      <w:r>
        <w:rPr>
          <w:rFonts w:asciiTheme="minorEastAsia" w:hAnsiTheme="minorEastAsia" w:eastAsiaTheme="minorEastAsia"/>
          <w:color w:val="auto"/>
        </w:rPr>
        <w:fldChar w:fldCharType="separate"/>
      </w:r>
      <w:r>
        <w:rPr>
          <w:rFonts w:hint="eastAsia"/>
          <w:color w:val="auto"/>
          <w:lang w:val="en-US" w:eastAsia="zh-CN"/>
        </w:rPr>
        <w:t>五</w:t>
      </w:r>
      <w:r>
        <w:rPr>
          <w:rFonts w:hint="eastAsia"/>
          <w:color w:val="auto"/>
        </w:rPr>
        <w:t>、获取电子招标文件的时间、期限、方式</w:t>
      </w:r>
      <w:r>
        <w:rPr>
          <w:color w:val="auto"/>
        </w:rPr>
        <w:tab/>
      </w:r>
      <w:r>
        <w:rPr>
          <w:color w:val="auto"/>
        </w:rPr>
        <w:fldChar w:fldCharType="begin"/>
      </w:r>
      <w:r>
        <w:rPr>
          <w:color w:val="auto"/>
        </w:rPr>
        <w:instrText xml:space="preserve"> PAGEREF _Toc2319 \h </w:instrText>
      </w:r>
      <w:r>
        <w:rPr>
          <w:color w:val="auto"/>
        </w:rPr>
        <w:fldChar w:fldCharType="separate"/>
      </w:r>
      <w:r>
        <w:rPr>
          <w:color w:val="auto"/>
        </w:rPr>
        <w:t>7</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_Toc14384 </w:instrText>
      </w:r>
      <w:r>
        <w:rPr>
          <w:rFonts w:asciiTheme="minorEastAsia" w:hAnsiTheme="minorEastAsia" w:eastAsiaTheme="minorEastAsia"/>
          <w:color w:val="auto"/>
        </w:rPr>
        <w:fldChar w:fldCharType="separate"/>
      </w:r>
      <w:r>
        <w:rPr>
          <w:rFonts w:hint="eastAsia"/>
          <w:color w:val="auto"/>
          <w:lang w:val="en-US" w:eastAsia="zh-CN"/>
        </w:rPr>
        <w:t>六</w:t>
      </w:r>
      <w:r>
        <w:rPr>
          <w:rFonts w:hint="eastAsia"/>
          <w:color w:val="auto"/>
        </w:rPr>
        <w:t>、投标截止时间、开标时间、开标地点</w:t>
      </w:r>
      <w:r>
        <w:rPr>
          <w:color w:val="auto"/>
        </w:rPr>
        <w:tab/>
      </w:r>
      <w:r>
        <w:rPr>
          <w:color w:val="auto"/>
        </w:rPr>
        <w:fldChar w:fldCharType="begin"/>
      </w:r>
      <w:r>
        <w:rPr>
          <w:color w:val="auto"/>
        </w:rPr>
        <w:instrText xml:space="preserve"> PAGEREF _Toc14384 \h </w:instrText>
      </w:r>
      <w:r>
        <w:rPr>
          <w:color w:val="auto"/>
        </w:rPr>
        <w:fldChar w:fldCharType="separate"/>
      </w:r>
      <w:r>
        <w:rPr>
          <w:color w:val="auto"/>
        </w:rPr>
        <w:t>8</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_Toc31010 </w:instrText>
      </w:r>
      <w:r>
        <w:rPr>
          <w:rFonts w:asciiTheme="minorEastAsia" w:hAnsiTheme="minorEastAsia" w:eastAsiaTheme="minorEastAsia"/>
          <w:color w:val="auto"/>
        </w:rPr>
        <w:fldChar w:fldCharType="separate"/>
      </w:r>
      <w:r>
        <w:rPr>
          <w:rFonts w:hint="eastAsia"/>
          <w:color w:val="auto"/>
          <w:lang w:val="en-US" w:eastAsia="zh-CN"/>
        </w:rPr>
        <w:t>七</w:t>
      </w:r>
      <w:r>
        <w:rPr>
          <w:rFonts w:hint="eastAsia"/>
          <w:color w:val="auto"/>
        </w:rPr>
        <w:t>、招标文件公告期限：</w:t>
      </w:r>
      <w:r>
        <w:rPr>
          <w:color w:val="auto"/>
        </w:rPr>
        <w:tab/>
      </w:r>
      <w:r>
        <w:rPr>
          <w:color w:val="auto"/>
        </w:rPr>
        <w:fldChar w:fldCharType="begin"/>
      </w:r>
      <w:r>
        <w:rPr>
          <w:color w:val="auto"/>
        </w:rPr>
        <w:instrText xml:space="preserve"> PAGEREF _Toc31010 \h </w:instrText>
      </w:r>
      <w:r>
        <w:rPr>
          <w:color w:val="auto"/>
        </w:rPr>
        <w:fldChar w:fldCharType="separate"/>
      </w:r>
      <w:r>
        <w:rPr>
          <w:color w:val="auto"/>
        </w:rPr>
        <w:t>8</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_Toc17023 </w:instrText>
      </w:r>
      <w:r>
        <w:rPr>
          <w:rFonts w:asciiTheme="minorEastAsia" w:hAnsiTheme="minorEastAsia" w:eastAsiaTheme="minorEastAsia"/>
          <w:color w:val="auto"/>
        </w:rPr>
        <w:fldChar w:fldCharType="separate"/>
      </w:r>
      <w:r>
        <w:rPr>
          <w:rFonts w:hint="eastAsia" w:asciiTheme="minorEastAsia" w:hAnsiTheme="minorEastAsia" w:eastAsiaTheme="minorEastAsia"/>
          <w:color w:val="auto"/>
          <w:lang w:val="en-US" w:eastAsia="zh-CN"/>
        </w:rPr>
        <w:t>八</w:t>
      </w:r>
      <w:r>
        <w:rPr>
          <w:rFonts w:hint="eastAsia" w:asciiTheme="minorEastAsia" w:hAnsiTheme="minorEastAsia" w:eastAsiaTheme="minorEastAsia"/>
          <w:color w:val="auto"/>
        </w:rPr>
        <w:t>、疑问及质疑：</w:t>
      </w:r>
      <w:r>
        <w:rPr>
          <w:color w:val="auto"/>
        </w:rPr>
        <w:tab/>
      </w:r>
      <w:r>
        <w:rPr>
          <w:color w:val="auto"/>
        </w:rPr>
        <w:fldChar w:fldCharType="begin"/>
      </w:r>
      <w:r>
        <w:rPr>
          <w:color w:val="auto"/>
        </w:rPr>
        <w:instrText xml:space="preserve"> PAGEREF _Toc17023 \h </w:instrText>
      </w:r>
      <w:r>
        <w:rPr>
          <w:color w:val="auto"/>
        </w:rPr>
        <w:fldChar w:fldCharType="separate"/>
      </w:r>
      <w:r>
        <w:rPr>
          <w:color w:val="auto"/>
        </w:rPr>
        <w:t>8</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_Toc7229 </w:instrText>
      </w:r>
      <w:r>
        <w:rPr>
          <w:rFonts w:asciiTheme="minorEastAsia" w:hAnsiTheme="minorEastAsia" w:eastAsiaTheme="minorEastAsia"/>
          <w:color w:val="auto"/>
        </w:rPr>
        <w:fldChar w:fldCharType="separate"/>
      </w:r>
      <w:r>
        <w:rPr>
          <w:rFonts w:hint="eastAsia"/>
          <w:color w:val="auto"/>
          <w:lang w:val="en-US" w:eastAsia="zh-CN"/>
        </w:rPr>
        <w:t>九</w:t>
      </w:r>
      <w:r>
        <w:rPr>
          <w:rFonts w:hint="eastAsia"/>
          <w:color w:val="auto"/>
        </w:rPr>
        <w:t>、对本次招标提出询问，请按以下方式联系</w:t>
      </w:r>
      <w:r>
        <w:rPr>
          <w:color w:val="auto"/>
        </w:rPr>
        <w:tab/>
      </w:r>
      <w:r>
        <w:rPr>
          <w:color w:val="auto"/>
        </w:rPr>
        <w:fldChar w:fldCharType="begin"/>
      </w:r>
      <w:r>
        <w:rPr>
          <w:color w:val="auto"/>
        </w:rPr>
        <w:instrText xml:space="preserve"> PAGEREF _Toc7229 \h </w:instrText>
      </w:r>
      <w:r>
        <w:rPr>
          <w:color w:val="auto"/>
        </w:rPr>
        <w:fldChar w:fldCharType="separate"/>
      </w:r>
      <w:r>
        <w:rPr>
          <w:color w:val="auto"/>
        </w:rPr>
        <w:t>9</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_Toc7733 </w:instrText>
      </w:r>
      <w:r>
        <w:rPr>
          <w:rFonts w:asciiTheme="minorEastAsia" w:hAnsiTheme="minorEastAsia" w:eastAsiaTheme="minorEastAsia"/>
          <w:color w:val="auto"/>
        </w:rPr>
        <w:fldChar w:fldCharType="separate"/>
      </w:r>
      <w:r>
        <w:rPr>
          <w:rFonts w:hint="eastAsia"/>
          <w:color w:val="auto"/>
          <w:lang w:val="en-US" w:eastAsia="zh-CN"/>
        </w:rPr>
        <w:t>十</w:t>
      </w:r>
      <w:r>
        <w:rPr>
          <w:rFonts w:hint="eastAsia"/>
          <w:color w:val="auto"/>
        </w:rPr>
        <w:t>、其它补充事宜</w:t>
      </w:r>
      <w:r>
        <w:rPr>
          <w:color w:val="auto"/>
        </w:rPr>
        <w:tab/>
      </w:r>
      <w:r>
        <w:rPr>
          <w:color w:val="auto"/>
        </w:rPr>
        <w:fldChar w:fldCharType="begin"/>
      </w:r>
      <w:r>
        <w:rPr>
          <w:color w:val="auto"/>
        </w:rPr>
        <w:instrText xml:space="preserve"> PAGEREF _Toc7733 \h </w:instrText>
      </w:r>
      <w:r>
        <w:rPr>
          <w:color w:val="auto"/>
        </w:rPr>
        <w:fldChar w:fldCharType="separate"/>
      </w:r>
      <w:r>
        <w:rPr>
          <w:color w:val="auto"/>
        </w:rPr>
        <w:t>9</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_Toc6309 </w:instrText>
      </w:r>
      <w:r>
        <w:rPr>
          <w:rFonts w:asciiTheme="minorEastAsia" w:hAnsiTheme="minorEastAsia" w:eastAsiaTheme="minorEastAsia"/>
          <w:color w:val="auto"/>
        </w:rPr>
        <w:fldChar w:fldCharType="separate"/>
      </w:r>
      <w:r>
        <w:rPr>
          <w:rFonts w:hint="eastAsia" w:ascii="黑体" w:hAnsi="华文中宋" w:eastAsia="黑体"/>
          <w:color w:val="auto"/>
          <w:szCs w:val="32"/>
        </w:rPr>
        <w:t>第二章 投标须知</w:t>
      </w:r>
      <w:r>
        <w:rPr>
          <w:color w:val="auto"/>
        </w:rPr>
        <w:tab/>
      </w:r>
      <w:r>
        <w:rPr>
          <w:color w:val="auto"/>
        </w:rPr>
        <w:fldChar w:fldCharType="begin"/>
      </w:r>
      <w:r>
        <w:rPr>
          <w:color w:val="auto"/>
        </w:rPr>
        <w:instrText xml:space="preserve"> PAGEREF _Toc6309 \h </w:instrText>
      </w:r>
      <w:r>
        <w:rPr>
          <w:color w:val="auto"/>
        </w:rPr>
        <w:fldChar w:fldCharType="separate"/>
      </w:r>
      <w:r>
        <w:rPr>
          <w:color w:val="auto"/>
        </w:rPr>
        <w:t>11</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_Toc24188 </w:instrText>
      </w:r>
      <w:r>
        <w:rPr>
          <w:rFonts w:asciiTheme="minorEastAsia" w:hAnsiTheme="minorEastAsia" w:eastAsiaTheme="minorEastAsia"/>
          <w:color w:val="auto"/>
        </w:rPr>
        <w:fldChar w:fldCharType="separate"/>
      </w:r>
      <w:r>
        <w:rPr>
          <w:rFonts w:hint="eastAsia" w:ascii="黑体" w:hAnsi="华文中宋" w:eastAsia="黑体"/>
          <w:color w:val="auto"/>
          <w:szCs w:val="28"/>
        </w:rPr>
        <w:t>第一节 投标须知前附表</w:t>
      </w:r>
      <w:r>
        <w:rPr>
          <w:color w:val="auto"/>
        </w:rPr>
        <w:tab/>
      </w:r>
      <w:r>
        <w:rPr>
          <w:color w:val="auto"/>
        </w:rPr>
        <w:fldChar w:fldCharType="begin"/>
      </w:r>
      <w:r>
        <w:rPr>
          <w:color w:val="auto"/>
        </w:rPr>
        <w:instrText xml:space="preserve"> PAGEREF _Toc24188 \h </w:instrText>
      </w:r>
      <w:r>
        <w:rPr>
          <w:color w:val="auto"/>
        </w:rPr>
        <w:fldChar w:fldCharType="separate"/>
      </w:r>
      <w:r>
        <w:rPr>
          <w:color w:val="auto"/>
        </w:rPr>
        <w:t>11</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_Toc2798 </w:instrText>
      </w:r>
      <w:r>
        <w:rPr>
          <w:rFonts w:asciiTheme="minorEastAsia" w:hAnsiTheme="minorEastAsia" w:eastAsiaTheme="minorEastAsia"/>
          <w:color w:val="auto"/>
        </w:rPr>
        <w:fldChar w:fldCharType="separate"/>
      </w:r>
      <w:r>
        <w:rPr>
          <w:rFonts w:hint="eastAsia" w:ascii="黑体" w:hAnsi="黑体" w:eastAsia="黑体"/>
          <w:color w:val="auto"/>
          <w:szCs w:val="28"/>
        </w:rPr>
        <w:t>第二节 投标须知</w:t>
      </w:r>
      <w:r>
        <w:rPr>
          <w:color w:val="auto"/>
        </w:rPr>
        <w:tab/>
      </w:r>
      <w:r>
        <w:rPr>
          <w:color w:val="auto"/>
        </w:rPr>
        <w:fldChar w:fldCharType="begin"/>
      </w:r>
      <w:r>
        <w:rPr>
          <w:color w:val="auto"/>
        </w:rPr>
        <w:instrText xml:space="preserve"> PAGEREF _Toc2798 \h </w:instrText>
      </w:r>
      <w:r>
        <w:rPr>
          <w:color w:val="auto"/>
        </w:rPr>
        <w:fldChar w:fldCharType="separate"/>
      </w:r>
      <w:r>
        <w:rPr>
          <w:color w:val="auto"/>
        </w:rPr>
        <w:t>17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_Toc29542 </w:instrText>
      </w:r>
      <w:r>
        <w:rPr>
          <w:rFonts w:asciiTheme="minorEastAsia" w:hAnsiTheme="minorEastAsia" w:eastAsiaTheme="minorEastAsia"/>
          <w:color w:val="auto"/>
        </w:rPr>
        <w:fldChar w:fldCharType="separate"/>
      </w:r>
      <w:r>
        <w:rPr>
          <w:rFonts w:hint="eastAsia" w:ascii="黑体" w:hAnsi="黑体" w:eastAsia="黑体"/>
          <w:color w:val="auto"/>
          <w:szCs w:val="28"/>
        </w:rPr>
        <w:t>一、总则</w:t>
      </w:r>
      <w:r>
        <w:rPr>
          <w:color w:val="auto"/>
        </w:rPr>
        <w:tab/>
      </w:r>
      <w:r>
        <w:rPr>
          <w:color w:val="auto"/>
        </w:rPr>
        <w:fldChar w:fldCharType="begin"/>
      </w:r>
      <w:r>
        <w:rPr>
          <w:color w:val="auto"/>
        </w:rPr>
        <w:instrText xml:space="preserve"> PAGEREF _Toc29542 \h </w:instrText>
      </w:r>
      <w:r>
        <w:rPr>
          <w:color w:val="auto"/>
        </w:rPr>
        <w:fldChar w:fldCharType="separate"/>
      </w:r>
      <w:r>
        <w:rPr>
          <w:color w:val="auto"/>
        </w:rPr>
        <w:t>17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_Toc31109 </w:instrText>
      </w:r>
      <w:r>
        <w:rPr>
          <w:rFonts w:asciiTheme="minorEastAsia" w:hAnsiTheme="minorEastAsia" w:eastAsiaTheme="minorEastAsia"/>
          <w:color w:val="auto"/>
        </w:rPr>
        <w:fldChar w:fldCharType="separate"/>
      </w:r>
      <w:r>
        <w:rPr>
          <w:rFonts w:hint="eastAsia" w:ascii="黑体" w:hAnsi="黑体" w:eastAsia="黑体"/>
          <w:color w:val="auto"/>
          <w:szCs w:val="28"/>
        </w:rPr>
        <w:t>二、招标文件</w:t>
      </w:r>
      <w:r>
        <w:rPr>
          <w:color w:val="auto"/>
        </w:rPr>
        <w:tab/>
      </w:r>
      <w:r>
        <w:rPr>
          <w:color w:val="auto"/>
        </w:rPr>
        <w:fldChar w:fldCharType="begin"/>
      </w:r>
      <w:r>
        <w:rPr>
          <w:color w:val="auto"/>
        </w:rPr>
        <w:instrText xml:space="preserve"> PAGEREF _Toc31109 \h </w:instrText>
      </w:r>
      <w:r>
        <w:rPr>
          <w:color w:val="auto"/>
        </w:rPr>
        <w:fldChar w:fldCharType="separate"/>
      </w:r>
      <w:r>
        <w:rPr>
          <w:color w:val="auto"/>
        </w:rPr>
        <w:t>18</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_Toc19906 </w:instrText>
      </w:r>
      <w:r>
        <w:rPr>
          <w:rFonts w:asciiTheme="minorEastAsia" w:hAnsiTheme="minorEastAsia" w:eastAsiaTheme="minorEastAsia"/>
          <w:color w:val="auto"/>
        </w:rPr>
        <w:fldChar w:fldCharType="separate"/>
      </w:r>
      <w:r>
        <w:rPr>
          <w:rFonts w:hint="eastAsia" w:ascii="黑体" w:hAnsi="黑体" w:eastAsia="黑体"/>
          <w:color w:val="auto"/>
          <w:szCs w:val="28"/>
        </w:rPr>
        <w:t>三、投标文件</w:t>
      </w:r>
      <w:r>
        <w:rPr>
          <w:color w:val="auto"/>
        </w:rPr>
        <w:tab/>
      </w:r>
      <w:r>
        <w:rPr>
          <w:color w:val="auto"/>
        </w:rPr>
        <w:fldChar w:fldCharType="begin"/>
      </w:r>
      <w:r>
        <w:rPr>
          <w:color w:val="auto"/>
        </w:rPr>
        <w:instrText xml:space="preserve"> PAGEREF _Toc19906 \h </w:instrText>
      </w:r>
      <w:r>
        <w:rPr>
          <w:color w:val="auto"/>
        </w:rPr>
        <w:fldChar w:fldCharType="separate"/>
      </w:r>
      <w:r>
        <w:rPr>
          <w:color w:val="auto"/>
        </w:rPr>
        <w:t>19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_Toc28079 </w:instrText>
      </w:r>
      <w:r>
        <w:rPr>
          <w:rFonts w:asciiTheme="minorEastAsia" w:hAnsiTheme="minorEastAsia" w:eastAsiaTheme="minorEastAsia"/>
          <w:color w:val="auto"/>
        </w:rPr>
        <w:fldChar w:fldCharType="separate"/>
      </w:r>
      <w:r>
        <w:rPr>
          <w:rFonts w:hint="eastAsia" w:ascii="黑体" w:hAnsi="黑体" w:eastAsia="黑体"/>
          <w:color w:val="auto"/>
          <w:szCs w:val="28"/>
        </w:rPr>
        <w:t>四、 投标</w:t>
      </w:r>
      <w:r>
        <w:rPr>
          <w:color w:val="auto"/>
        </w:rPr>
        <w:tab/>
      </w:r>
      <w:r>
        <w:rPr>
          <w:color w:val="auto"/>
        </w:rPr>
        <w:fldChar w:fldCharType="begin"/>
      </w:r>
      <w:r>
        <w:rPr>
          <w:color w:val="auto"/>
        </w:rPr>
        <w:instrText xml:space="preserve"> PAGEREF _Toc28079 \h </w:instrText>
      </w:r>
      <w:r>
        <w:rPr>
          <w:color w:val="auto"/>
        </w:rPr>
        <w:fldChar w:fldCharType="separate"/>
      </w:r>
      <w:r>
        <w:rPr>
          <w:color w:val="auto"/>
        </w:rPr>
        <w:t>22</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_Toc1709 </w:instrText>
      </w:r>
      <w:r>
        <w:rPr>
          <w:rFonts w:asciiTheme="minorEastAsia" w:hAnsiTheme="minorEastAsia" w:eastAsiaTheme="minorEastAsia"/>
          <w:color w:val="auto"/>
        </w:rPr>
        <w:fldChar w:fldCharType="separate"/>
      </w:r>
      <w:r>
        <w:rPr>
          <w:rFonts w:hint="eastAsia" w:ascii="黑体" w:hAnsi="黑体" w:eastAsia="黑体"/>
          <w:color w:val="auto"/>
          <w:szCs w:val="28"/>
        </w:rPr>
        <w:t>五、开标，资格审查和评标</w:t>
      </w:r>
      <w:r>
        <w:rPr>
          <w:color w:val="auto"/>
        </w:rPr>
        <w:tab/>
      </w:r>
      <w:r>
        <w:rPr>
          <w:color w:val="auto"/>
        </w:rPr>
        <w:fldChar w:fldCharType="begin"/>
      </w:r>
      <w:r>
        <w:rPr>
          <w:color w:val="auto"/>
        </w:rPr>
        <w:instrText xml:space="preserve"> PAGEREF _Toc1709 \h </w:instrText>
      </w:r>
      <w:r>
        <w:rPr>
          <w:color w:val="auto"/>
        </w:rPr>
        <w:fldChar w:fldCharType="separate"/>
      </w:r>
      <w:r>
        <w:rPr>
          <w:color w:val="auto"/>
        </w:rPr>
        <w:t>23</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_Toc9557 </w:instrText>
      </w:r>
      <w:r>
        <w:rPr>
          <w:rFonts w:asciiTheme="minorEastAsia" w:hAnsiTheme="minorEastAsia" w:eastAsiaTheme="minorEastAsia"/>
          <w:color w:val="auto"/>
        </w:rPr>
        <w:fldChar w:fldCharType="separate"/>
      </w:r>
      <w:r>
        <w:rPr>
          <w:rFonts w:hint="eastAsia" w:ascii="黑体" w:hAnsi="黑体" w:eastAsia="黑体"/>
          <w:color w:val="auto"/>
          <w:szCs w:val="28"/>
        </w:rPr>
        <w:t>六、中标信息公布</w:t>
      </w:r>
      <w:r>
        <w:rPr>
          <w:color w:val="auto"/>
        </w:rPr>
        <w:tab/>
      </w:r>
      <w:r>
        <w:rPr>
          <w:color w:val="auto"/>
        </w:rPr>
        <w:fldChar w:fldCharType="begin"/>
      </w:r>
      <w:r>
        <w:rPr>
          <w:color w:val="auto"/>
        </w:rPr>
        <w:instrText xml:space="preserve"> PAGEREF _Toc9557 \h </w:instrText>
      </w:r>
      <w:r>
        <w:rPr>
          <w:color w:val="auto"/>
        </w:rPr>
        <w:fldChar w:fldCharType="separate"/>
      </w:r>
      <w:r>
        <w:rPr>
          <w:color w:val="auto"/>
        </w:rPr>
        <w:t>25</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_Toc20644 </w:instrText>
      </w:r>
      <w:r>
        <w:rPr>
          <w:rFonts w:asciiTheme="minorEastAsia" w:hAnsiTheme="minorEastAsia" w:eastAsiaTheme="minorEastAsia"/>
          <w:color w:val="auto"/>
        </w:rPr>
        <w:fldChar w:fldCharType="separate"/>
      </w:r>
      <w:r>
        <w:rPr>
          <w:rFonts w:hint="eastAsia" w:ascii="黑体" w:hAnsi="黑体" w:eastAsia="黑体"/>
          <w:color w:val="auto"/>
          <w:szCs w:val="28"/>
        </w:rPr>
        <w:t>七、合同签订</w:t>
      </w:r>
      <w:r>
        <w:rPr>
          <w:color w:val="auto"/>
        </w:rPr>
        <w:tab/>
      </w:r>
      <w:r>
        <w:rPr>
          <w:color w:val="auto"/>
        </w:rPr>
        <w:fldChar w:fldCharType="begin"/>
      </w:r>
      <w:r>
        <w:rPr>
          <w:color w:val="auto"/>
        </w:rPr>
        <w:instrText xml:space="preserve"> PAGEREF _Toc20644 \h </w:instrText>
      </w:r>
      <w:r>
        <w:rPr>
          <w:color w:val="auto"/>
        </w:rPr>
        <w:fldChar w:fldCharType="separate"/>
      </w:r>
      <w:r>
        <w:rPr>
          <w:color w:val="auto"/>
        </w:rPr>
        <w:t>26</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_Toc11347 </w:instrText>
      </w:r>
      <w:r>
        <w:rPr>
          <w:rFonts w:asciiTheme="minorEastAsia" w:hAnsiTheme="minorEastAsia" w:eastAsiaTheme="minorEastAsia"/>
          <w:color w:val="auto"/>
        </w:rPr>
        <w:fldChar w:fldCharType="separate"/>
      </w:r>
      <w:r>
        <w:rPr>
          <w:rFonts w:hint="eastAsia" w:ascii="黑体" w:hAnsi="黑体" w:eastAsia="黑体"/>
          <w:color w:val="auto"/>
          <w:szCs w:val="28"/>
        </w:rPr>
        <w:t>八、政府采购政策</w:t>
      </w:r>
      <w:r>
        <w:rPr>
          <w:color w:val="auto"/>
        </w:rPr>
        <w:tab/>
      </w:r>
      <w:r>
        <w:rPr>
          <w:color w:val="auto"/>
        </w:rPr>
        <w:fldChar w:fldCharType="begin"/>
      </w:r>
      <w:r>
        <w:rPr>
          <w:color w:val="auto"/>
        </w:rPr>
        <w:instrText xml:space="preserve"> PAGEREF _Toc11347 \h </w:instrText>
      </w:r>
      <w:r>
        <w:rPr>
          <w:color w:val="auto"/>
        </w:rPr>
        <w:fldChar w:fldCharType="separate"/>
      </w:r>
      <w:r>
        <w:rPr>
          <w:color w:val="auto"/>
        </w:rPr>
        <w:t>27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_Toc26141 </w:instrText>
      </w:r>
      <w:r>
        <w:rPr>
          <w:rFonts w:asciiTheme="minorEastAsia" w:hAnsiTheme="minorEastAsia" w:eastAsiaTheme="minorEastAsia"/>
          <w:color w:val="auto"/>
        </w:rPr>
        <w:fldChar w:fldCharType="separate"/>
      </w:r>
      <w:r>
        <w:rPr>
          <w:rFonts w:hint="eastAsia" w:ascii="黑体" w:hAnsi="黑体" w:eastAsia="黑体"/>
          <w:color w:val="auto"/>
          <w:szCs w:val="28"/>
        </w:rPr>
        <w:t>九、其他规定</w:t>
      </w:r>
      <w:r>
        <w:rPr>
          <w:color w:val="auto"/>
        </w:rPr>
        <w:tab/>
      </w:r>
      <w:r>
        <w:rPr>
          <w:color w:val="auto"/>
        </w:rPr>
        <w:fldChar w:fldCharType="begin"/>
      </w:r>
      <w:r>
        <w:rPr>
          <w:color w:val="auto"/>
        </w:rPr>
        <w:instrText xml:space="preserve"> PAGEREF _Toc26141 \h </w:instrText>
      </w:r>
      <w:r>
        <w:rPr>
          <w:color w:val="auto"/>
        </w:rPr>
        <w:fldChar w:fldCharType="separate"/>
      </w:r>
      <w:r>
        <w:rPr>
          <w:color w:val="auto"/>
        </w:rPr>
        <w:t>28</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_Toc24874 </w:instrText>
      </w:r>
      <w:r>
        <w:rPr>
          <w:rFonts w:asciiTheme="minorEastAsia" w:hAnsiTheme="minorEastAsia" w:eastAsiaTheme="minorEastAsia"/>
          <w:color w:val="auto"/>
        </w:rPr>
        <w:fldChar w:fldCharType="separate"/>
      </w:r>
      <w:r>
        <w:rPr>
          <w:rFonts w:hint="eastAsia" w:ascii="黑体" w:hAnsi="黑体" w:eastAsia="黑体"/>
          <w:color w:val="auto"/>
          <w:szCs w:val="32"/>
        </w:rPr>
        <w:t>第三章 资格审查</w:t>
      </w:r>
      <w:r>
        <w:rPr>
          <w:color w:val="auto"/>
        </w:rPr>
        <w:tab/>
      </w:r>
      <w:r>
        <w:rPr>
          <w:color w:val="auto"/>
        </w:rPr>
        <w:fldChar w:fldCharType="begin"/>
      </w:r>
      <w:r>
        <w:rPr>
          <w:color w:val="auto"/>
        </w:rPr>
        <w:instrText xml:space="preserve"> PAGEREF _Toc24874 \h </w:instrText>
      </w:r>
      <w:r>
        <w:rPr>
          <w:color w:val="auto"/>
        </w:rPr>
        <w:fldChar w:fldCharType="separate"/>
      </w:r>
      <w:r>
        <w:rPr>
          <w:color w:val="auto"/>
        </w:rPr>
        <w:t>29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_Toc2547 </w:instrText>
      </w:r>
      <w:r>
        <w:rPr>
          <w:rFonts w:asciiTheme="minorEastAsia" w:hAnsiTheme="minorEastAsia" w:eastAsiaTheme="minorEastAsia"/>
          <w:color w:val="auto"/>
        </w:rPr>
        <w:fldChar w:fldCharType="separate"/>
      </w:r>
      <w:r>
        <w:rPr>
          <w:rFonts w:hint="eastAsia" w:ascii="黑体" w:hAnsi="黑体" w:eastAsia="黑体"/>
          <w:color w:val="auto"/>
          <w:szCs w:val="24"/>
        </w:rPr>
        <w:t>1．资格审查主体</w:t>
      </w:r>
      <w:r>
        <w:rPr>
          <w:color w:val="auto"/>
        </w:rPr>
        <w:tab/>
      </w:r>
      <w:r>
        <w:rPr>
          <w:color w:val="auto"/>
        </w:rPr>
        <w:fldChar w:fldCharType="begin"/>
      </w:r>
      <w:r>
        <w:rPr>
          <w:color w:val="auto"/>
        </w:rPr>
        <w:instrText xml:space="preserve"> PAGEREF _Toc2547 \h </w:instrText>
      </w:r>
      <w:r>
        <w:rPr>
          <w:color w:val="auto"/>
        </w:rPr>
        <w:fldChar w:fldCharType="separate"/>
      </w:r>
      <w:r>
        <w:rPr>
          <w:color w:val="auto"/>
        </w:rPr>
        <w:t>29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_Toc18491 </w:instrText>
      </w:r>
      <w:r>
        <w:rPr>
          <w:rFonts w:asciiTheme="minorEastAsia" w:hAnsiTheme="minorEastAsia" w:eastAsiaTheme="minorEastAsia"/>
          <w:color w:val="auto"/>
        </w:rPr>
        <w:fldChar w:fldCharType="separate"/>
      </w:r>
      <w:r>
        <w:rPr>
          <w:rFonts w:hint="eastAsia" w:ascii="黑体" w:hAnsi="黑体" w:eastAsia="黑体"/>
          <w:color w:val="auto"/>
          <w:szCs w:val="24"/>
        </w:rPr>
        <w:t>2．资格审查</w:t>
      </w:r>
      <w:r>
        <w:rPr>
          <w:color w:val="auto"/>
        </w:rPr>
        <w:tab/>
      </w:r>
      <w:r>
        <w:rPr>
          <w:color w:val="auto"/>
        </w:rPr>
        <w:fldChar w:fldCharType="begin"/>
      </w:r>
      <w:r>
        <w:rPr>
          <w:color w:val="auto"/>
        </w:rPr>
        <w:instrText xml:space="preserve"> PAGEREF _Toc18491 \h </w:instrText>
      </w:r>
      <w:r>
        <w:rPr>
          <w:color w:val="auto"/>
        </w:rPr>
        <w:fldChar w:fldCharType="separate"/>
      </w:r>
      <w:r>
        <w:rPr>
          <w:color w:val="auto"/>
        </w:rPr>
        <w:t>29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_Toc4137 </w:instrText>
      </w:r>
      <w:r>
        <w:rPr>
          <w:rFonts w:asciiTheme="minorEastAsia" w:hAnsiTheme="minorEastAsia" w:eastAsiaTheme="minorEastAsia"/>
          <w:color w:val="auto"/>
        </w:rPr>
        <w:fldChar w:fldCharType="separate"/>
      </w:r>
      <w:r>
        <w:rPr>
          <w:rFonts w:hint="eastAsia" w:ascii="黑体" w:hAnsi="黑体" w:eastAsia="黑体"/>
          <w:color w:val="auto"/>
          <w:szCs w:val="24"/>
        </w:rPr>
        <w:t>3．资格审查结果</w:t>
      </w:r>
      <w:r>
        <w:rPr>
          <w:color w:val="auto"/>
        </w:rPr>
        <w:tab/>
      </w:r>
      <w:r>
        <w:rPr>
          <w:color w:val="auto"/>
        </w:rPr>
        <w:fldChar w:fldCharType="begin"/>
      </w:r>
      <w:r>
        <w:rPr>
          <w:color w:val="auto"/>
        </w:rPr>
        <w:instrText xml:space="preserve"> PAGEREF _Toc4137 \h </w:instrText>
      </w:r>
      <w:r>
        <w:rPr>
          <w:color w:val="auto"/>
        </w:rPr>
        <w:fldChar w:fldCharType="separate"/>
      </w:r>
      <w:r>
        <w:rPr>
          <w:color w:val="auto"/>
        </w:rPr>
        <w:t>30</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_Toc27135 </w:instrText>
      </w:r>
      <w:r>
        <w:rPr>
          <w:rFonts w:asciiTheme="minorEastAsia" w:hAnsiTheme="minorEastAsia" w:eastAsiaTheme="minorEastAsia"/>
          <w:color w:val="auto"/>
        </w:rPr>
        <w:fldChar w:fldCharType="separate"/>
      </w:r>
      <w:r>
        <w:rPr>
          <w:rFonts w:hint="eastAsia" w:asciiTheme="minorEastAsia" w:hAnsiTheme="minorEastAsia" w:eastAsiaTheme="minorEastAsia"/>
          <w:color w:val="auto"/>
          <w:szCs w:val="21"/>
        </w:rPr>
        <w:t>附表1</w:t>
      </w:r>
      <w:r>
        <w:rPr>
          <w:rFonts w:asciiTheme="minorEastAsia" w:hAnsiTheme="minorEastAsia" w:eastAsiaTheme="minorEastAsia"/>
          <w:color w:val="auto"/>
          <w:szCs w:val="21"/>
        </w:rPr>
        <w:t>资格审查表</w:t>
      </w:r>
      <w:r>
        <w:rPr>
          <w:color w:val="auto"/>
        </w:rPr>
        <w:tab/>
      </w:r>
      <w:r>
        <w:rPr>
          <w:color w:val="auto"/>
        </w:rPr>
        <w:fldChar w:fldCharType="begin"/>
      </w:r>
      <w:r>
        <w:rPr>
          <w:color w:val="auto"/>
        </w:rPr>
        <w:instrText xml:space="preserve"> PAGEREF _Toc27135 \h </w:instrText>
      </w:r>
      <w:r>
        <w:rPr>
          <w:color w:val="auto"/>
        </w:rPr>
        <w:fldChar w:fldCharType="separate"/>
      </w:r>
      <w:r>
        <w:rPr>
          <w:color w:val="auto"/>
        </w:rPr>
        <w:t>31</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_Toc22991 </w:instrText>
      </w:r>
      <w:r>
        <w:rPr>
          <w:rFonts w:asciiTheme="minorEastAsia" w:hAnsiTheme="minorEastAsia" w:eastAsiaTheme="minorEastAsia"/>
          <w:color w:val="auto"/>
        </w:rPr>
        <w:fldChar w:fldCharType="separate"/>
      </w:r>
      <w:r>
        <w:rPr>
          <w:rFonts w:hint="eastAsia" w:ascii="黑体" w:hAnsi="黑体"/>
          <w:color w:val="auto"/>
          <w:szCs w:val="21"/>
        </w:rPr>
        <w:t>附表2 资格审查结果一览表</w:t>
      </w:r>
      <w:r>
        <w:rPr>
          <w:color w:val="auto"/>
        </w:rPr>
        <w:tab/>
      </w:r>
      <w:r>
        <w:rPr>
          <w:color w:val="auto"/>
        </w:rPr>
        <w:fldChar w:fldCharType="begin"/>
      </w:r>
      <w:r>
        <w:rPr>
          <w:color w:val="auto"/>
        </w:rPr>
        <w:instrText xml:space="preserve"> PAGEREF _Toc22991 \h </w:instrText>
      </w:r>
      <w:r>
        <w:rPr>
          <w:color w:val="auto"/>
        </w:rPr>
        <w:fldChar w:fldCharType="separate"/>
      </w:r>
      <w:r>
        <w:rPr>
          <w:color w:val="auto"/>
        </w:rPr>
        <w:t>33</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_Toc7125 </w:instrText>
      </w:r>
      <w:r>
        <w:rPr>
          <w:rFonts w:asciiTheme="minorEastAsia" w:hAnsiTheme="minorEastAsia" w:eastAsiaTheme="minorEastAsia"/>
          <w:color w:val="auto"/>
        </w:rPr>
        <w:fldChar w:fldCharType="separate"/>
      </w:r>
      <w:r>
        <w:rPr>
          <w:rFonts w:hint="eastAsia" w:ascii="黑体" w:hAnsi="黑体"/>
          <w:color w:val="auto"/>
          <w:szCs w:val="21"/>
        </w:rPr>
        <w:t>附表3 资格审查合格投标人名单</w:t>
      </w:r>
      <w:r>
        <w:rPr>
          <w:color w:val="auto"/>
        </w:rPr>
        <w:tab/>
      </w:r>
      <w:r>
        <w:rPr>
          <w:color w:val="auto"/>
        </w:rPr>
        <w:fldChar w:fldCharType="begin"/>
      </w:r>
      <w:r>
        <w:rPr>
          <w:color w:val="auto"/>
        </w:rPr>
        <w:instrText xml:space="preserve"> PAGEREF _Toc7125 \h </w:instrText>
      </w:r>
      <w:r>
        <w:rPr>
          <w:color w:val="auto"/>
        </w:rPr>
        <w:fldChar w:fldCharType="separate"/>
      </w:r>
      <w:r>
        <w:rPr>
          <w:color w:val="auto"/>
        </w:rPr>
        <w:t>34</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_Toc17683 </w:instrText>
      </w:r>
      <w:r>
        <w:rPr>
          <w:rFonts w:asciiTheme="minorEastAsia" w:hAnsiTheme="minorEastAsia" w:eastAsiaTheme="minorEastAsia"/>
          <w:color w:val="auto"/>
        </w:rPr>
        <w:fldChar w:fldCharType="separate"/>
      </w:r>
      <w:r>
        <w:rPr>
          <w:rFonts w:hint="eastAsia" w:ascii="黑体" w:hAnsi="华文中宋" w:eastAsia="黑体"/>
          <w:color w:val="auto"/>
          <w:szCs w:val="32"/>
        </w:rPr>
        <w:t>第四章 评标方法及标准（最低价法）</w:t>
      </w:r>
      <w:r>
        <w:rPr>
          <w:color w:val="auto"/>
        </w:rPr>
        <w:tab/>
      </w:r>
      <w:r>
        <w:rPr>
          <w:color w:val="auto"/>
        </w:rPr>
        <w:fldChar w:fldCharType="begin"/>
      </w:r>
      <w:r>
        <w:rPr>
          <w:color w:val="auto"/>
        </w:rPr>
        <w:instrText xml:space="preserve"> PAGEREF _Toc17683 \h </w:instrText>
      </w:r>
      <w:r>
        <w:rPr>
          <w:color w:val="auto"/>
        </w:rPr>
        <w:fldChar w:fldCharType="separate"/>
      </w:r>
      <w:r>
        <w:rPr>
          <w:color w:val="auto"/>
        </w:rPr>
        <w:t>35</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_Toc20568 </w:instrText>
      </w:r>
      <w:r>
        <w:rPr>
          <w:rFonts w:asciiTheme="minorEastAsia" w:hAnsiTheme="minorEastAsia" w:eastAsiaTheme="minorEastAsia"/>
          <w:color w:val="auto"/>
        </w:rPr>
        <w:fldChar w:fldCharType="separate"/>
      </w:r>
      <w:r>
        <w:rPr>
          <w:rFonts w:hint="eastAsia" w:ascii="黑体" w:hAnsi="华文中宋" w:eastAsia="黑体"/>
          <w:bCs/>
          <w:color w:val="auto"/>
          <w:szCs w:val="28"/>
        </w:rPr>
        <w:t>第一节 评标方法及标准前附表</w:t>
      </w:r>
      <w:r>
        <w:rPr>
          <w:color w:val="auto"/>
        </w:rPr>
        <w:tab/>
      </w:r>
      <w:r>
        <w:rPr>
          <w:color w:val="auto"/>
        </w:rPr>
        <w:fldChar w:fldCharType="begin"/>
      </w:r>
      <w:r>
        <w:rPr>
          <w:color w:val="auto"/>
        </w:rPr>
        <w:instrText xml:space="preserve"> PAGEREF _Toc20568 \h </w:instrText>
      </w:r>
      <w:r>
        <w:rPr>
          <w:color w:val="auto"/>
        </w:rPr>
        <w:fldChar w:fldCharType="separate"/>
      </w:r>
      <w:r>
        <w:rPr>
          <w:color w:val="auto"/>
        </w:rPr>
        <w:t>35</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_Toc23228 </w:instrText>
      </w:r>
      <w:r>
        <w:rPr>
          <w:rFonts w:asciiTheme="minorEastAsia" w:hAnsiTheme="minorEastAsia" w:eastAsiaTheme="minorEastAsia"/>
          <w:color w:val="auto"/>
        </w:rPr>
        <w:fldChar w:fldCharType="separate"/>
      </w:r>
      <w:r>
        <w:rPr>
          <w:rFonts w:hint="eastAsia" w:ascii="黑体" w:hAnsi="华文中宋" w:eastAsia="黑体"/>
          <w:bCs/>
          <w:color w:val="auto"/>
          <w:szCs w:val="28"/>
        </w:rPr>
        <w:t>第二节 评标方法及标准</w:t>
      </w:r>
      <w:r>
        <w:rPr>
          <w:color w:val="auto"/>
        </w:rPr>
        <w:tab/>
      </w:r>
      <w:r>
        <w:rPr>
          <w:color w:val="auto"/>
        </w:rPr>
        <w:fldChar w:fldCharType="begin"/>
      </w:r>
      <w:r>
        <w:rPr>
          <w:color w:val="auto"/>
        </w:rPr>
        <w:instrText xml:space="preserve"> PAGEREF _Toc23228 \h </w:instrText>
      </w:r>
      <w:r>
        <w:rPr>
          <w:color w:val="auto"/>
        </w:rPr>
        <w:fldChar w:fldCharType="separate"/>
      </w:r>
      <w:r>
        <w:rPr>
          <w:color w:val="auto"/>
        </w:rPr>
        <w:t>37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_Toc13155 </w:instrText>
      </w:r>
      <w:r>
        <w:rPr>
          <w:rFonts w:asciiTheme="minorEastAsia" w:hAnsiTheme="minorEastAsia" w:eastAsiaTheme="minorEastAsia"/>
          <w:color w:val="auto"/>
        </w:rPr>
        <w:fldChar w:fldCharType="separate"/>
      </w:r>
      <w:r>
        <w:rPr>
          <w:rFonts w:hint="eastAsia" w:ascii="黑体" w:hAnsi="黑体" w:eastAsia="黑体"/>
          <w:bCs/>
          <w:color w:val="auto"/>
        </w:rPr>
        <w:t>1．评标方法</w:t>
      </w:r>
      <w:r>
        <w:rPr>
          <w:color w:val="auto"/>
        </w:rPr>
        <w:tab/>
      </w:r>
      <w:r>
        <w:rPr>
          <w:color w:val="auto"/>
        </w:rPr>
        <w:fldChar w:fldCharType="begin"/>
      </w:r>
      <w:r>
        <w:rPr>
          <w:color w:val="auto"/>
        </w:rPr>
        <w:instrText xml:space="preserve"> PAGEREF _Toc13155 \h </w:instrText>
      </w:r>
      <w:r>
        <w:rPr>
          <w:color w:val="auto"/>
        </w:rPr>
        <w:fldChar w:fldCharType="separate"/>
      </w:r>
      <w:r>
        <w:rPr>
          <w:color w:val="auto"/>
        </w:rPr>
        <w:t>37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_Toc3239 </w:instrText>
      </w:r>
      <w:r>
        <w:rPr>
          <w:rFonts w:asciiTheme="minorEastAsia" w:hAnsiTheme="minorEastAsia" w:eastAsiaTheme="minorEastAsia"/>
          <w:color w:val="auto"/>
        </w:rPr>
        <w:fldChar w:fldCharType="separate"/>
      </w:r>
      <w:r>
        <w:rPr>
          <w:rFonts w:hint="eastAsia" w:ascii="黑体" w:hAnsi="黑体" w:eastAsia="黑体"/>
          <w:color w:val="auto"/>
        </w:rPr>
        <w:t>2．评标程序</w:t>
      </w:r>
      <w:r>
        <w:rPr>
          <w:color w:val="auto"/>
        </w:rPr>
        <w:tab/>
      </w:r>
      <w:r>
        <w:rPr>
          <w:color w:val="auto"/>
        </w:rPr>
        <w:fldChar w:fldCharType="begin"/>
      </w:r>
      <w:r>
        <w:rPr>
          <w:color w:val="auto"/>
        </w:rPr>
        <w:instrText xml:space="preserve"> PAGEREF _Toc3239 \h </w:instrText>
      </w:r>
      <w:r>
        <w:rPr>
          <w:color w:val="auto"/>
        </w:rPr>
        <w:fldChar w:fldCharType="separate"/>
      </w:r>
      <w:r>
        <w:rPr>
          <w:color w:val="auto"/>
        </w:rPr>
        <w:t>37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_Toc14118 </w:instrText>
      </w:r>
      <w:r>
        <w:rPr>
          <w:rFonts w:asciiTheme="minorEastAsia" w:hAnsiTheme="minorEastAsia" w:eastAsiaTheme="minorEastAsia"/>
          <w:color w:val="auto"/>
        </w:rPr>
        <w:fldChar w:fldCharType="separate"/>
      </w:r>
      <w:r>
        <w:rPr>
          <w:rFonts w:hint="eastAsia" w:ascii="黑体" w:hAnsi="黑体" w:eastAsia="黑体"/>
          <w:color w:val="auto"/>
        </w:rPr>
        <w:t>3．投标文件的符合性审查</w:t>
      </w:r>
      <w:r>
        <w:rPr>
          <w:color w:val="auto"/>
        </w:rPr>
        <w:tab/>
      </w:r>
      <w:r>
        <w:rPr>
          <w:color w:val="auto"/>
        </w:rPr>
        <w:fldChar w:fldCharType="begin"/>
      </w:r>
      <w:r>
        <w:rPr>
          <w:color w:val="auto"/>
        </w:rPr>
        <w:instrText xml:space="preserve"> PAGEREF _Toc14118 \h </w:instrText>
      </w:r>
      <w:r>
        <w:rPr>
          <w:color w:val="auto"/>
        </w:rPr>
        <w:fldChar w:fldCharType="separate"/>
      </w:r>
      <w:r>
        <w:rPr>
          <w:color w:val="auto"/>
        </w:rPr>
        <w:t>37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_Toc13561 </w:instrText>
      </w:r>
      <w:r>
        <w:rPr>
          <w:rFonts w:asciiTheme="minorEastAsia" w:hAnsiTheme="minorEastAsia" w:eastAsiaTheme="minorEastAsia"/>
          <w:color w:val="auto"/>
        </w:rPr>
        <w:fldChar w:fldCharType="separate"/>
      </w:r>
      <w:r>
        <w:rPr>
          <w:rFonts w:hint="eastAsia" w:ascii="黑体" w:hAnsi="黑体" w:eastAsia="黑体"/>
          <w:color w:val="auto"/>
        </w:rPr>
        <w:t>4．投标文件的澄清</w:t>
      </w:r>
      <w:r>
        <w:rPr>
          <w:color w:val="auto"/>
        </w:rPr>
        <w:tab/>
      </w:r>
      <w:r>
        <w:rPr>
          <w:color w:val="auto"/>
        </w:rPr>
        <w:fldChar w:fldCharType="begin"/>
      </w:r>
      <w:r>
        <w:rPr>
          <w:color w:val="auto"/>
        </w:rPr>
        <w:instrText xml:space="preserve"> PAGEREF _Toc13561 \h </w:instrText>
      </w:r>
      <w:r>
        <w:rPr>
          <w:color w:val="auto"/>
        </w:rPr>
        <w:fldChar w:fldCharType="separate"/>
      </w:r>
      <w:r>
        <w:rPr>
          <w:color w:val="auto"/>
        </w:rPr>
        <w:t>37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_Toc8958 </w:instrText>
      </w:r>
      <w:r>
        <w:rPr>
          <w:rFonts w:asciiTheme="minorEastAsia" w:hAnsiTheme="minorEastAsia" w:eastAsiaTheme="minorEastAsia"/>
          <w:color w:val="auto"/>
        </w:rPr>
        <w:fldChar w:fldCharType="separate"/>
      </w:r>
      <w:r>
        <w:rPr>
          <w:rFonts w:hint="eastAsia" w:ascii="黑体" w:hAnsi="黑体" w:eastAsia="黑体"/>
          <w:color w:val="auto"/>
        </w:rPr>
        <w:t>5．投标文件的比较与评价</w:t>
      </w:r>
      <w:r>
        <w:rPr>
          <w:color w:val="auto"/>
        </w:rPr>
        <w:tab/>
      </w:r>
      <w:r>
        <w:rPr>
          <w:color w:val="auto"/>
        </w:rPr>
        <w:fldChar w:fldCharType="begin"/>
      </w:r>
      <w:r>
        <w:rPr>
          <w:color w:val="auto"/>
        </w:rPr>
        <w:instrText xml:space="preserve"> PAGEREF _Toc8958 \h </w:instrText>
      </w:r>
      <w:r>
        <w:rPr>
          <w:color w:val="auto"/>
        </w:rPr>
        <w:fldChar w:fldCharType="separate"/>
      </w:r>
      <w:r>
        <w:rPr>
          <w:color w:val="auto"/>
        </w:rPr>
        <w:t>38</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_Toc17448 </w:instrText>
      </w:r>
      <w:r>
        <w:rPr>
          <w:rFonts w:asciiTheme="minorEastAsia" w:hAnsiTheme="minorEastAsia" w:eastAsiaTheme="minorEastAsia"/>
          <w:color w:val="auto"/>
        </w:rPr>
        <w:fldChar w:fldCharType="separate"/>
      </w:r>
      <w:r>
        <w:rPr>
          <w:rFonts w:hint="eastAsia" w:ascii="黑体" w:hAnsi="黑体" w:eastAsia="黑体"/>
          <w:color w:val="auto"/>
        </w:rPr>
        <w:t>6．</w:t>
      </w:r>
      <w:r>
        <w:rPr>
          <w:rFonts w:hint="eastAsia" w:ascii="黑体" w:hAnsi="黑体" w:eastAsia="黑体"/>
          <w:bCs/>
          <w:color w:val="auto"/>
        </w:rPr>
        <w:t>推荐中标候选人</w:t>
      </w:r>
      <w:r>
        <w:rPr>
          <w:color w:val="auto"/>
        </w:rPr>
        <w:tab/>
      </w:r>
      <w:r>
        <w:rPr>
          <w:color w:val="auto"/>
        </w:rPr>
        <w:fldChar w:fldCharType="begin"/>
      </w:r>
      <w:r>
        <w:rPr>
          <w:color w:val="auto"/>
        </w:rPr>
        <w:instrText xml:space="preserve"> PAGEREF _Toc17448 \h </w:instrText>
      </w:r>
      <w:r>
        <w:rPr>
          <w:color w:val="auto"/>
        </w:rPr>
        <w:fldChar w:fldCharType="separate"/>
      </w:r>
      <w:r>
        <w:rPr>
          <w:color w:val="auto"/>
        </w:rPr>
        <w:t>38</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_Toc31211 </w:instrText>
      </w:r>
      <w:r>
        <w:rPr>
          <w:rFonts w:asciiTheme="minorEastAsia" w:hAnsiTheme="minorEastAsia" w:eastAsiaTheme="minorEastAsia"/>
          <w:color w:val="auto"/>
        </w:rPr>
        <w:fldChar w:fldCharType="separate"/>
      </w:r>
      <w:r>
        <w:rPr>
          <w:rFonts w:hint="eastAsia" w:ascii="黑体" w:hAnsi="黑体" w:eastAsia="黑体"/>
          <w:color w:val="auto"/>
        </w:rPr>
        <w:t>7．</w:t>
      </w:r>
      <w:r>
        <w:rPr>
          <w:rFonts w:hint="eastAsia" w:ascii="黑体" w:hAnsi="黑体" w:eastAsia="黑体"/>
          <w:bCs/>
          <w:color w:val="auto"/>
        </w:rPr>
        <w:t>编写评标报告</w:t>
      </w:r>
      <w:r>
        <w:rPr>
          <w:color w:val="auto"/>
        </w:rPr>
        <w:tab/>
      </w:r>
      <w:r>
        <w:rPr>
          <w:color w:val="auto"/>
        </w:rPr>
        <w:fldChar w:fldCharType="begin"/>
      </w:r>
      <w:r>
        <w:rPr>
          <w:color w:val="auto"/>
        </w:rPr>
        <w:instrText xml:space="preserve"> PAGEREF _Toc31211 \h </w:instrText>
      </w:r>
      <w:r>
        <w:rPr>
          <w:color w:val="auto"/>
        </w:rPr>
        <w:fldChar w:fldCharType="separate"/>
      </w:r>
      <w:r>
        <w:rPr>
          <w:color w:val="auto"/>
        </w:rPr>
        <w:t>38</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_Toc15373 </w:instrText>
      </w:r>
      <w:r>
        <w:rPr>
          <w:rFonts w:asciiTheme="minorEastAsia" w:hAnsiTheme="minorEastAsia" w:eastAsiaTheme="minorEastAsia"/>
          <w:color w:val="auto"/>
        </w:rPr>
        <w:fldChar w:fldCharType="separate"/>
      </w:r>
      <w:r>
        <w:rPr>
          <w:rFonts w:hint="eastAsia" w:ascii="黑体" w:hAnsi="黑体" w:eastAsia="黑体"/>
          <w:color w:val="auto"/>
        </w:rPr>
        <w:t>8．</w:t>
      </w:r>
      <w:r>
        <w:rPr>
          <w:rFonts w:hint="eastAsia" w:ascii="黑体" w:hAnsi="黑体" w:eastAsia="黑体"/>
          <w:bCs/>
          <w:color w:val="auto"/>
        </w:rPr>
        <w:t>评标报告</w:t>
      </w:r>
      <w:r>
        <w:rPr>
          <w:rFonts w:hint="eastAsia" w:ascii="黑体" w:hAnsi="黑体" w:eastAsia="黑体"/>
          <w:color w:val="auto"/>
        </w:rPr>
        <w:t>复核</w:t>
      </w:r>
      <w:r>
        <w:rPr>
          <w:color w:val="auto"/>
        </w:rPr>
        <w:tab/>
      </w:r>
      <w:r>
        <w:rPr>
          <w:color w:val="auto"/>
        </w:rPr>
        <w:fldChar w:fldCharType="begin"/>
      </w:r>
      <w:r>
        <w:rPr>
          <w:color w:val="auto"/>
        </w:rPr>
        <w:instrText xml:space="preserve"> PAGEREF _Toc15373 \h </w:instrText>
      </w:r>
      <w:r>
        <w:rPr>
          <w:color w:val="auto"/>
        </w:rPr>
        <w:fldChar w:fldCharType="separate"/>
      </w:r>
      <w:r>
        <w:rPr>
          <w:color w:val="auto"/>
        </w:rPr>
        <w:t>39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_Toc32218 </w:instrText>
      </w:r>
      <w:r>
        <w:rPr>
          <w:rFonts w:asciiTheme="minorEastAsia" w:hAnsiTheme="minorEastAsia" w:eastAsiaTheme="minorEastAsia"/>
          <w:color w:val="auto"/>
        </w:rPr>
        <w:fldChar w:fldCharType="separate"/>
      </w:r>
      <w:r>
        <w:rPr>
          <w:rFonts w:hint="eastAsia" w:ascii="黑体" w:hAnsi="黑体" w:eastAsia="黑体"/>
          <w:bCs/>
          <w:color w:val="auto"/>
        </w:rPr>
        <w:t>9．</w:t>
      </w:r>
      <w:r>
        <w:rPr>
          <w:rFonts w:hint="eastAsia" w:ascii="黑体" w:hAnsi="黑体" w:eastAsia="黑体"/>
          <w:color w:val="auto"/>
        </w:rPr>
        <w:t>停止评标</w:t>
      </w:r>
      <w:r>
        <w:rPr>
          <w:color w:val="auto"/>
        </w:rPr>
        <w:tab/>
      </w:r>
      <w:r>
        <w:rPr>
          <w:color w:val="auto"/>
        </w:rPr>
        <w:fldChar w:fldCharType="begin"/>
      </w:r>
      <w:r>
        <w:rPr>
          <w:color w:val="auto"/>
        </w:rPr>
        <w:instrText xml:space="preserve"> PAGEREF _Toc32218 \h </w:instrText>
      </w:r>
      <w:r>
        <w:rPr>
          <w:color w:val="auto"/>
        </w:rPr>
        <w:fldChar w:fldCharType="separate"/>
      </w:r>
      <w:r>
        <w:rPr>
          <w:color w:val="auto"/>
        </w:rPr>
        <w:t>39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_Toc18571 </w:instrText>
      </w:r>
      <w:r>
        <w:rPr>
          <w:rFonts w:asciiTheme="minorEastAsia" w:hAnsiTheme="minorEastAsia" w:eastAsiaTheme="minorEastAsia"/>
          <w:color w:val="auto"/>
        </w:rPr>
        <w:fldChar w:fldCharType="separate"/>
      </w:r>
      <w:r>
        <w:rPr>
          <w:rFonts w:hint="eastAsia" w:ascii="黑体" w:hAnsi="黑体" w:eastAsia="黑体" w:cs="宋体"/>
          <w:bCs/>
          <w:color w:val="auto"/>
          <w:kern w:val="0"/>
        </w:rPr>
        <w:t>11．重新组建评标委员会进行评标</w:t>
      </w:r>
      <w:r>
        <w:rPr>
          <w:color w:val="auto"/>
        </w:rPr>
        <w:tab/>
      </w:r>
      <w:r>
        <w:rPr>
          <w:color w:val="auto"/>
        </w:rPr>
        <w:fldChar w:fldCharType="begin"/>
      </w:r>
      <w:r>
        <w:rPr>
          <w:color w:val="auto"/>
        </w:rPr>
        <w:instrText xml:space="preserve"> PAGEREF _Toc18571 \h </w:instrText>
      </w:r>
      <w:r>
        <w:rPr>
          <w:color w:val="auto"/>
        </w:rPr>
        <w:fldChar w:fldCharType="separate"/>
      </w:r>
      <w:r>
        <w:rPr>
          <w:color w:val="auto"/>
        </w:rPr>
        <w:t>39</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_Toc32286 </w:instrText>
      </w:r>
      <w:r>
        <w:rPr>
          <w:rFonts w:asciiTheme="minorEastAsia" w:hAnsiTheme="minorEastAsia" w:eastAsiaTheme="minorEastAsia"/>
          <w:color w:val="auto"/>
        </w:rPr>
        <w:fldChar w:fldCharType="separate"/>
      </w:r>
      <w:r>
        <w:rPr>
          <w:rFonts w:hint="eastAsia" w:ascii="黑体" w:hAnsi="华文中宋" w:eastAsia="黑体"/>
          <w:bCs/>
          <w:color w:val="auto"/>
          <w:szCs w:val="28"/>
        </w:rPr>
        <w:t>第三节 投标文件的符合性审查</w:t>
      </w:r>
      <w:r>
        <w:rPr>
          <w:color w:val="auto"/>
        </w:rPr>
        <w:tab/>
      </w:r>
      <w:r>
        <w:rPr>
          <w:color w:val="auto"/>
        </w:rPr>
        <w:fldChar w:fldCharType="begin"/>
      </w:r>
      <w:r>
        <w:rPr>
          <w:color w:val="auto"/>
        </w:rPr>
        <w:instrText xml:space="preserve"> PAGEREF _Toc32286 \h </w:instrText>
      </w:r>
      <w:r>
        <w:rPr>
          <w:color w:val="auto"/>
        </w:rPr>
        <w:fldChar w:fldCharType="separate"/>
      </w:r>
      <w:r>
        <w:rPr>
          <w:color w:val="auto"/>
        </w:rPr>
        <w:t>41</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_Toc2722 </w:instrText>
      </w:r>
      <w:r>
        <w:rPr>
          <w:rFonts w:asciiTheme="minorEastAsia" w:hAnsiTheme="minorEastAsia" w:eastAsiaTheme="minorEastAsia"/>
          <w:color w:val="auto"/>
        </w:rPr>
        <w:fldChar w:fldCharType="separate"/>
      </w:r>
      <w:r>
        <w:rPr>
          <w:rFonts w:hint="eastAsia"/>
          <w:color w:val="auto"/>
          <w:szCs w:val="21"/>
        </w:rPr>
        <w:t>附表1 符合性审查表</w:t>
      </w:r>
      <w:r>
        <w:rPr>
          <w:color w:val="auto"/>
        </w:rPr>
        <w:tab/>
      </w:r>
      <w:r>
        <w:rPr>
          <w:color w:val="auto"/>
        </w:rPr>
        <w:fldChar w:fldCharType="begin"/>
      </w:r>
      <w:r>
        <w:rPr>
          <w:color w:val="auto"/>
        </w:rPr>
        <w:instrText xml:space="preserve"> PAGEREF _Toc2722 \h </w:instrText>
      </w:r>
      <w:r>
        <w:rPr>
          <w:color w:val="auto"/>
        </w:rPr>
        <w:fldChar w:fldCharType="separate"/>
      </w:r>
      <w:r>
        <w:rPr>
          <w:color w:val="auto"/>
        </w:rPr>
        <w:t>42</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_Toc21195 </w:instrText>
      </w:r>
      <w:r>
        <w:rPr>
          <w:rFonts w:asciiTheme="minorEastAsia" w:hAnsiTheme="minorEastAsia" w:eastAsiaTheme="minorEastAsia"/>
          <w:color w:val="auto"/>
        </w:rPr>
        <w:fldChar w:fldCharType="separate"/>
      </w:r>
      <w:r>
        <w:rPr>
          <w:rFonts w:hint="eastAsia"/>
          <w:color w:val="auto"/>
          <w:szCs w:val="21"/>
        </w:rPr>
        <w:t>附表2 符合性审查结果一览表</w:t>
      </w:r>
      <w:r>
        <w:rPr>
          <w:color w:val="auto"/>
        </w:rPr>
        <w:tab/>
      </w:r>
      <w:r>
        <w:rPr>
          <w:color w:val="auto"/>
        </w:rPr>
        <w:fldChar w:fldCharType="begin"/>
      </w:r>
      <w:r>
        <w:rPr>
          <w:color w:val="auto"/>
        </w:rPr>
        <w:instrText xml:space="preserve"> PAGEREF _Toc21195 \h </w:instrText>
      </w:r>
      <w:r>
        <w:rPr>
          <w:color w:val="auto"/>
        </w:rPr>
        <w:fldChar w:fldCharType="separate"/>
      </w:r>
      <w:r>
        <w:rPr>
          <w:color w:val="auto"/>
        </w:rPr>
        <w:t>43</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_Toc4323 </w:instrText>
      </w:r>
      <w:r>
        <w:rPr>
          <w:rFonts w:asciiTheme="minorEastAsia" w:hAnsiTheme="minorEastAsia" w:eastAsiaTheme="minorEastAsia"/>
          <w:color w:val="auto"/>
        </w:rPr>
        <w:fldChar w:fldCharType="separate"/>
      </w:r>
      <w:r>
        <w:rPr>
          <w:rFonts w:hint="eastAsia"/>
          <w:color w:val="auto"/>
          <w:szCs w:val="21"/>
        </w:rPr>
        <w:t>附表3 符合性审查合格投标人名单</w:t>
      </w:r>
      <w:r>
        <w:rPr>
          <w:color w:val="auto"/>
        </w:rPr>
        <w:tab/>
      </w:r>
      <w:r>
        <w:rPr>
          <w:color w:val="auto"/>
        </w:rPr>
        <w:fldChar w:fldCharType="begin"/>
      </w:r>
      <w:r>
        <w:rPr>
          <w:color w:val="auto"/>
        </w:rPr>
        <w:instrText xml:space="preserve"> PAGEREF _Toc4323 \h </w:instrText>
      </w:r>
      <w:r>
        <w:rPr>
          <w:color w:val="auto"/>
        </w:rPr>
        <w:fldChar w:fldCharType="separate"/>
      </w:r>
      <w:r>
        <w:rPr>
          <w:color w:val="auto"/>
        </w:rPr>
        <w:t>44</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_Toc13265 </w:instrText>
      </w:r>
      <w:r>
        <w:rPr>
          <w:rFonts w:asciiTheme="minorEastAsia" w:hAnsiTheme="minorEastAsia" w:eastAsiaTheme="minorEastAsia"/>
          <w:color w:val="auto"/>
        </w:rPr>
        <w:fldChar w:fldCharType="separate"/>
      </w:r>
      <w:r>
        <w:rPr>
          <w:rFonts w:hint="eastAsia" w:ascii="黑体" w:hAnsi="华文中宋" w:eastAsia="黑体"/>
          <w:bCs/>
          <w:color w:val="auto"/>
          <w:szCs w:val="28"/>
        </w:rPr>
        <w:t>第四节 投标文件的比较与评价</w:t>
      </w:r>
      <w:r>
        <w:rPr>
          <w:color w:val="auto"/>
        </w:rPr>
        <w:tab/>
      </w:r>
      <w:r>
        <w:rPr>
          <w:color w:val="auto"/>
        </w:rPr>
        <w:fldChar w:fldCharType="begin"/>
      </w:r>
      <w:r>
        <w:rPr>
          <w:color w:val="auto"/>
        </w:rPr>
        <w:instrText xml:space="preserve"> PAGEREF _Toc13265 \h </w:instrText>
      </w:r>
      <w:r>
        <w:rPr>
          <w:color w:val="auto"/>
        </w:rPr>
        <w:fldChar w:fldCharType="separate"/>
      </w:r>
      <w:r>
        <w:rPr>
          <w:color w:val="auto"/>
        </w:rPr>
        <w:t>45</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_Toc4246 </w:instrText>
      </w:r>
      <w:r>
        <w:rPr>
          <w:rFonts w:asciiTheme="minorEastAsia" w:hAnsiTheme="minorEastAsia" w:eastAsiaTheme="minorEastAsia"/>
          <w:color w:val="auto"/>
        </w:rPr>
        <w:fldChar w:fldCharType="separate"/>
      </w:r>
      <w:r>
        <w:rPr>
          <w:rFonts w:hint="eastAsia" w:ascii="黑体" w:hAnsi="华文中宋" w:eastAsia="黑体"/>
          <w:color w:val="auto"/>
          <w:szCs w:val="32"/>
        </w:rPr>
        <w:t>第五章 采购需求</w:t>
      </w:r>
      <w:r>
        <w:rPr>
          <w:color w:val="auto"/>
        </w:rPr>
        <w:tab/>
      </w:r>
      <w:r>
        <w:rPr>
          <w:color w:val="auto"/>
        </w:rPr>
        <w:fldChar w:fldCharType="begin"/>
      </w:r>
      <w:r>
        <w:rPr>
          <w:color w:val="auto"/>
        </w:rPr>
        <w:instrText xml:space="preserve"> PAGEREF _Toc4246 \h </w:instrText>
      </w:r>
      <w:r>
        <w:rPr>
          <w:color w:val="auto"/>
        </w:rPr>
        <w:fldChar w:fldCharType="separate"/>
      </w:r>
      <w:r>
        <w:rPr>
          <w:color w:val="auto"/>
        </w:rPr>
        <w:t>46</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_Toc21000 </w:instrText>
      </w:r>
      <w:r>
        <w:rPr>
          <w:rFonts w:asciiTheme="minorEastAsia" w:hAnsiTheme="minorEastAsia" w:eastAsiaTheme="minorEastAsia"/>
          <w:color w:val="auto"/>
        </w:rPr>
        <w:fldChar w:fldCharType="separate"/>
      </w:r>
      <w:r>
        <w:rPr>
          <w:rFonts w:hint="eastAsia" w:ascii="黑体" w:hAnsi="黑体" w:eastAsia="黑体"/>
          <w:color w:val="auto"/>
          <w:szCs w:val="28"/>
        </w:rPr>
        <w:t>第一节 采购清单一览表</w:t>
      </w:r>
      <w:r>
        <w:rPr>
          <w:color w:val="auto"/>
        </w:rPr>
        <w:tab/>
      </w:r>
      <w:r>
        <w:rPr>
          <w:color w:val="auto"/>
        </w:rPr>
        <w:fldChar w:fldCharType="begin"/>
      </w:r>
      <w:r>
        <w:rPr>
          <w:color w:val="auto"/>
        </w:rPr>
        <w:instrText xml:space="preserve"> PAGEREF _Toc21000 \h </w:instrText>
      </w:r>
      <w:r>
        <w:rPr>
          <w:color w:val="auto"/>
        </w:rPr>
        <w:fldChar w:fldCharType="separate"/>
      </w:r>
      <w:r>
        <w:rPr>
          <w:color w:val="auto"/>
        </w:rPr>
        <w:t>46</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_Toc19741 </w:instrText>
      </w:r>
      <w:r>
        <w:rPr>
          <w:rFonts w:asciiTheme="minorEastAsia" w:hAnsiTheme="minorEastAsia" w:eastAsiaTheme="minorEastAsia"/>
          <w:color w:val="auto"/>
        </w:rPr>
        <w:fldChar w:fldCharType="separate"/>
      </w:r>
      <w:r>
        <w:rPr>
          <w:rFonts w:hint="eastAsia" w:ascii="黑体" w:hAnsi="黑体" w:eastAsia="黑体"/>
          <w:color w:val="auto"/>
          <w:szCs w:val="28"/>
        </w:rPr>
        <w:t xml:space="preserve">第二节 </w:t>
      </w:r>
      <w:r>
        <w:rPr>
          <w:rFonts w:ascii="黑体" w:hAnsi="黑体" w:eastAsia="黑体"/>
          <w:color w:val="auto"/>
          <w:szCs w:val="28"/>
        </w:rPr>
        <w:t>技术要求</w:t>
      </w:r>
      <w:r>
        <w:rPr>
          <w:color w:val="auto"/>
        </w:rPr>
        <w:tab/>
      </w:r>
      <w:r>
        <w:rPr>
          <w:color w:val="auto"/>
        </w:rPr>
        <w:fldChar w:fldCharType="begin"/>
      </w:r>
      <w:r>
        <w:rPr>
          <w:color w:val="auto"/>
        </w:rPr>
        <w:instrText xml:space="preserve"> PAGEREF _Toc19741 \h </w:instrText>
      </w:r>
      <w:r>
        <w:rPr>
          <w:color w:val="auto"/>
        </w:rPr>
        <w:fldChar w:fldCharType="separate"/>
      </w:r>
      <w:r>
        <w:rPr>
          <w:color w:val="auto"/>
        </w:rPr>
        <w:t>47</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_Toc2449 </w:instrText>
      </w:r>
      <w:r>
        <w:rPr>
          <w:rFonts w:asciiTheme="minorEastAsia" w:hAnsiTheme="minorEastAsia" w:eastAsiaTheme="minorEastAsia"/>
          <w:color w:val="auto"/>
        </w:rPr>
        <w:fldChar w:fldCharType="separate"/>
      </w:r>
      <w:r>
        <w:rPr>
          <w:rFonts w:hint="eastAsia" w:ascii="黑体" w:hAnsi="华文中宋" w:eastAsia="黑体"/>
          <w:color w:val="auto"/>
          <w:szCs w:val="32"/>
        </w:rPr>
        <w:t>第六章 政府采购合同</w:t>
      </w:r>
      <w:r>
        <w:rPr>
          <w:color w:val="auto"/>
        </w:rPr>
        <w:tab/>
      </w:r>
      <w:r>
        <w:rPr>
          <w:color w:val="auto"/>
        </w:rPr>
        <w:fldChar w:fldCharType="begin"/>
      </w:r>
      <w:r>
        <w:rPr>
          <w:color w:val="auto"/>
        </w:rPr>
        <w:instrText xml:space="preserve"> PAGEREF _Toc2449 \h </w:instrText>
      </w:r>
      <w:r>
        <w:rPr>
          <w:color w:val="auto"/>
        </w:rPr>
        <w:fldChar w:fldCharType="separate"/>
      </w:r>
      <w:r>
        <w:rPr>
          <w:color w:val="auto"/>
        </w:rPr>
        <w:t>52</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_Toc18256 </w:instrText>
      </w:r>
      <w:r>
        <w:rPr>
          <w:rFonts w:asciiTheme="minorEastAsia" w:hAnsiTheme="minorEastAsia" w:eastAsiaTheme="minorEastAsia"/>
          <w:color w:val="auto"/>
        </w:rPr>
        <w:fldChar w:fldCharType="separate"/>
      </w:r>
      <w:r>
        <w:rPr>
          <w:rFonts w:hint="eastAsia" w:ascii="黑体" w:hAnsi="华文中宋" w:eastAsia="黑体"/>
          <w:color w:val="auto"/>
          <w:szCs w:val="28"/>
        </w:rPr>
        <w:t>第一节 政府采购合同协议书</w:t>
      </w:r>
      <w:r>
        <w:rPr>
          <w:color w:val="auto"/>
        </w:rPr>
        <w:tab/>
      </w:r>
      <w:r>
        <w:rPr>
          <w:color w:val="auto"/>
        </w:rPr>
        <w:fldChar w:fldCharType="begin"/>
      </w:r>
      <w:r>
        <w:rPr>
          <w:color w:val="auto"/>
        </w:rPr>
        <w:instrText xml:space="preserve"> PAGEREF _Toc18256 \h </w:instrText>
      </w:r>
      <w:r>
        <w:rPr>
          <w:color w:val="auto"/>
        </w:rPr>
        <w:fldChar w:fldCharType="separate"/>
      </w:r>
      <w:r>
        <w:rPr>
          <w:color w:val="auto"/>
        </w:rPr>
        <w:t>52</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_Toc48 </w:instrText>
      </w:r>
      <w:r>
        <w:rPr>
          <w:rFonts w:asciiTheme="minorEastAsia" w:hAnsiTheme="minorEastAsia" w:eastAsiaTheme="minorEastAsia"/>
          <w:color w:val="auto"/>
        </w:rPr>
        <w:fldChar w:fldCharType="separate"/>
      </w:r>
      <w:r>
        <w:rPr>
          <w:rFonts w:hint="eastAsia" w:ascii="黑体" w:hAnsi="黑体" w:eastAsia="黑体"/>
          <w:color w:val="auto"/>
          <w:szCs w:val="28"/>
        </w:rPr>
        <w:t>第二节 政府采购合同通用条款</w:t>
      </w:r>
      <w:r>
        <w:rPr>
          <w:color w:val="auto"/>
        </w:rPr>
        <w:tab/>
      </w:r>
      <w:r>
        <w:rPr>
          <w:color w:val="auto"/>
        </w:rPr>
        <w:fldChar w:fldCharType="begin"/>
      </w:r>
      <w:r>
        <w:rPr>
          <w:color w:val="auto"/>
        </w:rPr>
        <w:instrText xml:space="preserve"> PAGEREF _Toc48 \h </w:instrText>
      </w:r>
      <w:r>
        <w:rPr>
          <w:color w:val="auto"/>
        </w:rPr>
        <w:fldChar w:fldCharType="separate"/>
      </w:r>
      <w:r>
        <w:rPr>
          <w:color w:val="auto"/>
        </w:rPr>
        <w:t>55</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_Toc23789 </w:instrText>
      </w:r>
      <w:r>
        <w:rPr>
          <w:rFonts w:asciiTheme="minorEastAsia" w:hAnsiTheme="minorEastAsia" w:eastAsiaTheme="minorEastAsia"/>
          <w:color w:val="auto"/>
        </w:rPr>
        <w:fldChar w:fldCharType="separate"/>
      </w:r>
      <w:r>
        <w:rPr>
          <w:rFonts w:hint="eastAsia" w:ascii="黑体" w:hAnsi="华文中宋" w:eastAsia="黑体"/>
          <w:color w:val="auto"/>
          <w:szCs w:val="28"/>
        </w:rPr>
        <w:t>第三节 政府采购合同专用条款</w:t>
      </w:r>
      <w:r>
        <w:rPr>
          <w:color w:val="auto"/>
        </w:rPr>
        <w:tab/>
      </w:r>
      <w:r>
        <w:rPr>
          <w:color w:val="auto"/>
        </w:rPr>
        <w:fldChar w:fldCharType="begin"/>
      </w:r>
      <w:r>
        <w:rPr>
          <w:color w:val="auto"/>
        </w:rPr>
        <w:instrText xml:space="preserve"> PAGEREF _Toc23789 \h </w:instrText>
      </w:r>
      <w:r>
        <w:rPr>
          <w:color w:val="auto"/>
        </w:rPr>
        <w:fldChar w:fldCharType="separate"/>
      </w:r>
      <w:r>
        <w:rPr>
          <w:color w:val="auto"/>
        </w:rPr>
        <w:t>61</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_Toc22414 </w:instrText>
      </w:r>
      <w:r>
        <w:rPr>
          <w:rFonts w:asciiTheme="minorEastAsia" w:hAnsiTheme="minorEastAsia" w:eastAsiaTheme="minorEastAsia"/>
          <w:color w:val="auto"/>
        </w:rPr>
        <w:fldChar w:fldCharType="separate"/>
      </w:r>
      <w:r>
        <w:rPr>
          <w:rFonts w:hint="eastAsia" w:ascii="黑体" w:hAnsi="华文中宋" w:eastAsia="黑体"/>
          <w:color w:val="auto"/>
          <w:szCs w:val="32"/>
        </w:rPr>
        <w:t>第七章 投标文件的组成</w:t>
      </w:r>
      <w:r>
        <w:rPr>
          <w:color w:val="auto"/>
        </w:rPr>
        <w:tab/>
      </w:r>
      <w:r>
        <w:rPr>
          <w:color w:val="auto"/>
        </w:rPr>
        <w:fldChar w:fldCharType="begin"/>
      </w:r>
      <w:r>
        <w:rPr>
          <w:color w:val="auto"/>
        </w:rPr>
        <w:instrText xml:space="preserve"> PAGEREF _Toc22414 \h </w:instrText>
      </w:r>
      <w:r>
        <w:rPr>
          <w:color w:val="auto"/>
        </w:rPr>
        <w:fldChar w:fldCharType="separate"/>
      </w:r>
      <w:r>
        <w:rPr>
          <w:color w:val="auto"/>
        </w:rPr>
        <w:t>62</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_Toc80 </w:instrText>
      </w:r>
      <w:r>
        <w:rPr>
          <w:rFonts w:asciiTheme="minorEastAsia" w:hAnsiTheme="minorEastAsia" w:eastAsiaTheme="minorEastAsia"/>
          <w:color w:val="auto"/>
        </w:rPr>
        <w:fldChar w:fldCharType="separate"/>
      </w:r>
      <w:r>
        <w:rPr>
          <w:rFonts w:hint="eastAsia" w:ascii="黑体" w:hAnsi="黑体" w:eastAsia="黑体"/>
          <w:color w:val="auto"/>
          <w:szCs w:val="44"/>
        </w:rPr>
        <w:t>第一部分 资格证明文件</w:t>
      </w:r>
      <w:r>
        <w:rPr>
          <w:color w:val="auto"/>
        </w:rPr>
        <w:tab/>
      </w:r>
      <w:r>
        <w:rPr>
          <w:color w:val="auto"/>
        </w:rPr>
        <w:fldChar w:fldCharType="begin"/>
      </w:r>
      <w:r>
        <w:rPr>
          <w:color w:val="auto"/>
        </w:rPr>
        <w:instrText xml:space="preserve"> PAGEREF _Toc80 \h </w:instrText>
      </w:r>
      <w:r>
        <w:rPr>
          <w:color w:val="auto"/>
        </w:rPr>
        <w:fldChar w:fldCharType="separate"/>
      </w:r>
      <w:r>
        <w:rPr>
          <w:color w:val="auto"/>
        </w:rPr>
        <w:t>63</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_Toc6794 </w:instrText>
      </w:r>
      <w:r>
        <w:rPr>
          <w:rFonts w:asciiTheme="minorEastAsia" w:hAnsiTheme="minorEastAsia" w:eastAsiaTheme="minorEastAsia"/>
          <w:color w:val="auto"/>
        </w:rPr>
        <w:fldChar w:fldCharType="separate"/>
      </w:r>
      <w:r>
        <w:rPr>
          <w:rFonts w:hint="eastAsia" w:ascii="黑体" w:hAnsi="宋体" w:eastAsia="黑体"/>
          <w:color w:val="auto"/>
          <w:szCs w:val="28"/>
        </w:rPr>
        <w:t>一、开标一览表</w:t>
      </w:r>
      <w:r>
        <w:rPr>
          <w:color w:val="auto"/>
        </w:rPr>
        <w:tab/>
      </w:r>
      <w:r>
        <w:rPr>
          <w:color w:val="auto"/>
        </w:rPr>
        <w:fldChar w:fldCharType="begin"/>
      </w:r>
      <w:r>
        <w:rPr>
          <w:color w:val="auto"/>
        </w:rPr>
        <w:instrText xml:space="preserve"> PAGEREF _Toc6794 \h </w:instrText>
      </w:r>
      <w:r>
        <w:rPr>
          <w:color w:val="auto"/>
        </w:rPr>
        <w:fldChar w:fldCharType="separate"/>
      </w:r>
      <w:r>
        <w:rPr>
          <w:color w:val="auto"/>
        </w:rPr>
        <w:t>64</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_Toc1532 </w:instrText>
      </w:r>
      <w:r>
        <w:rPr>
          <w:rFonts w:asciiTheme="minorEastAsia" w:hAnsiTheme="minorEastAsia" w:eastAsiaTheme="minorEastAsia"/>
          <w:color w:val="auto"/>
        </w:rPr>
        <w:fldChar w:fldCharType="separate"/>
      </w:r>
      <w:r>
        <w:rPr>
          <w:rFonts w:hint="eastAsia" w:ascii="黑体" w:hAnsi="黑体" w:eastAsia="黑体"/>
          <w:color w:val="auto"/>
          <w:szCs w:val="28"/>
          <w:lang w:val="en-US" w:eastAsia="zh-CN"/>
        </w:rPr>
        <w:t>二</w:t>
      </w:r>
      <w:r>
        <w:rPr>
          <w:rFonts w:hint="eastAsia" w:ascii="黑体" w:hAnsi="黑体" w:eastAsia="黑体"/>
          <w:color w:val="auto"/>
          <w:szCs w:val="28"/>
        </w:rPr>
        <w:t>、法定代表人（单位负责人）身份证明</w:t>
      </w:r>
      <w:r>
        <w:rPr>
          <w:color w:val="auto"/>
        </w:rPr>
        <w:tab/>
      </w:r>
      <w:r>
        <w:rPr>
          <w:color w:val="auto"/>
        </w:rPr>
        <w:fldChar w:fldCharType="begin"/>
      </w:r>
      <w:r>
        <w:rPr>
          <w:color w:val="auto"/>
        </w:rPr>
        <w:instrText xml:space="preserve"> PAGEREF _Toc1532 \h </w:instrText>
      </w:r>
      <w:r>
        <w:rPr>
          <w:color w:val="auto"/>
        </w:rPr>
        <w:fldChar w:fldCharType="separate"/>
      </w:r>
      <w:r>
        <w:rPr>
          <w:color w:val="auto"/>
        </w:rPr>
        <w:t>65</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_Toc522 </w:instrText>
      </w:r>
      <w:r>
        <w:rPr>
          <w:rFonts w:asciiTheme="minorEastAsia" w:hAnsiTheme="minorEastAsia" w:eastAsiaTheme="minorEastAsia"/>
          <w:color w:val="auto"/>
        </w:rPr>
        <w:fldChar w:fldCharType="separate"/>
      </w:r>
      <w:r>
        <w:rPr>
          <w:rFonts w:hint="eastAsia" w:ascii="黑体" w:hAnsi="宋体" w:eastAsia="黑体"/>
          <w:color w:val="auto"/>
          <w:szCs w:val="28"/>
        </w:rPr>
        <w:t>三、授权委托书</w:t>
      </w:r>
      <w:r>
        <w:rPr>
          <w:color w:val="auto"/>
        </w:rPr>
        <w:tab/>
      </w:r>
      <w:r>
        <w:rPr>
          <w:color w:val="auto"/>
        </w:rPr>
        <w:fldChar w:fldCharType="begin"/>
      </w:r>
      <w:r>
        <w:rPr>
          <w:color w:val="auto"/>
        </w:rPr>
        <w:instrText xml:space="preserve"> PAGEREF _Toc522 \h </w:instrText>
      </w:r>
      <w:r>
        <w:rPr>
          <w:color w:val="auto"/>
        </w:rPr>
        <w:fldChar w:fldCharType="separate"/>
      </w:r>
      <w:r>
        <w:rPr>
          <w:color w:val="auto"/>
        </w:rPr>
        <w:t>66</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_Toc4241 </w:instrText>
      </w:r>
      <w:r>
        <w:rPr>
          <w:rFonts w:asciiTheme="minorEastAsia" w:hAnsiTheme="minorEastAsia" w:eastAsiaTheme="minorEastAsia"/>
          <w:color w:val="auto"/>
        </w:rPr>
        <w:fldChar w:fldCharType="separate"/>
      </w:r>
      <w:r>
        <w:rPr>
          <w:rFonts w:hint="eastAsia" w:ascii="黑体" w:hAnsi="宋体" w:eastAsia="黑体"/>
          <w:color w:val="auto"/>
          <w:szCs w:val="28"/>
        </w:rPr>
        <w:t>四、投标人提供的资格证明文件</w:t>
      </w:r>
      <w:r>
        <w:rPr>
          <w:color w:val="auto"/>
        </w:rPr>
        <w:tab/>
      </w:r>
      <w:r>
        <w:rPr>
          <w:color w:val="auto"/>
        </w:rPr>
        <w:fldChar w:fldCharType="begin"/>
      </w:r>
      <w:r>
        <w:rPr>
          <w:color w:val="auto"/>
        </w:rPr>
        <w:instrText xml:space="preserve"> PAGEREF _Toc4241 \h </w:instrText>
      </w:r>
      <w:r>
        <w:rPr>
          <w:color w:val="auto"/>
        </w:rPr>
        <w:fldChar w:fldCharType="separate"/>
      </w:r>
      <w:r>
        <w:rPr>
          <w:color w:val="auto"/>
        </w:rPr>
        <w:t>67</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_Toc30868 </w:instrText>
      </w:r>
      <w:r>
        <w:rPr>
          <w:rFonts w:asciiTheme="minorEastAsia" w:hAnsiTheme="minorEastAsia" w:eastAsiaTheme="minorEastAsia"/>
          <w:color w:val="auto"/>
        </w:rPr>
        <w:fldChar w:fldCharType="separate"/>
      </w:r>
      <w:r>
        <w:rPr>
          <w:rFonts w:hint="eastAsia" w:ascii="黑体" w:hAnsi="仿宋" w:cs="宋体"/>
          <w:color w:val="auto"/>
          <w:szCs w:val="21"/>
        </w:rPr>
        <w:t>附件4-1 法人或者其他组织的营业执照等主体资格证明文件，自然人的身份证明</w:t>
      </w:r>
      <w:r>
        <w:rPr>
          <w:color w:val="auto"/>
        </w:rPr>
        <w:tab/>
      </w:r>
      <w:r>
        <w:rPr>
          <w:color w:val="auto"/>
        </w:rPr>
        <w:fldChar w:fldCharType="begin"/>
      </w:r>
      <w:r>
        <w:rPr>
          <w:color w:val="auto"/>
        </w:rPr>
        <w:instrText xml:space="preserve"> PAGEREF _Toc30868 \h </w:instrText>
      </w:r>
      <w:r>
        <w:rPr>
          <w:color w:val="auto"/>
        </w:rPr>
        <w:fldChar w:fldCharType="separate"/>
      </w:r>
      <w:r>
        <w:rPr>
          <w:color w:val="auto"/>
        </w:rPr>
        <w:t>68</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_Toc29368 </w:instrText>
      </w:r>
      <w:r>
        <w:rPr>
          <w:rFonts w:asciiTheme="minorEastAsia" w:hAnsiTheme="minorEastAsia" w:eastAsiaTheme="minorEastAsia"/>
          <w:color w:val="auto"/>
        </w:rPr>
        <w:fldChar w:fldCharType="separate"/>
      </w:r>
      <w:r>
        <w:rPr>
          <w:rFonts w:hint="eastAsia" w:ascii="黑体" w:hAnsi="仿宋" w:cs="宋体"/>
          <w:color w:val="auto"/>
          <w:szCs w:val="21"/>
        </w:rPr>
        <w:t>附件4-2 投标人资格声明(格式)</w:t>
      </w:r>
      <w:r>
        <w:rPr>
          <w:color w:val="auto"/>
        </w:rPr>
        <w:tab/>
      </w:r>
      <w:r>
        <w:rPr>
          <w:color w:val="auto"/>
        </w:rPr>
        <w:fldChar w:fldCharType="begin"/>
      </w:r>
      <w:r>
        <w:rPr>
          <w:color w:val="auto"/>
        </w:rPr>
        <w:instrText xml:space="preserve"> PAGEREF _Toc29368 \h </w:instrText>
      </w:r>
      <w:r>
        <w:rPr>
          <w:color w:val="auto"/>
        </w:rPr>
        <w:fldChar w:fldCharType="separate"/>
      </w:r>
      <w:r>
        <w:rPr>
          <w:color w:val="auto"/>
        </w:rPr>
        <w:t>69</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_Toc26357 </w:instrText>
      </w:r>
      <w:r>
        <w:rPr>
          <w:rFonts w:asciiTheme="minorEastAsia" w:hAnsiTheme="minorEastAsia" w:eastAsiaTheme="minorEastAsia"/>
          <w:color w:val="auto"/>
        </w:rPr>
        <w:fldChar w:fldCharType="separate"/>
      </w:r>
      <w:r>
        <w:rPr>
          <w:rFonts w:hint="eastAsia" w:ascii="黑体" w:hAnsi="仿宋" w:cs="宋体"/>
          <w:color w:val="auto"/>
          <w:szCs w:val="21"/>
        </w:rPr>
        <w:t>附件4-3 符合特定资格条件证明材料复印件或者情况说明</w:t>
      </w:r>
      <w:r>
        <w:rPr>
          <w:color w:val="auto"/>
        </w:rPr>
        <w:tab/>
      </w:r>
      <w:r>
        <w:rPr>
          <w:color w:val="auto"/>
        </w:rPr>
        <w:fldChar w:fldCharType="begin"/>
      </w:r>
      <w:r>
        <w:rPr>
          <w:color w:val="auto"/>
        </w:rPr>
        <w:instrText xml:space="preserve"> PAGEREF _Toc26357 \h </w:instrText>
      </w:r>
      <w:r>
        <w:rPr>
          <w:color w:val="auto"/>
        </w:rPr>
        <w:fldChar w:fldCharType="separate"/>
      </w:r>
      <w:r>
        <w:rPr>
          <w:color w:val="auto"/>
        </w:rPr>
        <w:t>71</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_Toc14000 </w:instrText>
      </w:r>
      <w:r>
        <w:rPr>
          <w:rFonts w:asciiTheme="minorEastAsia" w:hAnsiTheme="minorEastAsia" w:eastAsiaTheme="minorEastAsia"/>
          <w:color w:val="auto"/>
        </w:rPr>
        <w:fldChar w:fldCharType="separate"/>
      </w:r>
      <w:r>
        <w:rPr>
          <w:rFonts w:hint="eastAsia" w:ascii="黑体" w:hAnsi="仿宋" w:cs="宋体"/>
          <w:color w:val="auto"/>
          <w:szCs w:val="21"/>
        </w:rPr>
        <w:t>附件4-4 联合体协议书（格式）</w:t>
      </w:r>
      <w:r>
        <w:rPr>
          <w:color w:val="auto"/>
        </w:rPr>
        <w:tab/>
      </w:r>
      <w:r>
        <w:rPr>
          <w:color w:val="auto"/>
        </w:rPr>
        <w:fldChar w:fldCharType="begin"/>
      </w:r>
      <w:r>
        <w:rPr>
          <w:color w:val="auto"/>
        </w:rPr>
        <w:instrText xml:space="preserve"> PAGEREF _Toc14000 \h </w:instrText>
      </w:r>
      <w:r>
        <w:rPr>
          <w:color w:val="auto"/>
        </w:rPr>
        <w:fldChar w:fldCharType="separate"/>
      </w:r>
      <w:r>
        <w:rPr>
          <w:color w:val="auto"/>
        </w:rPr>
        <w:t>72</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_Toc1244 </w:instrText>
      </w:r>
      <w:r>
        <w:rPr>
          <w:rFonts w:asciiTheme="minorEastAsia" w:hAnsiTheme="minorEastAsia" w:eastAsiaTheme="minorEastAsia"/>
          <w:color w:val="auto"/>
        </w:rPr>
        <w:fldChar w:fldCharType="separate"/>
      </w:r>
      <w:r>
        <w:rPr>
          <w:rFonts w:hint="eastAsia" w:ascii="黑体" w:hAnsi="黑体" w:eastAsia="黑体"/>
          <w:color w:val="auto"/>
          <w:szCs w:val="44"/>
        </w:rPr>
        <w:t>第二部分 商务技术文件</w:t>
      </w:r>
      <w:r>
        <w:rPr>
          <w:color w:val="auto"/>
        </w:rPr>
        <w:tab/>
      </w:r>
      <w:r>
        <w:rPr>
          <w:color w:val="auto"/>
        </w:rPr>
        <w:fldChar w:fldCharType="begin"/>
      </w:r>
      <w:r>
        <w:rPr>
          <w:color w:val="auto"/>
        </w:rPr>
        <w:instrText xml:space="preserve"> PAGEREF _Toc1244 \h </w:instrText>
      </w:r>
      <w:r>
        <w:rPr>
          <w:color w:val="auto"/>
        </w:rPr>
        <w:fldChar w:fldCharType="separate"/>
      </w:r>
      <w:r>
        <w:rPr>
          <w:color w:val="auto"/>
        </w:rPr>
        <w:t>73</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_Toc23087 </w:instrText>
      </w:r>
      <w:r>
        <w:rPr>
          <w:rFonts w:asciiTheme="minorEastAsia" w:hAnsiTheme="minorEastAsia" w:eastAsiaTheme="minorEastAsia"/>
          <w:color w:val="auto"/>
        </w:rPr>
        <w:fldChar w:fldCharType="separate"/>
      </w:r>
      <w:r>
        <w:rPr>
          <w:rFonts w:hint="eastAsia" w:ascii="黑体" w:hAnsi="宋体" w:eastAsia="黑体"/>
          <w:color w:val="auto"/>
          <w:szCs w:val="28"/>
        </w:rPr>
        <w:t>五</w:t>
      </w:r>
      <w:r>
        <w:rPr>
          <w:rFonts w:ascii="黑体" w:hAnsi="宋体" w:eastAsia="黑体"/>
          <w:color w:val="auto"/>
          <w:szCs w:val="28"/>
        </w:rPr>
        <w:t>、</w:t>
      </w:r>
      <w:r>
        <w:rPr>
          <w:rFonts w:hint="eastAsia" w:ascii="黑体" w:hAnsi="宋体" w:eastAsia="黑体"/>
          <w:color w:val="auto"/>
          <w:szCs w:val="28"/>
        </w:rPr>
        <w:t>投标函</w:t>
      </w:r>
      <w:r>
        <w:rPr>
          <w:color w:val="auto"/>
        </w:rPr>
        <w:tab/>
      </w:r>
      <w:r>
        <w:rPr>
          <w:color w:val="auto"/>
        </w:rPr>
        <w:fldChar w:fldCharType="begin"/>
      </w:r>
      <w:r>
        <w:rPr>
          <w:color w:val="auto"/>
        </w:rPr>
        <w:instrText xml:space="preserve"> PAGEREF _Toc23087 \h </w:instrText>
      </w:r>
      <w:r>
        <w:rPr>
          <w:color w:val="auto"/>
        </w:rPr>
        <w:fldChar w:fldCharType="separate"/>
      </w:r>
      <w:r>
        <w:rPr>
          <w:color w:val="auto"/>
        </w:rPr>
        <w:t>74</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_Toc29407 </w:instrText>
      </w:r>
      <w:r>
        <w:rPr>
          <w:rFonts w:asciiTheme="minorEastAsia" w:hAnsiTheme="minorEastAsia" w:eastAsiaTheme="minorEastAsia"/>
          <w:color w:val="auto"/>
        </w:rPr>
        <w:fldChar w:fldCharType="separate"/>
      </w:r>
      <w:r>
        <w:rPr>
          <w:rFonts w:hint="eastAsia" w:ascii="黑体" w:hAnsi="宋体" w:eastAsia="黑体"/>
          <w:color w:val="auto"/>
          <w:szCs w:val="28"/>
        </w:rPr>
        <w:t>六、分项报价</w:t>
      </w:r>
      <w:r>
        <w:rPr>
          <w:color w:val="auto"/>
        </w:rPr>
        <w:tab/>
      </w:r>
      <w:r>
        <w:rPr>
          <w:color w:val="auto"/>
        </w:rPr>
        <w:fldChar w:fldCharType="begin"/>
      </w:r>
      <w:r>
        <w:rPr>
          <w:color w:val="auto"/>
        </w:rPr>
        <w:instrText xml:space="preserve"> PAGEREF _Toc29407 \h </w:instrText>
      </w:r>
      <w:r>
        <w:rPr>
          <w:color w:val="auto"/>
        </w:rPr>
        <w:fldChar w:fldCharType="separate"/>
      </w:r>
      <w:r>
        <w:rPr>
          <w:color w:val="auto"/>
        </w:rPr>
        <w:t>76</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_Toc5706 </w:instrText>
      </w:r>
      <w:r>
        <w:rPr>
          <w:rFonts w:asciiTheme="minorEastAsia" w:hAnsiTheme="minorEastAsia" w:eastAsiaTheme="minorEastAsia"/>
          <w:color w:val="auto"/>
        </w:rPr>
        <w:fldChar w:fldCharType="separate"/>
      </w:r>
      <w:r>
        <w:rPr>
          <w:rFonts w:hint="eastAsia" w:ascii="黑体" w:hAnsi="华文中宋" w:cs="宋体"/>
          <w:bCs w:val="0"/>
          <w:color w:val="auto"/>
          <w:spacing w:val="6"/>
          <w:kern w:val="0"/>
          <w:szCs w:val="21"/>
        </w:rPr>
        <w:t xml:space="preserve">附件6-1 </w:t>
      </w:r>
      <w:r>
        <w:rPr>
          <w:rFonts w:hint="eastAsia" w:ascii="黑体" w:cs="微软雅黑" w:hAnsiTheme="minorEastAsia"/>
          <w:color w:val="auto"/>
          <w:spacing w:val="-2"/>
          <w:kern w:val="0"/>
          <w:szCs w:val="21"/>
        </w:rPr>
        <w:t>分</w:t>
      </w:r>
      <w:r>
        <w:rPr>
          <w:rFonts w:hint="eastAsia" w:ascii="黑体" w:cs="微软雅黑" w:hAnsiTheme="minorEastAsia"/>
          <w:color w:val="auto"/>
          <w:kern w:val="0"/>
          <w:szCs w:val="21"/>
        </w:rPr>
        <w:t>项</w:t>
      </w:r>
      <w:r>
        <w:rPr>
          <w:rFonts w:hint="eastAsia" w:ascii="黑体" w:cs="微软雅黑" w:hAnsiTheme="minorEastAsia"/>
          <w:color w:val="auto"/>
          <w:spacing w:val="-2"/>
          <w:kern w:val="0"/>
          <w:szCs w:val="21"/>
        </w:rPr>
        <w:t>报</w:t>
      </w:r>
      <w:r>
        <w:rPr>
          <w:rFonts w:hint="eastAsia" w:ascii="黑体" w:cs="微软雅黑" w:hAnsiTheme="minorEastAsia"/>
          <w:color w:val="auto"/>
          <w:kern w:val="0"/>
          <w:szCs w:val="21"/>
        </w:rPr>
        <w:t>价说明</w:t>
      </w:r>
      <w:r>
        <w:rPr>
          <w:color w:val="auto"/>
        </w:rPr>
        <w:tab/>
      </w:r>
      <w:r>
        <w:rPr>
          <w:color w:val="auto"/>
        </w:rPr>
        <w:fldChar w:fldCharType="begin"/>
      </w:r>
      <w:r>
        <w:rPr>
          <w:color w:val="auto"/>
        </w:rPr>
        <w:instrText xml:space="preserve"> PAGEREF _Toc5706 \h </w:instrText>
      </w:r>
      <w:r>
        <w:rPr>
          <w:color w:val="auto"/>
        </w:rPr>
        <w:fldChar w:fldCharType="separate"/>
      </w:r>
      <w:r>
        <w:rPr>
          <w:color w:val="auto"/>
        </w:rPr>
        <w:t>76</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_Toc32073 </w:instrText>
      </w:r>
      <w:r>
        <w:rPr>
          <w:rFonts w:asciiTheme="minorEastAsia" w:hAnsiTheme="minorEastAsia" w:eastAsiaTheme="minorEastAsia"/>
          <w:color w:val="auto"/>
        </w:rPr>
        <w:fldChar w:fldCharType="separate"/>
      </w:r>
      <w:r>
        <w:rPr>
          <w:rFonts w:hint="eastAsia" w:ascii="黑体" w:hAnsi="华文中宋" w:cs="宋体"/>
          <w:bCs w:val="0"/>
          <w:color w:val="auto"/>
          <w:spacing w:val="6"/>
          <w:kern w:val="0"/>
          <w:szCs w:val="21"/>
        </w:rPr>
        <w:t xml:space="preserve">附件6-2 </w:t>
      </w:r>
      <w:r>
        <w:rPr>
          <w:rFonts w:hint="eastAsia" w:ascii="黑体" w:cs="微软雅黑" w:hAnsiTheme="minorEastAsia"/>
          <w:color w:val="auto"/>
          <w:spacing w:val="-2"/>
          <w:kern w:val="0"/>
          <w:position w:val="-3"/>
          <w:szCs w:val="21"/>
        </w:rPr>
        <w:t>分</w:t>
      </w:r>
      <w:r>
        <w:rPr>
          <w:rFonts w:hint="eastAsia" w:ascii="黑体" w:cs="微软雅黑" w:hAnsiTheme="minorEastAsia"/>
          <w:color w:val="auto"/>
          <w:kern w:val="0"/>
          <w:position w:val="-3"/>
          <w:szCs w:val="21"/>
        </w:rPr>
        <w:t>项</w:t>
      </w:r>
      <w:r>
        <w:rPr>
          <w:rFonts w:hint="eastAsia" w:ascii="黑体" w:cs="微软雅黑" w:hAnsiTheme="minorEastAsia"/>
          <w:color w:val="auto"/>
          <w:spacing w:val="-2"/>
          <w:kern w:val="0"/>
          <w:position w:val="-3"/>
          <w:szCs w:val="21"/>
        </w:rPr>
        <w:t>报</w:t>
      </w:r>
      <w:r>
        <w:rPr>
          <w:rFonts w:hint="eastAsia" w:ascii="黑体" w:cs="微软雅黑" w:hAnsiTheme="minorEastAsia"/>
          <w:color w:val="auto"/>
          <w:kern w:val="0"/>
          <w:position w:val="-3"/>
          <w:szCs w:val="21"/>
        </w:rPr>
        <w:t>价明细表</w:t>
      </w:r>
      <w:r>
        <w:rPr>
          <w:color w:val="auto"/>
        </w:rPr>
        <w:tab/>
      </w:r>
      <w:r>
        <w:rPr>
          <w:color w:val="auto"/>
        </w:rPr>
        <w:fldChar w:fldCharType="begin"/>
      </w:r>
      <w:r>
        <w:rPr>
          <w:color w:val="auto"/>
        </w:rPr>
        <w:instrText xml:space="preserve"> PAGEREF _Toc32073 \h </w:instrText>
      </w:r>
      <w:r>
        <w:rPr>
          <w:color w:val="auto"/>
        </w:rPr>
        <w:fldChar w:fldCharType="separate"/>
      </w:r>
      <w:r>
        <w:rPr>
          <w:color w:val="auto"/>
        </w:rPr>
        <w:t>76</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_Toc18300 </w:instrText>
      </w:r>
      <w:r>
        <w:rPr>
          <w:rFonts w:asciiTheme="minorEastAsia" w:hAnsiTheme="minorEastAsia" w:eastAsiaTheme="minorEastAsia"/>
          <w:color w:val="auto"/>
        </w:rPr>
        <w:fldChar w:fldCharType="separate"/>
      </w:r>
      <w:r>
        <w:rPr>
          <w:rFonts w:hint="eastAsia" w:ascii="黑体" w:hAnsi="宋体" w:eastAsia="黑体"/>
          <w:color w:val="auto"/>
          <w:szCs w:val="28"/>
        </w:rPr>
        <w:t>七、采购需求响应</w:t>
      </w:r>
      <w:r>
        <w:rPr>
          <w:color w:val="auto"/>
        </w:rPr>
        <w:tab/>
      </w:r>
      <w:r>
        <w:rPr>
          <w:color w:val="auto"/>
        </w:rPr>
        <w:fldChar w:fldCharType="begin"/>
      </w:r>
      <w:r>
        <w:rPr>
          <w:color w:val="auto"/>
        </w:rPr>
        <w:instrText xml:space="preserve"> PAGEREF _Toc18300 \h </w:instrText>
      </w:r>
      <w:r>
        <w:rPr>
          <w:color w:val="auto"/>
        </w:rPr>
        <w:fldChar w:fldCharType="separate"/>
      </w:r>
      <w:r>
        <w:rPr>
          <w:color w:val="auto"/>
        </w:rPr>
        <w:t>77</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_Toc21123 </w:instrText>
      </w:r>
      <w:r>
        <w:rPr>
          <w:rFonts w:asciiTheme="minorEastAsia" w:hAnsiTheme="minorEastAsia" w:eastAsiaTheme="minorEastAsia"/>
          <w:color w:val="auto"/>
        </w:rPr>
        <w:fldChar w:fldCharType="separate"/>
      </w:r>
      <w:r>
        <w:rPr>
          <w:rFonts w:hint="eastAsia" w:ascii="黑体" w:hAnsi="黑体" w:cs="宋体"/>
          <w:color w:val="auto"/>
          <w:spacing w:val="6"/>
          <w:kern w:val="0"/>
          <w:szCs w:val="21"/>
        </w:rPr>
        <w:t>附件7-1 响应</w:t>
      </w:r>
      <w:r>
        <w:rPr>
          <w:rFonts w:hint="eastAsia" w:ascii="黑体" w:hAnsi="黑体"/>
          <w:color w:val="auto"/>
          <w:szCs w:val="21"/>
        </w:rPr>
        <w:t>-览表</w:t>
      </w:r>
      <w:r>
        <w:rPr>
          <w:color w:val="auto"/>
        </w:rPr>
        <w:tab/>
      </w:r>
      <w:r>
        <w:rPr>
          <w:color w:val="auto"/>
        </w:rPr>
        <w:fldChar w:fldCharType="begin"/>
      </w:r>
      <w:r>
        <w:rPr>
          <w:color w:val="auto"/>
        </w:rPr>
        <w:instrText xml:space="preserve"> PAGEREF _Toc21123 \h </w:instrText>
      </w:r>
      <w:r>
        <w:rPr>
          <w:color w:val="auto"/>
        </w:rPr>
        <w:fldChar w:fldCharType="separate"/>
      </w:r>
      <w:r>
        <w:rPr>
          <w:color w:val="auto"/>
        </w:rPr>
        <w:t>77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_Toc32509 </w:instrText>
      </w:r>
      <w:r>
        <w:rPr>
          <w:rFonts w:asciiTheme="minorEastAsia" w:hAnsiTheme="minorEastAsia" w:eastAsiaTheme="minorEastAsia"/>
          <w:color w:val="auto"/>
        </w:rPr>
        <w:fldChar w:fldCharType="separate"/>
      </w:r>
      <w:r>
        <w:rPr>
          <w:rFonts w:hint="eastAsia" w:ascii="黑体" w:hAnsi="黑体" w:eastAsia="黑体"/>
          <w:color w:val="auto"/>
          <w:szCs w:val="28"/>
        </w:rPr>
        <w:t>八、合同条款偏离表</w:t>
      </w:r>
      <w:r>
        <w:rPr>
          <w:color w:val="auto"/>
        </w:rPr>
        <w:tab/>
      </w:r>
      <w:r>
        <w:rPr>
          <w:color w:val="auto"/>
        </w:rPr>
        <w:fldChar w:fldCharType="begin"/>
      </w:r>
      <w:r>
        <w:rPr>
          <w:color w:val="auto"/>
        </w:rPr>
        <w:instrText xml:space="preserve"> PAGEREF _Toc32509 \h </w:instrText>
      </w:r>
      <w:r>
        <w:rPr>
          <w:color w:val="auto"/>
        </w:rPr>
        <w:fldChar w:fldCharType="separate"/>
      </w:r>
      <w:r>
        <w:rPr>
          <w:color w:val="auto"/>
        </w:rPr>
        <w:t>78</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_Toc12686 </w:instrText>
      </w:r>
      <w:r>
        <w:rPr>
          <w:rFonts w:asciiTheme="minorEastAsia" w:hAnsiTheme="minorEastAsia" w:eastAsiaTheme="minorEastAsia"/>
          <w:color w:val="auto"/>
        </w:rPr>
        <w:fldChar w:fldCharType="separate"/>
      </w:r>
      <w:r>
        <w:rPr>
          <w:rFonts w:hint="eastAsia" w:ascii="黑体" w:hAnsi="宋体" w:eastAsia="黑体"/>
          <w:color w:val="auto"/>
          <w:szCs w:val="28"/>
        </w:rPr>
        <w:t>九、采购需求（技术、商务）偏离表</w:t>
      </w:r>
      <w:r>
        <w:rPr>
          <w:color w:val="auto"/>
        </w:rPr>
        <w:tab/>
      </w:r>
      <w:r>
        <w:rPr>
          <w:color w:val="auto"/>
        </w:rPr>
        <w:fldChar w:fldCharType="begin"/>
      </w:r>
      <w:r>
        <w:rPr>
          <w:color w:val="auto"/>
        </w:rPr>
        <w:instrText xml:space="preserve"> PAGEREF _Toc12686 \h </w:instrText>
      </w:r>
      <w:r>
        <w:rPr>
          <w:color w:val="auto"/>
        </w:rPr>
        <w:fldChar w:fldCharType="separate"/>
      </w:r>
      <w:r>
        <w:rPr>
          <w:color w:val="auto"/>
        </w:rPr>
        <w:t>79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_Toc20432 </w:instrText>
      </w:r>
      <w:r>
        <w:rPr>
          <w:rFonts w:asciiTheme="minorEastAsia" w:hAnsiTheme="minorEastAsia" w:eastAsiaTheme="minorEastAsia"/>
          <w:color w:val="auto"/>
        </w:rPr>
        <w:fldChar w:fldCharType="separate"/>
      </w:r>
      <w:r>
        <w:rPr>
          <w:rFonts w:hint="eastAsia" w:ascii="宋体" w:hAnsi="宋体"/>
          <w:color w:val="auto"/>
          <w:szCs w:val="21"/>
        </w:rPr>
        <w:t>十</w:t>
      </w:r>
      <w:r>
        <w:rPr>
          <w:rFonts w:hint="eastAsia" w:ascii="黑体" w:hAnsi="宋体" w:eastAsia="黑体"/>
          <w:color w:val="auto"/>
          <w:szCs w:val="28"/>
        </w:rPr>
        <w:t>、享受政府采购政策优惠的证明资料</w:t>
      </w:r>
      <w:r>
        <w:rPr>
          <w:color w:val="auto"/>
        </w:rPr>
        <w:tab/>
      </w:r>
      <w:r>
        <w:rPr>
          <w:color w:val="auto"/>
        </w:rPr>
        <w:fldChar w:fldCharType="begin"/>
      </w:r>
      <w:r>
        <w:rPr>
          <w:color w:val="auto"/>
        </w:rPr>
        <w:instrText xml:space="preserve"> PAGEREF _Toc20432 \h </w:instrText>
      </w:r>
      <w:r>
        <w:rPr>
          <w:color w:val="auto"/>
        </w:rPr>
        <w:fldChar w:fldCharType="separate"/>
      </w:r>
      <w:r>
        <w:rPr>
          <w:color w:val="auto"/>
        </w:rPr>
        <w:t>80</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_Toc31069 </w:instrText>
      </w:r>
      <w:r>
        <w:rPr>
          <w:rFonts w:asciiTheme="minorEastAsia" w:hAnsiTheme="minorEastAsia" w:eastAsiaTheme="minorEastAsia"/>
          <w:color w:val="auto"/>
        </w:rPr>
        <w:fldChar w:fldCharType="separate"/>
      </w:r>
      <w:r>
        <w:rPr>
          <w:rFonts w:hint="eastAsia"/>
          <w:bCs w:val="0"/>
          <w:color w:val="auto"/>
          <w:szCs w:val="21"/>
          <w:lang w:val="en-US" w:eastAsia="zh-CN"/>
        </w:rPr>
        <w:t>附件10-1 中小企业声明函（货物）</w:t>
      </w:r>
      <w:r>
        <w:rPr>
          <w:color w:val="auto"/>
        </w:rPr>
        <w:tab/>
      </w:r>
      <w:r>
        <w:rPr>
          <w:color w:val="auto"/>
        </w:rPr>
        <w:fldChar w:fldCharType="begin"/>
      </w:r>
      <w:r>
        <w:rPr>
          <w:color w:val="auto"/>
        </w:rPr>
        <w:instrText xml:space="preserve"> PAGEREF _Toc31069 \h </w:instrText>
      </w:r>
      <w:r>
        <w:rPr>
          <w:color w:val="auto"/>
        </w:rPr>
        <w:fldChar w:fldCharType="separate"/>
      </w:r>
      <w:r>
        <w:rPr>
          <w:color w:val="auto"/>
        </w:rPr>
        <w:t>80</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_Toc15656 </w:instrText>
      </w:r>
      <w:r>
        <w:rPr>
          <w:rFonts w:asciiTheme="minorEastAsia" w:hAnsiTheme="minorEastAsia" w:eastAsiaTheme="minorEastAsia"/>
          <w:color w:val="auto"/>
        </w:rPr>
        <w:fldChar w:fldCharType="separate"/>
      </w:r>
      <w:r>
        <w:rPr>
          <w:rFonts w:hint="eastAsia" w:ascii="黑体" w:hAnsi="华文中宋" w:cs="宋体"/>
          <w:bCs w:val="0"/>
          <w:color w:val="auto"/>
          <w:spacing w:val="6"/>
          <w:kern w:val="0"/>
          <w:szCs w:val="21"/>
        </w:rPr>
        <w:t xml:space="preserve">附件10-2 </w:t>
      </w:r>
      <w:r>
        <w:rPr>
          <w:rFonts w:hint="eastAsia" w:ascii="黑体" w:hAnsi="宋体"/>
          <w:color w:val="auto"/>
          <w:spacing w:val="6"/>
          <w:szCs w:val="21"/>
        </w:rPr>
        <w:t>残疾人福利性单位声明函</w:t>
      </w:r>
      <w:r>
        <w:rPr>
          <w:color w:val="auto"/>
        </w:rPr>
        <w:tab/>
      </w:r>
      <w:r>
        <w:rPr>
          <w:color w:val="auto"/>
        </w:rPr>
        <w:fldChar w:fldCharType="begin"/>
      </w:r>
      <w:r>
        <w:rPr>
          <w:color w:val="auto"/>
        </w:rPr>
        <w:instrText xml:space="preserve"> PAGEREF _Toc15656 \h </w:instrText>
      </w:r>
      <w:r>
        <w:rPr>
          <w:color w:val="auto"/>
        </w:rPr>
        <w:fldChar w:fldCharType="separate"/>
      </w:r>
      <w:r>
        <w:rPr>
          <w:color w:val="auto"/>
        </w:rPr>
        <w:t>81</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_Toc2082 </w:instrText>
      </w:r>
      <w:r>
        <w:rPr>
          <w:rFonts w:asciiTheme="minorEastAsia" w:hAnsiTheme="minorEastAsia" w:eastAsiaTheme="minorEastAsia"/>
          <w:color w:val="auto"/>
        </w:rPr>
        <w:fldChar w:fldCharType="separate"/>
      </w:r>
      <w:r>
        <w:rPr>
          <w:rFonts w:hint="eastAsia" w:ascii="黑体" w:hAnsi="宋体" w:cs="宋体"/>
          <w:color w:val="auto"/>
          <w:kern w:val="0"/>
          <w:szCs w:val="21"/>
        </w:rPr>
        <w:t xml:space="preserve">附件10-3 </w:t>
      </w:r>
      <w:r>
        <w:rPr>
          <w:rFonts w:hint="eastAsia" w:ascii="黑体" w:hAnsi="宋体"/>
          <w:color w:val="auto"/>
          <w:szCs w:val="21"/>
        </w:rPr>
        <w:t>监狱企业证明资料</w:t>
      </w:r>
      <w:r>
        <w:rPr>
          <w:color w:val="auto"/>
        </w:rPr>
        <w:tab/>
      </w:r>
      <w:r>
        <w:rPr>
          <w:color w:val="auto"/>
        </w:rPr>
        <w:fldChar w:fldCharType="begin"/>
      </w:r>
      <w:r>
        <w:rPr>
          <w:color w:val="auto"/>
        </w:rPr>
        <w:instrText xml:space="preserve"> PAGEREF _Toc2082 \h </w:instrText>
      </w:r>
      <w:r>
        <w:rPr>
          <w:color w:val="auto"/>
        </w:rPr>
        <w:fldChar w:fldCharType="separate"/>
      </w:r>
      <w:r>
        <w:rPr>
          <w:color w:val="auto"/>
        </w:rPr>
        <w:t>82</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_Toc7447 </w:instrText>
      </w:r>
      <w:r>
        <w:rPr>
          <w:rFonts w:asciiTheme="minorEastAsia" w:hAnsiTheme="minorEastAsia" w:eastAsiaTheme="minorEastAsia"/>
          <w:color w:val="auto"/>
        </w:rPr>
        <w:fldChar w:fldCharType="separate"/>
      </w:r>
      <w:r>
        <w:rPr>
          <w:rFonts w:hint="eastAsia" w:ascii="黑体" w:hAnsi="华文中宋" w:cs="宋体"/>
          <w:bCs w:val="0"/>
          <w:color w:val="auto"/>
          <w:spacing w:val="6"/>
          <w:kern w:val="0"/>
          <w:szCs w:val="21"/>
        </w:rPr>
        <w:t xml:space="preserve">附件10-4 </w:t>
      </w:r>
      <w:r>
        <w:rPr>
          <w:rFonts w:hint="eastAsia" w:ascii="黑体" w:hAnsi="宋体"/>
          <w:color w:val="auto"/>
          <w:szCs w:val="21"/>
        </w:rPr>
        <w:t>强制采购或者优先采购产品</w:t>
      </w:r>
      <w:r>
        <w:rPr>
          <w:rFonts w:hint="eastAsia" w:ascii="黑体" w:hAnsi="宋体"/>
          <w:bCs w:val="0"/>
          <w:color w:val="auto"/>
          <w:szCs w:val="21"/>
        </w:rPr>
        <w:t>的</w:t>
      </w:r>
      <w:r>
        <w:rPr>
          <w:rFonts w:hint="eastAsia" w:ascii="黑体" w:hAnsi="宋体"/>
          <w:color w:val="auto"/>
          <w:szCs w:val="21"/>
        </w:rPr>
        <w:t>证明材料</w:t>
      </w:r>
      <w:r>
        <w:rPr>
          <w:color w:val="auto"/>
        </w:rPr>
        <w:tab/>
      </w:r>
      <w:r>
        <w:rPr>
          <w:color w:val="auto"/>
        </w:rPr>
        <w:fldChar w:fldCharType="begin"/>
      </w:r>
      <w:r>
        <w:rPr>
          <w:color w:val="auto"/>
        </w:rPr>
        <w:instrText xml:space="preserve"> PAGEREF _Toc7447 \h </w:instrText>
      </w:r>
      <w:r>
        <w:rPr>
          <w:color w:val="auto"/>
        </w:rPr>
        <w:fldChar w:fldCharType="separate"/>
      </w:r>
      <w:r>
        <w:rPr>
          <w:color w:val="auto"/>
        </w:rPr>
        <w:t>83</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_Toc4541 </w:instrText>
      </w:r>
      <w:r>
        <w:rPr>
          <w:rFonts w:asciiTheme="minorEastAsia" w:hAnsiTheme="minorEastAsia" w:eastAsiaTheme="minorEastAsia"/>
          <w:color w:val="auto"/>
        </w:rPr>
        <w:fldChar w:fldCharType="separate"/>
      </w:r>
      <w:r>
        <w:rPr>
          <w:rFonts w:hint="eastAsia" w:ascii="黑体" w:hAnsi="华文中宋" w:cs="宋体"/>
          <w:bCs w:val="0"/>
          <w:color w:val="auto"/>
          <w:spacing w:val="6"/>
          <w:kern w:val="0"/>
          <w:szCs w:val="21"/>
        </w:rPr>
        <w:t xml:space="preserve">附页 2 </w:t>
      </w:r>
      <w:r>
        <w:rPr>
          <w:rFonts w:hint="eastAsia" w:ascii="黑体" w:hAnsi="宋体"/>
          <w:color w:val="auto"/>
          <w:szCs w:val="21"/>
        </w:rPr>
        <w:t>优先采购产品清单</w:t>
      </w:r>
      <w:r>
        <w:rPr>
          <w:color w:val="auto"/>
        </w:rPr>
        <w:tab/>
      </w:r>
      <w:r>
        <w:rPr>
          <w:color w:val="auto"/>
        </w:rPr>
        <w:fldChar w:fldCharType="begin"/>
      </w:r>
      <w:r>
        <w:rPr>
          <w:color w:val="auto"/>
        </w:rPr>
        <w:instrText xml:space="preserve"> PAGEREF _Toc4541 \h </w:instrText>
      </w:r>
      <w:r>
        <w:rPr>
          <w:color w:val="auto"/>
        </w:rPr>
        <w:fldChar w:fldCharType="separate"/>
      </w:r>
      <w:r>
        <w:rPr>
          <w:color w:val="auto"/>
        </w:rPr>
        <w:t>84</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_Toc6570 </w:instrText>
      </w:r>
      <w:r>
        <w:rPr>
          <w:rFonts w:asciiTheme="minorEastAsia" w:hAnsiTheme="minorEastAsia" w:eastAsiaTheme="minorEastAsia"/>
          <w:color w:val="auto"/>
        </w:rPr>
        <w:fldChar w:fldCharType="separate"/>
      </w:r>
      <w:r>
        <w:rPr>
          <w:rFonts w:hint="eastAsia" w:ascii="黑体" w:hAnsi="宋体" w:eastAsia="黑体"/>
          <w:color w:val="auto"/>
          <w:szCs w:val="28"/>
        </w:rPr>
        <w:t>十一、投标货物符合招标文件规定的证明文件</w:t>
      </w:r>
      <w:r>
        <w:rPr>
          <w:color w:val="auto"/>
        </w:rPr>
        <w:tab/>
      </w:r>
      <w:r>
        <w:rPr>
          <w:color w:val="auto"/>
        </w:rPr>
        <w:fldChar w:fldCharType="begin"/>
      </w:r>
      <w:r>
        <w:rPr>
          <w:color w:val="auto"/>
        </w:rPr>
        <w:instrText xml:space="preserve"> PAGEREF _Toc6570 \h </w:instrText>
      </w:r>
      <w:r>
        <w:rPr>
          <w:color w:val="auto"/>
        </w:rPr>
        <w:fldChar w:fldCharType="separate"/>
      </w:r>
      <w:r>
        <w:rPr>
          <w:color w:val="auto"/>
        </w:rPr>
        <w:t>85</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_Toc3827 </w:instrText>
      </w:r>
      <w:r>
        <w:rPr>
          <w:rFonts w:asciiTheme="minorEastAsia" w:hAnsiTheme="minorEastAsia" w:eastAsiaTheme="minorEastAsia"/>
          <w:color w:val="auto"/>
        </w:rPr>
        <w:fldChar w:fldCharType="separate"/>
      </w:r>
      <w:r>
        <w:rPr>
          <w:rFonts w:hint="eastAsia" w:ascii="黑体" w:hAnsi="宋体" w:eastAsia="黑体"/>
          <w:color w:val="auto"/>
          <w:szCs w:val="28"/>
        </w:rPr>
        <w:t>十二、投标人认为需提供的其他资料</w:t>
      </w:r>
      <w:r>
        <w:rPr>
          <w:color w:val="auto"/>
        </w:rPr>
        <w:tab/>
      </w:r>
      <w:r>
        <w:rPr>
          <w:color w:val="auto"/>
        </w:rPr>
        <w:fldChar w:fldCharType="begin"/>
      </w:r>
      <w:r>
        <w:rPr>
          <w:color w:val="auto"/>
        </w:rPr>
        <w:instrText xml:space="preserve"> PAGEREF _Toc3827 \h </w:instrText>
      </w:r>
      <w:r>
        <w:rPr>
          <w:color w:val="auto"/>
        </w:rPr>
        <w:fldChar w:fldCharType="separate"/>
      </w:r>
      <w:r>
        <w:rPr>
          <w:color w:val="auto"/>
        </w:rPr>
        <w:t>86</w:t>
      </w:r>
      <w:r>
        <w:rPr>
          <w:color w:val="auto"/>
        </w:rPr>
        <w:fldChar w:fldCharType="end"/>
      </w:r>
      <w:r>
        <w:rPr>
          <w:rFonts w:asciiTheme="minorEastAsia" w:hAnsiTheme="minorEastAsia" w:eastAsiaTheme="minorEastAsia"/>
          <w:color w:val="auto"/>
        </w:rPr>
        <w:fldChar w:fldCharType="end"/>
      </w:r>
    </w:p>
    <w:p>
      <w:pPr>
        <w:rPr>
          <w:color w:val="auto"/>
        </w:rPr>
      </w:pPr>
      <w:r>
        <w:rPr>
          <w:rFonts w:asciiTheme="minorEastAsia" w:hAnsiTheme="minorEastAsia" w:eastAsiaTheme="minorEastAsia"/>
          <w:color w:val="auto"/>
        </w:rPr>
        <w:fldChar w:fldCharType="end"/>
      </w:r>
      <w:r>
        <w:rPr>
          <w:color w:val="auto"/>
        </w:rPr>
        <w:t xml:space="preserve"> </w:t>
      </w:r>
    </w:p>
    <w:p>
      <w:pPr>
        <w:adjustRightInd w:val="0"/>
        <w:snapToGrid w:val="0"/>
        <w:spacing w:line="240" w:lineRule="atLeast"/>
        <w:ind w:firstLine="840" w:firstLineChars="400"/>
        <w:rPr>
          <w:rFonts w:ascii="宋体" w:hAnsi="宋体"/>
          <w:color w:val="auto"/>
          <w:szCs w:val="21"/>
        </w:rPr>
      </w:pPr>
    </w:p>
    <w:p>
      <w:pPr>
        <w:pStyle w:val="4"/>
        <w:rPr>
          <w:color w:val="auto"/>
        </w:rPr>
        <w:sectPr>
          <w:headerReference r:id="rId6" w:type="first"/>
          <w:headerReference r:id="rId4" w:type="default"/>
          <w:footerReference r:id="rId7" w:type="default"/>
          <w:headerReference r:id="rId5" w:type="even"/>
          <w:pgSz w:w="11906" w:h="16838"/>
          <w:pgMar w:top="1474" w:right="1474" w:bottom="1474" w:left="1588" w:header="851" w:footer="992" w:gutter="0"/>
          <w:pgNumType w:start="1"/>
          <w:cols w:space="720" w:num="1"/>
          <w:docGrid w:type="lines" w:linePitch="312" w:charSpace="0"/>
        </w:sectPr>
      </w:pPr>
    </w:p>
    <w:p>
      <w:pPr>
        <w:spacing w:line="360" w:lineRule="auto"/>
        <w:jc w:val="center"/>
        <w:rPr>
          <w:rFonts w:ascii="宋体" w:hAnsi="宋体" w:cs="宋体"/>
          <w:color w:val="auto"/>
          <w:sz w:val="44"/>
          <w:szCs w:val="44"/>
          <w:highlight w:val="white"/>
        </w:rPr>
      </w:pPr>
      <w:bookmarkStart w:id="0" w:name="_Toc29913893"/>
      <w:r>
        <w:rPr>
          <w:rFonts w:hint="eastAsia" w:ascii="宋体" w:hAnsi="宋体" w:cs="宋体"/>
          <w:color w:val="auto"/>
          <w:sz w:val="44"/>
          <w:szCs w:val="44"/>
          <w:highlight w:val="white"/>
        </w:rPr>
        <w:t>电子招投标相关规定</w:t>
      </w:r>
    </w:p>
    <w:p>
      <w:pPr>
        <w:spacing w:line="360" w:lineRule="auto"/>
        <w:ind w:firstLine="420" w:firstLineChars="200"/>
        <w:rPr>
          <w:rFonts w:ascii="等线" w:hAnsi="等线" w:eastAsia="等线"/>
          <w:color w:val="auto"/>
          <w:szCs w:val="21"/>
          <w:highlight w:val="white"/>
        </w:rPr>
      </w:pPr>
    </w:p>
    <w:p>
      <w:pPr>
        <w:numPr>
          <w:ilvl w:val="0"/>
          <w:numId w:val="1"/>
        </w:numPr>
        <w:adjustRightInd w:val="0"/>
        <w:snapToGrid w:val="0"/>
        <w:spacing w:line="360" w:lineRule="auto"/>
        <w:ind w:firstLine="560" w:firstLineChars="200"/>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本项目采用电子招投标方式，招标文件的下载、上传、解密，开评标均通过互联网操作，电子招标文件免费提供。</w:t>
      </w:r>
    </w:p>
    <w:p>
      <w:pPr>
        <w:widowControl/>
        <w:numPr>
          <w:ilvl w:val="0"/>
          <w:numId w:val="1"/>
        </w:numPr>
        <w:tabs>
          <w:tab w:val="left" w:pos="3500"/>
        </w:tabs>
        <w:autoSpaceDE w:val="0"/>
        <w:autoSpaceDN w:val="0"/>
        <w:adjustRightInd w:val="0"/>
        <w:snapToGrid w:val="0"/>
        <w:spacing w:line="360" w:lineRule="auto"/>
        <w:ind w:firstLine="560" w:firstLineChars="200"/>
        <w:jc w:val="left"/>
        <w:rPr>
          <w:rFonts w:ascii="仿宋" w:hAnsi="仿宋" w:eastAsia="仿宋" w:cs="仿宋"/>
          <w:color w:val="auto"/>
          <w:sz w:val="28"/>
          <w:szCs w:val="28"/>
          <w:highlight w:val="white"/>
        </w:rPr>
      </w:pPr>
      <w:r>
        <w:rPr>
          <w:rFonts w:hint="eastAsia" w:ascii="仿宋" w:hAnsi="仿宋" w:eastAsia="仿宋" w:cs="仿宋"/>
          <w:color w:val="auto"/>
          <w:kern w:val="0"/>
          <w:sz w:val="28"/>
          <w:szCs w:val="28"/>
        </w:rPr>
        <w:t>招标文件在湖南省政府采购网(www.ccgp-hunan.gov.cn)和</w:t>
      </w:r>
      <w:r>
        <w:rPr>
          <w:rFonts w:hint="eastAsia" w:ascii="仿宋" w:hAnsi="仿宋" w:eastAsia="仿宋" w:cs="仿宋"/>
          <w:color w:val="auto"/>
          <w:sz w:val="28"/>
          <w:szCs w:val="28"/>
          <w:highlight w:val="white"/>
        </w:rPr>
        <w:t>郴州市公共资源交易中心(http://czggzy.czs.gov.cn/)上</w:t>
      </w:r>
      <w:r>
        <w:rPr>
          <w:rFonts w:hint="eastAsia" w:ascii="仿宋" w:hAnsi="仿宋" w:eastAsia="仿宋" w:cs="仿宋"/>
          <w:color w:val="auto"/>
          <w:kern w:val="0"/>
          <w:sz w:val="28"/>
          <w:szCs w:val="28"/>
        </w:rPr>
        <w:t>发布。</w:t>
      </w:r>
      <w:r>
        <w:rPr>
          <w:rFonts w:hint="eastAsia" w:ascii="仿宋" w:hAnsi="仿宋" w:eastAsia="仿宋" w:cs="仿宋"/>
          <w:color w:val="auto"/>
          <w:sz w:val="28"/>
          <w:szCs w:val="28"/>
          <w:highlight w:val="white"/>
        </w:rPr>
        <w:t>投标人应仔细阅读本招标文件第二章《投标须知》，并在“郴州市公共资源交易中心(http://czggzy.czs.gov.cn/) 办事指南 --招投标相关”）进行学习，投标人使用电子投标遇到问题时，请及时向软件公司咨询，联系方式：客服电话4009980000。</w:t>
      </w:r>
    </w:p>
    <w:p>
      <w:pPr>
        <w:numPr>
          <w:ilvl w:val="255"/>
          <w:numId w:val="0"/>
        </w:numPr>
        <w:adjustRightInd w:val="0"/>
        <w:snapToGrid w:val="0"/>
        <w:spacing w:line="360" w:lineRule="auto"/>
        <w:ind w:firstLine="560" w:firstLineChars="200"/>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三、湖南省政府采购网和郴州市公共资源交易中心网上办事系统均需使用数字证书登陆进行操作。</w:t>
      </w:r>
    </w:p>
    <w:p>
      <w:pPr>
        <w:numPr>
          <w:ilvl w:val="255"/>
          <w:numId w:val="0"/>
        </w:numPr>
        <w:adjustRightInd w:val="0"/>
        <w:snapToGrid w:val="0"/>
        <w:spacing w:line="360" w:lineRule="auto"/>
        <w:ind w:firstLine="560" w:firstLineChars="200"/>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四、本项目采用“不见面开标”模式，是指将传统的开标场所移到互联网,招标人在不见面开标大厅组织线上开标,投标人通过互联网远程参加开标,并共同完成交易文件解密、唱标、异议和答复、开标确认、交流互动等开标活动。</w:t>
      </w:r>
    </w:p>
    <w:p>
      <w:pPr>
        <w:adjustRightInd w:val="0"/>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五、</w:t>
      </w:r>
      <w:r>
        <w:rPr>
          <w:rFonts w:hint="eastAsia" w:ascii="仿宋" w:hAnsi="仿宋" w:eastAsia="仿宋" w:cs="仿宋"/>
          <w:color w:val="auto"/>
          <w:sz w:val="28"/>
          <w:szCs w:val="28"/>
          <w:highlight w:val="white"/>
        </w:rPr>
        <w:t>网上</w:t>
      </w:r>
      <w:r>
        <w:rPr>
          <w:rFonts w:hint="eastAsia" w:ascii="仿宋" w:hAnsi="仿宋" w:eastAsia="仿宋" w:cs="仿宋"/>
          <w:color w:val="auto"/>
          <w:sz w:val="28"/>
          <w:szCs w:val="28"/>
          <w:highlight w:val="white"/>
          <w:lang w:val="en-US" w:eastAsia="zh-CN"/>
        </w:rPr>
        <w:t>不见面开标大厅</w:t>
      </w:r>
      <w:r>
        <w:rPr>
          <w:rFonts w:hint="eastAsia" w:ascii="仿宋" w:hAnsi="仿宋" w:eastAsia="仿宋" w:cs="仿宋"/>
          <w:color w:val="auto"/>
          <w:sz w:val="28"/>
          <w:szCs w:val="28"/>
          <w:highlight w:val="white"/>
        </w:rPr>
        <w:t>系统</w:t>
      </w:r>
      <w:r>
        <w:rPr>
          <w:rFonts w:hint="eastAsia" w:ascii="仿宋" w:hAnsi="仿宋" w:eastAsia="仿宋" w:cs="仿宋"/>
          <w:color w:val="auto"/>
          <w:sz w:val="28"/>
          <w:szCs w:val="28"/>
          <w:highlight w:val="white"/>
          <w:lang w:val="en-US" w:eastAsia="zh-CN"/>
        </w:rPr>
        <w:t>可通过</w:t>
      </w:r>
      <w:r>
        <w:rPr>
          <w:rFonts w:hint="eastAsia" w:ascii="仿宋" w:hAnsi="仿宋" w:eastAsia="仿宋" w:cs="仿宋"/>
          <w:color w:val="auto"/>
          <w:sz w:val="28"/>
          <w:szCs w:val="28"/>
          <w:highlight w:val="white"/>
        </w:rPr>
        <w:t>郴州市公共资源交易中心网上办事系统的“</w:t>
      </w:r>
      <w:r>
        <w:rPr>
          <w:rFonts w:hint="eastAsia" w:ascii="仿宋" w:hAnsi="仿宋" w:eastAsia="仿宋" w:cs="仿宋"/>
          <w:color w:val="auto"/>
          <w:sz w:val="28"/>
          <w:szCs w:val="28"/>
          <w:highlight w:val="white"/>
          <w:lang w:val="en-US" w:eastAsia="zh-CN"/>
        </w:rPr>
        <w:t>不见面开标大厅</w:t>
      </w:r>
      <w:r>
        <w:rPr>
          <w:rFonts w:hint="eastAsia" w:ascii="仿宋" w:hAnsi="仿宋" w:eastAsia="仿宋" w:cs="仿宋"/>
          <w:color w:val="auto"/>
          <w:sz w:val="28"/>
          <w:szCs w:val="28"/>
          <w:highlight w:val="white"/>
        </w:rPr>
        <w:t>”模块</w:t>
      </w:r>
      <w:r>
        <w:rPr>
          <w:rFonts w:hint="eastAsia" w:ascii="仿宋" w:hAnsi="仿宋" w:eastAsia="仿宋" w:cs="仿宋"/>
          <w:color w:val="auto"/>
          <w:sz w:val="28"/>
          <w:szCs w:val="28"/>
          <w:highlight w:val="white"/>
          <w:lang w:val="en-US" w:eastAsia="zh-CN"/>
        </w:rPr>
        <w:t>进入</w:t>
      </w:r>
      <w:r>
        <w:rPr>
          <w:rFonts w:hint="eastAsia" w:ascii="仿宋" w:hAnsi="仿宋" w:eastAsia="仿宋" w:cs="仿宋"/>
          <w:color w:val="auto"/>
          <w:sz w:val="28"/>
          <w:szCs w:val="28"/>
          <w:highlight w:val="white"/>
        </w:rPr>
        <w:t>（http://www.czggzy.net</w:t>
      </w:r>
      <w:r>
        <w:rPr>
          <w:rFonts w:hint="eastAsia" w:ascii="仿宋" w:hAnsi="仿宋" w:eastAsia="仿宋" w:cs="仿宋"/>
          <w:color w:val="auto"/>
          <w:sz w:val="28"/>
          <w:szCs w:val="28"/>
          <w:highlight w:val="white"/>
          <w:lang w:val="en-US" w:eastAsia="zh-CN"/>
        </w:rPr>
        <w:t>/BidOpening</w:t>
      </w:r>
      <w:r>
        <w:rPr>
          <w:rFonts w:hint="eastAsia" w:ascii="仿宋" w:hAnsi="仿宋" w:eastAsia="仿宋" w:cs="仿宋"/>
          <w:color w:val="auto"/>
          <w:sz w:val="28"/>
          <w:szCs w:val="28"/>
          <w:highlight w:val="white"/>
        </w:rPr>
        <w:t>）。</w:t>
      </w:r>
    </w:p>
    <w:p>
      <w:pPr>
        <w:adjustRightInd w:val="0"/>
        <w:snapToGrid w:val="0"/>
        <w:spacing w:line="360" w:lineRule="auto"/>
        <w:ind w:firstLine="560" w:firstLineChars="200"/>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六、投标人应在投标截止时间之前使用数字证书(CA)，自备具有上网卡和音视频功能的电脑自行登录网上不见面开标大厅（郴州市公共资源交易中心网上办事系统的“</w:t>
      </w:r>
      <w:r>
        <w:rPr>
          <w:rFonts w:hint="eastAsia" w:ascii="仿宋" w:hAnsi="仿宋" w:eastAsia="仿宋" w:cs="仿宋"/>
          <w:color w:val="auto"/>
          <w:sz w:val="28"/>
          <w:szCs w:val="28"/>
          <w:highlight w:val="white"/>
          <w:lang w:val="en-US" w:eastAsia="zh-CN"/>
        </w:rPr>
        <w:t>不见面开标大厅</w:t>
      </w:r>
      <w:r>
        <w:rPr>
          <w:rFonts w:hint="eastAsia" w:ascii="仿宋" w:hAnsi="仿宋" w:eastAsia="仿宋" w:cs="仿宋"/>
          <w:color w:val="auto"/>
          <w:sz w:val="28"/>
          <w:szCs w:val="28"/>
          <w:highlight w:val="white"/>
        </w:rPr>
        <w:t>”模块（http://www.czggzy.net</w:t>
      </w:r>
      <w:r>
        <w:rPr>
          <w:rFonts w:hint="eastAsia" w:ascii="仿宋" w:hAnsi="仿宋" w:eastAsia="仿宋" w:cs="仿宋"/>
          <w:color w:val="auto"/>
          <w:sz w:val="28"/>
          <w:szCs w:val="28"/>
          <w:highlight w:val="white"/>
          <w:lang w:val="en-US" w:eastAsia="zh-CN"/>
        </w:rPr>
        <w:t>/BidOpening</w:t>
      </w:r>
      <w:r>
        <w:rPr>
          <w:rFonts w:hint="eastAsia" w:ascii="仿宋" w:hAnsi="仿宋" w:eastAsia="仿宋" w:cs="仿宋"/>
          <w:color w:val="auto"/>
          <w:sz w:val="28"/>
          <w:szCs w:val="28"/>
          <w:highlight w:val="white"/>
        </w:rPr>
        <w:t>）,在线等待开标,</w:t>
      </w:r>
      <w:r>
        <w:rPr>
          <w:rFonts w:hint="eastAsia" w:ascii="仿宋" w:hAnsi="仿宋" w:eastAsia="仿宋" w:cs="仿宋"/>
          <w:color w:val="auto"/>
          <w:sz w:val="28"/>
          <w:szCs w:val="28"/>
        </w:rPr>
        <w:t>并在开标期间保持通讯畅通。开标期间，投标人在开标大厅与招标人进行相关操作、音视频及文字交互，各电脑终端上的所有操作、音视频及文字交互均被视为各交易主体的行为。</w:t>
      </w:r>
      <w:r>
        <w:rPr>
          <w:rFonts w:hint="eastAsia" w:ascii="仿宋" w:hAnsi="仿宋" w:eastAsia="仿宋" w:cs="仿宋"/>
          <w:color w:val="auto"/>
          <w:sz w:val="28"/>
          <w:szCs w:val="28"/>
          <w:highlight w:val="white"/>
        </w:rPr>
        <w:t>未按时加入开标会议区并完成CA或账号密码登录操作的或未能在开标会议区内全程参与交互的，视为放弃交互和放弃对开评标全过程提出疑问的权利，投标人将无法看到解密指令、开标、唱标等实时情况，投标人自行承担由此导致的一切后果。</w:t>
      </w:r>
    </w:p>
    <w:p>
      <w:pPr>
        <w:adjustRightInd w:val="0"/>
        <w:snapToGrid w:val="0"/>
        <w:spacing w:line="360" w:lineRule="auto"/>
        <w:ind w:firstLine="560" w:firstLineChars="200"/>
        <w:rPr>
          <w:rFonts w:ascii="仿宋" w:hAnsi="仿宋" w:eastAsia="仿宋" w:cs="仿宋"/>
          <w:color w:val="auto"/>
          <w:sz w:val="28"/>
          <w:szCs w:val="28"/>
          <w:highlight w:val="white"/>
        </w:rPr>
      </w:pPr>
      <w:r>
        <w:rPr>
          <w:rFonts w:hint="eastAsia" w:ascii="仿宋" w:hAnsi="仿宋" w:eastAsia="仿宋" w:cs="仿宋"/>
          <w:color w:val="auto"/>
          <w:sz w:val="28"/>
          <w:szCs w:val="28"/>
        </w:rPr>
        <w:t>七、</w:t>
      </w:r>
      <w:r>
        <w:rPr>
          <w:rFonts w:hint="eastAsia" w:ascii="仿宋" w:hAnsi="仿宋" w:eastAsia="仿宋" w:cs="仿宋"/>
          <w:color w:val="auto"/>
          <w:sz w:val="28"/>
          <w:szCs w:val="28"/>
          <w:highlight w:val="white"/>
        </w:rPr>
        <w:t>开评标全过程中，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pStyle w:val="2"/>
        <w:rPr>
          <w:rFonts w:ascii="仿宋" w:hAnsi="仿宋" w:eastAsia="仿宋" w:cs="仿宋"/>
          <w:color w:val="auto"/>
          <w:sz w:val="28"/>
          <w:szCs w:val="28"/>
          <w:highlight w:val="white"/>
        </w:rPr>
      </w:pPr>
    </w:p>
    <w:p>
      <w:pPr>
        <w:rPr>
          <w:rFonts w:ascii="仿宋" w:hAnsi="仿宋" w:eastAsia="仿宋" w:cs="仿宋"/>
          <w:color w:val="auto"/>
          <w:sz w:val="28"/>
          <w:szCs w:val="28"/>
          <w:highlight w:val="white"/>
        </w:rPr>
      </w:pPr>
    </w:p>
    <w:p>
      <w:pPr>
        <w:pStyle w:val="2"/>
        <w:rPr>
          <w:rFonts w:ascii="仿宋" w:hAnsi="仿宋" w:eastAsia="仿宋" w:cs="仿宋"/>
          <w:color w:val="auto"/>
          <w:sz w:val="28"/>
          <w:szCs w:val="28"/>
          <w:highlight w:val="white"/>
        </w:rPr>
      </w:pPr>
    </w:p>
    <w:p>
      <w:pPr>
        <w:rPr>
          <w:rFonts w:ascii="仿宋" w:hAnsi="仿宋" w:eastAsia="仿宋" w:cs="仿宋"/>
          <w:color w:val="auto"/>
          <w:sz w:val="28"/>
          <w:szCs w:val="28"/>
          <w:highlight w:val="white"/>
        </w:rPr>
      </w:pPr>
    </w:p>
    <w:p>
      <w:pPr>
        <w:pStyle w:val="2"/>
        <w:rPr>
          <w:color w:val="auto"/>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pStyle w:val="4"/>
        <w:ind w:left="1215" w:firstLine="1928" w:firstLineChars="600"/>
        <w:jc w:val="both"/>
        <w:rPr>
          <w:color w:val="auto"/>
          <w:sz w:val="24"/>
        </w:rPr>
      </w:pPr>
      <w:bookmarkStart w:id="1" w:name="_Toc24130"/>
      <w:r>
        <w:rPr>
          <w:rFonts w:hint="eastAsia" w:ascii="黑体" w:hAnsi="华文中宋" w:eastAsia="黑体"/>
          <w:color w:val="auto"/>
          <w:sz w:val="32"/>
          <w:szCs w:val="32"/>
        </w:rPr>
        <w:t>第一章 投标邀请</w:t>
      </w:r>
      <w:bookmarkEnd w:id="0"/>
      <w:bookmarkEnd w:id="1"/>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宋体" w:hAnsi="宋体" w:cs="宋体"/>
          <w:color w:val="auto"/>
          <w:sz w:val="24"/>
          <w:highlight w:val="none"/>
          <w:u w:val="single"/>
          <w:lang w:eastAsia="zh-CN"/>
        </w:rPr>
        <w:t>郴州职业技术学院</w:t>
      </w:r>
      <w:r>
        <w:rPr>
          <w:rFonts w:hint="eastAsia" w:asciiTheme="minorEastAsia" w:hAnsiTheme="minorEastAsia" w:eastAsiaTheme="minorEastAsia"/>
          <w:color w:val="auto"/>
          <w:sz w:val="24"/>
        </w:rPr>
        <w:t xml:space="preserve">的 </w:t>
      </w:r>
      <w:r>
        <w:rPr>
          <w:rFonts w:hint="eastAsia" w:ascii="宋体" w:hAnsi="宋体" w:cs="宋体"/>
          <w:color w:val="auto"/>
          <w:sz w:val="24"/>
          <w:highlight w:val="none"/>
          <w:u w:val="single"/>
          <w:lang w:eastAsia="zh-CN"/>
        </w:rPr>
        <w:t>教室课桌椅更换项目</w:t>
      </w:r>
      <w:r>
        <w:rPr>
          <w:rFonts w:hint="eastAsia" w:asciiTheme="minorEastAsia" w:hAnsiTheme="minorEastAsia" w:eastAsiaTheme="minorEastAsia"/>
          <w:color w:val="auto"/>
          <w:sz w:val="24"/>
        </w:rPr>
        <w:t>进行公开招标采购，现邀请合格投标人参加投标。</w:t>
      </w:r>
    </w:p>
    <w:p>
      <w:pPr>
        <w:pStyle w:val="5"/>
        <w:bidi w:val="0"/>
        <w:rPr>
          <w:rFonts w:hint="eastAsia"/>
          <w:color w:val="auto"/>
          <w:lang w:eastAsia="zh-CN"/>
        </w:rPr>
      </w:pPr>
      <w:bookmarkStart w:id="2" w:name="_Toc20250"/>
      <w:r>
        <w:rPr>
          <w:rFonts w:hint="eastAsia"/>
          <w:color w:val="auto"/>
        </w:rPr>
        <w:t>一、采购项目</w:t>
      </w:r>
      <w:r>
        <w:rPr>
          <w:rFonts w:hint="eastAsia"/>
          <w:color w:val="auto"/>
          <w:lang w:val="en-US" w:eastAsia="zh-CN"/>
        </w:rPr>
        <w:t>基本信息</w:t>
      </w:r>
      <w:bookmarkEnd w:id="2"/>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1、采购项目名称：</w:t>
      </w:r>
      <w:r>
        <w:rPr>
          <w:rFonts w:hint="eastAsia" w:ascii="宋体" w:hAnsi="宋体" w:cs="宋体"/>
          <w:color w:val="auto"/>
          <w:sz w:val="24"/>
          <w:highlight w:val="none"/>
          <w:u w:val="single"/>
          <w:lang w:eastAsia="zh-CN"/>
        </w:rPr>
        <w:t>教室课桌椅更换项目</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2、政府采购计划编号：</w:t>
      </w:r>
      <w:r>
        <w:rPr>
          <w:rFonts w:hint="eastAsia" w:ascii="宋体" w:hAnsi="宋体" w:cs="宋体"/>
          <w:color w:val="auto"/>
          <w:sz w:val="24"/>
          <w:highlight w:val="none"/>
          <w:u w:val="single"/>
          <w:lang w:val="en-US" w:eastAsia="zh-CN"/>
        </w:rPr>
        <w:t>(2026)431000000069-1</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3、</w:t>
      </w:r>
      <w:r>
        <w:rPr>
          <w:rFonts w:hint="eastAsia" w:asciiTheme="minorEastAsia" w:hAnsiTheme="minorEastAsia" w:eastAsiaTheme="minorEastAsia"/>
          <w:color w:val="auto"/>
          <w:sz w:val="24"/>
          <w:lang w:eastAsia="zh-CN"/>
        </w:rPr>
        <w:t>委托代理编号</w:t>
      </w:r>
      <w:r>
        <w:rPr>
          <w:rFonts w:hint="eastAsia" w:asciiTheme="minorEastAsia" w:hAnsiTheme="minorEastAsia" w:eastAsiaTheme="minorEastAsia"/>
          <w:color w:val="auto"/>
          <w:sz w:val="24"/>
        </w:rPr>
        <w:t>：</w:t>
      </w:r>
      <w:r>
        <w:rPr>
          <w:rFonts w:hint="eastAsia" w:ascii="宋体" w:hAnsi="宋体" w:cs="宋体"/>
          <w:color w:val="auto"/>
          <w:sz w:val="24"/>
          <w:highlight w:val="none"/>
          <w:u w:val="single"/>
          <w:lang w:eastAsia="zh-CN"/>
        </w:rPr>
        <w:t>CZGA-2026-018</w:t>
      </w:r>
    </w:p>
    <w:p>
      <w:pPr>
        <w:adjustRightInd w:val="0"/>
        <w:snapToGrid w:val="0"/>
        <w:spacing w:line="5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4、采购项目预算：</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1429200.00</w:t>
      </w:r>
    </w:p>
    <w:p>
      <w:pPr>
        <w:adjustRightInd w:val="0"/>
        <w:snapToGrid w:val="0"/>
        <w:spacing w:line="500" w:lineRule="exact"/>
        <w:ind w:firstLine="720" w:firstLineChars="300"/>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支持预付款，预付比例：</w:t>
      </w:r>
      <w:r>
        <w:rPr>
          <w:rFonts w:hint="eastAsia" w:ascii="宋体" w:hAnsi="宋体" w:eastAsia="宋体" w:cs="宋体"/>
          <w:color w:val="auto"/>
          <w:sz w:val="24"/>
          <w:highlight w:val="none"/>
          <w:u w:val="single"/>
          <w:lang w:val="en-US" w:eastAsia="zh-CN"/>
        </w:rPr>
        <w:t xml:space="preserve"> /   </w:t>
      </w:r>
    </w:p>
    <w:p>
      <w:pPr>
        <w:adjustRightInd w:val="0"/>
        <w:snapToGrid w:val="0"/>
        <w:spacing w:line="5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5、本项目对应的中小企业划分标准所属行业：</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工业</w:t>
      </w:r>
      <w:r>
        <w:rPr>
          <w:rFonts w:hint="eastAsia" w:ascii="宋体" w:hAnsi="宋体" w:cs="宋体"/>
          <w:b/>
          <w:bCs/>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Theme="minorEastAsia" w:hAnsiTheme="minorEastAsia" w:eastAsiaTheme="minorEastAsia"/>
          <w:color w:val="auto"/>
          <w:sz w:val="24"/>
        </w:rPr>
        <w:t xml:space="preserve"> </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6、评标方法：</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 xml:space="preserve">综合评分法 </w:t>
      </w:r>
      <w:r>
        <w:rPr>
          <w:rFonts w:hint="eastAsia" w:asciiTheme="minorEastAsia" w:hAnsiTheme="minorEastAsia" w:eastAsiaTheme="minorEastAsia"/>
          <w:color w:val="auto"/>
          <w:sz w:val="24"/>
        </w:rPr>
        <w:sym w:font="Wingdings" w:char="00FE"/>
      </w:r>
      <w:r>
        <w:rPr>
          <w:rFonts w:hint="eastAsia" w:asciiTheme="minorEastAsia" w:hAnsiTheme="minorEastAsia" w:eastAsiaTheme="minorEastAsia"/>
          <w:color w:val="auto"/>
          <w:sz w:val="24"/>
        </w:rPr>
        <w:t>最低评标价法</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7、合同定价方式：</w:t>
      </w:r>
      <w:r>
        <w:rPr>
          <w:rFonts w:hint="eastAsia" w:asciiTheme="minorEastAsia" w:hAnsiTheme="minorEastAsia" w:eastAsiaTheme="minorEastAsia"/>
          <w:color w:val="auto"/>
          <w:sz w:val="24"/>
        </w:rPr>
        <w:sym w:font="Wingdings" w:char="00FE"/>
      </w:r>
      <w:r>
        <w:rPr>
          <w:rFonts w:hint="eastAsia" w:asciiTheme="minorEastAsia" w:hAnsiTheme="minorEastAsia" w:eastAsiaTheme="minorEastAsia"/>
          <w:color w:val="auto"/>
          <w:sz w:val="24"/>
        </w:rPr>
        <w:t xml:space="preserve">固定总价 </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 xml:space="preserve">固定单价 </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 xml:space="preserve">成本补偿 </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绩效激励</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u w:val="single"/>
        </w:rPr>
      </w:pPr>
      <w:r>
        <w:rPr>
          <w:rFonts w:hint="eastAsia" w:asciiTheme="minorEastAsia" w:hAnsiTheme="minorEastAsia" w:eastAsiaTheme="minorEastAsia"/>
          <w:color w:val="auto"/>
          <w:sz w:val="24"/>
        </w:rPr>
        <w:t>8、合同履行期限：</w:t>
      </w:r>
      <w:r>
        <w:rPr>
          <w:rFonts w:hint="eastAsia" w:ascii="宋体" w:hAnsi="宋体" w:eastAsia="宋体" w:cs="宋体"/>
          <w:color w:val="auto"/>
          <w:highlight w:val="none"/>
          <w:u w:val="single"/>
          <w:lang w:val="en-US" w:eastAsia="zh-CN"/>
        </w:rPr>
        <w:t>合同签订后，</w:t>
      </w:r>
      <w:r>
        <w:rPr>
          <w:rFonts w:hint="eastAsia" w:ascii="宋体" w:hAnsi="宋体" w:cs="宋体"/>
          <w:color w:val="auto"/>
          <w:highlight w:val="none"/>
          <w:u w:val="single"/>
          <w:lang w:val="en-US" w:eastAsia="zh-CN"/>
        </w:rPr>
        <w:t>1个月</w:t>
      </w:r>
      <w:r>
        <w:rPr>
          <w:rFonts w:hint="eastAsia" w:ascii="宋体" w:hAnsi="宋体" w:eastAsia="宋体" w:cs="宋体"/>
          <w:color w:val="auto"/>
          <w:highlight w:val="none"/>
          <w:u w:val="single"/>
          <w:lang w:val="en-US" w:eastAsia="zh-CN"/>
        </w:rPr>
        <w:t>内交付使用</w:t>
      </w:r>
    </w:p>
    <w:p>
      <w:pPr>
        <w:keepNext w:val="0"/>
        <w:keepLines w:val="0"/>
        <w:pageBreakBefore w:val="0"/>
        <w:kinsoku/>
        <w:overflowPunct/>
        <w:bidi w:val="0"/>
        <w:adjustRightInd w:val="0"/>
        <w:snapToGrid w:val="0"/>
        <w:spacing w:line="500" w:lineRule="exact"/>
        <w:ind w:firstLine="482" w:firstLineChars="200"/>
        <w:textAlignment w:val="auto"/>
        <w:rPr>
          <w:rFonts w:hint="eastAsia" w:asciiTheme="minorEastAsia" w:hAnsiTheme="minorEastAsia" w:eastAsiaTheme="minorEastAsia"/>
          <w:b/>
          <w:bCs/>
          <w:color w:val="auto"/>
          <w:sz w:val="24"/>
          <w:lang w:eastAsia="zh-CN"/>
        </w:rPr>
      </w:pPr>
      <w:r>
        <w:rPr>
          <w:rFonts w:hint="eastAsia" w:asciiTheme="minorEastAsia" w:hAnsiTheme="minorEastAsia" w:eastAsiaTheme="minorEastAsia"/>
          <w:b/>
          <w:bCs/>
          <w:color w:val="auto"/>
          <w:sz w:val="24"/>
          <w:lang w:val="en-US" w:eastAsia="zh-CN"/>
        </w:rPr>
        <w:t>9、根据《关于进一步优化政府采购领域营商环境的通知》郴财采资〔2024〕6号文件精神，</w:t>
      </w:r>
      <w:r>
        <w:rPr>
          <w:rFonts w:hint="eastAsia" w:asciiTheme="minorEastAsia" w:hAnsiTheme="minorEastAsia" w:eastAsiaTheme="minorEastAsia"/>
          <w:b/>
          <w:bCs/>
          <w:color w:val="auto"/>
          <w:sz w:val="24"/>
        </w:rPr>
        <w:t>本项目</w:t>
      </w:r>
      <w:r>
        <w:rPr>
          <w:rFonts w:hint="eastAsia" w:asciiTheme="minorEastAsia" w:hAnsiTheme="minorEastAsia" w:eastAsiaTheme="minorEastAsia"/>
          <w:b/>
          <w:bCs/>
          <w:color w:val="auto"/>
          <w:sz w:val="24"/>
          <w:lang w:eastAsia="zh-CN"/>
        </w:rPr>
        <w:t>取消投标保证金及履约保证金。</w:t>
      </w:r>
    </w:p>
    <w:p>
      <w:pPr>
        <w:pStyle w:val="5"/>
        <w:bidi w:val="0"/>
        <w:rPr>
          <w:color w:val="auto"/>
        </w:rPr>
      </w:pPr>
      <w:bookmarkStart w:id="3" w:name="_Toc19620"/>
      <w:r>
        <w:rPr>
          <w:rFonts w:hint="eastAsia"/>
          <w:color w:val="auto"/>
        </w:rPr>
        <w:t>二、采购人的采购需求（按包）</w:t>
      </w:r>
      <w:bookmarkEnd w:id="3"/>
    </w:p>
    <w:tbl>
      <w:tblPr>
        <w:tblStyle w:val="43"/>
        <w:tblW w:w="9705" w:type="dxa"/>
        <w:tblInd w:w="108"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852"/>
        <w:gridCol w:w="1904"/>
        <w:gridCol w:w="2094"/>
        <w:gridCol w:w="1085"/>
        <w:gridCol w:w="1832"/>
        <w:gridCol w:w="1938"/>
      </w:tblGrid>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158" w:hRule="atLeast"/>
        </w:trPr>
        <w:tc>
          <w:tcPr>
            <w:tcW w:w="852" w:type="dxa"/>
            <w:tcBorders>
              <w:righ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904" w:type="dxa"/>
            <w:tcBorders>
              <w:lef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包名称</w:t>
            </w:r>
          </w:p>
        </w:tc>
        <w:tc>
          <w:tcPr>
            <w:tcW w:w="2094" w:type="dxa"/>
            <w:tcBorders>
              <w:righ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采购项目简要说明（简要技术要求）</w:t>
            </w:r>
          </w:p>
        </w:tc>
        <w:tc>
          <w:tcPr>
            <w:tcW w:w="1085" w:type="dxa"/>
            <w:tcBorders>
              <w:left w:val="single" w:color="auto" w:sz="4" w:space="0"/>
              <w:righ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1832" w:type="dxa"/>
            <w:tcBorders>
              <w:left w:val="single" w:color="auto" w:sz="4" w:space="0"/>
              <w:righ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采购项目预算</w:t>
            </w:r>
          </w:p>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（元人民币）</w:t>
            </w:r>
          </w:p>
        </w:tc>
        <w:tc>
          <w:tcPr>
            <w:tcW w:w="1938" w:type="dxa"/>
            <w:tcBorders>
              <w:lef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采购项目最高限价</w:t>
            </w:r>
          </w:p>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（元人民币）</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172" w:hRule="atLeast"/>
        </w:trPr>
        <w:tc>
          <w:tcPr>
            <w:tcW w:w="852" w:type="dxa"/>
            <w:tcBorders>
              <w:righ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w:t>
            </w:r>
          </w:p>
        </w:tc>
        <w:tc>
          <w:tcPr>
            <w:tcW w:w="1904" w:type="dxa"/>
            <w:tcBorders>
              <w:lef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教室课桌椅更换项目</w:t>
            </w:r>
          </w:p>
        </w:tc>
        <w:tc>
          <w:tcPr>
            <w:tcW w:w="2094" w:type="dxa"/>
            <w:tcBorders>
              <w:righ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详见招标文件第五章</w:t>
            </w:r>
          </w:p>
        </w:tc>
        <w:tc>
          <w:tcPr>
            <w:tcW w:w="1085" w:type="dxa"/>
            <w:tcBorders>
              <w:left w:val="single" w:color="auto" w:sz="4" w:space="0"/>
              <w:righ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1批</w:t>
            </w:r>
          </w:p>
        </w:tc>
        <w:tc>
          <w:tcPr>
            <w:tcW w:w="1832" w:type="dxa"/>
            <w:tcBorders>
              <w:left w:val="single" w:color="auto" w:sz="4" w:space="0"/>
              <w:righ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4"/>
                <w:highlight w:val="none"/>
                <w:u w:val="none"/>
                <w:lang w:val="en-US" w:eastAsia="zh-CN"/>
              </w:rPr>
              <w:t>1429200.00</w:t>
            </w:r>
          </w:p>
        </w:tc>
        <w:tc>
          <w:tcPr>
            <w:tcW w:w="1938" w:type="dxa"/>
            <w:tcBorders>
              <w:lef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4"/>
                <w:highlight w:val="none"/>
                <w:u w:val="none"/>
                <w:lang w:val="en-US" w:eastAsia="zh-CN"/>
              </w:rPr>
              <w:t>1429200.00</w:t>
            </w:r>
          </w:p>
        </w:tc>
      </w:tr>
    </w:tbl>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说明：</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1.</w:t>
      </w:r>
      <w:r>
        <w:rPr>
          <w:rFonts w:hint="eastAsia" w:asciiTheme="minorEastAsia" w:hAnsiTheme="minorEastAsia" w:eastAsiaTheme="minorEastAsia"/>
          <w:color w:val="auto"/>
          <w:sz w:val="24"/>
        </w:rPr>
        <w:t>节能产品实行强制采购的，需提供国家认证机构出具的、处于有效期内的节能产品证书。</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2.</w:t>
      </w:r>
      <w:r>
        <w:rPr>
          <w:rFonts w:hint="eastAsia" w:asciiTheme="minorEastAsia" w:hAnsiTheme="minorEastAsia" w:eastAsiaTheme="minorEastAsia"/>
          <w:color w:val="auto"/>
          <w:sz w:val="24"/>
        </w:rPr>
        <w:t>同意购买进口产品的，不限制满足采购需求的国内产品参与投标。</w:t>
      </w:r>
    </w:p>
    <w:p>
      <w:pPr>
        <w:pStyle w:val="5"/>
        <w:bidi w:val="0"/>
        <w:rPr>
          <w:rFonts w:hint="eastAsia" w:asciiTheme="minorEastAsia" w:hAnsiTheme="minorEastAsia" w:eastAsiaTheme="minorEastAsia"/>
          <w:color w:val="auto"/>
          <w:sz w:val="24"/>
        </w:rPr>
      </w:pPr>
      <w:bookmarkStart w:id="4" w:name="_Toc11204"/>
      <w:r>
        <w:rPr>
          <w:rFonts w:hint="eastAsia" w:asciiTheme="minorEastAsia" w:hAnsiTheme="minorEastAsia" w:eastAsiaTheme="minorEastAsia"/>
          <w:b/>
          <w:color w:val="auto"/>
          <w:sz w:val="24"/>
        </w:rPr>
        <w:t>三、采购项目需落实的政府采购政策：</w:t>
      </w:r>
      <w:r>
        <w:rPr>
          <w:rFonts w:hint="eastAsia" w:asciiTheme="minorEastAsia" w:hAnsiTheme="minorEastAsia" w:eastAsiaTheme="minorEastAsia"/>
          <w:color w:val="auto"/>
          <w:sz w:val="24"/>
        </w:rPr>
        <w:t>(说明：应根据采购项目特点选择以下内容)：</w:t>
      </w:r>
      <w:bookmarkEnd w:id="4"/>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□强制采购：政府采购实行强制采购的节能产品。</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□优先采购：政府采购鼓励采购节能环保产品。</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□价格评审优惠：政府采购促进小微企业发展（包括政府采购支持监狱企业发展、政府采购促进残疾人就业）。</w:t>
      </w:r>
    </w:p>
    <w:p>
      <w:pPr>
        <w:pStyle w:val="5"/>
        <w:bidi w:val="0"/>
        <w:rPr>
          <w:color w:val="auto"/>
        </w:rPr>
      </w:pPr>
      <w:bookmarkStart w:id="5" w:name="_Toc28510"/>
      <w:r>
        <w:rPr>
          <w:rFonts w:hint="eastAsia"/>
          <w:color w:val="auto"/>
          <w:lang w:val="en-US" w:eastAsia="zh-CN"/>
        </w:rPr>
        <w:t>四</w:t>
      </w:r>
      <w:r>
        <w:rPr>
          <w:rFonts w:hint="eastAsia"/>
          <w:color w:val="auto"/>
        </w:rPr>
        <w:t>、投标人的资格要求：</w:t>
      </w:r>
      <w:bookmarkEnd w:id="5"/>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1、投标人的基本资格条件：投标人必须是在中华人民共和国境内注册登记的法人、其他组织或者自然人，且应当符合《政府采购法》第二十二条第一款的规定，即：</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（1）具有独立承担民事责任的能力；</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（2）具有良好的商业信誉和健全的财务会计制度；</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（3）具有履行合同所必需的设备和专业技术能力；</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（4）有依法缴纳税收和社会保障资金的良好记录；</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（5）参加政府采购活动前三年内，在经营活动中没有重大违法记录；</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（6）法律、行政法规规定的其他条件。</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2、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3</w:t>
      </w:r>
      <w:r>
        <w:rPr>
          <w:rFonts w:hint="eastAsia" w:asciiTheme="minorEastAsia" w:hAnsiTheme="minorEastAsia" w:eastAsiaTheme="minorEastAsia"/>
          <w:color w:val="auto"/>
          <w:sz w:val="24"/>
        </w:rPr>
        <w:t>、落实政府采购政策需满足的资格要求：</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hint="eastAsia" w:asciiTheme="minorEastAsia" w:hAnsiTheme="minorEastAsia" w:eastAsiaTheme="minorEastAsia"/>
          <w:color w:val="auto"/>
          <w:sz w:val="24"/>
        </w:rPr>
        <w:sym w:font="Wingdings" w:char="00FE"/>
      </w:r>
      <w:r>
        <w:rPr>
          <w:rFonts w:hint="eastAsia" w:asciiTheme="minorEastAsia" w:hAnsiTheme="minorEastAsia" w:eastAsiaTheme="minorEastAsia"/>
          <w:color w:val="auto"/>
          <w:sz w:val="24"/>
          <w:lang w:val="en-US" w:eastAsia="zh-CN"/>
        </w:rPr>
        <w:t>专门面向</w:t>
      </w:r>
      <w:r>
        <w:rPr>
          <w:rFonts w:hint="eastAsia" w:asciiTheme="minorEastAsia" w:hAnsiTheme="minorEastAsia" w:eastAsiaTheme="minorEastAsia"/>
          <w:color w:val="auto"/>
          <w:sz w:val="24"/>
          <w:lang w:eastAsia="zh-CN"/>
        </w:rPr>
        <w:t>：</w:t>
      </w:r>
      <w:r>
        <w:rPr>
          <w:rFonts w:hint="eastAsia" w:asciiTheme="minorEastAsia" w:hAnsiTheme="minorEastAsia" w:eastAsiaTheme="minorEastAsia"/>
          <w:color w:val="auto"/>
          <w:sz w:val="24"/>
        </w:rPr>
        <w:sym w:font="Wingdings" w:char="00FE"/>
      </w:r>
      <w:r>
        <w:rPr>
          <w:rFonts w:hint="eastAsia" w:asciiTheme="minorEastAsia" w:hAnsiTheme="minorEastAsia" w:eastAsiaTheme="minorEastAsia"/>
          <w:color w:val="auto"/>
          <w:sz w:val="24"/>
        </w:rPr>
        <w:t>中</w:t>
      </w:r>
      <w:r>
        <w:rPr>
          <w:rFonts w:hint="eastAsia" w:asciiTheme="minorEastAsia" w:hAnsiTheme="minorEastAsia" w:eastAsiaTheme="minorEastAsia"/>
          <w:color w:val="auto"/>
          <w:sz w:val="24"/>
          <w:lang w:val="en-US" w:eastAsia="zh-CN"/>
        </w:rPr>
        <w:t>小</w:t>
      </w:r>
      <w:r>
        <w:rPr>
          <w:rFonts w:hint="eastAsia" w:asciiTheme="minorEastAsia" w:hAnsiTheme="minorEastAsia" w:eastAsiaTheme="minorEastAsia"/>
          <w:color w:val="auto"/>
          <w:sz w:val="24"/>
        </w:rPr>
        <w:t xml:space="preserve">企业  </w:t>
      </w:r>
      <w:r>
        <w:rPr>
          <w:rFonts w:hint="eastAsia" w:asciiTheme="minorEastAsia" w:hAnsiTheme="minorEastAsia" w:eastAsiaTheme="minorEastAsia"/>
          <w:color w:val="auto"/>
          <w:sz w:val="24"/>
        </w:rPr>
        <w:sym w:font="Wingdings" w:char="00FE"/>
      </w:r>
      <w:r>
        <w:rPr>
          <w:rFonts w:hint="eastAsia" w:asciiTheme="minorEastAsia" w:hAnsiTheme="minorEastAsia" w:eastAsiaTheme="minorEastAsia"/>
          <w:color w:val="auto"/>
          <w:sz w:val="24"/>
        </w:rPr>
        <w:t xml:space="preserve">小微企业 </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 xml:space="preserve">监狱企业 </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福利性单位。</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强制分包</w:t>
      </w:r>
      <w:r>
        <w:rPr>
          <w:rFonts w:hint="eastAsia" w:asciiTheme="minorEastAsia" w:hAnsiTheme="minorEastAsia" w:eastAsiaTheme="minorEastAsia"/>
          <w:color w:val="auto"/>
          <w:sz w:val="24"/>
          <w:lang w:eastAsia="zh-CN"/>
        </w:rPr>
        <w:t>：</w:t>
      </w:r>
      <w:r>
        <w:rPr>
          <w:rFonts w:hint="eastAsia" w:asciiTheme="minorEastAsia" w:hAnsiTheme="minorEastAsia" w:eastAsiaTheme="minorEastAsia"/>
          <w:color w:val="auto"/>
          <w:sz w:val="24"/>
        </w:rPr>
        <w:t>大型企业应将采购份额</w:t>
      </w:r>
      <w:r>
        <w:rPr>
          <w:rFonts w:hint="eastAsia" w:asciiTheme="minorEastAsia" w:hAnsiTheme="minorEastAsia" w:eastAsiaTheme="minorEastAsia"/>
          <w:color w:val="auto"/>
          <w:sz w:val="24"/>
          <w:lang w:val="en-US" w:eastAsia="zh-CN"/>
        </w:rPr>
        <w:t>的</w:t>
      </w:r>
      <w:r>
        <w:rPr>
          <w:rFonts w:hint="eastAsia" w:asciiTheme="minorEastAsia" w:hAnsiTheme="minorEastAsia" w:eastAsiaTheme="minorEastAsia"/>
          <w:color w:val="auto"/>
          <w:sz w:val="24"/>
          <w:u w:val="single"/>
          <w:lang w:val="en-US" w:eastAsia="zh-CN"/>
        </w:rPr>
        <w:t xml:space="preserve">  / </w:t>
      </w:r>
      <w:r>
        <w:rPr>
          <w:rFonts w:hint="eastAsia" w:asciiTheme="minorEastAsia" w:hAnsiTheme="minorEastAsia" w:eastAsiaTheme="minorEastAsia"/>
          <w:color w:val="auto"/>
          <w:sz w:val="24"/>
        </w:rPr>
        <w:t>%分包给中小企业。</w:t>
      </w:r>
    </w:p>
    <w:p>
      <w:pPr>
        <w:adjustRightInd w:val="0"/>
        <w:snapToGrid w:val="0"/>
        <w:spacing w:line="500" w:lineRule="exact"/>
        <w:ind w:firstLine="480" w:firstLineChars="200"/>
        <w:rPr>
          <w:rFonts w:hint="eastAsia" w:ascii="宋体" w:hAnsi="宋体" w:cs="宋体"/>
          <w:b/>
          <w:bCs/>
          <w:color w:val="auto"/>
          <w:szCs w:val="21"/>
          <w:highlight w:val="none"/>
          <w:lang w:val="en-US" w:eastAsia="zh-CN"/>
        </w:rPr>
      </w:pPr>
      <w:r>
        <w:rPr>
          <w:rFonts w:hint="eastAsia" w:ascii="宋体" w:hAnsi="宋体" w:eastAsia="宋体" w:cs="宋体"/>
          <w:color w:val="auto"/>
          <w:sz w:val="24"/>
          <w:highlight w:val="none"/>
        </w:rPr>
        <w:t>4、</w:t>
      </w:r>
      <w:r>
        <w:rPr>
          <w:rFonts w:hint="eastAsia" w:ascii="宋体" w:hAnsi="宋体" w:eastAsia="宋体" w:cs="宋体"/>
          <w:b/>
          <w:bCs/>
          <w:color w:val="auto"/>
          <w:szCs w:val="21"/>
          <w:highlight w:val="none"/>
        </w:rPr>
        <w:t>采购项目的特定资格条件：</w:t>
      </w:r>
      <w:r>
        <w:rPr>
          <w:rFonts w:hint="eastAsia" w:ascii="宋体" w:hAnsi="宋体" w:cs="宋体"/>
          <w:b/>
          <w:bCs/>
          <w:color w:val="auto"/>
          <w:szCs w:val="21"/>
          <w:highlight w:val="none"/>
          <w:lang w:val="en-US" w:eastAsia="zh-CN"/>
        </w:rPr>
        <w:t>无</w:t>
      </w:r>
      <w:bookmarkStart w:id="158" w:name="_GoBack"/>
      <w:bookmarkEnd w:id="158"/>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rPr>
        <w:t>、单位负责人为同一人或者存在直接控股、管理关系的不同投标人，不得参加同一合同项下的政府采购活动。</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6</w:t>
      </w:r>
      <w:r>
        <w:rPr>
          <w:rFonts w:hint="eastAsia" w:asciiTheme="minorEastAsia" w:hAnsiTheme="minorEastAsia" w:eastAsiaTheme="minorEastAsia"/>
          <w:color w:val="auto"/>
          <w:sz w:val="24"/>
        </w:rPr>
        <w:t>、为本采购项目提供整体设计、规范编制或者项目管理、监理、检测等服务的，不得再参加此项目的其他招标采购活动。</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7</w:t>
      </w:r>
      <w:r>
        <w:rPr>
          <w:rFonts w:hint="eastAsia" w:asciiTheme="minorEastAsia" w:hAnsiTheme="minorEastAsia" w:eastAsiaTheme="minorEastAsia"/>
          <w:color w:val="auto"/>
          <w:sz w:val="24"/>
        </w:rPr>
        <w:t>、联合体投标。本次招标</w:t>
      </w:r>
      <w:r>
        <w:rPr>
          <w:rFonts w:hint="eastAsia" w:asciiTheme="minorEastAsia" w:hAnsiTheme="minorEastAsia" w:eastAsiaTheme="minorEastAsia"/>
          <w:color w:val="auto"/>
          <w:sz w:val="24"/>
          <w:lang w:val="en-US" w:eastAsia="zh-CN"/>
        </w:rPr>
        <w:t xml:space="preserve"> </w:t>
      </w:r>
      <w:r>
        <w:rPr>
          <w:rFonts w:hint="eastAsia" w:asciiTheme="minorEastAsia" w:hAnsiTheme="minorEastAsia" w:eastAsiaTheme="minorEastAsia"/>
          <w:color w:val="auto"/>
          <w:sz w:val="24"/>
          <w:u w:val="single"/>
          <w:lang w:val="en-US" w:eastAsia="zh-CN"/>
        </w:rPr>
        <w:t>不接受</w:t>
      </w:r>
      <w:r>
        <w:rPr>
          <w:rFonts w:hint="eastAsia" w:asciiTheme="minorEastAsia" w:hAnsiTheme="minorEastAsia" w:eastAsiaTheme="minorEastAsia"/>
          <w:color w:val="auto"/>
          <w:sz w:val="24"/>
        </w:rPr>
        <w:t>(接受或不接受)联合体投标。接受联合体投标的，联合体应当具备下列条件：</w:t>
      </w:r>
      <w:r>
        <w:rPr>
          <w:rFonts w:hint="eastAsia" w:asciiTheme="minorEastAsia" w:hAnsiTheme="minorEastAsia" w:eastAsiaTheme="minorEastAsia"/>
          <w:color w:val="auto"/>
          <w:sz w:val="24"/>
          <w:u w:val="single"/>
          <w:lang w:val="en-US" w:eastAsia="zh-CN"/>
        </w:rPr>
        <w:t xml:space="preserve"> / </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 xml:space="preserve"> </w:t>
      </w:r>
    </w:p>
    <w:p>
      <w:pPr>
        <w:pStyle w:val="5"/>
        <w:bidi w:val="0"/>
        <w:rPr>
          <w:color w:val="auto"/>
        </w:rPr>
      </w:pPr>
      <w:bookmarkStart w:id="6" w:name="_Toc2319"/>
      <w:r>
        <w:rPr>
          <w:rFonts w:hint="eastAsia"/>
          <w:color w:val="auto"/>
          <w:lang w:val="en-US" w:eastAsia="zh-CN"/>
        </w:rPr>
        <w:t>五</w:t>
      </w:r>
      <w:r>
        <w:rPr>
          <w:rFonts w:hint="eastAsia"/>
          <w:color w:val="auto"/>
        </w:rPr>
        <w:t>、获取电子招标文件的时间、期限、方式</w:t>
      </w:r>
      <w:bookmarkEnd w:id="6"/>
    </w:p>
    <w:p>
      <w:pPr>
        <w:keepNext w:val="0"/>
        <w:keepLines w:val="0"/>
        <w:pageBreakBefore w:val="0"/>
        <w:tabs>
          <w:tab w:val="left" w:pos="3500"/>
        </w:tabs>
        <w:kinsoku/>
        <w:overflowPunct/>
        <w:autoSpaceDE w:val="0"/>
        <w:autoSpaceDN w:val="0"/>
        <w:bidi w:val="0"/>
        <w:adjustRightInd w:val="0"/>
        <w:snapToGrid w:val="0"/>
        <w:spacing w:line="500" w:lineRule="exact"/>
        <w:ind w:firstLine="480" w:firstLineChars="200"/>
        <w:jc w:val="left"/>
        <w:textAlignment w:val="auto"/>
        <w:rPr>
          <w:rFonts w:asciiTheme="minorEastAsia" w:hAnsiTheme="minorEastAsia" w:eastAsiaTheme="minorEastAsia"/>
          <w:color w:val="auto"/>
          <w:kern w:val="0"/>
          <w:sz w:val="24"/>
        </w:rPr>
      </w:pPr>
      <w:r>
        <w:rPr>
          <w:rFonts w:hint="eastAsia" w:asciiTheme="minorEastAsia" w:hAnsiTheme="minorEastAsia" w:eastAsiaTheme="minorEastAsia"/>
          <w:color w:val="auto"/>
          <w:kern w:val="0"/>
          <w:sz w:val="24"/>
        </w:rPr>
        <w:t>1</w:t>
      </w:r>
      <w:r>
        <w:rPr>
          <w:rFonts w:hint="eastAsia" w:asciiTheme="minorEastAsia" w:hAnsiTheme="minorEastAsia" w:eastAsiaTheme="minorEastAsia"/>
          <w:color w:val="auto"/>
          <w:kern w:val="0"/>
          <w:sz w:val="24"/>
          <w:lang w:eastAsia="zh-CN"/>
        </w:rPr>
        <w:t>、</w:t>
      </w:r>
      <w:r>
        <w:rPr>
          <w:rFonts w:hint="eastAsia" w:asciiTheme="minorEastAsia" w:hAnsiTheme="minorEastAsia" w:eastAsiaTheme="minorEastAsia"/>
          <w:color w:val="auto"/>
          <w:kern w:val="0"/>
          <w:sz w:val="24"/>
        </w:rPr>
        <w:t>凡符</w:t>
      </w:r>
      <w:r>
        <w:rPr>
          <w:rFonts w:hint="eastAsia" w:asciiTheme="minorEastAsia" w:hAnsiTheme="minorEastAsia" w:eastAsiaTheme="minorEastAsia"/>
          <w:color w:val="auto"/>
          <w:sz w:val="24"/>
        </w:rPr>
        <w:t>合投标资格要求并有意参加投标者，可在公告发布之日起至提交投标文件截止之日通过郴州</w:t>
      </w:r>
      <w:r>
        <w:rPr>
          <w:rFonts w:hint="eastAsia" w:asciiTheme="minorEastAsia" w:hAnsiTheme="minorEastAsia" w:eastAsiaTheme="minorEastAsia"/>
          <w:color w:val="auto"/>
          <w:kern w:val="0"/>
          <w:sz w:val="24"/>
        </w:rPr>
        <w:t>市公共资源交易中心(</w:t>
      </w:r>
      <w:r>
        <w:rPr>
          <w:rFonts w:asciiTheme="minorEastAsia" w:hAnsiTheme="minorEastAsia" w:eastAsiaTheme="minorEastAsia"/>
          <w:color w:val="auto"/>
          <w:kern w:val="0"/>
          <w:sz w:val="24"/>
        </w:rPr>
        <w:t>http://czggzy.czs.gov.cn/</w:t>
      </w:r>
      <w:r>
        <w:rPr>
          <w:rFonts w:hint="eastAsia" w:asciiTheme="minorEastAsia" w:hAnsiTheme="minorEastAsia" w:eastAsiaTheme="minorEastAsia"/>
          <w:color w:val="auto"/>
          <w:kern w:val="0"/>
          <w:sz w:val="24"/>
        </w:rPr>
        <w:t>)免费获取电子招标文件。</w:t>
      </w:r>
    </w:p>
    <w:p>
      <w:pPr>
        <w:keepNext w:val="0"/>
        <w:keepLines w:val="0"/>
        <w:pageBreakBefore w:val="0"/>
        <w:tabs>
          <w:tab w:val="left" w:pos="3500"/>
        </w:tabs>
        <w:kinsoku/>
        <w:overflowPunct/>
        <w:autoSpaceDE w:val="0"/>
        <w:autoSpaceDN w:val="0"/>
        <w:bidi w:val="0"/>
        <w:adjustRightInd w:val="0"/>
        <w:snapToGrid w:val="0"/>
        <w:spacing w:line="500" w:lineRule="exact"/>
        <w:ind w:firstLine="480" w:firstLineChars="200"/>
        <w:jc w:val="left"/>
        <w:textAlignment w:val="auto"/>
        <w:rPr>
          <w:rFonts w:ascii="宋体" w:hAnsi="宋体"/>
          <w:color w:val="auto"/>
          <w:sz w:val="24"/>
        </w:rPr>
      </w:pPr>
      <w:r>
        <w:rPr>
          <w:rFonts w:hint="eastAsia" w:asciiTheme="minorEastAsia" w:hAnsiTheme="minorEastAsia" w:eastAsiaTheme="minorEastAsia"/>
          <w:color w:val="auto"/>
          <w:kern w:val="0"/>
          <w:sz w:val="24"/>
        </w:rPr>
        <w:t>2、公开招标文件及修改、澄清文件获取方式:投标人应在本项目获取招标文件截止时间前登录郴州市公共资源交易中心(</w:t>
      </w:r>
      <w:r>
        <w:rPr>
          <w:rFonts w:asciiTheme="minorEastAsia" w:hAnsiTheme="minorEastAsia" w:eastAsiaTheme="minorEastAsia"/>
          <w:color w:val="auto"/>
          <w:kern w:val="0"/>
          <w:sz w:val="24"/>
        </w:rPr>
        <w:t>http://czggzy.czs.gov.cn/</w:t>
      </w:r>
      <w:r>
        <w:rPr>
          <w:rFonts w:hint="eastAsia" w:asciiTheme="minorEastAsia" w:hAnsiTheme="minorEastAsia" w:eastAsiaTheme="minorEastAsia"/>
          <w:color w:val="auto"/>
          <w:kern w:val="0"/>
          <w:sz w:val="24"/>
        </w:rPr>
        <w:t>)中进入"政府采购交易系统进行“用户登录”“我要投标”“下载文件”操作，逾期将不能获取文件。修改、澄清后的招标文件请投标人</w:t>
      </w:r>
      <w:r>
        <w:rPr>
          <w:rFonts w:hint="eastAsia" w:asciiTheme="minorEastAsia" w:hAnsiTheme="minorEastAsia"/>
          <w:color w:val="auto"/>
          <w:kern w:val="0"/>
          <w:sz w:val="24"/>
        </w:rPr>
        <w:t>自行在以上网站下载或查阅</w:t>
      </w:r>
      <w:r>
        <w:rPr>
          <w:rFonts w:hint="eastAsia" w:asciiTheme="minorEastAsia" w:hAnsiTheme="minorEastAsia" w:eastAsiaTheme="minorEastAsia"/>
          <w:color w:val="auto"/>
          <w:kern w:val="0"/>
          <w:sz w:val="24"/>
        </w:rPr>
        <w:t>,恕不另行通知，如有遗漏投标人自行承担全部责任。</w:t>
      </w:r>
    </w:p>
    <w:p>
      <w:pPr>
        <w:keepNext w:val="0"/>
        <w:keepLines w:val="0"/>
        <w:pageBreakBefore w:val="0"/>
        <w:tabs>
          <w:tab w:val="left" w:pos="3500"/>
        </w:tabs>
        <w:kinsoku/>
        <w:overflowPunct/>
        <w:autoSpaceDE w:val="0"/>
        <w:autoSpaceDN w:val="0"/>
        <w:bidi w:val="0"/>
        <w:adjustRightInd w:val="0"/>
        <w:snapToGrid w:val="0"/>
        <w:spacing w:line="500" w:lineRule="exact"/>
        <w:ind w:firstLine="480" w:firstLineChars="200"/>
        <w:jc w:val="left"/>
        <w:textAlignment w:val="auto"/>
        <w:rPr>
          <w:rFonts w:ascii="宋体" w:hAnsi="宋体"/>
          <w:color w:val="auto"/>
          <w:sz w:val="24"/>
        </w:rPr>
      </w:pPr>
      <w:r>
        <w:rPr>
          <w:rFonts w:hint="eastAsia" w:asciiTheme="minorEastAsia" w:hAnsiTheme="minorEastAsia" w:eastAsiaTheme="minorEastAsia"/>
          <w:color w:val="auto"/>
          <w:kern w:val="0"/>
          <w:sz w:val="24"/>
        </w:rPr>
        <w:t>3、</w:t>
      </w:r>
      <w:r>
        <w:rPr>
          <w:rFonts w:hint="eastAsia" w:ascii="宋体" w:hAnsi="宋体"/>
          <w:color w:val="auto"/>
          <w:sz w:val="24"/>
        </w:rPr>
        <w:t>通过网络下载，其招标文件与备案的书面招标文件具有同等法律效力。投标人应及时关注网上相关招标信息，如有遗漏（包括但不限于文件未下载或下载不完整）招标人概不负责，所造成的投标失败或损失由投标人自行负责。</w:t>
      </w:r>
    </w:p>
    <w:p>
      <w:pPr>
        <w:pStyle w:val="5"/>
        <w:bidi w:val="0"/>
        <w:rPr>
          <w:color w:val="auto"/>
        </w:rPr>
      </w:pPr>
      <w:bookmarkStart w:id="7" w:name="_Toc14384"/>
      <w:r>
        <w:rPr>
          <w:rFonts w:hint="eastAsia"/>
          <w:color w:val="auto"/>
          <w:lang w:val="en-US" w:eastAsia="zh-CN"/>
        </w:rPr>
        <w:t>六</w:t>
      </w:r>
      <w:r>
        <w:rPr>
          <w:rFonts w:hint="eastAsia"/>
          <w:color w:val="auto"/>
        </w:rPr>
        <w:t>、投标截止时间、开标时间、开标地点</w:t>
      </w:r>
      <w:bookmarkEnd w:id="7"/>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1、提交投标文件的截止时间：</w:t>
      </w:r>
      <w:r>
        <w:rPr>
          <w:rFonts w:hint="eastAsia" w:asciiTheme="minorEastAsia" w:hAnsiTheme="minorEastAsia" w:eastAsiaTheme="minorEastAsia"/>
          <w:color w:val="auto"/>
          <w:sz w:val="24"/>
          <w:u w:val="single"/>
          <w:lang w:val="en-US" w:eastAsia="zh-CN"/>
        </w:rPr>
        <w:t>2026</w:t>
      </w:r>
      <w:r>
        <w:rPr>
          <w:rFonts w:hint="eastAsia" w:asciiTheme="minorEastAsia" w:hAnsiTheme="minorEastAsia" w:eastAsiaTheme="minorEastAsia"/>
          <w:color w:val="auto"/>
          <w:sz w:val="24"/>
        </w:rPr>
        <w:t>年</w:t>
      </w:r>
      <w:r>
        <w:rPr>
          <w:rFonts w:hint="eastAsia" w:asciiTheme="minorEastAsia" w:hAnsiTheme="minorEastAsia" w:eastAsiaTheme="minorEastAsia"/>
          <w:color w:val="auto"/>
          <w:sz w:val="24"/>
          <w:u w:val="single"/>
          <w:lang w:val="en-US" w:eastAsia="zh-CN"/>
        </w:rPr>
        <w:t xml:space="preserve"> 8</w:t>
      </w:r>
      <w:r>
        <w:rPr>
          <w:rFonts w:hint="eastAsia" w:asciiTheme="minorEastAsia" w:hAnsiTheme="minorEastAsia" w:eastAsiaTheme="minorEastAsia"/>
          <w:color w:val="auto"/>
          <w:sz w:val="24"/>
        </w:rPr>
        <w:t>月</w:t>
      </w:r>
      <w:r>
        <w:rPr>
          <w:rFonts w:hint="eastAsia" w:asciiTheme="minorEastAsia" w:hAnsiTheme="minorEastAsia" w:eastAsiaTheme="minorEastAsia"/>
          <w:color w:val="auto"/>
          <w:sz w:val="24"/>
          <w:u w:val="single"/>
          <w:lang w:val="en-US" w:eastAsia="zh-CN"/>
        </w:rPr>
        <w:t xml:space="preserve"> 25 </w:t>
      </w:r>
      <w:r>
        <w:rPr>
          <w:rFonts w:hint="eastAsia" w:asciiTheme="minorEastAsia" w:hAnsiTheme="minorEastAsia" w:eastAsiaTheme="minorEastAsia"/>
          <w:color w:val="auto"/>
          <w:sz w:val="24"/>
        </w:rPr>
        <w:t>日</w:t>
      </w:r>
      <w:r>
        <w:rPr>
          <w:rFonts w:hint="eastAsia" w:asciiTheme="minorEastAsia" w:hAnsiTheme="minorEastAsia" w:eastAsiaTheme="minorEastAsia"/>
          <w:color w:val="auto"/>
          <w:sz w:val="24"/>
          <w:u w:val="single"/>
          <w:lang w:val="en-US" w:eastAsia="zh-CN"/>
        </w:rPr>
        <w:t xml:space="preserve"> 9 </w:t>
      </w:r>
      <w:r>
        <w:rPr>
          <w:rFonts w:hint="eastAsia" w:asciiTheme="minorEastAsia" w:hAnsiTheme="minorEastAsia" w:eastAsiaTheme="minorEastAsia"/>
          <w:color w:val="auto"/>
          <w:sz w:val="24"/>
        </w:rPr>
        <w:t>时</w:t>
      </w:r>
      <w:r>
        <w:rPr>
          <w:rFonts w:hint="eastAsia" w:asciiTheme="minorEastAsia" w:hAnsiTheme="minorEastAsia" w:eastAsiaTheme="minorEastAsia"/>
          <w:color w:val="auto"/>
          <w:sz w:val="24"/>
          <w:u w:val="single"/>
          <w:lang w:val="en-US" w:eastAsia="zh-CN"/>
        </w:rPr>
        <w:t xml:space="preserve">  30  </w:t>
      </w:r>
      <w:r>
        <w:rPr>
          <w:rFonts w:hint="eastAsia" w:asciiTheme="minorEastAsia" w:hAnsiTheme="minorEastAsia" w:eastAsiaTheme="minorEastAsia"/>
          <w:color w:val="auto"/>
          <w:sz w:val="24"/>
        </w:rPr>
        <w:t>分（北京时间），</w:t>
      </w:r>
      <w:r>
        <w:rPr>
          <w:rFonts w:hint="eastAsia" w:ascii="宋体" w:hAnsi="宋体"/>
          <w:color w:val="auto"/>
          <w:sz w:val="24"/>
        </w:rPr>
        <w:t>超过截止时间的投标将被拒绝。</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2</w:t>
      </w:r>
      <w:r>
        <w:rPr>
          <w:rFonts w:hint="eastAsia" w:asciiTheme="minorEastAsia" w:hAnsiTheme="minorEastAsia" w:eastAsiaTheme="minorEastAsia"/>
          <w:color w:val="auto"/>
          <w:sz w:val="24"/>
        </w:rPr>
        <w:t>、开标时间：</w:t>
      </w:r>
      <w:r>
        <w:rPr>
          <w:rFonts w:hint="eastAsia" w:asciiTheme="minorEastAsia" w:hAnsiTheme="minorEastAsia" w:eastAsiaTheme="minorEastAsia"/>
          <w:color w:val="auto"/>
          <w:sz w:val="24"/>
          <w:u w:val="single"/>
          <w:lang w:val="en-US" w:eastAsia="zh-CN"/>
        </w:rPr>
        <w:t>2026</w:t>
      </w:r>
      <w:r>
        <w:rPr>
          <w:rFonts w:hint="eastAsia" w:asciiTheme="minorEastAsia" w:hAnsiTheme="minorEastAsia" w:eastAsiaTheme="minorEastAsia"/>
          <w:color w:val="auto"/>
          <w:sz w:val="24"/>
        </w:rPr>
        <w:t>年</w:t>
      </w:r>
      <w:r>
        <w:rPr>
          <w:rFonts w:hint="eastAsia" w:asciiTheme="minorEastAsia" w:hAnsiTheme="minorEastAsia" w:eastAsiaTheme="minorEastAsia"/>
          <w:color w:val="auto"/>
          <w:sz w:val="24"/>
          <w:u w:val="single"/>
          <w:lang w:val="en-US" w:eastAsia="zh-CN"/>
        </w:rPr>
        <w:t xml:space="preserve"> 8 </w:t>
      </w:r>
      <w:r>
        <w:rPr>
          <w:rFonts w:hint="eastAsia" w:asciiTheme="minorEastAsia" w:hAnsiTheme="minorEastAsia" w:eastAsiaTheme="minorEastAsia"/>
          <w:color w:val="auto"/>
          <w:sz w:val="24"/>
        </w:rPr>
        <w:t>月</w:t>
      </w:r>
      <w:r>
        <w:rPr>
          <w:rFonts w:hint="eastAsia" w:asciiTheme="minorEastAsia" w:hAnsiTheme="minorEastAsia" w:eastAsiaTheme="minorEastAsia"/>
          <w:color w:val="auto"/>
          <w:sz w:val="24"/>
          <w:u w:val="single"/>
          <w:lang w:val="en-US" w:eastAsia="zh-CN"/>
        </w:rPr>
        <w:t xml:space="preserve"> 25 </w:t>
      </w:r>
      <w:r>
        <w:rPr>
          <w:rFonts w:hint="eastAsia" w:asciiTheme="minorEastAsia" w:hAnsiTheme="minorEastAsia" w:eastAsiaTheme="minorEastAsia"/>
          <w:color w:val="auto"/>
          <w:sz w:val="24"/>
        </w:rPr>
        <w:t>日</w:t>
      </w:r>
      <w:r>
        <w:rPr>
          <w:rFonts w:hint="eastAsia" w:asciiTheme="minorEastAsia" w:hAnsiTheme="minorEastAsia" w:eastAsiaTheme="minorEastAsia"/>
          <w:color w:val="auto"/>
          <w:sz w:val="24"/>
          <w:u w:val="single"/>
          <w:lang w:val="en-US" w:eastAsia="zh-CN"/>
        </w:rPr>
        <w:t xml:space="preserve"> 9 </w:t>
      </w:r>
      <w:r>
        <w:rPr>
          <w:rFonts w:hint="eastAsia" w:asciiTheme="minorEastAsia" w:hAnsiTheme="minorEastAsia" w:eastAsiaTheme="minorEastAsia"/>
          <w:color w:val="auto"/>
          <w:sz w:val="24"/>
        </w:rPr>
        <w:t>时</w:t>
      </w:r>
      <w:r>
        <w:rPr>
          <w:rFonts w:hint="eastAsia" w:asciiTheme="minorEastAsia" w:hAnsiTheme="minorEastAsia" w:eastAsiaTheme="minorEastAsia"/>
          <w:color w:val="auto"/>
          <w:sz w:val="24"/>
          <w:u w:val="single"/>
          <w:lang w:val="en-US" w:eastAsia="zh-CN"/>
        </w:rPr>
        <w:t xml:space="preserve">  30  </w:t>
      </w:r>
      <w:r>
        <w:rPr>
          <w:rFonts w:hint="eastAsia" w:asciiTheme="minorEastAsia" w:hAnsiTheme="minorEastAsia" w:eastAsiaTheme="minorEastAsia"/>
          <w:color w:val="auto"/>
          <w:sz w:val="24"/>
        </w:rPr>
        <w:t>分</w:t>
      </w:r>
      <w:r>
        <w:rPr>
          <w:rFonts w:hint="eastAsia" w:asciiTheme="minorEastAsia" w:hAnsiTheme="minorEastAsia" w:eastAsiaTheme="minorEastAsia"/>
          <w:color w:val="auto"/>
          <w:sz w:val="24"/>
          <w:lang w:val="en-US" w:eastAsia="zh-CN"/>
        </w:rPr>
        <w:t xml:space="preserve"> </w:t>
      </w:r>
      <w:r>
        <w:rPr>
          <w:rFonts w:hint="eastAsia" w:asciiTheme="minorEastAsia" w:hAnsiTheme="minorEastAsia" w:eastAsiaTheme="minorEastAsia"/>
          <w:color w:val="auto"/>
          <w:sz w:val="24"/>
        </w:rPr>
        <w:t>（北京时间）</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u w:val="single"/>
        </w:rPr>
      </w:pPr>
      <w:r>
        <w:rPr>
          <w:rFonts w:hint="eastAsia" w:asciiTheme="minorEastAsia" w:hAnsiTheme="minorEastAsia" w:eastAsiaTheme="minorEastAsia"/>
          <w:color w:val="auto"/>
          <w:sz w:val="24"/>
          <w:lang w:val="en-US" w:eastAsia="zh-CN"/>
        </w:rPr>
        <w:t>3</w:t>
      </w:r>
      <w:r>
        <w:rPr>
          <w:rFonts w:hint="eastAsia" w:asciiTheme="minorEastAsia" w:hAnsiTheme="minorEastAsia" w:eastAsiaTheme="minorEastAsia"/>
          <w:color w:val="auto"/>
          <w:sz w:val="24"/>
        </w:rPr>
        <w:t>、开标地点：</w:t>
      </w:r>
      <w:r>
        <w:rPr>
          <w:rFonts w:hint="eastAsia" w:ascii="宋体" w:hAnsi="宋体"/>
          <w:color w:val="auto"/>
          <w:sz w:val="24"/>
          <w:u w:val="single"/>
        </w:rPr>
        <w:t>郴州市市民服务中心</w:t>
      </w:r>
      <w:r>
        <w:rPr>
          <w:rFonts w:hint="eastAsia" w:ascii="宋体" w:hAnsi="宋体"/>
          <w:color w:val="auto"/>
          <w:sz w:val="24"/>
          <w:u w:val="single"/>
          <w:lang w:val="en-US" w:eastAsia="zh-CN"/>
        </w:rPr>
        <w:t>3</w:t>
      </w:r>
      <w:r>
        <w:rPr>
          <w:rFonts w:hint="eastAsia" w:ascii="宋体" w:hAnsi="宋体"/>
          <w:color w:val="auto"/>
          <w:sz w:val="24"/>
          <w:u w:val="single"/>
        </w:rPr>
        <w:t>楼市公共资源交易中心第</w:t>
      </w:r>
      <w:r>
        <w:rPr>
          <w:rFonts w:hint="eastAsia" w:ascii="宋体" w:hAnsi="宋体"/>
          <w:color w:val="auto"/>
          <w:sz w:val="24"/>
          <w:u w:val="single"/>
          <w:lang w:val="en-US" w:eastAsia="zh-CN"/>
        </w:rPr>
        <w:t>10</w:t>
      </w:r>
      <w:r>
        <w:rPr>
          <w:rFonts w:hint="eastAsia" w:ascii="宋体" w:hAnsi="宋体"/>
          <w:color w:val="auto"/>
          <w:sz w:val="24"/>
          <w:u w:val="single"/>
        </w:rPr>
        <w:t>开标室</w:t>
      </w:r>
      <w:r>
        <w:rPr>
          <w:rFonts w:asciiTheme="minorEastAsia" w:hAnsiTheme="minorEastAsia" w:eastAsiaTheme="minorEastAsia"/>
          <w:color w:val="auto"/>
          <w:sz w:val="24"/>
          <w:u w:val="none"/>
        </w:rPr>
        <w:t xml:space="preserve"> </w:t>
      </w:r>
    </w:p>
    <w:p>
      <w:pPr>
        <w:keepNext w:val="0"/>
        <w:keepLines w:val="0"/>
        <w:pageBreakBefore w:val="0"/>
        <w:kinsoku/>
        <w:wordWrap w:val="0"/>
        <w:overflowPunct/>
        <w:topLine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4</w:t>
      </w:r>
      <w:r>
        <w:rPr>
          <w:rFonts w:hint="eastAsia" w:asciiTheme="minorEastAsia" w:hAnsiTheme="minorEastAsia" w:eastAsiaTheme="minorEastAsia"/>
          <w:color w:val="auto"/>
          <w:sz w:val="24"/>
        </w:rPr>
        <w:t>、电子标项目实行网上投标及解密，具体操作为投标人在“郴州市公共资源交易中心”登录“政府采购交易系统”（http://www.czggzyzx.cn/TPBidder），</w:t>
      </w:r>
      <w:r>
        <w:rPr>
          <w:rFonts w:hint="eastAsia"/>
          <w:color w:val="auto"/>
          <w:sz w:val="24"/>
        </w:rPr>
        <w:t>上传电子投标文件，登录“不见面开标大厅”（http://www.czggzyzx.cn/BidOpening）</w:t>
      </w:r>
      <w:r>
        <w:rPr>
          <w:rFonts w:hint="eastAsia" w:asciiTheme="minorEastAsia" w:hAnsiTheme="minorEastAsia" w:eastAsiaTheme="minorEastAsia"/>
          <w:color w:val="auto"/>
          <w:sz w:val="24"/>
        </w:rPr>
        <w:t>在规定时间自行远程解密参加网上开标活动。建议投标人上传电子投标文件容量为200MB以内。</w:t>
      </w:r>
    </w:p>
    <w:p>
      <w:pPr>
        <w:keepNext w:val="0"/>
        <w:keepLines w:val="0"/>
        <w:pageBreakBefore w:val="0"/>
        <w:kinsoku/>
        <w:wordWrap w:val="0"/>
        <w:overflowPunct/>
        <w:topLine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rPr>
        <w:t>、电子投标文件解密时限：30分钟</w:t>
      </w:r>
    </w:p>
    <w:p>
      <w:pPr>
        <w:pStyle w:val="5"/>
        <w:bidi w:val="0"/>
        <w:rPr>
          <w:color w:val="auto"/>
        </w:rPr>
      </w:pPr>
      <w:bookmarkStart w:id="8" w:name="_Toc31010"/>
      <w:r>
        <w:rPr>
          <w:rFonts w:hint="eastAsia"/>
          <w:color w:val="auto"/>
          <w:lang w:val="en-US" w:eastAsia="zh-CN"/>
        </w:rPr>
        <w:t>七</w:t>
      </w:r>
      <w:r>
        <w:rPr>
          <w:rFonts w:hint="eastAsia"/>
          <w:color w:val="auto"/>
        </w:rPr>
        <w:t>、招标文件公告期限：</w:t>
      </w:r>
      <w:bookmarkEnd w:id="8"/>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1、招标文件公告期限：</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u w:val="single"/>
          <w:lang w:val="en-US" w:eastAsia="zh-CN"/>
        </w:rPr>
        <w:t>2026</w:t>
      </w:r>
      <w:r>
        <w:rPr>
          <w:rFonts w:hint="eastAsia" w:asciiTheme="minorEastAsia" w:hAnsiTheme="minorEastAsia" w:eastAsiaTheme="minorEastAsia"/>
          <w:color w:val="auto"/>
          <w:sz w:val="24"/>
          <w:u w:val="single"/>
        </w:rPr>
        <w:t>年</w:t>
      </w:r>
      <w:r>
        <w:rPr>
          <w:rFonts w:hint="eastAsia" w:asciiTheme="minorEastAsia" w:hAnsiTheme="minorEastAsia" w:eastAsiaTheme="minorEastAsia"/>
          <w:color w:val="auto"/>
          <w:sz w:val="24"/>
          <w:u w:val="single"/>
          <w:lang w:val="en-US" w:eastAsia="zh-CN"/>
        </w:rPr>
        <w:t>8</w:t>
      </w:r>
      <w:r>
        <w:rPr>
          <w:rFonts w:hint="eastAsia" w:asciiTheme="minorEastAsia" w:hAnsiTheme="minorEastAsia" w:eastAsiaTheme="minorEastAsia"/>
          <w:color w:val="auto"/>
          <w:sz w:val="24"/>
          <w:u w:val="single"/>
        </w:rPr>
        <w:t>月</w:t>
      </w:r>
      <w:r>
        <w:rPr>
          <w:rFonts w:hint="eastAsia" w:asciiTheme="minorEastAsia" w:hAnsiTheme="minorEastAsia" w:eastAsiaTheme="minorEastAsia"/>
          <w:color w:val="auto"/>
          <w:sz w:val="24"/>
          <w:u w:val="single"/>
          <w:lang w:val="en-US" w:eastAsia="zh-CN"/>
        </w:rPr>
        <w:t>4</w:t>
      </w:r>
      <w:r>
        <w:rPr>
          <w:rFonts w:hint="eastAsia" w:asciiTheme="minorEastAsia" w:hAnsiTheme="minorEastAsia" w:eastAsiaTheme="minorEastAsia"/>
          <w:color w:val="auto"/>
          <w:sz w:val="24"/>
          <w:u w:val="single"/>
        </w:rPr>
        <w:t>日</w:t>
      </w:r>
      <w:r>
        <w:rPr>
          <w:rFonts w:hint="eastAsia" w:asciiTheme="minorEastAsia" w:hAnsiTheme="minorEastAsia" w:eastAsiaTheme="minorEastAsia"/>
          <w:color w:val="auto"/>
          <w:sz w:val="24"/>
          <w:u w:val="single"/>
          <w:lang w:val="en-US" w:eastAsia="zh-CN"/>
        </w:rPr>
        <w:t>9</w:t>
      </w:r>
      <w:r>
        <w:rPr>
          <w:rFonts w:hint="eastAsia" w:asciiTheme="minorEastAsia" w:hAnsiTheme="minorEastAsia" w:eastAsiaTheme="minorEastAsia"/>
          <w:color w:val="auto"/>
          <w:sz w:val="24"/>
          <w:u w:val="single"/>
        </w:rPr>
        <w:t>时</w:t>
      </w:r>
      <w:r>
        <w:rPr>
          <w:rFonts w:hint="eastAsia" w:asciiTheme="minorEastAsia" w:hAnsiTheme="minorEastAsia" w:eastAsiaTheme="minorEastAsia"/>
          <w:color w:val="auto"/>
          <w:sz w:val="24"/>
          <w:u w:val="single"/>
          <w:lang w:val="en-US" w:eastAsia="zh-CN"/>
        </w:rPr>
        <w:t>00</w:t>
      </w:r>
      <w:r>
        <w:rPr>
          <w:rFonts w:hint="eastAsia" w:asciiTheme="minorEastAsia" w:hAnsiTheme="minorEastAsia" w:eastAsiaTheme="minorEastAsia"/>
          <w:color w:val="auto"/>
          <w:sz w:val="24"/>
          <w:u w:val="single"/>
        </w:rPr>
        <w:t xml:space="preserve">分至 </w:t>
      </w:r>
      <w:r>
        <w:rPr>
          <w:rFonts w:hint="eastAsia" w:asciiTheme="minorEastAsia" w:hAnsiTheme="minorEastAsia" w:eastAsiaTheme="minorEastAsia"/>
          <w:color w:val="auto"/>
          <w:sz w:val="24"/>
          <w:u w:val="single"/>
          <w:lang w:val="en-US" w:eastAsia="zh-CN"/>
        </w:rPr>
        <w:t>2026</w:t>
      </w:r>
      <w:r>
        <w:rPr>
          <w:rFonts w:hint="eastAsia" w:asciiTheme="minorEastAsia" w:hAnsiTheme="minorEastAsia" w:eastAsiaTheme="minorEastAsia"/>
          <w:color w:val="auto"/>
          <w:sz w:val="24"/>
          <w:u w:val="single"/>
        </w:rPr>
        <w:t>年</w:t>
      </w:r>
      <w:r>
        <w:rPr>
          <w:rFonts w:hint="eastAsia" w:asciiTheme="minorEastAsia" w:hAnsiTheme="minorEastAsia" w:eastAsiaTheme="minorEastAsia"/>
          <w:color w:val="auto"/>
          <w:sz w:val="24"/>
          <w:u w:val="single"/>
          <w:lang w:val="en-US" w:eastAsia="zh-CN"/>
        </w:rPr>
        <w:t>8</w:t>
      </w:r>
      <w:r>
        <w:rPr>
          <w:rFonts w:hint="eastAsia" w:asciiTheme="minorEastAsia" w:hAnsiTheme="minorEastAsia" w:eastAsiaTheme="minorEastAsia"/>
          <w:color w:val="auto"/>
          <w:sz w:val="24"/>
          <w:u w:val="single"/>
        </w:rPr>
        <w:t>月</w:t>
      </w:r>
      <w:r>
        <w:rPr>
          <w:rFonts w:hint="eastAsia" w:asciiTheme="minorEastAsia" w:hAnsiTheme="minorEastAsia" w:eastAsiaTheme="minorEastAsia"/>
          <w:color w:val="auto"/>
          <w:sz w:val="24"/>
          <w:u w:val="single"/>
          <w:lang w:val="en-US" w:eastAsia="zh-CN"/>
        </w:rPr>
        <w:t>11</w:t>
      </w:r>
      <w:r>
        <w:rPr>
          <w:rFonts w:hint="eastAsia" w:asciiTheme="minorEastAsia" w:hAnsiTheme="minorEastAsia" w:eastAsiaTheme="minorEastAsia"/>
          <w:color w:val="auto"/>
          <w:sz w:val="24"/>
          <w:u w:val="single"/>
        </w:rPr>
        <w:t>日</w:t>
      </w:r>
      <w:r>
        <w:rPr>
          <w:rFonts w:hint="eastAsia" w:asciiTheme="minorEastAsia" w:hAnsiTheme="minorEastAsia" w:eastAsiaTheme="minorEastAsia"/>
          <w:color w:val="auto"/>
          <w:sz w:val="24"/>
          <w:u w:val="single"/>
          <w:lang w:val="en-US" w:eastAsia="zh-CN"/>
        </w:rPr>
        <w:t>17</w:t>
      </w:r>
      <w:r>
        <w:rPr>
          <w:rFonts w:hint="eastAsia" w:asciiTheme="minorEastAsia" w:hAnsiTheme="minorEastAsia" w:eastAsiaTheme="minorEastAsia"/>
          <w:color w:val="auto"/>
          <w:sz w:val="24"/>
          <w:u w:val="single"/>
        </w:rPr>
        <w:t>时</w:t>
      </w:r>
      <w:r>
        <w:rPr>
          <w:rFonts w:hint="eastAsia" w:asciiTheme="minorEastAsia" w:hAnsiTheme="minorEastAsia" w:eastAsiaTheme="minorEastAsia"/>
          <w:color w:val="auto"/>
          <w:sz w:val="24"/>
          <w:u w:val="single"/>
          <w:lang w:val="en-US" w:eastAsia="zh-CN"/>
        </w:rPr>
        <w:t>00</w:t>
      </w:r>
      <w:r>
        <w:rPr>
          <w:rFonts w:hint="eastAsia" w:asciiTheme="minorEastAsia" w:hAnsiTheme="minorEastAsia" w:eastAsiaTheme="minorEastAsia"/>
          <w:color w:val="auto"/>
          <w:sz w:val="24"/>
          <w:u w:val="single"/>
        </w:rPr>
        <w:t>分</w:t>
      </w:r>
      <w:r>
        <w:rPr>
          <w:rFonts w:hint="eastAsia" w:asciiTheme="minorEastAsia" w:hAnsiTheme="minorEastAsia" w:eastAsiaTheme="minorEastAsia"/>
          <w:color w:val="auto"/>
          <w:sz w:val="24"/>
        </w:rPr>
        <w:t>止（5个工作日）。</w:t>
      </w:r>
      <w:r>
        <w:rPr>
          <w:rFonts w:hint="eastAsia" w:asciiTheme="minorEastAsia" w:hAnsiTheme="minorEastAsia" w:eastAsiaTheme="minorEastAsia"/>
          <w:color w:val="auto"/>
          <w:sz w:val="24"/>
          <w:lang w:val="en-US" w:eastAsia="zh-CN"/>
        </w:rPr>
        <w:t>·</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2、本招标公告在中国湖南政府采购网（www.ccgp-hunan.gov.cn）、郴州市公共资源交易中心(</w:t>
      </w:r>
      <w:r>
        <w:rPr>
          <w:rFonts w:asciiTheme="minorEastAsia" w:hAnsiTheme="minorEastAsia" w:eastAsiaTheme="minorEastAsia"/>
          <w:color w:val="auto"/>
          <w:sz w:val="24"/>
        </w:rPr>
        <w:t>http://czggzy.c</w:t>
      </w:r>
      <w:r>
        <w:rPr>
          <w:rFonts w:asciiTheme="minorEastAsia" w:hAnsiTheme="minorEastAsia" w:eastAsiaTheme="minorEastAsia"/>
          <w:color w:val="auto"/>
          <w:kern w:val="0"/>
          <w:sz w:val="24"/>
        </w:rPr>
        <w:t>zs.gov.cn/</w:t>
      </w: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sz w:val="24"/>
        </w:rPr>
        <w:t>发布。在其他媒体发布的招标公告，公告内容以本招标公告指定媒体发布的公告为准；公告期限自本招标公告指定媒体最先发布公告之日起算。</w:t>
      </w:r>
    </w:p>
    <w:p>
      <w:pPr>
        <w:pStyle w:val="5"/>
        <w:bidi w:val="0"/>
        <w:rPr>
          <w:rFonts w:asciiTheme="minorEastAsia" w:hAnsiTheme="minorEastAsia" w:eastAsiaTheme="minorEastAsia"/>
          <w:color w:val="auto"/>
          <w:sz w:val="24"/>
        </w:rPr>
      </w:pPr>
      <w:bookmarkStart w:id="9" w:name="_Toc17023"/>
      <w:r>
        <w:rPr>
          <w:rFonts w:hint="eastAsia" w:asciiTheme="minorEastAsia" w:hAnsiTheme="minorEastAsia" w:eastAsiaTheme="minorEastAsia"/>
          <w:b/>
          <w:color w:val="auto"/>
          <w:sz w:val="24"/>
          <w:lang w:val="en-US" w:eastAsia="zh-CN"/>
        </w:rPr>
        <w:t>八</w:t>
      </w:r>
      <w:r>
        <w:rPr>
          <w:rFonts w:hint="eastAsia" w:asciiTheme="minorEastAsia" w:hAnsiTheme="minorEastAsia" w:eastAsiaTheme="minorEastAsia"/>
          <w:b/>
          <w:color w:val="auto"/>
          <w:sz w:val="24"/>
        </w:rPr>
        <w:t>、疑问及质疑</w:t>
      </w:r>
      <w:r>
        <w:rPr>
          <w:rFonts w:hint="eastAsia" w:asciiTheme="minorEastAsia" w:hAnsiTheme="minorEastAsia" w:eastAsiaTheme="minorEastAsia"/>
          <w:color w:val="auto"/>
          <w:sz w:val="24"/>
        </w:rPr>
        <w:t>：</w:t>
      </w:r>
      <w:bookmarkEnd w:id="9"/>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1、投标人对政府采购活动事项如有疑问的，可以向采购人、采购代理机构提出询问。采购人、采购代理机构将在3个工作日内作出答复。</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2、潜在投标人认为招标文件或招标公告使自己的合法权益受到损害的，可以在获取招标文件之日或招标公告期限届满之日</w:t>
      </w:r>
      <w:r>
        <w:rPr>
          <w:rFonts w:hint="eastAsia" w:asciiTheme="minorEastAsia" w:hAnsiTheme="minorEastAsia" w:eastAsiaTheme="minorEastAsia"/>
          <w:b/>
          <w:color w:val="auto"/>
          <w:sz w:val="24"/>
        </w:rPr>
        <w:t>（公告期限届满后获取采购文件的，以公告期限届满之日为准）</w:t>
      </w:r>
      <w:r>
        <w:rPr>
          <w:rFonts w:hint="eastAsia" w:asciiTheme="minorEastAsia" w:hAnsiTheme="minorEastAsia" w:eastAsiaTheme="minorEastAsia"/>
          <w:color w:val="auto"/>
          <w:sz w:val="24"/>
        </w:rPr>
        <w:t>起7个工作日内，</w:t>
      </w:r>
      <w:r>
        <w:rPr>
          <w:rFonts w:ascii="宋体" w:hAnsi="宋体" w:eastAsia="宋体" w:cs="宋体"/>
          <w:color w:val="auto"/>
          <w:spacing w:val="-3"/>
          <w:sz w:val="24"/>
          <w:szCs w:val="24"/>
          <w:lang w:eastAsia="zh-CN"/>
        </w:rPr>
        <w:t>按《湖南省财政厅关于印发＜政府采购质疑</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答复和投诉处理操作规程＞的通知》(</w:t>
      </w:r>
      <w:r>
        <w:rPr>
          <w:rFonts w:hint="eastAsia" w:ascii="宋体" w:hAnsi="宋体" w:eastAsia="宋体" w:cs="宋体"/>
          <w:color w:val="auto"/>
          <w:spacing w:val="-3"/>
          <w:sz w:val="24"/>
          <w:szCs w:val="24"/>
          <w:lang w:eastAsia="zh-CN"/>
        </w:rPr>
        <w:t>湘财购〔2024〕67号</w:t>
      </w:r>
      <w:r>
        <w:rPr>
          <w:rFonts w:ascii="宋体" w:hAnsi="宋体" w:eastAsia="宋体" w:cs="宋体"/>
          <w:color w:val="auto"/>
          <w:spacing w:val="-3"/>
          <w:sz w:val="24"/>
          <w:szCs w:val="24"/>
          <w:lang w:eastAsia="zh-CN"/>
        </w:rPr>
        <w:t>)规定，以书面形式向采购</w:t>
      </w:r>
      <w:r>
        <w:rPr>
          <w:rFonts w:ascii="宋体" w:hAnsi="宋体" w:eastAsia="宋体" w:cs="宋体"/>
          <w:color w:val="auto"/>
          <w:spacing w:val="-1"/>
          <w:sz w:val="24"/>
          <w:szCs w:val="24"/>
          <w:lang w:eastAsia="zh-CN"/>
        </w:rPr>
        <w:t>人、采购代理机构提出质疑。</w:t>
      </w:r>
    </w:p>
    <w:p>
      <w:pPr>
        <w:pStyle w:val="5"/>
        <w:bidi w:val="0"/>
        <w:rPr>
          <w:color w:val="auto"/>
        </w:rPr>
      </w:pPr>
      <w:bookmarkStart w:id="10" w:name="_Toc7229"/>
      <w:r>
        <w:rPr>
          <w:rFonts w:hint="eastAsia"/>
          <w:color w:val="auto"/>
          <w:lang w:val="en-US" w:eastAsia="zh-CN"/>
        </w:rPr>
        <w:t>九</w:t>
      </w:r>
      <w:r>
        <w:rPr>
          <w:rFonts w:hint="eastAsia"/>
          <w:color w:val="auto"/>
        </w:rPr>
        <w:t>、对本次招标提出询问，请按以下方式联系</w:t>
      </w:r>
      <w:bookmarkEnd w:id="10"/>
    </w:p>
    <w:p>
      <w:pPr>
        <w:keepNext w:val="0"/>
        <w:keepLines w:val="0"/>
        <w:pageBreakBefore w:val="0"/>
        <w:kinsoku/>
        <w:overflowPunct/>
        <w:bidi w:val="0"/>
        <w:adjustRightInd w:val="0"/>
        <w:snapToGrid w:val="0"/>
        <w:spacing w:line="500" w:lineRule="exact"/>
        <w:ind w:firstLine="470" w:firstLineChars="196"/>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w:t>
      </w:r>
      <w:r>
        <w:rPr>
          <w:rFonts w:hint="eastAsia" w:asciiTheme="minorEastAsia" w:hAnsiTheme="minorEastAsia" w:eastAsiaTheme="minorEastAsia"/>
          <w:color w:val="auto"/>
          <w:sz w:val="24"/>
        </w:rPr>
        <w:t>、</w:t>
      </w:r>
      <w:r>
        <w:rPr>
          <w:rFonts w:hint="eastAsia" w:asciiTheme="minorEastAsia" w:hAnsiTheme="minorEastAsia" w:eastAsiaTheme="minorEastAsia"/>
          <w:bCs/>
          <w:color w:val="auto"/>
          <w:sz w:val="24"/>
        </w:rPr>
        <w:t>采购人信息</w:t>
      </w:r>
    </w:p>
    <w:p>
      <w:pPr>
        <w:adjustRightInd w:val="0"/>
        <w:snapToGrid w:val="0"/>
        <w:spacing w:line="500" w:lineRule="exact"/>
        <w:ind w:firstLine="470" w:firstLineChars="196"/>
        <w:rPr>
          <w:rFonts w:hint="eastAsia" w:ascii="宋体" w:hAnsi="宋体" w:eastAsia="宋体" w:cs="宋体"/>
          <w:bCs/>
          <w:color w:val="auto"/>
          <w:sz w:val="24"/>
          <w:highlight w:val="none"/>
          <w:lang w:eastAsia="zh-CN"/>
        </w:rPr>
      </w:pPr>
      <w:r>
        <w:rPr>
          <w:rFonts w:hint="eastAsia" w:asciiTheme="minorEastAsia" w:hAnsiTheme="minorEastAsia" w:eastAsiaTheme="minorEastAsia"/>
          <w:color w:val="auto"/>
          <w:sz w:val="24"/>
        </w:rPr>
        <w:t>（1）</w:t>
      </w:r>
      <w:r>
        <w:rPr>
          <w:rFonts w:hint="eastAsia" w:asciiTheme="minorEastAsia" w:hAnsiTheme="minorEastAsia" w:eastAsiaTheme="minorEastAsia"/>
          <w:bCs/>
          <w:color w:val="auto"/>
          <w:sz w:val="24"/>
        </w:rPr>
        <w:t>名  称：</w:t>
      </w:r>
      <w:r>
        <w:rPr>
          <w:rFonts w:hint="eastAsia" w:ascii="宋体" w:hAnsi="宋体" w:cs="宋体"/>
          <w:bCs/>
          <w:color w:val="auto"/>
          <w:sz w:val="24"/>
          <w:highlight w:val="none"/>
          <w:lang w:eastAsia="zh-CN"/>
        </w:rPr>
        <w:t xml:space="preserve">郴州职业技术学院  </w:t>
      </w:r>
    </w:p>
    <w:p>
      <w:pPr>
        <w:adjustRightInd w:val="0"/>
        <w:snapToGrid w:val="0"/>
        <w:spacing w:line="500" w:lineRule="exact"/>
        <w:ind w:firstLine="470" w:firstLineChars="196"/>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（2）地  址：</w:t>
      </w:r>
      <w:r>
        <w:rPr>
          <w:rFonts w:hint="eastAsia" w:ascii="宋体" w:hAnsi="宋体" w:cs="宋体"/>
          <w:bCs/>
          <w:color w:val="auto"/>
          <w:sz w:val="24"/>
          <w:highlight w:val="none"/>
          <w:lang w:eastAsia="zh-CN"/>
        </w:rPr>
        <w:t>郴州市郴州大道909号</w:t>
      </w:r>
    </w:p>
    <w:p>
      <w:pPr>
        <w:adjustRightInd w:val="0"/>
        <w:snapToGrid w:val="0"/>
        <w:spacing w:line="500" w:lineRule="exact"/>
        <w:ind w:firstLine="470" w:firstLineChars="196"/>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（3）联系人：</w:t>
      </w:r>
      <w:r>
        <w:rPr>
          <w:rFonts w:hint="eastAsia" w:ascii="宋体" w:hAnsi="宋体" w:cs="宋体"/>
          <w:bCs/>
          <w:color w:val="auto"/>
          <w:sz w:val="24"/>
          <w:highlight w:val="none"/>
          <w:lang w:val="en-US" w:eastAsia="zh-CN"/>
        </w:rPr>
        <w:t>李涛</w:t>
      </w:r>
    </w:p>
    <w:p>
      <w:pPr>
        <w:adjustRightInd w:val="0"/>
        <w:snapToGrid w:val="0"/>
        <w:spacing w:line="500" w:lineRule="exact"/>
        <w:ind w:firstLine="470" w:firstLineChars="196"/>
        <w:rPr>
          <w:rFonts w:asciiTheme="minorEastAsia" w:hAnsiTheme="minorEastAsia" w:eastAsiaTheme="minorEastAsia"/>
          <w:color w:val="auto"/>
          <w:sz w:val="24"/>
        </w:rPr>
      </w:pPr>
      <w:r>
        <w:rPr>
          <w:rFonts w:hint="eastAsia" w:ascii="宋体" w:hAnsi="宋体" w:eastAsia="宋体" w:cs="宋体"/>
          <w:bCs/>
          <w:color w:val="auto"/>
          <w:sz w:val="24"/>
          <w:highlight w:val="none"/>
        </w:rPr>
        <w:t>（4）电  话：</w:t>
      </w:r>
      <w:r>
        <w:rPr>
          <w:rFonts w:hint="eastAsia" w:ascii="宋体" w:hAnsi="宋体" w:cs="宋体"/>
          <w:bCs/>
          <w:color w:val="auto"/>
          <w:sz w:val="24"/>
          <w:highlight w:val="none"/>
          <w:lang w:val="en-US" w:eastAsia="zh-CN"/>
        </w:rPr>
        <w:t>19967535699</w:t>
      </w:r>
    </w:p>
    <w:p>
      <w:pPr>
        <w:keepNext w:val="0"/>
        <w:keepLines w:val="0"/>
        <w:pageBreakBefore w:val="0"/>
        <w:kinsoku/>
        <w:overflowPunct/>
        <w:bidi w:val="0"/>
        <w:adjustRightInd w:val="0"/>
        <w:snapToGrid w:val="0"/>
        <w:spacing w:line="500" w:lineRule="exact"/>
        <w:ind w:firstLine="470" w:firstLineChars="196"/>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2</w:t>
      </w:r>
      <w:r>
        <w:rPr>
          <w:rFonts w:hint="eastAsia" w:asciiTheme="minorEastAsia" w:hAnsiTheme="minorEastAsia" w:eastAsiaTheme="minorEastAsia"/>
          <w:color w:val="auto"/>
          <w:sz w:val="24"/>
        </w:rPr>
        <w:t>、</w:t>
      </w:r>
      <w:r>
        <w:rPr>
          <w:rFonts w:hint="eastAsia" w:asciiTheme="minorEastAsia" w:hAnsiTheme="minorEastAsia" w:eastAsiaTheme="minorEastAsia"/>
          <w:bCs/>
          <w:color w:val="auto"/>
          <w:sz w:val="24"/>
        </w:rPr>
        <w:t>采购代理机构信息</w:t>
      </w:r>
    </w:p>
    <w:p>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Theme="minorEastAsia" w:hAnsiTheme="minorEastAsia" w:eastAsiaTheme="minorEastAsia"/>
          <w:color w:val="auto"/>
          <w:sz w:val="24"/>
        </w:rPr>
        <w:t>（1）</w:t>
      </w:r>
      <w:r>
        <w:rPr>
          <w:rFonts w:hint="eastAsia" w:asciiTheme="minorEastAsia" w:hAnsiTheme="minorEastAsia" w:eastAsiaTheme="minorEastAsia"/>
          <w:bCs/>
          <w:color w:val="auto"/>
          <w:sz w:val="24"/>
        </w:rPr>
        <w:t>名  称：</w:t>
      </w:r>
      <w:r>
        <w:rPr>
          <w:rFonts w:hint="eastAsia" w:ascii="宋体" w:hAnsi="宋体" w:eastAsia="宋体" w:cs="宋体"/>
          <w:color w:val="auto"/>
          <w:sz w:val="24"/>
          <w:highlight w:val="none"/>
        </w:rPr>
        <w:t>郴州国奥项目管理有限责任公司</w:t>
      </w:r>
    </w:p>
    <w:p>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  址：郴州市第一国际玉女座17楼B14号房  </w:t>
      </w:r>
    </w:p>
    <w:p>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（3）联系人：肖光华                </w:t>
      </w:r>
    </w:p>
    <w:p>
      <w:pPr>
        <w:adjustRightInd w:val="0"/>
        <w:snapToGrid w:val="0"/>
        <w:spacing w:line="500" w:lineRule="exact"/>
        <w:ind w:firstLine="480" w:firstLineChars="200"/>
        <w:rPr>
          <w:rFonts w:asciiTheme="minorEastAsia" w:hAnsiTheme="minorEastAsia" w:eastAsiaTheme="minorEastAsia"/>
          <w:color w:val="auto"/>
          <w:sz w:val="24"/>
        </w:rPr>
      </w:pPr>
      <w:r>
        <w:rPr>
          <w:rFonts w:hint="eastAsia" w:ascii="宋体" w:hAnsi="宋体" w:eastAsia="宋体" w:cs="宋体"/>
          <w:color w:val="auto"/>
          <w:sz w:val="24"/>
          <w:highlight w:val="none"/>
        </w:rPr>
        <w:t>（4）电  话：</w:t>
      </w:r>
      <w:r>
        <w:rPr>
          <w:rFonts w:hint="eastAsia" w:ascii="宋体" w:hAnsi="宋体" w:cs="宋体"/>
          <w:color w:val="auto"/>
          <w:sz w:val="24"/>
          <w:highlight w:val="none"/>
          <w:lang w:val="en-US" w:eastAsia="zh-CN"/>
        </w:rPr>
        <w:t>13875514369</w:t>
      </w:r>
      <w:r>
        <w:rPr>
          <w:rFonts w:hint="eastAsia" w:ascii="宋体" w:hAnsi="宋体" w:eastAsia="宋体" w:cs="宋体"/>
          <w:color w:val="auto"/>
          <w:sz w:val="24"/>
          <w:highlight w:val="none"/>
        </w:rPr>
        <w:t>、13975563470</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3、电子交易平台服务机构信息</w:t>
      </w:r>
    </w:p>
    <w:p>
      <w:pPr>
        <w:keepNext w:val="0"/>
        <w:keepLines w:val="0"/>
        <w:pageBreakBefore w:val="0"/>
        <w:kinsoku/>
        <w:overflowPunct/>
        <w:bidi w:val="0"/>
        <w:adjustRightInd w:val="0"/>
        <w:snapToGrid w:val="0"/>
        <w:spacing w:line="500" w:lineRule="exact"/>
        <w:ind w:firstLine="470" w:firstLineChars="196"/>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（1）</w:t>
      </w:r>
      <w:r>
        <w:rPr>
          <w:rFonts w:hint="eastAsia" w:asciiTheme="minorEastAsia" w:hAnsiTheme="minorEastAsia" w:eastAsiaTheme="minorEastAsia"/>
          <w:bCs/>
          <w:color w:val="auto"/>
          <w:sz w:val="24"/>
        </w:rPr>
        <w:t>名  称：</w:t>
      </w:r>
      <w:r>
        <w:rPr>
          <w:rFonts w:hint="eastAsia" w:asciiTheme="minorEastAsia" w:hAnsiTheme="minorEastAsia" w:eastAsiaTheme="minorEastAsia"/>
          <w:bCs/>
          <w:color w:val="auto"/>
          <w:sz w:val="24"/>
          <w:lang w:val="en-US" w:eastAsia="zh-CN"/>
        </w:rPr>
        <w:t>郴州市公共资源交易中心</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（2）地  址：</w:t>
      </w:r>
      <w:r>
        <w:rPr>
          <w:rFonts w:hint="eastAsia" w:ascii="宋体" w:hAnsi="宋体"/>
          <w:color w:val="auto"/>
          <w:sz w:val="24"/>
          <w:u w:val="none"/>
        </w:rPr>
        <w:t>郴州市市民服务中心4楼市公共资源交易中心</w:t>
      </w:r>
    </w:p>
    <w:p>
      <w:pPr>
        <w:keepNext w:val="0"/>
        <w:keepLines w:val="0"/>
        <w:pageBreakBefore w:val="0"/>
        <w:kinsoku/>
        <w:overflowPunct/>
        <w:bidi w:val="0"/>
        <w:adjustRightInd w:val="0"/>
        <w:snapToGrid w:val="0"/>
        <w:spacing w:line="500" w:lineRule="exact"/>
        <w:ind w:firstLine="480" w:firstLineChars="200"/>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（3）联系人：</w:t>
      </w:r>
      <w:r>
        <w:rPr>
          <w:rFonts w:hint="eastAsia" w:asciiTheme="minorEastAsia" w:hAnsiTheme="minorEastAsia" w:eastAsiaTheme="minorEastAsia"/>
          <w:color w:val="auto"/>
          <w:sz w:val="24"/>
          <w:lang w:val="en-US" w:eastAsia="zh-CN"/>
        </w:rPr>
        <w:t>政府采购科</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（4）电  话：</w:t>
      </w:r>
      <w:r>
        <w:rPr>
          <w:rFonts w:hint="eastAsia" w:asciiTheme="minorEastAsia" w:hAnsiTheme="minorEastAsia" w:eastAsiaTheme="minorEastAsia"/>
          <w:color w:val="auto"/>
          <w:sz w:val="24"/>
          <w:lang w:val="en-US" w:eastAsia="zh-CN"/>
        </w:rPr>
        <w:t>0735-2299020</w:t>
      </w:r>
    </w:p>
    <w:p>
      <w:pPr>
        <w:pStyle w:val="5"/>
        <w:bidi w:val="0"/>
        <w:rPr>
          <w:color w:val="auto"/>
        </w:rPr>
      </w:pPr>
      <w:bookmarkStart w:id="11" w:name="_Toc7733"/>
      <w:r>
        <w:rPr>
          <w:rFonts w:hint="eastAsia"/>
          <w:color w:val="auto"/>
          <w:lang w:val="en-US" w:eastAsia="zh-CN"/>
        </w:rPr>
        <w:t>十</w:t>
      </w:r>
      <w:r>
        <w:rPr>
          <w:rFonts w:hint="eastAsia"/>
          <w:color w:val="auto"/>
        </w:rPr>
        <w:t>、其它补充事宜</w:t>
      </w:r>
      <w:bookmarkEnd w:id="11"/>
    </w:p>
    <w:p>
      <w:pPr>
        <w:keepNext w:val="0"/>
        <w:keepLines w:val="0"/>
        <w:pageBreakBefore w:val="0"/>
        <w:kinsoku/>
        <w:overflowPunct/>
        <w:bidi w:val="0"/>
        <w:adjustRightInd w:val="0"/>
        <w:snapToGrid w:val="0"/>
        <w:spacing w:line="500" w:lineRule="exact"/>
        <w:ind w:firstLine="480" w:firstLineChars="200"/>
        <w:jc w:val="left"/>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1、本公告选项：</w:t>
      </w:r>
      <w:r>
        <w:rPr>
          <w:rFonts w:hint="eastAsia" w:asciiTheme="minorEastAsia" w:hAnsiTheme="minorEastAsia" w:eastAsiaTheme="minorEastAsia"/>
          <w:color w:val="auto"/>
          <w:sz w:val="24"/>
          <w:lang w:val="en-US" w:eastAsia="zh-CN"/>
        </w:rPr>
        <w:sym w:font="Wingdings 2" w:char="0052"/>
      </w:r>
      <w:r>
        <w:rPr>
          <w:rFonts w:hint="eastAsia" w:asciiTheme="minorEastAsia" w:hAnsiTheme="minorEastAsia" w:eastAsiaTheme="minorEastAsia"/>
          <w:color w:val="auto"/>
          <w:sz w:val="24"/>
          <w:lang w:val="en-US" w:eastAsia="zh-CN"/>
        </w:rPr>
        <w:t xml:space="preserve">表示选择  </w:t>
      </w:r>
      <w:r>
        <w:rPr>
          <w:rFonts w:hint="eastAsia" w:asciiTheme="minorEastAsia" w:hAnsiTheme="minorEastAsia" w:eastAsiaTheme="minorEastAsia"/>
          <w:color w:val="auto"/>
          <w:sz w:val="24"/>
          <w:lang w:val="en-US" w:eastAsia="zh-CN"/>
        </w:rPr>
        <w:sym w:font="Wingdings 2" w:char="00A3"/>
      </w:r>
      <w:r>
        <w:rPr>
          <w:rFonts w:hint="eastAsia" w:asciiTheme="minorEastAsia" w:hAnsiTheme="minorEastAsia" w:eastAsiaTheme="minorEastAsia"/>
          <w:color w:val="auto"/>
          <w:sz w:val="24"/>
          <w:lang w:val="en-US" w:eastAsia="zh-CN"/>
        </w:rPr>
        <w:t>表示不选择</w:t>
      </w:r>
    </w:p>
    <w:p>
      <w:pPr>
        <w:keepNext w:val="0"/>
        <w:keepLines w:val="0"/>
        <w:pageBreakBefore w:val="0"/>
        <w:kinsoku/>
        <w:overflowPunct/>
        <w:bidi w:val="0"/>
        <w:adjustRightInd w:val="0"/>
        <w:snapToGrid w:val="0"/>
        <w:spacing w:line="500" w:lineRule="exact"/>
        <w:ind w:firstLine="480" w:firstLineChars="200"/>
        <w:jc w:val="left"/>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2、投标人参与政府采购活动，无需向采购人、代理机构、交易平台缴纳任何费用。</w:t>
      </w:r>
    </w:p>
    <w:p>
      <w:pPr>
        <w:keepNext w:val="0"/>
        <w:keepLines w:val="0"/>
        <w:pageBreakBefore w:val="0"/>
        <w:kinsoku/>
        <w:overflowPunct/>
        <w:bidi w:val="0"/>
        <w:adjustRightInd w:val="0"/>
        <w:snapToGrid w:val="0"/>
        <w:spacing w:line="500" w:lineRule="exact"/>
        <w:ind w:firstLine="480" w:firstLineChars="200"/>
        <w:jc w:val="left"/>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3、招标代理服务费和专家评审费由</w:t>
      </w:r>
      <w:r>
        <w:rPr>
          <w:rFonts w:hint="eastAsia" w:asciiTheme="minorEastAsia" w:hAnsiTheme="minorEastAsia" w:eastAsiaTheme="minorEastAsia"/>
          <w:color w:val="auto"/>
          <w:sz w:val="24"/>
          <w:u w:val="single"/>
          <w:lang w:val="en-US" w:eastAsia="zh-CN"/>
        </w:rPr>
        <w:t>采购人</w:t>
      </w:r>
      <w:r>
        <w:rPr>
          <w:rFonts w:hint="eastAsia" w:asciiTheme="minorEastAsia" w:hAnsiTheme="minorEastAsia" w:eastAsiaTheme="minorEastAsia"/>
          <w:color w:val="auto"/>
          <w:sz w:val="24"/>
          <w:lang w:val="en-US" w:eastAsia="zh-CN"/>
        </w:rPr>
        <w:t>支付，</w:t>
      </w:r>
      <w:r>
        <w:rPr>
          <w:rFonts w:hint="eastAsia" w:ascii="宋体" w:hAnsi="宋体"/>
          <w:color w:val="auto"/>
          <w:sz w:val="24"/>
          <w:szCs w:val="24"/>
          <w:highlight w:val="none"/>
          <w:lang w:val="en-US" w:eastAsia="zh-CN"/>
        </w:rPr>
        <w:t>代理服务费为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3549.60</w:t>
      </w:r>
      <w:r>
        <w:rPr>
          <w:rFonts w:hint="eastAsia" w:ascii="宋体" w:hAnsi="宋体" w:cs="宋体"/>
          <w:color w:val="auto"/>
          <w:kern w:val="0"/>
          <w:sz w:val="24"/>
          <w:szCs w:val="24"/>
          <w:highlight w:val="none"/>
          <w:lang w:val="en-US" w:eastAsia="zh-CN"/>
        </w:rPr>
        <w:t>元。</w:t>
      </w:r>
    </w:p>
    <w:p>
      <w:pPr>
        <w:keepNext w:val="0"/>
        <w:keepLines w:val="0"/>
        <w:pageBreakBefore w:val="0"/>
        <w:kinsoku/>
        <w:overflowPunct/>
        <w:bidi w:val="0"/>
        <w:adjustRightInd w:val="0"/>
        <w:snapToGrid w:val="0"/>
        <w:spacing w:line="500" w:lineRule="exact"/>
        <w:ind w:firstLine="480" w:firstLineChars="200"/>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4</w:t>
      </w:r>
      <w:r>
        <w:rPr>
          <w:rFonts w:hint="eastAsia" w:asciiTheme="minorEastAsia" w:hAnsiTheme="minorEastAsia" w:eastAsiaTheme="minorEastAsia"/>
          <w:color w:val="auto"/>
          <w:sz w:val="24"/>
        </w:rPr>
        <w:t>、请投标人在郴州市公共资源交易中心“下载</w:t>
      </w:r>
      <w:r>
        <w:rPr>
          <w:rFonts w:hint="eastAsia" w:asciiTheme="minorEastAsia" w:hAnsiTheme="minorEastAsia" w:eastAsiaTheme="minorEastAsia"/>
          <w:color w:val="auto"/>
          <w:sz w:val="24"/>
          <w:lang w:eastAsia="zh-CN"/>
        </w:rPr>
        <w:t>中心</w:t>
      </w:r>
      <w:r>
        <w:rPr>
          <w:rFonts w:hint="eastAsia" w:asciiTheme="minorEastAsia" w:hAnsiTheme="minorEastAsia" w:eastAsiaTheme="minorEastAsia"/>
          <w:color w:val="auto"/>
          <w:sz w:val="24"/>
        </w:rPr>
        <w:t>”中及时下载安装最新版本“投标文件制作软件（湖南公共资源版）”、“湖南CA驱动”。参与投标的投标人需使用电子标书编制软件制作投标文件。</w:t>
      </w:r>
      <w:r>
        <w:rPr>
          <w:rFonts w:hint="eastAsia" w:asciiTheme="minorEastAsia" w:hAnsiTheme="minorEastAsia" w:eastAsiaTheme="minorEastAsia"/>
          <w:color w:val="auto"/>
          <w:sz w:val="24"/>
          <w:lang w:val="en-US" w:eastAsia="zh-CN"/>
        </w:rPr>
        <w:t>操作手册下载地址：</w:t>
      </w:r>
      <w:r>
        <w:rPr>
          <w:rFonts w:hint="eastAsia" w:asciiTheme="minorEastAsia" w:hAnsiTheme="minorEastAsia" w:eastAsiaTheme="minorEastAsia"/>
          <w:color w:val="auto"/>
          <w:sz w:val="24"/>
          <w:u w:val="single"/>
          <w:lang w:val="en-US" w:eastAsia="zh-CN"/>
        </w:rPr>
        <w:t>http://www.czggzy.net/TPBidder/pages/customframe4bid/DownLoad/郴州市公共资源交易中心交易系统操作手册.zip</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rPr>
        <w:t>、 因电子招投标需要，投标人应及时办理CA数字证书（含电子签章）。移动CA数字证书（含电子签章）办理咨询电话：4009980000、0731-82817876，介质CA数字证书（含电子签章）办理地址：郴州市公共资源交易中心四楼大厅，咨询电话：4006682666、18175580110。</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6</w:t>
      </w:r>
      <w:r>
        <w:rPr>
          <w:rFonts w:hint="eastAsia" w:asciiTheme="minorEastAsia" w:hAnsiTheme="minorEastAsia" w:eastAsiaTheme="minorEastAsia"/>
          <w:color w:val="auto"/>
          <w:sz w:val="24"/>
        </w:rPr>
        <w:t>、由对网上招投标操作不熟悉或自身电脑、个人网络等原因导致不能在投标截止时间之前完成投标文件上传的，相应责任由投标人自行承担。</w:t>
      </w:r>
      <w:r>
        <w:rPr>
          <w:rFonts w:hint="eastAsia" w:asciiTheme="minorEastAsia" w:hAnsiTheme="minorEastAsia" w:eastAsiaTheme="minorEastAsia"/>
          <w:color w:val="auto"/>
          <w:sz w:val="24"/>
          <w:lang w:val="en-US" w:eastAsia="zh-CN"/>
        </w:rPr>
        <w:t>建议各投标人在工作时间段内上传投标文件，选择IE11浏览器进行文件解密，在操作系统过程中有疑问或困难请及时进行咨询。</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7</w:t>
      </w:r>
      <w:r>
        <w:rPr>
          <w:rFonts w:hint="eastAsia" w:asciiTheme="minorEastAsia" w:hAnsiTheme="minorEastAsia" w:eastAsiaTheme="minorEastAsia"/>
          <w:color w:val="auto"/>
          <w:sz w:val="24"/>
        </w:rPr>
        <w:t>、如果开标时出现网络故障、技术故障等情形而影响招投标活动，招标人将</w:t>
      </w:r>
      <w:r>
        <w:rPr>
          <w:rFonts w:hint="eastAsia" w:asciiTheme="minorEastAsia" w:hAnsiTheme="minorEastAsia" w:eastAsiaTheme="minorEastAsia"/>
          <w:b/>
          <w:color w:val="auto"/>
          <w:sz w:val="24"/>
        </w:rPr>
        <w:t>采取项目延期、延长投标文件解密时间</w:t>
      </w:r>
      <w:r>
        <w:rPr>
          <w:rFonts w:hint="eastAsia" w:asciiTheme="minorEastAsia" w:hAnsiTheme="minorEastAsia" w:eastAsiaTheme="minorEastAsia"/>
          <w:color w:val="auto"/>
          <w:sz w:val="24"/>
        </w:rPr>
        <w:t>等相应措施，以保障招投标活动的公开、公平和公正，投标人不得对此持有异议。</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8</w:t>
      </w:r>
      <w:r>
        <w:rPr>
          <w:rFonts w:hint="eastAsia" w:asciiTheme="minorEastAsia" w:hAnsiTheme="minorEastAsia" w:eastAsiaTheme="minorEastAsia"/>
          <w:color w:val="auto"/>
          <w:sz w:val="24"/>
        </w:rPr>
        <w:t>、交易平台技术支持联系方式</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联系电话：4009980000</w:t>
      </w:r>
    </w:p>
    <w:p>
      <w:pPr>
        <w:rPr>
          <w:color w:val="auto"/>
        </w:rPr>
      </w:pPr>
    </w:p>
    <w:p>
      <w:pPr>
        <w:widowControl/>
        <w:shd w:val="clear" w:color="auto" w:fill="FFFFFF"/>
        <w:rPr>
          <w:color w:val="auto"/>
          <w:sz w:val="24"/>
        </w:rPr>
      </w:pPr>
    </w:p>
    <w:p>
      <w:pPr>
        <w:rPr>
          <w:color w:val="auto"/>
        </w:rPr>
      </w:pPr>
    </w:p>
    <w:p>
      <w:pPr>
        <w:pStyle w:val="24"/>
        <w:adjustRightInd w:val="0"/>
        <w:snapToGrid w:val="0"/>
        <w:spacing w:line="360" w:lineRule="auto"/>
        <w:jc w:val="center"/>
        <w:rPr>
          <w:rFonts w:ascii="黑体" w:hAnsi="华文中宋" w:eastAsia="黑体"/>
          <w:b/>
          <w:color w:val="auto"/>
          <w:sz w:val="32"/>
          <w:szCs w:val="32"/>
        </w:rPr>
      </w:pPr>
      <w:r>
        <w:rPr>
          <w:rFonts w:ascii="黑体" w:hAnsi="华文中宋" w:eastAsia="黑体"/>
          <w:b/>
          <w:color w:val="auto"/>
          <w:sz w:val="32"/>
          <w:szCs w:val="32"/>
        </w:rPr>
        <w:br w:type="page"/>
      </w:r>
    </w:p>
    <w:p>
      <w:pPr>
        <w:pStyle w:val="24"/>
        <w:adjustRightInd w:val="0"/>
        <w:snapToGrid w:val="0"/>
        <w:spacing w:line="360" w:lineRule="auto"/>
        <w:jc w:val="center"/>
        <w:outlineLvl w:val="0"/>
        <w:rPr>
          <w:rFonts w:ascii="黑体" w:hAnsi="华文中宋" w:eastAsia="黑体"/>
          <w:b/>
          <w:color w:val="auto"/>
          <w:spacing w:val="100"/>
          <w:sz w:val="32"/>
          <w:szCs w:val="32"/>
        </w:rPr>
      </w:pPr>
      <w:bookmarkStart w:id="12" w:name="_Toc29913894"/>
      <w:bookmarkStart w:id="13" w:name="_Toc6309"/>
      <w:r>
        <w:rPr>
          <w:rFonts w:hint="eastAsia" w:ascii="黑体" w:hAnsi="华文中宋" w:eastAsia="黑体"/>
          <w:b/>
          <w:color w:val="auto"/>
          <w:sz w:val="32"/>
          <w:szCs w:val="32"/>
        </w:rPr>
        <w:t>第二章 投标须知</w:t>
      </w:r>
      <w:bookmarkEnd w:id="12"/>
      <w:bookmarkEnd w:id="13"/>
    </w:p>
    <w:p>
      <w:pPr>
        <w:pStyle w:val="5"/>
        <w:adjustRightInd w:val="0"/>
        <w:snapToGrid w:val="0"/>
        <w:jc w:val="center"/>
        <w:rPr>
          <w:rFonts w:ascii="黑体" w:hAnsi="华文中宋" w:eastAsia="黑体"/>
          <w:color w:val="auto"/>
          <w:spacing w:val="100"/>
          <w:sz w:val="28"/>
          <w:szCs w:val="28"/>
        </w:rPr>
      </w:pPr>
      <w:bookmarkStart w:id="14" w:name="_Toc29913895"/>
      <w:bookmarkStart w:id="15" w:name="_Toc24188"/>
      <w:r>
        <w:rPr>
          <w:rFonts w:hint="eastAsia" w:ascii="黑体" w:hAnsi="华文中宋" w:eastAsia="黑体"/>
          <w:color w:val="auto"/>
          <w:sz w:val="28"/>
          <w:szCs w:val="28"/>
        </w:rPr>
        <w:t>第一节 投标须知前附表</w:t>
      </w:r>
      <w:bookmarkEnd w:id="14"/>
      <w:bookmarkEnd w:id="15"/>
    </w:p>
    <w:tbl>
      <w:tblPr>
        <w:tblStyle w:val="43"/>
        <w:tblW w:w="8931"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2693"/>
        <w:gridCol w:w="467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560"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条款号</w:t>
            </w:r>
          </w:p>
        </w:tc>
        <w:tc>
          <w:tcPr>
            <w:tcW w:w="2693"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条款名称</w:t>
            </w:r>
          </w:p>
        </w:tc>
        <w:tc>
          <w:tcPr>
            <w:tcW w:w="4678"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第1.1款</w:t>
            </w:r>
          </w:p>
        </w:tc>
        <w:tc>
          <w:tcPr>
            <w:tcW w:w="2693" w:type="dxa"/>
            <w:vAlign w:val="center"/>
          </w:tcPr>
          <w:p>
            <w:pPr>
              <w:adjustRightInd w:val="0"/>
              <w:snapToGrid w:val="0"/>
              <w:spacing w:line="360" w:lineRule="auto"/>
              <w:rPr>
                <w:rFonts w:hAnsi="宋体"/>
                <w:color w:val="auto"/>
                <w:szCs w:val="21"/>
              </w:rPr>
            </w:pPr>
            <w:r>
              <w:rPr>
                <w:rFonts w:hint="eastAsia" w:hAnsi="宋体"/>
                <w:color w:val="auto"/>
                <w:szCs w:val="21"/>
              </w:rPr>
              <w:t>采购项目</w:t>
            </w:r>
          </w:p>
        </w:tc>
        <w:tc>
          <w:tcPr>
            <w:tcW w:w="4678" w:type="dxa"/>
            <w:vAlign w:val="center"/>
          </w:tcPr>
          <w:p>
            <w:pPr>
              <w:adjustRightInd w:val="0"/>
              <w:snapToGrid w:val="0"/>
              <w:spacing w:line="420" w:lineRule="exact"/>
              <w:rPr>
                <w:rFonts w:hAnsi="宋体"/>
                <w:color w:val="auto"/>
                <w:szCs w:val="21"/>
                <w:u w:val="single"/>
              </w:rPr>
            </w:pPr>
            <w:r>
              <w:rPr>
                <w:rFonts w:hint="eastAsia" w:ascii="宋体" w:hAnsi="宋体" w:cs="宋体"/>
                <w:color w:val="auto"/>
                <w:szCs w:val="21"/>
                <w:highlight w:val="none"/>
                <w:lang w:eastAsia="zh-CN"/>
              </w:rPr>
              <w:t>教室课桌椅更换项目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第1.2款</w:t>
            </w:r>
          </w:p>
        </w:tc>
        <w:tc>
          <w:tcPr>
            <w:tcW w:w="2693" w:type="dxa"/>
            <w:vAlign w:val="center"/>
          </w:tcPr>
          <w:p>
            <w:pPr>
              <w:adjustRightInd w:val="0"/>
              <w:snapToGrid w:val="0"/>
              <w:spacing w:line="360" w:lineRule="auto"/>
              <w:rPr>
                <w:rFonts w:hAnsi="宋体"/>
                <w:color w:val="auto"/>
                <w:szCs w:val="21"/>
              </w:rPr>
            </w:pPr>
            <w:r>
              <w:rPr>
                <w:rFonts w:hint="eastAsia" w:hAnsi="宋体"/>
                <w:color w:val="auto"/>
                <w:szCs w:val="21"/>
              </w:rPr>
              <w:t>专门面向中小企业采购</w:t>
            </w:r>
          </w:p>
        </w:tc>
        <w:tc>
          <w:tcPr>
            <w:tcW w:w="4678" w:type="dxa"/>
            <w:vAlign w:val="center"/>
          </w:tcPr>
          <w:p>
            <w:pPr>
              <w:adjustRightInd w:val="0"/>
              <w:snapToGrid w:val="0"/>
              <w:spacing w:line="420" w:lineRule="exact"/>
              <w:rPr>
                <w:rFonts w:hAnsi="宋体"/>
                <w:color w:val="auto"/>
                <w:szCs w:val="21"/>
              </w:rPr>
            </w:pPr>
            <w:r>
              <w:rPr>
                <w:rFonts w:hint="eastAsia" w:ascii="宋体" w:hAnsi="宋体"/>
                <w:color w:val="auto"/>
                <w:szCs w:val="21"/>
              </w:rPr>
              <w:sym w:font="Wingdings 2" w:char="0052"/>
            </w:r>
            <w:r>
              <w:rPr>
                <w:rFonts w:hint="eastAsia" w:hAnsi="宋体"/>
                <w:color w:val="auto"/>
                <w:szCs w:val="21"/>
              </w:rPr>
              <w:t>是</w:t>
            </w:r>
          </w:p>
          <w:p>
            <w:pPr>
              <w:adjustRightInd w:val="0"/>
              <w:snapToGrid w:val="0"/>
              <w:spacing w:line="420" w:lineRule="exact"/>
              <w:rPr>
                <w:rFonts w:hAnsi="宋体"/>
                <w:color w:val="auto"/>
                <w:szCs w:val="21"/>
              </w:rPr>
            </w:pPr>
            <w:r>
              <w:rPr>
                <w:rFonts w:hint="eastAsia" w:ascii="宋体" w:hAnsi="宋体"/>
                <w:color w:val="auto"/>
                <w:szCs w:val="21"/>
              </w:rPr>
              <w:t>□否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第2.1</w:t>
            </w:r>
            <w:r>
              <w:rPr>
                <w:rFonts w:hint="eastAsia" w:cs="宋体" w:asciiTheme="minorEastAsia" w:hAnsiTheme="minorEastAsia" w:eastAsiaTheme="minorEastAsia"/>
                <w:color w:val="auto"/>
                <w:kern w:val="0"/>
                <w:szCs w:val="21"/>
                <w:lang w:val="zh-CN"/>
              </w:rPr>
              <w:t>款</w:t>
            </w:r>
          </w:p>
        </w:tc>
        <w:tc>
          <w:tcPr>
            <w:tcW w:w="2693" w:type="dxa"/>
          </w:tcPr>
          <w:p>
            <w:pPr>
              <w:adjustRightInd w:val="0"/>
              <w:snapToGrid w:val="0"/>
              <w:spacing w:line="360" w:lineRule="auto"/>
              <w:rPr>
                <w:rFonts w:asciiTheme="minorEastAsia" w:hAnsiTheme="minorEastAsia" w:eastAsiaTheme="minorEastAsia"/>
                <w:color w:val="auto"/>
                <w:szCs w:val="21"/>
              </w:rPr>
            </w:pPr>
            <w:r>
              <w:rPr>
                <w:rFonts w:hint="eastAsia" w:hAnsi="宋体"/>
                <w:color w:val="auto"/>
                <w:szCs w:val="21"/>
              </w:rPr>
              <w:t>采购项目联系人姓名和电话</w:t>
            </w:r>
          </w:p>
        </w:tc>
        <w:tc>
          <w:tcPr>
            <w:tcW w:w="4678" w:type="dxa"/>
            <w:vAlign w:val="center"/>
          </w:tcPr>
          <w:p>
            <w:pPr>
              <w:adjustRightInd w:val="0"/>
              <w:snapToGrid w:val="0"/>
              <w:spacing w:line="420" w:lineRule="exact"/>
              <w:rPr>
                <w:rFonts w:hAnsi="宋体"/>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第2.2</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hAnsi="宋体"/>
                <w:color w:val="auto"/>
                <w:szCs w:val="21"/>
              </w:rPr>
              <w:t>采购人名称、地址、电话、联系人</w:t>
            </w:r>
          </w:p>
        </w:tc>
        <w:tc>
          <w:tcPr>
            <w:tcW w:w="4678" w:type="dxa"/>
            <w:vAlign w:val="center"/>
          </w:tcPr>
          <w:p>
            <w:pPr>
              <w:adjustRightInd w:val="0"/>
              <w:snapToGrid w:val="0"/>
              <w:spacing w:line="420" w:lineRule="exact"/>
              <w:rPr>
                <w:rFonts w:hAnsi="宋体"/>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第2.3</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hAnsi="宋体"/>
                <w:color w:val="auto"/>
                <w:szCs w:val="21"/>
              </w:rPr>
              <w:t>采购代理机构名称、地址、电话、联系人</w:t>
            </w:r>
          </w:p>
        </w:tc>
        <w:tc>
          <w:tcPr>
            <w:tcW w:w="4678" w:type="dxa"/>
            <w:vAlign w:val="center"/>
          </w:tcPr>
          <w:p>
            <w:pPr>
              <w:adjustRightInd w:val="0"/>
              <w:snapToGrid w:val="0"/>
              <w:spacing w:line="420" w:lineRule="exact"/>
              <w:rPr>
                <w:rFonts w:hAnsi="宋体"/>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第2.5</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hAnsi="宋体"/>
                <w:color w:val="auto"/>
                <w:szCs w:val="21"/>
              </w:rPr>
            </w:pPr>
            <w:r>
              <w:rPr>
                <w:rFonts w:hint="eastAsia" w:hAnsi="宋体"/>
                <w:color w:val="auto"/>
                <w:szCs w:val="21"/>
              </w:rPr>
              <w:t>采购进口产品</w:t>
            </w:r>
          </w:p>
        </w:tc>
        <w:tc>
          <w:tcPr>
            <w:tcW w:w="4678" w:type="dxa"/>
            <w:vAlign w:val="center"/>
          </w:tcPr>
          <w:p>
            <w:pPr>
              <w:adjustRightInd w:val="0"/>
              <w:snapToGrid w:val="0"/>
              <w:spacing w:line="420" w:lineRule="exact"/>
              <w:rPr>
                <w:rFonts w:ascii="楷体" w:hAnsi="楷体" w:eastAsia="楷体" w:cs="楷体"/>
                <w:color w:val="auto"/>
                <w:szCs w:val="21"/>
              </w:rPr>
            </w:pPr>
            <w:r>
              <w:rPr>
                <w:rFonts w:hint="eastAsia" w:ascii="宋体" w:hAnsi="宋体" w:cs="宋体"/>
                <w:color w:val="auto"/>
                <w:szCs w:val="21"/>
              </w:rPr>
              <w:t xml:space="preserve">□接受    </w:t>
            </w:r>
            <w:r>
              <w:rPr>
                <w:rFonts w:hint="eastAsia" w:ascii="楷体" w:hAnsi="楷体" w:eastAsia="楷体" w:cs="楷体"/>
                <w:color w:val="auto"/>
                <w:szCs w:val="21"/>
              </w:rPr>
              <w:t xml:space="preserve">本项目已经财政部门审核同意购买进口产品  </w:t>
            </w:r>
          </w:p>
          <w:p>
            <w:pPr>
              <w:adjustRightInd w:val="0"/>
              <w:snapToGrid w:val="0"/>
              <w:spacing w:line="420" w:lineRule="exact"/>
              <w:rPr>
                <w:rFonts w:hAnsi="宋体"/>
                <w:color w:val="auto"/>
                <w:szCs w:val="21"/>
              </w:rPr>
            </w:pPr>
            <w:r>
              <w:rPr>
                <w:rFonts w:hint="eastAsia" w:ascii="宋体" w:hAnsi="宋体" w:cs="宋体"/>
                <w:color w:val="auto"/>
                <w:szCs w:val="21"/>
              </w:rPr>
              <w:sym w:font="Wingdings 2" w:char="0052"/>
            </w:r>
            <w:r>
              <w:rPr>
                <w:rFonts w:hint="eastAsia" w:ascii="宋体" w:hAnsi="宋体" w:cs="宋体"/>
                <w:color w:val="auto"/>
                <w:szCs w:val="21"/>
              </w:rPr>
              <w:t xml:space="preserve">拒绝   </w:t>
            </w:r>
            <w:r>
              <w:rPr>
                <w:rFonts w:hint="eastAsia" w:ascii="楷体" w:hAnsi="楷体" w:eastAsia="楷体" w:cs="楷体"/>
                <w:color w:val="auto"/>
                <w:szCs w:val="21"/>
              </w:rPr>
              <w:t>本项目拒绝进口产品参加投标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hAnsi="宋体"/>
                <w:color w:val="auto"/>
                <w:szCs w:val="21"/>
              </w:rPr>
            </w:pPr>
            <w:r>
              <w:rPr>
                <w:rFonts w:hint="eastAsia" w:asciiTheme="minorEastAsia" w:hAnsiTheme="minorEastAsia" w:eastAsiaTheme="minorEastAsia"/>
                <w:color w:val="auto"/>
                <w:szCs w:val="21"/>
              </w:rPr>
              <w:t>投标人资格条件</w:t>
            </w:r>
          </w:p>
        </w:tc>
        <w:tc>
          <w:tcPr>
            <w:tcW w:w="4678" w:type="dxa"/>
            <w:vAlign w:val="center"/>
          </w:tcPr>
          <w:p>
            <w:pPr>
              <w:adjustRightInd w:val="0"/>
              <w:snapToGrid w:val="0"/>
              <w:spacing w:line="420" w:lineRule="exact"/>
              <w:rPr>
                <w:rFonts w:hAnsi="宋体"/>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第3.2</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hAnsi="宋体"/>
                <w:color w:val="auto"/>
                <w:szCs w:val="21"/>
              </w:rPr>
            </w:pPr>
            <w:r>
              <w:rPr>
                <w:rFonts w:hint="eastAsia" w:hAnsi="宋体"/>
                <w:color w:val="auto"/>
                <w:szCs w:val="21"/>
              </w:rPr>
              <w:t>接受联合体形式投标</w:t>
            </w:r>
          </w:p>
        </w:tc>
        <w:tc>
          <w:tcPr>
            <w:tcW w:w="4678" w:type="dxa"/>
            <w:vAlign w:val="center"/>
          </w:tcPr>
          <w:p>
            <w:pPr>
              <w:adjustRightInd w:val="0"/>
              <w:snapToGrid w:val="0"/>
              <w:spacing w:line="420" w:lineRule="exact"/>
              <w:rPr>
                <w:rFonts w:ascii="宋体" w:hAnsi="宋体" w:cs="宋体"/>
                <w:color w:val="auto"/>
                <w:szCs w:val="21"/>
              </w:rPr>
            </w:pPr>
            <w:r>
              <w:rPr>
                <w:rFonts w:hint="eastAsia" w:ascii="宋体" w:hAnsi="宋体" w:cs="宋体"/>
                <w:color w:val="auto"/>
                <w:szCs w:val="21"/>
              </w:rPr>
              <w:t>□接受</w:t>
            </w:r>
          </w:p>
          <w:p>
            <w:pPr>
              <w:adjustRightInd w:val="0"/>
              <w:snapToGrid w:val="0"/>
              <w:spacing w:line="420" w:lineRule="exact"/>
              <w:rPr>
                <w:rFonts w:hAnsi="宋体"/>
                <w:color w:val="auto"/>
                <w:szCs w:val="21"/>
              </w:rPr>
            </w:pPr>
            <w:r>
              <w:rPr>
                <w:rFonts w:hint="eastAsia" w:ascii="宋体" w:hAnsi="宋体" w:cs="宋体"/>
                <w:color w:val="auto"/>
                <w:szCs w:val="21"/>
              </w:rPr>
              <w:sym w:font="Wingdings 2" w:char="0052"/>
            </w:r>
            <w:r>
              <w:rPr>
                <w:rFonts w:hint="eastAsia" w:ascii="宋体" w:hAnsi="宋体" w:cs="宋体"/>
                <w:color w:val="auto"/>
                <w:szCs w:val="21"/>
              </w:rPr>
              <w:t>不接受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hAnsi="宋体"/>
                <w:color w:val="auto"/>
                <w:szCs w:val="21"/>
              </w:rPr>
            </w:pPr>
            <w:r>
              <w:rPr>
                <w:rFonts w:hint="eastAsia" w:asciiTheme="minorEastAsia" w:hAnsiTheme="minorEastAsia" w:eastAsiaTheme="minorEastAsia"/>
                <w:color w:val="auto"/>
                <w:szCs w:val="21"/>
              </w:rPr>
              <w:t>招标文件提供期限</w:t>
            </w:r>
          </w:p>
        </w:tc>
        <w:tc>
          <w:tcPr>
            <w:tcW w:w="4678" w:type="dxa"/>
            <w:vAlign w:val="center"/>
          </w:tcPr>
          <w:p>
            <w:pPr>
              <w:adjustRightInd w:val="0"/>
              <w:snapToGrid w:val="0"/>
              <w:spacing w:line="420" w:lineRule="exact"/>
              <w:rPr>
                <w:rFonts w:hAnsi="宋体"/>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第5.2</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组织现场考察或者召开答疑会</w:t>
            </w:r>
          </w:p>
        </w:tc>
        <w:tc>
          <w:tcPr>
            <w:tcW w:w="4678" w:type="dxa"/>
            <w:vAlign w:val="center"/>
          </w:tcPr>
          <w:p>
            <w:pPr>
              <w:adjustRightInd w:val="0"/>
              <w:snapToGrid w:val="0"/>
              <w:spacing w:line="360" w:lineRule="auto"/>
              <w:rPr>
                <w:rFonts w:ascii="宋体" w:hAnsi="宋体"/>
                <w:color w:val="auto"/>
                <w:szCs w:val="21"/>
              </w:rPr>
            </w:pPr>
            <w:r>
              <w:rPr>
                <w:rFonts w:hint="eastAsia" w:ascii="宋体" w:hAnsi="宋体"/>
                <w:color w:val="auto"/>
                <w:szCs w:val="21"/>
              </w:rPr>
              <w:sym w:font="Wingdings 2" w:char="0052"/>
            </w:r>
            <w:r>
              <w:rPr>
                <w:rFonts w:hint="eastAsia" w:ascii="宋体" w:hAnsi="宋体"/>
                <w:color w:val="auto"/>
                <w:szCs w:val="21"/>
              </w:rPr>
              <w:t xml:space="preserve"> 不组织</w:t>
            </w:r>
          </w:p>
          <w:p>
            <w:pPr>
              <w:adjustRightInd w:val="0"/>
              <w:snapToGrid w:val="0"/>
              <w:spacing w:line="360" w:lineRule="auto"/>
              <w:rPr>
                <w:rFonts w:ascii="宋体" w:hAnsi="宋体"/>
                <w:color w:val="auto"/>
                <w:szCs w:val="21"/>
              </w:rPr>
            </w:pPr>
            <w:r>
              <w:rPr>
                <w:rFonts w:hint="eastAsia" w:ascii="宋体" w:hAnsi="宋体"/>
                <w:color w:val="auto"/>
                <w:szCs w:val="21"/>
              </w:rPr>
              <w:t>□ 组织</w:t>
            </w:r>
          </w:p>
          <w:p>
            <w:pPr>
              <w:adjustRightInd w:val="0"/>
              <w:snapToGrid w:val="0"/>
              <w:spacing w:line="360" w:lineRule="auto"/>
              <w:rPr>
                <w:rFonts w:ascii="宋体" w:hAnsi="宋体"/>
                <w:color w:val="auto"/>
                <w:szCs w:val="21"/>
              </w:rPr>
            </w:pPr>
            <w:r>
              <w:rPr>
                <w:rFonts w:hint="eastAsia" w:ascii="宋体" w:hAnsi="宋体"/>
                <w:color w:val="auto"/>
                <w:szCs w:val="21"/>
              </w:rPr>
              <w:t xml:space="preserve">时间：         </w:t>
            </w:r>
          </w:p>
          <w:p>
            <w:pPr>
              <w:adjustRightInd w:val="0"/>
              <w:snapToGrid w:val="0"/>
              <w:spacing w:line="360" w:lineRule="auto"/>
              <w:rPr>
                <w:rFonts w:ascii="宋体" w:hAnsi="宋体"/>
                <w:color w:val="auto"/>
                <w:szCs w:val="21"/>
                <w:u w:val="single"/>
              </w:rPr>
            </w:pPr>
            <w:r>
              <w:rPr>
                <w:rFonts w:hint="eastAsia" w:ascii="宋体" w:hAnsi="宋体"/>
                <w:color w:val="auto"/>
                <w:szCs w:val="21"/>
              </w:rPr>
              <w:t xml:space="preserve">地点：         </w:t>
            </w:r>
          </w:p>
          <w:p>
            <w:pPr>
              <w:adjustRightInd w:val="0"/>
              <w:snapToGrid w:val="0"/>
              <w:spacing w:line="360" w:lineRule="auto"/>
              <w:rPr>
                <w:rFonts w:ascii="宋体" w:hAnsi="宋体"/>
                <w:color w:val="auto"/>
                <w:szCs w:val="21"/>
                <w:u w:val="single"/>
              </w:rPr>
            </w:pPr>
            <w:r>
              <w:rPr>
                <w:rFonts w:hint="eastAsia" w:ascii="宋体" w:hAnsi="宋体"/>
                <w:color w:val="auto"/>
                <w:szCs w:val="21"/>
                <w:u w:val="single"/>
              </w:rPr>
              <w:t xml:space="preserve">联系人：        </w:t>
            </w:r>
          </w:p>
          <w:p>
            <w:pPr>
              <w:adjustRightInd w:val="0"/>
              <w:snapToGrid w:val="0"/>
              <w:spacing w:line="360" w:lineRule="auto"/>
              <w:rPr>
                <w:rFonts w:ascii="宋体" w:hAnsi="宋体"/>
                <w:color w:val="auto"/>
                <w:szCs w:val="21"/>
                <w:u w:val="single"/>
              </w:rPr>
            </w:pPr>
            <w:r>
              <w:rPr>
                <w:rFonts w:hint="eastAsia" w:ascii="宋体" w:hAnsi="宋体"/>
                <w:color w:val="auto"/>
                <w:szCs w:val="21"/>
                <w:u w:val="single"/>
              </w:rPr>
              <w:t xml:space="preserve">联系方式：      </w:t>
            </w:r>
          </w:p>
          <w:p>
            <w:pPr>
              <w:adjustRightInd w:val="0"/>
              <w:snapToGrid w:val="0"/>
              <w:spacing w:line="360" w:lineRule="auto"/>
              <w:rPr>
                <w:rFonts w:ascii="宋体" w:hAnsi="宋体"/>
                <w:color w:val="auto"/>
                <w:szCs w:val="21"/>
                <w:u w:val="single"/>
              </w:rPr>
            </w:pPr>
            <w:r>
              <w:rPr>
                <w:rFonts w:hint="eastAsia" w:ascii="宋体" w:hAnsi="宋体"/>
                <w:color w:val="auto"/>
                <w:szCs w:val="21"/>
                <w:u w:val="single"/>
              </w:rPr>
              <w:t>说明事项：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pPr>
              <w:adjustRightInd w:val="0"/>
              <w:snapToGrid w:val="0"/>
              <w:spacing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二、招标文件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第7.4</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非实质性偏离的范围和幅度</w:t>
            </w:r>
          </w:p>
        </w:tc>
        <w:tc>
          <w:tcPr>
            <w:tcW w:w="4678" w:type="dxa"/>
            <w:vAlign w:val="center"/>
          </w:tcPr>
          <w:p>
            <w:pPr>
              <w:adjustRightInd w:val="0"/>
              <w:snapToGrid w:val="0"/>
              <w:spacing w:line="360" w:lineRule="auto"/>
              <w:ind w:left="105" w:hanging="105" w:hangingChars="50"/>
              <w:jc w:val="left"/>
              <w:rPr>
                <w:rFonts w:asciiTheme="minorEastAsia" w:hAnsiTheme="minorEastAsia" w:eastAsiaTheme="minorEastAsia"/>
                <w:color w:val="auto"/>
                <w:szCs w:val="21"/>
                <w:u w:val="single"/>
              </w:rPr>
            </w:pPr>
            <w:r>
              <w:rPr>
                <w:rFonts w:hint="eastAsia" w:asciiTheme="minorEastAsia" w:hAnsiTheme="minorEastAsia" w:eastAsiaTheme="minorEastAsia"/>
                <w:b/>
                <w:bCs/>
                <w:color w:val="auto"/>
                <w:szCs w:val="21"/>
              </w:rPr>
              <w:t>招标文件第五章【采购需求】中条款偏离项数之和≥</w:t>
            </w:r>
            <w:r>
              <w:rPr>
                <w:rFonts w:hint="eastAsia" w:asciiTheme="minorEastAsia" w:hAnsiTheme="minorEastAsia" w:eastAsiaTheme="minorEastAsia"/>
                <w:b/>
                <w:bCs/>
                <w:color w:val="auto"/>
                <w:szCs w:val="21"/>
                <w:u w:val="single"/>
              </w:rPr>
              <w:t xml:space="preserve"> </w:t>
            </w:r>
            <w:r>
              <w:rPr>
                <w:rFonts w:hint="eastAsia" w:asciiTheme="minorEastAsia" w:hAnsiTheme="minorEastAsia" w:eastAsiaTheme="minorEastAsia"/>
                <w:b/>
                <w:bCs/>
                <w:color w:val="auto"/>
                <w:szCs w:val="21"/>
                <w:u w:val="single"/>
                <w:lang w:val="en-US" w:eastAsia="zh-CN"/>
              </w:rPr>
              <w:t>1</w:t>
            </w:r>
            <w:r>
              <w:rPr>
                <w:rFonts w:hint="eastAsia" w:asciiTheme="minorEastAsia" w:hAnsiTheme="minorEastAsia" w:eastAsiaTheme="minorEastAsia"/>
                <w:b/>
                <w:bCs/>
                <w:color w:val="auto"/>
                <w:szCs w:val="21"/>
                <w:u w:val="single"/>
              </w:rPr>
              <w:t xml:space="preserve"> </w:t>
            </w:r>
            <w:r>
              <w:rPr>
                <w:rFonts w:hint="eastAsia" w:asciiTheme="minorEastAsia" w:hAnsiTheme="minorEastAsia" w:eastAsiaTheme="minorEastAsia"/>
                <w:b/>
                <w:bCs/>
                <w:color w:val="auto"/>
                <w:szCs w:val="21"/>
              </w:rPr>
              <w:t>项将导致无效投标。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第9.1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招标公告指定媒体</w:t>
            </w:r>
          </w:p>
        </w:tc>
        <w:tc>
          <w:tcPr>
            <w:tcW w:w="4678" w:type="dxa"/>
            <w:vAlign w:val="center"/>
          </w:tcPr>
          <w:p>
            <w:pPr>
              <w:adjustRightInd w:val="0"/>
              <w:snapToGrid w:val="0"/>
              <w:spacing w:line="360" w:lineRule="auto"/>
              <w:ind w:left="105" w:hanging="105" w:hangingChars="50"/>
              <w:rPr>
                <w:rFonts w:hAnsi="宋体"/>
                <w:color w:val="auto"/>
                <w:szCs w:val="21"/>
              </w:rPr>
            </w:pPr>
            <w:r>
              <w:rPr>
                <w:rFonts w:hint="eastAsia" w:asciiTheme="minorEastAsia" w:hAnsiTheme="minorEastAsia" w:eastAsiaTheme="minorEastAsia"/>
                <w:color w:val="auto"/>
                <w:szCs w:val="21"/>
                <w:u w:val="single"/>
              </w:rPr>
              <w:t>湖南省政府采购网(www.ccgp-hunan.gov.cn)和郴州市公共资源交易中心(http://czggzy.czs.gov.cn/)</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三、投标文件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第13.2</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采购预算、最高限价</w:t>
            </w:r>
          </w:p>
        </w:tc>
        <w:tc>
          <w:tcPr>
            <w:tcW w:w="4678" w:type="dxa"/>
            <w:vAlign w:val="center"/>
          </w:tcPr>
          <w:p>
            <w:pPr>
              <w:adjustRightInd w:val="0"/>
              <w:snapToGrid w:val="0"/>
              <w:spacing w:line="360" w:lineRule="auto"/>
              <w:rPr>
                <w:rFonts w:hint="eastAsia" w:cs="Times New Roman" w:asciiTheme="minorEastAsia" w:hAnsiTheme="minorEastAsia" w:eastAsiaTheme="minorEastAsia"/>
                <w:color w:val="auto"/>
                <w:szCs w:val="21"/>
                <w:u w:val="none"/>
                <w:lang w:val="en-US" w:eastAsia="zh-CN"/>
              </w:rPr>
            </w:pPr>
            <w:r>
              <w:rPr>
                <w:rFonts w:hint="eastAsia" w:cs="Times New Roman" w:asciiTheme="minorEastAsia" w:hAnsiTheme="minorEastAsia" w:eastAsiaTheme="minorEastAsia"/>
                <w:color w:val="auto"/>
                <w:szCs w:val="21"/>
                <w:u w:val="none"/>
                <w:lang w:val="en-US" w:eastAsia="zh-CN"/>
              </w:rPr>
              <w:t>第1包：</w:t>
            </w:r>
          </w:p>
          <w:p>
            <w:pPr>
              <w:adjustRightInd w:val="0"/>
              <w:snapToGrid w:val="0"/>
              <w:spacing w:line="360" w:lineRule="auto"/>
              <w:rPr>
                <w:rFonts w:hint="eastAsia" w:cs="Times New Roman" w:asciiTheme="minorEastAsia" w:hAnsiTheme="minorEastAsia" w:eastAsiaTheme="minorEastAsia"/>
                <w:color w:val="auto"/>
                <w:szCs w:val="21"/>
                <w:u w:val="single"/>
                <w:lang w:val="en-US" w:eastAsia="zh-CN"/>
              </w:rPr>
            </w:pPr>
            <w:r>
              <w:rPr>
                <w:rFonts w:hint="eastAsia" w:cs="Times New Roman" w:asciiTheme="minorEastAsia" w:hAnsiTheme="minorEastAsia" w:eastAsiaTheme="minorEastAsia"/>
                <w:color w:val="auto"/>
                <w:szCs w:val="21"/>
                <w:u w:val="none"/>
                <w:lang w:val="en-US" w:eastAsia="zh-CN"/>
              </w:rPr>
              <w:t>采购预算：</w:t>
            </w:r>
            <w:r>
              <w:rPr>
                <w:rFonts w:hint="eastAsia" w:cs="Times New Roman" w:asciiTheme="minorEastAsia" w:hAnsiTheme="minorEastAsia" w:eastAsiaTheme="minorEastAsia"/>
                <w:color w:val="auto"/>
                <w:szCs w:val="21"/>
                <w:u w:val="single"/>
                <w:lang w:val="en-US" w:eastAsia="zh-CN"/>
              </w:rPr>
              <w:t>¥1429200.00元，</w:t>
            </w:r>
            <w:r>
              <w:rPr>
                <w:rFonts w:hint="eastAsia" w:cs="Times New Roman" w:asciiTheme="minorEastAsia" w:hAnsiTheme="minorEastAsia" w:eastAsiaTheme="minorEastAsia"/>
                <w:color w:val="auto"/>
                <w:szCs w:val="21"/>
                <w:u w:val="none"/>
                <w:lang w:val="en-US" w:eastAsia="zh-CN"/>
              </w:rPr>
              <w:t>最高限价：</w:t>
            </w:r>
            <w:r>
              <w:rPr>
                <w:rFonts w:hint="eastAsia" w:cs="Times New Roman" w:asciiTheme="minorEastAsia" w:hAnsiTheme="minorEastAsia" w:eastAsiaTheme="minorEastAsia"/>
                <w:color w:val="auto"/>
                <w:szCs w:val="21"/>
                <w:u w:val="single"/>
                <w:lang w:val="en-US" w:eastAsia="zh-CN"/>
              </w:rPr>
              <w:t>¥1429200.00元。</w:t>
            </w:r>
          </w:p>
          <w:p>
            <w:pPr>
              <w:adjustRightInd w:val="0"/>
              <w:snapToGrid w:val="0"/>
              <w:spacing w:line="360" w:lineRule="auto"/>
              <w:rPr>
                <w:rFonts w:hint="eastAsia" w:cs="Times New Roman" w:asciiTheme="minorEastAsia" w:hAnsiTheme="minorEastAsia" w:eastAsiaTheme="minorEastAsia"/>
                <w:color w:val="auto"/>
                <w:szCs w:val="21"/>
                <w:u w:val="single"/>
                <w:lang w:val="en-US" w:eastAsia="zh-CN"/>
              </w:rPr>
            </w:pPr>
            <w:r>
              <w:rPr>
                <w:rFonts w:hint="eastAsia" w:cs="Times New Roman" w:asciiTheme="minorEastAsia" w:hAnsiTheme="minorEastAsia" w:eastAsiaTheme="minorEastAsia"/>
                <w:color w:val="auto"/>
                <w:szCs w:val="21"/>
                <w:u w:val="none"/>
                <w:lang w:val="en-US" w:eastAsia="zh-CN"/>
              </w:rPr>
              <w:t>注：各投标人的投标报价均不得超过本项目预算和最高限价，否则将被视为无效投标。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第13.8款</w:t>
            </w:r>
          </w:p>
        </w:tc>
        <w:tc>
          <w:tcPr>
            <w:tcW w:w="2693"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投标报价的其他要求</w:t>
            </w:r>
          </w:p>
        </w:tc>
        <w:tc>
          <w:tcPr>
            <w:tcW w:w="4678" w:type="dxa"/>
            <w:vAlign w:val="center"/>
          </w:tcPr>
          <w:p>
            <w:pPr>
              <w:widowControl/>
              <w:spacing w:line="240" w:lineRule="auto"/>
              <w:jc w:val="left"/>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bidi="ar"/>
              </w:rPr>
              <w:t>1</w:t>
            </w:r>
            <w:r>
              <w:rPr>
                <w:rFonts w:hint="eastAsia" w:ascii="宋体" w:hAnsi="宋体" w:eastAsia="宋体" w:cs="宋体"/>
                <w:color w:val="auto"/>
                <w:kern w:val="0"/>
                <w:szCs w:val="21"/>
                <w:highlight w:val="none"/>
                <w:lang w:eastAsia="zh-CN" w:bidi="ar"/>
              </w:rPr>
              <w:t>、</w:t>
            </w:r>
            <w:r>
              <w:rPr>
                <w:color w:val="auto"/>
                <w:highlight w:val="none"/>
              </w:rPr>
              <w:t>除包含货物本身的价格外，还应包含运输到指定地点的运输费、保险费、税费等一切费用，采购人不另行支付其他费用</w:t>
            </w:r>
            <w:r>
              <w:rPr>
                <w:rFonts w:hint="eastAsia" w:ascii="宋体" w:hAnsi="宋体" w:eastAsia="宋体" w:cs="宋体"/>
                <w:color w:val="auto"/>
                <w:kern w:val="0"/>
                <w:szCs w:val="21"/>
                <w:highlight w:val="none"/>
                <w:lang w:val="en-US" w:eastAsia="zh-CN" w:bidi="ar"/>
              </w:rPr>
              <w:t>。</w:t>
            </w:r>
          </w:p>
          <w:p>
            <w:pPr>
              <w:widowControl/>
              <w:spacing w:line="240" w:lineRule="auto"/>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lang w:val="en-US" w:eastAsia="zh-CN" w:bidi="ar"/>
              </w:rPr>
              <w:t>2</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以招标文件规定的供货及服务要求、责任范围和合同条件为基础进行一次性报价。</w:t>
            </w:r>
          </w:p>
          <w:p>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评标委员会认为投标人的报价明显低于其他通过符合性审查投标人的报价，有可能影响服务质量或者不能诚信履约的，可要求其在合理时间内采用数据电文形式，并根据要求进行电子签章，提供书面说明，必要时提交相关证明材料；投标人不能证明其报价合理性的，评标委员会将其作为无效投标处理。</w:t>
            </w:r>
          </w:p>
          <w:p>
            <w:pPr>
              <w:adjustRightInd w:val="0"/>
              <w:snapToGrid w:val="0"/>
              <w:spacing w:line="240" w:lineRule="auto"/>
              <w:rPr>
                <w:rFonts w:hint="eastAsia" w:ascii="宋体" w:hAnsi="宋体" w:eastAsia="宋体" w:cs="宋体"/>
                <w:color w:val="auto"/>
                <w:szCs w:val="21"/>
                <w:highlight w:val="none"/>
              </w:rPr>
            </w:pP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4、异常低价审查：</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出现下列情形之一的，评审委员会应当启动异常低价投标（响应）审查程序：</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（1）投标（响应）报价低于全部通过符合性审查供应商投标（响应）报价平均值50%的，即投标（响应）报价＜全部通过符合性审查供应商投标（响应）报价平均值×50%；</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（2）投标（响应）报价低于通过符合性审查的次低报价供应商投标（响应）报价50%的，即投标（响应）报价＜通过符合性审查的次低报价（响应）供应商投标报价×50%；</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（3）投标（响应）报价低于采购项目最高限价45%的，即投标（响应）报价＜采购项目最高限价×45%；</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（4）评审委员会基于专业判断，认为供应商报价过低，有可能影响产品质量或者不能诚信履约的其他情形。</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说明：（一）采购人可以结合具体项目实际情况，提高上述第1项至第3项中启动异常低价投标（响应）审查的数值标准，但是最高不得超过65%。</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二）评审委员会在评审中发现【异常低价审查】规定情形之一的，评标委员会应当启动异常低价投标审查程序。评审委员会启动异常低价投标审查后，属于第1项至第4项情形的，应当要求相关供应商在评审现场合理的时间内对投标（响应）价格作出解释，提供项目具体成本测算等与报价合理性相关的书面说明及必要的证明材料，包括但不限于原材料成本、人工成本、制造费等，给予相关供应商的合理时间一般不少于30分钟。其中，属于第3项情形，供应商已随投标（响应）文件一并提交相关书面说明及必要的证明材料的，在评审现场可不再重复提交。</w:t>
            </w:r>
          </w:p>
          <w:p>
            <w:pPr>
              <w:adjustRightInd w:val="0"/>
              <w:snapToGrid w:val="0"/>
              <w:spacing w:line="240" w:lineRule="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第14.1款</w:t>
            </w:r>
          </w:p>
        </w:tc>
        <w:tc>
          <w:tcPr>
            <w:tcW w:w="2693" w:type="dxa"/>
            <w:vAlign w:val="center"/>
          </w:tcPr>
          <w:p>
            <w:pPr>
              <w:adjustRightInd w:val="0"/>
              <w:snapToGrid w:val="0"/>
              <w:spacing w:line="360" w:lineRule="auto"/>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投标人应提供资格审查资料</w:t>
            </w:r>
          </w:p>
        </w:tc>
        <w:tc>
          <w:tcPr>
            <w:tcW w:w="4678"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宋体" w:hAnsi="宋体" w:eastAsia="宋体" w:cs="宋体"/>
                <w:color w:val="auto"/>
                <w:szCs w:val="21"/>
                <w:highlight w:val="none"/>
              </w:rPr>
              <w:t>详见第一章【投标邀请】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第14.1(3)项</w:t>
            </w:r>
          </w:p>
        </w:tc>
        <w:tc>
          <w:tcPr>
            <w:tcW w:w="2693"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特定资格条件应提供的资格审查资料</w:t>
            </w:r>
          </w:p>
        </w:tc>
        <w:tc>
          <w:tcPr>
            <w:tcW w:w="4678"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宋体" w:hAnsi="宋体" w:eastAsia="宋体" w:cs="宋体"/>
                <w:color w:val="auto"/>
                <w:szCs w:val="21"/>
                <w:highlight w:val="none"/>
              </w:rPr>
              <w:t>详见第一章【投标邀请】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33" w:hRule="atLeast"/>
        </w:trPr>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第15.3款</w:t>
            </w:r>
          </w:p>
        </w:tc>
        <w:tc>
          <w:tcPr>
            <w:tcW w:w="2693"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宋体" w:hAnsi="宋体"/>
                <w:color w:val="auto"/>
                <w:szCs w:val="21"/>
              </w:rPr>
              <w:t>样品提供的规定</w:t>
            </w:r>
          </w:p>
        </w:tc>
        <w:tc>
          <w:tcPr>
            <w:tcW w:w="4678" w:type="dxa"/>
            <w:vAlign w:val="center"/>
          </w:tcPr>
          <w:p>
            <w:pPr>
              <w:adjustRightInd w:val="0"/>
              <w:snapToGrid w:val="0"/>
              <w:spacing w:before="156" w:beforeLines="50" w:line="360" w:lineRule="auto"/>
              <w:rPr>
                <w:rFonts w:ascii="宋体" w:hAnsi="宋体"/>
                <w:color w:val="auto"/>
                <w:szCs w:val="21"/>
              </w:rPr>
            </w:pPr>
            <w:r>
              <w:rPr>
                <w:rFonts w:hint="eastAsia" w:ascii="宋体" w:hAnsi="宋体"/>
                <w:color w:val="auto"/>
                <w:szCs w:val="21"/>
              </w:rPr>
              <w:sym w:font="Wingdings 2" w:char="0052"/>
            </w:r>
            <w:r>
              <w:rPr>
                <w:rFonts w:hint="eastAsia" w:ascii="宋体" w:hAnsi="宋体"/>
                <w:color w:val="auto"/>
                <w:szCs w:val="21"/>
              </w:rPr>
              <w:t xml:space="preserve"> 不要求提供</w:t>
            </w:r>
          </w:p>
          <w:p>
            <w:pPr>
              <w:adjustRightInd w:val="0"/>
              <w:snapToGrid w:val="0"/>
              <w:spacing w:before="156" w:beforeLines="50" w:line="360" w:lineRule="auto"/>
              <w:rPr>
                <w:rFonts w:ascii="宋体" w:hAnsi="宋体"/>
                <w:color w:val="auto"/>
                <w:szCs w:val="21"/>
              </w:rPr>
            </w:pPr>
            <w:r>
              <w:rPr>
                <w:rFonts w:hint="eastAsia" w:ascii="宋体" w:hAnsi="宋体"/>
                <w:color w:val="auto"/>
                <w:szCs w:val="21"/>
              </w:rPr>
              <w:t>□ 要求提供，提交的时间：</w:t>
            </w:r>
            <w:r>
              <w:rPr>
                <w:rFonts w:hint="eastAsia" w:ascii="宋体" w:hAnsi="宋体"/>
                <w:color w:val="auto"/>
                <w:szCs w:val="21"/>
                <w:u w:val="single"/>
              </w:rPr>
              <w:t xml:space="preserve">           </w:t>
            </w:r>
            <w:r>
              <w:rPr>
                <w:rFonts w:hint="eastAsia" w:ascii="宋体" w:hAnsi="宋体"/>
                <w:color w:val="auto"/>
                <w:szCs w:val="21"/>
              </w:rPr>
              <w:t xml:space="preserve"> 地点</w:t>
            </w:r>
            <w:r>
              <w:rPr>
                <w:rFonts w:hint="eastAsia" w:ascii="宋体" w:hAnsi="宋体"/>
                <w:color w:val="auto"/>
                <w:szCs w:val="21"/>
                <w:u w:val="single"/>
              </w:rPr>
              <w:t xml:space="preserve">               </w:t>
            </w:r>
            <w:r>
              <w:rPr>
                <w:rFonts w:hint="eastAsia" w:ascii="宋体" w:hAnsi="宋体"/>
                <w:color w:val="auto"/>
                <w:szCs w:val="21"/>
              </w:rPr>
              <w:t xml:space="preserve"> 。</w:t>
            </w:r>
          </w:p>
          <w:p>
            <w:pPr>
              <w:adjustRightInd w:val="0"/>
              <w:snapToGrid w:val="0"/>
              <w:spacing w:before="156" w:beforeLines="50" w:line="360" w:lineRule="auto"/>
              <w:rPr>
                <w:rFonts w:ascii="宋体" w:hAnsi="宋体"/>
                <w:color w:val="auto"/>
                <w:szCs w:val="21"/>
              </w:rPr>
            </w:pPr>
            <w:r>
              <w:rPr>
                <w:rFonts w:hint="eastAsia" w:ascii="宋体" w:hAnsi="宋体"/>
                <w:color w:val="auto"/>
                <w:szCs w:val="21"/>
              </w:rPr>
              <w:t>1、样品制作的标准和要求、是否需要随样品提交相关检测报告、样品的评审方法以及评审标准详见第三章及第四章。</w:t>
            </w:r>
          </w:p>
          <w:p>
            <w:pPr>
              <w:adjustRightInd w:val="0"/>
              <w:snapToGrid w:val="0"/>
              <w:spacing w:before="156" w:beforeLines="50" w:line="360" w:lineRule="auto"/>
              <w:rPr>
                <w:rFonts w:ascii="宋体" w:hAnsi="宋体"/>
                <w:color w:val="auto"/>
                <w:szCs w:val="21"/>
              </w:rPr>
            </w:pPr>
            <w:r>
              <w:rPr>
                <w:rFonts w:hint="eastAsia" w:ascii="宋体" w:hAnsi="宋体"/>
                <w:color w:val="auto"/>
                <w:szCs w:val="21"/>
              </w:rPr>
              <w:t>2、中标人提供的样品保管、封存规定：</w:t>
            </w:r>
          </w:p>
          <w:p>
            <w:pPr>
              <w:adjustRightInd w:val="0"/>
              <w:snapToGrid w:val="0"/>
              <w:spacing w:line="360" w:lineRule="auto"/>
              <w:rPr>
                <w:rFonts w:asciiTheme="minorEastAsia" w:hAnsiTheme="minorEastAsia" w:eastAsiaTheme="minorEastAsia"/>
                <w:color w:val="auto"/>
                <w:szCs w:val="21"/>
              </w:rPr>
            </w:pPr>
            <w:r>
              <w:rPr>
                <w:rFonts w:hint="eastAsia" w:ascii="宋体" w:hAnsi="宋体"/>
                <w:color w:val="auto"/>
                <w:szCs w:val="21"/>
              </w:rPr>
              <w:t>__________________________________________</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第16.1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投标有效期</w:t>
            </w:r>
          </w:p>
        </w:tc>
        <w:tc>
          <w:tcPr>
            <w:tcW w:w="4678" w:type="dxa"/>
            <w:vAlign w:val="center"/>
          </w:tcPr>
          <w:p>
            <w:pPr>
              <w:adjustRightInd w:val="0"/>
              <w:snapToGrid w:val="0"/>
              <w:spacing w:line="360" w:lineRule="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u w:val="single"/>
              </w:rPr>
              <w:t xml:space="preserve">  </w:t>
            </w:r>
            <w:r>
              <w:rPr>
                <w:rFonts w:hint="eastAsia" w:asciiTheme="minorEastAsia" w:hAnsiTheme="minorEastAsia" w:eastAsiaTheme="minorEastAsia"/>
                <w:bCs/>
                <w:color w:val="auto"/>
                <w:szCs w:val="21"/>
                <w:u w:val="single"/>
                <w:lang w:val="en-US" w:eastAsia="zh-CN"/>
              </w:rPr>
              <w:t>90</w:t>
            </w:r>
            <w:r>
              <w:rPr>
                <w:rFonts w:hint="eastAsia" w:asciiTheme="minorEastAsia" w:hAnsiTheme="minorEastAsia" w:eastAsiaTheme="minorEastAsia"/>
                <w:bCs/>
                <w:color w:val="auto"/>
                <w:szCs w:val="21"/>
                <w:u w:val="single"/>
              </w:rPr>
              <w:t xml:space="preserve">  </w:t>
            </w:r>
            <w:r>
              <w:rPr>
                <w:rFonts w:hint="eastAsia" w:asciiTheme="minorEastAsia" w:hAnsiTheme="minorEastAsia" w:eastAsiaTheme="minorEastAsia"/>
                <w:bCs/>
                <w:color w:val="auto"/>
                <w:szCs w:val="21"/>
              </w:rPr>
              <w:t>日（日历日），如投标有效期不足的，在评标时将视为无效投标。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分包</w:t>
            </w:r>
          </w:p>
        </w:tc>
        <w:tc>
          <w:tcPr>
            <w:tcW w:w="4678" w:type="dxa"/>
            <w:vAlign w:val="center"/>
          </w:tcPr>
          <w:p>
            <w:pPr>
              <w:adjustRightInd w:val="0"/>
              <w:snapToGrid w:val="0"/>
              <w:spacing w:line="360" w:lineRule="auto"/>
              <w:rPr>
                <w:rFonts w:asciiTheme="minorEastAsia" w:hAnsiTheme="minorEastAsia" w:eastAsiaTheme="minorEastAsia"/>
                <w:b/>
                <w:bCs/>
                <w:color w:val="auto"/>
                <w:szCs w:val="21"/>
              </w:rPr>
            </w:pPr>
            <w:r>
              <w:rPr>
                <w:rFonts w:hint="eastAsia" w:asciiTheme="minorEastAsia" w:hAnsiTheme="minorEastAsia" w:eastAsiaTheme="minorEastAsia"/>
                <w:bCs/>
                <w:color w:val="auto"/>
                <w:szCs w:val="21"/>
              </w:rPr>
              <w:t>分包要求:</w:t>
            </w:r>
            <w:r>
              <w:rPr>
                <w:rFonts w:hint="eastAsia" w:asciiTheme="minorEastAsia" w:hAnsiTheme="minorEastAsia" w:eastAsiaTheme="minorEastAsia"/>
                <w:bCs/>
                <w:color w:val="auto"/>
                <w:szCs w:val="21"/>
                <w:u w:val="single"/>
              </w:rPr>
              <w:t xml:space="preserve">        </w:t>
            </w:r>
            <w:r>
              <w:rPr>
                <w:rFonts w:hint="eastAsia" w:asciiTheme="minorEastAsia" w:hAnsiTheme="minorEastAsia" w:eastAsiaTheme="minorEastAsia"/>
                <w:bCs/>
                <w:color w:val="auto"/>
                <w:szCs w:val="21"/>
                <w:u w:val="single"/>
                <w:lang w:val="en-US" w:eastAsia="zh-CN"/>
              </w:rPr>
              <w:t>/</w:t>
            </w:r>
            <w:r>
              <w:rPr>
                <w:rFonts w:hint="eastAsia" w:asciiTheme="minorEastAsia" w:hAnsiTheme="minorEastAsia" w:eastAsiaTheme="minorEastAsia"/>
                <w:bCs/>
                <w:color w:val="auto"/>
                <w:szCs w:val="21"/>
                <w:u w:val="single"/>
              </w:rPr>
              <w:t xml:space="preserve">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pPr>
              <w:adjustRightInd w:val="0"/>
              <w:snapToGrid w:val="0"/>
              <w:spacing w:line="360" w:lineRule="auto"/>
              <w:rPr>
                <w:rFonts w:asciiTheme="minorEastAsia" w:hAnsiTheme="minorEastAsia" w:eastAsiaTheme="minorEastAsia"/>
                <w:b/>
                <w:bCs/>
                <w:color w:val="auto"/>
                <w:szCs w:val="21"/>
              </w:rPr>
            </w:pPr>
            <w:r>
              <w:rPr>
                <w:rFonts w:hint="eastAsia" w:asciiTheme="minorEastAsia" w:hAnsiTheme="minorEastAsia" w:eastAsiaTheme="minorEastAsia"/>
                <w:b/>
                <w:color w:val="auto"/>
                <w:szCs w:val="21"/>
              </w:rPr>
              <w:t>四、投标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w:t>
            </w:r>
            <w:r>
              <w:rPr>
                <w:rFonts w:hint="eastAsia" w:asciiTheme="minorEastAsia" w:hAnsiTheme="minorEastAsia" w:eastAsiaTheme="minorEastAsia"/>
                <w:color w:val="auto"/>
                <w:szCs w:val="21"/>
                <w:lang w:val="en-US" w:eastAsia="zh-CN"/>
              </w:rPr>
              <w:t>19</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投标截止时间（开标时间）</w:t>
            </w:r>
          </w:p>
        </w:tc>
        <w:tc>
          <w:tcPr>
            <w:tcW w:w="4678" w:type="dxa"/>
            <w:vAlign w:val="center"/>
          </w:tcPr>
          <w:p>
            <w:pPr>
              <w:adjustRightInd w:val="0"/>
              <w:snapToGrid w:val="0"/>
              <w:spacing w:line="360" w:lineRule="auto"/>
              <w:rPr>
                <w:rFonts w:asciiTheme="minorEastAsia" w:hAnsiTheme="minorEastAsia" w:eastAsiaTheme="minorEastAsia"/>
                <w:bCs/>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b/>
                <w:bCs/>
                <w:color w:val="auto"/>
                <w:szCs w:val="21"/>
              </w:rPr>
              <w:t>五、开标、资格审查和评标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1（4）</w:t>
            </w:r>
            <w:r>
              <w:rPr>
                <w:rFonts w:hint="eastAsia" w:asciiTheme="minorEastAsia" w:hAnsiTheme="minorEastAsia" w:eastAsiaTheme="minorEastAsia"/>
                <w:color w:val="auto"/>
                <w:szCs w:val="21"/>
              </w:rPr>
              <w:t>款</w:t>
            </w:r>
          </w:p>
        </w:tc>
        <w:tc>
          <w:tcPr>
            <w:tcW w:w="2693" w:type="dxa"/>
            <w:vAlign w:val="center"/>
          </w:tcPr>
          <w:p>
            <w:pPr>
              <w:adjustRightInd w:val="0"/>
              <w:snapToGrid w:val="0"/>
              <w:spacing w:before="156" w:beforeLines="50" w:line="360" w:lineRule="auto"/>
              <w:rPr>
                <w:rFonts w:ascii="宋体"/>
                <w:color w:val="auto"/>
                <w:szCs w:val="21"/>
              </w:rPr>
            </w:pPr>
            <w:r>
              <w:rPr>
                <w:rFonts w:hint="eastAsia" w:ascii="宋体" w:hAnsi="宋体" w:cs="宋体"/>
                <w:color w:val="auto"/>
                <w:szCs w:val="21"/>
              </w:rPr>
              <w:t>解密电子投标文件时限及方式</w:t>
            </w:r>
          </w:p>
        </w:tc>
        <w:tc>
          <w:tcPr>
            <w:tcW w:w="4678" w:type="dxa"/>
            <w:vAlign w:val="center"/>
          </w:tcPr>
          <w:p>
            <w:pPr>
              <w:adjustRightInd w:val="0"/>
              <w:snapToGrid w:val="0"/>
              <w:spacing w:before="156" w:beforeLines="50" w:line="360" w:lineRule="auto"/>
              <w:rPr>
                <w:rFonts w:ascii="宋体"/>
                <w:color w:val="auto"/>
                <w:szCs w:val="21"/>
              </w:rPr>
            </w:pPr>
            <w:r>
              <w:rPr>
                <w:rFonts w:hint="eastAsia" w:ascii="宋体" w:hAnsi="宋体" w:cs="宋体"/>
                <w:color w:val="auto"/>
                <w:szCs w:val="21"/>
              </w:rPr>
              <w:t>投标人使用加密投标文件的CA数字证书在投标截止时间起</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30</w:t>
            </w:r>
            <w:r>
              <w:rPr>
                <w:rFonts w:hint="eastAsia" w:ascii="宋体" w:hAnsi="宋体" w:cs="宋体"/>
                <w:color w:val="auto"/>
                <w:szCs w:val="21"/>
                <w:u w:val="single"/>
              </w:rPr>
              <w:t xml:space="preserve"> </w:t>
            </w:r>
            <w:r>
              <w:rPr>
                <w:rFonts w:hint="eastAsia" w:ascii="宋体" w:hAnsi="宋体" w:cs="宋体"/>
                <w:color w:val="auto"/>
                <w:szCs w:val="21"/>
              </w:rPr>
              <w:t>分钟内完成投标文件的解密，投标文件在解密时限内未解密或解密失败，视为撤销其投标文件，开标继续进行。（如因交易平台出现系统故障，导致解密无法完成的，由采购人或采购代理机构酌情延长解密时间）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pPr>
              <w:adjustRightInd w:val="0"/>
              <w:snapToGrid w:val="0"/>
              <w:spacing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六、中标信息公布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.2</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中标候选人并列的确定中标人的方式</w:t>
            </w:r>
          </w:p>
        </w:tc>
        <w:tc>
          <w:tcPr>
            <w:tcW w:w="4678" w:type="dxa"/>
            <w:vAlign w:val="center"/>
          </w:tcPr>
          <w:p>
            <w:pPr>
              <w:adjustRightInd w:val="0"/>
              <w:snapToGrid w:val="0"/>
              <w:spacing w:line="360" w:lineRule="exact"/>
              <w:rPr>
                <w:rFonts w:ascii="宋体" w:hAnsi="宋体"/>
                <w:color w:val="auto"/>
              </w:rPr>
            </w:pPr>
            <w:r>
              <w:rPr>
                <w:rFonts w:hint="eastAsia" w:ascii="宋体" w:hAnsi="宋体" w:cs="宋体"/>
                <w:color w:val="auto"/>
              </w:rPr>
              <w:t>评标结果按算术修正和落实政府采购政策需进行的价格扣除后的投标报价由低到高顺序排列</w:t>
            </w:r>
            <w:r>
              <w:rPr>
                <w:rFonts w:hint="eastAsia" w:ascii="宋体" w:hAnsi="宋体"/>
                <w:color w:val="auto"/>
              </w:rPr>
              <w:t>。投标报价相同的并列。投标文件满足招标文件全部实质性要求且投标报价最低的投标人为排名第一的中标候选人。</w:t>
            </w:r>
          </w:p>
          <w:p>
            <w:pPr>
              <w:adjustRightInd w:val="0"/>
              <w:snapToGrid w:val="0"/>
              <w:spacing w:line="360" w:lineRule="exact"/>
              <w:rPr>
                <w:rFonts w:ascii="宋体" w:hAnsi="宋体"/>
                <w:color w:val="auto"/>
              </w:rPr>
            </w:pPr>
            <w:r>
              <w:rPr>
                <w:rFonts w:hint="eastAsia" w:ascii="宋体" w:cs="宋体"/>
                <w:color w:val="auto"/>
              </w:rPr>
              <w:t>注：投标报价（指总价）相同并列的，</w:t>
            </w:r>
            <w:r>
              <w:rPr>
                <w:rFonts w:hint="eastAsia" w:ascii="宋体" w:hAnsi="宋体"/>
                <w:color w:val="auto"/>
              </w:rPr>
              <w:t>由采购人</w:t>
            </w:r>
            <w:r>
              <w:rPr>
                <w:rFonts w:hint="eastAsia" w:ascii="宋体" w:hAnsi="宋体"/>
                <w:color w:val="auto"/>
                <w:lang w:eastAsia="zh-CN"/>
              </w:rPr>
              <w:t>、</w:t>
            </w:r>
            <w:r>
              <w:rPr>
                <w:rFonts w:hint="eastAsia" w:ascii="宋体" w:hAnsi="宋体"/>
                <w:color w:val="auto"/>
                <w:lang w:val="en-US" w:eastAsia="zh-CN"/>
              </w:rPr>
              <w:t>代理机构</w:t>
            </w:r>
            <w:r>
              <w:rPr>
                <w:rFonts w:hint="eastAsia" w:ascii="宋体" w:hAnsi="宋体"/>
                <w:color w:val="auto"/>
              </w:rPr>
              <w:t>采取随机抽取的方式现场确定中标候选人，并邀请</w:t>
            </w:r>
            <w:r>
              <w:rPr>
                <w:rFonts w:hint="eastAsia" w:ascii="宋体" w:cs="宋体"/>
                <w:color w:val="auto"/>
              </w:rPr>
              <w:t>投标报价相同并列的投标人委派代表出席参加。</w:t>
            </w:r>
          </w:p>
          <w:p>
            <w:pPr>
              <w:adjustRightInd w:val="0"/>
              <w:snapToGrid w:val="0"/>
              <w:spacing w:line="360" w:lineRule="exact"/>
              <w:rPr>
                <w:rFonts w:ascii="宋体" w:cs="宋体"/>
                <w:color w:val="auto"/>
              </w:rPr>
            </w:pPr>
            <w:r>
              <w:rPr>
                <w:rFonts w:hint="eastAsia" w:ascii="宋体" w:cs="宋体"/>
                <w:color w:val="auto"/>
              </w:rPr>
              <w:t>抽取地点：郴州市公共资源交易中心。</w:t>
            </w:r>
          </w:p>
          <w:p>
            <w:pPr>
              <w:adjustRightInd w:val="0"/>
              <w:snapToGrid w:val="0"/>
              <w:spacing w:line="360" w:lineRule="exact"/>
              <w:rPr>
                <w:rFonts w:ascii="宋体" w:cs="宋体"/>
                <w:color w:val="auto"/>
              </w:rPr>
            </w:pPr>
            <w:r>
              <w:rPr>
                <w:rFonts w:hint="eastAsia" w:ascii="宋体" w:cs="宋体"/>
                <w:color w:val="auto"/>
              </w:rPr>
              <w:t>抽取时间：评标当天，具体时间现场另行通知。</w:t>
            </w:r>
          </w:p>
          <w:p>
            <w:pPr>
              <w:adjustRightInd w:val="0"/>
              <w:snapToGrid w:val="0"/>
              <w:spacing w:line="360" w:lineRule="auto"/>
              <w:rPr>
                <w:rFonts w:asciiTheme="minorEastAsia" w:hAnsiTheme="minorEastAsia" w:eastAsiaTheme="minorEastAsia"/>
                <w:color w:val="auto"/>
                <w:szCs w:val="21"/>
                <w:u w:val="single"/>
              </w:rPr>
            </w:pPr>
            <w:r>
              <w:rPr>
                <w:rFonts w:hint="eastAsia" w:ascii="宋体" w:cs="宋体"/>
                <w:color w:val="auto"/>
              </w:rPr>
              <w:t>抽取方式：随机抽取法，即三轮抽取。第一轮：按照随机顺序，由投标人法定代表人或授权委托代理人抽取顺序号，投标人抽取的号码为该投标人进入第二轮抽取的顺序号；第二轮：按照第一轮抽取的先后顺序抽取，投标人抽取的号码为该投标人的代码号；第三轮：由采购人随机抽取，第一次抽取的号码所对应的投标人为第一中标候选人，第二次抽取的为第二中标候选人，第三次抽取的为第三中标候选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.3</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接收质疑函的联系部门、联系电话和通讯地址</w:t>
            </w:r>
          </w:p>
        </w:tc>
        <w:tc>
          <w:tcPr>
            <w:tcW w:w="4678" w:type="dxa"/>
            <w:vAlign w:val="center"/>
          </w:tcPr>
          <w:p>
            <w:pPr>
              <w:adjustRightInd w:val="0"/>
              <w:snapToGrid w:val="0"/>
              <w:spacing w:line="360" w:lineRule="auto"/>
              <w:rPr>
                <w:rFonts w:hint="eastAsia" w:ascii="宋体" w:hAnsi="宋体"/>
                <w:color w:val="auto"/>
                <w:szCs w:val="21"/>
              </w:rPr>
            </w:pPr>
            <w:r>
              <w:rPr>
                <w:rFonts w:hint="eastAsia" w:ascii="宋体" w:hAnsi="宋体" w:eastAsia="宋体" w:cs="Times New Roman"/>
                <w:color w:val="auto"/>
                <w:szCs w:val="21"/>
                <w:lang w:val="en-US" w:eastAsia="zh-CN"/>
              </w:rPr>
              <w:t>1、</w:t>
            </w:r>
            <w:r>
              <w:rPr>
                <w:rFonts w:hint="eastAsia" w:ascii="宋体" w:hAnsi="宋体" w:eastAsia="宋体" w:cs="Times New Roman"/>
                <w:color w:val="auto"/>
                <w:szCs w:val="21"/>
              </w:rPr>
              <w:t>接收质疑函的方式：投标人应当按照《湖南省财政厅关于印发&lt;政府采购质疑答复和投诉处理操作规程&gt;的通知》（</w:t>
            </w:r>
            <w:r>
              <w:rPr>
                <w:rFonts w:hint="eastAsia" w:ascii="宋体" w:hAnsi="宋体" w:eastAsia="宋体" w:cs="Times New Roman"/>
                <w:color w:val="auto"/>
                <w:szCs w:val="21"/>
                <w:lang w:eastAsia="zh-CN"/>
              </w:rPr>
              <w:t>湘财购〔2024〕67 号</w:t>
            </w:r>
            <w:r>
              <w:rPr>
                <w:rFonts w:hint="eastAsia" w:ascii="宋体" w:hAnsi="宋体" w:eastAsia="宋体" w:cs="Times New Roman"/>
                <w:color w:val="auto"/>
                <w:szCs w:val="21"/>
              </w:rPr>
              <w:t>）规定向采购人和采购代理机构一并提交书面质疑函及相关证明材料。</w:t>
            </w:r>
          </w:p>
          <w:p>
            <w:pPr>
              <w:pStyle w:val="114"/>
              <w:keepNext w:val="0"/>
              <w:keepLines w:val="0"/>
              <w:suppressLineNumbers w:val="0"/>
              <w:spacing w:before="161" w:beforeAutospacing="0" w:after="0" w:afterAutospacing="0" w:line="228" w:lineRule="auto"/>
              <w:ind w:left="114" w:right="0"/>
              <w:rPr>
                <w:rFonts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2、接收质疑函的联系部门、联系电话和通讯地址：</w:t>
            </w:r>
          </w:p>
          <w:p>
            <w:pPr>
              <w:pStyle w:val="114"/>
              <w:keepNext w:val="0"/>
              <w:keepLines w:val="0"/>
              <w:suppressLineNumbers w:val="0"/>
              <w:spacing w:before="27" w:beforeAutospacing="0" w:after="0" w:afterAutospacing="0" w:line="302" w:lineRule="auto"/>
              <w:ind w:left="115" w:right="118" w:firstLine="12"/>
              <w:rPr>
                <w:rFonts w:hint="eastAsia"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 xml:space="preserve">2.1 </w:t>
            </w:r>
            <w:r>
              <w:rPr>
                <w:rFonts w:hint="eastAsia" w:cs="Times New Roman" w:asciiTheme="minorEastAsia" w:hAnsiTheme="minorEastAsia" w:eastAsiaTheme="minorEastAsia"/>
                <w:color w:val="auto"/>
                <w:kern w:val="2"/>
                <w:sz w:val="21"/>
                <w:szCs w:val="21"/>
                <w:u w:val="none"/>
                <w:lang w:val="en-US" w:eastAsia="zh-CN" w:bidi="ar-SA"/>
              </w:rPr>
              <w:t xml:space="preserve">名  称：郴州职业技术学院  </w:t>
            </w:r>
          </w:p>
          <w:p>
            <w:pPr>
              <w:pStyle w:val="114"/>
              <w:keepNext w:val="0"/>
              <w:keepLines w:val="0"/>
              <w:suppressLineNumbers w:val="0"/>
              <w:spacing w:before="27" w:beforeAutospacing="0" w:after="0" w:afterAutospacing="0" w:line="302" w:lineRule="auto"/>
              <w:ind w:right="118" w:firstLine="210" w:firstLineChars="100"/>
              <w:rPr>
                <w:rFonts w:hint="eastAsia" w:cs="Times New Roman" w:asciiTheme="minorEastAsia" w:hAnsiTheme="minorEastAsia" w:eastAsiaTheme="minorEastAsia"/>
                <w:color w:val="auto"/>
                <w:kern w:val="2"/>
                <w:sz w:val="21"/>
                <w:szCs w:val="21"/>
                <w:u w:val="none"/>
                <w:lang w:val="en-US" w:eastAsia="zh-CN" w:bidi="ar-SA"/>
              </w:rPr>
            </w:pPr>
            <w:r>
              <w:rPr>
                <w:rFonts w:hint="eastAsia" w:cs="Times New Roman" w:asciiTheme="minorEastAsia" w:hAnsiTheme="minorEastAsia" w:eastAsiaTheme="minorEastAsia"/>
                <w:color w:val="auto"/>
                <w:kern w:val="2"/>
                <w:sz w:val="21"/>
                <w:szCs w:val="21"/>
                <w:u w:val="none"/>
                <w:lang w:val="en-US" w:eastAsia="zh-CN" w:bidi="ar-SA"/>
              </w:rPr>
              <w:t>地  址：郴州市郴州大道909号</w:t>
            </w:r>
          </w:p>
          <w:p>
            <w:pPr>
              <w:pStyle w:val="114"/>
              <w:keepNext w:val="0"/>
              <w:keepLines w:val="0"/>
              <w:suppressLineNumbers w:val="0"/>
              <w:spacing w:before="27" w:beforeAutospacing="0" w:after="0" w:afterAutospacing="0" w:line="302" w:lineRule="auto"/>
              <w:ind w:left="115" w:right="118" w:firstLine="12"/>
              <w:rPr>
                <w:rFonts w:hint="default" w:cs="Times New Roman" w:asciiTheme="minorEastAsia" w:hAnsiTheme="minorEastAsia" w:eastAsiaTheme="minorEastAsia"/>
                <w:color w:val="auto"/>
                <w:kern w:val="2"/>
                <w:sz w:val="21"/>
                <w:szCs w:val="21"/>
                <w:u w:val="none"/>
                <w:lang w:val="en-US" w:eastAsia="zh-CN" w:bidi="ar-SA"/>
              </w:rPr>
            </w:pPr>
            <w:r>
              <w:rPr>
                <w:rFonts w:hint="eastAsia" w:cs="Times New Roman" w:asciiTheme="minorEastAsia" w:hAnsiTheme="minorEastAsia" w:eastAsiaTheme="minorEastAsia"/>
                <w:color w:val="auto"/>
                <w:kern w:val="2"/>
                <w:sz w:val="21"/>
                <w:szCs w:val="21"/>
                <w:u w:val="none"/>
                <w:lang w:val="en-US" w:eastAsia="zh-CN" w:bidi="ar-SA"/>
              </w:rPr>
              <w:t>联系人：李涛</w:t>
            </w:r>
          </w:p>
          <w:p>
            <w:pPr>
              <w:pStyle w:val="114"/>
              <w:keepNext w:val="0"/>
              <w:keepLines w:val="0"/>
              <w:suppressLineNumbers w:val="0"/>
              <w:spacing w:before="27" w:beforeAutospacing="0" w:after="0" w:afterAutospacing="0" w:line="302" w:lineRule="auto"/>
              <w:ind w:left="115" w:right="118" w:firstLine="12"/>
              <w:rPr>
                <w:rFonts w:cs="Times New Roman" w:asciiTheme="minorEastAsia" w:hAnsiTheme="minorEastAsia" w:eastAsiaTheme="minorEastAsia"/>
                <w:color w:val="auto"/>
                <w:kern w:val="2"/>
                <w:sz w:val="21"/>
                <w:szCs w:val="21"/>
                <w:u w:val="none"/>
                <w:lang w:val="en-US" w:eastAsia="zh-CN" w:bidi="ar-SA"/>
              </w:rPr>
            </w:pPr>
            <w:r>
              <w:rPr>
                <w:rFonts w:hint="eastAsia" w:cs="Times New Roman" w:asciiTheme="minorEastAsia" w:hAnsiTheme="minorEastAsia" w:eastAsiaTheme="minorEastAsia"/>
                <w:color w:val="auto"/>
                <w:kern w:val="2"/>
                <w:sz w:val="21"/>
                <w:szCs w:val="21"/>
                <w:u w:val="none"/>
                <w:lang w:val="en-US" w:eastAsia="zh-CN" w:bidi="ar-SA"/>
              </w:rPr>
              <w:t>电  话：19967535699</w:t>
            </w:r>
          </w:p>
          <w:p>
            <w:pPr>
              <w:pStyle w:val="114"/>
              <w:keepNext w:val="0"/>
              <w:keepLines w:val="0"/>
              <w:suppressLineNumbers w:val="0"/>
              <w:spacing w:before="27" w:beforeAutospacing="0" w:after="0" w:afterAutospacing="0" w:line="302" w:lineRule="auto"/>
              <w:ind w:left="115" w:right="118" w:firstLine="12"/>
              <w:rPr>
                <w:rFonts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2.2 代理机构名称：</w:t>
            </w:r>
            <w:r>
              <w:rPr>
                <w:rFonts w:hint="eastAsia" w:cs="Times New Roman" w:asciiTheme="minorEastAsia" w:hAnsiTheme="minorEastAsia" w:eastAsiaTheme="minorEastAsia"/>
                <w:color w:val="auto"/>
                <w:kern w:val="2"/>
                <w:sz w:val="21"/>
                <w:szCs w:val="21"/>
                <w:u w:val="none"/>
                <w:lang w:val="en-US" w:eastAsia="zh-CN" w:bidi="ar-SA"/>
              </w:rPr>
              <w:t>郴州国奥项目管理有限责任公司</w:t>
            </w:r>
          </w:p>
          <w:p>
            <w:pPr>
              <w:pStyle w:val="114"/>
              <w:keepNext w:val="0"/>
              <w:keepLines w:val="0"/>
              <w:suppressLineNumbers w:val="0"/>
              <w:spacing w:before="27" w:beforeAutospacing="0" w:after="0" w:afterAutospacing="0" w:line="302" w:lineRule="auto"/>
              <w:ind w:left="115" w:right="118" w:firstLine="12"/>
              <w:rPr>
                <w:rFonts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地址：</w:t>
            </w:r>
            <w:r>
              <w:rPr>
                <w:rFonts w:hint="eastAsia" w:cs="Times New Roman" w:asciiTheme="minorEastAsia" w:hAnsiTheme="minorEastAsia" w:eastAsiaTheme="minorEastAsia"/>
                <w:color w:val="auto"/>
                <w:kern w:val="2"/>
                <w:sz w:val="21"/>
                <w:szCs w:val="21"/>
                <w:u w:val="none"/>
                <w:lang w:val="en-US" w:eastAsia="zh-CN" w:bidi="ar-SA"/>
              </w:rPr>
              <w:t xml:space="preserve">郴州市第一国际玉女座17楼B14号房 </w:t>
            </w:r>
          </w:p>
          <w:p>
            <w:pPr>
              <w:pStyle w:val="114"/>
              <w:keepNext w:val="0"/>
              <w:keepLines w:val="0"/>
              <w:suppressLineNumbers w:val="0"/>
              <w:spacing w:before="27" w:beforeAutospacing="0" w:after="0" w:afterAutospacing="0" w:line="302" w:lineRule="auto"/>
              <w:ind w:left="115" w:right="118" w:firstLine="12"/>
              <w:rPr>
                <w:rFonts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联系人：</w:t>
            </w:r>
            <w:r>
              <w:rPr>
                <w:rFonts w:hint="eastAsia" w:cs="Times New Roman" w:asciiTheme="minorEastAsia" w:hAnsiTheme="minorEastAsia" w:eastAsiaTheme="minorEastAsia"/>
                <w:color w:val="auto"/>
                <w:kern w:val="2"/>
                <w:sz w:val="21"/>
                <w:szCs w:val="21"/>
                <w:u w:val="none"/>
                <w:lang w:val="en-US" w:eastAsia="zh-CN" w:bidi="ar-SA"/>
              </w:rPr>
              <w:t>肖光华、周佳慧</w:t>
            </w:r>
          </w:p>
          <w:p>
            <w:pPr>
              <w:pStyle w:val="114"/>
              <w:keepNext w:val="0"/>
              <w:keepLines w:val="0"/>
              <w:suppressLineNumbers w:val="0"/>
              <w:spacing w:before="27" w:beforeAutospacing="0" w:after="0" w:afterAutospacing="0" w:line="302" w:lineRule="auto"/>
              <w:ind w:left="115" w:right="118" w:firstLine="12"/>
              <w:rPr>
                <w:rFonts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联系电话：</w:t>
            </w:r>
            <w:r>
              <w:rPr>
                <w:rFonts w:hint="eastAsia" w:cs="Times New Roman" w:asciiTheme="minorEastAsia" w:hAnsiTheme="minorEastAsia" w:eastAsiaTheme="minorEastAsia"/>
                <w:color w:val="auto"/>
                <w:kern w:val="2"/>
                <w:sz w:val="21"/>
                <w:szCs w:val="21"/>
                <w:u w:val="none"/>
                <w:lang w:val="en-US" w:eastAsia="zh-CN" w:bidi="ar-SA"/>
              </w:rPr>
              <w:t>13875514369、13975563470</w:t>
            </w:r>
          </w:p>
          <w:p>
            <w:pPr>
              <w:adjustRightInd w:val="0"/>
              <w:snapToGrid w:val="0"/>
              <w:spacing w:line="360" w:lineRule="auto"/>
              <w:rPr>
                <w:rFonts w:asciiTheme="minorEastAsia" w:hAnsiTheme="minorEastAsia" w:eastAsiaTheme="minorEastAsia"/>
                <w:color w:val="auto"/>
                <w:szCs w:val="21"/>
              </w:rPr>
            </w:pPr>
            <w:r>
              <w:rPr>
                <w:rFonts w:cs="Times New Roman" w:asciiTheme="minorEastAsia" w:hAnsiTheme="minorEastAsia" w:eastAsiaTheme="minorEastAsia"/>
                <w:b/>
                <w:bCs/>
                <w:color w:val="auto"/>
                <w:kern w:val="2"/>
                <w:sz w:val="21"/>
                <w:szCs w:val="21"/>
                <w:u w:val="none"/>
                <w:lang w:val="en-US" w:eastAsia="zh-CN" w:bidi="ar-SA"/>
              </w:rPr>
              <w:t>注 ： 投标人在法定质疑期内针对同一采购程序环节的质疑须一次性提出。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九、其他规定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招标代理服务费</w:t>
            </w:r>
          </w:p>
        </w:tc>
        <w:tc>
          <w:tcPr>
            <w:tcW w:w="4678"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□集中采购机构不收代理服务费。</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sym w:font="Wingdings 2" w:char="0052"/>
            </w:r>
            <w:r>
              <w:rPr>
                <w:rFonts w:hint="eastAsia" w:asciiTheme="minorEastAsia" w:hAnsiTheme="minorEastAsia" w:eastAsiaTheme="minorEastAsia"/>
                <w:color w:val="auto"/>
                <w:szCs w:val="21"/>
                <w:lang w:eastAsia="zh-CN"/>
              </w:rPr>
              <w:t>招标代理服务费由采购人支付</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招标代理服务费：</w:t>
            </w:r>
            <w:r>
              <w:rPr>
                <w:rFonts w:hint="eastAsia" w:ascii="宋体" w:hAnsi="宋体" w:eastAsia="宋体" w:cs="宋体"/>
                <w:color w:val="auto"/>
                <w:spacing w:val="13"/>
                <w:kern w:val="0"/>
                <w:szCs w:val="21"/>
                <w:lang w:val="en-US" w:eastAsia="zh-CN"/>
              </w:rPr>
              <w:t>人民币</w:t>
            </w:r>
            <w:r>
              <w:rPr>
                <w:rFonts w:hint="eastAsia" w:ascii="宋体" w:hAnsi="宋体" w:cs="宋体"/>
                <w:color w:val="auto"/>
                <w:spacing w:val="13"/>
                <w:kern w:val="0"/>
                <w:szCs w:val="21"/>
                <w:lang w:val="en-US" w:eastAsia="zh-CN"/>
              </w:rPr>
              <w:t>叁仟伍佰肆拾玖元陆角整</w:t>
            </w:r>
            <w:r>
              <w:rPr>
                <w:rFonts w:hint="eastAsia" w:ascii="宋体" w:hAnsi="宋体" w:eastAsia="宋体" w:cs="宋体"/>
                <w:color w:val="auto"/>
                <w:spacing w:val="13"/>
                <w:kern w:val="0"/>
                <w:szCs w:val="21"/>
                <w:lang w:val="en-US" w:eastAsia="zh-CN"/>
              </w:rPr>
              <w:t>（￥</w:t>
            </w:r>
            <w:r>
              <w:rPr>
                <w:rFonts w:hint="eastAsia" w:ascii="宋体" w:hAnsi="宋体" w:cs="宋体"/>
                <w:color w:val="auto"/>
                <w:spacing w:val="13"/>
                <w:kern w:val="0"/>
                <w:szCs w:val="21"/>
                <w:lang w:val="en-US" w:eastAsia="zh-CN"/>
              </w:rPr>
              <w:t>3549.6</w:t>
            </w:r>
            <w:r>
              <w:rPr>
                <w:rFonts w:hint="eastAsia" w:ascii="宋体" w:hAnsi="宋体" w:eastAsia="宋体" w:cs="宋体"/>
                <w:color w:val="auto"/>
                <w:spacing w:val="13"/>
                <w:kern w:val="0"/>
                <w:szCs w:val="21"/>
                <w:lang w:val="en-US" w:eastAsia="zh-CN"/>
              </w:rPr>
              <w:t>0元）。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w:t>
            </w:r>
            <w:r>
              <w:rPr>
                <w:rFonts w:hint="eastAsia" w:asciiTheme="minorEastAsia" w:hAnsiTheme="minorEastAsia" w:eastAsiaTheme="minorEastAsia"/>
                <w:color w:val="auto"/>
                <w:szCs w:val="21"/>
                <w:lang w:val="en-US" w:eastAsia="zh-CN"/>
              </w:rPr>
              <w:t>3</w:t>
            </w:r>
            <w:r>
              <w:rPr>
                <w:rFonts w:hint="eastAsia" w:asciiTheme="minorEastAsia" w:hAnsiTheme="minorEastAsia" w:eastAsiaTheme="minorEastAsia"/>
                <w:color w:val="auto"/>
                <w:szCs w:val="21"/>
              </w:rPr>
              <w:t>.1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其他规定</w:t>
            </w:r>
          </w:p>
        </w:tc>
        <w:tc>
          <w:tcPr>
            <w:tcW w:w="4678" w:type="dxa"/>
            <w:vAlign w:val="center"/>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1、投标人应在投标截止时间之前完成电子投标文件上传。若因投标人对网上招投标操作不熟悉或自身电脑、个人网络等原因导致不能在投标截止时间之前完成投标文件上传的，所造成的投标失败或损失由投标人自行承担。建议各投标人在工作时间段内上传投标文件，在操作系统过程中有疑问或困难请及时进行咨询。</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2、投标人使用加密投标文件的CA数字证书在规定时间内完成投标文件解密。因投标人自身原因未在规定时间内完成解密或解密失败的，视为撤销投标文件，其责任由投标人自行承担，开标继续进行。若开标时出现网络故障、交易系统技术故障等情形，导致解密无法完成而影响采购活动开展的，采购人有权采取非加密文件上传、纸质标书评审方式或将项目延期、延长投标文件解密时间等相应措施，以保障采购活动的公开、公平和公正，投标人不得对此持有异议。</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3、合同备案 </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3.1中标人应在发出中标通知书之日起30天内（日历日）与采购人签订政府采购合同。 </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3.1中标人与采购人签订政府采购合同后，应当在合同签订后</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个工作日内将政府采购合同在湖南省政府采购网公示，并将合同原件交采购代理机构存档。</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4、中标人在领取中标通知书前，需提供</w:t>
            </w:r>
            <w:r>
              <w:rPr>
                <w:rFonts w:hint="eastAsia" w:ascii="宋体" w:hAnsi="宋体" w:eastAsia="宋体" w:cs="宋体"/>
                <w:color w:val="auto"/>
                <w:highlight w:val="none"/>
                <w:lang w:val="en-US" w:eastAsia="zh-CN"/>
              </w:rPr>
              <w:t>叁</w:t>
            </w:r>
            <w:r>
              <w:rPr>
                <w:rFonts w:hint="eastAsia" w:ascii="宋体" w:hAnsi="宋体" w:eastAsia="宋体" w:cs="宋体"/>
                <w:color w:val="auto"/>
                <w:highlight w:val="none"/>
              </w:rPr>
              <w:t>份</w:t>
            </w:r>
            <w:r>
              <w:rPr>
                <w:rFonts w:hint="eastAsia" w:ascii="宋体" w:hAnsi="宋体" w:eastAsia="宋体" w:cs="宋体"/>
                <w:color w:val="auto"/>
                <w:highlight w:val="none"/>
                <w:lang w:eastAsia="zh-CN"/>
              </w:rPr>
              <w:t>纸质</w:t>
            </w:r>
            <w:r>
              <w:rPr>
                <w:rFonts w:hint="eastAsia" w:ascii="宋体" w:hAnsi="宋体" w:eastAsia="宋体" w:cs="宋体"/>
                <w:color w:val="auto"/>
                <w:highlight w:val="none"/>
              </w:rPr>
              <w:t>投标文件（装订成册）至采购代理机构。</w:t>
            </w:r>
            <w:r>
              <w:rPr>
                <w:rFonts w:hint="eastAsia" w:ascii="宋体" w:hAnsi="宋体" w:eastAsia="宋体" w:cs="宋体"/>
                <w:color w:val="auto"/>
                <w:highlight w:val="none"/>
                <w:lang w:eastAsia="zh-CN"/>
              </w:rPr>
              <w:t>纸质</w:t>
            </w:r>
            <w:r>
              <w:rPr>
                <w:rFonts w:hint="eastAsia" w:ascii="宋体" w:hAnsi="宋体" w:eastAsia="宋体" w:cs="宋体"/>
                <w:color w:val="auto"/>
                <w:highlight w:val="none"/>
              </w:rPr>
              <w:t>投标文件内容须与电子投标文件一致，如出现不一致时以电子投标文件为准。</w:t>
            </w:r>
          </w:p>
          <w:p>
            <w:pPr>
              <w:spacing w:line="360" w:lineRule="exact"/>
              <w:rPr>
                <w:rFonts w:hint="eastAsia" w:ascii="宋体" w:hAnsi="宋体" w:eastAsia="宋体" w:cs="宋体"/>
                <w:color w:val="auto"/>
                <w:highlight w:val="none"/>
              </w:rPr>
            </w:pPr>
            <w:r>
              <w:rPr>
                <w:rFonts w:hint="eastAsia" w:ascii="宋体" w:hAnsi="宋体" w:eastAsia="宋体" w:cs="宋体"/>
                <w:color w:val="auto"/>
                <w:kern w:val="0"/>
                <w:szCs w:val="21"/>
                <w:highlight w:val="none"/>
                <w:lang w:bidi="ar"/>
              </w:rPr>
              <w:t>5、投标人参与政府采购应提供真实有效的证明材料，应当诚信守法、公平竞争，采购人有权要求成交供应商在确定成交后三个工作日内提供相关证明材料原件核查。不得有以提供虚假材料（包括但不限于虚假技术参数响应佐证材料、虚假制造商产品彩页、虚假证书等）、隐瞒失信信息等谋取中标的行为。如发现有弄虚作假骗取中标行为的，则取消成交资格并报行政监管部门严肃查处</w:t>
            </w:r>
            <w:r>
              <w:rPr>
                <w:rFonts w:hint="eastAsia" w:ascii="宋体" w:hAnsi="宋体" w:eastAsia="宋体" w:cs="宋体"/>
                <w:color w:val="auto"/>
                <w:highlight w:val="none"/>
              </w:rPr>
              <w:t>。</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6、免责声明 </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6.1 投标人自行承担投标过程中产生的费用。无论因何种因素导致招标项目延期开标、废标（流标）、投标人未中标、项目终止招标的，采购人与采购代理机构均不承担投标人的投标费用。 </w:t>
            </w:r>
          </w:p>
          <w:p>
            <w:pPr>
              <w:adjustRightInd w:val="0"/>
              <w:snapToGrid w:val="0"/>
              <w:spacing w:line="360" w:lineRule="auto"/>
              <w:rPr>
                <w:rFonts w:asciiTheme="minorEastAsia" w:hAnsiTheme="minorEastAsia" w:eastAsiaTheme="minorEastAsia"/>
                <w:color w:val="auto"/>
                <w:szCs w:val="21"/>
                <w:u w:val="single"/>
              </w:rPr>
            </w:pPr>
            <w:r>
              <w:rPr>
                <w:rFonts w:hint="eastAsia" w:ascii="宋体" w:hAnsi="宋体" w:eastAsia="宋体" w:cs="宋体"/>
                <w:color w:val="auto"/>
                <w:highlight w:val="none"/>
              </w:rPr>
              <w:t>6.2 投标人在投标、合同履行过程中必须做好安全保障工作，不因项目实施而危及自身及第三方人员、财产安全。若发生任何安全事故，由中标人自行承担一切责任并赔偿损失。</w:t>
            </w:r>
          </w:p>
        </w:tc>
      </w:tr>
    </w:tbl>
    <w:p>
      <w:pPr>
        <w:adjustRightInd w:val="0"/>
        <w:snapToGrid w:val="0"/>
        <w:spacing w:line="360" w:lineRule="auto"/>
        <w:rPr>
          <w:rFonts w:ascii="宋体" w:hAnsi="宋体"/>
          <w:b/>
          <w:color w:val="auto"/>
          <w:szCs w:val="21"/>
        </w:rPr>
      </w:pPr>
      <w:r>
        <w:rPr>
          <w:rFonts w:ascii="宋体" w:hAnsi="宋体"/>
          <w:b/>
          <w:color w:val="auto"/>
          <w:szCs w:val="21"/>
        </w:rPr>
        <w:br w:type="page"/>
      </w:r>
    </w:p>
    <w:p>
      <w:pPr>
        <w:pStyle w:val="5"/>
        <w:adjustRightInd w:val="0"/>
        <w:snapToGrid w:val="0"/>
        <w:spacing w:before="156" w:beforeLines="50"/>
        <w:jc w:val="center"/>
        <w:rPr>
          <w:rFonts w:ascii="黑体" w:hAnsi="黑体" w:eastAsia="黑体"/>
          <w:color w:val="auto"/>
          <w:sz w:val="28"/>
          <w:szCs w:val="28"/>
        </w:rPr>
      </w:pPr>
      <w:bookmarkStart w:id="16" w:name="_Toc2798"/>
      <w:bookmarkStart w:id="17" w:name="_Toc29913896"/>
      <w:r>
        <w:rPr>
          <w:rFonts w:hint="eastAsia" w:ascii="黑体" w:hAnsi="黑体" w:eastAsia="黑体"/>
          <w:color w:val="auto"/>
          <w:sz w:val="28"/>
          <w:szCs w:val="28"/>
        </w:rPr>
        <w:t>第二节 投标须知</w:t>
      </w:r>
      <w:bookmarkEnd w:id="16"/>
      <w:bookmarkEnd w:id="17"/>
    </w:p>
    <w:p>
      <w:pPr>
        <w:pStyle w:val="6"/>
        <w:adjustRightInd w:val="0"/>
        <w:snapToGrid w:val="0"/>
        <w:spacing w:before="156" w:beforeLines="50" w:after="0" w:line="360" w:lineRule="auto"/>
        <w:jc w:val="center"/>
        <w:rPr>
          <w:rFonts w:ascii="黑体" w:hAnsi="黑体" w:eastAsia="黑体"/>
          <w:b w:val="0"/>
          <w:color w:val="auto"/>
          <w:sz w:val="28"/>
          <w:szCs w:val="28"/>
        </w:rPr>
      </w:pPr>
      <w:bookmarkStart w:id="18" w:name="_Toc29913897"/>
      <w:bookmarkStart w:id="19" w:name="_Toc29542"/>
      <w:r>
        <w:rPr>
          <w:rFonts w:hint="eastAsia" w:ascii="黑体" w:hAnsi="黑体" w:eastAsia="黑体"/>
          <w:color w:val="auto"/>
          <w:sz w:val="28"/>
          <w:szCs w:val="28"/>
        </w:rPr>
        <w:t>一、总则</w:t>
      </w:r>
      <w:bookmarkEnd w:id="18"/>
      <w:bookmarkEnd w:id="19"/>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 适用范围</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1.1本招标文件仅适用于本章第一节“投标须知前附表”（以下简称</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）中所叙述的采购项目。</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规定采购项目专门面向中小企业采购的，如投标人为非中小企业，其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 定义</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2.1采购项目联系人姓名和电话见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2.2采购人名称、地址、电话、联系人见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2.3采购代理机构名称、地址、电话、联系人见</w:t>
      </w:r>
      <w:r>
        <w:rPr>
          <w:rFonts w:hint="eastAsia" w:asciiTheme="minorEastAsia" w:hAnsiTheme="minorEastAsia" w:eastAsiaTheme="minorEastAsia"/>
          <w:b/>
          <w:color w:val="auto"/>
          <w:szCs w:val="21"/>
        </w:rPr>
        <w:t>【投标须知前附表】。</w:t>
      </w:r>
    </w:p>
    <w:p>
      <w:pPr>
        <w:adjustRightInd w:val="0"/>
        <w:snapToGrid w:val="0"/>
        <w:spacing w:before="156" w:beforeLines="50" w:line="360" w:lineRule="auto"/>
        <w:ind w:firstLine="420" w:firstLineChars="200"/>
        <w:jc w:val="left"/>
        <w:rPr>
          <w:rFonts w:asciiTheme="minorEastAsia" w:hAnsiTheme="minorEastAsia" w:eastAsiaTheme="minorEastAsia"/>
          <w:b/>
          <w:color w:val="auto"/>
          <w:szCs w:val="21"/>
        </w:rPr>
      </w:pPr>
      <w:r>
        <w:rPr>
          <w:rFonts w:hint="eastAsia" w:asciiTheme="minorEastAsia" w:hAnsiTheme="minorEastAsia" w:eastAsiaTheme="minorEastAsia"/>
          <w:color w:val="auto"/>
          <w:szCs w:val="21"/>
        </w:rPr>
        <w:t>2.4投标人系指响应招标、参加投标竞争的法人、其他组织或自然人。</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5</w:t>
      </w:r>
      <w:r>
        <w:rPr>
          <w:rFonts w:hint="eastAsia" w:cs="宋体" w:asciiTheme="minorEastAsia" w:hAnsiTheme="minorEastAsia" w:eastAsiaTheme="minorEastAsia"/>
          <w:color w:val="auto"/>
          <w:kern w:val="0"/>
          <w:szCs w:val="21"/>
        </w:rPr>
        <w:t>进口产品是指符合《政府采购进口产品管理办法》（财库〔2007〕119号）和《关于政府采购进口产品管理有关问题的通知》（财办库〔2008〕248号）文件规定的产品。除</w:t>
      </w:r>
      <w:r>
        <w:rPr>
          <w:rFonts w:hint="eastAsia" w:asciiTheme="minorEastAsia" w:hAnsiTheme="minorEastAsia" w:eastAsiaTheme="minorEastAsia"/>
          <w:b/>
          <w:color w:val="auto"/>
          <w:szCs w:val="21"/>
        </w:rPr>
        <w:t>【投标须知前附表】</w:t>
      </w:r>
      <w:r>
        <w:rPr>
          <w:rFonts w:hint="eastAsia" w:cs="宋体" w:asciiTheme="minorEastAsia" w:hAnsiTheme="minorEastAsia" w:eastAsiaTheme="minorEastAsia"/>
          <w:color w:val="auto"/>
          <w:kern w:val="0"/>
          <w:szCs w:val="21"/>
        </w:rPr>
        <w:t>另有规定外，采购项目</w:t>
      </w:r>
      <w:r>
        <w:rPr>
          <w:rFonts w:hint="eastAsia" w:cs="宋体" w:asciiTheme="minorEastAsia" w:hAnsiTheme="minorEastAsia" w:eastAsiaTheme="minorEastAsia"/>
          <w:b/>
          <w:color w:val="auto"/>
          <w:kern w:val="0"/>
          <w:szCs w:val="21"/>
        </w:rPr>
        <w:t>拒绝进口产品参加投标</w:t>
      </w:r>
      <w:r>
        <w:rPr>
          <w:rFonts w:hint="eastAsia" w:cs="宋体" w:asciiTheme="minorEastAsia" w:hAnsiTheme="minorEastAsia" w:eastAsiaTheme="minorEastAsia"/>
          <w:color w:val="auto"/>
          <w:kern w:val="0"/>
          <w:szCs w:val="21"/>
        </w:rPr>
        <w:t>。本款规定同意购买进口产品的，不限制满足招标文件要求的国内产品参与投标竞争。</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2.6电子招标投标：是指电子招标投标参与各方（采购人、采购代理机构、供应商、评审专家）按照相关法律法规的规定，应用网络信息技术，使用CA数字证书（含电子签章、签名）在电子招标投标交易平台(以下简称交易平台)，进行的招标投标活动。</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3. 投标人的资格要求</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3.1投标人应当符合</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规定的投标人资格条件。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规定接受联合体形式投标的，投标人除应符合本章第3.1</w:t>
      </w:r>
      <w:r>
        <w:rPr>
          <w:rFonts w:hint="eastAsia" w:cs="宋体" w:asciiTheme="minorEastAsia" w:hAnsiTheme="minorEastAsia" w:eastAsiaTheme="minorEastAsia"/>
          <w:color w:val="auto"/>
          <w:kern w:val="0"/>
          <w:szCs w:val="21"/>
          <w:lang w:val="zh-CN"/>
        </w:rPr>
        <w:t>款</w:t>
      </w:r>
      <w:r>
        <w:rPr>
          <w:rFonts w:hint="eastAsia" w:asciiTheme="minorEastAsia" w:hAnsiTheme="minorEastAsia" w:eastAsiaTheme="minorEastAsia"/>
          <w:color w:val="auto"/>
          <w:szCs w:val="21"/>
        </w:rPr>
        <w:t xml:space="preserve">规定外，还应遵守以下规定：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（l）联合体中有同类资质的供应商按照联合体分工承担相同工作的，应当按照资质等级较低的供应商确定资质等级。</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（2）联合体各方应按招标文件提供的格式签订联合体协议书，明确联合体牵头人和各方的权利义务、合同工作量比例；</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lang w:val="zh-CN"/>
        </w:rPr>
      </w:pPr>
      <w:r>
        <w:rPr>
          <w:rFonts w:hint="eastAsia" w:asciiTheme="minorEastAsia" w:hAnsiTheme="minorEastAsia" w:eastAsiaTheme="minorEastAsia"/>
          <w:color w:val="auto"/>
          <w:szCs w:val="21"/>
        </w:rPr>
        <w:t>（3）联合体各方签订联合体协议书后，</w:t>
      </w:r>
      <w:r>
        <w:rPr>
          <w:rFonts w:hint="eastAsia" w:cs="宋体" w:asciiTheme="minorEastAsia" w:hAnsiTheme="minorEastAsia" w:eastAsiaTheme="minorEastAsia"/>
          <w:color w:val="auto"/>
          <w:kern w:val="0"/>
          <w:szCs w:val="21"/>
          <w:lang w:val="zh-CN"/>
        </w:rPr>
        <w:t>不得再单独参加或者与其他投标人组成新的联合体参加同一合同项下的采购活动。</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4. 投标费用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4.1投标人应自行承担所有参与投标的相关费用，不论投标的结果如何，采购人、采购代理机构均无义务和责任承担这些费用。</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5．组织现场考察或者召开答疑会</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rPr>
        <w:t>5.1采购人、采购代理机构可以在</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规定的招标文件提供期限截止后，组织已获取招标文件的潜在投标人现场考察或者召开开标前答疑会。</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5.2获取招标文件的潜在投标人应按</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规定参加现场考察或者答疑会；如不参加，其风险由其自行承担。</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5.3潜在投标人现场考察或者参加答疑会的费用由自己承担，现场考察期间所发生的人身伤害及财产损失由自己负责。</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5.4采购人、采购代理机构不对投标人据此而做出的推论、理解和结论负责。投标人一旦中标，不得以任何借口，提出额外补偿，或延长合同期限的要求。</w:t>
      </w:r>
    </w:p>
    <w:p>
      <w:pPr>
        <w:pStyle w:val="6"/>
        <w:adjustRightInd w:val="0"/>
        <w:snapToGrid w:val="0"/>
        <w:spacing w:before="156" w:beforeLines="50" w:after="0" w:line="360" w:lineRule="auto"/>
        <w:jc w:val="center"/>
        <w:rPr>
          <w:rFonts w:ascii="黑体" w:hAnsi="黑体" w:eastAsia="黑体"/>
          <w:color w:val="auto"/>
          <w:sz w:val="28"/>
          <w:szCs w:val="28"/>
        </w:rPr>
      </w:pPr>
      <w:bookmarkStart w:id="20" w:name="_Toc31109"/>
      <w:bookmarkStart w:id="21" w:name="_Toc29913898"/>
      <w:r>
        <w:rPr>
          <w:rFonts w:hint="eastAsia" w:ascii="黑体" w:hAnsi="黑体" w:eastAsia="黑体"/>
          <w:color w:val="auto"/>
          <w:sz w:val="28"/>
          <w:szCs w:val="28"/>
        </w:rPr>
        <w:t>二、招标文件</w:t>
      </w:r>
      <w:bookmarkEnd w:id="20"/>
      <w:bookmarkEnd w:id="21"/>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6. 招标文件的构成</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6.1 招标文件共七章，各章内容如下：</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第一章 投标邀请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第二章 投标须知</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第三章 资格审查</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第四章 评标方法及标准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第五章 采购需求</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第六章 政府采购合同</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第七章 投标文件的组成</w:t>
      </w:r>
    </w:p>
    <w:p>
      <w:pPr>
        <w:adjustRightInd w:val="0"/>
        <w:snapToGrid w:val="0"/>
        <w:spacing w:before="156" w:beforeLines="50" w:line="360" w:lineRule="auto"/>
        <w:ind w:firstLine="420" w:firstLineChars="200"/>
        <w:jc w:val="left"/>
        <w:rPr>
          <w:rFonts w:cs="宋体" w:asciiTheme="minorEastAsia" w:hAnsiTheme="minorEastAsia" w:eastAsiaTheme="minorEastAsia"/>
          <w:b/>
          <w:color w:val="auto"/>
          <w:szCs w:val="21"/>
        </w:rPr>
      </w:pPr>
      <w:r>
        <w:rPr>
          <w:rFonts w:hint="eastAsia" w:asciiTheme="minorEastAsia" w:hAnsiTheme="minorEastAsia" w:eastAsiaTheme="minorEastAsia"/>
          <w:color w:val="auto"/>
          <w:szCs w:val="21"/>
        </w:rPr>
        <w:t>6.2采购人、采购代理机构在提交投标文件截止时间前</w:t>
      </w:r>
      <w:r>
        <w:rPr>
          <w:rFonts w:hint="eastAsia" w:cs="宋体" w:asciiTheme="minorEastAsia" w:hAnsiTheme="minorEastAsia" w:eastAsiaTheme="minorEastAsia"/>
          <w:color w:val="auto"/>
          <w:szCs w:val="21"/>
        </w:rPr>
        <w:t>对招标文件所作的澄清或者修改，构成招标文件的组成部分。</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7．偏离与实质性响应</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7.1投标人应当按照招标文件的要求编制投标文件。投标文件应当对招标文件提出的要求和条件作出明确响应。</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7.2偏离是指投标文件不响应或者不满足招标文件提出的要求和条件，分为实质性偏离和非实质性偏离。</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7.3除法律、法规和招标文件规定的其他投标无效情形外，招标文件中用“★”符号标明的条款为实质性要求和条件，对其中任何一条的偏离，为实质性偏离，</w:t>
      </w:r>
      <w:r>
        <w:rPr>
          <w:rFonts w:hint="eastAsia" w:asciiTheme="minorEastAsia" w:hAnsiTheme="minorEastAsia" w:eastAsiaTheme="minorEastAsia"/>
          <w:b/>
          <w:color w:val="auto"/>
        </w:rPr>
        <w:t>其投标无效</w:t>
      </w:r>
      <w:r>
        <w:rPr>
          <w:rFonts w:hint="eastAsia" w:asciiTheme="minorEastAsia" w:hAnsiTheme="minorEastAsia" w:eastAsiaTheme="minorEastAsia"/>
          <w:color w:val="auto"/>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7.4投标</w:t>
      </w:r>
      <w:r>
        <w:rPr>
          <w:rFonts w:hint="eastAsia" w:asciiTheme="minorEastAsia" w:hAnsiTheme="minorEastAsia" w:eastAsiaTheme="minorEastAsia"/>
          <w:color w:val="auto"/>
          <w:szCs w:val="21"/>
        </w:rPr>
        <w:t>文件偏离招标文件的非实质性要求和条件，为非实质性偏离。非实质性偏离的范围和幅度应当符合</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的规定，</w:t>
      </w:r>
      <w:r>
        <w:rPr>
          <w:rFonts w:hint="eastAsia" w:asciiTheme="minorEastAsia" w:hAnsiTheme="minorEastAsia" w:eastAsiaTheme="minorEastAsia"/>
          <w:b/>
          <w:color w:val="auto"/>
          <w:szCs w:val="21"/>
        </w:rPr>
        <w:t>否</w:t>
      </w:r>
      <w:r>
        <w:rPr>
          <w:rFonts w:hint="eastAsia" w:asciiTheme="minorEastAsia" w:hAnsiTheme="minorEastAsia" w:eastAsiaTheme="minorEastAsia"/>
          <w:b/>
          <w:color w:val="auto"/>
        </w:rPr>
        <w:t>则投标无效</w:t>
      </w:r>
      <w:r>
        <w:rPr>
          <w:rFonts w:hint="eastAsia" w:asciiTheme="minorEastAsia" w:hAnsiTheme="minorEastAsia" w:eastAsiaTheme="minorEastAsia"/>
          <w:color w:val="auto"/>
        </w:rPr>
        <w:t>。</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8. 询问</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8.1潜在投标人应仔细阅读和检查招标文件的全部内容。如有疑问，可以向采购人或者采购代理机构提出询问。</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9. 招标文件的澄清或者修改</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9.1采购人、采购代理机构对已发出的招标文件进行必要澄清或者修改的，将在</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w:t>
      </w:r>
      <w:r>
        <w:rPr>
          <w:rFonts w:hint="eastAsia" w:asciiTheme="minorEastAsia" w:hAnsiTheme="minorEastAsia" w:eastAsiaTheme="minorEastAsia"/>
          <w:color w:val="auto"/>
        </w:rPr>
        <w:t>招标公告指定媒体上发布澄清或者修改公告。</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cs="宋体" w:asciiTheme="minorEastAsia" w:hAnsiTheme="minorEastAsia" w:eastAsiaTheme="minorEastAsia"/>
          <w:color w:val="auto"/>
          <w:kern w:val="0"/>
          <w:szCs w:val="21"/>
        </w:rPr>
        <w:t>9.2澄清或者修改</w:t>
      </w:r>
      <w:r>
        <w:rPr>
          <w:rFonts w:hint="eastAsia" w:asciiTheme="minorEastAsia" w:hAnsiTheme="minorEastAsia" w:eastAsiaTheme="minorEastAsia"/>
          <w:color w:val="auto"/>
        </w:rPr>
        <w:t>的</w:t>
      </w:r>
      <w:r>
        <w:rPr>
          <w:rFonts w:hint="eastAsia" w:cs="宋体" w:asciiTheme="minorEastAsia" w:hAnsiTheme="minorEastAsia" w:eastAsiaTheme="minorEastAsia"/>
          <w:color w:val="auto"/>
          <w:kern w:val="0"/>
          <w:szCs w:val="21"/>
        </w:rPr>
        <w:t>内容可能影响投标文件编制的，采购人、采购代理机构</w:t>
      </w:r>
      <w:r>
        <w:rPr>
          <w:rFonts w:hint="eastAsia" w:asciiTheme="minorEastAsia" w:hAnsiTheme="minorEastAsia" w:eastAsiaTheme="minorEastAsia"/>
          <w:color w:val="auto"/>
        </w:rPr>
        <w:t>将</w:t>
      </w:r>
      <w:r>
        <w:rPr>
          <w:rFonts w:hint="eastAsia" w:cs="宋体" w:asciiTheme="minorEastAsia" w:hAnsiTheme="minorEastAsia" w:eastAsiaTheme="minorEastAsia"/>
          <w:color w:val="auto"/>
          <w:kern w:val="0"/>
          <w:szCs w:val="21"/>
        </w:rPr>
        <w:t>在提交投标文件截止时间15日前，</w:t>
      </w:r>
      <w:r>
        <w:rPr>
          <w:rFonts w:hint="eastAsia" w:asciiTheme="minorEastAsia" w:hAnsiTheme="minorEastAsia" w:eastAsiaTheme="minorEastAsia"/>
          <w:color w:val="auto"/>
        </w:rPr>
        <w:t>以数据电文形式通知所有获取招标文件的潜在投标人；不足15日的，将相应延长提交投标文件的截止时间。</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9</w:t>
      </w:r>
      <w:r>
        <w:rPr>
          <w:rFonts w:asciiTheme="minorEastAsia" w:hAnsiTheme="minorEastAsia" w:eastAsiaTheme="minorEastAsia"/>
          <w:color w:val="auto"/>
        </w:rPr>
        <w:t>.3</w:t>
      </w:r>
      <w:r>
        <w:rPr>
          <w:rFonts w:hint="eastAsia" w:asciiTheme="minorEastAsia" w:hAnsiTheme="minorEastAsia" w:eastAsiaTheme="minorEastAsia"/>
          <w:color w:val="auto"/>
        </w:rPr>
        <w:t>招标文件的提供期限届满后，获取招标文件的潜在投标人不足3家的，可以顺延提供期限，并在指定媒体上发布修改公告。</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9.4 通过交易平台下载招标文件的，请获取招标文件的潜在投标人及时关注</w:t>
      </w:r>
      <w:r>
        <w:rPr>
          <w:rFonts w:hint="eastAsia" w:asciiTheme="minorEastAsia" w:hAnsiTheme="minorEastAsia" w:eastAsiaTheme="minorEastAsia"/>
          <w:color w:val="auto"/>
          <w:szCs w:val="21"/>
        </w:rPr>
        <w:t>招标公告指定媒体</w:t>
      </w:r>
      <w:r>
        <w:rPr>
          <w:rFonts w:hint="eastAsia" w:asciiTheme="minorEastAsia" w:hAnsiTheme="minorEastAsia" w:eastAsiaTheme="minorEastAsia"/>
          <w:color w:val="auto"/>
        </w:rPr>
        <w:t>发布的澄清或者修改公告。</w:t>
      </w:r>
    </w:p>
    <w:p>
      <w:pPr>
        <w:pStyle w:val="6"/>
        <w:adjustRightInd w:val="0"/>
        <w:snapToGrid w:val="0"/>
        <w:spacing w:before="156" w:beforeLines="50" w:after="0" w:line="360" w:lineRule="auto"/>
        <w:jc w:val="center"/>
        <w:rPr>
          <w:rFonts w:ascii="黑体" w:hAnsi="黑体" w:eastAsia="黑体"/>
          <w:color w:val="auto"/>
          <w:sz w:val="28"/>
          <w:szCs w:val="28"/>
        </w:rPr>
      </w:pPr>
      <w:bookmarkStart w:id="22" w:name="_Toc29913899"/>
      <w:bookmarkStart w:id="23" w:name="_Toc19906"/>
      <w:r>
        <w:rPr>
          <w:rFonts w:hint="eastAsia" w:ascii="黑体" w:hAnsi="黑体" w:eastAsia="黑体"/>
          <w:color w:val="auto"/>
          <w:sz w:val="28"/>
          <w:szCs w:val="28"/>
        </w:rPr>
        <w:t>三、投标文件</w:t>
      </w:r>
      <w:bookmarkEnd w:id="22"/>
      <w:bookmarkEnd w:id="23"/>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10. 投标语言</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10.1除专用术语外，投标人提交的投标文件及投标人与采购人、采购代理机构就有关投标的所有来往函电均使用中文。投标人可以提交其它语言的资料，但应附有中文注释，有差异时以中文为准。</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 xml:space="preserve">11. </w:t>
      </w:r>
      <w:r>
        <w:rPr>
          <w:rFonts w:hint="eastAsia" w:asciiTheme="minorEastAsia" w:hAnsiTheme="minorEastAsia" w:eastAsiaTheme="minorEastAsia"/>
          <w:b/>
          <w:color w:val="auto"/>
          <w:sz w:val="24"/>
        </w:rPr>
        <w:t>计量单位</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11.1所有计量均采用中华人民共和国法定计量单位。</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 xml:space="preserve">12. </w:t>
      </w:r>
      <w:r>
        <w:rPr>
          <w:rFonts w:hint="eastAsia" w:asciiTheme="minorEastAsia" w:hAnsiTheme="minorEastAsia" w:eastAsiaTheme="minorEastAsia"/>
          <w:b/>
          <w:bCs/>
          <w:color w:val="auto"/>
          <w:sz w:val="24"/>
        </w:rPr>
        <w:t>投标文件的组成</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12.1投标文件由如下内容组成：</w:t>
      </w:r>
    </w:p>
    <w:p>
      <w:pPr>
        <w:adjustRightInd w:val="0"/>
        <w:snapToGrid w:val="0"/>
        <w:spacing w:before="156" w:beforeLines="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第一部分 资格证明文件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（1）开标一览表</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）法定代表人（单位负责人）身份证明或授权委托书</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3</w:t>
      </w:r>
      <w:r>
        <w:rPr>
          <w:rFonts w:hint="eastAsia" w:asciiTheme="minorEastAsia" w:hAnsiTheme="minorEastAsia" w:eastAsiaTheme="minorEastAsia"/>
          <w:color w:val="auto"/>
          <w:szCs w:val="21"/>
        </w:rPr>
        <w:t>）投标人提供的资格证明文件</w:t>
      </w:r>
    </w:p>
    <w:p>
      <w:pPr>
        <w:adjustRightInd w:val="0"/>
        <w:snapToGrid w:val="0"/>
        <w:spacing w:before="156" w:beforeLines="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第二部分 商务和技术文件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）投标函</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5</w:t>
      </w:r>
      <w:r>
        <w:rPr>
          <w:rFonts w:hint="eastAsia" w:asciiTheme="minorEastAsia" w:hAnsiTheme="minorEastAsia" w:eastAsiaTheme="minorEastAsia"/>
          <w:color w:val="auto"/>
          <w:szCs w:val="21"/>
        </w:rPr>
        <w:t>）分项报价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）采购需求响应</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）合同条款偏离表</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8</w:t>
      </w:r>
      <w:r>
        <w:rPr>
          <w:rFonts w:hint="eastAsia" w:asciiTheme="minorEastAsia" w:hAnsiTheme="minorEastAsia" w:eastAsiaTheme="minorEastAsia"/>
          <w:color w:val="auto"/>
          <w:szCs w:val="21"/>
        </w:rPr>
        <w:t>）采购需求偏离表</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9</w:t>
      </w:r>
      <w:r>
        <w:rPr>
          <w:rFonts w:hint="eastAsia" w:asciiTheme="minorEastAsia" w:hAnsiTheme="minorEastAsia" w:eastAsiaTheme="minorEastAsia"/>
          <w:color w:val="auto"/>
          <w:szCs w:val="21"/>
        </w:rPr>
        <w:t>）享受政府采购政策优惠的证明资料</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r>
        <w:rPr>
          <w:rFonts w:hint="eastAsia" w:asciiTheme="minorEastAsia" w:hAnsiTheme="minorEastAsia" w:eastAsiaTheme="minorEastAsia"/>
          <w:color w:val="auto"/>
          <w:szCs w:val="21"/>
          <w:lang w:val="en-US" w:eastAsia="zh-CN"/>
        </w:rPr>
        <w:t>0</w:t>
      </w:r>
      <w:r>
        <w:rPr>
          <w:rFonts w:hint="eastAsia" w:asciiTheme="minorEastAsia" w:hAnsiTheme="minorEastAsia" w:eastAsiaTheme="minorEastAsia"/>
          <w:color w:val="auto"/>
          <w:szCs w:val="21"/>
        </w:rPr>
        <w:t>）投标货物符合招标文件规定的证明文件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rPr>
        <w:t>）投标人认为需提供的其他资料</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12.2 根据《政府采购法》第四十二条的规定，投标人无论中标与否，其投标文件不予退还。</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13. 投标报价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2投标人的投标报价不得超过采购预算，也不得超过最高限价(如果设定)，否则其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。采购项目预算、最高限价见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szCs w:val="21"/>
        </w:rPr>
        <w:t>13.3 投标人应在分项报价明细表中对每项内容给予详细分项</w:t>
      </w:r>
      <w:r>
        <w:rPr>
          <w:rFonts w:hint="eastAsia" w:asciiTheme="minorEastAsia" w:hAnsiTheme="minorEastAsia" w:eastAsiaTheme="minorEastAsia"/>
          <w:color w:val="auto"/>
        </w:rPr>
        <w:t>报价。</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13.4投标人对采购项目内容只允许有一个投标报价，否则其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13.5采购人不接受投标人给予的赠品、回扣或者与采购无关的其他商品、服务。如有赠与行为，其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13.6</w:t>
      </w:r>
      <w:r>
        <w:rPr>
          <w:rFonts w:hint="eastAsia" w:asciiTheme="minorEastAsia" w:hAnsiTheme="minorEastAsia" w:eastAsiaTheme="minorEastAsia"/>
          <w:color w:val="auto"/>
        </w:rPr>
        <w:t>投标文件中标明的价格在合同执行过程中是固定不变的，不得以任何理由予以变更。任何包含价格调整要求和条件的投标，其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13.7投标人在投标截止时间前修改“开标一览表”中的投标报价的，应同时修改投标文件“分项报价明细表”“享受政府采购政策优惠的证明资料”以及“联合体协议书”（如果影响）等相关内容。</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13.8投标报价的其他要求见</w:t>
      </w:r>
      <w:r>
        <w:rPr>
          <w:rFonts w:hint="eastAsia" w:asciiTheme="minorEastAsia" w:hAnsiTheme="minorEastAsia"/>
          <w:b/>
          <w:color w:val="auto"/>
          <w:szCs w:val="21"/>
        </w:rPr>
        <w:t>【投标须知前附表】</w:t>
      </w:r>
      <w:r>
        <w:rPr>
          <w:rFonts w:hint="eastAsia" w:asciiTheme="minorEastAsia" w:hAnsiTheme="minorEastAsia" w:eastAsiaTheme="minorEastAsia"/>
          <w:color w:val="auto"/>
        </w:rPr>
        <w:t xml:space="preserve">。 </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 xml:space="preserve">14. </w:t>
      </w:r>
      <w:r>
        <w:rPr>
          <w:rFonts w:hint="eastAsia" w:asciiTheme="minorEastAsia" w:hAnsiTheme="minorEastAsia" w:eastAsiaTheme="minorEastAsia"/>
          <w:b/>
          <w:bCs/>
          <w:color w:val="auto"/>
          <w:sz w:val="24"/>
        </w:rPr>
        <w:t>投标人的资格证明文件</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color w:val="auto"/>
        </w:rPr>
        <w:t>14.1</w:t>
      </w:r>
      <w:r>
        <w:rPr>
          <w:rFonts w:hint="eastAsia" w:asciiTheme="minorEastAsia" w:hAnsiTheme="minorEastAsia" w:eastAsiaTheme="minorEastAsia"/>
          <w:color w:val="auto"/>
          <w:szCs w:val="21"/>
        </w:rPr>
        <w:t>除</w:t>
      </w:r>
      <w:r>
        <w:rPr>
          <w:rFonts w:hint="eastAsia" w:asciiTheme="minorEastAsia" w:hAnsiTheme="minorEastAsia"/>
          <w:b/>
          <w:color w:val="auto"/>
          <w:szCs w:val="21"/>
        </w:rPr>
        <w:t>【投标须知前附表】</w:t>
      </w:r>
      <w:r>
        <w:rPr>
          <w:rFonts w:hint="eastAsia" w:asciiTheme="minorEastAsia" w:hAnsiTheme="minorEastAsia" w:eastAsiaTheme="minorEastAsia"/>
          <w:color w:val="auto"/>
          <w:szCs w:val="21"/>
        </w:rPr>
        <w:t>另有规</w:t>
      </w:r>
      <w:r>
        <w:rPr>
          <w:rFonts w:hint="eastAsia" w:asciiTheme="minorEastAsia" w:hAnsiTheme="minorEastAsia" w:eastAsiaTheme="minorEastAsia"/>
          <w:color w:val="auto"/>
        </w:rPr>
        <w:t>定外，投标人应按下列规定提供资格证明文件。</w:t>
      </w:r>
    </w:p>
    <w:p>
      <w:pPr>
        <w:adjustRightInd w:val="0"/>
        <w:snapToGrid w:val="0"/>
        <w:spacing w:before="156" w:beforeLines="50" w:line="360" w:lineRule="auto"/>
        <w:ind w:firstLine="420" w:firstLineChars="200"/>
        <w:rPr>
          <w:rFonts w:asciiTheme="minorEastAsia" w:hAnsiTheme="minorEastAsia"/>
          <w:color w:val="auto"/>
        </w:rPr>
      </w:pPr>
      <w:r>
        <w:rPr>
          <w:rFonts w:hint="eastAsia" w:asciiTheme="minorEastAsia" w:hAnsiTheme="minorEastAsia"/>
          <w:color w:val="auto"/>
        </w:rPr>
        <w:t>（1）</w:t>
      </w:r>
      <w:r>
        <w:rPr>
          <w:rFonts w:hint="eastAsia" w:asciiTheme="minorEastAsia" w:hAnsiTheme="minorEastAsia"/>
          <w:b/>
          <w:color w:val="auto"/>
        </w:rPr>
        <w:t>法人或者其他组织的营业执照等主体资格证明文件，自然人的身份证明</w:t>
      </w:r>
      <w:r>
        <w:rPr>
          <w:rFonts w:hint="eastAsia" w:asciiTheme="minorEastAsia" w:hAnsiTheme="minorEastAsia"/>
          <w:color w:val="auto"/>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pPr>
        <w:adjustRightInd w:val="0"/>
        <w:snapToGrid w:val="0"/>
        <w:spacing w:before="156" w:beforeLines="50" w:line="360" w:lineRule="auto"/>
        <w:ind w:firstLine="420" w:firstLineChars="200"/>
        <w:rPr>
          <w:rFonts w:asciiTheme="minorEastAsia" w:hAnsiTheme="minorEastAsia"/>
          <w:color w:val="auto"/>
        </w:rPr>
      </w:pPr>
      <w:r>
        <w:rPr>
          <w:rFonts w:hint="eastAsia" w:asciiTheme="minorEastAsia" w:hAnsiTheme="minorEastAsia"/>
          <w:color w:val="auto"/>
        </w:rPr>
        <w:t>（2）</w:t>
      </w:r>
      <w:r>
        <w:rPr>
          <w:rFonts w:hint="eastAsia" w:asciiTheme="minorEastAsia" w:hAnsiTheme="minorEastAsia" w:eastAsiaTheme="minorEastAsia"/>
          <w:b/>
          <w:color w:val="auto"/>
        </w:rPr>
        <w:t>投标人资格声明(格式)</w:t>
      </w:r>
    </w:p>
    <w:p>
      <w:pPr>
        <w:adjustRightInd w:val="0"/>
        <w:snapToGrid w:val="0"/>
        <w:spacing w:before="156" w:beforeLines="50" w:line="360" w:lineRule="auto"/>
        <w:ind w:firstLine="420" w:firstLineChars="200"/>
        <w:rPr>
          <w:rFonts w:asciiTheme="minorEastAsia" w:hAnsiTheme="minorEastAsia"/>
          <w:color w:val="auto"/>
          <w:szCs w:val="21"/>
        </w:rPr>
      </w:pPr>
      <w:r>
        <w:rPr>
          <w:rFonts w:hint="eastAsia" w:asciiTheme="minorEastAsia" w:hAnsiTheme="minorEastAsia"/>
          <w:color w:val="auto"/>
        </w:rPr>
        <w:t>（3）</w:t>
      </w:r>
      <w:r>
        <w:rPr>
          <w:rFonts w:hint="eastAsia" w:asciiTheme="minorEastAsia" w:hAnsiTheme="minorEastAsia"/>
          <w:b/>
          <w:color w:val="auto"/>
        </w:rPr>
        <w:t>符合特定资格条件证明材料复印件或者情况说明原件</w:t>
      </w:r>
      <w:r>
        <w:rPr>
          <w:rFonts w:hint="eastAsia" w:asciiTheme="minorEastAsia" w:hAnsiTheme="minorEastAsia"/>
          <w:color w:val="auto"/>
        </w:rPr>
        <w:t>。</w:t>
      </w:r>
      <w:r>
        <w:rPr>
          <w:rFonts w:hint="eastAsia" w:asciiTheme="minorEastAsia" w:hAnsiTheme="minorEastAsia"/>
          <w:color w:val="auto"/>
          <w:szCs w:val="21"/>
        </w:rPr>
        <w:t>具体要求见</w:t>
      </w:r>
      <w:r>
        <w:rPr>
          <w:rFonts w:hint="eastAsia" w:asciiTheme="minorEastAsia" w:hAnsiTheme="minorEastAsia"/>
          <w:b/>
          <w:color w:val="auto"/>
          <w:szCs w:val="21"/>
        </w:rPr>
        <w:t>【投标须知前附表】</w:t>
      </w:r>
      <w:r>
        <w:rPr>
          <w:rFonts w:hint="eastAsia" w:asciiTheme="minorEastAsia" w:hAnsiTheme="minorEastAsia"/>
          <w:color w:val="auto"/>
          <w:szCs w:val="21"/>
        </w:rPr>
        <w:t>。</w:t>
      </w:r>
    </w:p>
    <w:p>
      <w:pPr>
        <w:adjustRightInd w:val="0"/>
        <w:snapToGrid w:val="0"/>
        <w:spacing w:before="156" w:beforeLines="50" w:line="360" w:lineRule="auto"/>
        <w:ind w:firstLine="420" w:firstLineChars="200"/>
        <w:rPr>
          <w:rFonts w:asciiTheme="minorEastAsia" w:hAnsiTheme="minorEastAsia"/>
          <w:color w:val="auto"/>
        </w:rPr>
      </w:pPr>
      <w:r>
        <w:rPr>
          <w:rFonts w:hint="eastAsia" w:asciiTheme="minorEastAsia" w:hAnsiTheme="minorEastAsia"/>
          <w:color w:val="auto"/>
        </w:rPr>
        <w:t>14.2投标人以联合体形式投标的，除应提交联合协议(格式)外，参加联合体的各方均应提交上款资格证明材料。</w:t>
      </w:r>
    </w:p>
    <w:p>
      <w:pPr>
        <w:adjustRightInd w:val="0"/>
        <w:snapToGrid w:val="0"/>
        <w:spacing w:before="156" w:beforeLines="50" w:line="360" w:lineRule="auto"/>
        <w:ind w:firstLine="420" w:firstLineChars="200"/>
        <w:rPr>
          <w:rFonts w:asciiTheme="minorEastAsia" w:hAnsiTheme="minorEastAsia"/>
          <w:color w:val="auto"/>
        </w:rPr>
      </w:pPr>
      <w:r>
        <w:rPr>
          <w:rFonts w:hint="eastAsia" w:asciiTheme="minorEastAsia" w:hAnsiTheme="minorEastAsia"/>
          <w:color w:val="auto"/>
        </w:rPr>
        <w:t>14.3投标人的资格证明文件均应为有效文件并加盖投标人电子章，并按招标文件规定签署。</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15. 投标货物及服务符合招标文件规定的证明文件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15.1投标人应当提交其拟供的合同项下货物及其服务符合招标文件规定的证明文件,该证明文件作为投标文件的一部分。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15.2上述证明文件可以是文字资料、图表、数据、证书等资料，包括但不限于：</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（1）货物主要技术指标和性能的详细说明。对有具体参数要求的指标，投标人应提供具体参数值；</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（2）货物的品牌型号、制造商及原产地等说明；</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（3）招标文件第五章“采购需求”要求的其它文件。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16. 投标有效期</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16.1投标有效期从提交投标文件的截止之日起算。投标文件中承诺的投标有效期应当不少于</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中载明的投标有效期。投标有效期不满足要求的，其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16.2投标有效期内投标人撤销投标文件的，投标人应承担招标文件和法律规定的责任。</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1</w:t>
      </w:r>
      <w:r>
        <w:rPr>
          <w:rFonts w:hint="eastAsia" w:asciiTheme="minorEastAsia" w:hAnsiTheme="minorEastAsia" w:eastAsiaTheme="minorEastAsia"/>
          <w:b/>
          <w:color w:val="auto"/>
          <w:sz w:val="24"/>
          <w:lang w:val="en-US" w:eastAsia="zh-CN"/>
        </w:rPr>
        <w:t>7</w:t>
      </w:r>
      <w:r>
        <w:rPr>
          <w:rFonts w:hint="eastAsia" w:asciiTheme="minorEastAsia" w:hAnsiTheme="minorEastAsia" w:eastAsiaTheme="minorEastAsia"/>
          <w:b/>
          <w:color w:val="auto"/>
          <w:sz w:val="24"/>
        </w:rPr>
        <w:t>.分包</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w:t>
      </w:r>
      <w:r>
        <w:rPr>
          <w:rFonts w:hint="eastAsia" w:asciiTheme="minorEastAsia" w:hAnsiTheme="minorEastAsia" w:eastAsiaTheme="minorEastAsia"/>
          <w:color w:val="auto"/>
          <w:lang w:val="en-US" w:eastAsia="zh-CN"/>
        </w:rPr>
        <w:t>7</w:t>
      </w:r>
      <w:r>
        <w:rPr>
          <w:rFonts w:hint="eastAsia" w:asciiTheme="minorEastAsia" w:hAnsiTheme="minorEastAsia" w:eastAsiaTheme="minorEastAsia"/>
          <w:color w:val="auto"/>
        </w:rPr>
        <w:t>.1投标人拟在中标后将中</w:t>
      </w:r>
      <w:r>
        <w:rPr>
          <w:rFonts w:hint="eastAsia" w:asciiTheme="minorEastAsia" w:hAnsiTheme="minorEastAsia" w:eastAsiaTheme="minorEastAsia"/>
          <w:color w:val="auto"/>
          <w:szCs w:val="21"/>
        </w:rPr>
        <w:t>标项目的非主体、非关键性工作进行分包的，应符合</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规定的分包内容、分包金</w:t>
      </w:r>
      <w:r>
        <w:rPr>
          <w:rFonts w:hint="eastAsia" w:asciiTheme="minorEastAsia" w:hAnsiTheme="minorEastAsia" w:eastAsiaTheme="minorEastAsia"/>
          <w:color w:val="auto"/>
        </w:rPr>
        <w:t>额和资质要求等限制性条件，并在投标文件中载明分包承担主体，且分包承担主体不得再次分包。</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w:t>
      </w:r>
      <w:r>
        <w:rPr>
          <w:rFonts w:hint="eastAsia" w:asciiTheme="minorEastAsia" w:hAnsiTheme="minorEastAsia" w:eastAsiaTheme="minorEastAsia"/>
          <w:color w:val="auto"/>
          <w:lang w:val="en-US" w:eastAsia="zh-CN"/>
        </w:rPr>
        <w:t>7</w:t>
      </w:r>
      <w:r>
        <w:rPr>
          <w:rFonts w:hint="eastAsia" w:asciiTheme="minorEastAsia" w:hAnsiTheme="minorEastAsia" w:eastAsiaTheme="minorEastAsia"/>
          <w:color w:val="auto"/>
        </w:rPr>
        <w:t>.2中标人应当就分包项目向采购人负责，分包承担主体就分包项目承担连带责任。</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w:t>
      </w:r>
      <w:r>
        <w:rPr>
          <w:rFonts w:hint="eastAsia" w:asciiTheme="minorEastAsia" w:hAnsiTheme="minorEastAsia" w:eastAsiaTheme="minorEastAsia"/>
          <w:color w:val="auto"/>
          <w:lang w:val="en-US" w:eastAsia="zh-CN"/>
        </w:rPr>
        <w:t>7</w:t>
      </w:r>
      <w:r>
        <w:rPr>
          <w:rFonts w:hint="eastAsia" w:asciiTheme="minorEastAsia" w:hAnsiTheme="minorEastAsia" w:eastAsiaTheme="minorEastAsia"/>
          <w:color w:val="auto"/>
        </w:rPr>
        <w:t>.3不符合招标文件中有关分包规定的，其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w:t>
      </w:r>
      <w:r>
        <w:rPr>
          <w:rFonts w:hint="eastAsia" w:asciiTheme="minorEastAsia" w:hAnsiTheme="minorEastAsia" w:eastAsiaTheme="minorEastAsia"/>
          <w:b/>
          <w:bCs/>
          <w:color w:val="auto"/>
          <w:sz w:val="24"/>
          <w:lang w:val="en-US" w:eastAsia="zh-CN"/>
        </w:rPr>
        <w:t>8</w:t>
      </w:r>
      <w:r>
        <w:rPr>
          <w:rFonts w:hint="eastAsia" w:asciiTheme="minorEastAsia" w:hAnsiTheme="minorEastAsia" w:eastAsiaTheme="minorEastAsia"/>
          <w:b/>
          <w:bCs/>
          <w:color w:val="auto"/>
          <w:sz w:val="24"/>
        </w:rPr>
        <w:t>. 电子投标投标文件的制作和签署</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.1投标人确认投标后，应当在</w:t>
      </w:r>
      <w:r>
        <w:rPr>
          <w:rFonts w:hint="eastAsia" w:ascii="宋体" w:hAnsi="宋体"/>
          <w:color w:val="auto"/>
          <w:szCs w:val="21"/>
          <w:lang w:eastAsia="zh-CN"/>
        </w:rPr>
        <w:t>郴州市公共资源</w:t>
      </w:r>
      <w:r>
        <w:rPr>
          <w:rFonts w:hint="eastAsia" w:ascii="宋体" w:hAnsi="宋体"/>
          <w:color w:val="auto"/>
          <w:szCs w:val="21"/>
        </w:rPr>
        <w:t>交易政府采购电子化平台上认可的“投标文件制作工具软件下载”制作投标文件（ 含澄清、说明文件）并进行固化、加密；</w:t>
      </w:r>
      <w:r>
        <w:rPr>
          <w:rFonts w:hint="eastAsia" w:asciiTheme="minorEastAsia" w:hAnsiTheme="minorEastAsia" w:eastAsiaTheme="minorEastAsia"/>
          <w:bCs/>
          <w:color w:val="auto"/>
          <w:szCs w:val="21"/>
        </w:rPr>
        <w:t>否则将可能影响电子投标文件的上传而导致投标无效。</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.2投标人应按照电子招标文件格式及投标工具编制资格证明文件，不得将其编制上传到商务和技术文件中。否则，由于编制上传位置失误导致无法进行资格审查，由此所产生的后果和责任由投标人自行承担。</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.3 投标人应按照电子招标文件格式及投标工具编制商务、技术及综合评分表相关资料。必须按招标文件目录和节点对应位置上传或填写相应资料，否则，由于编制上传位置失误，系统将判断投标人未提交此项资料，由此造成的后果和责任由投标人自行承担。</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4投标人应注意压缩电子文件，上传的有关扫描件的尺寸和清晰度应该能够在电脑上被阅读、识别和判断。若投标人未按要求提供证明材料或提供的是部分证明材料或提供不清晰的扫描件复印件，无法阅读、识别和判断的，由此可能导致的不予计分、废标等后果由投标人自行承担。</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.5投标人应在电子投标文件指定签章处采用</w:t>
      </w:r>
      <w:r>
        <w:rPr>
          <w:rFonts w:hint="eastAsia" w:ascii="宋体" w:hAnsi="宋体"/>
          <w:color w:val="auto"/>
          <w:szCs w:val="21"/>
          <w:lang w:eastAsia="zh-CN"/>
        </w:rPr>
        <w:t>郴州市公共资源</w:t>
      </w:r>
      <w:r>
        <w:rPr>
          <w:rFonts w:hint="eastAsia" w:ascii="宋体" w:hAnsi="宋体"/>
          <w:color w:val="auto"/>
          <w:szCs w:val="21"/>
        </w:rPr>
        <w:t>交易中心交易平台认可的CA数字证书（含电子印章）进行签章。</w:t>
      </w:r>
    </w:p>
    <w:p>
      <w:pPr>
        <w:adjustRightInd w:val="0"/>
        <w:snapToGrid w:val="0"/>
        <w:spacing w:line="360" w:lineRule="auto"/>
        <w:ind w:firstLine="420" w:firstLineChars="200"/>
        <w:jc w:val="left"/>
        <w:rPr>
          <w:rFonts w:ascii="宋体" w:hAnsi="宋体"/>
          <w:color w:val="auto"/>
          <w:szCs w:val="21"/>
        </w:rPr>
      </w:pPr>
      <w:r>
        <w:rPr>
          <w:rFonts w:ascii="宋体" w:hAnsi="宋体"/>
          <w:color w:val="auto"/>
          <w:szCs w:val="21"/>
        </w:rPr>
        <w:t>1</w:t>
      </w:r>
      <w:r>
        <w:rPr>
          <w:rFonts w:hint="eastAsia" w:ascii="宋体" w:hAnsi="宋体"/>
          <w:color w:val="auto"/>
          <w:szCs w:val="21"/>
          <w:lang w:val="en-US" w:eastAsia="zh-CN"/>
        </w:rPr>
        <w:t>8</w:t>
      </w:r>
      <w:r>
        <w:rPr>
          <w:rFonts w:ascii="宋体" w:hAnsi="宋体"/>
          <w:color w:val="auto"/>
          <w:szCs w:val="21"/>
        </w:rPr>
        <w:t xml:space="preserve">.6 </w:t>
      </w:r>
      <w:r>
        <w:rPr>
          <w:rFonts w:hint="eastAsia" w:ascii="宋体" w:hAnsi="宋体"/>
          <w:color w:val="auto"/>
          <w:szCs w:val="21"/>
        </w:rPr>
        <w:t>电子招投标文件具有法律效力，若投标文件与招标文件要求不一致，其内容影响中标结果时，责任由投标人自行承担。</w:t>
      </w:r>
    </w:p>
    <w:p>
      <w:pPr>
        <w:adjustRightInd w:val="0"/>
        <w:snapToGrid w:val="0"/>
        <w:spacing w:line="360" w:lineRule="auto"/>
        <w:ind w:firstLine="420" w:firstLineChars="200"/>
        <w:jc w:val="left"/>
        <w:rPr>
          <w:rFonts w:ascii="宋体" w:hAnsi="宋体"/>
          <w:color w:val="auto"/>
          <w:szCs w:val="21"/>
        </w:rPr>
      </w:pPr>
    </w:p>
    <w:p>
      <w:pPr>
        <w:adjustRightInd w:val="0"/>
        <w:snapToGrid w:val="0"/>
        <w:spacing w:line="360" w:lineRule="auto"/>
        <w:ind w:firstLine="420" w:firstLineChars="200"/>
        <w:jc w:val="left"/>
        <w:rPr>
          <w:rFonts w:ascii="宋体" w:hAnsi="宋体"/>
          <w:color w:val="auto"/>
          <w:szCs w:val="21"/>
        </w:rPr>
      </w:pPr>
    </w:p>
    <w:p>
      <w:pPr>
        <w:pStyle w:val="6"/>
        <w:keepNext w:val="0"/>
        <w:keepLines w:val="0"/>
        <w:numPr>
          <w:ilvl w:val="0"/>
          <w:numId w:val="2"/>
        </w:numPr>
        <w:adjustRightInd w:val="0"/>
        <w:snapToGrid w:val="0"/>
        <w:spacing w:before="156" w:beforeLines="50" w:after="0" w:line="360" w:lineRule="auto"/>
        <w:jc w:val="center"/>
        <w:rPr>
          <w:rFonts w:ascii="黑体" w:hAnsi="黑体" w:eastAsia="黑体"/>
          <w:color w:val="auto"/>
          <w:sz w:val="28"/>
          <w:szCs w:val="28"/>
        </w:rPr>
      </w:pPr>
      <w:bookmarkStart w:id="24" w:name="_Toc28079"/>
      <w:bookmarkStart w:id="25" w:name="_Toc29913900"/>
      <w:r>
        <w:rPr>
          <w:rFonts w:hint="eastAsia" w:ascii="黑体" w:hAnsi="黑体" w:eastAsia="黑体"/>
          <w:color w:val="auto"/>
          <w:sz w:val="28"/>
          <w:szCs w:val="28"/>
        </w:rPr>
        <w:t>投标</w:t>
      </w:r>
      <w:bookmarkEnd w:id="24"/>
      <w:bookmarkEnd w:id="25"/>
    </w:p>
    <w:p>
      <w:pPr>
        <w:numPr>
          <w:ilvl w:val="255"/>
          <w:numId w:val="0"/>
        </w:numPr>
        <w:rPr>
          <w:rFonts w:eastAsia="黑体"/>
          <w:color w:val="auto"/>
        </w:rPr>
      </w:pPr>
      <w:bookmarkStart w:id="26" w:name="_Hlt193622730"/>
      <w:bookmarkEnd w:id="26"/>
      <w:bookmarkStart w:id="27" w:name="_Hlt226715444"/>
      <w:bookmarkEnd w:id="27"/>
    </w:p>
    <w:p>
      <w:pPr>
        <w:adjustRightInd w:val="0"/>
        <w:snapToGrid w:val="0"/>
        <w:spacing w:before="156" w:beforeLines="50" w:line="360" w:lineRule="auto"/>
        <w:ind w:firstLine="241" w:firstLineChars="100"/>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lang w:val="en-US" w:eastAsia="zh-CN"/>
        </w:rPr>
        <w:t>19</w:t>
      </w:r>
      <w:r>
        <w:rPr>
          <w:rFonts w:asciiTheme="minorEastAsia" w:hAnsiTheme="minorEastAsia" w:eastAsiaTheme="minorEastAsia"/>
          <w:b/>
          <w:color w:val="auto"/>
          <w:sz w:val="24"/>
        </w:rPr>
        <w:t>.</w:t>
      </w:r>
      <w:r>
        <w:rPr>
          <w:rFonts w:asciiTheme="minorEastAsia" w:hAnsiTheme="minorEastAsia" w:eastAsiaTheme="minorEastAsia"/>
          <w:b/>
          <w:bCs/>
          <w:color w:val="auto"/>
          <w:sz w:val="24"/>
        </w:rPr>
        <w:t xml:space="preserve"> 电子投标文件的加密和提交</w:t>
      </w:r>
    </w:p>
    <w:p>
      <w:pPr>
        <w:spacing w:line="360" w:lineRule="exact"/>
        <w:ind w:firstLine="411" w:firstLineChars="196"/>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19</w:t>
      </w:r>
      <w:r>
        <w:rPr>
          <w:rFonts w:hint="eastAsia" w:asciiTheme="minorEastAsia" w:hAnsiTheme="minorEastAsia" w:eastAsiaTheme="minorEastAsia"/>
          <w:color w:val="auto"/>
          <w:szCs w:val="21"/>
        </w:rPr>
        <w:t>.1投标人应按照招标文件和交易平台的要求编制数据电文形式的投标文件并通过数字证书进行加密后，</w:t>
      </w:r>
      <w:r>
        <w:rPr>
          <w:rFonts w:hint="eastAsia" w:asciiTheme="minorEastAsia" w:hAnsiTheme="minorEastAsia" w:eastAsiaTheme="minorEastAsia"/>
          <w:bCs/>
          <w:color w:val="auto"/>
          <w:szCs w:val="21"/>
        </w:rPr>
        <w:t>在招标文件【投标须知前附表】规定的开标时间前将电子投标文件上传到交易平台的对应项目。</w:t>
      </w:r>
      <w:r>
        <w:rPr>
          <w:rFonts w:hint="eastAsia" w:asciiTheme="minorEastAsia" w:hAnsiTheme="minorEastAsia" w:eastAsiaTheme="minorEastAsia"/>
          <w:color w:val="auto"/>
          <w:szCs w:val="21"/>
        </w:rPr>
        <w:t>未按要求加密或逾期上传提交的投标文件，交易平台将无法接受, 采购代理机构不予受理。</w:t>
      </w:r>
    </w:p>
    <w:p>
      <w:pPr>
        <w:spacing w:line="360" w:lineRule="exact"/>
        <w:ind w:firstLine="411" w:firstLineChars="196"/>
        <w:rPr>
          <w:rFonts w:ascii="宋体" w:hAnsi="宋体"/>
          <w:color w:val="auto"/>
        </w:rPr>
      </w:pPr>
      <w:r>
        <w:rPr>
          <w:rFonts w:hint="eastAsia" w:ascii="宋体" w:hAnsi="宋体"/>
          <w:color w:val="auto"/>
          <w:lang w:val="en-US" w:eastAsia="zh-CN"/>
        </w:rPr>
        <w:t>19</w:t>
      </w:r>
      <w:r>
        <w:rPr>
          <w:rFonts w:hint="eastAsia" w:ascii="宋体" w:hAnsi="宋体"/>
          <w:color w:val="auto"/>
        </w:rPr>
        <w:t>.2采购代理机构不接受投标截止时间后递交的纸质、电子、传真等所有形式的投标文件。</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lang w:val="en-US" w:eastAsia="zh-CN"/>
        </w:rPr>
        <w:t>19</w:t>
      </w:r>
      <w:r>
        <w:rPr>
          <w:rFonts w:hint="eastAsia" w:asciiTheme="minorEastAsia" w:hAnsiTheme="minorEastAsia" w:eastAsiaTheme="minorEastAsia"/>
          <w:bCs/>
          <w:color w:val="auto"/>
          <w:szCs w:val="21"/>
        </w:rPr>
        <w:t>.3</w:t>
      </w:r>
      <w:r>
        <w:rPr>
          <w:rFonts w:hint="eastAsia" w:ascii="宋体" w:hAnsi="宋体"/>
          <w:color w:val="auto"/>
        </w:rPr>
        <w:t>建议投标人于开标前一个工作日完成投标文件的制作与上传，</w:t>
      </w:r>
      <w:r>
        <w:rPr>
          <w:rFonts w:hint="eastAsia" w:asciiTheme="minorEastAsia" w:hAnsiTheme="minorEastAsia" w:eastAsiaTheme="minorEastAsia"/>
          <w:bCs/>
          <w:color w:val="auto"/>
          <w:szCs w:val="21"/>
        </w:rPr>
        <w:t>系统将显示“上传成功”。如遇系统提示“上传未成功”，投标人应及时重新提交文件或与系统运维机构联系。</w:t>
      </w:r>
      <w:r>
        <w:rPr>
          <w:rFonts w:hint="eastAsia" w:ascii="宋体" w:hAnsi="宋体"/>
          <w:color w:val="auto"/>
        </w:rPr>
        <w:t>由于投标人对电子投标操作不熟悉或自身电脑、网络等原因导致不能在投标截止时间之前上传提交投标文件的，</w:t>
      </w:r>
      <w:r>
        <w:rPr>
          <w:rFonts w:hint="eastAsia" w:asciiTheme="minorEastAsia" w:hAnsiTheme="minorEastAsia" w:eastAsiaTheme="minorEastAsia"/>
          <w:bCs/>
          <w:color w:val="auto"/>
          <w:szCs w:val="21"/>
        </w:rPr>
        <w:t>由此造成的后果和责任由投标人自行承担。</w:t>
      </w:r>
    </w:p>
    <w:p>
      <w:pPr>
        <w:adjustRightInd w:val="0"/>
        <w:snapToGrid w:val="0"/>
        <w:spacing w:before="156" w:beforeLines="50" w:line="360" w:lineRule="auto"/>
        <w:ind w:firstLine="482" w:firstLineChars="200"/>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0</w:t>
      </w:r>
      <w:r>
        <w:rPr>
          <w:rFonts w:hint="eastAsia" w:asciiTheme="minorEastAsia" w:hAnsiTheme="minorEastAsia" w:eastAsiaTheme="minorEastAsia"/>
          <w:b/>
          <w:bCs/>
          <w:color w:val="auto"/>
          <w:sz w:val="24"/>
        </w:rPr>
        <w:t>.电子投标文件的修改和撤回</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w:t>
      </w:r>
      <w:r>
        <w:rPr>
          <w:rFonts w:hint="eastAsia" w:asciiTheme="minorEastAsia" w:hAnsiTheme="minorEastAsia" w:eastAsiaTheme="minorEastAsia"/>
          <w:bCs/>
          <w:color w:val="auto"/>
          <w:szCs w:val="21"/>
          <w:lang w:val="en-US" w:eastAsia="zh-CN"/>
        </w:rPr>
        <w:t>0</w:t>
      </w:r>
      <w:r>
        <w:rPr>
          <w:rFonts w:hint="eastAsia" w:asciiTheme="minorEastAsia" w:hAnsiTheme="minorEastAsia" w:eastAsiaTheme="minorEastAsia"/>
          <w:bCs/>
          <w:color w:val="auto"/>
          <w:szCs w:val="21"/>
        </w:rPr>
        <w:t>.1投标人在招标文件规定的投标截止时间前，可以撤回已上传的投标文件，也可以撤回并修改后再重新上传。</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2</w:t>
      </w:r>
      <w:r>
        <w:rPr>
          <w:rFonts w:hint="eastAsia" w:asciiTheme="minorEastAsia" w:hAnsiTheme="minorEastAsia" w:eastAsiaTheme="minorEastAsia"/>
          <w:bCs/>
          <w:color w:val="auto"/>
          <w:szCs w:val="21"/>
          <w:lang w:val="en-US" w:eastAsia="zh-CN"/>
        </w:rPr>
        <w:t>0</w:t>
      </w:r>
      <w:r>
        <w:rPr>
          <w:rFonts w:hint="eastAsia" w:asciiTheme="minorEastAsia" w:hAnsiTheme="minorEastAsia" w:eastAsiaTheme="minorEastAsia"/>
          <w:bCs/>
          <w:color w:val="auto"/>
          <w:szCs w:val="21"/>
        </w:rPr>
        <w:t>.2采购人、采购代理机构发布了修改、澄清文件的，投标人应按照修改、澄清后的招标文件要求重新编制投标文件并上传至交易平台。</w:t>
      </w:r>
    </w:p>
    <w:p>
      <w:pPr>
        <w:adjustRightInd w:val="0"/>
        <w:snapToGrid w:val="0"/>
        <w:spacing w:before="156" w:beforeLines="50" w:line="360" w:lineRule="auto"/>
        <w:ind w:firstLine="482" w:firstLineChars="200"/>
        <w:jc w:val="left"/>
        <w:rPr>
          <w:rFonts w:cs="Arial" w:asciiTheme="minorEastAsia" w:hAnsiTheme="minorEastAsia" w:eastAsiaTheme="minorEastAsia"/>
          <w:b/>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1</w:t>
      </w:r>
      <w:r>
        <w:rPr>
          <w:rFonts w:hint="eastAsia" w:asciiTheme="minorEastAsia" w:hAnsiTheme="minorEastAsia" w:eastAsiaTheme="minorEastAsia"/>
          <w:b/>
          <w:bCs/>
          <w:color w:val="auto"/>
          <w:sz w:val="24"/>
        </w:rPr>
        <w:t>.</w:t>
      </w:r>
      <w:r>
        <w:rPr>
          <w:rFonts w:hint="eastAsia" w:cs="Arial" w:asciiTheme="minorEastAsia" w:hAnsiTheme="minorEastAsia" w:eastAsiaTheme="minorEastAsia"/>
          <w:b/>
          <w:color w:val="auto"/>
          <w:sz w:val="24"/>
        </w:rPr>
        <w:t xml:space="preserve"> 串通</w:t>
      </w:r>
      <w:r>
        <w:rPr>
          <w:rFonts w:hint="eastAsia" w:asciiTheme="minorEastAsia" w:hAnsiTheme="minorEastAsia" w:eastAsiaTheme="minorEastAsia"/>
          <w:b/>
          <w:color w:val="auto"/>
          <w:sz w:val="24"/>
        </w:rPr>
        <w:t>投标行为</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2</w:t>
      </w:r>
      <w:r>
        <w:rPr>
          <w:rFonts w:hint="eastAsia" w:asciiTheme="minorEastAsia" w:hAnsiTheme="minorEastAsia" w:eastAsiaTheme="minorEastAsia"/>
          <w:color w:val="auto"/>
          <w:spacing w:val="-6"/>
          <w:szCs w:val="21"/>
          <w:lang w:val="en-US" w:eastAsia="zh-CN"/>
        </w:rPr>
        <w:t>1</w:t>
      </w:r>
      <w:r>
        <w:rPr>
          <w:rFonts w:hint="eastAsia" w:asciiTheme="minorEastAsia" w:hAnsiTheme="minorEastAsia" w:eastAsiaTheme="minorEastAsia"/>
          <w:color w:val="auto"/>
          <w:spacing w:val="-6"/>
          <w:szCs w:val="21"/>
        </w:rPr>
        <w:t>.1有下列情形之一的，属于恶意串通，对投标人依照政府采购法第七十七条第一款的规定追究法律责任：</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（1）投标人直接或者间接从采购人或者采购代理机构处获得其他投标人的相关情况并修改其投标文件；</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（2）投标人按照采购人或者采购代理机构的授意撤换、修改投标文件；</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（3）投标人之间协商报价、技术方案等投标文件的实质性内容；</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（4）属于同一集团、协会、商会等组织成员的投标人按照该组织要求协同参加政府采购活动；</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（5）投标人之间事先约定由某一特定投标人中标；</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（6）投标人之间商定部分投标人放弃参加政府采购活动或者放弃中标；</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（7）投标人与采购人或者采购代理机构之间、投标人相互之间，为谋求特定投标人中标或者排斥其他投标人的其他串通行为。</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rPr>
        <w:t>.2有下列情形之一的，视为投标人串通投标，其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（1）不同投标人的投标文件由同一单位或者个人编制；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（2）不同投标人委托同一单位或者个人办理投标事宜；</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（3）不同投标人的投标文件载明的项目管理成员或者联系人员为同一人；</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（4）不同投标人的投标文件异常一致或者投标报价呈规律性差异；</w:t>
      </w:r>
    </w:p>
    <w:p>
      <w:pPr>
        <w:adjustRightInd w:val="0"/>
        <w:snapToGrid w:val="0"/>
        <w:spacing w:before="156" w:beforeLines="50" w:line="360" w:lineRule="auto"/>
        <w:ind w:firstLine="420" w:firstLineChars="200"/>
        <w:jc w:val="left"/>
        <w:rPr>
          <w:color w:val="auto"/>
        </w:rPr>
      </w:pPr>
      <w:r>
        <w:rPr>
          <w:rFonts w:hint="eastAsia" w:asciiTheme="minorEastAsia" w:hAnsiTheme="minorEastAsia" w:eastAsiaTheme="minorEastAsia"/>
          <w:color w:val="auto"/>
          <w:szCs w:val="21"/>
        </w:rPr>
        <w:t>（5）不同投标人的投标文件相互签章；</w:t>
      </w:r>
      <w:bookmarkStart w:id="28" w:name="_Toc29913901"/>
    </w:p>
    <w:p>
      <w:pPr>
        <w:pStyle w:val="6"/>
        <w:adjustRightInd w:val="0"/>
        <w:snapToGrid w:val="0"/>
        <w:spacing w:before="156" w:beforeLines="50" w:after="0" w:line="360" w:lineRule="auto"/>
        <w:jc w:val="center"/>
        <w:rPr>
          <w:rFonts w:ascii="黑体" w:hAnsi="黑体" w:eastAsia="黑体"/>
          <w:color w:val="auto"/>
          <w:sz w:val="28"/>
          <w:szCs w:val="28"/>
        </w:rPr>
      </w:pPr>
      <w:bookmarkStart w:id="29" w:name="_Toc1709"/>
      <w:r>
        <w:rPr>
          <w:rFonts w:hint="eastAsia" w:ascii="黑体" w:hAnsi="黑体" w:eastAsia="黑体"/>
          <w:color w:val="auto"/>
          <w:sz w:val="28"/>
          <w:szCs w:val="28"/>
        </w:rPr>
        <w:t>五、开标，资格审查和评标</w:t>
      </w:r>
      <w:bookmarkEnd w:id="28"/>
      <w:bookmarkEnd w:id="29"/>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2</w:t>
      </w:r>
      <w:r>
        <w:rPr>
          <w:rFonts w:hint="eastAsia" w:asciiTheme="minorEastAsia" w:hAnsiTheme="minorEastAsia" w:eastAsiaTheme="minorEastAsia"/>
          <w:b/>
          <w:bCs/>
          <w:color w:val="auto"/>
          <w:sz w:val="24"/>
        </w:rPr>
        <w:t>. 开标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 xml:space="preserve">.1开标时，出现下列情形之一的，采购代理机构不予受理：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（1）经检查数字证书无效的电子投标文件；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（2）电子投标文件未按照招标文件的要求进行加密的；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（3）电子投标文件未按招标文件要求上传至交易平台的；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（4）投标人未按照</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规定的方式及时间解密电子投标文件的；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（5）其它违反法律、法规的情形。</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.2采购人或者采购代理机构应按招标文件规定的时间、地点在交易平台上组织公开开标，并邀请投标人参加。</w:t>
      </w:r>
    </w:p>
    <w:p>
      <w:pPr>
        <w:spacing w:line="400" w:lineRule="atLeast"/>
        <w:ind w:firstLine="413"/>
        <w:jc w:val="left"/>
        <w:rPr>
          <w:rFonts w:asciiTheme="minorEastAsia" w:hAnsiTheme="minorEastAsia" w:eastAsiaTheme="minorEastAsia"/>
          <w:color w:val="auto"/>
          <w:szCs w:val="21"/>
        </w:rPr>
      </w:pPr>
      <w:r>
        <w:rPr>
          <w:rFonts w:hint="eastAsia" w:ascii="宋体" w:hAnsi="宋体" w:cs="宋体"/>
          <w:color w:val="auto"/>
          <w:szCs w:val="21"/>
          <w:highlight w:val="white"/>
        </w:rPr>
        <w:t>2</w:t>
      </w:r>
      <w:r>
        <w:rPr>
          <w:rFonts w:hint="eastAsia" w:ascii="宋体" w:hAnsi="宋体" w:cs="宋体"/>
          <w:color w:val="auto"/>
          <w:szCs w:val="21"/>
          <w:highlight w:val="white"/>
          <w:lang w:val="en-US" w:eastAsia="zh-CN"/>
        </w:rPr>
        <w:t>2</w:t>
      </w:r>
      <w:r>
        <w:rPr>
          <w:rFonts w:hint="eastAsia" w:ascii="宋体" w:hAnsi="宋体" w:cs="宋体"/>
          <w:color w:val="auto"/>
          <w:szCs w:val="21"/>
          <w:highlight w:val="white"/>
        </w:rPr>
        <w:t>.3</w:t>
      </w:r>
      <w:r>
        <w:rPr>
          <w:color w:val="auto"/>
          <w:highlight w:val="white"/>
        </w:rPr>
        <w:t>投标人在开标时间前提前登录网上开标系统</w:t>
      </w:r>
      <w:r>
        <w:rPr>
          <w:rFonts w:hint="eastAsia"/>
          <w:color w:val="auto"/>
          <w:highlight w:val="white"/>
        </w:rPr>
        <w:t>，</w:t>
      </w:r>
      <w:r>
        <w:rPr>
          <w:rFonts w:hint="eastAsia" w:ascii="宋体" w:hAnsi="宋体" w:cs="宋体"/>
          <w:color w:val="auto"/>
          <w:szCs w:val="21"/>
          <w:highlight w:val="white"/>
        </w:rPr>
        <w:t>通过网上开标系统参加开标会</w:t>
      </w:r>
      <w:r>
        <w:rPr>
          <w:rFonts w:hint="eastAsia"/>
          <w:color w:val="auto"/>
          <w:highlight w:val="white"/>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 xml:space="preserve">开标程序。采购代理机构在投标截止时间后，按下列程序进行开标： </w:t>
      </w:r>
    </w:p>
    <w:p>
      <w:pPr>
        <w:spacing w:line="400" w:lineRule="atLeast"/>
        <w:ind w:firstLine="413"/>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（1）宣读。投标截止时间，采购代理机构登根据系统显示宣布报名的投标人数量和上传了投标文件的投标人数量。</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（2）解密。采购代理机构在系统发出解密指令。</w:t>
      </w:r>
      <w:r>
        <w:rPr>
          <w:rFonts w:ascii="宋体" w:hAnsi="宋体"/>
          <w:color w:val="auto"/>
          <w:highlight w:val="white"/>
        </w:rPr>
        <w:t>投标人根据系统发出投标文件解密指令提示后在规定时间内使用加密投标文件的CA数字证书进行投标文件解密。解密时限</w:t>
      </w:r>
      <w:r>
        <w:rPr>
          <w:rFonts w:hint="eastAsia" w:ascii="宋体" w:hAnsi="宋体"/>
          <w:color w:val="auto"/>
          <w:highlight w:val="white"/>
        </w:rPr>
        <w:t>见第二章第一节《投标须知前附表》</w:t>
      </w:r>
      <w:r>
        <w:rPr>
          <w:rFonts w:ascii="宋体" w:hAnsi="宋体"/>
          <w:color w:val="auto"/>
          <w:highlight w:val="white"/>
        </w:rPr>
        <w:t>，投标文件在解密时限内</w:t>
      </w:r>
      <w:r>
        <w:rPr>
          <w:rFonts w:hint="eastAsia" w:ascii="宋体" w:hAnsi="宋体"/>
          <w:color w:val="auto"/>
          <w:highlight w:val="white"/>
        </w:rPr>
        <w:t>解密成功的为有效投标人，</w:t>
      </w:r>
      <w:r>
        <w:rPr>
          <w:rFonts w:ascii="宋体" w:hAnsi="宋体"/>
          <w:color w:val="auto"/>
          <w:highlight w:val="white"/>
        </w:rPr>
        <w:t>未解密或解密失败，视为撤销其投标文件，开标继续进行。</w:t>
      </w:r>
      <w:r>
        <w:rPr>
          <w:rFonts w:hint="eastAsia" w:ascii="宋体" w:hAnsi="宋体"/>
          <w:color w:val="auto"/>
          <w:highlight w:val="white"/>
        </w:rPr>
        <w:t>当</w:t>
      </w:r>
      <w:r>
        <w:rPr>
          <w:rFonts w:hint="eastAsia" w:asciiTheme="minorEastAsia" w:hAnsiTheme="minorEastAsia" w:eastAsiaTheme="minorEastAsia"/>
          <w:color w:val="auto"/>
          <w:szCs w:val="21"/>
        </w:rPr>
        <w:t>解密成功的投标人不足3家时，开标不再继续。</w:t>
      </w:r>
    </w:p>
    <w:p>
      <w:pPr>
        <w:spacing w:line="400" w:lineRule="atLeast"/>
        <w:ind w:firstLine="413"/>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（3）唱标。</w:t>
      </w:r>
      <w:r>
        <w:rPr>
          <w:rFonts w:ascii="宋体" w:hAnsi="宋体"/>
          <w:color w:val="auto"/>
          <w:highlight w:val="white"/>
        </w:rPr>
        <w:t>以</w:t>
      </w:r>
      <w:r>
        <w:rPr>
          <w:rFonts w:hint="eastAsia" w:ascii="宋体" w:hAnsi="宋体"/>
          <w:color w:val="auto"/>
          <w:highlight w:val="white"/>
        </w:rPr>
        <w:t>投标人</w:t>
      </w:r>
      <w:r>
        <w:rPr>
          <w:rFonts w:ascii="宋体" w:hAnsi="宋体"/>
          <w:color w:val="auto"/>
          <w:highlight w:val="white"/>
        </w:rPr>
        <w:t>《开标一览表》为准，</w:t>
      </w:r>
      <w:r>
        <w:rPr>
          <w:rFonts w:hint="eastAsia"/>
          <w:color w:val="auto"/>
          <w:highlight w:val="white"/>
        </w:rPr>
        <w:t>由系统在线公布投标人名单、开标关键数据情况</w:t>
      </w:r>
      <w:r>
        <w:rPr>
          <w:rFonts w:ascii="宋体" w:hAnsi="宋体"/>
          <w:color w:val="auto"/>
          <w:highlight w:val="white"/>
        </w:rPr>
        <w:t>。</w:t>
      </w:r>
      <w:r>
        <w:rPr>
          <w:rFonts w:hint="eastAsia" w:ascii="宋体" w:hAnsi="宋体"/>
          <w:color w:val="auto"/>
          <w:highlight w:val="white"/>
        </w:rPr>
        <w:t>电子交易系统</w:t>
      </w:r>
      <w:r>
        <w:rPr>
          <w:rFonts w:ascii="宋体" w:hAnsi="宋体"/>
          <w:color w:val="auto"/>
          <w:highlight w:val="white"/>
        </w:rPr>
        <w:t>在线</w:t>
      </w:r>
      <w:r>
        <w:rPr>
          <w:rFonts w:hint="eastAsia" w:ascii="宋体" w:hAnsi="宋体"/>
          <w:color w:val="auto"/>
          <w:highlight w:val="white"/>
        </w:rPr>
        <w:t>即时</w:t>
      </w:r>
      <w:r>
        <w:rPr>
          <w:rFonts w:ascii="宋体" w:hAnsi="宋体"/>
          <w:color w:val="auto"/>
          <w:highlight w:val="white"/>
        </w:rPr>
        <w:t>生成《开标记录表》</w:t>
      </w:r>
      <w:r>
        <w:rPr>
          <w:rFonts w:hint="eastAsia" w:ascii="宋体" w:hAnsi="宋体"/>
          <w:color w:val="auto"/>
          <w:highlight w:val="white"/>
        </w:rPr>
        <w:t>，</w:t>
      </w:r>
      <w:r>
        <w:rPr>
          <w:rFonts w:ascii="宋体" w:hAnsi="宋体"/>
          <w:color w:val="auto"/>
          <w:highlight w:val="white"/>
        </w:rPr>
        <w:t>所有</w:t>
      </w:r>
      <w:r>
        <w:rPr>
          <w:rFonts w:hint="eastAsia" w:ascii="宋体" w:hAnsi="宋体"/>
          <w:color w:val="auto"/>
          <w:highlight w:val="white"/>
        </w:rPr>
        <w:t>解密成功的</w:t>
      </w:r>
      <w:r>
        <w:rPr>
          <w:rFonts w:ascii="宋体" w:hAnsi="宋体"/>
          <w:color w:val="auto"/>
          <w:highlight w:val="white"/>
        </w:rPr>
        <w:t>投标人可以在线即时查看、下载。</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（4）确认。投标人法定代表人或授权代表应在规定的时间内通过电子交易系统在《开标记录表》上进行确认。投标人未在规定的时间进行确认的，视同认可开标结果。</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5</w:t>
      </w:r>
      <w:r>
        <w:rPr>
          <w:rFonts w:hint="eastAsia" w:asciiTheme="minorEastAsia" w:hAnsiTheme="minorEastAsia" w:eastAsiaTheme="minorEastAsia"/>
          <w:color w:val="auto"/>
          <w:szCs w:val="21"/>
        </w:rPr>
        <w:t xml:space="preserve"> 投标人代表对开标过程和开标记录有疑义，以及认为采购人或者采购代理机构相关工作人员有《政府采购法实施条例》第九条第一款需要回避的情形的，应当场提出询问或者回避申请。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采购人或者采购代理机构对投标人代表当场提出的询问或者回避申请，按《政府采购法实施条例》有关规定及时处理。</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asciiTheme="minorEastAsia" w:hAnsiTheme="minorEastAsia" w:eastAsiaTheme="minorEastAsia"/>
          <w:bCs/>
          <w:color w:val="auto"/>
          <w:szCs w:val="21"/>
        </w:rPr>
        <w:t>2</w:t>
      </w:r>
      <w:r>
        <w:rPr>
          <w:rFonts w:hint="eastAsia" w:asciiTheme="minorEastAsia" w:hAnsiTheme="minorEastAsia" w:eastAsiaTheme="minorEastAsia"/>
          <w:bCs/>
          <w:color w:val="auto"/>
          <w:szCs w:val="21"/>
          <w:lang w:val="en-US" w:eastAsia="zh-CN"/>
        </w:rPr>
        <w:t>2</w:t>
      </w:r>
      <w:r>
        <w:rPr>
          <w:rFonts w:asciiTheme="minorEastAsia" w:hAnsiTheme="minorEastAsia" w:eastAsiaTheme="minorEastAsia"/>
          <w:bCs/>
          <w:color w:val="auto"/>
          <w:szCs w:val="21"/>
        </w:rPr>
        <w:t>.</w:t>
      </w:r>
      <w:r>
        <w:rPr>
          <w:rFonts w:hint="eastAsia" w:asciiTheme="minorEastAsia" w:hAnsiTheme="minorEastAsia" w:eastAsiaTheme="minorEastAsia"/>
          <w:bCs/>
          <w:color w:val="auto"/>
          <w:szCs w:val="21"/>
          <w:lang w:val="en-US" w:eastAsia="zh-CN"/>
        </w:rPr>
        <w:t>7</w:t>
      </w:r>
      <w:r>
        <w:rPr>
          <w:rFonts w:asciiTheme="minorEastAsia" w:hAnsiTheme="minorEastAsia" w:eastAsiaTheme="minorEastAsia"/>
          <w:bCs/>
          <w:color w:val="auto"/>
          <w:szCs w:val="21"/>
        </w:rPr>
        <w:t>开标时，出现下列情形之一的，视为投标人撤销其投标</w:t>
      </w:r>
      <w:r>
        <w:rPr>
          <w:rFonts w:hint="eastAsia" w:asciiTheme="minorEastAsia" w:hAnsiTheme="minorEastAsia" w:eastAsiaTheme="minorEastAsia"/>
          <w:bCs/>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w:t>
      </w:r>
      <w:r>
        <w:rPr>
          <w:rFonts w:asciiTheme="minorEastAsia" w:hAnsiTheme="minorEastAsia" w:eastAsiaTheme="minorEastAsia"/>
          <w:bCs/>
          <w:color w:val="auto"/>
          <w:szCs w:val="21"/>
        </w:rPr>
        <w:t>1</w:t>
      </w:r>
      <w:r>
        <w:rPr>
          <w:rFonts w:hint="eastAsia" w:asciiTheme="minorEastAsia" w:hAnsiTheme="minorEastAsia" w:eastAsiaTheme="minorEastAsia"/>
          <w:bCs/>
          <w:color w:val="auto"/>
          <w:szCs w:val="21"/>
        </w:rPr>
        <w:t>）</w:t>
      </w:r>
      <w:r>
        <w:rPr>
          <w:rFonts w:asciiTheme="minorEastAsia" w:hAnsiTheme="minorEastAsia" w:eastAsiaTheme="minorEastAsia"/>
          <w:bCs/>
          <w:color w:val="auto"/>
          <w:szCs w:val="21"/>
        </w:rPr>
        <w:t>投标人未按要求配置开标所需的软硬件设备，导致解密失败的；</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asciiTheme="minorEastAsia" w:hAnsiTheme="minorEastAsia" w:eastAsiaTheme="minorEastAsia"/>
          <w:bCs/>
          <w:color w:val="auto"/>
          <w:szCs w:val="21"/>
        </w:rPr>
        <w:t>（2）投标人电脑故障或无法上网，导致解密失败的； </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asciiTheme="minorEastAsia" w:hAnsiTheme="minorEastAsia" w:eastAsiaTheme="minorEastAsia"/>
          <w:bCs/>
          <w:color w:val="auto"/>
          <w:szCs w:val="21"/>
        </w:rPr>
        <w:t>（3）</w:t>
      </w:r>
      <w:r>
        <w:rPr>
          <w:rFonts w:hint="eastAsia" w:asciiTheme="minorEastAsia" w:hAnsiTheme="minorEastAsia" w:eastAsiaTheme="minorEastAsia"/>
          <w:bCs/>
          <w:color w:val="auto"/>
          <w:szCs w:val="21"/>
        </w:rPr>
        <w:t>投标人电子</w:t>
      </w:r>
      <w:r>
        <w:rPr>
          <w:rFonts w:asciiTheme="minorEastAsia" w:hAnsiTheme="minorEastAsia" w:eastAsiaTheme="minorEastAsia"/>
          <w:bCs/>
          <w:color w:val="auto"/>
          <w:szCs w:val="21"/>
        </w:rPr>
        <w:t>CA</w:t>
      </w:r>
      <w:r>
        <w:rPr>
          <w:rFonts w:hint="eastAsia" w:asciiTheme="minorEastAsia" w:hAnsiTheme="minorEastAsia" w:eastAsiaTheme="minorEastAsia"/>
          <w:bCs/>
          <w:color w:val="auto"/>
          <w:szCs w:val="21"/>
        </w:rPr>
        <w:t>证书</w:t>
      </w:r>
      <w:r>
        <w:rPr>
          <w:rFonts w:asciiTheme="minorEastAsia" w:hAnsiTheme="minorEastAsia" w:eastAsiaTheme="minorEastAsia"/>
          <w:bCs/>
          <w:color w:val="auto"/>
          <w:szCs w:val="21"/>
        </w:rPr>
        <w:t>发生故障、失效、错误等，导致解密失败的；</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asciiTheme="minorEastAsia" w:hAnsiTheme="minorEastAsia" w:eastAsiaTheme="minorEastAsia"/>
          <w:bCs/>
          <w:color w:val="auto"/>
          <w:szCs w:val="21"/>
        </w:rPr>
        <w:t>（4）解密时间超过规定时限的；</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asciiTheme="minorEastAsia" w:hAnsiTheme="minorEastAsia" w:eastAsiaTheme="minorEastAsia"/>
          <w:bCs/>
          <w:color w:val="auto"/>
          <w:szCs w:val="21"/>
        </w:rPr>
        <w:t>（5）其他由于投标人自身原因导致解密失效的情形。</w:t>
      </w:r>
    </w:p>
    <w:p>
      <w:pPr>
        <w:spacing w:line="400" w:lineRule="exact"/>
        <w:ind w:firstLine="720"/>
        <w:rPr>
          <w:rFonts w:ascii="宋体" w:hAnsi="宋体"/>
          <w:b/>
          <w:color w:val="auto"/>
          <w:highlight w:val="white"/>
        </w:rPr>
      </w:pPr>
    </w:p>
    <w:p>
      <w:pPr>
        <w:adjustRightInd w:val="0"/>
        <w:snapToGrid w:val="0"/>
        <w:spacing w:before="156" w:beforeLines="50" w:line="360" w:lineRule="auto"/>
        <w:jc w:val="left"/>
        <w:rPr>
          <w:rFonts w:asciiTheme="minorEastAsia" w:hAnsiTheme="minorEastAsia" w:eastAsiaTheme="minorEastAsia"/>
          <w:b/>
          <w:color w:val="auto"/>
          <w:sz w:val="24"/>
        </w:rPr>
      </w:pPr>
      <w:r>
        <w:rPr>
          <w:rStyle w:val="46"/>
          <w:rFonts w:hint="eastAsia" w:cs="Arial" w:asciiTheme="minorEastAsia" w:hAnsiTheme="minorEastAsia" w:eastAsiaTheme="minorEastAsia"/>
          <w:color w:val="auto"/>
          <w:sz w:val="24"/>
        </w:rPr>
        <w:t>2</w:t>
      </w:r>
      <w:r>
        <w:rPr>
          <w:rStyle w:val="46"/>
          <w:rFonts w:hint="eastAsia" w:cs="Arial" w:asciiTheme="minorEastAsia" w:hAnsiTheme="minorEastAsia" w:eastAsiaTheme="minorEastAsia"/>
          <w:color w:val="auto"/>
          <w:sz w:val="24"/>
          <w:lang w:val="en-US" w:eastAsia="zh-CN"/>
        </w:rPr>
        <w:t>3</w:t>
      </w:r>
      <w:r>
        <w:rPr>
          <w:rStyle w:val="46"/>
          <w:rFonts w:hint="eastAsia" w:cs="Arial" w:asciiTheme="minorEastAsia" w:hAnsiTheme="minorEastAsia" w:eastAsiaTheme="minorEastAsia"/>
          <w:color w:val="auto"/>
          <w:sz w:val="24"/>
        </w:rPr>
        <w:t>.</w:t>
      </w:r>
      <w:r>
        <w:rPr>
          <w:rFonts w:hint="eastAsia" w:asciiTheme="minorEastAsia" w:hAnsiTheme="minorEastAsia" w:eastAsiaTheme="minorEastAsia"/>
          <w:b/>
          <w:color w:val="auto"/>
          <w:sz w:val="24"/>
        </w:rPr>
        <w:t xml:space="preserve"> 资格审查</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3</w:t>
      </w:r>
      <w:r>
        <w:rPr>
          <w:rFonts w:hint="eastAsia" w:asciiTheme="minorEastAsia" w:hAnsiTheme="minorEastAsia" w:eastAsiaTheme="minorEastAsia"/>
          <w:color w:val="auto"/>
          <w:szCs w:val="21"/>
        </w:rPr>
        <w:t>.1开标结束后，采购人、采购代理机构依法按照第三章</w:t>
      </w:r>
      <w:r>
        <w:rPr>
          <w:rFonts w:hint="eastAsia" w:ascii="华文宋体" w:hAnsi="华文宋体" w:eastAsia="华文宋体"/>
          <w:color w:val="auto"/>
          <w:szCs w:val="21"/>
        </w:rPr>
        <w:t>“</w:t>
      </w:r>
      <w:r>
        <w:rPr>
          <w:rFonts w:hint="eastAsia" w:asciiTheme="minorEastAsia" w:hAnsiTheme="minorEastAsia" w:eastAsiaTheme="minorEastAsia"/>
          <w:color w:val="auto"/>
          <w:szCs w:val="21"/>
        </w:rPr>
        <w:t>资格审查</w:t>
      </w:r>
      <w:r>
        <w:rPr>
          <w:rFonts w:hint="eastAsia" w:ascii="华文宋体" w:hAnsi="华文宋体" w:eastAsia="华文宋体"/>
          <w:color w:val="auto"/>
          <w:szCs w:val="21"/>
        </w:rPr>
        <w:t>”</w:t>
      </w:r>
      <w:r>
        <w:rPr>
          <w:rFonts w:hint="eastAsia" w:asciiTheme="minorEastAsia" w:hAnsiTheme="minorEastAsia" w:eastAsiaTheme="minorEastAsia"/>
          <w:color w:val="auto"/>
          <w:szCs w:val="21"/>
        </w:rPr>
        <w:t>规定组织资格审查。</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3</w:t>
      </w:r>
      <w:r>
        <w:rPr>
          <w:rFonts w:hint="eastAsia" w:asciiTheme="minorEastAsia" w:hAnsiTheme="minorEastAsia" w:eastAsiaTheme="minorEastAsia"/>
          <w:color w:val="auto"/>
          <w:szCs w:val="21"/>
        </w:rPr>
        <w:t>.2资格审查结束后，采购人、采购代理机构应将资格审查结果告知评标委员会。资格审查不合格投标人不进入评标；经资格审查合格投标人少于3家的，不得评标。</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4</w:t>
      </w:r>
      <w:r>
        <w:rPr>
          <w:rFonts w:hint="eastAsia" w:asciiTheme="minorEastAsia" w:hAnsiTheme="minorEastAsia" w:eastAsiaTheme="minorEastAsia"/>
          <w:b/>
          <w:bCs/>
          <w:color w:val="auto"/>
          <w:sz w:val="24"/>
        </w:rPr>
        <w:t>.</w:t>
      </w:r>
      <w:r>
        <w:rPr>
          <w:rFonts w:hint="eastAsia" w:asciiTheme="minorEastAsia" w:hAnsiTheme="minorEastAsia" w:eastAsiaTheme="minorEastAsia"/>
          <w:b/>
          <w:color w:val="auto"/>
          <w:sz w:val="24"/>
        </w:rPr>
        <w:t xml:space="preserve"> 评标委员会</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.1评标由依法组建的评标委员会负责，评标委员会由采购人代表和评审专家组成。</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.2评标委员会成员有下列情形之一的，应当回避：</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（1）参加采购活动前三年内,与投标人存在劳动关系,或者担任过投标人的董事、监事,或者是投标人的控股股东或实际控制人；</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（2）与投标人的法定代表人或者负责人有夫妻、直系血亲、三代以内旁系血亲或者近姻亲关系；</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（3）与投标人有其他可能影响政府采购活动公平、公正进行的关系。</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.3评标委员会负责具体评标事务，并独立履行下列职责：</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（1）审查、评价投标文件是否符合招标文件的商务、技术等实质性要求；</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（2）要求投标人对投标文件有关事项作出澄清或者说明；</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（3）对投标文件进行比较和评价；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（4）确定中标候选人名单，以及根据采购人委托直接确定中标人。</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2</w:t>
      </w:r>
      <w:r>
        <w:rPr>
          <w:rFonts w:hint="eastAsia" w:asciiTheme="minorEastAsia" w:hAnsiTheme="minorEastAsia" w:eastAsiaTheme="minorEastAsia"/>
          <w:b/>
          <w:color w:val="auto"/>
          <w:sz w:val="24"/>
          <w:lang w:val="en-US" w:eastAsia="zh-CN"/>
        </w:rPr>
        <w:t>5</w:t>
      </w:r>
      <w:r>
        <w:rPr>
          <w:rFonts w:hint="eastAsia" w:asciiTheme="minorEastAsia" w:hAnsiTheme="minorEastAsia" w:eastAsiaTheme="minorEastAsia"/>
          <w:b/>
          <w:color w:val="auto"/>
          <w:sz w:val="24"/>
        </w:rPr>
        <w:t>.</w:t>
      </w:r>
      <w:r>
        <w:rPr>
          <w:rFonts w:hint="eastAsia" w:asciiTheme="minorEastAsia" w:hAnsiTheme="minorEastAsia" w:eastAsiaTheme="minorEastAsia"/>
          <w:b/>
          <w:bCs/>
          <w:color w:val="auto"/>
          <w:sz w:val="24"/>
        </w:rPr>
        <w:t xml:space="preserve"> 评标</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2</w:t>
      </w:r>
      <w:r>
        <w:rPr>
          <w:rFonts w:hint="eastAsia" w:asciiTheme="minorEastAsia" w:hAnsiTheme="minorEastAsia" w:eastAsiaTheme="minorEastAsia"/>
          <w:color w:val="auto"/>
          <w:lang w:val="en-US" w:eastAsia="zh-CN"/>
        </w:rPr>
        <w:t>5</w:t>
      </w:r>
      <w:r>
        <w:rPr>
          <w:rFonts w:hint="eastAsia" w:asciiTheme="minorEastAsia" w:hAnsiTheme="minorEastAsia" w:eastAsiaTheme="minorEastAsia"/>
          <w:color w:val="auto"/>
        </w:rPr>
        <w:t>.1评标委员会按照</w:t>
      </w:r>
      <w:r>
        <w:rPr>
          <w:rFonts w:hint="eastAsia" w:asciiTheme="minorEastAsia" w:hAnsiTheme="minorEastAsia" w:eastAsiaTheme="minorEastAsia"/>
          <w:bCs/>
          <w:color w:val="auto"/>
        </w:rPr>
        <w:t>第四章</w:t>
      </w:r>
      <w:r>
        <w:rPr>
          <w:rFonts w:hint="eastAsia" w:ascii="华文宋体" w:hAnsi="华文宋体" w:eastAsia="华文宋体"/>
          <w:bCs/>
          <w:color w:val="auto"/>
        </w:rPr>
        <w:t>“</w:t>
      </w:r>
      <w:r>
        <w:rPr>
          <w:rFonts w:hint="eastAsia" w:asciiTheme="minorEastAsia" w:hAnsiTheme="minorEastAsia" w:eastAsiaTheme="minorEastAsia"/>
          <w:bCs/>
          <w:color w:val="auto"/>
        </w:rPr>
        <w:t>评标方法及标准</w:t>
      </w:r>
      <w:r>
        <w:rPr>
          <w:rFonts w:hint="eastAsia" w:ascii="华文宋体" w:hAnsi="华文宋体" w:eastAsia="华文宋体"/>
          <w:bCs/>
          <w:color w:val="auto"/>
        </w:rPr>
        <w:t>”</w:t>
      </w:r>
      <w:r>
        <w:rPr>
          <w:rFonts w:hint="eastAsia" w:asciiTheme="minorEastAsia" w:hAnsiTheme="minorEastAsia" w:eastAsiaTheme="minorEastAsia"/>
          <w:color w:val="auto"/>
        </w:rPr>
        <w:t>规定的评标方法、评审因素、标准和程序以及有关法律、法规及规章对投标文件进行评审。</w:t>
      </w:r>
    </w:p>
    <w:p>
      <w:pPr>
        <w:pStyle w:val="6"/>
        <w:adjustRightInd w:val="0"/>
        <w:snapToGrid w:val="0"/>
        <w:spacing w:before="156" w:beforeLines="50" w:after="0" w:line="360" w:lineRule="auto"/>
        <w:jc w:val="center"/>
        <w:rPr>
          <w:rFonts w:ascii="黑体" w:hAnsi="黑体" w:eastAsia="黑体"/>
          <w:color w:val="auto"/>
          <w:sz w:val="28"/>
          <w:szCs w:val="28"/>
        </w:rPr>
      </w:pPr>
      <w:bookmarkStart w:id="30" w:name="_Toc29913902"/>
      <w:bookmarkStart w:id="31" w:name="_Toc9557"/>
      <w:r>
        <w:rPr>
          <w:rFonts w:hint="eastAsia" w:ascii="黑体" w:hAnsi="黑体" w:eastAsia="黑体"/>
          <w:color w:val="auto"/>
          <w:sz w:val="28"/>
          <w:szCs w:val="28"/>
        </w:rPr>
        <w:t>六、中标信息公布</w:t>
      </w:r>
      <w:bookmarkEnd w:id="30"/>
      <w:bookmarkEnd w:id="31"/>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2</w:t>
      </w:r>
      <w:r>
        <w:rPr>
          <w:rFonts w:hint="eastAsia" w:asciiTheme="minorEastAsia" w:hAnsiTheme="minorEastAsia" w:eastAsiaTheme="minorEastAsia"/>
          <w:b/>
          <w:color w:val="auto"/>
          <w:sz w:val="24"/>
          <w:lang w:val="en-US" w:eastAsia="zh-CN"/>
        </w:rPr>
        <w:t>6</w:t>
      </w:r>
      <w:r>
        <w:rPr>
          <w:rFonts w:hint="eastAsia" w:asciiTheme="minorEastAsia" w:hAnsiTheme="minorEastAsia" w:eastAsiaTheme="minorEastAsia"/>
          <w:b/>
          <w:color w:val="auto"/>
          <w:sz w:val="24"/>
        </w:rPr>
        <w:t>.</w:t>
      </w:r>
      <w:r>
        <w:rPr>
          <w:rFonts w:hint="eastAsia" w:asciiTheme="minorEastAsia" w:hAnsiTheme="minorEastAsia" w:eastAsiaTheme="minorEastAsia"/>
          <w:color w:val="auto"/>
          <w:sz w:val="24"/>
        </w:rPr>
        <w:t xml:space="preserve"> </w:t>
      </w:r>
      <w:r>
        <w:rPr>
          <w:rFonts w:hint="eastAsia" w:asciiTheme="minorEastAsia" w:hAnsiTheme="minorEastAsia" w:eastAsiaTheme="minorEastAsia"/>
          <w:b/>
          <w:bCs/>
          <w:color w:val="auto"/>
          <w:sz w:val="24"/>
        </w:rPr>
        <w:t>中标通知书与中标信息公布</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.1采购代理机构应当在评标结束后2个工作日内将评标报告送采购人。</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.2采购人应当自收到评标报告之日起5个工作日内，在评标报告确定的中标候选人名单中按顺序确定中标人。中标候选人并列的，按照</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规定的方式确定中标人；招标文件未规定的，采取随机抽取的方式确定。</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.3采购人、采购代理机构应当自采购人确定中标供应商之日起2个工作日内，发出中标通知书，并在招标公告指定媒体上公告中标结果，招标文件随中标结果同时公告，中标结果公告期限为１个工作日。</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7</w:t>
      </w:r>
      <w:r>
        <w:rPr>
          <w:rFonts w:hint="eastAsia" w:asciiTheme="minorEastAsia" w:hAnsiTheme="minorEastAsia" w:eastAsiaTheme="minorEastAsia"/>
          <w:b/>
          <w:bCs/>
          <w:color w:val="auto"/>
          <w:sz w:val="24"/>
        </w:rPr>
        <w:t>.</w:t>
      </w:r>
      <w:r>
        <w:rPr>
          <w:rFonts w:hint="eastAsia" w:asciiTheme="minorEastAsia" w:hAnsiTheme="minorEastAsia" w:eastAsiaTheme="minorEastAsia"/>
          <w:b/>
          <w:color w:val="auto"/>
          <w:sz w:val="24"/>
        </w:rPr>
        <w:t xml:space="preserve"> 投标人询问及</w:t>
      </w:r>
      <w:r>
        <w:rPr>
          <w:rFonts w:hint="eastAsia" w:asciiTheme="minorEastAsia" w:hAnsiTheme="minorEastAsia" w:eastAsiaTheme="minorEastAsia"/>
          <w:b/>
          <w:bCs/>
          <w:color w:val="auto"/>
          <w:sz w:val="24"/>
        </w:rPr>
        <w:t>质疑</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.1投标人对政府采购活动事项有疑问的，可以向采购人、采购代理机构提出询问。采购人或采购代理机构将在3个工作日内作出答复。</w:t>
      </w:r>
    </w:p>
    <w:p>
      <w:pPr>
        <w:adjustRightInd w:val="0"/>
        <w:snapToGrid w:val="0"/>
        <w:spacing w:before="156" w:beforeLines="50" w:line="360" w:lineRule="auto"/>
        <w:ind w:firstLine="420" w:firstLineChars="200"/>
        <w:jc w:val="left"/>
        <w:rPr>
          <w:rFonts w:ascii="宋体" w:hAnsi="宋体" w:eastAsia="宋体" w:cs="宋体"/>
          <w:color w:val="auto"/>
          <w:spacing w:val="-1"/>
          <w:sz w:val="24"/>
          <w:szCs w:val="24"/>
          <w:lang w:eastAsia="zh-CN"/>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.2投标人认为招标文件、采购过程和中标结果使自己的权益受到损害的，可以在知道或者应知其权益受到损害之日起7个工作日内，</w:t>
      </w:r>
      <w:r>
        <w:rPr>
          <w:rFonts w:ascii="宋体" w:hAnsi="宋体" w:eastAsia="宋体" w:cs="宋体"/>
          <w:color w:val="auto"/>
          <w:spacing w:val="-3"/>
          <w:sz w:val="24"/>
          <w:szCs w:val="24"/>
          <w:lang w:eastAsia="zh-CN"/>
        </w:rPr>
        <w:t>按《湖南省财政厅关于印发＜政府采购质疑</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答复和投诉处理操作规程＞的通知》(</w:t>
      </w:r>
      <w:r>
        <w:rPr>
          <w:rFonts w:hint="eastAsia" w:ascii="宋体" w:hAnsi="宋体" w:eastAsia="宋体" w:cs="宋体"/>
          <w:color w:val="auto"/>
          <w:spacing w:val="-3"/>
          <w:sz w:val="24"/>
          <w:szCs w:val="24"/>
          <w:lang w:eastAsia="zh-CN"/>
        </w:rPr>
        <w:t>湘财购〔2024〕67号</w:t>
      </w:r>
      <w:r>
        <w:rPr>
          <w:rFonts w:ascii="宋体" w:hAnsi="宋体" w:eastAsia="宋体" w:cs="宋体"/>
          <w:color w:val="auto"/>
          <w:spacing w:val="-3"/>
          <w:sz w:val="24"/>
          <w:szCs w:val="24"/>
          <w:lang w:eastAsia="zh-CN"/>
        </w:rPr>
        <w:t>)规定，以书面形式向采购</w:t>
      </w:r>
      <w:r>
        <w:rPr>
          <w:rFonts w:ascii="宋体" w:hAnsi="宋体" w:eastAsia="宋体" w:cs="宋体"/>
          <w:color w:val="auto"/>
          <w:spacing w:val="-1"/>
          <w:sz w:val="24"/>
          <w:szCs w:val="24"/>
          <w:lang w:eastAsia="zh-CN"/>
        </w:rPr>
        <w:t>人、采购代理机构提出质疑。</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.3投标人提出质疑的，应按照《湖南省财政厅关于印发＜政府采购质疑答复和投诉处理操作规程＞的通知》规定制作、签署、送达。采购人、采购代理机构接收质疑函的联系部门、联系电话和通讯地址见</w:t>
      </w:r>
      <w:r>
        <w:rPr>
          <w:rFonts w:hint="eastAsia" w:asciiTheme="minorEastAsia" w:hAnsiTheme="minorEastAsia" w:eastAsiaTheme="minorEastAsia"/>
          <w:b/>
          <w:color w:val="auto"/>
          <w:szCs w:val="21"/>
        </w:rPr>
        <w:t>【申请人须知前附表】</w:t>
      </w: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.4采购人、采购代理机构按照《湖南省财政厅关于印发＜政府采购质疑答复和投诉处理操作规程＞的通知》规定进行质疑答复。</w:t>
      </w:r>
    </w:p>
    <w:p>
      <w:pPr>
        <w:adjustRightInd w:val="0"/>
        <w:snapToGrid w:val="0"/>
        <w:spacing w:before="156" w:beforeLines="50" w:line="360" w:lineRule="auto"/>
        <w:ind w:firstLine="420" w:firstLineChars="200"/>
        <w:jc w:val="left"/>
        <w:rPr>
          <w:rFonts w:asciiTheme="minorEastAsia" w:hAnsiTheme="minorEastAsia" w:eastAsiaTheme="minorEastAsia"/>
          <w:b/>
          <w:bCs/>
          <w:color w:val="auto"/>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7</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pPr>
        <w:pStyle w:val="6"/>
        <w:adjustRightInd w:val="0"/>
        <w:snapToGrid w:val="0"/>
        <w:spacing w:before="156" w:beforeLines="50" w:after="0" w:line="360" w:lineRule="auto"/>
        <w:jc w:val="center"/>
        <w:rPr>
          <w:rFonts w:ascii="黑体" w:hAnsi="黑体" w:eastAsia="黑体"/>
          <w:color w:val="auto"/>
          <w:sz w:val="28"/>
          <w:szCs w:val="28"/>
        </w:rPr>
      </w:pPr>
      <w:bookmarkStart w:id="32" w:name="_Toc29913903"/>
      <w:bookmarkStart w:id="33" w:name="_Toc20644"/>
      <w:r>
        <w:rPr>
          <w:rFonts w:hint="eastAsia" w:ascii="黑体" w:hAnsi="黑体" w:eastAsia="黑体"/>
          <w:color w:val="auto"/>
          <w:sz w:val="28"/>
          <w:szCs w:val="28"/>
        </w:rPr>
        <w:t>七、合同签订</w:t>
      </w:r>
      <w:bookmarkEnd w:id="32"/>
      <w:bookmarkEnd w:id="33"/>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8</w:t>
      </w:r>
      <w:r>
        <w:rPr>
          <w:rFonts w:hint="eastAsia" w:asciiTheme="minorEastAsia" w:hAnsiTheme="minorEastAsia" w:eastAsiaTheme="minorEastAsia"/>
          <w:b/>
          <w:bCs/>
          <w:color w:val="auto"/>
          <w:sz w:val="24"/>
        </w:rPr>
        <w:t>. 签订合同</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8</w:t>
      </w:r>
      <w:r>
        <w:rPr>
          <w:rFonts w:hint="eastAsia" w:asciiTheme="minorEastAsia" w:hAnsiTheme="minorEastAsia" w:eastAsiaTheme="minorEastAsia"/>
          <w:color w:val="auto"/>
          <w:szCs w:val="21"/>
        </w:rPr>
        <w:t>.1采购人应自中标通知书发出之日起30日内，按中标通知书指定的时间、地点与中标人签订政府采购合同。所签订的合同不得对招标文件确定的事项和中标人投标文件作实质性修改。</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8</w:t>
      </w:r>
      <w:r>
        <w:rPr>
          <w:rFonts w:hint="eastAsia" w:asciiTheme="minorEastAsia" w:hAnsiTheme="minorEastAsia" w:eastAsiaTheme="minorEastAsia"/>
          <w:color w:val="auto"/>
          <w:szCs w:val="21"/>
        </w:rPr>
        <w:t>.2招标文件、中标人的投标文件均为签订合同的依据。</w:t>
      </w:r>
    </w:p>
    <w:p>
      <w:pPr>
        <w:adjustRightInd w:val="0"/>
        <w:snapToGrid w:val="0"/>
        <w:spacing w:before="156" w:beforeLines="50" w:line="360" w:lineRule="auto"/>
        <w:ind w:firstLine="420" w:firstLineChars="20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2</w:t>
      </w:r>
      <w:r>
        <w:rPr>
          <w:rFonts w:hint="eastAsia" w:cs="微软雅黑" w:asciiTheme="minorEastAsia" w:hAnsiTheme="minorEastAsia" w:eastAsiaTheme="minorEastAsia"/>
          <w:color w:val="auto"/>
          <w:kern w:val="0"/>
          <w:szCs w:val="21"/>
          <w:lang w:val="en-US" w:eastAsia="zh-CN"/>
        </w:rPr>
        <w:t>8</w:t>
      </w:r>
      <w:r>
        <w:rPr>
          <w:rFonts w:hint="eastAsia" w:cs="微软雅黑" w:asciiTheme="minorEastAsia" w:hAnsiTheme="minorEastAsia" w:eastAsiaTheme="minorEastAsia"/>
          <w:color w:val="auto"/>
          <w:kern w:val="0"/>
          <w:szCs w:val="21"/>
        </w:rPr>
        <w:t>.3联</w:t>
      </w:r>
      <w:r>
        <w:rPr>
          <w:rFonts w:hint="eastAsia" w:cs="微软雅黑" w:asciiTheme="minorEastAsia" w:hAnsiTheme="minorEastAsia" w:eastAsiaTheme="minorEastAsia"/>
          <w:color w:val="auto"/>
          <w:spacing w:val="-2"/>
          <w:kern w:val="0"/>
          <w:szCs w:val="21"/>
        </w:rPr>
        <w:t>合</w:t>
      </w:r>
      <w:r>
        <w:rPr>
          <w:rFonts w:hint="eastAsia" w:cs="微软雅黑" w:asciiTheme="minorEastAsia" w:hAnsiTheme="minorEastAsia" w:eastAsiaTheme="minorEastAsia"/>
          <w:color w:val="auto"/>
          <w:kern w:val="0"/>
          <w:szCs w:val="21"/>
        </w:rPr>
        <w:t>体</w:t>
      </w:r>
      <w:r>
        <w:rPr>
          <w:rFonts w:hint="eastAsia" w:cs="微软雅黑" w:asciiTheme="minorEastAsia" w:hAnsiTheme="minorEastAsia" w:eastAsiaTheme="minorEastAsia"/>
          <w:color w:val="auto"/>
          <w:spacing w:val="-2"/>
          <w:kern w:val="0"/>
          <w:szCs w:val="21"/>
        </w:rPr>
        <w:t>中</w:t>
      </w:r>
      <w:r>
        <w:rPr>
          <w:rFonts w:hint="eastAsia" w:cs="微软雅黑" w:asciiTheme="minorEastAsia" w:hAnsiTheme="minorEastAsia" w:eastAsiaTheme="minorEastAsia"/>
          <w:color w:val="auto"/>
          <w:kern w:val="0"/>
          <w:szCs w:val="21"/>
        </w:rPr>
        <w:t>标的</w:t>
      </w:r>
      <w:r>
        <w:rPr>
          <w:rFonts w:hint="eastAsia" w:cs="微软雅黑" w:asciiTheme="minorEastAsia" w:hAnsiTheme="minorEastAsia" w:eastAsiaTheme="minorEastAsia"/>
          <w:color w:val="auto"/>
          <w:spacing w:val="-14"/>
          <w:kern w:val="0"/>
          <w:szCs w:val="21"/>
        </w:rPr>
        <w:t>，</w:t>
      </w:r>
      <w:r>
        <w:rPr>
          <w:rFonts w:hint="eastAsia" w:cs="微软雅黑" w:asciiTheme="minorEastAsia" w:hAnsiTheme="minorEastAsia" w:eastAsiaTheme="minorEastAsia"/>
          <w:color w:val="auto"/>
          <w:kern w:val="0"/>
          <w:szCs w:val="21"/>
        </w:rPr>
        <w:t>联</w:t>
      </w:r>
      <w:r>
        <w:rPr>
          <w:rFonts w:hint="eastAsia" w:cs="微软雅黑" w:asciiTheme="minorEastAsia" w:hAnsiTheme="minorEastAsia" w:eastAsiaTheme="minorEastAsia"/>
          <w:color w:val="auto"/>
          <w:spacing w:val="-2"/>
          <w:kern w:val="0"/>
          <w:szCs w:val="21"/>
        </w:rPr>
        <w:t>合</w:t>
      </w:r>
      <w:r>
        <w:rPr>
          <w:rFonts w:hint="eastAsia" w:cs="微软雅黑" w:asciiTheme="minorEastAsia" w:hAnsiTheme="minorEastAsia" w:eastAsiaTheme="minorEastAsia"/>
          <w:color w:val="auto"/>
          <w:kern w:val="0"/>
          <w:szCs w:val="21"/>
        </w:rPr>
        <w:t>体各</w:t>
      </w:r>
      <w:r>
        <w:rPr>
          <w:rFonts w:hint="eastAsia" w:cs="微软雅黑" w:asciiTheme="minorEastAsia" w:hAnsiTheme="minorEastAsia" w:eastAsiaTheme="minorEastAsia"/>
          <w:color w:val="auto"/>
          <w:spacing w:val="-2"/>
          <w:kern w:val="0"/>
          <w:szCs w:val="21"/>
        </w:rPr>
        <w:t>方</w:t>
      </w:r>
      <w:r>
        <w:rPr>
          <w:rFonts w:hint="eastAsia" w:cs="微软雅黑" w:asciiTheme="minorEastAsia" w:hAnsiTheme="minorEastAsia" w:eastAsiaTheme="minorEastAsia"/>
          <w:color w:val="auto"/>
          <w:kern w:val="0"/>
          <w:szCs w:val="21"/>
        </w:rPr>
        <w:t>应</w:t>
      </w:r>
      <w:r>
        <w:rPr>
          <w:rFonts w:hint="eastAsia" w:cs="微软雅黑" w:asciiTheme="minorEastAsia" w:hAnsiTheme="minorEastAsia" w:eastAsiaTheme="minorEastAsia"/>
          <w:color w:val="auto"/>
          <w:spacing w:val="-2"/>
          <w:kern w:val="0"/>
          <w:szCs w:val="21"/>
        </w:rPr>
        <w:t>当</w:t>
      </w:r>
      <w:r>
        <w:rPr>
          <w:rFonts w:hint="eastAsia" w:cs="微软雅黑" w:asciiTheme="minorEastAsia" w:hAnsiTheme="minorEastAsia" w:eastAsiaTheme="minorEastAsia"/>
          <w:color w:val="auto"/>
          <w:kern w:val="0"/>
          <w:szCs w:val="21"/>
        </w:rPr>
        <w:t>共</w:t>
      </w:r>
      <w:r>
        <w:rPr>
          <w:rFonts w:hint="eastAsia" w:cs="微软雅黑" w:asciiTheme="minorEastAsia" w:hAnsiTheme="minorEastAsia" w:eastAsiaTheme="minorEastAsia"/>
          <w:color w:val="auto"/>
          <w:spacing w:val="-2"/>
          <w:kern w:val="0"/>
          <w:szCs w:val="21"/>
        </w:rPr>
        <w:t>同</w:t>
      </w:r>
      <w:r>
        <w:rPr>
          <w:rFonts w:hint="eastAsia" w:cs="微软雅黑" w:asciiTheme="minorEastAsia" w:hAnsiTheme="minorEastAsia" w:eastAsiaTheme="minorEastAsia"/>
          <w:color w:val="auto"/>
          <w:kern w:val="0"/>
          <w:szCs w:val="21"/>
        </w:rPr>
        <w:t>与</w:t>
      </w:r>
      <w:r>
        <w:rPr>
          <w:rFonts w:hint="eastAsia" w:cs="微软雅黑" w:asciiTheme="minorEastAsia" w:hAnsiTheme="minorEastAsia" w:eastAsiaTheme="minorEastAsia"/>
          <w:color w:val="auto"/>
          <w:spacing w:val="-2"/>
          <w:kern w:val="0"/>
          <w:szCs w:val="21"/>
        </w:rPr>
        <w:t>采购人</w:t>
      </w:r>
      <w:r>
        <w:rPr>
          <w:rFonts w:hint="eastAsia" w:cs="微软雅黑" w:asciiTheme="minorEastAsia" w:hAnsiTheme="minorEastAsia" w:eastAsiaTheme="minorEastAsia"/>
          <w:color w:val="auto"/>
          <w:kern w:val="0"/>
          <w:szCs w:val="21"/>
        </w:rPr>
        <w:t>签订</w:t>
      </w:r>
      <w:r>
        <w:rPr>
          <w:rFonts w:hint="eastAsia" w:cs="微软雅黑" w:asciiTheme="minorEastAsia" w:hAnsiTheme="minorEastAsia" w:eastAsiaTheme="minorEastAsia"/>
          <w:color w:val="auto"/>
          <w:spacing w:val="-2"/>
          <w:kern w:val="0"/>
          <w:szCs w:val="21"/>
        </w:rPr>
        <w:t>合</w:t>
      </w:r>
      <w:r>
        <w:rPr>
          <w:rFonts w:hint="eastAsia" w:cs="微软雅黑" w:asciiTheme="minorEastAsia" w:hAnsiTheme="minorEastAsia" w:eastAsiaTheme="minorEastAsia"/>
          <w:color w:val="auto"/>
          <w:kern w:val="0"/>
          <w:szCs w:val="21"/>
        </w:rPr>
        <w:t>同</w:t>
      </w:r>
      <w:r>
        <w:rPr>
          <w:rFonts w:hint="eastAsia" w:cs="微软雅黑" w:asciiTheme="minorEastAsia" w:hAnsiTheme="minorEastAsia" w:eastAsiaTheme="minorEastAsia"/>
          <w:color w:val="auto"/>
          <w:spacing w:val="-14"/>
          <w:kern w:val="0"/>
          <w:szCs w:val="21"/>
        </w:rPr>
        <w:t>，</w:t>
      </w:r>
      <w:r>
        <w:rPr>
          <w:rFonts w:hint="eastAsia" w:cs="微软雅黑" w:asciiTheme="minorEastAsia" w:hAnsiTheme="minorEastAsia" w:eastAsiaTheme="minorEastAsia"/>
          <w:color w:val="auto"/>
          <w:kern w:val="0"/>
          <w:szCs w:val="21"/>
        </w:rPr>
        <w:t>就</w:t>
      </w:r>
      <w:r>
        <w:rPr>
          <w:rFonts w:hint="eastAsia" w:cs="微软雅黑" w:asciiTheme="minorEastAsia" w:hAnsiTheme="minorEastAsia" w:eastAsiaTheme="minorEastAsia"/>
          <w:color w:val="auto"/>
          <w:spacing w:val="-2"/>
          <w:kern w:val="0"/>
          <w:szCs w:val="21"/>
        </w:rPr>
        <w:t>中</w:t>
      </w:r>
      <w:r>
        <w:rPr>
          <w:rFonts w:hint="eastAsia" w:cs="微软雅黑" w:asciiTheme="minorEastAsia" w:hAnsiTheme="minorEastAsia" w:eastAsiaTheme="minorEastAsia"/>
          <w:color w:val="auto"/>
          <w:kern w:val="0"/>
          <w:szCs w:val="21"/>
        </w:rPr>
        <w:t>标</w:t>
      </w:r>
      <w:r>
        <w:rPr>
          <w:rFonts w:hint="eastAsia" w:cs="微软雅黑" w:asciiTheme="minorEastAsia" w:hAnsiTheme="minorEastAsia" w:eastAsiaTheme="minorEastAsia"/>
          <w:color w:val="auto"/>
          <w:spacing w:val="-2"/>
          <w:kern w:val="0"/>
          <w:szCs w:val="21"/>
        </w:rPr>
        <w:t>项</w:t>
      </w:r>
      <w:r>
        <w:rPr>
          <w:rFonts w:hint="eastAsia" w:cs="微软雅黑" w:asciiTheme="minorEastAsia" w:hAnsiTheme="minorEastAsia" w:eastAsiaTheme="minorEastAsia"/>
          <w:color w:val="auto"/>
          <w:kern w:val="0"/>
          <w:szCs w:val="21"/>
        </w:rPr>
        <w:t>目</w:t>
      </w:r>
      <w:r>
        <w:rPr>
          <w:rFonts w:hint="eastAsia" w:cs="微软雅黑" w:asciiTheme="minorEastAsia" w:hAnsiTheme="minorEastAsia" w:eastAsiaTheme="minorEastAsia"/>
          <w:color w:val="auto"/>
          <w:spacing w:val="-2"/>
          <w:kern w:val="0"/>
          <w:szCs w:val="21"/>
        </w:rPr>
        <w:t>向</w:t>
      </w:r>
      <w:r>
        <w:rPr>
          <w:rFonts w:hint="eastAsia" w:cs="微软雅黑" w:asciiTheme="minorEastAsia" w:hAnsiTheme="minorEastAsia" w:eastAsiaTheme="minorEastAsia"/>
          <w:color w:val="auto"/>
          <w:kern w:val="0"/>
          <w:szCs w:val="21"/>
        </w:rPr>
        <w:t>采购人承</w:t>
      </w:r>
      <w:r>
        <w:rPr>
          <w:rFonts w:hint="eastAsia" w:cs="微软雅黑" w:asciiTheme="minorEastAsia" w:hAnsiTheme="minorEastAsia" w:eastAsiaTheme="minorEastAsia"/>
          <w:color w:val="auto"/>
          <w:spacing w:val="-2"/>
          <w:kern w:val="0"/>
          <w:szCs w:val="21"/>
        </w:rPr>
        <w:t>担</w:t>
      </w:r>
      <w:r>
        <w:rPr>
          <w:rFonts w:hint="eastAsia" w:cs="微软雅黑" w:asciiTheme="minorEastAsia" w:hAnsiTheme="minorEastAsia" w:eastAsiaTheme="minorEastAsia"/>
          <w:color w:val="auto"/>
          <w:kern w:val="0"/>
          <w:szCs w:val="21"/>
        </w:rPr>
        <w:t>连带责</w:t>
      </w:r>
      <w:r>
        <w:rPr>
          <w:rFonts w:hint="eastAsia" w:cs="微软雅黑" w:asciiTheme="minorEastAsia" w:hAnsiTheme="minorEastAsia" w:eastAsiaTheme="minorEastAsia"/>
          <w:color w:val="auto"/>
          <w:spacing w:val="-2"/>
          <w:kern w:val="0"/>
          <w:szCs w:val="21"/>
        </w:rPr>
        <w:t>任</w:t>
      </w:r>
      <w:r>
        <w:rPr>
          <w:rFonts w:hint="eastAsia" w:cs="微软雅黑" w:asciiTheme="minorEastAsia" w:hAnsiTheme="minorEastAsia" w:eastAsiaTheme="minorEastAsia"/>
          <w:color w:val="auto"/>
          <w:kern w:val="0"/>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8</w:t>
      </w:r>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中标合同将在招标公告指定媒体上公告，但合同中涉及国家秘密、商业秘密的内容除外。</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8</w:t>
      </w:r>
      <w:r>
        <w:rPr>
          <w:rFonts w:hint="eastAsia" w:asciiTheme="minorEastAsia" w:hAnsiTheme="minorEastAsia" w:eastAsiaTheme="minorEastAsia"/>
          <w:color w:val="auto"/>
          <w:szCs w:val="21"/>
        </w:rPr>
        <w:t>.5中标人</w:t>
      </w:r>
      <w:r>
        <w:rPr>
          <w:rFonts w:hint="eastAsia" w:asciiTheme="minorEastAsia" w:hAnsiTheme="minorEastAsia" w:eastAsiaTheme="minorEastAsia"/>
          <w:bCs/>
          <w:color w:val="auto"/>
          <w:szCs w:val="21"/>
        </w:rPr>
        <w:t>应当按照合同约定依法履行合同义务。政府采购合同的履行、违约责任和解决争议的方法等适用《中华人民共和国合同法》。</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lang w:val="en-US" w:eastAsia="zh-CN"/>
        </w:rPr>
        <w:t>29</w:t>
      </w:r>
      <w:r>
        <w:rPr>
          <w:rFonts w:hint="eastAsia" w:asciiTheme="minorEastAsia" w:hAnsiTheme="minorEastAsia" w:eastAsiaTheme="minorEastAsia"/>
          <w:b/>
          <w:bCs/>
          <w:color w:val="auto"/>
          <w:sz w:val="24"/>
        </w:rPr>
        <w:t>.</w:t>
      </w:r>
      <w:r>
        <w:rPr>
          <w:rFonts w:hint="eastAsia" w:asciiTheme="minorEastAsia" w:hAnsiTheme="minorEastAsia" w:eastAsiaTheme="minorEastAsia"/>
          <w:b/>
          <w:color w:val="auto"/>
          <w:sz w:val="24"/>
        </w:rPr>
        <w:t xml:space="preserve"> 政府采购合同履行中</w:t>
      </w:r>
      <w:r>
        <w:rPr>
          <w:rFonts w:hint="eastAsia" w:asciiTheme="minorEastAsia" w:hAnsiTheme="minorEastAsia" w:eastAsiaTheme="minorEastAsia"/>
          <w:b/>
          <w:bCs/>
          <w:color w:val="auto"/>
          <w:sz w:val="24"/>
        </w:rPr>
        <w:t>数量的变更</w:t>
      </w:r>
    </w:p>
    <w:p>
      <w:pPr>
        <w:adjustRightInd w:val="0"/>
        <w:snapToGrid w:val="0"/>
        <w:spacing w:before="156" w:beforeLines="50" w:line="360" w:lineRule="auto"/>
        <w:ind w:firstLine="420" w:firstLineChars="200"/>
        <w:jc w:val="left"/>
        <w:rPr>
          <w:rFonts w:asciiTheme="minorEastAsia" w:hAnsiTheme="minorEastAsia" w:eastAsiaTheme="minorEastAsia"/>
          <w:color w:val="auto"/>
          <w:sz w:val="28"/>
          <w:szCs w:val="28"/>
        </w:rPr>
      </w:pPr>
      <w:r>
        <w:rPr>
          <w:rFonts w:hint="eastAsia" w:asciiTheme="minorEastAsia" w:hAnsiTheme="minorEastAsia" w:eastAsiaTheme="minorEastAsia"/>
          <w:color w:val="auto"/>
          <w:lang w:val="en-US" w:eastAsia="zh-CN"/>
        </w:rPr>
        <w:t>29</w:t>
      </w:r>
      <w:r>
        <w:rPr>
          <w:rFonts w:hint="eastAsia" w:asciiTheme="minorEastAsia" w:hAnsiTheme="minorEastAsia" w:eastAsiaTheme="minorEastAsia"/>
          <w:color w:val="auto"/>
        </w:rPr>
        <w:t>.1政府采购合同履行中，采购人需追加与合同标的相同的货物服务的，在不改变合同其他条款的前提下，可以与中标人协商签订补充合同，但所有补充合同的采购金额不得超过原合同采购金额的百分之十。</w:t>
      </w:r>
    </w:p>
    <w:p>
      <w:pPr>
        <w:pStyle w:val="6"/>
        <w:adjustRightInd w:val="0"/>
        <w:snapToGrid w:val="0"/>
        <w:spacing w:before="156" w:beforeLines="50" w:after="0" w:line="360" w:lineRule="auto"/>
        <w:jc w:val="center"/>
        <w:rPr>
          <w:rFonts w:ascii="黑体" w:hAnsi="黑体" w:eastAsia="黑体"/>
          <w:color w:val="auto"/>
          <w:sz w:val="28"/>
          <w:szCs w:val="28"/>
        </w:rPr>
      </w:pPr>
      <w:bookmarkStart w:id="34" w:name="_Toc11347"/>
      <w:bookmarkStart w:id="35" w:name="_Toc29913904"/>
      <w:r>
        <w:rPr>
          <w:rFonts w:hint="eastAsia" w:ascii="黑体" w:hAnsi="黑体" w:eastAsia="黑体"/>
          <w:color w:val="auto"/>
          <w:sz w:val="28"/>
          <w:szCs w:val="28"/>
        </w:rPr>
        <w:t>八、政府采购政策</w:t>
      </w:r>
      <w:bookmarkEnd w:id="34"/>
      <w:bookmarkEnd w:id="35"/>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lang w:val="en-US" w:eastAsia="zh-CN"/>
        </w:rPr>
        <w:t>30</w:t>
      </w:r>
      <w:r>
        <w:rPr>
          <w:rFonts w:hint="eastAsia" w:asciiTheme="minorEastAsia" w:hAnsiTheme="minorEastAsia" w:eastAsiaTheme="minorEastAsia"/>
          <w:b/>
          <w:bCs/>
          <w:color w:val="auto"/>
          <w:sz w:val="24"/>
        </w:rPr>
        <w:t>.</w:t>
      </w:r>
      <w:r>
        <w:rPr>
          <w:rFonts w:hint="eastAsia" w:asciiTheme="minorEastAsia" w:hAnsiTheme="minorEastAsia" w:eastAsiaTheme="minorEastAsia"/>
          <w:color w:val="auto"/>
          <w:sz w:val="24"/>
        </w:rPr>
        <w:t xml:space="preserve"> </w:t>
      </w:r>
      <w:r>
        <w:rPr>
          <w:rFonts w:hint="eastAsia" w:asciiTheme="minorEastAsia" w:hAnsiTheme="minorEastAsia" w:eastAsiaTheme="minorEastAsia"/>
          <w:b/>
          <w:color w:val="auto"/>
          <w:sz w:val="24"/>
        </w:rPr>
        <w:t>政府采购政策</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rPr>
      </w:pPr>
      <w:r>
        <w:rPr>
          <w:rFonts w:hint="eastAsia" w:cs="宋体" w:asciiTheme="minorEastAsia" w:hAnsiTheme="minorEastAsia" w:eastAsiaTheme="minorEastAsia"/>
          <w:color w:val="auto"/>
          <w:kern w:val="0"/>
          <w:lang w:val="en-US" w:eastAsia="zh-CN"/>
        </w:rPr>
        <w:t>30</w:t>
      </w:r>
      <w:r>
        <w:rPr>
          <w:rFonts w:hint="eastAsia" w:cs="宋体" w:asciiTheme="minorEastAsia" w:hAnsiTheme="minorEastAsia" w:eastAsiaTheme="minorEastAsia"/>
          <w:color w:val="auto"/>
          <w:kern w:val="0"/>
        </w:rPr>
        <w:t>.1优先采购：</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w:t>
      </w:r>
      <w:r>
        <w:rPr>
          <w:rFonts w:hint="eastAsia" w:asciiTheme="minorEastAsia" w:hAnsiTheme="minorEastAsia" w:eastAsiaTheme="minorEastAsia"/>
          <w:color w:val="auto"/>
          <w:szCs w:val="21"/>
        </w:rPr>
        <w:t>纳入财政部会同国务院有关部门发布的节能产品、环境标志产品政府采购品目清单，实施政府优先采购的，评审时按招标文件第四章第一节有关规定给予一定比例的价格折扣或者加分；</w:t>
      </w:r>
      <w:r>
        <w:rPr>
          <w:rFonts w:asciiTheme="minorEastAsia" w:hAnsiTheme="minorEastAsia" w:eastAsiaTheme="minorEastAsia"/>
          <w:color w:val="auto"/>
        </w:rPr>
        <w:t xml:space="preserve"> </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rPr>
      </w:pPr>
      <w:r>
        <w:rPr>
          <w:rFonts w:hint="eastAsia" w:cs="宋体" w:asciiTheme="minorEastAsia" w:hAnsiTheme="minorEastAsia" w:eastAsiaTheme="minorEastAsia"/>
          <w:color w:val="auto"/>
          <w:kern w:val="0"/>
          <w:lang w:val="en-US" w:eastAsia="zh-CN"/>
        </w:rPr>
        <w:t>30</w:t>
      </w:r>
      <w:r>
        <w:rPr>
          <w:rFonts w:hint="eastAsia" w:cs="宋体" w:asciiTheme="minorEastAsia" w:hAnsiTheme="minorEastAsia" w:eastAsiaTheme="minorEastAsia"/>
          <w:color w:val="auto"/>
          <w:kern w:val="0"/>
        </w:rPr>
        <w:t>.2强制采购：</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rPr>
      </w:pPr>
      <w:r>
        <w:rPr>
          <w:rFonts w:hint="eastAsia" w:cs="宋体" w:asciiTheme="minorEastAsia" w:hAnsiTheme="minorEastAsia" w:eastAsiaTheme="minorEastAsia"/>
          <w:color w:val="auto"/>
          <w:kern w:val="0"/>
        </w:rPr>
        <w:t>（1）纳入财政部会同国务院有关部门发布的节能产品政府采购品目清单，实施政府强制采购的（品目清单标注</w:t>
      </w:r>
      <w:r>
        <w:rPr>
          <w:rFonts w:hint="eastAsia" w:cs="宋体" w:asciiTheme="minorEastAsia" w:hAnsiTheme="minorEastAsia" w:eastAsiaTheme="minorEastAsia"/>
          <w:color w:val="auto"/>
          <w:kern w:val="0"/>
        </w:rPr>
        <w:sym w:font="Wingdings" w:char="F0AB"/>
      </w:r>
      <w:r>
        <w:rPr>
          <w:rFonts w:hint="eastAsia" w:cs="宋体" w:asciiTheme="minorEastAsia" w:hAnsiTheme="minorEastAsia" w:eastAsiaTheme="minorEastAsia"/>
          <w:color w:val="auto"/>
          <w:kern w:val="0"/>
        </w:rPr>
        <w:t>符号产品），投标人投标产品应当取得国家确定的认证机构出具的、处于有效期之内的节能产品认证证书，否则其</w:t>
      </w:r>
      <w:r>
        <w:rPr>
          <w:rFonts w:hint="eastAsia" w:cs="宋体" w:asciiTheme="minorEastAsia" w:hAnsiTheme="minorEastAsia" w:eastAsiaTheme="minorEastAsia"/>
          <w:b/>
          <w:color w:val="auto"/>
          <w:kern w:val="0"/>
          <w:szCs w:val="21"/>
        </w:rPr>
        <w:t>投标无效</w:t>
      </w:r>
      <w:r>
        <w:rPr>
          <w:rFonts w:hint="eastAsia" w:cs="宋体" w:asciiTheme="minorEastAsia" w:hAnsiTheme="minorEastAsia" w:eastAsiaTheme="minorEastAsia"/>
          <w:color w:val="auto"/>
          <w:kern w:val="0"/>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lang w:val="en-US" w:eastAsia="zh-CN"/>
        </w:rPr>
        <w:t>30</w:t>
      </w:r>
      <w:r>
        <w:rPr>
          <w:rFonts w:hint="eastAsia" w:asciiTheme="minorEastAsia" w:hAnsiTheme="minorEastAsia" w:eastAsiaTheme="minorEastAsia"/>
          <w:color w:val="auto"/>
        </w:rPr>
        <w:t>.3价格评审优惠：</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（1）投标人为小型、微型企业，且提供本企业生产的货物或者提供其他小型、微型企业生产的货物，投标价格按</w:t>
      </w:r>
      <w:r>
        <w:rPr>
          <w:rFonts w:hint="eastAsia" w:asciiTheme="minorEastAsia" w:hAnsiTheme="minorEastAsia" w:eastAsiaTheme="minorEastAsia"/>
          <w:color w:val="auto"/>
          <w:szCs w:val="21"/>
        </w:rPr>
        <w:t>招标文件第四章第一节有关规定</w:t>
      </w:r>
      <w:r>
        <w:rPr>
          <w:rFonts w:hint="eastAsia" w:asciiTheme="minorEastAsia" w:hAnsiTheme="minorEastAsia" w:eastAsiaTheme="minorEastAsia"/>
          <w:color w:val="auto"/>
        </w:rPr>
        <w:t>给予一定比例的价格折扣，用扣除后的价格参与评审。本项所称货物不包括使用大型企业注册商标的货物；</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（2）小型、微型企业参加联合体投标并在联合体协议中明确其在合同金额占联合体合同总金额 30%以上的，该联合体投标价格按</w:t>
      </w:r>
      <w:r>
        <w:rPr>
          <w:rFonts w:hint="eastAsia" w:asciiTheme="minorEastAsia" w:hAnsiTheme="minorEastAsia" w:eastAsiaTheme="minorEastAsia"/>
          <w:color w:val="auto"/>
          <w:szCs w:val="21"/>
        </w:rPr>
        <w:t>招标文件第四章第一节有关规定</w:t>
      </w:r>
      <w:r>
        <w:rPr>
          <w:rFonts w:hint="eastAsia" w:asciiTheme="minorEastAsia" w:hAnsiTheme="minorEastAsia" w:eastAsiaTheme="minorEastAsia"/>
          <w:color w:val="auto"/>
        </w:rPr>
        <w:t>给予一定比例的价格折扣，用扣除后的价格参与评审。联合体各方均为小型、微型企业的，联合体视同为小型、微型企业；</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（3）监狱企业、残</w:t>
      </w:r>
      <w:r>
        <w:rPr>
          <w:rFonts w:hint="eastAsia" w:asciiTheme="minorEastAsia" w:hAnsiTheme="minorEastAsia" w:eastAsiaTheme="minorEastAsia"/>
          <w:color w:val="auto"/>
          <w:szCs w:val="21"/>
        </w:rPr>
        <w:t>疾人福利性单位视同小型、微型企业，享受评审中价格扣除等促进中小企业发展的政府采购政策。</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lang w:val="en-US" w:eastAsia="zh-CN"/>
        </w:rPr>
        <w:t>30</w:t>
      </w:r>
      <w:r>
        <w:rPr>
          <w:rFonts w:hint="eastAsia" w:asciiTheme="minorEastAsia" w:hAnsiTheme="minorEastAsia" w:eastAsiaTheme="minorEastAsia"/>
          <w:color w:val="auto"/>
        </w:rPr>
        <w:t>.4政府采购政策交叉与叠加</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（1）投标产品取得两个及以上优先采购产品认证的，评审时只有其中一项产品能享受优先采购优惠（投标人自行选择，并在投标文件中并填报相关信息及数据）</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（2）投标人同时符合小型、微型企业及监狱企业、残疾人福利性单位要求的，评审时只有一种类型享受价格评审优惠政策；</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（3）小型和微型企业的价格评审优惠可以与同时属于“节能产品”、“环境标志产品”中的一项优先采购优惠累加计算。</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lang w:val="en-US" w:eastAsia="zh-CN"/>
        </w:rPr>
        <w:t>30</w:t>
      </w:r>
      <w:r>
        <w:rPr>
          <w:rFonts w:hint="eastAsia" w:asciiTheme="minorEastAsia" w:hAnsiTheme="minorEastAsia" w:eastAsiaTheme="minorEastAsia"/>
          <w:color w:val="auto"/>
        </w:rPr>
        <w:t>.5小型、微型企业的投标人提供部分小型、微型企业制造的产品，以及部分投标产品属于优先采购的，评审时只对该部分产品的报价实行价格扣除及加分。投标人应按本章第33.6款规定提供相关证明资料（包括提供相关报价）。</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lang w:val="en-US" w:eastAsia="zh-CN"/>
        </w:rPr>
        <w:t>30</w:t>
      </w:r>
      <w:r>
        <w:rPr>
          <w:rFonts w:hint="eastAsia" w:asciiTheme="minorEastAsia" w:hAnsiTheme="minorEastAsia" w:eastAsiaTheme="minorEastAsia"/>
          <w:color w:val="auto"/>
        </w:rPr>
        <w:t>.6投标人符合本章第32.1款、第32.2款、第32.3款规定的，应提供相关证明资料。</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（1）节能产品、环境标志产品：提供国家确定的认证机构出具的、处于有效期之内的节能产品、环境标志产品认证证书（复印件）。</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（3）中小企业：按《关于印发＜政府采购促进中小企业发展暂行办法＞的通知》(财库[2011]181号)规定，投标人提供《小型、微型企业声明函》（格式附后）。</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（4）监狱企业：按《关于政府采购支持监狱企业发展有关问题的通知》(财库〔2014〕68号)文件规定提供证明文件（复印件）。</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（5）残疾人福利性单位：按《关于促进残疾人就业政府采购政策的通知》(财库〔2017〕141号)文件规定提供《残疾人福利性单位声明函》（格式）。</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w:t>
      </w:r>
      <w:r>
        <w:rPr>
          <w:rFonts w:hint="eastAsia" w:asciiTheme="minorEastAsia" w:hAnsiTheme="minorEastAsia" w:eastAsiaTheme="minorEastAsia"/>
          <w:color w:val="auto"/>
          <w:lang w:val="en-US" w:eastAsia="zh-CN"/>
        </w:rPr>
        <w:t>0</w:t>
      </w:r>
      <w:r>
        <w:rPr>
          <w:rFonts w:hint="eastAsia" w:asciiTheme="minorEastAsia" w:hAnsiTheme="minorEastAsia" w:eastAsiaTheme="minorEastAsia"/>
          <w:color w:val="auto"/>
        </w:rPr>
        <w:t>.7投标人有融资、担保需求的，可登陆湖南省政府采购网查询相关银行、担保机构业务。</w:t>
      </w:r>
    </w:p>
    <w:p>
      <w:pPr>
        <w:pStyle w:val="6"/>
        <w:adjustRightInd w:val="0"/>
        <w:snapToGrid w:val="0"/>
        <w:spacing w:before="156" w:beforeLines="50" w:after="0" w:line="360" w:lineRule="auto"/>
        <w:jc w:val="center"/>
        <w:rPr>
          <w:rFonts w:ascii="黑体" w:hAnsi="黑体" w:eastAsia="黑体"/>
          <w:color w:val="auto"/>
          <w:sz w:val="28"/>
          <w:szCs w:val="28"/>
        </w:rPr>
      </w:pPr>
      <w:bookmarkStart w:id="36" w:name="_Toc26141"/>
      <w:bookmarkStart w:id="37" w:name="_Toc29913905"/>
      <w:r>
        <w:rPr>
          <w:rFonts w:hint="eastAsia" w:ascii="黑体" w:hAnsi="黑体" w:eastAsia="黑体"/>
          <w:color w:val="auto"/>
          <w:sz w:val="28"/>
          <w:szCs w:val="28"/>
        </w:rPr>
        <w:t>九、其他规定</w:t>
      </w:r>
      <w:bookmarkEnd w:id="36"/>
      <w:bookmarkEnd w:id="37"/>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3</w:t>
      </w:r>
      <w:r>
        <w:rPr>
          <w:rFonts w:hint="eastAsia" w:asciiTheme="minorEastAsia" w:hAnsiTheme="minorEastAsia" w:eastAsiaTheme="minorEastAsia"/>
          <w:b/>
          <w:bCs/>
          <w:color w:val="auto"/>
          <w:sz w:val="24"/>
          <w:lang w:val="en-US" w:eastAsia="zh-CN"/>
        </w:rPr>
        <w:t>1</w:t>
      </w:r>
      <w:r>
        <w:rPr>
          <w:rFonts w:hint="eastAsia" w:asciiTheme="minorEastAsia" w:hAnsiTheme="minorEastAsia" w:eastAsiaTheme="minorEastAsia"/>
          <w:b/>
          <w:bCs/>
          <w:color w:val="auto"/>
          <w:sz w:val="24"/>
        </w:rPr>
        <w:t>.</w:t>
      </w:r>
      <w:r>
        <w:rPr>
          <w:rFonts w:hint="eastAsia" w:asciiTheme="minorEastAsia" w:hAnsiTheme="minorEastAsia" w:eastAsiaTheme="minorEastAsia"/>
          <w:color w:val="auto"/>
          <w:sz w:val="24"/>
        </w:rPr>
        <w:t xml:space="preserve"> </w:t>
      </w:r>
      <w:r>
        <w:rPr>
          <w:rFonts w:hint="eastAsia" w:asciiTheme="minorEastAsia" w:hAnsiTheme="minorEastAsia" w:eastAsiaTheme="minorEastAsia"/>
          <w:b/>
          <w:color w:val="auto"/>
          <w:sz w:val="24"/>
        </w:rPr>
        <w:t>招标不足三家处理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rPr>
        <w:t>.1公开招标数额标准以上的采购项目，投标截止后投标人不足3家或者通过资格审查或符合性审查的投标人不足3家的，除采购任务取消情形外，按照以下方式处理：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（1）招标文件存在不合理条款或者招标程序不符合规定的，采购人、采购代理机构改正后依法重新招标；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（2）招标文件没有不合理条款、招标程序符合规定，需要采用其他采购方式采购的，采购人应当依法报财政部门批准。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rPr>
        <w:t>.2属上款第（2）项情形的，评标委员会应出具的招标文件没有不合理条款的论证意见。</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3</w:t>
      </w:r>
      <w:r>
        <w:rPr>
          <w:rFonts w:hint="eastAsia" w:asciiTheme="minorEastAsia" w:hAnsiTheme="minorEastAsia" w:eastAsiaTheme="minorEastAsia"/>
          <w:b/>
          <w:bCs/>
          <w:color w:val="auto"/>
          <w:sz w:val="24"/>
          <w:lang w:val="en-US" w:eastAsia="zh-CN"/>
        </w:rPr>
        <w:t>2</w:t>
      </w:r>
      <w:r>
        <w:rPr>
          <w:rFonts w:hint="eastAsia" w:asciiTheme="minorEastAsia" w:hAnsiTheme="minorEastAsia" w:eastAsiaTheme="minorEastAsia"/>
          <w:b/>
          <w:bCs/>
          <w:color w:val="auto"/>
          <w:sz w:val="24"/>
        </w:rPr>
        <w:t>.</w:t>
      </w:r>
      <w:r>
        <w:rPr>
          <w:rFonts w:hint="eastAsia" w:asciiTheme="minorEastAsia" w:hAnsiTheme="minorEastAsia" w:eastAsiaTheme="minorEastAsia"/>
          <w:b/>
          <w:color w:val="auto"/>
          <w:sz w:val="24"/>
        </w:rPr>
        <w:t xml:space="preserve"> 招标代理服务费</w:t>
      </w:r>
    </w:p>
    <w:p>
      <w:pPr>
        <w:adjustRightInd w:val="0"/>
        <w:snapToGrid w:val="0"/>
        <w:spacing w:before="156" w:beforeLines="50" w:line="360" w:lineRule="auto"/>
        <w:ind w:firstLine="420" w:firstLineChars="200"/>
        <w:jc w:val="left"/>
        <w:rPr>
          <w:rFonts w:hint="default" w:asciiTheme="minorEastAsia" w:hAnsiTheme="minorEastAsia" w:eastAsiaTheme="minorEastAsia"/>
          <w:color w:val="auto"/>
          <w:szCs w:val="21"/>
          <w:lang w:val="en-US"/>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.1</w:t>
      </w:r>
      <w:r>
        <w:rPr>
          <w:rFonts w:hint="eastAsia" w:asciiTheme="minorEastAsia" w:hAnsiTheme="minorEastAsia" w:eastAsiaTheme="minorEastAsia"/>
          <w:color w:val="auto"/>
          <w:szCs w:val="21"/>
          <w:lang w:eastAsia="zh-CN"/>
        </w:rPr>
        <w:t>招标代理服务费由采购人支付。</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cs="宋体" w:asciiTheme="minorEastAsia" w:hAnsiTheme="minorEastAsia" w:eastAsiaTheme="minorEastAsia"/>
          <w:b/>
          <w:color w:val="auto"/>
          <w:kern w:val="0"/>
          <w:sz w:val="24"/>
        </w:rPr>
        <w:t>3</w:t>
      </w:r>
      <w:r>
        <w:rPr>
          <w:rFonts w:hint="eastAsia" w:cs="宋体" w:asciiTheme="minorEastAsia" w:hAnsiTheme="minorEastAsia" w:eastAsiaTheme="minorEastAsia"/>
          <w:b/>
          <w:color w:val="auto"/>
          <w:kern w:val="0"/>
          <w:sz w:val="24"/>
          <w:lang w:val="en-US" w:eastAsia="zh-CN"/>
        </w:rPr>
        <w:t>3</w:t>
      </w:r>
      <w:r>
        <w:rPr>
          <w:rFonts w:hint="eastAsia" w:cs="宋体" w:asciiTheme="minorEastAsia" w:hAnsiTheme="minorEastAsia" w:eastAsiaTheme="minorEastAsia"/>
          <w:b/>
          <w:color w:val="auto"/>
          <w:kern w:val="0"/>
          <w:sz w:val="24"/>
        </w:rPr>
        <w:t>.</w:t>
      </w:r>
      <w:r>
        <w:rPr>
          <w:rFonts w:hint="eastAsia" w:asciiTheme="minorEastAsia" w:hAnsiTheme="minorEastAsia" w:eastAsiaTheme="minorEastAsia"/>
          <w:b/>
          <w:color w:val="auto"/>
          <w:sz w:val="24"/>
        </w:rPr>
        <w:t xml:space="preserve"> 需要补充的其他内容</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rPr>
        <w:t>3</w:t>
      </w:r>
      <w:r>
        <w:rPr>
          <w:rFonts w:hint="eastAsia" w:asciiTheme="minorEastAsia" w:hAnsiTheme="minorEastAsia" w:eastAsiaTheme="minorEastAsia"/>
          <w:color w:val="auto"/>
          <w:lang w:val="en-US" w:eastAsia="zh-CN"/>
        </w:rPr>
        <w:t>3</w:t>
      </w:r>
      <w:r>
        <w:rPr>
          <w:rFonts w:hint="eastAsia" w:asciiTheme="minorEastAsia" w:hAnsiTheme="minorEastAsia" w:eastAsiaTheme="minorEastAsia"/>
          <w:color w:val="auto"/>
        </w:rPr>
        <w:t>.1招标文件需要补充的其</w:t>
      </w:r>
      <w:r>
        <w:rPr>
          <w:rFonts w:hint="eastAsia" w:asciiTheme="minorEastAsia" w:hAnsiTheme="minorEastAsia" w:eastAsiaTheme="minorEastAsia"/>
          <w:color w:val="auto"/>
          <w:szCs w:val="21"/>
        </w:rPr>
        <w:t>他内容见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3</w:t>
      </w:r>
      <w:r>
        <w:rPr>
          <w:rFonts w:hint="eastAsia" w:asciiTheme="minorEastAsia" w:hAnsiTheme="minorEastAsia" w:eastAsiaTheme="minorEastAsia"/>
          <w:b/>
          <w:bCs/>
          <w:color w:val="auto"/>
          <w:sz w:val="24"/>
          <w:lang w:val="en-US" w:eastAsia="zh-CN"/>
        </w:rPr>
        <w:t>4</w:t>
      </w:r>
      <w:r>
        <w:rPr>
          <w:rFonts w:hint="eastAsia" w:asciiTheme="minorEastAsia" w:hAnsiTheme="minorEastAsia" w:eastAsiaTheme="minorEastAsia"/>
          <w:b/>
          <w:bCs/>
          <w:color w:val="auto"/>
          <w:sz w:val="24"/>
        </w:rPr>
        <w:t>.电子招投标的应急措施</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.1电子开标、评标如出现下列情形，导致系统短时间内无法恢复正常运行，影响到招投标</w:t>
      </w:r>
      <w:r>
        <w:rPr>
          <w:rFonts w:hint="eastAsia" w:asciiTheme="minorEastAsia" w:hAnsiTheme="minorEastAsia" w:eastAsiaTheme="minorEastAsia"/>
          <w:bCs/>
          <w:color w:val="auto"/>
          <w:szCs w:val="21"/>
        </w:rPr>
        <w:t>活动无法继续开展</w:t>
      </w:r>
      <w:r>
        <w:rPr>
          <w:rFonts w:hint="eastAsia" w:asciiTheme="minorEastAsia" w:hAnsiTheme="minorEastAsia" w:eastAsiaTheme="minorEastAsia"/>
          <w:color w:val="auto"/>
          <w:szCs w:val="21"/>
        </w:rPr>
        <w:t xml:space="preserve">时，按交易中心应急预案措施执行： </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（1）系统服务器发生故障，无法访问或无法使用系统； </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（2）系统的软件或数据库出现错误，不能进行正常操作； </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（3）系统发现有安全漏洞，有潜在的泄密危险； </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（4）病毒发作或受到外来病毒的攻击；</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（5）网络故障，无法访问或无法使用系统；</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（6）电力中断等其他特殊情况。</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.2出现上述情况之一时，经交易中心相关部门确认：</w:t>
      </w:r>
      <w:r>
        <w:rPr>
          <w:rFonts w:hint="eastAsia" w:asciiTheme="minorEastAsia" w:hAnsiTheme="minorEastAsia" w:eastAsiaTheme="minorEastAsia"/>
          <w:bCs/>
          <w:color w:val="auto"/>
          <w:szCs w:val="21"/>
        </w:rPr>
        <w:t>采购人或采购代理机构可选择采取如下措施，</w:t>
      </w:r>
      <w:r>
        <w:rPr>
          <w:rFonts w:asciiTheme="minorEastAsia" w:hAnsiTheme="minorEastAsia" w:eastAsiaTheme="minorEastAsia"/>
          <w:bCs/>
          <w:color w:val="auto"/>
          <w:szCs w:val="21"/>
        </w:rPr>
        <w:t>投标人不得对此持有异议。</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（1）酌情延长投标文件文件解密时间，采取远程解密等，以保障招投标活动的继续实施；</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（2）项目作延期开标处理，待系统恢复后再进行开标活动；</w:t>
      </w:r>
    </w:p>
    <w:p>
      <w:pPr>
        <w:adjustRightInd w:val="0"/>
        <w:spacing w:line="360" w:lineRule="auto"/>
        <w:ind w:firstLine="420" w:firstLineChars="200"/>
        <w:jc w:val="left"/>
        <w:rPr>
          <w:rFonts w:ascii="黑体" w:hAnsi="华文中宋" w:eastAsia="黑体"/>
          <w:bCs/>
          <w:color w:val="auto"/>
          <w:w w:val="90"/>
          <w:sz w:val="32"/>
          <w:szCs w:val="32"/>
        </w:rPr>
      </w:pPr>
      <w:r>
        <w:rPr>
          <w:rFonts w:hint="eastAsia" w:asciiTheme="minorEastAsia" w:hAnsiTheme="minorEastAsia" w:eastAsiaTheme="minorEastAsia"/>
          <w:color w:val="auto"/>
          <w:szCs w:val="21"/>
        </w:rPr>
        <w:t>（3）对已在评标的项目，评标委员会酌情延期进行评审，待系统恢复后再进行评审工作。</w:t>
      </w:r>
    </w:p>
    <w:p>
      <w:pPr>
        <w:pStyle w:val="4"/>
        <w:rPr>
          <w:rFonts w:ascii="黑体" w:hAnsi="黑体" w:eastAsia="黑体"/>
          <w:color w:val="auto"/>
          <w:sz w:val="32"/>
          <w:szCs w:val="32"/>
        </w:rPr>
      </w:pPr>
      <w:bookmarkStart w:id="38" w:name="_Toc24874"/>
      <w:bookmarkStart w:id="39" w:name="_Toc29913906"/>
      <w:r>
        <w:rPr>
          <w:rFonts w:hint="eastAsia" w:ascii="黑体" w:hAnsi="黑体" w:eastAsia="黑体"/>
          <w:color w:val="auto"/>
          <w:sz w:val="32"/>
          <w:szCs w:val="32"/>
        </w:rPr>
        <w:t>第三章 资格审查</w:t>
      </w:r>
      <w:bookmarkEnd w:id="38"/>
      <w:bookmarkEnd w:id="39"/>
    </w:p>
    <w:p>
      <w:pPr>
        <w:pStyle w:val="6"/>
        <w:adjustRightInd w:val="0"/>
        <w:snapToGrid w:val="0"/>
        <w:spacing w:before="156" w:beforeLines="50" w:after="0" w:line="360" w:lineRule="auto"/>
        <w:rPr>
          <w:rFonts w:ascii="黑体" w:hAnsi="黑体" w:eastAsia="黑体"/>
          <w:color w:val="auto"/>
          <w:sz w:val="24"/>
          <w:szCs w:val="24"/>
        </w:rPr>
      </w:pPr>
      <w:bookmarkStart w:id="40" w:name="_Toc2547"/>
      <w:bookmarkStart w:id="41" w:name="_Toc29913907"/>
      <w:r>
        <w:rPr>
          <w:rFonts w:hint="eastAsia" w:ascii="黑体" w:hAnsi="黑体" w:eastAsia="黑体"/>
          <w:color w:val="auto"/>
          <w:sz w:val="24"/>
          <w:szCs w:val="24"/>
        </w:rPr>
        <w:t>1．资格审查主体</w:t>
      </w:r>
      <w:bookmarkEnd w:id="40"/>
      <w:bookmarkEnd w:id="41"/>
    </w:p>
    <w:p>
      <w:pPr>
        <w:adjustRightInd w:val="0"/>
        <w:snapToGrid w:val="0"/>
        <w:spacing w:before="156" w:beforeLines="50" w:line="360" w:lineRule="auto"/>
        <w:ind w:firstLine="417" w:firstLineChars="199"/>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1.1资格审查主体：采购人、采购代理机构负责资格审查。</w:t>
      </w:r>
    </w:p>
    <w:p>
      <w:pPr>
        <w:pStyle w:val="6"/>
        <w:adjustRightInd w:val="0"/>
        <w:snapToGrid w:val="0"/>
        <w:spacing w:before="156" w:beforeLines="50" w:after="0" w:line="360" w:lineRule="auto"/>
        <w:rPr>
          <w:rFonts w:ascii="黑体" w:hAnsi="黑体" w:eastAsia="黑体"/>
          <w:color w:val="auto"/>
          <w:sz w:val="24"/>
          <w:szCs w:val="24"/>
        </w:rPr>
      </w:pPr>
      <w:bookmarkStart w:id="42" w:name="_Toc18491"/>
      <w:bookmarkStart w:id="43" w:name="_Toc29913908"/>
      <w:r>
        <w:rPr>
          <w:rFonts w:hint="eastAsia" w:ascii="黑体" w:hAnsi="黑体" w:eastAsia="黑体"/>
          <w:color w:val="auto"/>
          <w:sz w:val="24"/>
          <w:szCs w:val="24"/>
        </w:rPr>
        <w:t>2．资格审查</w:t>
      </w:r>
      <w:bookmarkEnd w:id="42"/>
      <w:bookmarkEnd w:id="43"/>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2.1资格审查依据法律法规和招标文件的规定，对投标文件中的资格证明文件</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rPr>
        <w:t>投标报价等进行审查，以确定投标供应商是否具备投标资格。</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2.2在资格审查时，投标人存在下列情况之一的，资格审查不合格，其投标无效：</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（1）不具备招标文件中规定的资格要求的，或提交的资格证明文件不符合招标文件要求的；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（2）联合体投标未提交联合体协议书，或未提交联合体各方资格证明文件的；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（3）投标文件的资格证明文件未按照招标文件要求进行电子签名、盖章的；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）投标报价超过招标文件中规定的预算金额或者最高限价的；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5</w:t>
      </w:r>
      <w:r>
        <w:rPr>
          <w:rFonts w:hint="eastAsia" w:asciiTheme="minorEastAsia" w:hAnsiTheme="minorEastAsia" w:eastAsiaTheme="minorEastAsia"/>
          <w:color w:val="auto"/>
          <w:szCs w:val="21"/>
        </w:rPr>
        <w:t>）法律、法规和招标文件规定的其他投标无效情形的。</w:t>
      </w:r>
    </w:p>
    <w:p>
      <w:pPr>
        <w:adjustRightInd w:val="0"/>
        <w:snapToGrid w:val="0"/>
        <w:spacing w:before="156" w:beforeLines="50" w:line="360" w:lineRule="auto"/>
        <w:ind w:firstLine="420" w:firstLineChars="200"/>
        <w:jc w:val="left"/>
        <w:rPr>
          <w:rFonts w:asciiTheme="minorEastAsia" w:hAnsiTheme="minorEastAsia" w:eastAsiaTheme="minorEastAsia"/>
          <w:b/>
          <w:color w:val="auto"/>
          <w:sz w:val="32"/>
          <w:szCs w:val="32"/>
        </w:rPr>
      </w:pPr>
      <w:r>
        <w:rPr>
          <w:rFonts w:hint="eastAsia" w:asciiTheme="minorEastAsia" w:hAnsiTheme="minorEastAsia" w:eastAsiaTheme="minorEastAsia"/>
          <w:color w:val="auto"/>
        </w:rPr>
        <w:t>2.3信用记录。开标结束后</w:t>
      </w:r>
      <w:r>
        <w:rPr>
          <w:rFonts w:hint="eastAsia" w:asciiTheme="minorEastAsia" w:hAnsiTheme="minorEastAsia" w:eastAsiaTheme="minorEastAsia"/>
          <w:color w:val="auto"/>
          <w:szCs w:val="21"/>
        </w:rPr>
        <w:t>资格审查时，采购人、采购代理机构将对投标人信用记录进行甄别。</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1）信用信息查询的查询渠道：信用中国（www.creditchina.gov.cn）、信用湖南（https://credit.fgw.hunan.gov.cn/）、信用郴州（http://xycz.czs.gov.cn/）、中国政府采购网（www.ccgp.gov.cn）、湖南省政府采购网（http://www.ccgp-hunan.gov.cn/）。</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不良信用记录是指：投标人在“信用中国”、“信用湖南”、“信用郴州”网站被列入失信被执行人和重大税收违法案件当事人名单，或在“中国政府采购网”、“湖南省政府采购网”网站被列入政府采购严重违法失信行为记录名单。投标人有上述不良信用记录的，其投标无效，其中，列入政府采购严重违法失信行为记录名单的，按处罚结果执行。</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（3）联合体形式投标的，联合体成员存在不良信用记录的，视同联合体存在不良信用记录。</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（4）信用信息查询记录和证据留存具体方式：</w:t>
      </w:r>
      <w:r>
        <w:rPr>
          <w:rFonts w:hint="eastAsia" w:ascii="宋体" w:hAnsi="宋体"/>
          <w:color w:val="auto"/>
          <w:szCs w:val="21"/>
        </w:rPr>
        <w:t>采购人、采购代理机构</w:t>
      </w:r>
      <w:r>
        <w:rPr>
          <w:rFonts w:ascii="宋体" w:hAnsi="宋体"/>
          <w:color w:val="auto"/>
          <w:szCs w:val="21"/>
        </w:rPr>
        <w:t>经办人将查询网页</w:t>
      </w:r>
      <w:r>
        <w:rPr>
          <w:rFonts w:hint="eastAsia" w:ascii="宋体" w:hAnsi="宋体"/>
          <w:color w:val="auto"/>
          <w:szCs w:val="21"/>
        </w:rPr>
        <w:t>截图、</w:t>
      </w:r>
      <w:r>
        <w:rPr>
          <w:rFonts w:ascii="宋体" w:hAnsi="宋体"/>
          <w:color w:val="auto"/>
          <w:szCs w:val="21"/>
        </w:rPr>
        <w:t>打印、签字</w:t>
      </w:r>
      <w:r>
        <w:rPr>
          <w:rFonts w:hint="eastAsia" w:ascii="宋体" w:hAnsi="宋体"/>
          <w:color w:val="auto"/>
          <w:szCs w:val="21"/>
        </w:rPr>
        <w:t>，作为查询记录和证据，与其他采购文件一并保存。</w:t>
      </w:r>
      <w:r>
        <w:rPr>
          <w:rFonts w:ascii="宋体" w:hAnsi="宋体"/>
          <w:color w:val="auto"/>
          <w:szCs w:val="21"/>
        </w:rPr>
        <w:t>投标人不良信用记录以</w:t>
      </w:r>
      <w:r>
        <w:rPr>
          <w:rFonts w:hint="eastAsia" w:ascii="宋体" w:hAnsi="宋体"/>
          <w:color w:val="auto"/>
          <w:szCs w:val="21"/>
        </w:rPr>
        <w:t>采购人、采购代理机构</w:t>
      </w:r>
      <w:r>
        <w:rPr>
          <w:rFonts w:ascii="宋体" w:hAnsi="宋体"/>
          <w:color w:val="auto"/>
          <w:szCs w:val="21"/>
        </w:rPr>
        <w:t>查询结果为准</w:t>
      </w:r>
      <w:r>
        <w:rPr>
          <w:rFonts w:hint="eastAsia" w:ascii="宋体" w:hAnsi="宋体"/>
          <w:color w:val="auto"/>
          <w:szCs w:val="21"/>
        </w:rPr>
        <w:t>。</w:t>
      </w:r>
    </w:p>
    <w:p>
      <w:pPr>
        <w:pStyle w:val="6"/>
        <w:adjustRightInd w:val="0"/>
        <w:snapToGrid w:val="0"/>
        <w:spacing w:before="156" w:beforeLines="50" w:after="0" w:line="360" w:lineRule="auto"/>
        <w:rPr>
          <w:rFonts w:ascii="黑体" w:hAnsi="黑体" w:eastAsia="黑体"/>
          <w:color w:val="auto"/>
          <w:sz w:val="24"/>
          <w:szCs w:val="24"/>
        </w:rPr>
      </w:pPr>
      <w:bookmarkStart w:id="44" w:name="_Toc29913909"/>
      <w:bookmarkStart w:id="45" w:name="_Toc4137"/>
      <w:r>
        <w:rPr>
          <w:rFonts w:hint="eastAsia" w:ascii="黑体" w:hAnsi="黑体" w:eastAsia="黑体"/>
          <w:color w:val="auto"/>
          <w:sz w:val="24"/>
          <w:szCs w:val="24"/>
        </w:rPr>
        <w:t>3．资格审查结果</w:t>
      </w:r>
      <w:bookmarkEnd w:id="44"/>
      <w:bookmarkEnd w:id="45"/>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3.1未通过资格审查的投标人，采购人、采购代理机构应当告知其未通过的原因。</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3.2资格审查结束后，采购人、采购代理机构应将资格审查结果告知评标委员会。</w:t>
      </w:r>
    </w:p>
    <w:p>
      <w:pPr>
        <w:adjustRightInd w:val="0"/>
        <w:snapToGrid w:val="0"/>
        <w:spacing w:before="156" w:beforeLines="50" w:line="360" w:lineRule="auto"/>
        <w:ind w:firstLine="420" w:firstLineChars="200"/>
        <w:jc w:val="left"/>
        <w:rPr>
          <w:rFonts w:ascii="华文中宋" w:hAnsi="华文中宋" w:eastAsia="华文中宋"/>
          <w:b/>
          <w:bCs/>
          <w:color w:val="auto"/>
          <w:sz w:val="32"/>
        </w:rPr>
      </w:pPr>
      <w:r>
        <w:rPr>
          <w:rFonts w:ascii="华文中宋" w:hAnsi="华文中宋" w:eastAsia="华文中宋"/>
          <w:color w:val="auto"/>
        </w:rPr>
        <w:br w:type="page"/>
      </w:r>
    </w:p>
    <w:p>
      <w:pPr>
        <w:pStyle w:val="7"/>
        <w:adjustRightInd w:val="0"/>
        <w:snapToGrid w:val="0"/>
        <w:spacing w:before="0" w:after="0" w:line="360" w:lineRule="auto"/>
        <w:rPr>
          <w:rFonts w:asciiTheme="minorEastAsia" w:hAnsiTheme="minorEastAsia" w:eastAsiaTheme="minorEastAsia"/>
          <w:color w:val="auto"/>
          <w:sz w:val="21"/>
          <w:szCs w:val="21"/>
        </w:rPr>
      </w:pPr>
      <w:bookmarkStart w:id="46" w:name="_Toc27135"/>
      <w:bookmarkStart w:id="47" w:name="_Toc20651210"/>
      <w:bookmarkStart w:id="48" w:name="_Toc29913910"/>
      <w:r>
        <w:rPr>
          <w:rFonts w:hint="eastAsia" w:asciiTheme="minorEastAsia" w:hAnsiTheme="minorEastAsia" w:eastAsiaTheme="minorEastAsia"/>
          <w:color w:val="auto"/>
          <w:sz w:val="21"/>
          <w:szCs w:val="21"/>
        </w:rPr>
        <w:t>附表1</w:t>
      </w:r>
      <w:r>
        <w:rPr>
          <w:rFonts w:asciiTheme="minorEastAsia" w:hAnsiTheme="minorEastAsia" w:eastAsiaTheme="minorEastAsia"/>
          <w:color w:val="auto"/>
          <w:sz w:val="21"/>
          <w:szCs w:val="21"/>
        </w:rPr>
        <w:t>资格审查表</w:t>
      </w:r>
      <w:bookmarkEnd w:id="46"/>
      <w:bookmarkEnd w:id="47"/>
    </w:p>
    <w:p>
      <w:pPr>
        <w:adjustRightInd w:val="0"/>
        <w:snapToGrid w:val="0"/>
        <w:spacing w:line="360" w:lineRule="auto"/>
        <w:jc w:val="center"/>
        <w:rPr>
          <w:rFonts w:ascii="黑体" w:hAnsi="黑体" w:eastAsia="黑体"/>
          <w:b/>
          <w:color w:val="auto"/>
          <w:sz w:val="28"/>
          <w:szCs w:val="28"/>
        </w:rPr>
      </w:pPr>
      <w:r>
        <w:rPr>
          <w:rFonts w:ascii="黑体" w:hAnsi="黑体" w:eastAsia="黑体"/>
          <w:b/>
          <w:color w:val="auto"/>
          <w:sz w:val="28"/>
          <w:szCs w:val="28"/>
        </w:rPr>
        <w:t>资格审查表</w:t>
      </w:r>
    </w:p>
    <w:p>
      <w:pPr>
        <w:adjustRightInd w:val="0"/>
        <w:snapToGrid w:val="0"/>
        <w:spacing w:line="360" w:lineRule="auto"/>
        <w:rPr>
          <w:rFonts w:ascii="黑体" w:hAnsi="黑体" w:eastAsia="黑体"/>
          <w:color w:val="auto"/>
          <w:sz w:val="28"/>
          <w:szCs w:val="28"/>
        </w:rPr>
      </w:pP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采购代理编号：</w:t>
      </w:r>
      <w:r>
        <w:rPr>
          <w:rFonts w:hint="eastAsia" w:asciiTheme="minorEastAsia" w:hAnsiTheme="minorEastAsia" w:eastAsiaTheme="minorEastAsia"/>
          <w:color w:val="auto"/>
          <w:szCs w:val="21"/>
          <w:u w:val="single"/>
        </w:rPr>
        <w:t xml:space="preserve">       </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5380"/>
        <w:gridCol w:w="299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序号</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审查项目</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1</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具有独立承担民事责任的能力</w:t>
            </w:r>
          </w:p>
        </w:tc>
        <w:tc>
          <w:tcPr>
            <w:tcW w:w="2997" w:type="dxa"/>
            <w:vAlign w:val="center"/>
          </w:tcPr>
          <w:p>
            <w:pPr>
              <w:widowControl/>
              <w:jc w:val="left"/>
              <w:rPr>
                <w:rFonts w:hint="eastAsia" w:ascii="宋体" w:hAnsi="宋体" w:eastAsia="宋体" w:cs="宋体"/>
                <w:bCs/>
                <w:color w:val="auto"/>
                <w:szCs w:val="21"/>
              </w:rPr>
            </w:pPr>
            <w:r>
              <w:rPr>
                <w:rFonts w:hint="eastAsia" w:ascii="宋体" w:hAnsi="宋体" w:eastAsia="宋体" w:cs="宋体"/>
                <w:bCs/>
                <w:color w:val="auto"/>
                <w:szCs w:val="21"/>
              </w:rPr>
              <w:t>（1）投标人为法人的，应提交营业执照或法人登记证书的复印件；</w:t>
            </w:r>
          </w:p>
          <w:p>
            <w:pPr>
              <w:widowControl/>
              <w:jc w:val="left"/>
              <w:rPr>
                <w:rFonts w:hint="eastAsia" w:ascii="宋体" w:hAnsi="宋体" w:eastAsia="宋体" w:cs="宋体"/>
                <w:bCs/>
                <w:color w:val="auto"/>
                <w:szCs w:val="21"/>
              </w:rPr>
            </w:pPr>
            <w:r>
              <w:rPr>
                <w:rFonts w:hint="eastAsia" w:ascii="宋体" w:hAnsi="宋体" w:eastAsia="宋体" w:cs="宋体"/>
                <w:bCs/>
                <w:color w:val="auto"/>
                <w:szCs w:val="21"/>
              </w:rPr>
              <w:t>（2）投标人为非法人组织的，应提交依法登记证书复印件；</w:t>
            </w:r>
          </w:p>
          <w:p>
            <w:pPr>
              <w:widowControl/>
              <w:jc w:val="left"/>
              <w:rPr>
                <w:rFonts w:hint="eastAsia" w:ascii="宋体" w:hAnsi="宋体" w:eastAsia="宋体" w:cs="宋体"/>
                <w:bCs/>
                <w:color w:val="auto"/>
                <w:szCs w:val="21"/>
              </w:rPr>
            </w:pPr>
            <w:r>
              <w:rPr>
                <w:rFonts w:hint="eastAsia" w:ascii="宋体" w:hAnsi="宋体" w:eastAsia="宋体" w:cs="宋体"/>
                <w:bCs/>
                <w:color w:val="auto"/>
                <w:szCs w:val="21"/>
              </w:rPr>
              <w:t>（3）投标人为个体工商户的，应提交个体工商户营业执照复印件；</w:t>
            </w:r>
          </w:p>
          <w:p>
            <w:pPr>
              <w:widowControl/>
              <w:jc w:val="left"/>
              <w:rPr>
                <w:rFonts w:cs="宋体" w:asciiTheme="minorEastAsia" w:hAnsiTheme="minorEastAsia" w:eastAsiaTheme="minorEastAsia"/>
                <w:color w:val="auto"/>
                <w:kern w:val="0"/>
                <w:szCs w:val="21"/>
              </w:rPr>
            </w:pPr>
            <w:r>
              <w:rPr>
                <w:rFonts w:hint="eastAsia" w:ascii="宋体" w:hAnsi="宋体" w:eastAsia="宋体" w:cs="宋体"/>
                <w:bCs/>
                <w:color w:val="auto"/>
                <w:szCs w:val="21"/>
              </w:rPr>
              <w:t>（4）投标人为自然人的，应提交自然人的身份证明复印件。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2</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具有良好的商业信誉和健全的财务会计制度</w:t>
            </w:r>
          </w:p>
        </w:tc>
        <w:tc>
          <w:tcPr>
            <w:tcW w:w="2997" w:type="dxa"/>
            <w:vAlign w:val="center"/>
          </w:tcPr>
          <w:p>
            <w:pPr>
              <w:widowControl/>
              <w:jc w:val="left"/>
              <w:rPr>
                <w:rFonts w:cs="宋体" w:asciiTheme="minorEastAsia" w:hAnsiTheme="minorEastAsia" w:eastAsiaTheme="minorEastAsia"/>
                <w:color w:val="auto"/>
                <w:kern w:val="0"/>
                <w:szCs w:val="21"/>
              </w:rPr>
            </w:pPr>
            <w:r>
              <w:rPr>
                <w:rFonts w:hint="eastAsia" w:ascii="宋体" w:hAnsi="宋体" w:cs="宋体"/>
                <w:bCs/>
                <w:color w:val="auto"/>
                <w:szCs w:val="21"/>
              </w:rPr>
              <w:t>提供《湖南省政府采购供应商资格承诺函》</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3</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具有履行合同所必需的设备和专业技术能力</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bCs/>
                <w:color w:val="auto"/>
                <w:kern w:val="0"/>
                <w:szCs w:val="21"/>
              </w:rPr>
              <w:t>提供《投标人资格声明》</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4</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有依法缴纳税收和社会保障资金的良好记录</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bCs/>
                <w:color w:val="auto"/>
                <w:szCs w:val="21"/>
              </w:rPr>
              <w:t>提供《湖南省政府采购供应商资格承诺函》</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5</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参加政府采购活动前三年内，在经营活动中没有重大违法记录</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bCs/>
                <w:color w:val="auto"/>
                <w:szCs w:val="21"/>
              </w:rPr>
              <w:t>提供《湖南省政府采购供应商资格承诺函》</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6</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法律、行政法规规定的其他条件</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提供《投标人资格声明》</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7</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bCs/>
                <w:color w:val="auto"/>
                <w:kern w:val="0"/>
                <w:szCs w:val="21"/>
              </w:rPr>
              <w:t>信用记录</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eastAsia="宋体" w:cs="宋体"/>
                <w:bCs/>
                <w:color w:val="auto"/>
                <w:sz w:val="21"/>
                <w:szCs w:val="21"/>
                <w:highlight w:val="none"/>
              </w:rPr>
              <w:t>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kern w:val="0"/>
                <w:szCs w:val="21"/>
              </w:rPr>
              <w:t>8</w:t>
            </w:r>
          </w:p>
        </w:tc>
        <w:tc>
          <w:tcPr>
            <w:tcW w:w="5380"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kern w:val="0"/>
                <w:szCs w:val="21"/>
              </w:rPr>
              <w:t>符合</w:t>
            </w:r>
            <w:r>
              <w:rPr>
                <w:rFonts w:hint="eastAsia" w:ascii="宋体" w:hAnsi="宋体" w:cs="宋体"/>
                <w:color w:val="auto"/>
                <w:szCs w:val="21"/>
              </w:rPr>
              <w:t>招标文件规定的特定资格条件</w:t>
            </w:r>
          </w:p>
        </w:tc>
        <w:tc>
          <w:tcPr>
            <w:tcW w:w="2997" w:type="dxa"/>
            <w:vAlign w:val="center"/>
          </w:tcPr>
          <w:p>
            <w:pPr>
              <w:widowControl/>
              <w:jc w:val="left"/>
              <w:rPr>
                <w:rFonts w:cs="宋体" w:asciiTheme="minorEastAsia" w:hAnsiTheme="minorEastAsia" w:eastAsiaTheme="minorEastAsia"/>
                <w:color w:val="auto"/>
                <w:kern w:val="0"/>
                <w:szCs w:val="21"/>
              </w:rPr>
            </w:pPr>
            <w:r>
              <w:rPr>
                <w:rFonts w:hint="eastAsia" w:ascii="宋体" w:hAnsi="宋体" w:cs="宋体"/>
                <w:color w:val="auto"/>
                <w:kern w:val="0"/>
                <w:szCs w:val="21"/>
                <w:lang w:bidi="ar"/>
              </w:rPr>
              <w:t>按照招标文件要求提供特定资格证明材料的</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kern w:val="0"/>
                <w:szCs w:val="21"/>
              </w:rPr>
              <w:t>9</w:t>
            </w:r>
          </w:p>
        </w:tc>
        <w:tc>
          <w:tcPr>
            <w:tcW w:w="5380"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szCs w:val="21"/>
              </w:rPr>
              <w:t>单位负责人为同一人或者存在直接控股、管理关系的不同投标人，不得参加同一合同项下的政府采购活动</w:t>
            </w:r>
          </w:p>
        </w:tc>
        <w:tc>
          <w:tcPr>
            <w:tcW w:w="2997" w:type="dxa"/>
            <w:vAlign w:val="center"/>
          </w:tcPr>
          <w:p>
            <w:pPr>
              <w:adjustRightInd w:val="0"/>
              <w:snapToGrid w:val="0"/>
              <w:spacing w:before="156" w:beforeLines="50" w:line="360" w:lineRule="auto"/>
              <w:rPr>
                <w:rFonts w:cs="宋体" w:asciiTheme="minorEastAsia" w:hAnsiTheme="minorEastAsia" w:eastAsiaTheme="minorEastAsia"/>
                <w:color w:val="auto"/>
                <w:kern w:val="0"/>
                <w:szCs w:val="21"/>
              </w:rPr>
            </w:pPr>
            <w:r>
              <w:rPr>
                <w:rFonts w:hint="eastAsia" w:ascii="宋体" w:hAnsi="宋体" w:cs="宋体"/>
                <w:color w:val="auto"/>
                <w:kern w:val="0"/>
                <w:szCs w:val="21"/>
              </w:rPr>
              <w:t>提供《投标人资格声明》</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kern w:val="0"/>
                <w:szCs w:val="21"/>
              </w:rPr>
              <w:t>10</w:t>
            </w:r>
          </w:p>
        </w:tc>
        <w:tc>
          <w:tcPr>
            <w:tcW w:w="5380"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szCs w:val="21"/>
              </w:rPr>
              <w:t>为本采购项目提供整体设计、规范编制或者项目管理、监理、检测等服务的，不得再参加此项目的其他招标采购活动</w:t>
            </w:r>
          </w:p>
        </w:tc>
        <w:tc>
          <w:tcPr>
            <w:tcW w:w="2997" w:type="dxa"/>
            <w:vAlign w:val="center"/>
          </w:tcPr>
          <w:p>
            <w:pPr>
              <w:adjustRightInd w:val="0"/>
              <w:snapToGrid w:val="0"/>
              <w:spacing w:before="156" w:beforeLines="50" w:line="360" w:lineRule="auto"/>
              <w:rPr>
                <w:rFonts w:cs="宋体" w:asciiTheme="minorEastAsia" w:hAnsiTheme="minorEastAsia" w:eastAsiaTheme="minorEastAsia"/>
                <w:color w:val="auto"/>
                <w:kern w:val="0"/>
                <w:szCs w:val="21"/>
              </w:rPr>
            </w:pPr>
            <w:r>
              <w:rPr>
                <w:rFonts w:hint="eastAsia" w:ascii="宋体" w:hAnsi="宋体" w:cs="宋体"/>
                <w:color w:val="auto"/>
                <w:kern w:val="0"/>
                <w:szCs w:val="21"/>
              </w:rPr>
              <w:t>提供《投标人资格声明》</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11</w:t>
            </w:r>
          </w:p>
        </w:tc>
        <w:tc>
          <w:tcPr>
            <w:tcW w:w="5380" w:type="dxa"/>
            <w:vAlign w:val="center"/>
          </w:tcPr>
          <w:p>
            <w:pPr>
              <w:adjustRightInd w:val="0"/>
              <w:snapToGrid w:val="0"/>
              <w:spacing w:before="156" w:beforeLines="50" w:line="350" w:lineRule="exact"/>
              <w:jc w:val="center"/>
              <w:rPr>
                <w:rFonts w:asciiTheme="minorEastAsia" w:hAnsiTheme="minorEastAsia" w:eastAsiaTheme="minorEastAsia"/>
                <w:color w:val="auto"/>
                <w:kern w:val="0"/>
                <w:szCs w:val="21"/>
              </w:rPr>
            </w:pPr>
            <w:r>
              <w:rPr>
                <w:rFonts w:hint="eastAsia" w:ascii="宋体" w:hAnsi="宋体" w:cs="宋体"/>
                <w:color w:val="auto"/>
                <w:szCs w:val="21"/>
              </w:rPr>
              <w:t>本次招标不接受联合体投标</w:t>
            </w:r>
          </w:p>
        </w:tc>
        <w:tc>
          <w:tcPr>
            <w:tcW w:w="2997" w:type="dxa"/>
            <w:vAlign w:val="center"/>
          </w:tcPr>
          <w:p>
            <w:pPr>
              <w:adjustRightInd w:val="0"/>
              <w:snapToGrid w:val="0"/>
              <w:spacing w:before="156" w:beforeLines="50" w:line="350" w:lineRule="exact"/>
              <w:rPr>
                <w:rFonts w:cs="宋体" w:asciiTheme="minorEastAsia" w:hAnsiTheme="minorEastAsia" w:eastAsiaTheme="minorEastAsia"/>
                <w:color w:val="auto"/>
                <w:kern w:val="0"/>
                <w:szCs w:val="21"/>
              </w:rPr>
            </w:pPr>
            <w:r>
              <w:rPr>
                <w:rFonts w:hint="eastAsia" w:ascii="宋体" w:hAnsi="宋体" w:cs="宋体"/>
                <w:color w:val="auto"/>
                <w:kern w:val="0"/>
                <w:szCs w:val="21"/>
              </w:rPr>
              <w:t>不是联合体参加投标</w:t>
            </w:r>
            <w:r>
              <w:rPr>
                <w:rFonts w:hint="eastAsia" w:ascii="宋体" w:hAnsi="宋体" w:cs="宋体"/>
                <w:color w:val="auto"/>
                <w:kern w:val="0"/>
                <w:szCs w:val="21"/>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rFonts w:hint="eastAsia" w:ascii="宋体" w:hAnsi="宋体" w:cs="宋体"/>
                <w:color w:val="auto"/>
                <w:kern w:val="0"/>
                <w:szCs w:val="21"/>
              </w:rPr>
              <w:t>12</w:t>
            </w:r>
          </w:p>
        </w:tc>
        <w:tc>
          <w:tcPr>
            <w:tcW w:w="5380" w:type="dxa"/>
            <w:vAlign w:val="center"/>
          </w:tcPr>
          <w:p>
            <w:pPr>
              <w:adjustRightInd w:val="0"/>
              <w:snapToGrid w:val="0"/>
              <w:spacing w:before="156" w:beforeLines="50" w:line="360" w:lineRule="auto"/>
              <w:jc w:val="center"/>
              <w:rPr>
                <w:rFonts w:asciiTheme="minorEastAsia" w:hAnsiTheme="minorEastAsia" w:eastAsiaTheme="minorEastAsia"/>
                <w:color w:val="auto"/>
                <w:kern w:val="0"/>
                <w:sz w:val="20"/>
                <w:szCs w:val="21"/>
              </w:rPr>
            </w:pPr>
            <w:r>
              <w:rPr>
                <w:rFonts w:hint="eastAsia" w:ascii="宋体" w:hAnsi="宋体" w:cs="宋体"/>
                <w:bCs/>
                <w:color w:val="auto"/>
                <w:kern w:val="0"/>
                <w:szCs w:val="21"/>
              </w:rPr>
              <w:t>法定代表人身份证明或授权人身份证明</w:t>
            </w:r>
          </w:p>
        </w:tc>
        <w:tc>
          <w:tcPr>
            <w:tcW w:w="2997" w:type="dxa"/>
            <w:vAlign w:val="center"/>
          </w:tcPr>
          <w:p>
            <w:pPr>
              <w:widowControl/>
              <w:jc w:val="left"/>
              <w:rPr>
                <w:rFonts w:cs="宋体" w:asciiTheme="minorEastAsia" w:hAnsiTheme="minorEastAsia" w:eastAsiaTheme="minorEastAsia"/>
                <w:color w:val="auto"/>
                <w:kern w:val="0"/>
                <w:sz w:val="20"/>
                <w:szCs w:val="21"/>
              </w:rPr>
            </w:pPr>
            <w:r>
              <w:rPr>
                <w:rFonts w:hint="eastAsia" w:ascii="宋体" w:hAnsi="宋体" w:cs="宋体"/>
                <w:bCs/>
                <w:color w:val="auto"/>
                <w:kern w:val="0"/>
                <w:szCs w:val="21"/>
              </w:rPr>
              <w:t>投标人代表可为投标人法定代表人，应提供法定代表人身份证明；投标人代表不是投标人的法定代表人的，应提供法定代表人授权委托书及法定代表人 身份证明。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rFonts w:hint="eastAsia" w:ascii="宋体" w:hAnsi="宋体" w:cs="宋体"/>
                <w:color w:val="auto"/>
                <w:kern w:val="0"/>
                <w:szCs w:val="21"/>
              </w:rPr>
              <w:t>13</w:t>
            </w:r>
          </w:p>
        </w:tc>
        <w:tc>
          <w:tcPr>
            <w:tcW w:w="5380" w:type="dxa"/>
            <w:vAlign w:val="center"/>
          </w:tcPr>
          <w:p>
            <w:pPr>
              <w:adjustRightInd w:val="0"/>
              <w:snapToGrid w:val="0"/>
              <w:spacing w:before="156" w:beforeLines="50" w:line="360" w:lineRule="auto"/>
              <w:jc w:val="center"/>
              <w:rPr>
                <w:rFonts w:asciiTheme="minorEastAsia" w:hAnsiTheme="minorEastAsia" w:eastAsiaTheme="minorEastAsia"/>
                <w:color w:val="auto"/>
                <w:kern w:val="0"/>
                <w:sz w:val="20"/>
                <w:szCs w:val="21"/>
              </w:rPr>
            </w:pPr>
            <w:r>
              <w:rPr>
                <w:rFonts w:hint="eastAsia" w:ascii="宋体" w:hAnsi="宋体" w:cs="宋体"/>
                <w:color w:val="auto"/>
                <w:spacing w:val="9"/>
                <w:szCs w:val="21"/>
              </w:rPr>
              <w:t>投标报价</w:t>
            </w:r>
          </w:p>
        </w:tc>
        <w:tc>
          <w:tcPr>
            <w:tcW w:w="2997" w:type="dxa"/>
            <w:vAlign w:val="center"/>
          </w:tcPr>
          <w:p>
            <w:pPr>
              <w:widowControl/>
              <w:jc w:val="left"/>
              <w:rPr>
                <w:rFonts w:cs="宋体" w:asciiTheme="minorEastAsia" w:hAnsiTheme="minorEastAsia" w:eastAsiaTheme="minorEastAsia"/>
                <w:color w:val="auto"/>
                <w:kern w:val="0"/>
                <w:sz w:val="20"/>
                <w:szCs w:val="21"/>
              </w:rPr>
            </w:pPr>
            <w:r>
              <w:rPr>
                <w:rFonts w:hint="eastAsia" w:ascii="宋体" w:hAnsi="宋体" w:cs="宋体"/>
                <w:color w:val="auto"/>
                <w:spacing w:val="9"/>
                <w:szCs w:val="21"/>
              </w:rPr>
              <w:t>报价未超过招标文件中规定的预算金额或者最高限价，且响应招标文件要求的</w:t>
            </w:r>
            <w:r>
              <w:rPr>
                <w:rFonts w:hint="eastAsia" w:ascii="宋体" w:hAnsi="宋体" w:cs="宋体"/>
                <w:color w:val="auto"/>
                <w:spacing w:val="9"/>
                <w:szCs w:val="21"/>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rFonts w:hint="eastAsia" w:ascii="宋体" w:hAnsi="宋体" w:cs="宋体"/>
                <w:color w:val="auto"/>
                <w:kern w:val="0"/>
                <w:szCs w:val="21"/>
              </w:rPr>
              <w:t>14</w:t>
            </w:r>
          </w:p>
        </w:tc>
        <w:tc>
          <w:tcPr>
            <w:tcW w:w="5380" w:type="dxa"/>
            <w:vAlign w:val="center"/>
          </w:tcPr>
          <w:p>
            <w:pPr>
              <w:pStyle w:val="114"/>
              <w:spacing w:before="180" w:line="227" w:lineRule="auto"/>
              <w:jc w:val="center"/>
              <w:rPr>
                <w:rFonts w:asciiTheme="minorEastAsia" w:hAnsiTheme="minorEastAsia" w:eastAsiaTheme="minorEastAsia"/>
                <w:color w:val="auto"/>
                <w:kern w:val="0"/>
                <w:sz w:val="20"/>
                <w:szCs w:val="21"/>
              </w:rPr>
            </w:pPr>
            <w:r>
              <w:rPr>
                <w:rFonts w:hint="eastAsia"/>
                <w:bCs/>
                <w:color w:val="auto"/>
                <w:kern w:val="0"/>
                <w:sz w:val="21"/>
                <w:szCs w:val="21"/>
                <w:lang w:eastAsia="zh-CN"/>
              </w:rPr>
              <w:t>资格证明文件的签署、盖章</w:t>
            </w:r>
          </w:p>
        </w:tc>
        <w:tc>
          <w:tcPr>
            <w:tcW w:w="2997" w:type="dxa"/>
            <w:vAlign w:val="top"/>
          </w:tcPr>
          <w:p>
            <w:pPr>
              <w:pStyle w:val="114"/>
              <w:spacing w:before="180" w:line="227" w:lineRule="auto"/>
              <w:jc w:val="left"/>
              <w:rPr>
                <w:rFonts w:cs="宋体" w:asciiTheme="minorEastAsia" w:hAnsiTheme="minorEastAsia" w:eastAsiaTheme="minorEastAsia"/>
                <w:color w:val="auto"/>
                <w:kern w:val="0"/>
                <w:sz w:val="20"/>
                <w:szCs w:val="21"/>
              </w:rPr>
            </w:pPr>
            <w:r>
              <w:rPr>
                <w:rFonts w:hint="eastAsia"/>
                <w:bCs/>
                <w:color w:val="auto"/>
                <w:kern w:val="0"/>
                <w:sz w:val="21"/>
                <w:szCs w:val="21"/>
                <w:lang w:eastAsia="zh-CN"/>
              </w:rPr>
              <w:t>投标人资格证明文件</w:t>
            </w:r>
            <w:r>
              <w:rPr>
                <w:rFonts w:hint="eastAsia"/>
                <w:color w:val="auto"/>
                <w:spacing w:val="9"/>
                <w:sz w:val="21"/>
                <w:szCs w:val="21"/>
                <w:lang w:eastAsia="zh-CN"/>
              </w:rPr>
              <w:t>的签署、盖章符合招标文件要求。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rFonts w:hint="eastAsia" w:asciiTheme="minorEastAsia" w:hAnsiTheme="minorEastAsia" w:eastAsiaTheme="minorEastAsia"/>
                <w:color w:val="auto"/>
                <w:kern w:val="0"/>
                <w:sz w:val="20"/>
                <w:szCs w:val="21"/>
              </w:rPr>
              <w:t>结论</w:t>
            </w:r>
          </w:p>
        </w:tc>
        <w:tc>
          <w:tcPr>
            <w:tcW w:w="8377" w:type="dxa"/>
            <w:gridSpan w:val="2"/>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p>
        </w:tc>
      </w:tr>
    </w:tbl>
    <w:p>
      <w:pPr>
        <w:rPr>
          <w:color w:val="auto"/>
        </w:rPr>
      </w:pPr>
    </w:p>
    <w:p>
      <w:pPr>
        <w:widowControl/>
        <w:jc w:val="left"/>
        <w:rPr>
          <w:rFonts w:ascii="黑体" w:hAnsi="黑体" w:eastAsia="黑体"/>
          <w:bCs/>
          <w:color w:val="auto"/>
          <w:szCs w:val="21"/>
        </w:rPr>
      </w:pPr>
      <w:r>
        <w:rPr>
          <w:rFonts w:ascii="黑体" w:hAnsi="黑体"/>
          <w:b/>
          <w:color w:val="auto"/>
          <w:szCs w:val="21"/>
        </w:rPr>
        <w:br w:type="page"/>
      </w:r>
    </w:p>
    <w:p>
      <w:pPr>
        <w:pStyle w:val="7"/>
        <w:adjustRightInd w:val="0"/>
        <w:snapToGrid w:val="0"/>
        <w:spacing w:before="0" w:after="0" w:line="360" w:lineRule="auto"/>
        <w:rPr>
          <w:rFonts w:ascii="黑体" w:hAnsi="黑体"/>
          <w:b w:val="0"/>
          <w:color w:val="auto"/>
          <w:sz w:val="21"/>
          <w:szCs w:val="21"/>
        </w:rPr>
      </w:pPr>
      <w:bookmarkStart w:id="49" w:name="_Toc22991"/>
      <w:bookmarkStart w:id="50" w:name="_Toc20651211"/>
      <w:r>
        <w:rPr>
          <w:rFonts w:hint="eastAsia" w:ascii="黑体" w:hAnsi="黑体"/>
          <w:b w:val="0"/>
          <w:color w:val="auto"/>
          <w:sz w:val="21"/>
          <w:szCs w:val="21"/>
        </w:rPr>
        <w:t>附表2 资格审查结果一览表</w:t>
      </w:r>
      <w:bookmarkEnd w:id="49"/>
      <w:bookmarkEnd w:id="50"/>
    </w:p>
    <w:p>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资格审查结果一览表</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采购代理编号：</w:t>
      </w:r>
      <w:r>
        <w:rPr>
          <w:rFonts w:hint="eastAsia" w:asciiTheme="minorEastAsia" w:hAnsiTheme="minorEastAsia" w:eastAsiaTheme="minorEastAsia"/>
          <w:color w:val="auto"/>
          <w:szCs w:val="21"/>
          <w:u w:val="single"/>
        </w:rPr>
        <w:t xml:space="preserve">         </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697"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序号</w:t>
            </w:r>
          </w:p>
        </w:tc>
        <w:tc>
          <w:tcPr>
            <w:tcW w:w="2963"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投标人名称</w:t>
            </w:r>
          </w:p>
        </w:tc>
        <w:tc>
          <w:tcPr>
            <w:tcW w:w="2439"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资格审查结果</w:t>
            </w:r>
          </w:p>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（合格/不合格）</w:t>
            </w:r>
          </w:p>
        </w:tc>
        <w:tc>
          <w:tcPr>
            <w:tcW w:w="2961"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资格审查不合格原因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bl>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采购人（签字）：</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采购代理机构（签字）：</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w:t>
      </w:r>
    </w:p>
    <w:p>
      <w:pPr>
        <w:widowControl/>
        <w:jc w:val="left"/>
        <w:rPr>
          <w:rFonts w:asciiTheme="minorEastAsia" w:hAnsiTheme="minorEastAsia" w:eastAsiaTheme="minorEastAsia"/>
          <w:color w:val="auto"/>
          <w:sz w:val="24"/>
        </w:rPr>
      </w:pPr>
      <w:r>
        <w:rPr>
          <w:rFonts w:asciiTheme="minorEastAsia" w:hAnsiTheme="minorEastAsia" w:eastAsiaTheme="minorEastAsia"/>
          <w:color w:val="auto"/>
          <w:sz w:val="24"/>
        </w:rPr>
        <w:br w:type="page"/>
      </w:r>
    </w:p>
    <w:p>
      <w:pPr>
        <w:pStyle w:val="7"/>
        <w:adjustRightInd w:val="0"/>
        <w:snapToGrid w:val="0"/>
        <w:spacing w:before="0" w:after="0" w:line="360" w:lineRule="auto"/>
        <w:rPr>
          <w:rFonts w:ascii="黑体" w:hAnsi="黑体"/>
          <w:b w:val="0"/>
          <w:color w:val="auto"/>
          <w:sz w:val="21"/>
          <w:szCs w:val="21"/>
        </w:rPr>
      </w:pPr>
      <w:bookmarkStart w:id="51" w:name="_Toc7125"/>
      <w:bookmarkStart w:id="52" w:name="_Toc20651212"/>
      <w:r>
        <w:rPr>
          <w:rFonts w:hint="eastAsia" w:ascii="黑体" w:hAnsi="黑体"/>
          <w:b w:val="0"/>
          <w:color w:val="auto"/>
          <w:sz w:val="21"/>
          <w:szCs w:val="21"/>
        </w:rPr>
        <w:t>附表3 资格审查合格投标人名单</w:t>
      </w:r>
      <w:bookmarkEnd w:id="51"/>
      <w:bookmarkEnd w:id="52"/>
    </w:p>
    <w:p>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资格审查合格投标人名单</w:t>
      </w:r>
    </w:p>
    <w:p>
      <w:pPr>
        <w:adjustRightInd w:val="0"/>
        <w:snapToGrid w:val="0"/>
        <w:spacing w:line="360" w:lineRule="auto"/>
        <w:rPr>
          <w:rFonts w:ascii="华文中宋" w:hAnsi="华文中宋" w:eastAsia="华文中宋"/>
          <w:color w:val="auto"/>
          <w:sz w:val="32"/>
          <w:szCs w:val="32"/>
        </w:rPr>
      </w:pP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采购代理编号：</w:t>
      </w:r>
      <w:r>
        <w:rPr>
          <w:rFonts w:hint="eastAsia" w:asciiTheme="minorEastAsia" w:hAnsiTheme="minorEastAsia" w:eastAsiaTheme="minorEastAsia"/>
          <w:color w:val="auto"/>
          <w:szCs w:val="21"/>
          <w:u w:val="single"/>
        </w:rPr>
        <w:t xml:space="preserve">           </w:t>
      </w:r>
    </w:p>
    <w:tbl>
      <w:tblPr>
        <w:tblStyle w:val="44"/>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pPr>
              <w:jc w:val="center"/>
              <w:rPr>
                <w:b/>
                <w:color w:val="auto"/>
                <w:kern w:val="0"/>
                <w:szCs w:val="21"/>
              </w:rPr>
            </w:pPr>
            <w:r>
              <w:rPr>
                <w:rFonts w:hint="eastAsia"/>
                <w:b/>
                <w:color w:val="auto"/>
                <w:kern w:val="0"/>
                <w:szCs w:val="21"/>
              </w:rPr>
              <w:t>序号</w:t>
            </w:r>
          </w:p>
        </w:tc>
        <w:tc>
          <w:tcPr>
            <w:tcW w:w="7796" w:type="dxa"/>
            <w:vAlign w:val="center"/>
          </w:tcPr>
          <w:p>
            <w:pPr>
              <w:jc w:val="center"/>
              <w:rPr>
                <w:b/>
                <w:color w:val="auto"/>
                <w:kern w:val="0"/>
                <w:szCs w:val="21"/>
              </w:rPr>
            </w:pPr>
            <w:r>
              <w:rPr>
                <w:rFonts w:hint="eastAsia"/>
                <w:b/>
                <w:color w:val="auto"/>
                <w:kern w:val="0"/>
                <w:szCs w:val="21"/>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Cs w:val="21"/>
              </w:rPr>
            </w:pPr>
          </w:p>
        </w:tc>
        <w:tc>
          <w:tcPr>
            <w:tcW w:w="7796" w:type="dxa"/>
          </w:tcPr>
          <w:p>
            <w:pPr>
              <w:adjustRightInd w:val="0"/>
              <w:snapToGrid w:val="0"/>
              <w:spacing w:line="360" w:lineRule="auto"/>
              <w:rPr>
                <w:rFonts w:asciiTheme="minorEastAsia" w:hAnsiTheme="minorEastAsia" w:eastAsiaTheme="minorEastAsia"/>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bl>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采购人（签字）：</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采购代理机构（签字）：</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rPr>
          <w:color w:val="auto"/>
        </w:rPr>
      </w:pPr>
      <w:r>
        <w:rPr>
          <w:rFonts w:hint="eastAsia"/>
          <w:color w:val="auto"/>
        </w:rPr>
        <w:t>日期：       年   月   日</w:t>
      </w:r>
    </w:p>
    <w:p>
      <w:pPr>
        <w:pStyle w:val="24"/>
        <w:adjustRightInd w:val="0"/>
        <w:snapToGrid w:val="0"/>
        <w:spacing w:line="360" w:lineRule="auto"/>
        <w:jc w:val="center"/>
        <w:outlineLvl w:val="0"/>
        <w:rPr>
          <w:rFonts w:ascii="黑体" w:hAnsi="华文中宋" w:eastAsia="黑体"/>
          <w:b/>
          <w:color w:val="auto"/>
          <w:sz w:val="28"/>
          <w:szCs w:val="28"/>
        </w:rPr>
      </w:pPr>
      <w:r>
        <w:rPr>
          <w:rFonts w:hAnsi="宋体"/>
          <w:color w:val="auto"/>
        </w:rPr>
        <w:br w:type="page"/>
      </w:r>
      <w:bookmarkEnd w:id="48"/>
      <w:bookmarkStart w:id="53" w:name="_Toc29913926"/>
      <w:bookmarkStart w:id="54" w:name="_Toc17683"/>
      <w:r>
        <w:rPr>
          <w:rFonts w:hint="eastAsia" w:ascii="黑体" w:hAnsi="华文中宋" w:eastAsia="黑体"/>
          <w:b/>
          <w:color w:val="auto"/>
          <w:sz w:val="32"/>
          <w:szCs w:val="32"/>
        </w:rPr>
        <w:t>第四章 评标方法及标准（最低价法）</w:t>
      </w:r>
      <w:bookmarkEnd w:id="53"/>
      <w:bookmarkEnd w:id="54"/>
    </w:p>
    <w:p>
      <w:pPr>
        <w:keepNext/>
        <w:keepLines/>
        <w:adjustRightInd w:val="0"/>
        <w:snapToGrid w:val="0"/>
        <w:spacing w:line="360" w:lineRule="auto"/>
        <w:jc w:val="center"/>
        <w:outlineLvl w:val="1"/>
        <w:rPr>
          <w:rFonts w:ascii="黑体" w:hAnsi="华文中宋" w:eastAsia="黑体"/>
          <w:b/>
          <w:bCs/>
          <w:color w:val="auto"/>
          <w:sz w:val="28"/>
          <w:szCs w:val="28"/>
        </w:rPr>
      </w:pPr>
      <w:bookmarkStart w:id="55" w:name="_Toc20568"/>
      <w:bookmarkStart w:id="56" w:name="_Toc29913927"/>
      <w:r>
        <w:rPr>
          <w:rFonts w:hint="eastAsia" w:ascii="黑体" w:hAnsi="华文中宋" w:eastAsia="黑体"/>
          <w:b/>
          <w:bCs/>
          <w:color w:val="auto"/>
          <w:sz w:val="28"/>
          <w:szCs w:val="28"/>
        </w:rPr>
        <w:t>第一节 评标方法及标准前附表</w:t>
      </w:r>
      <w:bookmarkEnd w:id="55"/>
      <w:bookmarkEnd w:id="56"/>
    </w:p>
    <w:tbl>
      <w:tblPr>
        <w:tblStyle w:val="43"/>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0"/>
        <w:gridCol w:w="709"/>
        <w:gridCol w:w="1562"/>
        <w:gridCol w:w="481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double" w:color="auto" w:sz="4" w:space="0"/>
              <w:bottom w:val="single" w:color="auto" w:sz="6" w:space="0"/>
            </w:tcBorders>
          </w:tcPr>
          <w:p>
            <w:pPr>
              <w:adjustRightInd w:val="0"/>
              <w:snapToGrid w:val="0"/>
              <w:spacing w:before="156" w:beforeLines="50" w:line="360" w:lineRule="auto"/>
              <w:jc w:val="center"/>
              <w:rPr>
                <w:b/>
                <w:color w:val="auto"/>
              </w:rPr>
            </w:pPr>
            <w:r>
              <w:rPr>
                <w:rFonts w:hint="eastAsia"/>
                <w:b/>
                <w:color w:val="auto"/>
              </w:rPr>
              <w:t>条款号</w:t>
            </w:r>
          </w:p>
        </w:tc>
        <w:tc>
          <w:tcPr>
            <w:tcW w:w="2271" w:type="dxa"/>
            <w:gridSpan w:val="2"/>
            <w:tcBorders>
              <w:top w:val="double" w:color="auto" w:sz="4" w:space="0"/>
              <w:bottom w:val="single" w:color="auto" w:sz="6" w:space="0"/>
            </w:tcBorders>
          </w:tcPr>
          <w:p>
            <w:pPr>
              <w:adjustRightInd w:val="0"/>
              <w:snapToGrid w:val="0"/>
              <w:spacing w:before="156" w:beforeLines="50" w:line="360" w:lineRule="auto"/>
              <w:jc w:val="center"/>
              <w:rPr>
                <w:b/>
                <w:color w:val="auto"/>
              </w:rPr>
            </w:pPr>
            <w:r>
              <w:rPr>
                <w:rFonts w:hint="eastAsia"/>
                <w:b/>
                <w:color w:val="auto"/>
              </w:rPr>
              <w:t>条款名称</w:t>
            </w:r>
          </w:p>
        </w:tc>
        <w:tc>
          <w:tcPr>
            <w:tcW w:w="4818" w:type="dxa"/>
            <w:tcBorders>
              <w:top w:val="double" w:color="auto" w:sz="4" w:space="0"/>
              <w:bottom w:val="single" w:color="auto" w:sz="6" w:space="0"/>
            </w:tcBorders>
          </w:tcPr>
          <w:p>
            <w:pPr>
              <w:adjustRightInd w:val="0"/>
              <w:snapToGrid w:val="0"/>
              <w:spacing w:before="156" w:beforeLines="50" w:line="360" w:lineRule="auto"/>
              <w:jc w:val="center"/>
              <w:rPr>
                <w:b/>
                <w:color w:val="auto"/>
              </w:rPr>
            </w:pPr>
            <w:r>
              <w:rPr>
                <w:rFonts w:hint="eastAsia"/>
                <w:b/>
                <w:color w:val="auto"/>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w:t>
            </w:r>
            <w:r>
              <w:rPr>
                <w:rFonts w:hint="eastAsia" w:asciiTheme="minorEastAsia" w:hAnsiTheme="minorEastAsia" w:eastAsiaTheme="minorEastAsia"/>
                <w:color w:val="auto"/>
                <w:szCs w:val="21"/>
                <w:lang w:val="en-US" w:eastAsia="zh-CN"/>
              </w:rPr>
              <w:t>2</w:t>
            </w:r>
            <w:r>
              <w:rPr>
                <w:rFonts w:hint="eastAsia" w:cs="宋体" w:asciiTheme="minorEastAsia" w:hAnsiTheme="minorEastAsia" w:eastAsiaTheme="minorEastAsia"/>
                <w:color w:val="auto"/>
                <w:kern w:val="0"/>
                <w:szCs w:val="21"/>
                <w:lang w:val="zh-CN"/>
              </w:rPr>
              <w:t>款</w:t>
            </w:r>
          </w:p>
        </w:tc>
        <w:tc>
          <w:tcPr>
            <w:tcW w:w="2271" w:type="dxa"/>
            <w:gridSpan w:val="2"/>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评标方法</w:t>
            </w:r>
          </w:p>
        </w:tc>
        <w:tc>
          <w:tcPr>
            <w:tcW w:w="4818" w:type="dxa"/>
            <w:tcBorders>
              <w:top w:val="single" w:color="auto" w:sz="6" w:space="0"/>
              <w:bottom w:val="single" w:color="auto" w:sz="6" w:space="0"/>
            </w:tcBorders>
            <w:vAlign w:val="center"/>
          </w:tcPr>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最低价法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第3.4</w:t>
            </w:r>
            <w:r>
              <w:rPr>
                <w:rFonts w:hint="eastAsia" w:cs="宋体" w:asciiTheme="minorEastAsia" w:hAnsiTheme="minorEastAsia" w:eastAsiaTheme="minorEastAsia"/>
                <w:color w:val="auto"/>
                <w:kern w:val="0"/>
                <w:szCs w:val="21"/>
                <w:lang w:val="zh-CN"/>
              </w:rPr>
              <w:t>款</w:t>
            </w:r>
          </w:p>
        </w:tc>
        <w:tc>
          <w:tcPr>
            <w:tcW w:w="2271" w:type="dxa"/>
            <w:gridSpan w:val="2"/>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非单一产品采购项目的核心产品</w:t>
            </w:r>
          </w:p>
        </w:tc>
        <w:tc>
          <w:tcPr>
            <w:tcW w:w="4818" w:type="dxa"/>
            <w:tcBorders>
              <w:top w:val="single" w:color="auto" w:sz="6" w:space="0"/>
              <w:bottom w:val="single" w:color="auto" w:sz="6" w:space="0"/>
            </w:tcBorders>
            <w:vAlign w:val="center"/>
          </w:tcPr>
          <w:p>
            <w:pPr>
              <w:adjustRightInd w:val="0"/>
              <w:snapToGrid w:val="0"/>
              <w:spacing w:line="360" w:lineRule="auto"/>
              <w:rPr>
                <w:rFonts w:asciiTheme="minorEastAsia" w:hAnsiTheme="minorEastAsia" w:eastAsiaTheme="minorEastAsia"/>
                <w:color w:val="auto"/>
                <w:szCs w:val="21"/>
                <w:u w:val="single"/>
              </w:rPr>
            </w:pPr>
            <w:r>
              <w:rPr>
                <w:rFonts w:hint="eastAsia" w:ascii="宋体" w:hAnsi="宋体"/>
                <w:color w:val="auto"/>
              </w:rPr>
              <w:t>核心产品为：</w:t>
            </w:r>
            <w:r>
              <w:rPr>
                <w:rFonts w:hint="eastAsia" w:ascii="宋体" w:hAnsi="宋体"/>
                <w:color w:val="auto"/>
                <w:u w:val="single"/>
                <w:lang w:val="en-US" w:eastAsia="zh-CN"/>
              </w:rPr>
              <w:t xml:space="preserve">  </w:t>
            </w:r>
            <w:r>
              <w:rPr>
                <w:rFonts w:hint="eastAsia" w:ascii="宋体" w:hAnsi="宋体"/>
                <w:color w:val="auto"/>
                <w:szCs w:val="21"/>
                <w:u w:val="single"/>
                <w:lang w:eastAsia="zh-CN"/>
              </w:rPr>
              <w:t>课桌</w:t>
            </w:r>
            <w:r>
              <w:rPr>
                <w:rFonts w:hint="eastAsia" w:ascii="宋体" w:hAnsi="宋体"/>
                <w:color w:val="auto"/>
                <w:szCs w:val="21"/>
                <w:u w:val="single"/>
                <w:lang w:val="en-US" w:eastAsia="zh-CN"/>
              </w:rPr>
              <w:t xml:space="preserve">  </w:t>
            </w:r>
            <w:r>
              <w:rPr>
                <w:rFonts w:hint="eastAsia" w:ascii="宋体" w:hAnsi="宋体"/>
                <w:color w:val="auto"/>
              </w:rPr>
              <w:t>。</w:t>
            </w:r>
            <w:r>
              <w:rPr>
                <w:rFonts w:hint="eastAsia" w:ascii="宋体" w:hAnsi="宋体" w:cs="宋体"/>
                <w:color w:val="auto"/>
                <w:kern w:val="0"/>
              </w:rPr>
              <w:t>（</w:t>
            </w:r>
            <w:r>
              <w:rPr>
                <w:rFonts w:hint="eastAsia" w:ascii="宋体" w:hAnsi="宋体" w:cs="宋体"/>
                <w:i/>
                <w:color w:val="auto"/>
                <w:kern w:val="0"/>
              </w:rPr>
              <w:t>提示：根据采购项目技术构成、产品价格比重等合理确定具体产品为核心产品</w:t>
            </w:r>
            <w:r>
              <w:rPr>
                <w:rFonts w:hint="eastAsia" w:ascii="宋体" w:hAnsi="宋体" w:cs="宋体"/>
                <w:color w:val="auto"/>
                <w:kern w:val="0"/>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第4.2</w:t>
            </w:r>
            <w:r>
              <w:rPr>
                <w:rFonts w:hint="eastAsia" w:cs="宋体" w:asciiTheme="minorEastAsia" w:hAnsiTheme="minorEastAsia" w:eastAsiaTheme="minorEastAsia"/>
                <w:color w:val="auto"/>
                <w:kern w:val="0"/>
                <w:szCs w:val="21"/>
                <w:lang w:val="zh-CN"/>
              </w:rPr>
              <w:t>款</w:t>
            </w:r>
          </w:p>
        </w:tc>
        <w:tc>
          <w:tcPr>
            <w:tcW w:w="2271" w:type="dxa"/>
            <w:gridSpan w:val="2"/>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投标文件报价出现前后不一致的修正</w:t>
            </w:r>
          </w:p>
        </w:tc>
        <w:tc>
          <w:tcPr>
            <w:tcW w:w="4818" w:type="dxa"/>
            <w:tcBorders>
              <w:top w:val="single" w:color="auto" w:sz="6" w:space="0"/>
              <w:bottom w:val="single" w:color="auto" w:sz="6" w:space="0"/>
            </w:tcBorders>
            <w:vAlign w:val="center"/>
          </w:tcPr>
          <w:p>
            <w:pPr>
              <w:adjustRightInd w:val="0"/>
              <w:snapToGrid w:val="0"/>
              <w:spacing w:line="360" w:lineRule="auto"/>
              <w:contextualSpacing/>
              <w:rPr>
                <w:color w:val="auto"/>
                <w:highlight w:val="none"/>
              </w:rPr>
            </w:pPr>
            <w:r>
              <w:rPr>
                <w:color w:val="auto"/>
                <w:highlight w:val="none"/>
              </w:rPr>
              <w:t>1、投标文件中开标一览表内容与投标文件中相应内容不一致的，以开标一览表为准；</w:t>
            </w:r>
          </w:p>
          <w:p>
            <w:pPr>
              <w:adjustRightInd w:val="0"/>
              <w:snapToGrid w:val="0"/>
              <w:spacing w:line="360" w:lineRule="auto"/>
              <w:contextualSpacing/>
              <w:rPr>
                <w:color w:val="auto"/>
                <w:highlight w:val="none"/>
              </w:rPr>
            </w:pPr>
            <w:r>
              <w:rPr>
                <w:color w:val="auto"/>
                <w:highlight w:val="none"/>
              </w:rPr>
              <w:t>2、大写金额和小写金额不一致的，以大写金额为准；</w:t>
            </w:r>
          </w:p>
          <w:p>
            <w:pPr>
              <w:adjustRightInd w:val="0"/>
              <w:snapToGrid w:val="0"/>
              <w:spacing w:line="360" w:lineRule="auto"/>
              <w:contextualSpacing/>
              <w:rPr>
                <w:color w:val="auto"/>
                <w:highlight w:val="none"/>
              </w:rPr>
            </w:pPr>
            <w:r>
              <w:rPr>
                <w:color w:val="auto"/>
                <w:highlight w:val="none"/>
              </w:rPr>
              <w:t>3、单价金额小数点或者百分比有明显错位的，以开标一览表的总价为准，并修改单价；</w:t>
            </w:r>
          </w:p>
          <w:p>
            <w:pPr>
              <w:adjustRightInd w:val="0"/>
              <w:snapToGrid w:val="0"/>
              <w:spacing w:line="360" w:lineRule="auto"/>
              <w:contextualSpacing/>
              <w:rPr>
                <w:color w:val="auto"/>
                <w:highlight w:val="none"/>
              </w:rPr>
            </w:pPr>
            <w:r>
              <w:rPr>
                <w:color w:val="auto"/>
                <w:highlight w:val="none"/>
              </w:rPr>
              <w:t>4、总价金额与按单价汇总金额不一致的，以单价金额计算结果为准；</w:t>
            </w:r>
          </w:p>
          <w:p>
            <w:pPr>
              <w:adjustRightInd w:val="0"/>
              <w:snapToGrid w:val="0"/>
              <w:spacing w:line="420" w:lineRule="exact"/>
              <w:rPr>
                <w:color w:val="auto"/>
                <w:szCs w:val="21"/>
                <w:u w:val="single"/>
              </w:rPr>
            </w:pPr>
            <w:r>
              <w:rPr>
                <w:color w:val="auto"/>
                <w:highlight w:val="none"/>
              </w:rPr>
              <w:t>5、投标文件报价同时出现两种以上不一致的，按照前款规定的顺序修正。修正后的报价由投标人代表签字或者加盖单位章确认后产生约束力，投标人不确认的，其投标无效。</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第5.2</w:t>
            </w:r>
            <w:r>
              <w:rPr>
                <w:rFonts w:hint="eastAsia" w:cs="宋体" w:asciiTheme="minorEastAsia" w:hAnsiTheme="minorEastAsia" w:eastAsiaTheme="minorEastAsia"/>
                <w:color w:val="auto"/>
                <w:kern w:val="0"/>
                <w:szCs w:val="21"/>
                <w:lang w:val="zh-CN"/>
              </w:rPr>
              <w:t>项</w:t>
            </w:r>
          </w:p>
        </w:tc>
        <w:tc>
          <w:tcPr>
            <w:tcW w:w="2271" w:type="dxa"/>
            <w:gridSpan w:val="2"/>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相同品牌产品评审得分相同的规定</w:t>
            </w:r>
          </w:p>
        </w:tc>
        <w:tc>
          <w:tcPr>
            <w:tcW w:w="4818" w:type="dxa"/>
            <w:tcBorders>
              <w:top w:val="single" w:color="auto" w:sz="6" w:space="0"/>
              <w:bottom w:val="single" w:color="auto" w:sz="6" w:space="0"/>
            </w:tcBorders>
            <w:vAlign w:val="center"/>
          </w:tcPr>
          <w:p>
            <w:pPr>
              <w:adjustRightInd w:val="0"/>
              <w:snapToGrid w:val="0"/>
              <w:spacing w:line="360" w:lineRule="auto"/>
              <w:rPr>
                <w:rFonts w:ascii="宋体" w:hAnsi="宋体"/>
                <w:color w:val="auto"/>
                <w:szCs w:val="21"/>
              </w:rPr>
            </w:pPr>
            <w:r>
              <w:rPr>
                <w:rFonts w:hint="eastAsia" w:ascii="宋体" w:hAnsi="宋体"/>
                <w:color w:val="auto"/>
              </w:rPr>
              <w:t>□ 得分相同的，按投标报价由低到高顺序排列。得分且投标报价相同的，按技术指标优劣顺序排列。</w:t>
            </w:r>
            <w:r>
              <w:rPr>
                <w:rFonts w:hint="eastAsia" w:ascii="宋体" w:hAnsi="宋体"/>
                <w:color w:val="auto"/>
                <w:szCs w:val="21"/>
              </w:rPr>
              <w:t>（</w:t>
            </w:r>
            <w:r>
              <w:rPr>
                <w:rFonts w:hint="eastAsia" w:ascii="宋体" w:hAnsi="宋体"/>
                <w:i/>
                <w:color w:val="auto"/>
                <w:szCs w:val="21"/>
              </w:rPr>
              <w:t>提示：也可另行规定</w:t>
            </w:r>
            <w:r>
              <w:rPr>
                <w:rFonts w:hint="eastAsia" w:ascii="宋体" w:hAnsi="宋体"/>
                <w:color w:val="auto"/>
                <w:szCs w:val="21"/>
              </w:rPr>
              <w:t xml:space="preserve">）——————————————  </w:t>
            </w:r>
          </w:p>
          <w:p>
            <w:pPr>
              <w:adjustRightInd w:val="0"/>
              <w:snapToGrid w:val="0"/>
              <w:spacing w:line="360" w:lineRule="auto"/>
              <w:rPr>
                <w:color w:val="auto"/>
                <w:szCs w:val="21"/>
                <w:u w:val="single"/>
              </w:rPr>
            </w:pPr>
            <w:r>
              <w:rPr>
                <w:rFonts w:hint="eastAsia" w:ascii="宋体" w:hAnsi="宋体"/>
                <w:color w:val="auto"/>
              </w:rPr>
              <w:t>□ 随机抽取方式确定。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0" w:type="dxa"/>
            <w:vMerge w:val="restart"/>
            <w:tcBorders>
              <w:top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（1）</w:t>
            </w:r>
            <w:r>
              <w:rPr>
                <w:rFonts w:hint="eastAsia" w:cs="宋体" w:asciiTheme="minorEastAsia" w:hAnsiTheme="minorEastAsia" w:eastAsiaTheme="minorEastAsia"/>
                <w:color w:val="auto"/>
                <w:kern w:val="0"/>
                <w:szCs w:val="21"/>
                <w:lang w:val="zh-CN"/>
              </w:rPr>
              <w:t>项</w:t>
            </w:r>
          </w:p>
        </w:tc>
        <w:tc>
          <w:tcPr>
            <w:tcW w:w="709" w:type="dxa"/>
            <w:vMerge w:val="restart"/>
            <w:tcBorders>
              <w:top w:val="single" w:color="auto" w:sz="6" w:space="0"/>
              <w:right w:val="single" w:color="auto" w:sz="4" w:space="0"/>
            </w:tcBorders>
            <w:vAlign w:val="center"/>
          </w:tcPr>
          <w:p>
            <w:pPr>
              <w:adjustRightInd w:val="0"/>
              <w:snapToGrid w:val="0"/>
              <w:spacing w:before="156" w:beforeLines="50" w:line="360" w:lineRule="auto"/>
              <w:jc w:val="center"/>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价格评审优惠</w:t>
            </w:r>
          </w:p>
        </w:tc>
        <w:tc>
          <w:tcPr>
            <w:tcW w:w="1562" w:type="dxa"/>
            <w:tcBorders>
              <w:top w:val="single" w:color="auto" w:sz="6" w:space="0"/>
              <w:left w:val="single" w:color="auto" w:sz="4" w:space="0"/>
              <w:bottom w:val="single" w:color="auto" w:sz="4" w:space="0"/>
            </w:tcBorders>
            <w:vAlign w:val="center"/>
          </w:tcPr>
          <w:p>
            <w:pPr>
              <w:spacing w:line="360" w:lineRule="atLeast"/>
              <w:rPr>
                <w:color w:val="auto"/>
                <w:szCs w:val="21"/>
              </w:rPr>
            </w:pPr>
            <w:r>
              <w:rPr>
                <w:rFonts w:hint="eastAsia"/>
                <w:color w:val="auto"/>
                <w:szCs w:val="21"/>
              </w:rPr>
              <w:t>扶持小、微企业</w:t>
            </w:r>
          </w:p>
        </w:tc>
        <w:tc>
          <w:tcPr>
            <w:tcW w:w="4818" w:type="dxa"/>
            <w:tcBorders>
              <w:top w:val="single" w:color="auto" w:sz="6" w:space="0"/>
              <w:bottom w:val="single" w:color="auto" w:sz="4" w:space="0"/>
            </w:tcBorders>
            <w:vAlign w:val="center"/>
          </w:tcPr>
          <w:p>
            <w:pPr>
              <w:spacing w:line="360" w:lineRule="atLeast"/>
              <w:rPr>
                <w:rFonts w:ascii="宋体" w:hAnsi="宋体" w:cs="宋体"/>
                <w:color w:val="auto"/>
                <w:szCs w:val="21"/>
              </w:rPr>
            </w:pPr>
            <w:r>
              <w:rPr>
                <w:rFonts w:ascii="宋体" w:hAnsi="宋体" w:cs="宋体"/>
                <w:color w:val="auto"/>
                <w:szCs w:val="21"/>
              </w:rPr>
              <w:t>投标人如提供有</w:t>
            </w:r>
            <w:r>
              <w:rPr>
                <w:rFonts w:hint="eastAsia" w:ascii="宋体" w:hAnsi="宋体" w:cs="宋体"/>
                <w:color w:val="auto"/>
                <w:szCs w:val="21"/>
                <w:lang w:val="en-US" w:eastAsia="zh-CN"/>
              </w:rPr>
              <w:t>中</w:t>
            </w:r>
            <w:r>
              <w:rPr>
                <w:rFonts w:ascii="宋体" w:hAnsi="宋体" w:cs="宋体"/>
                <w:color w:val="auto"/>
                <w:szCs w:val="21"/>
              </w:rPr>
              <w:t>小</w:t>
            </w:r>
            <w:r>
              <w:rPr>
                <w:rFonts w:hint="eastAsia" w:ascii="宋体" w:hAnsi="宋体" w:cs="宋体"/>
                <w:color w:val="auto"/>
                <w:szCs w:val="21"/>
              </w:rPr>
              <w:t>微</w:t>
            </w:r>
            <w:r>
              <w:rPr>
                <w:rFonts w:ascii="宋体" w:hAnsi="宋体" w:cs="宋体"/>
                <w:color w:val="auto"/>
                <w:szCs w:val="21"/>
              </w:rPr>
              <w:t>企业产品，投标文件必</w:t>
            </w:r>
            <w:r>
              <w:rPr>
                <w:rFonts w:hint="eastAsia" w:ascii="宋体" w:hAnsi="宋体" w:cs="宋体"/>
                <w:color w:val="auto"/>
                <w:szCs w:val="21"/>
              </w:rPr>
              <w:t>须</w:t>
            </w:r>
            <w:r>
              <w:rPr>
                <w:rFonts w:ascii="宋体" w:hAnsi="宋体" w:cs="宋体"/>
                <w:color w:val="auto"/>
                <w:szCs w:val="21"/>
              </w:rPr>
              <w:t>按招标文件</w:t>
            </w:r>
            <w:r>
              <w:rPr>
                <w:rFonts w:hint="eastAsia" w:ascii="宋体" w:hAnsi="宋体" w:cs="宋体"/>
                <w:color w:val="auto"/>
                <w:szCs w:val="21"/>
              </w:rPr>
              <w:t>要求提供“享受政府采购政策优惠的证明材料”</w:t>
            </w:r>
            <w:r>
              <w:rPr>
                <w:rFonts w:ascii="宋体" w:hAnsi="宋体" w:cs="宋体"/>
                <w:color w:val="auto"/>
                <w:szCs w:val="21"/>
              </w:rPr>
              <w:t>，否则评审时不予以考虑</w:t>
            </w:r>
            <w:r>
              <w:rPr>
                <w:rFonts w:hint="eastAsia" w:ascii="宋体" w:hAnsi="宋体" w:cs="宋体"/>
                <w:color w:val="auto"/>
                <w:szCs w:val="21"/>
              </w:rPr>
              <w:t>。</w:t>
            </w:r>
          </w:p>
          <w:p>
            <w:pPr>
              <w:spacing w:line="360" w:lineRule="atLeast"/>
              <w:rPr>
                <w:rFonts w:ascii="宋体" w:hAnsi="宋体" w:cs="宋体"/>
                <w:color w:val="auto"/>
                <w:szCs w:val="21"/>
              </w:rPr>
            </w:pPr>
            <w:r>
              <w:rPr>
                <w:rFonts w:ascii="宋体" w:hAnsi="宋体" w:cs="宋体"/>
                <w:color w:val="auto"/>
                <w:szCs w:val="21"/>
              </w:rPr>
              <w:t>给予小型和微型企业产品的价格给予</w:t>
            </w:r>
            <w:r>
              <w:rPr>
                <w:rFonts w:hint="eastAsia" w:ascii="宋体" w:hAnsi="宋体" w:cs="宋体"/>
                <w:color w:val="auto"/>
                <w:szCs w:val="21"/>
                <w:lang w:val="en-US" w:eastAsia="zh-CN"/>
              </w:rPr>
              <w:t>10</w:t>
            </w:r>
            <w:r>
              <w:rPr>
                <w:rFonts w:ascii="宋体" w:hAnsi="宋体" w:cs="宋体"/>
                <w:color w:val="auto"/>
                <w:szCs w:val="21"/>
              </w:rPr>
              <w:t>%-</w:t>
            </w:r>
            <w:r>
              <w:rPr>
                <w:rFonts w:hint="eastAsia" w:ascii="宋体" w:hAnsi="宋体" w:cs="宋体"/>
                <w:color w:val="auto"/>
                <w:szCs w:val="21"/>
                <w:lang w:val="en-US" w:eastAsia="zh-CN"/>
              </w:rPr>
              <w:t>20</w:t>
            </w:r>
            <w:r>
              <w:rPr>
                <w:rFonts w:ascii="宋体" w:hAnsi="宋体" w:cs="宋体"/>
                <w:color w:val="auto"/>
                <w:szCs w:val="21"/>
              </w:rPr>
              <w:t>%</w:t>
            </w:r>
            <w:r>
              <w:rPr>
                <w:rFonts w:hint="eastAsia" w:ascii="宋体" w:hAnsi="宋体" w:cs="宋体"/>
                <w:color w:val="auto"/>
                <w:szCs w:val="21"/>
                <w:lang w:eastAsia="zh-CN"/>
              </w:rPr>
              <w:t>（</w:t>
            </w:r>
            <w:r>
              <w:rPr>
                <w:rFonts w:hint="eastAsia" w:ascii="宋体" w:hAnsi="宋体" w:cs="宋体"/>
                <w:color w:val="auto"/>
                <w:szCs w:val="21"/>
                <w:lang w:val="en-US" w:eastAsia="zh-CN"/>
              </w:rPr>
              <w:t>工程项目6%-10%</w:t>
            </w:r>
            <w:r>
              <w:rPr>
                <w:rFonts w:hint="eastAsia" w:ascii="宋体" w:hAnsi="宋体" w:cs="宋体"/>
                <w:color w:val="auto"/>
                <w:szCs w:val="21"/>
                <w:lang w:eastAsia="zh-CN"/>
              </w:rPr>
              <w:t>）</w:t>
            </w:r>
            <w:r>
              <w:rPr>
                <w:rFonts w:ascii="宋体" w:hAnsi="宋体" w:cs="宋体"/>
                <w:color w:val="auto"/>
                <w:szCs w:val="21"/>
              </w:rPr>
              <w:t>的扣除，用扣除后的价格参与评审，本项目具体扣除比例为：价格部分</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w:t>
            </w:r>
            <w:r>
              <w:rPr>
                <w:rFonts w:hint="eastAsia" w:ascii="宋体" w:hAnsi="宋体" w:cs="宋体"/>
                <w:color w:val="auto"/>
                <w:szCs w:val="21"/>
                <w:u w:val="single"/>
              </w:rPr>
              <w:t xml:space="preserve"> </w:t>
            </w:r>
            <w:r>
              <w:rPr>
                <w:rFonts w:ascii="宋体" w:hAnsi="宋体" w:cs="宋体"/>
                <w:color w:val="auto"/>
                <w:szCs w:val="21"/>
              </w:rPr>
              <w:t>%</w:t>
            </w:r>
            <w:r>
              <w:rPr>
                <w:rFonts w:hint="eastAsia" w:ascii="宋体" w:hAnsi="宋体" w:cs="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700" w:type="dxa"/>
            <w:vMerge w:val="continue"/>
            <w:tcBorders>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p>
        </w:tc>
        <w:tc>
          <w:tcPr>
            <w:tcW w:w="709" w:type="dxa"/>
            <w:vMerge w:val="continue"/>
            <w:tcBorders>
              <w:bottom w:val="single" w:color="auto" w:sz="6" w:space="0"/>
              <w:right w:val="single" w:color="auto" w:sz="4"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p>
        </w:tc>
        <w:tc>
          <w:tcPr>
            <w:tcW w:w="1562" w:type="dxa"/>
            <w:tcBorders>
              <w:top w:val="single" w:color="auto" w:sz="4" w:space="0"/>
              <w:left w:val="single" w:color="auto" w:sz="4" w:space="0"/>
              <w:bottom w:val="single" w:color="auto" w:sz="6" w:space="0"/>
            </w:tcBorders>
            <w:vAlign w:val="center"/>
          </w:tcPr>
          <w:p>
            <w:pPr>
              <w:spacing w:line="360" w:lineRule="atLeast"/>
              <w:rPr>
                <w:color w:val="auto"/>
                <w:szCs w:val="21"/>
              </w:rPr>
            </w:pPr>
            <w:r>
              <w:rPr>
                <w:rFonts w:hint="eastAsia"/>
                <w:color w:val="auto"/>
                <w:szCs w:val="21"/>
              </w:rPr>
              <w:t>监狱企业、残疾人福利性单位</w:t>
            </w:r>
          </w:p>
        </w:tc>
        <w:tc>
          <w:tcPr>
            <w:tcW w:w="4818" w:type="dxa"/>
            <w:tcBorders>
              <w:top w:val="single" w:color="auto" w:sz="4" w:space="0"/>
              <w:bottom w:val="single" w:color="auto" w:sz="6" w:space="0"/>
            </w:tcBorders>
            <w:vAlign w:val="center"/>
          </w:tcPr>
          <w:p>
            <w:pPr>
              <w:spacing w:line="360" w:lineRule="atLeast"/>
              <w:rPr>
                <w:rFonts w:ascii="宋体" w:hAnsi="宋体" w:cs="宋体"/>
                <w:color w:val="auto"/>
                <w:szCs w:val="21"/>
              </w:rPr>
            </w:pPr>
            <w:r>
              <w:rPr>
                <w:rFonts w:hint="eastAsia" w:ascii="宋体" w:hAnsi="宋体" w:cs="宋体"/>
                <w:color w:val="auto"/>
                <w:szCs w:val="21"/>
              </w:rPr>
              <w:t>投标人如提供监狱企业、残疾人福利性单位生产的产品，投标文件必须按招标文件要求提供“享受政府采购政策优惠的证明材料”，否则评审时不予以考虑。</w:t>
            </w:r>
          </w:p>
          <w:p>
            <w:pPr>
              <w:spacing w:line="360" w:lineRule="atLeast"/>
              <w:rPr>
                <w:rFonts w:ascii="宋体" w:hAnsi="宋体" w:cs="宋体"/>
                <w:color w:val="auto"/>
                <w:szCs w:val="21"/>
              </w:rPr>
            </w:pPr>
            <w:r>
              <w:rPr>
                <w:rFonts w:hint="eastAsia" w:ascii="宋体" w:hAnsi="宋体" w:cs="宋体"/>
                <w:color w:val="auto"/>
                <w:szCs w:val="21"/>
              </w:rPr>
              <w:t>监狱企业、残疾人福利性单位生产的产品的价格给予6%-10%的扣除，用扣除后的价格参与评审，本项目具体扣除比例为：价格部分</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w:t>
            </w:r>
            <w:r>
              <w:rPr>
                <w:rFonts w:hint="eastAsia" w:ascii="宋体" w:hAnsi="宋体" w:cs="宋体"/>
                <w:color w:val="auto"/>
                <w:szCs w:val="21"/>
                <w:u w:val="single"/>
              </w:rPr>
              <w:t xml:space="preserve"> </w:t>
            </w:r>
            <w:r>
              <w:rPr>
                <w:rFonts w:hint="eastAsia" w:ascii="宋体" w:hAnsi="宋体" w:cs="宋体"/>
                <w:color w:val="auto"/>
                <w:szCs w:val="21"/>
              </w:rPr>
              <w:t>%。</w:t>
            </w:r>
          </w:p>
          <w:p>
            <w:pPr>
              <w:spacing w:line="360" w:lineRule="atLeast"/>
              <w:rPr>
                <w:rFonts w:ascii="宋体" w:hAnsi="宋体"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right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（2）</w:t>
            </w:r>
            <w:r>
              <w:rPr>
                <w:rFonts w:hint="eastAsia" w:cs="宋体" w:asciiTheme="minorEastAsia" w:hAnsiTheme="minorEastAsia" w:eastAsiaTheme="minorEastAsia"/>
                <w:color w:val="auto"/>
                <w:kern w:val="0"/>
                <w:szCs w:val="21"/>
                <w:lang w:val="zh-CN"/>
              </w:rPr>
              <w:t>项</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优先采购</w:t>
            </w:r>
          </w:p>
        </w:tc>
        <w:tc>
          <w:tcPr>
            <w:tcW w:w="1562" w:type="dxa"/>
            <w:tcBorders>
              <w:top w:val="single" w:color="auto" w:sz="6" w:space="0"/>
              <w:left w:val="single" w:color="auto" w:sz="6" w:space="0"/>
              <w:right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节能产品或环境标志产品</w:t>
            </w:r>
          </w:p>
        </w:tc>
        <w:tc>
          <w:tcPr>
            <w:tcW w:w="4818" w:type="dxa"/>
            <w:tcBorders>
              <w:top w:val="single" w:color="auto" w:sz="6" w:space="0"/>
              <w:left w:val="single" w:color="auto" w:sz="6" w:space="0"/>
              <w:bottom w:val="single" w:color="auto" w:sz="6" w:space="0"/>
            </w:tcBorders>
            <w:vAlign w:val="center"/>
          </w:tcPr>
          <w:p>
            <w:pPr>
              <w:spacing w:line="360" w:lineRule="atLeast"/>
              <w:rPr>
                <w:rFonts w:ascii="宋体" w:hAnsi="宋体"/>
                <w:color w:val="auto"/>
                <w:szCs w:val="21"/>
              </w:rPr>
            </w:pPr>
            <w:r>
              <w:rPr>
                <w:rFonts w:hint="eastAsia" w:ascii="宋体" w:hAnsi="宋体" w:cs="宋体"/>
                <w:color w:val="auto"/>
                <w:szCs w:val="21"/>
              </w:rPr>
              <w:t>投标</w:t>
            </w:r>
            <w:r>
              <w:rPr>
                <w:rFonts w:ascii="宋体" w:hAnsi="宋体" w:cs="宋体"/>
                <w:color w:val="auto"/>
                <w:szCs w:val="21"/>
              </w:rPr>
              <w:t>产品为</w:t>
            </w:r>
            <w:r>
              <w:rPr>
                <w:rFonts w:hint="eastAsia" w:ascii="宋体" w:hAnsi="宋体" w:cs="宋体"/>
                <w:color w:val="auto"/>
                <w:szCs w:val="21"/>
              </w:rPr>
              <w:t>《节能产品政府采购品目清单》非“★”产品、</w:t>
            </w:r>
            <w:r>
              <w:rPr>
                <w:rFonts w:ascii="宋体" w:hAnsi="宋体" w:cs="宋体"/>
                <w:color w:val="auto"/>
                <w:szCs w:val="21"/>
              </w:rPr>
              <w:t>《环境标志产品政府采购</w:t>
            </w:r>
            <w:r>
              <w:rPr>
                <w:rFonts w:hint="eastAsia" w:ascii="宋体" w:hAnsi="宋体" w:cs="宋体"/>
                <w:color w:val="auto"/>
                <w:szCs w:val="21"/>
              </w:rPr>
              <w:t>品目</w:t>
            </w:r>
            <w:r>
              <w:rPr>
                <w:rFonts w:ascii="宋体" w:hAnsi="宋体" w:cs="宋体"/>
                <w:color w:val="auto"/>
                <w:szCs w:val="21"/>
              </w:rPr>
              <w:t>清单》</w:t>
            </w:r>
            <w:r>
              <w:rPr>
                <w:rFonts w:hint="eastAsia" w:ascii="宋体" w:hAnsi="宋体" w:cs="宋体"/>
                <w:color w:val="auto"/>
                <w:szCs w:val="21"/>
              </w:rPr>
              <w:t>产品</w:t>
            </w:r>
            <w:r>
              <w:rPr>
                <w:rFonts w:ascii="宋体" w:hAnsi="宋体" w:cs="宋体"/>
                <w:color w:val="auto"/>
                <w:szCs w:val="21"/>
              </w:rPr>
              <w:t>的</w:t>
            </w:r>
            <w:r>
              <w:rPr>
                <w:rFonts w:hint="eastAsia" w:ascii="宋体" w:hAnsi="宋体" w:cs="宋体"/>
                <w:color w:val="auto"/>
                <w:szCs w:val="21"/>
              </w:rPr>
              <w:t>，</w:t>
            </w:r>
            <w:r>
              <w:rPr>
                <w:rFonts w:ascii="宋体" w:hAnsi="宋体" w:cs="宋体"/>
                <w:color w:val="auto"/>
                <w:szCs w:val="21"/>
              </w:rPr>
              <w:t>投标人必需提供</w:t>
            </w:r>
            <w:r>
              <w:rPr>
                <w:rFonts w:hint="eastAsia" w:ascii="宋体" w:hAnsi="宋体" w:cs="宋体"/>
                <w:color w:val="auto"/>
                <w:szCs w:val="21"/>
              </w:rPr>
              <w:t>节能或</w:t>
            </w:r>
            <w:r>
              <w:rPr>
                <w:rFonts w:ascii="宋体" w:hAnsi="宋体" w:cs="宋体"/>
                <w:color w:val="auto"/>
                <w:szCs w:val="21"/>
              </w:rPr>
              <w:t>环境标志产品</w:t>
            </w:r>
            <w:r>
              <w:rPr>
                <w:rFonts w:hint="eastAsia" w:ascii="宋体" w:hAnsi="宋体" w:cs="宋体"/>
                <w:color w:val="auto"/>
                <w:szCs w:val="21"/>
              </w:rPr>
              <w:t>认证证书复印件，未按以上要求提供认证证书复印件或</w:t>
            </w:r>
            <w:r>
              <w:rPr>
                <w:rFonts w:ascii="宋体" w:hAnsi="宋体" w:cs="宋体"/>
                <w:color w:val="auto"/>
                <w:szCs w:val="21"/>
              </w:rPr>
              <w:t>不是清单内的产品，评审时不予</w:t>
            </w:r>
            <w:r>
              <w:rPr>
                <w:rFonts w:hint="eastAsia" w:ascii="宋体" w:hAnsi="宋体" w:cs="宋体"/>
                <w:color w:val="auto"/>
                <w:szCs w:val="21"/>
              </w:rPr>
              <w:t>优先采购</w:t>
            </w:r>
            <w:r>
              <w:rPr>
                <w:rFonts w:ascii="宋体" w:hAnsi="宋体" w:cs="宋体"/>
                <w:color w:val="auto"/>
                <w:szCs w:val="21"/>
              </w:rPr>
              <w:t>：</w:t>
            </w:r>
            <w:r>
              <w:rPr>
                <w:rFonts w:ascii="宋体" w:hAnsi="宋体"/>
                <w:color w:val="auto"/>
                <w:szCs w:val="21"/>
              </w:rPr>
              <w:t xml:space="preserve"> </w:t>
            </w:r>
          </w:p>
          <w:p>
            <w:pPr>
              <w:spacing w:line="360" w:lineRule="atLeast"/>
              <w:rPr>
                <w:rFonts w:ascii="宋体" w:hAnsi="宋体"/>
                <w:color w:val="auto"/>
                <w:szCs w:val="21"/>
              </w:rPr>
            </w:pPr>
            <w:r>
              <w:rPr>
                <w:rFonts w:ascii="宋体" w:hAnsi="宋体" w:cs="宋体"/>
                <w:color w:val="auto"/>
                <w:szCs w:val="21"/>
              </w:rPr>
              <w:t>采用综合评分法时，对于技术和价格分，应分别给予总分值4%-8%的加分。本项目具体加分比例分别为：技术部分</w:t>
            </w:r>
            <w:r>
              <w:rPr>
                <w:rFonts w:hint="eastAsia" w:ascii="宋体" w:hAnsi="宋体" w:cs="宋体"/>
                <w:color w:val="auto"/>
                <w:szCs w:val="21"/>
                <w:u w:val="single"/>
              </w:rPr>
              <w:t xml:space="preserve">  </w:t>
            </w:r>
            <w:r>
              <w:rPr>
                <w:rFonts w:ascii="宋体" w:hAnsi="宋体" w:cs="宋体"/>
                <w:color w:val="auto"/>
                <w:szCs w:val="21"/>
              </w:rPr>
              <w:t>%、价格部分</w:t>
            </w:r>
            <w:r>
              <w:rPr>
                <w:rFonts w:hint="eastAsia" w:ascii="宋体" w:hAnsi="宋体" w:cs="宋体"/>
                <w:color w:val="auto"/>
                <w:szCs w:val="21"/>
                <w:u w:val="single"/>
              </w:rPr>
              <w:t xml:space="preserve">  </w:t>
            </w:r>
            <w:r>
              <w:rPr>
                <w:rFonts w:ascii="宋体" w:hAnsi="宋体" w:cs="宋体"/>
                <w:color w:val="auto"/>
                <w:szCs w:val="21"/>
              </w:rPr>
              <w:t>%。</w:t>
            </w:r>
            <w:r>
              <w:rPr>
                <w:rFonts w:ascii="宋体" w:hAnsi="宋体"/>
                <w:color w:val="auto"/>
                <w:szCs w:val="21"/>
              </w:rPr>
              <w:t xml:space="preserve">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0" w:type="dxa"/>
            <w:tcBorders>
              <w:top w:val="single" w:color="auto" w:sz="6" w:space="0"/>
              <w:bottom w:val="double" w:color="auto" w:sz="4"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第6.1</w:t>
            </w:r>
            <w:r>
              <w:rPr>
                <w:rFonts w:hint="eastAsia" w:cs="宋体" w:asciiTheme="minorEastAsia" w:hAnsiTheme="minorEastAsia" w:eastAsiaTheme="minorEastAsia"/>
                <w:color w:val="auto"/>
                <w:kern w:val="0"/>
                <w:szCs w:val="21"/>
                <w:lang w:val="zh-CN"/>
              </w:rPr>
              <w:t>款</w:t>
            </w:r>
          </w:p>
        </w:tc>
        <w:tc>
          <w:tcPr>
            <w:tcW w:w="2271" w:type="dxa"/>
            <w:gridSpan w:val="2"/>
            <w:tcBorders>
              <w:top w:val="single" w:color="auto" w:sz="6" w:space="0"/>
              <w:bottom w:val="double" w:color="auto" w:sz="4" w:space="0"/>
              <w:right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中标候选人并列的确定中标人的方式</w:t>
            </w:r>
          </w:p>
        </w:tc>
        <w:tc>
          <w:tcPr>
            <w:tcW w:w="4818" w:type="dxa"/>
            <w:tcBorders>
              <w:top w:val="single" w:color="auto" w:sz="6" w:space="0"/>
              <w:left w:val="single" w:color="auto" w:sz="6" w:space="0"/>
              <w:bottom w:val="double" w:color="auto" w:sz="4" w:space="0"/>
              <w:right w:val="double" w:color="auto" w:sz="4" w:space="0"/>
            </w:tcBorders>
            <w:vAlign w:val="center"/>
          </w:tcPr>
          <w:p>
            <w:pPr>
              <w:adjustRightInd w:val="0"/>
              <w:snapToGrid w:val="0"/>
              <w:spacing w:line="360" w:lineRule="exact"/>
              <w:rPr>
                <w:rFonts w:ascii="宋体" w:hAnsi="宋体"/>
                <w:color w:val="auto"/>
              </w:rPr>
            </w:pPr>
            <w:r>
              <w:rPr>
                <w:rFonts w:hint="eastAsia" w:asciiTheme="minorEastAsia" w:hAnsiTheme="minorEastAsia" w:eastAsiaTheme="minorEastAsia"/>
                <w:color w:val="auto"/>
                <w:szCs w:val="21"/>
              </w:rPr>
              <w:t xml:space="preserve">  </w:t>
            </w:r>
            <w:r>
              <w:rPr>
                <w:rFonts w:hint="eastAsia" w:ascii="宋体" w:cs="宋体"/>
                <w:color w:val="auto"/>
              </w:rPr>
              <w:t>投标报价（指总价）相同并列的，</w:t>
            </w:r>
            <w:r>
              <w:rPr>
                <w:rFonts w:hint="eastAsia" w:ascii="宋体" w:hAnsi="宋体"/>
                <w:color w:val="auto"/>
              </w:rPr>
              <w:t>由采购人</w:t>
            </w:r>
            <w:r>
              <w:rPr>
                <w:rFonts w:hint="eastAsia" w:ascii="宋体" w:hAnsi="宋体"/>
                <w:color w:val="auto"/>
                <w:lang w:eastAsia="zh-CN"/>
              </w:rPr>
              <w:t>、</w:t>
            </w:r>
            <w:r>
              <w:rPr>
                <w:rFonts w:hint="eastAsia" w:ascii="宋体" w:hAnsi="宋体"/>
                <w:color w:val="auto"/>
                <w:lang w:val="en-US" w:eastAsia="zh-CN"/>
              </w:rPr>
              <w:t>代理机构</w:t>
            </w:r>
            <w:r>
              <w:rPr>
                <w:rFonts w:hint="eastAsia" w:ascii="宋体" w:hAnsi="宋体"/>
                <w:color w:val="auto"/>
              </w:rPr>
              <w:t>采取随机抽取的方式现场确定中标候选人，并邀请</w:t>
            </w:r>
            <w:r>
              <w:rPr>
                <w:rFonts w:hint="eastAsia" w:ascii="宋体" w:cs="宋体"/>
                <w:color w:val="auto"/>
              </w:rPr>
              <w:t>投标报价相同并列的投标人委派代表出席参加。</w:t>
            </w:r>
          </w:p>
          <w:p>
            <w:pPr>
              <w:adjustRightInd w:val="0"/>
              <w:snapToGrid w:val="0"/>
              <w:spacing w:line="360" w:lineRule="exact"/>
              <w:rPr>
                <w:rFonts w:ascii="宋体" w:cs="宋体"/>
                <w:color w:val="auto"/>
              </w:rPr>
            </w:pPr>
            <w:r>
              <w:rPr>
                <w:rFonts w:hint="eastAsia" w:ascii="宋体" w:cs="宋体"/>
                <w:color w:val="auto"/>
              </w:rPr>
              <w:t>抽取地点：郴州市公共资源交易中心。</w:t>
            </w:r>
          </w:p>
          <w:p>
            <w:pPr>
              <w:adjustRightInd w:val="0"/>
              <w:snapToGrid w:val="0"/>
              <w:spacing w:line="360" w:lineRule="exact"/>
              <w:rPr>
                <w:rFonts w:ascii="宋体" w:cs="宋体"/>
                <w:color w:val="auto"/>
              </w:rPr>
            </w:pPr>
            <w:r>
              <w:rPr>
                <w:rFonts w:hint="eastAsia" w:ascii="宋体" w:cs="宋体"/>
                <w:color w:val="auto"/>
              </w:rPr>
              <w:t>抽取时间：评标当天，具体时间现场另行通知。</w:t>
            </w:r>
          </w:p>
          <w:p>
            <w:pPr>
              <w:adjustRightInd w:val="0"/>
              <w:snapToGrid w:val="0"/>
              <w:spacing w:line="420" w:lineRule="exact"/>
              <w:rPr>
                <w:rFonts w:asciiTheme="minorEastAsia" w:hAnsiTheme="minorEastAsia" w:eastAsiaTheme="minorEastAsia"/>
                <w:color w:val="auto"/>
                <w:szCs w:val="21"/>
                <w:u w:val="single"/>
              </w:rPr>
            </w:pPr>
            <w:r>
              <w:rPr>
                <w:rFonts w:hint="eastAsia" w:ascii="宋体" w:cs="宋体"/>
                <w:color w:val="auto"/>
              </w:rPr>
              <w:t>抽取方式：随机抽取法，即三轮抽取。第一轮：按照随机顺序，由投标人法定代表人或授权委托代理人抽取顺序号，投标人抽取的号码为该投标人进入第二轮抽取的顺序号；第二轮：按照第一轮抽取的先后顺序抽取，投标人抽取的号码为该投标人的代码号；第三轮：由采购人随机抽取，第一次抽取的号码所对应的投标人为第一中标候选人，第二次抽取的为第二中标候选人，第三次抽取的为第三中标候选人。</w:t>
            </w:r>
          </w:p>
        </w:tc>
      </w:tr>
    </w:tbl>
    <w:p>
      <w:pPr>
        <w:keepNext w:val="0"/>
        <w:keepLines w:val="0"/>
        <w:adjustRightInd/>
        <w:snapToGrid/>
        <w:spacing w:line="240" w:lineRule="auto"/>
        <w:jc w:val="both"/>
        <w:outlineLvl w:val="9"/>
        <w:rPr>
          <w:color w:val="auto"/>
        </w:rPr>
      </w:pPr>
    </w:p>
    <w:p>
      <w:pPr>
        <w:adjustRightInd w:val="0"/>
        <w:snapToGrid w:val="0"/>
        <w:spacing w:before="156" w:beforeLines="50" w:line="360" w:lineRule="auto"/>
        <w:ind w:firstLine="420" w:firstLineChars="200"/>
        <w:jc w:val="left"/>
        <w:rPr>
          <w:rFonts w:ascii="黑体" w:hAnsi="华文中宋" w:eastAsia="黑体"/>
          <w:b/>
          <w:color w:val="auto"/>
          <w:sz w:val="28"/>
          <w:szCs w:val="28"/>
        </w:rPr>
      </w:pPr>
      <w:r>
        <w:rPr>
          <w:rFonts w:asciiTheme="minorEastAsia" w:hAnsiTheme="minorEastAsia" w:eastAsiaTheme="minorEastAsia"/>
          <w:color w:val="auto"/>
        </w:rPr>
        <w:br w:type="page"/>
      </w:r>
    </w:p>
    <w:p>
      <w:pPr>
        <w:adjustRightInd w:val="0"/>
        <w:snapToGrid w:val="0"/>
        <w:spacing w:before="156" w:beforeLines="50" w:line="360" w:lineRule="auto"/>
        <w:jc w:val="center"/>
        <w:outlineLvl w:val="1"/>
        <w:rPr>
          <w:rFonts w:ascii="黑体" w:hAnsi="华文中宋" w:eastAsia="黑体"/>
          <w:b/>
          <w:bCs/>
          <w:color w:val="auto"/>
          <w:sz w:val="28"/>
          <w:szCs w:val="28"/>
        </w:rPr>
      </w:pPr>
      <w:bookmarkStart w:id="57" w:name="_Toc23228"/>
      <w:bookmarkStart w:id="58" w:name="_Toc29913928"/>
      <w:r>
        <w:rPr>
          <w:rFonts w:hint="eastAsia" w:ascii="黑体" w:hAnsi="华文中宋" w:eastAsia="黑体"/>
          <w:b/>
          <w:bCs/>
          <w:color w:val="auto"/>
          <w:sz w:val="28"/>
          <w:szCs w:val="28"/>
        </w:rPr>
        <w:t>第二节 评标方法及标准</w:t>
      </w:r>
      <w:bookmarkEnd w:id="57"/>
      <w:bookmarkEnd w:id="58"/>
    </w:p>
    <w:p>
      <w:pPr>
        <w:adjustRightInd w:val="0"/>
        <w:snapToGrid w:val="0"/>
        <w:spacing w:before="156" w:beforeLines="50" w:line="360" w:lineRule="auto"/>
        <w:outlineLvl w:val="2"/>
        <w:rPr>
          <w:rFonts w:ascii="黑体" w:hAnsi="黑体" w:eastAsia="黑体"/>
          <w:b/>
          <w:bCs/>
          <w:color w:val="auto"/>
          <w:sz w:val="24"/>
        </w:rPr>
      </w:pPr>
      <w:bookmarkStart w:id="59" w:name="_Toc29913929"/>
      <w:bookmarkStart w:id="60" w:name="_Toc13155"/>
      <w:r>
        <w:rPr>
          <w:rFonts w:hint="eastAsia" w:ascii="黑体" w:hAnsi="黑体" w:eastAsia="黑体"/>
          <w:b/>
          <w:bCs/>
          <w:color w:val="auto"/>
          <w:sz w:val="24"/>
        </w:rPr>
        <w:t>1．评标方法</w:t>
      </w:r>
      <w:bookmarkEnd w:id="59"/>
      <w:bookmarkEnd w:id="60"/>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1.1最低评标价，是指投标文件满足招标文件全部实质性要求，且投标报价最低的投标人为中标候选人的评标方法。</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1.2本采购项目评标方法见本章第一节“评标规范前附表”</w:t>
      </w:r>
      <w:r>
        <w:rPr>
          <w:rFonts w:hint="eastAsia" w:ascii="华文中宋" w:hAnsi="华文中宋" w:eastAsia="华文中宋"/>
          <w:bCs/>
          <w:color w:val="auto"/>
          <w:szCs w:val="21"/>
        </w:rPr>
        <w:t>（</w:t>
      </w:r>
      <w:r>
        <w:rPr>
          <w:rFonts w:hint="eastAsia" w:asciiTheme="minorEastAsia" w:hAnsiTheme="minorEastAsia" w:eastAsiaTheme="minorEastAsia"/>
          <w:bCs/>
          <w:color w:val="auto"/>
          <w:szCs w:val="21"/>
        </w:rPr>
        <w:t>以下简称</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w:t>
      </w:r>
    </w:p>
    <w:p>
      <w:pPr>
        <w:adjustRightInd w:val="0"/>
        <w:snapToGrid w:val="0"/>
        <w:spacing w:before="156" w:beforeLines="50" w:line="360" w:lineRule="auto"/>
        <w:outlineLvl w:val="2"/>
        <w:rPr>
          <w:rFonts w:ascii="黑体" w:hAnsi="黑体" w:eastAsia="黑体"/>
          <w:b/>
          <w:color w:val="auto"/>
          <w:sz w:val="24"/>
        </w:rPr>
      </w:pPr>
      <w:bookmarkStart w:id="61" w:name="_Toc29913930"/>
      <w:bookmarkStart w:id="62" w:name="_Toc3239"/>
      <w:r>
        <w:rPr>
          <w:rFonts w:hint="eastAsia" w:ascii="黑体" w:hAnsi="黑体" w:eastAsia="黑体"/>
          <w:b/>
          <w:color w:val="auto"/>
          <w:sz w:val="24"/>
        </w:rPr>
        <w:t>2．评标程序</w:t>
      </w:r>
      <w:bookmarkEnd w:id="61"/>
      <w:bookmarkEnd w:id="62"/>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2.1评标程序分为投标文件符合性审查、澄清有关问题、比较和评价、推荐中标候选人。</w:t>
      </w:r>
    </w:p>
    <w:p>
      <w:pPr>
        <w:adjustRightInd w:val="0"/>
        <w:snapToGrid w:val="0"/>
        <w:spacing w:before="156" w:beforeLines="50" w:line="360" w:lineRule="auto"/>
        <w:outlineLvl w:val="2"/>
        <w:rPr>
          <w:rFonts w:ascii="黑体" w:hAnsi="黑体" w:eastAsia="黑体"/>
          <w:b/>
          <w:color w:val="auto"/>
          <w:sz w:val="24"/>
        </w:rPr>
      </w:pPr>
      <w:bookmarkStart w:id="63" w:name="_Toc29913931"/>
      <w:bookmarkStart w:id="64" w:name="_Toc14118"/>
      <w:r>
        <w:rPr>
          <w:rFonts w:hint="eastAsia" w:ascii="黑体" w:hAnsi="黑体" w:eastAsia="黑体"/>
          <w:b/>
          <w:color w:val="auto"/>
          <w:sz w:val="24"/>
        </w:rPr>
        <w:t>3．投标文件的符合性审查</w:t>
      </w:r>
      <w:bookmarkEnd w:id="63"/>
      <w:bookmarkEnd w:id="64"/>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3.1资格审查结束后，评标委员会依法按照本章第三节“投标文件的符合性审查”规定进行投标文件符合性。</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3.2符合性审查合格投标人少于3家的，应予废标。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3.3单一产品采购项目：提供相同品牌产品的不同投标人参加同一合同项下投标的，按一家投标人计算。提供不同品牌产品的投标人不足三家的，应予废标。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3.4非单一产品采购项目：采购人或者采购代理机构将在</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中载明核心产品。多家投标人提供的核心产品品牌相同的，视为相同品牌，按本章本节第3.3款规定处理。</w:t>
      </w:r>
    </w:p>
    <w:p>
      <w:pPr>
        <w:adjustRightInd w:val="0"/>
        <w:snapToGrid w:val="0"/>
        <w:spacing w:before="156" w:beforeLines="50" w:line="360" w:lineRule="auto"/>
        <w:outlineLvl w:val="2"/>
        <w:rPr>
          <w:rFonts w:ascii="黑体" w:hAnsi="黑体" w:eastAsia="黑体"/>
          <w:b/>
          <w:color w:val="auto"/>
          <w:sz w:val="24"/>
        </w:rPr>
      </w:pPr>
      <w:bookmarkStart w:id="65" w:name="_Toc29913932"/>
      <w:bookmarkStart w:id="66" w:name="_Toc13561"/>
      <w:r>
        <w:rPr>
          <w:rFonts w:hint="eastAsia" w:ascii="黑体" w:hAnsi="黑体" w:eastAsia="黑体"/>
          <w:b/>
          <w:color w:val="auto"/>
          <w:sz w:val="24"/>
        </w:rPr>
        <w:t>4．投标文件的澄清</w:t>
      </w:r>
      <w:bookmarkEnd w:id="65"/>
      <w:bookmarkEnd w:id="66"/>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4.1对于投标文件中含义不明确、同类问题表述不一致或者有明显文字和计算错误的内容，评标委员会应当以数据电文形式要求投标人作出必要的澄清、说明或者补正。</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4.2投标文件的投标报价出现前后不一致的，除</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另有规定外，按照下列规定修正：</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（1）投标文件中开标一览表内容与投标文件中相应内容不一致的，以开标一览表为准；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（2）大写金额和小写金额不一致的，以大写金额为准；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（3）单价金额小数点或者百分比有明显错位的，以开标一览表的总价为准，并修改单价；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（4）总价金额与按单价汇总金额不一致的，以单价金额计算结果为准。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4.3投标文件报价同时出现两种以上不一致的，按照前款规定的顺序修正。修正后的报价由投标人代表电子签名或者加盖单位电子章确认后产生约束力，投标人不确认的，其投标无效。</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4.4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4.5有效的澄清材料，是投标文件的补充材料，成为投标文件的组成部分。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pPr>
        <w:adjustRightInd w:val="0"/>
        <w:snapToGrid w:val="0"/>
        <w:spacing w:before="156" w:beforeLines="50" w:line="360" w:lineRule="auto"/>
        <w:outlineLvl w:val="2"/>
        <w:rPr>
          <w:rFonts w:ascii="黑体" w:hAnsi="黑体" w:eastAsia="黑体"/>
          <w:b/>
          <w:color w:val="auto"/>
          <w:sz w:val="24"/>
        </w:rPr>
      </w:pPr>
      <w:bookmarkStart w:id="67" w:name="_Toc8958"/>
      <w:bookmarkStart w:id="68" w:name="_Toc29913933"/>
      <w:r>
        <w:rPr>
          <w:rFonts w:hint="eastAsia" w:ascii="黑体" w:hAnsi="黑体" w:eastAsia="黑体"/>
          <w:b/>
          <w:color w:val="auto"/>
          <w:sz w:val="24"/>
        </w:rPr>
        <w:t>5．投标文件的比较与评价</w:t>
      </w:r>
      <w:bookmarkEnd w:id="67"/>
      <w:bookmarkEnd w:id="68"/>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5.1评标委员会依法按照本章第三节“投标文件的比较与评价”规定，对资格性检查和符合性检查合格的投标文件进行比较和评价。</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5.2单一产品采购项目：</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最低评标价法：</w:t>
      </w:r>
      <w:r>
        <w:rPr>
          <w:rFonts w:hint="eastAsia" w:asciiTheme="minorEastAsia" w:hAnsiTheme="minorEastAsia" w:eastAsiaTheme="minorEastAsia"/>
          <w:bCs/>
          <w:color w:val="auto"/>
          <w:szCs w:val="21"/>
        </w:rPr>
        <w:t>提供相同品牌产品的不同投标人参加同一合同项下投标的，以其中通过资格审查、符合性审查且报价最低的参加评标，其他投标无效；报价相同的，按照</w:t>
      </w:r>
      <w:r>
        <w:rPr>
          <w:rFonts w:hint="eastAsia" w:asciiTheme="minorEastAsia" w:hAnsiTheme="minorEastAsia" w:eastAsiaTheme="minorEastAsia"/>
          <w:b/>
          <w:bCs/>
          <w:color w:val="auto"/>
          <w:szCs w:val="21"/>
        </w:rPr>
        <w:t>【评标方法及标准前附表】</w:t>
      </w:r>
      <w:r>
        <w:rPr>
          <w:rFonts w:hint="eastAsia" w:asciiTheme="minorEastAsia" w:hAnsiTheme="minorEastAsia" w:eastAsiaTheme="minorEastAsia"/>
          <w:bCs/>
          <w:color w:val="auto"/>
          <w:szCs w:val="21"/>
        </w:rPr>
        <w:t>规定的方式确定一个参加评标的投标人，招标文件未规定的采取随机抽取方式确定，其他</w:t>
      </w:r>
      <w:r>
        <w:rPr>
          <w:rFonts w:hint="eastAsia" w:asciiTheme="minorEastAsia" w:hAnsiTheme="minorEastAsia" w:eastAsiaTheme="minorEastAsia"/>
          <w:b/>
          <w:bCs/>
          <w:color w:val="auto"/>
          <w:szCs w:val="21"/>
        </w:rPr>
        <w:t>投标无效</w:t>
      </w:r>
      <w:r>
        <w:rPr>
          <w:rFonts w:hint="eastAsia" w:asciiTheme="minorEastAsia" w:hAnsiTheme="minorEastAsia" w:eastAsiaTheme="minorEastAsia"/>
          <w:bCs/>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5.3非单一产品采购项目：多家投标人提供的核心产品品牌相同的，视为相同品牌，按本章本节第 5.2 款规定处理。</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w:t>
      </w:r>
      <w:r>
        <w:rPr>
          <w:rFonts w:hint="eastAsia" w:asciiTheme="minorEastAsia" w:hAnsiTheme="minorEastAsia" w:eastAsiaTheme="minorEastAsia"/>
          <w:bCs/>
          <w:color w:val="auto"/>
          <w:szCs w:val="21"/>
          <w:lang w:val="en-US" w:eastAsia="zh-CN"/>
        </w:rPr>
        <w:t>4</w:t>
      </w:r>
      <w:r>
        <w:rPr>
          <w:rFonts w:hint="eastAsia" w:asciiTheme="minorEastAsia" w:hAnsiTheme="minorEastAsia" w:eastAsiaTheme="minorEastAsia"/>
          <w:bCs/>
          <w:color w:val="auto"/>
          <w:szCs w:val="21"/>
        </w:rPr>
        <w:t>政府采购政策：</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（1）</w:t>
      </w:r>
      <w:r>
        <w:rPr>
          <w:rFonts w:hint="eastAsia" w:asciiTheme="minorEastAsia" w:hAnsiTheme="minorEastAsia" w:eastAsiaTheme="minorEastAsia"/>
          <w:bCs/>
          <w:color w:val="auto"/>
          <w:szCs w:val="21"/>
        </w:rPr>
        <w:t>价格评审优惠：</w:t>
      </w:r>
      <w:r>
        <w:rPr>
          <w:rFonts w:hint="eastAsia" w:asciiTheme="minorEastAsia" w:hAnsiTheme="minorEastAsia" w:eastAsiaTheme="minorEastAsia"/>
          <w:color w:val="auto"/>
          <w:szCs w:val="21"/>
        </w:rPr>
        <w:t>按</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及第二章“投标须知”的相关规定给予一定的价格折扣。</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（2）优先采购：</w:t>
      </w:r>
      <w:r>
        <w:rPr>
          <w:rFonts w:hint="eastAsia" w:asciiTheme="minorEastAsia" w:hAnsiTheme="minorEastAsia" w:eastAsiaTheme="minorEastAsia"/>
          <w:bCs/>
          <w:color w:val="auto"/>
          <w:szCs w:val="21"/>
        </w:rPr>
        <w:t>评审时按</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bCs/>
          <w:color w:val="auto"/>
          <w:szCs w:val="21"/>
        </w:rPr>
        <w:t>及第二章</w:t>
      </w:r>
      <w:r>
        <w:rPr>
          <w:rFonts w:hint="eastAsia" w:asciiTheme="minorEastAsia" w:hAnsiTheme="minorEastAsia" w:eastAsiaTheme="minorEastAsia"/>
          <w:color w:val="auto"/>
          <w:szCs w:val="21"/>
        </w:rPr>
        <w:t>“投标须知”</w:t>
      </w:r>
      <w:r>
        <w:rPr>
          <w:rFonts w:hint="eastAsia" w:asciiTheme="minorEastAsia" w:hAnsiTheme="minorEastAsia" w:eastAsiaTheme="minorEastAsia"/>
          <w:bCs/>
          <w:color w:val="auto"/>
          <w:szCs w:val="21"/>
        </w:rPr>
        <w:t>的相关规定给予价格折扣或者加分。</w:t>
      </w:r>
    </w:p>
    <w:p>
      <w:pPr>
        <w:adjustRightInd w:val="0"/>
        <w:snapToGrid w:val="0"/>
        <w:spacing w:before="156" w:beforeLines="50" w:line="360" w:lineRule="auto"/>
        <w:outlineLvl w:val="2"/>
        <w:rPr>
          <w:rFonts w:ascii="黑体" w:hAnsi="黑体" w:eastAsia="黑体"/>
          <w:b/>
          <w:bCs/>
          <w:color w:val="auto"/>
          <w:sz w:val="24"/>
        </w:rPr>
      </w:pPr>
      <w:bookmarkStart w:id="69" w:name="_Toc29913934"/>
      <w:bookmarkStart w:id="70" w:name="_Toc17448"/>
      <w:r>
        <w:rPr>
          <w:rFonts w:hint="eastAsia" w:ascii="黑体" w:hAnsi="黑体" w:eastAsia="黑体"/>
          <w:b/>
          <w:color w:val="auto"/>
          <w:sz w:val="24"/>
        </w:rPr>
        <w:t>6．</w:t>
      </w:r>
      <w:r>
        <w:rPr>
          <w:rFonts w:hint="eastAsia" w:ascii="黑体" w:hAnsi="黑体" w:eastAsia="黑体"/>
          <w:b/>
          <w:bCs/>
          <w:color w:val="auto"/>
          <w:sz w:val="24"/>
        </w:rPr>
        <w:t>推荐中标候选人</w:t>
      </w:r>
      <w:bookmarkEnd w:id="69"/>
      <w:bookmarkEnd w:id="70"/>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6.1最低评标价法：</w:t>
      </w:r>
      <w:r>
        <w:rPr>
          <w:rFonts w:hint="eastAsia" w:asciiTheme="minorEastAsia" w:hAnsiTheme="minorEastAsia" w:eastAsiaTheme="minorEastAsia"/>
          <w:bCs/>
          <w:color w:val="auto"/>
          <w:szCs w:val="21"/>
        </w:rPr>
        <w:t>评标结果按算术修正和落实政府采购政策需进行的价格扣除后的投标报价由低到高顺序排列。报价相同的并列，按</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规定的方式确定中标人；</w:t>
      </w:r>
      <w:r>
        <w:rPr>
          <w:rFonts w:hint="eastAsia" w:asciiTheme="minorEastAsia" w:hAnsiTheme="minorEastAsia" w:eastAsiaTheme="minorEastAsia"/>
          <w:bCs/>
          <w:color w:val="auto"/>
          <w:szCs w:val="21"/>
        </w:rPr>
        <w:t>招标文件未规定的，采取随机抽取的方式确定。</w:t>
      </w:r>
    </w:p>
    <w:p>
      <w:pPr>
        <w:adjustRightInd w:val="0"/>
        <w:snapToGrid w:val="0"/>
        <w:spacing w:before="156" w:beforeLines="50" w:line="360" w:lineRule="auto"/>
        <w:outlineLvl w:val="2"/>
        <w:rPr>
          <w:rFonts w:ascii="黑体" w:hAnsi="黑体" w:eastAsia="黑体"/>
          <w:b/>
          <w:bCs/>
          <w:color w:val="auto"/>
          <w:sz w:val="24"/>
        </w:rPr>
      </w:pPr>
      <w:bookmarkStart w:id="71" w:name="_Toc31211"/>
      <w:bookmarkStart w:id="72" w:name="_Toc29913935"/>
      <w:r>
        <w:rPr>
          <w:rFonts w:hint="eastAsia" w:ascii="黑体" w:hAnsi="黑体" w:eastAsia="黑体"/>
          <w:b/>
          <w:color w:val="auto"/>
          <w:sz w:val="24"/>
        </w:rPr>
        <w:t>7．</w:t>
      </w:r>
      <w:r>
        <w:rPr>
          <w:rFonts w:hint="eastAsia" w:ascii="黑体" w:hAnsi="黑体" w:eastAsia="黑体"/>
          <w:b/>
          <w:bCs/>
          <w:color w:val="auto"/>
          <w:sz w:val="24"/>
        </w:rPr>
        <w:t>编写评标报告</w:t>
      </w:r>
      <w:bookmarkEnd w:id="71"/>
      <w:bookmarkEnd w:id="72"/>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7.1评标</w:t>
      </w:r>
      <w:r>
        <w:rPr>
          <w:rFonts w:hint="eastAsia" w:asciiTheme="minorEastAsia" w:hAnsiTheme="minorEastAsia" w:eastAsiaTheme="minorEastAsia"/>
          <w:bCs/>
          <w:color w:val="auto"/>
          <w:szCs w:val="21"/>
        </w:rPr>
        <w:t>委员会</w:t>
      </w:r>
      <w:r>
        <w:rPr>
          <w:rFonts w:hint="eastAsia" w:asciiTheme="minorEastAsia" w:hAnsiTheme="minorEastAsia" w:eastAsiaTheme="minorEastAsia"/>
          <w:color w:val="auto"/>
          <w:szCs w:val="21"/>
        </w:rPr>
        <w:t>根据全体评标成员电子签名的原始评标记录和评标结果编写评标报告。</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7.2</w:t>
      </w:r>
      <w:r>
        <w:rPr>
          <w:rFonts w:hint="eastAsia" w:asciiTheme="minorEastAsia" w:hAnsiTheme="minorEastAsia" w:eastAsiaTheme="minorEastAsia"/>
          <w:bCs/>
          <w:color w:val="auto"/>
          <w:szCs w:val="21"/>
        </w:rPr>
        <w:t>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before="156" w:beforeLines="50" w:line="360" w:lineRule="auto"/>
        <w:outlineLvl w:val="2"/>
        <w:rPr>
          <w:rFonts w:ascii="黑体" w:hAnsi="黑体" w:eastAsia="黑体"/>
          <w:b/>
          <w:color w:val="auto"/>
          <w:sz w:val="24"/>
        </w:rPr>
      </w:pPr>
      <w:bookmarkStart w:id="73" w:name="_Toc15373"/>
      <w:bookmarkStart w:id="74" w:name="_Toc29913936"/>
      <w:r>
        <w:rPr>
          <w:rFonts w:hint="eastAsia" w:ascii="黑体" w:hAnsi="黑体" w:eastAsia="黑体"/>
          <w:b/>
          <w:color w:val="auto"/>
          <w:sz w:val="24"/>
        </w:rPr>
        <w:t>8．</w:t>
      </w:r>
      <w:r>
        <w:rPr>
          <w:rFonts w:hint="eastAsia" w:ascii="黑体" w:hAnsi="黑体" w:eastAsia="黑体"/>
          <w:b/>
          <w:bCs/>
          <w:color w:val="auto"/>
          <w:sz w:val="24"/>
        </w:rPr>
        <w:t>评标报告</w:t>
      </w:r>
      <w:r>
        <w:rPr>
          <w:rFonts w:hint="eastAsia" w:ascii="黑体" w:hAnsi="黑体" w:eastAsia="黑体"/>
          <w:b/>
          <w:color w:val="auto"/>
          <w:sz w:val="24"/>
        </w:rPr>
        <w:t>复核</w:t>
      </w:r>
      <w:bookmarkEnd w:id="73"/>
      <w:bookmarkEnd w:id="74"/>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8.1汇总结束后，评标委员会应当进行复核，特别要对拟推荐为中标候选供应商的、报价最低的、投标文件被认定为无效的进行重点复核。</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8.2汇总完成后，除下列情形外，任何人不得修改评标结果：</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（1）分值汇总计算错误的；</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（2）分项评分超出评分标准范围的；</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（3）评标委员会成员对客观评审因素评分不一致的；</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（4）经评标委员会认定评分畸高、畸低的。</w:t>
      </w:r>
    </w:p>
    <w:p>
      <w:pPr>
        <w:adjustRightInd w:val="0"/>
        <w:snapToGrid w:val="0"/>
        <w:spacing w:before="156" w:beforeLines="50" w:line="360" w:lineRule="auto"/>
        <w:ind w:firstLine="420" w:firstLineChars="200"/>
        <w:jc w:val="left"/>
        <w:rPr>
          <w:rFonts w:asciiTheme="minorEastAsia" w:hAnsiTheme="minorEastAsia" w:eastAsiaTheme="minorEastAsia"/>
          <w:b/>
          <w:bCs/>
          <w:color w:val="auto"/>
          <w:szCs w:val="21"/>
        </w:rPr>
      </w:pPr>
      <w:r>
        <w:rPr>
          <w:rFonts w:hint="eastAsia" w:asciiTheme="minorEastAsia" w:hAnsiTheme="minorEastAsia" w:eastAsiaTheme="minorEastAsia"/>
          <w:bCs/>
          <w:color w:val="auto"/>
          <w:szCs w:val="21"/>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djustRightInd w:val="0"/>
        <w:snapToGrid w:val="0"/>
        <w:spacing w:before="156" w:beforeLines="50" w:line="360" w:lineRule="auto"/>
        <w:outlineLvl w:val="2"/>
        <w:rPr>
          <w:rFonts w:ascii="黑体" w:hAnsi="黑体" w:eastAsia="黑体"/>
          <w:b/>
          <w:color w:val="auto"/>
          <w:sz w:val="24"/>
        </w:rPr>
      </w:pPr>
      <w:bookmarkStart w:id="75" w:name="_Toc29913937"/>
      <w:bookmarkStart w:id="76" w:name="_Toc32218"/>
      <w:r>
        <w:rPr>
          <w:rFonts w:hint="eastAsia" w:ascii="黑体" w:hAnsi="黑体" w:eastAsia="黑体"/>
          <w:b/>
          <w:bCs/>
          <w:color w:val="auto"/>
          <w:sz w:val="24"/>
        </w:rPr>
        <w:t>9．</w:t>
      </w:r>
      <w:r>
        <w:rPr>
          <w:rFonts w:hint="eastAsia" w:ascii="黑体" w:hAnsi="黑体" w:eastAsia="黑体"/>
          <w:b/>
          <w:color w:val="auto"/>
          <w:sz w:val="24"/>
        </w:rPr>
        <w:t>停止评标</w:t>
      </w:r>
      <w:bookmarkEnd w:id="75"/>
      <w:bookmarkEnd w:id="76"/>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asciiTheme="minorEastAsia" w:hAnsiTheme="minorEastAsia" w:eastAsiaTheme="minorEastAsia"/>
          <w:bCs/>
          <w:color w:val="auto"/>
          <w:szCs w:val="21"/>
        </w:rPr>
        <w:t>9.1</w:t>
      </w:r>
      <w:r>
        <w:rPr>
          <w:rFonts w:hint="eastAsia" w:cs="宋体" w:asciiTheme="minorEastAsia" w:hAnsiTheme="minorEastAsia" w:eastAsiaTheme="minorEastAsia"/>
          <w:color w:val="auto"/>
          <w:kern w:val="0"/>
          <w:szCs w:val="21"/>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pPr>
        <w:adjustRightInd w:val="0"/>
        <w:snapToGrid w:val="0"/>
        <w:spacing w:before="156" w:beforeLines="50" w:line="360" w:lineRule="auto"/>
        <w:jc w:val="left"/>
        <w:rPr>
          <w:rFonts w:ascii="黑体" w:hAnsi="黑体" w:eastAsia="黑体"/>
          <w:b/>
          <w:color w:val="auto"/>
          <w:sz w:val="24"/>
        </w:rPr>
      </w:pPr>
      <w:r>
        <w:rPr>
          <w:rFonts w:hint="eastAsia" w:ascii="黑体" w:hAnsi="黑体" w:eastAsia="黑体"/>
          <w:b/>
          <w:color w:val="auto"/>
          <w:sz w:val="24"/>
        </w:rPr>
        <w:t>10.废标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10.1 根据有关法律法规和招标文件的有关规定，如出现下列情况之一的，应予以废标：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（1）符合专业条件的投标人或者对招标文件作实质响应的投标人不足三家的；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（2）出现影响采购公正的违法、违规行为的；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（3）投标人的报价均超过招标人项目采购预算，招标人不能支付的；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（4）因重大变故，采购任务取消的。</w:t>
      </w:r>
    </w:p>
    <w:p>
      <w:pPr>
        <w:adjustRightInd w:val="0"/>
        <w:snapToGrid w:val="0"/>
        <w:spacing w:before="156" w:beforeLines="50" w:line="360" w:lineRule="auto"/>
        <w:outlineLvl w:val="2"/>
        <w:rPr>
          <w:rFonts w:ascii="黑体" w:hAnsi="黑体" w:eastAsia="黑体"/>
          <w:b/>
          <w:color w:val="auto"/>
          <w:sz w:val="24"/>
        </w:rPr>
      </w:pPr>
      <w:bookmarkStart w:id="77" w:name="_Toc18571"/>
      <w:bookmarkStart w:id="78" w:name="_Toc29913938"/>
      <w:r>
        <w:rPr>
          <w:rFonts w:hint="eastAsia" w:ascii="黑体" w:hAnsi="黑体" w:eastAsia="黑体" w:cs="宋体"/>
          <w:b/>
          <w:bCs/>
          <w:color w:val="auto"/>
          <w:kern w:val="0"/>
          <w:sz w:val="24"/>
        </w:rPr>
        <w:t>11．重新组建评标委员会进行评标</w:t>
      </w:r>
      <w:bookmarkEnd w:id="77"/>
      <w:bookmarkEnd w:id="78"/>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11.1评标委员会或者其成员存在下列情形导致评标结果无效的，采购人、采购代理机构可以重新组建评标委员会进行评标，并书面报告本级财政部门，但采购合同已经履行的除外：</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（1）评标委员会组成不符合《政府采购货物和服务招标投标管理办法》规定的；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（2）有《政府采购货物和服务招标投标管理办法》第六十二条第一至五项情形的；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（3）评标委员会及其成员独立评标受到非法干预的；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（4）有政府采购法实施条例第七十五条规定的违法行为的。</w:t>
      </w:r>
    </w:p>
    <w:p>
      <w:pPr>
        <w:adjustRightInd w:val="0"/>
        <w:snapToGrid w:val="0"/>
        <w:spacing w:before="156" w:beforeLines="50" w:line="360" w:lineRule="auto"/>
        <w:ind w:firstLine="420" w:firstLineChars="200"/>
        <w:jc w:val="left"/>
        <w:rPr>
          <w:rFonts w:ascii="黑体" w:hAnsi="华文中宋" w:eastAsia="黑体"/>
          <w:b/>
          <w:color w:val="auto"/>
          <w:sz w:val="32"/>
          <w:szCs w:val="32"/>
        </w:rPr>
      </w:pPr>
      <w:r>
        <w:rPr>
          <w:rFonts w:hint="eastAsia" w:asciiTheme="minorEastAsia" w:hAnsiTheme="minorEastAsia" w:eastAsiaTheme="minorEastAsia"/>
          <w:color w:val="auto"/>
          <w:szCs w:val="21"/>
        </w:rPr>
        <w:t>11.2有违法违规行为的原评标委员会成员不得参加重新组建的评标委员会。</w:t>
      </w:r>
      <w:r>
        <w:rPr>
          <w:rFonts w:ascii="黑体" w:hAnsi="华文中宋" w:eastAsia="黑体"/>
          <w:b/>
          <w:color w:val="auto"/>
          <w:sz w:val="32"/>
          <w:szCs w:val="32"/>
        </w:rPr>
        <w:br w:type="page"/>
      </w:r>
    </w:p>
    <w:p>
      <w:pPr>
        <w:keepNext/>
        <w:keepLines/>
        <w:adjustRightInd w:val="0"/>
        <w:snapToGrid w:val="0"/>
        <w:spacing w:line="360" w:lineRule="auto"/>
        <w:jc w:val="center"/>
        <w:outlineLvl w:val="1"/>
        <w:rPr>
          <w:rFonts w:ascii="黑体" w:hAnsi="华文中宋" w:eastAsia="黑体"/>
          <w:b/>
          <w:bCs/>
          <w:color w:val="auto"/>
          <w:sz w:val="28"/>
          <w:szCs w:val="28"/>
        </w:rPr>
      </w:pPr>
      <w:bookmarkStart w:id="79" w:name="_Toc32286"/>
      <w:bookmarkStart w:id="80" w:name="_Toc29913939"/>
      <w:r>
        <w:rPr>
          <w:rFonts w:hint="eastAsia" w:ascii="黑体" w:hAnsi="华文中宋" w:eastAsia="黑体"/>
          <w:b/>
          <w:bCs/>
          <w:color w:val="auto"/>
          <w:sz w:val="28"/>
          <w:szCs w:val="28"/>
        </w:rPr>
        <w:t>第三节 投标文件的符合性审查</w:t>
      </w:r>
      <w:bookmarkEnd w:id="79"/>
      <w:bookmarkEnd w:id="80"/>
    </w:p>
    <w:p>
      <w:pPr>
        <w:adjustRightInd w:val="0"/>
        <w:snapToGrid w:val="0"/>
        <w:spacing w:before="156" w:beforeLines="50" w:line="360" w:lineRule="auto"/>
        <w:rPr>
          <w:rFonts w:ascii="黑体" w:hAnsi="黑体" w:eastAsia="黑体"/>
          <w:b/>
          <w:color w:val="auto"/>
          <w:sz w:val="24"/>
        </w:rPr>
      </w:pPr>
      <w:r>
        <w:rPr>
          <w:rFonts w:hint="eastAsia" w:ascii="黑体" w:hAnsi="黑体" w:eastAsia="黑体"/>
          <w:b/>
          <w:color w:val="auto"/>
          <w:sz w:val="24"/>
        </w:rPr>
        <w:t>1.符合性审查</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1.1</w:t>
      </w:r>
      <w:r>
        <w:rPr>
          <w:rFonts w:hint="eastAsia" w:asciiTheme="minorEastAsia" w:hAnsiTheme="minorEastAsia" w:eastAsiaTheme="minorEastAsia"/>
          <w:color w:val="auto"/>
          <w:szCs w:val="21"/>
        </w:rPr>
        <w:t>评标委员会应</w:t>
      </w:r>
      <w:r>
        <w:rPr>
          <w:rFonts w:hint="eastAsia" w:asciiTheme="minorEastAsia" w:hAnsiTheme="minorEastAsia" w:eastAsiaTheme="minorEastAsia"/>
          <w:color w:val="auto"/>
        </w:rPr>
        <w:t>对符合资格条件的投标人的投标文件进行符合性审查，以确定其是否满足招标文件的实质性要求。</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（2）投标人不得通过修正或撤销不合要求的偏离从而使其投标成为实质上响应的投标。</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kern w:val="0"/>
          <w:szCs w:val="21"/>
        </w:rPr>
        <w:t>1.2</w:t>
      </w:r>
      <w:r>
        <w:rPr>
          <w:rFonts w:hint="eastAsia" w:asciiTheme="minorEastAsia" w:hAnsiTheme="minorEastAsia" w:eastAsiaTheme="minorEastAsia"/>
          <w:color w:val="auto"/>
        </w:rPr>
        <w:t>未通过符合性审查的投标人，其投标将被认定为投标无效，不能进入下一阶段评审。通过符合性审查的投标人数量不足 3 家的，不得作进一步的比较和评价。</w:t>
      </w:r>
    </w:p>
    <w:p>
      <w:pPr>
        <w:adjustRightInd w:val="0"/>
        <w:snapToGrid w:val="0"/>
        <w:spacing w:before="156" w:beforeLines="50" w:line="360" w:lineRule="auto"/>
        <w:jc w:val="left"/>
        <w:rPr>
          <w:rFonts w:ascii="黑体" w:hAnsi="黑体" w:eastAsia="黑体"/>
          <w:b/>
          <w:color w:val="auto"/>
          <w:sz w:val="24"/>
        </w:rPr>
      </w:pPr>
      <w:r>
        <w:rPr>
          <w:rFonts w:hint="eastAsia" w:ascii="黑体" w:hAnsi="黑体" w:eastAsia="黑体"/>
          <w:b/>
          <w:color w:val="auto"/>
          <w:sz w:val="24"/>
        </w:rPr>
        <w:t>2.投标无效</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2.1投标人存在下列情况之一的，符合性审查不合格，投标无效：</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（1）投标文件中商务技术文件未按照招标文件规定要求签署、盖章的；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（2）投标文件没有对招标文件的实质性要求和条件作出响应，或者对招标文件的偏离超出招标文件规定的偏离</w:t>
      </w:r>
      <w:r>
        <w:rPr>
          <w:rFonts w:hint="eastAsia" w:asciiTheme="minorEastAsia" w:hAnsiTheme="minorEastAsia" w:eastAsiaTheme="minorEastAsia"/>
          <w:color w:val="auto"/>
        </w:rPr>
        <w:t>范围和幅度</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（3）投标有效期不足的；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（4）投标文件含有采购人不能接受的附加条件的；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（5）不符合本节第1.1款规定符合性审查标准的；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（6）法律、法规和招标文件规定的其他投标无效情形的。</w:t>
      </w:r>
    </w:p>
    <w:p>
      <w:pPr>
        <w:adjustRightInd w:val="0"/>
        <w:snapToGrid w:val="0"/>
        <w:spacing w:before="156" w:beforeLines="50" w:line="360" w:lineRule="auto"/>
        <w:ind w:firstLine="420" w:firstLineChars="200"/>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2.2在评标过程中发现投标人有不遵循公平竞争的原则，恶意串通，妨碍其他投标人的竞争行为，损害采购人或者其他投标人的合法权益的，评标委员会应当认定其</w:t>
      </w:r>
      <w:r>
        <w:rPr>
          <w:rFonts w:hint="eastAsia" w:asciiTheme="minorEastAsia" w:hAnsiTheme="minorEastAsia" w:eastAsiaTheme="minorEastAsia"/>
          <w:b/>
          <w:color w:val="auto"/>
          <w:kern w:val="0"/>
          <w:szCs w:val="21"/>
        </w:rPr>
        <w:t>投标无效</w:t>
      </w:r>
      <w:r>
        <w:rPr>
          <w:rFonts w:hint="eastAsia" w:asciiTheme="minorEastAsia" w:hAnsiTheme="minorEastAsia" w:eastAsiaTheme="minorEastAsia"/>
          <w:color w:val="auto"/>
          <w:kern w:val="0"/>
          <w:szCs w:val="21"/>
        </w:rPr>
        <w:t>，并书面报告本级财政部门。</w:t>
      </w:r>
    </w:p>
    <w:p>
      <w:pPr>
        <w:rPr>
          <w:color w:val="auto"/>
        </w:rPr>
      </w:pPr>
    </w:p>
    <w:p>
      <w:pPr>
        <w:widowControl/>
        <w:jc w:val="left"/>
        <w:rPr>
          <w:rFonts w:ascii="黑体" w:hAnsi="黑体"/>
          <w:b/>
          <w:color w:val="auto"/>
          <w:szCs w:val="21"/>
        </w:rPr>
      </w:pPr>
      <w:r>
        <w:rPr>
          <w:rFonts w:ascii="黑体" w:hAnsi="黑体"/>
          <w:b/>
          <w:color w:val="auto"/>
          <w:szCs w:val="21"/>
        </w:rPr>
        <w:br w:type="page"/>
      </w:r>
    </w:p>
    <w:p>
      <w:pPr>
        <w:pStyle w:val="6"/>
        <w:adjustRightInd w:val="0"/>
        <w:snapToGrid w:val="0"/>
        <w:spacing w:before="156" w:beforeLines="50" w:after="0" w:line="360" w:lineRule="auto"/>
        <w:rPr>
          <w:color w:val="auto"/>
          <w:sz w:val="21"/>
          <w:szCs w:val="21"/>
        </w:rPr>
      </w:pPr>
      <w:bookmarkStart w:id="81" w:name="_Toc2722"/>
      <w:bookmarkStart w:id="82" w:name="_Toc20651227"/>
      <w:bookmarkStart w:id="83" w:name="_Toc29913940"/>
      <w:r>
        <w:rPr>
          <w:rFonts w:hint="eastAsia"/>
          <w:color w:val="auto"/>
          <w:sz w:val="21"/>
          <w:szCs w:val="21"/>
        </w:rPr>
        <w:t>附表1 符合性审查表</w:t>
      </w:r>
      <w:bookmarkEnd w:id="81"/>
      <w:bookmarkEnd w:id="82"/>
    </w:p>
    <w:p>
      <w:pPr>
        <w:adjustRightInd w:val="0"/>
        <w:snapToGrid w:val="0"/>
        <w:spacing w:before="156"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符合性审查表</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                                           采购代理编号： </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686"/>
        <w:gridCol w:w="569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序号</w:t>
            </w:r>
          </w:p>
        </w:tc>
        <w:tc>
          <w:tcPr>
            <w:tcW w:w="2686"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审查项目</w:t>
            </w:r>
          </w:p>
        </w:tc>
        <w:tc>
          <w:tcPr>
            <w:tcW w:w="5691"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1</w:t>
            </w:r>
          </w:p>
        </w:tc>
        <w:tc>
          <w:tcPr>
            <w:tcW w:w="2686" w:type="dxa"/>
            <w:vAlign w:val="center"/>
          </w:tcPr>
          <w:p>
            <w:pPr>
              <w:adjustRightInd w:val="0"/>
              <w:snapToGrid w:val="0"/>
              <w:spacing w:before="157" w:beforeLines="50"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投标有效期满足招标文件要求</w:t>
            </w:r>
          </w:p>
        </w:tc>
        <w:tc>
          <w:tcPr>
            <w:tcW w:w="5691" w:type="dxa"/>
            <w:vAlign w:val="center"/>
          </w:tcPr>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投标文件有效期满足招标文件要求90 日</w:t>
            </w:r>
            <w:r>
              <w:rPr>
                <w:rFonts w:hint="eastAsia"/>
                <w:color w:val="auto"/>
                <w:kern w:val="0"/>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2</w:t>
            </w:r>
          </w:p>
        </w:tc>
        <w:tc>
          <w:tcPr>
            <w:tcW w:w="2686" w:type="dxa"/>
            <w:vAlign w:val="center"/>
          </w:tcPr>
          <w:p>
            <w:pPr>
              <w:autoSpaceDE w:val="0"/>
              <w:autoSpaceDN w:val="0"/>
              <w:adjustRightInd w:val="0"/>
              <w:snapToGrid w:val="0"/>
              <w:spacing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付款方式和条件满足招标文件要求</w:t>
            </w:r>
          </w:p>
        </w:tc>
        <w:tc>
          <w:tcPr>
            <w:tcW w:w="5691" w:type="dxa"/>
            <w:vAlign w:val="center"/>
          </w:tcPr>
          <w:p>
            <w:pPr>
              <w:adjustRightInd w:val="0"/>
              <w:snapToGrid w:val="0"/>
              <w:spacing w:line="240" w:lineRule="auto"/>
              <w:contextualSpacing/>
              <w:rPr>
                <w:b/>
                <w:color w:val="auto"/>
                <w:sz w:val="18"/>
                <w:szCs w:val="18"/>
                <w:highlight w:val="none"/>
              </w:rPr>
            </w:pPr>
            <w:r>
              <w:rPr>
                <w:b/>
                <w:color w:val="auto"/>
                <w:sz w:val="18"/>
                <w:szCs w:val="18"/>
                <w:highlight w:val="none"/>
              </w:rPr>
              <w:t>合同价款支付方式：</w:t>
            </w:r>
          </w:p>
          <w:p>
            <w:pPr>
              <w:adjustRightInd w:val="0"/>
              <w:snapToGrid w:val="0"/>
              <w:spacing w:line="240" w:lineRule="auto"/>
              <w:contextualSpacing/>
              <w:rPr>
                <w:rFonts w:hint="eastAsia" w:ascii="Times New Roman" w:hAnsi="Times New Roman" w:cs="Times New Roman"/>
                <w:b/>
                <w:color w:val="auto"/>
                <w:sz w:val="18"/>
                <w:szCs w:val="18"/>
                <w:highlight w:val="none"/>
              </w:rPr>
            </w:pPr>
            <w:r>
              <w:rPr>
                <w:rFonts w:hint="eastAsia"/>
                <w:b/>
                <w:color w:val="auto"/>
                <w:sz w:val="18"/>
                <w:szCs w:val="18"/>
                <w:highlight w:val="none"/>
              </w:rPr>
              <w:t>货到安装调试合格后，项目经采购人验收合格后，乙方须提供正式税务发票（开具正规且有效的发票）供甲方办理付款手续。甲方按照</w:t>
            </w:r>
            <w:r>
              <w:rPr>
                <w:rFonts w:hint="eastAsia"/>
                <w:b/>
                <w:color w:val="auto"/>
                <w:sz w:val="18"/>
                <w:szCs w:val="18"/>
                <w:highlight w:val="none"/>
                <w:lang w:eastAsia="zh-CN"/>
              </w:rPr>
              <w:t>市财政</w:t>
            </w:r>
            <w:r>
              <w:rPr>
                <w:rFonts w:hint="eastAsia"/>
                <w:b/>
                <w:color w:val="auto"/>
                <w:sz w:val="18"/>
                <w:szCs w:val="18"/>
                <w:highlight w:val="none"/>
                <w:lang w:val="en-US" w:eastAsia="zh-CN"/>
              </w:rPr>
              <w:t>报账</w:t>
            </w:r>
            <w:r>
              <w:rPr>
                <w:rFonts w:hint="eastAsia"/>
                <w:b/>
                <w:color w:val="auto"/>
                <w:sz w:val="18"/>
                <w:szCs w:val="18"/>
                <w:highlight w:val="none"/>
              </w:rPr>
              <w:t>相关政策履行付款手续，支付合同金额的97%</w:t>
            </w:r>
            <w:r>
              <w:rPr>
                <w:rFonts w:hint="eastAsia"/>
                <w:b/>
                <w:color w:val="auto"/>
                <w:sz w:val="18"/>
                <w:szCs w:val="18"/>
                <w:highlight w:val="none"/>
                <w:lang w:eastAsia="zh-CN"/>
              </w:rPr>
              <w:t>，</w:t>
            </w:r>
            <w:r>
              <w:rPr>
                <w:rFonts w:hint="default" w:ascii="Times New Roman" w:hAnsi="Times New Roman" w:cs="Times New Roman"/>
                <w:b/>
                <w:color w:val="auto"/>
                <w:sz w:val="18"/>
                <w:szCs w:val="18"/>
                <w:highlight w:val="none"/>
                <w:lang w:val="en-US" w:eastAsia="zh-CN"/>
              </w:rPr>
              <w:t>所剩</w:t>
            </w:r>
            <w:r>
              <w:rPr>
                <w:rFonts w:hint="eastAsia" w:ascii="Times New Roman" w:hAnsi="Times New Roman" w:cs="Times New Roman"/>
                <w:b/>
                <w:color w:val="auto"/>
                <w:sz w:val="18"/>
                <w:szCs w:val="18"/>
                <w:highlight w:val="none"/>
                <w:lang w:val="en-US" w:eastAsia="zh-CN"/>
              </w:rPr>
              <w:t>3</w:t>
            </w:r>
            <w:r>
              <w:rPr>
                <w:rFonts w:hint="default" w:ascii="Times New Roman" w:hAnsi="Times New Roman" w:cs="Times New Roman"/>
                <w:b/>
                <w:color w:val="auto"/>
                <w:sz w:val="18"/>
                <w:szCs w:val="18"/>
                <w:highlight w:val="none"/>
                <w:lang w:val="en-US" w:eastAsia="zh-CN"/>
              </w:rPr>
              <w:t>%的余款作为质保金，待免费质保期满无任何纠纷一次性付清（余款不计利息）。</w:t>
            </w:r>
          </w:p>
          <w:p>
            <w:pPr>
              <w:adjustRightInd w:val="0"/>
              <w:snapToGrid w:val="0"/>
              <w:spacing w:line="240" w:lineRule="auto"/>
              <w:contextualSpacing/>
              <w:rPr>
                <w:b/>
                <w:color w:val="auto"/>
                <w:sz w:val="18"/>
                <w:szCs w:val="18"/>
                <w:highlight w:val="none"/>
              </w:rPr>
            </w:pPr>
            <w:r>
              <w:rPr>
                <w:b/>
                <w:color w:val="auto"/>
                <w:sz w:val="18"/>
                <w:szCs w:val="18"/>
                <w:highlight w:val="none"/>
              </w:rPr>
              <w:t>支付凭证：</w:t>
            </w:r>
          </w:p>
          <w:p>
            <w:pPr>
              <w:adjustRightInd w:val="0"/>
              <w:snapToGrid w:val="0"/>
              <w:spacing w:line="240" w:lineRule="auto"/>
              <w:contextualSpacing/>
              <w:rPr>
                <w:rFonts w:cs="宋体" w:asciiTheme="minorEastAsia" w:hAnsiTheme="minorEastAsia" w:eastAsiaTheme="minorEastAsia"/>
                <w:color w:val="auto"/>
                <w:kern w:val="0"/>
                <w:szCs w:val="21"/>
              </w:rPr>
            </w:pPr>
            <w:r>
              <w:rPr>
                <w:rFonts w:hint="eastAsia"/>
                <w:color w:val="auto"/>
                <w:kern w:val="0"/>
                <w:sz w:val="18"/>
                <w:szCs w:val="18"/>
                <w:highlight w:val="none"/>
              </w:rPr>
              <w:t>双方签订的合同、当地政府相关部门验收合格证、供应商开具的相应发票。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3</w:t>
            </w:r>
          </w:p>
        </w:tc>
        <w:tc>
          <w:tcPr>
            <w:tcW w:w="2686" w:type="dxa"/>
            <w:vAlign w:val="center"/>
          </w:tcPr>
          <w:p>
            <w:pPr>
              <w:autoSpaceDE w:val="0"/>
              <w:autoSpaceDN w:val="0"/>
              <w:adjustRightInd w:val="0"/>
              <w:snapToGrid w:val="0"/>
              <w:spacing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免费质量保证期满足招标文件要求</w:t>
            </w:r>
          </w:p>
        </w:tc>
        <w:tc>
          <w:tcPr>
            <w:tcW w:w="5691" w:type="dxa"/>
            <w:vAlign w:val="center"/>
          </w:tcPr>
          <w:p>
            <w:pPr>
              <w:adjustRightInd w:val="0"/>
              <w:snapToGrid w:val="0"/>
              <w:spacing w:line="240" w:lineRule="auto"/>
              <w:contextualSpacing/>
              <w:rPr>
                <w:rFonts w:cs="宋体" w:asciiTheme="minorEastAsia" w:hAnsiTheme="minorEastAsia" w:eastAsiaTheme="minorEastAsia"/>
                <w:color w:val="auto"/>
                <w:kern w:val="0"/>
                <w:szCs w:val="21"/>
              </w:rPr>
            </w:pPr>
            <w:r>
              <w:rPr>
                <w:rFonts w:hint="eastAsia" w:ascii="Times New Roman" w:hAnsi="Times New Roman" w:eastAsia="宋体"/>
                <w:color w:val="auto"/>
                <w:kern w:val="0"/>
                <w:sz w:val="18"/>
                <w:szCs w:val="18"/>
                <w:highlight w:val="none"/>
                <w:lang w:val="en-US" w:eastAsia="zh-CN" w:bidi="ar-SA"/>
              </w:rPr>
              <w:t>本项目</w:t>
            </w:r>
            <w:r>
              <w:rPr>
                <w:rFonts w:hint="eastAsia"/>
                <w:color w:val="auto"/>
                <w:kern w:val="0"/>
                <w:sz w:val="18"/>
                <w:szCs w:val="18"/>
                <w:highlight w:val="none"/>
                <w:lang w:val="en-US" w:eastAsia="zh-CN" w:bidi="ar-SA"/>
              </w:rPr>
              <w:t>产品</w:t>
            </w:r>
            <w:r>
              <w:rPr>
                <w:rFonts w:hint="eastAsia" w:ascii="Times New Roman" w:hAnsi="Times New Roman" w:eastAsia="宋体"/>
                <w:color w:val="auto"/>
                <w:kern w:val="0"/>
                <w:sz w:val="18"/>
                <w:szCs w:val="18"/>
                <w:highlight w:val="none"/>
                <w:lang w:val="en-US" w:eastAsia="zh-CN" w:bidi="ar-SA"/>
              </w:rPr>
              <w:t>整体原厂免费质保5年（详见采购需求）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4</w:t>
            </w:r>
          </w:p>
        </w:tc>
        <w:tc>
          <w:tcPr>
            <w:tcW w:w="2686" w:type="dxa"/>
            <w:vAlign w:val="center"/>
          </w:tcPr>
          <w:p>
            <w:pPr>
              <w:autoSpaceDE w:val="0"/>
              <w:autoSpaceDN w:val="0"/>
              <w:adjustRightInd w:val="0"/>
              <w:snapToGrid w:val="0"/>
              <w:spacing w:line="240" w:lineRule="auto"/>
              <w:contextualSpacing/>
              <w:jc w:val="center"/>
              <w:rPr>
                <w:rFonts w:asciiTheme="minorEastAsia" w:hAnsiTheme="minorEastAsia" w:eastAsiaTheme="minorEastAsia"/>
                <w:color w:val="auto"/>
                <w:kern w:val="0"/>
                <w:szCs w:val="21"/>
              </w:rPr>
            </w:pPr>
            <w:r>
              <w:rPr>
                <w:color w:val="auto"/>
                <w:sz w:val="18"/>
                <w:szCs w:val="18"/>
                <w:highlight w:val="none"/>
              </w:rPr>
              <w:t>履行合同的时间、地点及方式</w:t>
            </w:r>
          </w:p>
        </w:tc>
        <w:tc>
          <w:tcPr>
            <w:tcW w:w="5691" w:type="dxa"/>
            <w:vAlign w:val="center"/>
          </w:tcPr>
          <w:p>
            <w:pPr>
              <w:adjustRightInd w:val="0"/>
              <w:snapToGrid w:val="0"/>
              <w:spacing w:before="157" w:beforeLines="50" w:line="240" w:lineRule="auto"/>
              <w:contextualSpacing/>
              <w:jc w:val="left"/>
              <w:rPr>
                <w:rFonts w:hint="eastAsia" w:ascii="Times New Roman" w:hAnsi="Times New Roman" w:eastAsia="宋体"/>
                <w:color w:val="auto"/>
                <w:kern w:val="0"/>
                <w:sz w:val="18"/>
                <w:szCs w:val="18"/>
                <w:highlight w:val="none"/>
                <w:lang w:val="en-US" w:eastAsia="zh-CN" w:bidi="ar-SA"/>
              </w:rPr>
            </w:pPr>
            <w:r>
              <w:rPr>
                <w:rFonts w:hint="eastAsia" w:ascii="Times New Roman" w:hAnsi="Times New Roman" w:eastAsia="宋体"/>
                <w:color w:val="auto"/>
                <w:kern w:val="0"/>
                <w:sz w:val="18"/>
                <w:szCs w:val="18"/>
                <w:highlight w:val="none"/>
                <w:lang w:val="en-US" w:eastAsia="zh-CN" w:bidi="ar-SA"/>
              </w:rPr>
              <w:t>1、交货期限：签订合同后1个月内完成交付并安装到位</w:t>
            </w:r>
            <w:r>
              <w:rPr>
                <w:rFonts w:hint="eastAsia"/>
                <w:color w:val="auto"/>
                <w:kern w:val="0"/>
                <w:sz w:val="18"/>
                <w:szCs w:val="18"/>
                <w:highlight w:val="none"/>
                <w:lang w:val="en-US" w:eastAsia="zh-CN" w:bidi="ar-SA"/>
              </w:rPr>
              <w:t>。</w:t>
            </w:r>
          </w:p>
          <w:p>
            <w:pPr>
              <w:adjustRightInd w:val="0"/>
              <w:snapToGrid w:val="0"/>
              <w:spacing w:before="157" w:beforeLines="50" w:line="240" w:lineRule="auto"/>
              <w:contextualSpacing/>
              <w:jc w:val="left"/>
              <w:rPr>
                <w:rFonts w:hint="eastAsia" w:ascii="Times New Roman" w:hAnsi="Times New Roman" w:eastAsia="宋体"/>
                <w:color w:val="auto"/>
                <w:kern w:val="0"/>
                <w:sz w:val="18"/>
                <w:szCs w:val="18"/>
                <w:highlight w:val="none"/>
                <w:lang w:val="en-US" w:eastAsia="zh-CN" w:bidi="ar-SA"/>
              </w:rPr>
            </w:pPr>
            <w:r>
              <w:rPr>
                <w:rFonts w:hint="eastAsia" w:ascii="Times New Roman" w:hAnsi="Times New Roman" w:eastAsia="宋体"/>
                <w:color w:val="auto"/>
                <w:kern w:val="0"/>
                <w:sz w:val="18"/>
                <w:szCs w:val="18"/>
                <w:highlight w:val="none"/>
                <w:lang w:val="en-US" w:eastAsia="zh-CN" w:bidi="ar-SA"/>
              </w:rPr>
              <w:t>2、交货地点：</w:t>
            </w:r>
            <w:r>
              <w:rPr>
                <w:rFonts w:hint="eastAsia"/>
                <w:color w:val="auto"/>
                <w:kern w:val="0"/>
                <w:sz w:val="18"/>
                <w:szCs w:val="18"/>
                <w:highlight w:val="none"/>
                <w:lang w:val="en-US" w:eastAsia="zh-CN" w:bidi="ar-SA"/>
              </w:rPr>
              <w:t>郴州职业技术学院</w:t>
            </w:r>
          </w:p>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rFonts w:hint="eastAsia" w:ascii="Times New Roman" w:hAnsi="Times New Roman" w:eastAsia="宋体"/>
                <w:color w:val="auto"/>
                <w:kern w:val="0"/>
                <w:sz w:val="18"/>
                <w:szCs w:val="18"/>
                <w:highlight w:val="none"/>
                <w:lang w:val="en-US" w:eastAsia="zh-CN" w:bidi="ar-SA"/>
              </w:rPr>
              <w:t>3、交货方式：中标人免费运送至采购人指定地点并验收合格。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5</w:t>
            </w:r>
          </w:p>
        </w:tc>
        <w:tc>
          <w:tcPr>
            <w:tcW w:w="2686" w:type="dxa"/>
            <w:vAlign w:val="center"/>
          </w:tcPr>
          <w:p>
            <w:pPr>
              <w:autoSpaceDE w:val="0"/>
              <w:autoSpaceDN w:val="0"/>
              <w:adjustRightInd w:val="0"/>
              <w:snapToGrid w:val="0"/>
              <w:spacing w:line="240" w:lineRule="auto"/>
              <w:contextualSpacing/>
              <w:jc w:val="center"/>
              <w:rPr>
                <w:rFonts w:asciiTheme="minorEastAsia" w:hAnsiTheme="minorEastAsia" w:eastAsiaTheme="minorEastAsia"/>
                <w:color w:val="auto"/>
                <w:kern w:val="0"/>
                <w:szCs w:val="21"/>
              </w:rPr>
            </w:pPr>
            <w:r>
              <w:rPr>
                <w:color w:val="auto"/>
                <w:kern w:val="0"/>
                <w:sz w:val="18"/>
                <w:szCs w:val="18"/>
                <w:highlight w:val="none"/>
              </w:rPr>
              <w:t>投标文件中商务技术文件按照招标文件规定要求签署、盖章的</w:t>
            </w:r>
          </w:p>
        </w:tc>
        <w:tc>
          <w:tcPr>
            <w:tcW w:w="5691" w:type="dxa"/>
            <w:vAlign w:val="center"/>
          </w:tcPr>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投标文件按照招标文件要求签署、盖章</w:t>
            </w:r>
            <w:r>
              <w:rPr>
                <w:rFonts w:hint="eastAsia"/>
                <w:color w:val="auto"/>
                <w:kern w:val="0"/>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6</w:t>
            </w:r>
          </w:p>
        </w:tc>
        <w:tc>
          <w:tcPr>
            <w:tcW w:w="2686" w:type="dxa"/>
            <w:vAlign w:val="center"/>
          </w:tcPr>
          <w:p>
            <w:pPr>
              <w:autoSpaceDE w:val="0"/>
              <w:autoSpaceDN w:val="0"/>
              <w:adjustRightInd w:val="0"/>
              <w:snapToGrid w:val="0"/>
              <w:spacing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投标文件对招标文件的实质性要求和条件作出响应，或者对招标文件的偏离没有超出招标文件规定的偏离范围和幅度</w:t>
            </w:r>
          </w:p>
        </w:tc>
        <w:tc>
          <w:tcPr>
            <w:tcW w:w="5691" w:type="dxa"/>
            <w:vAlign w:val="center"/>
          </w:tcPr>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对招标文件实质性性条款响应符合招标文件要求</w:t>
            </w:r>
            <w:r>
              <w:rPr>
                <w:rFonts w:hint="eastAsia"/>
                <w:color w:val="auto"/>
                <w:kern w:val="0"/>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7</w:t>
            </w:r>
          </w:p>
        </w:tc>
        <w:tc>
          <w:tcPr>
            <w:tcW w:w="2686" w:type="dxa"/>
            <w:vAlign w:val="center"/>
          </w:tcPr>
          <w:p>
            <w:pPr>
              <w:autoSpaceDE w:val="0"/>
              <w:autoSpaceDN w:val="0"/>
              <w:adjustRightInd w:val="0"/>
              <w:snapToGrid w:val="0"/>
              <w:spacing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投标文件没有采购人不能接受的附加条件的</w:t>
            </w:r>
          </w:p>
        </w:tc>
        <w:tc>
          <w:tcPr>
            <w:tcW w:w="5691" w:type="dxa"/>
            <w:vAlign w:val="center"/>
          </w:tcPr>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符合招标文件要求</w:t>
            </w:r>
            <w:r>
              <w:rPr>
                <w:rFonts w:hint="eastAsia"/>
                <w:color w:val="auto"/>
                <w:kern w:val="0"/>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8</w:t>
            </w:r>
          </w:p>
        </w:tc>
        <w:tc>
          <w:tcPr>
            <w:tcW w:w="2686" w:type="dxa"/>
            <w:vAlign w:val="center"/>
          </w:tcPr>
          <w:p>
            <w:pPr>
              <w:autoSpaceDE w:val="0"/>
              <w:autoSpaceDN w:val="0"/>
              <w:adjustRightInd w:val="0"/>
              <w:snapToGrid w:val="0"/>
              <w:spacing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投标文件中没有不符合法律、法规和招标文件其他实质性规定的</w:t>
            </w:r>
          </w:p>
        </w:tc>
        <w:tc>
          <w:tcPr>
            <w:tcW w:w="5691" w:type="dxa"/>
            <w:vAlign w:val="center"/>
          </w:tcPr>
          <w:p>
            <w:pPr>
              <w:autoSpaceDE w:val="0"/>
              <w:autoSpaceDN w:val="0"/>
              <w:adjustRightInd w:val="0"/>
              <w:snapToGrid w:val="0"/>
              <w:spacing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投标文件中没有不符合法律、法规和招标文件其他实质性规定的</w:t>
            </w:r>
            <w:r>
              <w:rPr>
                <w:rFonts w:hint="eastAsia"/>
                <w:color w:val="auto"/>
                <w:kern w:val="0"/>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9</w:t>
            </w:r>
          </w:p>
        </w:tc>
        <w:tc>
          <w:tcPr>
            <w:tcW w:w="2686" w:type="dxa"/>
            <w:vAlign w:val="center"/>
          </w:tcPr>
          <w:p>
            <w:pPr>
              <w:adjustRightInd w:val="0"/>
              <w:snapToGrid w:val="0"/>
              <w:spacing w:before="157" w:beforeLines="50" w:line="240" w:lineRule="auto"/>
              <w:contextualSpacing/>
              <w:jc w:val="center"/>
              <w:rPr>
                <w:rFonts w:asciiTheme="minorEastAsia" w:hAnsiTheme="minorEastAsia" w:eastAsiaTheme="minorEastAsia"/>
                <w:color w:val="auto"/>
                <w:kern w:val="0"/>
                <w:szCs w:val="21"/>
              </w:rPr>
            </w:pPr>
            <w:r>
              <w:rPr>
                <w:color w:val="auto"/>
                <w:sz w:val="18"/>
                <w:szCs w:val="18"/>
                <w:highlight w:val="none"/>
              </w:rPr>
              <w:t>满足和响应招标文件中带“</w:t>
            </w:r>
            <w:r>
              <w:rPr>
                <w:rFonts w:hint="eastAsia" w:ascii="宋体" w:hAnsi="宋体" w:cs="宋体"/>
                <w:color w:val="auto"/>
                <w:sz w:val="18"/>
                <w:szCs w:val="18"/>
                <w:highlight w:val="none"/>
              </w:rPr>
              <w:t>★</w:t>
            </w:r>
            <w:r>
              <w:rPr>
                <w:color w:val="auto"/>
                <w:sz w:val="18"/>
                <w:szCs w:val="18"/>
                <w:highlight w:val="none"/>
              </w:rPr>
              <w:t>”要求的</w:t>
            </w:r>
          </w:p>
        </w:tc>
        <w:tc>
          <w:tcPr>
            <w:tcW w:w="5691" w:type="dxa"/>
            <w:vAlign w:val="center"/>
          </w:tcPr>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完全</w:t>
            </w:r>
            <w:r>
              <w:rPr>
                <w:color w:val="auto"/>
                <w:sz w:val="18"/>
                <w:szCs w:val="18"/>
                <w:highlight w:val="none"/>
              </w:rPr>
              <w:t>满足和响应招标文件中带“</w:t>
            </w:r>
            <w:r>
              <w:rPr>
                <w:rFonts w:hint="eastAsia" w:ascii="宋体" w:hAnsi="宋体" w:cs="宋体"/>
                <w:color w:val="auto"/>
                <w:sz w:val="18"/>
                <w:szCs w:val="18"/>
                <w:highlight w:val="none"/>
              </w:rPr>
              <w:t>★</w:t>
            </w:r>
            <w:r>
              <w:rPr>
                <w:color w:val="auto"/>
                <w:sz w:val="18"/>
                <w:szCs w:val="18"/>
                <w:highlight w:val="none"/>
              </w:rPr>
              <w:t>”要求的</w:t>
            </w:r>
            <w:r>
              <w:rPr>
                <w:rFonts w:hint="eastAsia"/>
                <w:color w:val="auto"/>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rFonts w:hint="eastAsia" w:cs="宋体" w:asciiTheme="minorEastAsia" w:hAnsiTheme="minorEastAsia" w:eastAsiaTheme="minorEastAsia"/>
                <w:color w:val="auto"/>
                <w:kern w:val="0"/>
                <w:sz w:val="20"/>
                <w:szCs w:val="21"/>
              </w:rPr>
              <w:t>结论</w:t>
            </w:r>
          </w:p>
        </w:tc>
        <w:tc>
          <w:tcPr>
            <w:tcW w:w="8377" w:type="dxa"/>
            <w:gridSpan w:val="2"/>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color w:val="auto"/>
                <w:kern w:val="0"/>
                <w:sz w:val="20"/>
                <w:szCs w:val="21"/>
                <w:highlight w:val="none"/>
              </w:rPr>
              <w:t>合格/不合格</w:t>
            </w:r>
          </w:p>
        </w:tc>
      </w:tr>
    </w:tbl>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p>
    <w:p>
      <w:pPr>
        <w:widowControl/>
        <w:jc w:val="left"/>
        <w:rPr>
          <w:rFonts w:hint="eastAsia" w:ascii="宋体" w:hAnsi="宋体" w:eastAsia="宋体" w:cs="宋体"/>
          <w:color w:val="auto"/>
          <w:highlight w:val="none"/>
        </w:rPr>
      </w:pPr>
      <w:r>
        <w:rPr>
          <w:rFonts w:hint="eastAsia" w:ascii="宋体" w:hAnsi="宋体" w:eastAsia="宋体" w:cs="宋体"/>
          <w:b/>
          <w:bCs/>
          <w:color w:val="auto"/>
          <w:kern w:val="0"/>
          <w:szCs w:val="21"/>
          <w:highlight w:val="none"/>
          <w:lang w:bidi="ar"/>
        </w:rPr>
        <w:t xml:space="preserve">注：1、上述内容符合的用“√”表示，不符合的用“×”表示，结论填写“合格”或“不合格”。 </w:t>
      </w:r>
    </w:p>
    <w:p>
      <w:pPr>
        <w:widowControl/>
        <w:jc w:val="left"/>
        <w:rPr>
          <w:rFonts w:hint="eastAsia" w:ascii="宋体" w:hAnsi="宋体" w:eastAsia="宋体" w:cs="宋体"/>
          <w:color w:val="auto"/>
          <w:highlight w:val="none"/>
        </w:rPr>
      </w:pPr>
      <w:r>
        <w:rPr>
          <w:rFonts w:hint="eastAsia" w:ascii="宋体" w:hAnsi="宋体" w:eastAsia="宋体" w:cs="宋体"/>
          <w:b/>
          <w:bCs/>
          <w:color w:val="auto"/>
          <w:kern w:val="0"/>
          <w:szCs w:val="21"/>
          <w:highlight w:val="none"/>
          <w:lang w:bidi="ar"/>
        </w:rPr>
        <w:t xml:space="preserve">2、以上内容有一项不符合要求的，属于符合性审查综合评定结果为不合格，其投标无效。通 </w:t>
      </w:r>
    </w:p>
    <w:p>
      <w:pPr>
        <w:widowControl/>
        <w:jc w:val="left"/>
        <w:rPr>
          <w:rFonts w:asciiTheme="minorEastAsia" w:hAnsiTheme="minorEastAsia" w:eastAsiaTheme="minorEastAsia"/>
          <w:color w:val="auto"/>
          <w:szCs w:val="21"/>
        </w:rPr>
      </w:pPr>
      <w:r>
        <w:rPr>
          <w:rFonts w:hint="eastAsia" w:ascii="宋体" w:hAnsi="宋体" w:eastAsia="宋体" w:cs="宋体"/>
          <w:b/>
          <w:bCs/>
          <w:color w:val="auto"/>
          <w:kern w:val="0"/>
          <w:szCs w:val="21"/>
          <w:highlight w:val="none"/>
          <w:lang w:bidi="ar"/>
        </w:rPr>
        <w:t>过符合性审查的合格投标人不足 3 家的，不得进入比较和评价环节。</w:t>
      </w:r>
      <w:r>
        <w:rPr>
          <w:rFonts w:asciiTheme="minorEastAsia" w:hAnsiTheme="minorEastAsia" w:eastAsiaTheme="minorEastAsia"/>
          <w:color w:val="auto"/>
          <w:szCs w:val="21"/>
        </w:rPr>
        <w:br w:type="page"/>
      </w:r>
    </w:p>
    <w:p>
      <w:pPr>
        <w:pStyle w:val="6"/>
        <w:rPr>
          <w:color w:val="auto"/>
          <w:sz w:val="21"/>
          <w:szCs w:val="21"/>
        </w:rPr>
      </w:pPr>
      <w:bookmarkStart w:id="84" w:name="_Toc21195"/>
      <w:bookmarkStart w:id="85" w:name="_Toc20651228"/>
      <w:r>
        <w:rPr>
          <w:rFonts w:hint="eastAsia"/>
          <w:color w:val="auto"/>
          <w:sz w:val="21"/>
          <w:szCs w:val="21"/>
        </w:rPr>
        <w:t>附表2 符合性审查结果一览表</w:t>
      </w:r>
      <w:bookmarkEnd w:id="84"/>
      <w:bookmarkEnd w:id="85"/>
    </w:p>
    <w:p>
      <w:pPr>
        <w:adjustRightInd w:val="0"/>
        <w:snapToGrid w:val="0"/>
        <w:spacing w:before="156"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符合性审查结果一览表</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项目名称：                                           采购代理编号：</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序号</w:t>
            </w:r>
          </w:p>
        </w:tc>
        <w:tc>
          <w:tcPr>
            <w:tcW w:w="2963"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投标人名称</w:t>
            </w:r>
          </w:p>
        </w:tc>
        <w:tc>
          <w:tcPr>
            <w:tcW w:w="2439"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符合性审查结果</w:t>
            </w:r>
          </w:p>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（合格/不合格）</w:t>
            </w:r>
          </w:p>
        </w:tc>
        <w:tc>
          <w:tcPr>
            <w:tcW w:w="2961"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符合性审查不合格原因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bl>
    <w:p>
      <w:pPr>
        <w:widowControl/>
        <w:jc w:val="left"/>
        <w:rPr>
          <w:rFonts w:ascii="黑体" w:hAnsi="黑体" w:eastAsia="黑体"/>
          <w:bCs/>
          <w:color w:val="auto"/>
          <w:szCs w:val="21"/>
        </w:rPr>
      </w:pPr>
      <w:r>
        <w:rPr>
          <w:rFonts w:ascii="黑体" w:hAnsi="黑体"/>
          <w:b/>
          <w:color w:val="auto"/>
          <w:szCs w:val="21"/>
        </w:rPr>
        <w:br w:type="page"/>
      </w:r>
    </w:p>
    <w:p>
      <w:pPr>
        <w:pStyle w:val="6"/>
        <w:rPr>
          <w:color w:val="auto"/>
          <w:sz w:val="21"/>
          <w:szCs w:val="21"/>
        </w:rPr>
      </w:pPr>
      <w:bookmarkStart w:id="86" w:name="_Toc20651229"/>
      <w:bookmarkStart w:id="87" w:name="_Toc4323"/>
      <w:r>
        <w:rPr>
          <w:rFonts w:hint="eastAsia"/>
          <w:color w:val="auto"/>
          <w:sz w:val="21"/>
          <w:szCs w:val="21"/>
        </w:rPr>
        <w:t>附表3 符合性审查合格投标人名单</w:t>
      </w:r>
      <w:bookmarkEnd w:id="86"/>
      <w:bookmarkEnd w:id="87"/>
    </w:p>
    <w:p>
      <w:pPr>
        <w:adjustRightInd w:val="0"/>
        <w:snapToGrid w:val="0"/>
        <w:spacing w:before="156"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符合性审查合格投标人名单</w:t>
      </w:r>
    </w:p>
    <w:p>
      <w:pPr>
        <w:adjustRightInd w:val="0"/>
        <w:snapToGrid w:val="0"/>
        <w:spacing w:before="156" w:beforeLines="50" w:line="360" w:lineRule="auto"/>
        <w:rPr>
          <w:rFonts w:ascii="华文中宋" w:hAnsi="华文中宋" w:eastAsia="华文中宋"/>
          <w:color w:val="auto"/>
          <w:sz w:val="32"/>
          <w:szCs w:val="32"/>
        </w:rPr>
      </w:pPr>
      <w:r>
        <w:rPr>
          <w:rFonts w:hint="eastAsia" w:asciiTheme="minorEastAsia" w:hAnsiTheme="minorEastAsia" w:eastAsiaTheme="minorEastAsia"/>
          <w:color w:val="auto"/>
          <w:szCs w:val="21"/>
        </w:rPr>
        <w:t>项目名称：                                        采购代理编号：</w:t>
      </w:r>
    </w:p>
    <w:tbl>
      <w:tblPr>
        <w:tblStyle w:val="44"/>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pPr>
              <w:jc w:val="center"/>
              <w:rPr>
                <w:b/>
                <w:color w:val="auto"/>
                <w:kern w:val="0"/>
                <w:szCs w:val="21"/>
              </w:rPr>
            </w:pPr>
            <w:r>
              <w:rPr>
                <w:rFonts w:hint="eastAsia"/>
                <w:b/>
                <w:color w:val="auto"/>
                <w:kern w:val="0"/>
                <w:szCs w:val="21"/>
              </w:rPr>
              <w:t>序号</w:t>
            </w:r>
          </w:p>
        </w:tc>
        <w:tc>
          <w:tcPr>
            <w:tcW w:w="7796" w:type="dxa"/>
            <w:vAlign w:val="center"/>
          </w:tcPr>
          <w:p>
            <w:pPr>
              <w:jc w:val="center"/>
              <w:rPr>
                <w:b/>
                <w:color w:val="auto"/>
                <w:kern w:val="0"/>
                <w:szCs w:val="21"/>
              </w:rPr>
            </w:pPr>
            <w:r>
              <w:rPr>
                <w:rFonts w:hint="eastAsia"/>
                <w:b/>
                <w:color w:val="auto"/>
                <w:kern w:val="0"/>
                <w:szCs w:val="21"/>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Cs w:val="21"/>
              </w:rPr>
            </w:pPr>
          </w:p>
        </w:tc>
        <w:tc>
          <w:tcPr>
            <w:tcW w:w="7796" w:type="dxa"/>
          </w:tcPr>
          <w:p>
            <w:pPr>
              <w:adjustRightInd w:val="0"/>
              <w:snapToGrid w:val="0"/>
              <w:spacing w:line="360" w:lineRule="auto"/>
              <w:rPr>
                <w:rFonts w:asciiTheme="minorEastAsia" w:hAnsiTheme="minorEastAsia" w:eastAsiaTheme="minorEastAsia"/>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bl>
    <w:p>
      <w:pPr>
        <w:rPr>
          <w:color w:val="auto"/>
          <w:w w:val="90"/>
        </w:rPr>
      </w:pPr>
    </w:p>
    <w:p>
      <w:pPr>
        <w:rPr>
          <w:rFonts w:ascii="黑体" w:hAnsi="黑体" w:eastAsia="黑体"/>
          <w:b/>
          <w:color w:val="auto"/>
          <w:sz w:val="32"/>
          <w:szCs w:val="32"/>
        </w:rPr>
      </w:pPr>
    </w:p>
    <w:p>
      <w:pPr>
        <w:keepNext/>
        <w:keepLines/>
        <w:adjustRightInd w:val="0"/>
        <w:snapToGrid w:val="0"/>
        <w:spacing w:line="360" w:lineRule="auto"/>
        <w:jc w:val="center"/>
        <w:outlineLvl w:val="1"/>
        <w:rPr>
          <w:rFonts w:ascii="黑体" w:hAnsi="华文中宋" w:eastAsia="黑体"/>
          <w:b/>
          <w:bCs/>
          <w:color w:val="auto"/>
          <w:sz w:val="28"/>
          <w:szCs w:val="28"/>
        </w:rPr>
      </w:pPr>
      <w:r>
        <w:rPr>
          <w:rFonts w:ascii="黑体" w:hAnsi="黑体" w:eastAsia="黑体"/>
          <w:color w:val="auto"/>
          <w:sz w:val="32"/>
        </w:rPr>
        <w:br w:type="page"/>
      </w:r>
      <w:bookmarkStart w:id="88" w:name="_Toc13265"/>
      <w:r>
        <w:rPr>
          <w:rFonts w:hint="eastAsia" w:ascii="黑体" w:hAnsi="华文中宋" w:eastAsia="黑体"/>
          <w:b/>
          <w:bCs/>
          <w:color w:val="auto"/>
          <w:sz w:val="28"/>
          <w:szCs w:val="28"/>
        </w:rPr>
        <w:t>第四节 投标文件的比较与评价</w:t>
      </w:r>
      <w:bookmarkEnd w:id="83"/>
      <w:bookmarkEnd w:id="88"/>
    </w:p>
    <w:p>
      <w:pPr>
        <w:widowControl/>
        <w:adjustRightInd w:val="0"/>
        <w:snapToGrid w:val="0"/>
        <w:spacing w:before="156" w:beforeLines="50" w:line="360" w:lineRule="auto"/>
        <w:jc w:val="left"/>
        <w:rPr>
          <w:rFonts w:ascii="黑体" w:hAnsi="黑体" w:eastAsia="黑体"/>
          <w:b/>
          <w:color w:val="auto"/>
          <w:sz w:val="24"/>
        </w:rPr>
      </w:pPr>
      <w:r>
        <w:rPr>
          <w:rFonts w:hint="eastAsia" w:ascii="黑体" w:hAnsi="黑体" w:eastAsia="黑体"/>
          <w:b/>
          <w:color w:val="auto"/>
          <w:sz w:val="24"/>
        </w:rPr>
        <w:t>1.最低评标价法</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1.1最低评标价，是指投标文件满足招标文件全部实质性要求，且投标报价最低的投标人为中标候选人的评标方法。</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1.2采用最低评标价法评标时，除了算术修正和落实政府采购政策需进行的价格扣除外，不对投标人的投标价格进行任何调整。</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1.3未通过符合性审查的投标文件不得进入比较与评价。</w:t>
      </w:r>
    </w:p>
    <w:p>
      <w:pPr>
        <w:adjustRightInd w:val="0"/>
        <w:snapToGrid w:val="0"/>
        <w:spacing w:before="156" w:beforeLines="50" w:line="360" w:lineRule="auto"/>
        <w:jc w:val="left"/>
        <w:rPr>
          <w:rFonts w:ascii="黑体" w:hAnsi="黑体" w:eastAsia="黑体"/>
          <w:b/>
          <w:bCs/>
          <w:color w:val="auto"/>
          <w:sz w:val="24"/>
        </w:rPr>
      </w:pPr>
      <w:r>
        <w:rPr>
          <w:rFonts w:hint="eastAsia" w:ascii="黑体" w:hAnsi="黑体" w:eastAsia="黑体"/>
          <w:b/>
          <w:bCs/>
          <w:color w:val="auto"/>
          <w:sz w:val="24"/>
        </w:rPr>
        <w:t>2.</w:t>
      </w:r>
      <w:r>
        <w:rPr>
          <w:rFonts w:hint="eastAsia"/>
          <w:color w:val="auto"/>
        </w:rPr>
        <w:t xml:space="preserve"> </w:t>
      </w:r>
      <w:r>
        <w:rPr>
          <w:rFonts w:hint="eastAsia" w:ascii="黑体" w:hAnsi="黑体" w:eastAsia="黑体"/>
          <w:b/>
          <w:bCs/>
          <w:color w:val="auto"/>
          <w:sz w:val="24"/>
        </w:rPr>
        <w:t>投标报价算术修正</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2.1如果有算术错误，投标报价将按本章第二节第4.2款、第4.3款规定进行算术修正。</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highlight w:val="yellow"/>
        </w:rPr>
        <w:t>2.2需落实政府采购政策（价格评审优惠）的，按本章第一节评标方法及标准前附表和第二节第</w:t>
      </w:r>
      <w:r>
        <w:rPr>
          <w:rFonts w:asciiTheme="minorEastAsia" w:hAnsiTheme="minorEastAsia" w:eastAsiaTheme="minorEastAsia"/>
          <w:bCs/>
          <w:color w:val="auto"/>
          <w:szCs w:val="21"/>
          <w:highlight w:val="yellow"/>
        </w:rPr>
        <w:t>5.</w:t>
      </w:r>
      <w:r>
        <w:rPr>
          <w:rFonts w:hint="eastAsia" w:asciiTheme="minorEastAsia" w:hAnsiTheme="minorEastAsia" w:eastAsiaTheme="minorEastAsia"/>
          <w:bCs/>
          <w:color w:val="auto"/>
          <w:szCs w:val="21"/>
          <w:highlight w:val="yellow"/>
          <w:lang w:val="en-US" w:eastAsia="zh-CN"/>
        </w:rPr>
        <w:t>4</w:t>
      </w:r>
      <w:r>
        <w:rPr>
          <w:rFonts w:hint="eastAsia" w:asciiTheme="minorEastAsia" w:hAnsiTheme="minorEastAsia" w:eastAsiaTheme="minorEastAsia"/>
          <w:bCs/>
          <w:color w:val="auto"/>
          <w:szCs w:val="21"/>
          <w:highlight w:val="yellow"/>
        </w:rPr>
        <w:t>（1）项的相关规定进行价格调整。</w:t>
      </w:r>
    </w:p>
    <w:p>
      <w:pPr>
        <w:adjustRightInd w:val="0"/>
        <w:snapToGrid w:val="0"/>
        <w:spacing w:before="156" w:beforeLines="50" w:line="360" w:lineRule="auto"/>
        <w:jc w:val="left"/>
        <w:rPr>
          <w:rFonts w:ascii="黑体" w:hAnsi="黑体" w:eastAsia="黑体"/>
          <w:b/>
          <w:bCs/>
          <w:color w:val="auto"/>
          <w:sz w:val="24"/>
        </w:rPr>
      </w:pPr>
      <w:r>
        <w:rPr>
          <w:rFonts w:hint="eastAsia" w:ascii="黑体" w:hAnsi="黑体" w:eastAsia="黑体"/>
          <w:b/>
          <w:bCs/>
          <w:color w:val="auto"/>
          <w:sz w:val="24"/>
        </w:rPr>
        <w:t>3.落实政府采购政策</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3.1需落实政府采购政策（价格评审优惠、优先采购）的，按第二章“投标须知”及本章第二节第5.</w:t>
      </w:r>
      <w:r>
        <w:rPr>
          <w:rFonts w:hint="eastAsia" w:asciiTheme="minorEastAsia" w:hAnsiTheme="minorEastAsia" w:eastAsiaTheme="minorEastAsia"/>
          <w:bCs/>
          <w:color w:val="auto"/>
          <w:szCs w:val="21"/>
          <w:lang w:val="en-US" w:eastAsia="zh-CN"/>
        </w:rPr>
        <w:t>4</w:t>
      </w:r>
      <w:r>
        <w:rPr>
          <w:rFonts w:hint="eastAsia" w:asciiTheme="minorEastAsia" w:hAnsiTheme="minorEastAsia" w:eastAsiaTheme="minorEastAsia"/>
          <w:bCs/>
          <w:color w:val="auto"/>
          <w:szCs w:val="21"/>
        </w:rPr>
        <w:t>款的相关规定进行价格调整。</w:t>
      </w:r>
    </w:p>
    <w:p>
      <w:pPr>
        <w:adjustRightInd w:val="0"/>
        <w:snapToGrid w:val="0"/>
        <w:spacing w:before="156" w:beforeLines="50" w:line="360" w:lineRule="auto"/>
        <w:jc w:val="left"/>
        <w:rPr>
          <w:rFonts w:ascii="黑体" w:hAnsi="黑体" w:eastAsia="黑体"/>
          <w:b/>
          <w:bCs/>
          <w:color w:val="auto"/>
          <w:sz w:val="24"/>
        </w:rPr>
      </w:pPr>
      <w:r>
        <w:rPr>
          <w:rFonts w:hint="eastAsia" w:ascii="黑体" w:hAnsi="黑体" w:eastAsia="黑体"/>
          <w:b/>
          <w:bCs/>
          <w:color w:val="auto"/>
          <w:sz w:val="24"/>
        </w:rPr>
        <w:t>4.中标候选人的推荐方法</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4.1评标委员会对满足招标文件全部实质性要求的投标人，且根据本章本节第2.1款、第2.2款计算出评标价并排序，最终评标价最低（排名第一）的投标人将被确定为中标候选人。</w:t>
      </w:r>
    </w:p>
    <w:p>
      <w:pPr>
        <w:widowControl/>
        <w:ind w:firstLine="420" w:firstLineChars="200"/>
        <w:jc w:val="left"/>
        <w:rPr>
          <w:rFonts w:ascii="黑体" w:hAnsi="华文中宋" w:eastAsia="黑体"/>
          <w:b/>
          <w:bCs/>
          <w:color w:val="auto"/>
          <w:sz w:val="32"/>
          <w:szCs w:val="32"/>
        </w:rPr>
      </w:pPr>
      <w:r>
        <w:rPr>
          <w:rFonts w:hint="eastAsia" w:asciiTheme="minorEastAsia" w:hAnsiTheme="minorEastAsia" w:eastAsiaTheme="minorEastAsia"/>
          <w:bCs/>
          <w:color w:val="auto"/>
          <w:szCs w:val="21"/>
        </w:rPr>
        <w:t>4.2投标报价相同的并列，按本章第二节规定确定中标候选人。</w:t>
      </w:r>
    </w:p>
    <w:p>
      <w:pPr>
        <w:widowControl/>
        <w:jc w:val="left"/>
        <w:rPr>
          <w:rFonts w:ascii="黑体" w:hAnsi="华文中宋" w:eastAsia="黑体"/>
          <w:b/>
          <w:bCs/>
          <w:color w:val="auto"/>
          <w:sz w:val="32"/>
          <w:szCs w:val="32"/>
        </w:rPr>
      </w:pPr>
      <w:r>
        <w:rPr>
          <w:rFonts w:ascii="黑体" w:hAnsi="华文中宋" w:eastAsia="黑体"/>
          <w:color w:val="auto"/>
          <w:sz w:val="32"/>
          <w:szCs w:val="32"/>
        </w:rPr>
        <w:br w:type="page"/>
      </w:r>
    </w:p>
    <w:p>
      <w:pPr>
        <w:rPr>
          <w:color w:val="auto"/>
        </w:rPr>
      </w:pPr>
    </w:p>
    <w:p>
      <w:pPr>
        <w:pStyle w:val="4"/>
        <w:keepNext w:val="0"/>
        <w:adjustRightInd w:val="0"/>
        <w:snapToGrid w:val="0"/>
        <w:spacing w:before="156" w:beforeLines="50" w:line="360" w:lineRule="auto"/>
        <w:rPr>
          <w:rFonts w:ascii="黑体" w:hAnsi="华文中宋" w:eastAsia="黑体"/>
          <w:color w:val="auto"/>
          <w:sz w:val="32"/>
          <w:szCs w:val="32"/>
        </w:rPr>
      </w:pPr>
      <w:bookmarkStart w:id="89" w:name="_Toc29913941"/>
      <w:bookmarkStart w:id="90" w:name="_Toc4246"/>
      <w:r>
        <w:rPr>
          <w:rFonts w:hint="eastAsia" w:ascii="黑体" w:hAnsi="华文中宋" w:eastAsia="黑体"/>
          <w:color w:val="auto"/>
          <w:sz w:val="32"/>
          <w:szCs w:val="32"/>
        </w:rPr>
        <w:t>第五章 采购需求</w:t>
      </w:r>
      <w:bookmarkEnd w:id="89"/>
      <w:bookmarkEnd w:id="90"/>
    </w:p>
    <w:p>
      <w:pPr>
        <w:pStyle w:val="5"/>
        <w:adjustRightInd w:val="0"/>
        <w:snapToGrid w:val="0"/>
        <w:spacing w:before="156" w:beforeLines="50"/>
        <w:jc w:val="center"/>
        <w:rPr>
          <w:rFonts w:hint="eastAsia" w:ascii="黑体" w:hAnsi="黑体" w:eastAsia="黑体"/>
          <w:color w:val="auto"/>
          <w:sz w:val="28"/>
          <w:szCs w:val="28"/>
        </w:rPr>
      </w:pPr>
      <w:bookmarkStart w:id="91" w:name="_Toc29913942"/>
      <w:bookmarkStart w:id="92" w:name="_Toc21000"/>
      <w:r>
        <w:rPr>
          <w:rFonts w:hint="eastAsia" w:ascii="黑体" w:hAnsi="黑体" w:eastAsia="黑体"/>
          <w:color w:val="auto"/>
          <w:sz w:val="28"/>
          <w:szCs w:val="28"/>
        </w:rPr>
        <w:t>第一节 采购清单一览表</w:t>
      </w:r>
      <w:bookmarkEnd w:id="91"/>
      <w:bookmarkEnd w:id="92"/>
    </w:p>
    <w:p>
      <w:pPr>
        <w:rPr>
          <w:color w:val="auto"/>
        </w:rPr>
      </w:pPr>
    </w:p>
    <w:tbl>
      <w:tblPr>
        <w:tblStyle w:val="43"/>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1134"/>
        <w:gridCol w:w="1560"/>
        <w:gridCol w:w="850"/>
        <w:gridCol w:w="851"/>
        <w:gridCol w:w="99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vAlign w:val="center"/>
          </w:tcPr>
          <w:p>
            <w:pPr>
              <w:adjustRightInd w:val="0"/>
              <w:snapToGrid w:val="0"/>
              <w:spacing w:line="360" w:lineRule="auto"/>
              <w:jc w:val="center"/>
              <w:rPr>
                <w:color w:val="auto"/>
                <w:szCs w:val="21"/>
              </w:rPr>
            </w:pPr>
            <w:r>
              <w:rPr>
                <w:rFonts w:hint="eastAsia"/>
                <w:color w:val="auto"/>
                <w:szCs w:val="21"/>
              </w:rPr>
              <w:t>包号</w:t>
            </w:r>
          </w:p>
        </w:tc>
        <w:tc>
          <w:tcPr>
            <w:tcW w:w="957" w:type="dxa"/>
            <w:vMerge w:val="restart"/>
            <w:vAlign w:val="center"/>
          </w:tcPr>
          <w:p>
            <w:pPr>
              <w:adjustRightInd w:val="0"/>
              <w:snapToGrid w:val="0"/>
              <w:spacing w:line="360" w:lineRule="auto"/>
              <w:jc w:val="center"/>
              <w:rPr>
                <w:color w:val="auto"/>
                <w:szCs w:val="21"/>
              </w:rPr>
            </w:pPr>
            <w:r>
              <w:rPr>
                <w:rFonts w:hint="eastAsia"/>
                <w:color w:val="auto"/>
                <w:szCs w:val="21"/>
              </w:rPr>
              <w:t>包名称</w:t>
            </w:r>
          </w:p>
        </w:tc>
        <w:tc>
          <w:tcPr>
            <w:tcW w:w="2124" w:type="dxa"/>
            <w:vMerge w:val="restart"/>
            <w:vAlign w:val="center"/>
          </w:tcPr>
          <w:p>
            <w:pPr>
              <w:adjustRightInd w:val="0"/>
              <w:snapToGrid w:val="0"/>
              <w:spacing w:line="360" w:lineRule="auto"/>
              <w:jc w:val="center"/>
              <w:rPr>
                <w:color w:val="auto"/>
                <w:szCs w:val="21"/>
              </w:rPr>
            </w:pPr>
            <w:r>
              <w:rPr>
                <w:rFonts w:hint="eastAsia"/>
                <w:color w:val="auto"/>
                <w:szCs w:val="21"/>
              </w:rPr>
              <w:t>分项项目名称</w:t>
            </w:r>
          </w:p>
          <w:p>
            <w:pPr>
              <w:adjustRightInd w:val="0"/>
              <w:snapToGrid w:val="0"/>
              <w:spacing w:line="360" w:lineRule="auto"/>
              <w:jc w:val="center"/>
              <w:rPr>
                <w:color w:val="auto"/>
                <w:szCs w:val="21"/>
              </w:rPr>
            </w:pPr>
            <w:r>
              <w:rPr>
                <w:rFonts w:hint="eastAsia"/>
                <w:color w:val="auto"/>
                <w:szCs w:val="21"/>
              </w:rPr>
              <w:t>（条目号/品目名称）</w:t>
            </w:r>
          </w:p>
        </w:tc>
        <w:tc>
          <w:tcPr>
            <w:tcW w:w="1134" w:type="dxa"/>
            <w:vMerge w:val="restart"/>
            <w:tcBorders>
              <w:left w:val="single" w:color="auto" w:sz="4" w:space="0"/>
            </w:tcBorders>
            <w:vAlign w:val="center"/>
          </w:tcPr>
          <w:p>
            <w:pPr>
              <w:adjustRightInd w:val="0"/>
              <w:snapToGrid w:val="0"/>
              <w:spacing w:line="360" w:lineRule="auto"/>
              <w:jc w:val="center"/>
              <w:rPr>
                <w:color w:val="auto"/>
                <w:szCs w:val="21"/>
              </w:rPr>
            </w:pPr>
            <w:r>
              <w:rPr>
                <w:rFonts w:ascii="宋体" w:hAnsi="宋体" w:cs="宋体"/>
                <w:color w:val="auto"/>
                <w:kern w:val="0"/>
                <w:szCs w:val="21"/>
              </w:rPr>
              <w:t>是否接受进口设备</w:t>
            </w:r>
          </w:p>
        </w:tc>
        <w:tc>
          <w:tcPr>
            <w:tcW w:w="1560" w:type="dxa"/>
            <w:vMerge w:val="restart"/>
            <w:vAlign w:val="center"/>
          </w:tcPr>
          <w:p>
            <w:pPr>
              <w:adjustRightInd w:val="0"/>
              <w:snapToGrid w:val="0"/>
              <w:spacing w:line="360" w:lineRule="auto"/>
              <w:jc w:val="center"/>
              <w:rPr>
                <w:color w:val="auto"/>
                <w:szCs w:val="21"/>
              </w:rPr>
            </w:pPr>
            <w:r>
              <w:rPr>
                <w:rFonts w:hint="eastAsia"/>
                <w:color w:val="auto"/>
                <w:szCs w:val="21"/>
              </w:rPr>
              <w:t>数量（台套）</w:t>
            </w:r>
          </w:p>
        </w:tc>
        <w:tc>
          <w:tcPr>
            <w:tcW w:w="1701" w:type="dxa"/>
            <w:gridSpan w:val="2"/>
            <w:vAlign w:val="center"/>
          </w:tcPr>
          <w:p>
            <w:pPr>
              <w:adjustRightInd w:val="0"/>
              <w:snapToGrid w:val="0"/>
              <w:spacing w:line="360" w:lineRule="auto"/>
              <w:jc w:val="center"/>
              <w:rPr>
                <w:color w:val="auto"/>
                <w:szCs w:val="21"/>
              </w:rPr>
            </w:pPr>
            <w:r>
              <w:rPr>
                <w:rFonts w:hint="eastAsia"/>
                <w:color w:val="auto"/>
                <w:szCs w:val="21"/>
              </w:rPr>
              <w:t>交货要求</w:t>
            </w:r>
          </w:p>
        </w:tc>
        <w:tc>
          <w:tcPr>
            <w:tcW w:w="992" w:type="dxa"/>
            <w:vMerge w:val="restart"/>
            <w:vAlign w:val="center"/>
          </w:tcPr>
          <w:p>
            <w:pPr>
              <w:adjustRightInd w:val="0"/>
              <w:snapToGrid w:val="0"/>
              <w:spacing w:line="360" w:lineRule="auto"/>
              <w:jc w:val="center"/>
              <w:rPr>
                <w:color w:val="auto"/>
                <w:szCs w:val="21"/>
              </w:rPr>
            </w:pPr>
            <w:r>
              <w:rPr>
                <w:rFonts w:hint="eastAsia"/>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4" w:hRule="atLeast"/>
        </w:trPr>
        <w:tc>
          <w:tcPr>
            <w:tcW w:w="429" w:type="dxa"/>
            <w:vMerge w:val="continue"/>
            <w:vAlign w:val="center"/>
          </w:tcPr>
          <w:p>
            <w:pPr>
              <w:adjustRightInd w:val="0"/>
              <w:snapToGrid w:val="0"/>
              <w:spacing w:before="156" w:beforeLines="50" w:line="360" w:lineRule="auto"/>
              <w:jc w:val="center"/>
              <w:rPr>
                <w:color w:val="auto"/>
                <w:szCs w:val="21"/>
              </w:rPr>
            </w:pPr>
          </w:p>
        </w:tc>
        <w:tc>
          <w:tcPr>
            <w:tcW w:w="957" w:type="dxa"/>
            <w:vMerge w:val="continue"/>
            <w:vAlign w:val="center"/>
          </w:tcPr>
          <w:p>
            <w:pPr>
              <w:adjustRightInd w:val="0"/>
              <w:snapToGrid w:val="0"/>
              <w:spacing w:before="156" w:beforeLines="50" w:line="360" w:lineRule="auto"/>
              <w:jc w:val="center"/>
              <w:rPr>
                <w:color w:val="auto"/>
                <w:szCs w:val="21"/>
              </w:rPr>
            </w:pPr>
          </w:p>
        </w:tc>
        <w:tc>
          <w:tcPr>
            <w:tcW w:w="2124" w:type="dxa"/>
            <w:vMerge w:val="continue"/>
            <w:vAlign w:val="center"/>
          </w:tcPr>
          <w:p>
            <w:pPr>
              <w:adjustRightInd w:val="0"/>
              <w:snapToGrid w:val="0"/>
              <w:spacing w:before="156" w:beforeLines="50" w:line="360" w:lineRule="auto"/>
              <w:jc w:val="center"/>
              <w:rPr>
                <w:color w:val="auto"/>
                <w:szCs w:val="21"/>
              </w:rPr>
            </w:pPr>
          </w:p>
        </w:tc>
        <w:tc>
          <w:tcPr>
            <w:tcW w:w="1134" w:type="dxa"/>
            <w:vMerge w:val="continue"/>
            <w:tcBorders>
              <w:left w:val="single" w:color="auto" w:sz="4" w:space="0"/>
            </w:tcBorders>
            <w:vAlign w:val="center"/>
          </w:tcPr>
          <w:p>
            <w:pPr>
              <w:adjustRightInd w:val="0"/>
              <w:snapToGrid w:val="0"/>
              <w:spacing w:before="156" w:beforeLines="50" w:line="360" w:lineRule="auto"/>
              <w:jc w:val="center"/>
              <w:rPr>
                <w:color w:val="auto"/>
                <w:szCs w:val="21"/>
              </w:rPr>
            </w:pPr>
          </w:p>
        </w:tc>
        <w:tc>
          <w:tcPr>
            <w:tcW w:w="1560" w:type="dxa"/>
            <w:vMerge w:val="continue"/>
            <w:vAlign w:val="center"/>
          </w:tcPr>
          <w:p>
            <w:pPr>
              <w:adjustRightInd w:val="0"/>
              <w:snapToGrid w:val="0"/>
              <w:spacing w:before="156" w:beforeLines="50" w:line="360" w:lineRule="auto"/>
              <w:jc w:val="center"/>
              <w:rPr>
                <w:color w:val="auto"/>
                <w:szCs w:val="21"/>
              </w:rPr>
            </w:pPr>
          </w:p>
        </w:tc>
        <w:tc>
          <w:tcPr>
            <w:tcW w:w="850" w:type="dxa"/>
            <w:vAlign w:val="center"/>
          </w:tcPr>
          <w:p>
            <w:pPr>
              <w:adjustRightInd w:val="0"/>
              <w:snapToGrid w:val="0"/>
              <w:spacing w:before="156" w:beforeLines="50" w:line="360" w:lineRule="auto"/>
              <w:jc w:val="center"/>
              <w:rPr>
                <w:color w:val="auto"/>
                <w:szCs w:val="21"/>
              </w:rPr>
            </w:pPr>
            <w:r>
              <w:rPr>
                <w:rFonts w:hint="eastAsia"/>
                <w:color w:val="auto"/>
                <w:szCs w:val="21"/>
              </w:rPr>
              <w:t>时间</w:t>
            </w:r>
          </w:p>
        </w:tc>
        <w:tc>
          <w:tcPr>
            <w:tcW w:w="851" w:type="dxa"/>
            <w:vAlign w:val="center"/>
          </w:tcPr>
          <w:p>
            <w:pPr>
              <w:adjustRightInd w:val="0"/>
              <w:snapToGrid w:val="0"/>
              <w:spacing w:before="156" w:beforeLines="50" w:line="360" w:lineRule="auto"/>
              <w:jc w:val="center"/>
              <w:rPr>
                <w:color w:val="auto"/>
                <w:szCs w:val="21"/>
              </w:rPr>
            </w:pPr>
            <w:r>
              <w:rPr>
                <w:rFonts w:hint="eastAsia"/>
                <w:color w:val="auto"/>
                <w:szCs w:val="21"/>
              </w:rPr>
              <w:t>地点</w:t>
            </w:r>
          </w:p>
        </w:tc>
        <w:tc>
          <w:tcPr>
            <w:tcW w:w="992" w:type="dxa"/>
            <w:vMerge w:val="continue"/>
            <w:vAlign w:val="center"/>
          </w:tcPr>
          <w:p>
            <w:pPr>
              <w:adjustRightInd w:val="0"/>
              <w:snapToGrid w:val="0"/>
              <w:spacing w:before="156" w:beforeLines="50" w:line="360" w:lineRule="auto"/>
              <w:jc w:val="cente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51" w:hRule="atLeast"/>
        </w:trPr>
        <w:tc>
          <w:tcPr>
            <w:tcW w:w="429" w:type="dxa"/>
            <w:vAlign w:val="center"/>
          </w:tcPr>
          <w:p>
            <w:pPr>
              <w:adjustRightInd w:val="0"/>
              <w:snapToGrid w:val="0"/>
              <w:spacing w:before="156" w:beforeLines="50" w:line="360" w:lineRule="auto"/>
              <w:jc w:val="center"/>
              <w:rPr>
                <w:rFonts w:hint="default" w:eastAsia="宋体"/>
                <w:color w:val="auto"/>
                <w:szCs w:val="21"/>
                <w:lang w:val="en-US" w:eastAsia="zh-CN"/>
              </w:rPr>
            </w:pPr>
            <w:r>
              <w:rPr>
                <w:rFonts w:hint="eastAsia"/>
                <w:color w:val="auto"/>
                <w:szCs w:val="21"/>
                <w:lang w:val="en-US" w:eastAsia="zh-CN"/>
              </w:rPr>
              <w:t>01</w:t>
            </w:r>
          </w:p>
        </w:tc>
        <w:tc>
          <w:tcPr>
            <w:tcW w:w="957" w:type="dxa"/>
            <w:vAlign w:val="center"/>
          </w:tcPr>
          <w:p>
            <w:pPr>
              <w:pStyle w:val="24"/>
              <w:numPr>
                <w:ilvl w:val="0"/>
                <w:numId w:val="0"/>
              </w:numPr>
              <w:tabs>
                <w:tab w:val="left" w:pos="0"/>
              </w:tabs>
              <w:adjustRightInd w:val="0"/>
              <w:snapToGrid w:val="0"/>
              <w:spacing w:line="360" w:lineRule="auto"/>
              <w:ind w:left="0" w:leftChars="0" w:firstLine="0" w:firstLineChars="0"/>
              <w:contextualSpacing/>
              <w:jc w:val="center"/>
              <w:outlineLvl w:val="2"/>
              <w:rPr>
                <w:rFonts w:hint="eastAsia" w:ascii="Times New Roman" w:hAnsi="Times New Roman" w:eastAsia="宋体" w:cs="Courier New"/>
                <w:color w:val="auto"/>
                <w:kern w:val="2"/>
                <w:sz w:val="21"/>
                <w:szCs w:val="21"/>
                <w:highlight w:val="none"/>
                <w:lang w:val="en-US" w:eastAsia="zh-CN" w:bidi="ar-SA"/>
              </w:rPr>
            </w:pPr>
            <w:r>
              <w:rPr>
                <w:rFonts w:hint="eastAsia" w:ascii="Times New Roman" w:hAnsi="Times New Roman" w:cs="Courier New"/>
                <w:color w:val="auto"/>
                <w:kern w:val="2"/>
                <w:sz w:val="21"/>
                <w:szCs w:val="21"/>
                <w:highlight w:val="none"/>
                <w:lang w:val="en-US" w:eastAsia="zh-CN" w:bidi="ar-SA"/>
              </w:rPr>
              <w:t>教室课桌椅更换项目</w:t>
            </w:r>
          </w:p>
        </w:tc>
        <w:tc>
          <w:tcPr>
            <w:tcW w:w="2124" w:type="dxa"/>
            <w:vAlign w:val="center"/>
          </w:tcPr>
          <w:p>
            <w:pPr>
              <w:pStyle w:val="24"/>
              <w:numPr>
                <w:ilvl w:val="0"/>
                <w:numId w:val="0"/>
              </w:numPr>
              <w:tabs>
                <w:tab w:val="left" w:pos="0"/>
              </w:tabs>
              <w:adjustRightInd w:val="0"/>
              <w:snapToGrid w:val="0"/>
              <w:spacing w:line="360" w:lineRule="auto"/>
              <w:ind w:left="0" w:leftChars="0" w:firstLine="0" w:firstLineChars="0"/>
              <w:contextualSpacing/>
              <w:jc w:val="center"/>
              <w:outlineLvl w:val="2"/>
              <w:rPr>
                <w:rFonts w:hint="eastAsia" w:ascii="Times New Roman" w:hAnsi="Times New Roman" w:eastAsia="宋体" w:cs="Courier New"/>
                <w:color w:val="auto"/>
                <w:kern w:val="2"/>
                <w:sz w:val="21"/>
                <w:szCs w:val="21"/>
                <w:highlight w:val="none"/>
                <w:lang w:val="en-US" w:eastAsia="zh-CN" w:bidi="ar-SA"/>
              </w:rPr>
            </w:pPr>
            <w:r>
              <w:rPr>
                <w:rFonts w:hint="eastAsia" w:ascii="Times New Roman" w:hAnsi="Times New Roman" w:cs="Courier New"/>
                <w:color w:val="auto"/>
                <w:kern w:val="2"/>
                <w:sz w:val="21"/>
                <w:szCs w:val="21"/>
                <w:highlight w:val="none"/>
                <w:lang w:val="en-US" w:eastAsia="zh-CN" w:bidi="ar-SA"/>
              </w:rPr>
              <w:t>教室课桌椅更换项目</w:t>
            </w:r>
          </w:p>
        </w:tc>
        <w:tc>
          <w:tcPr>
            <w:tcW w:w="1134" w:type="dxa"/>
            <w:tcBorders>
              <w:left w:val="single" w:color="auto" w:sz="4" w:space="0"/>
            </w:tcBorders>
            <w:vAlign w:val="center"/>
          </w:tcPr>
          <w:p>
            <w:pPr>
              <w:adjustRightInd w:val="0"/>
              <w:snapToGrid w:val="0"/>
              <w:spacing w:before="156" w:beforeLines="50" w:line="360" w:lineRule="auto"/>
              <w:jc w:val="center"/>
              <w:rPr>
                <w:rFonts w:hint="eastAsia" w:eastAsia="宋体"/>
                <w:color w:val="auto"/>
                <w:szCs w:val="21"/>
                <w:lang w:val="en-US" w:eastAsia="zh-CN"/>
              </w:rPr>
            </w:pPr>
            <w:r>
              <w:rPr>
                <w:rFonts w:hint="eastAsia"/>
                <w:color w:val="auto"/>
                <w:szCs w:val="21"/>
                <w:lang w:val="en-US" w:eastAsia="zh-CN"/>
              </w:rPr>
              <w:t>否</w:t>
            </w:r>
          </w:p>
        </w:tc>
        <w:tc>
          <w:tcPr>
            <w:tcW w:w="1560" w:type="dxa"/>
            <w:vAlign w:val="center"/>
          </w:tcPr>
          <w:p>
            <w:pPr>
              <w:adjustRightInd w:val="0"/>
              <w:snapToGrid w:val="0"/>
              <w:spacing w:before="156" w:beforeLines="50" w:line="360" w:lineRule="auto"/>
              <w:jc w:val="center"/>
              <w:rPr>
                <w:rFonts w:hint="default" w:eastAsia="宋体"/>
                <w:color w:val="auto"/>
                <w:szCs w:val="21"/>
                <w:lang w:val="en-US" w:eastAsia="zh-CN"/>
              </w:rPr>
            </w:pPr>
            <w:r>
              <w:rPr>
                <w:rFonts w:hint="eastAsia"/>
                <w:color w:val="auto"/>
                <w:szCs w:val="21"/>
                <w:lang w:val="en-US" w:eastAsia="zh-CN"/>
              </w:rPr>
              <w:t>1985套</w:t>
            </w:r>
          </w:p>
        </w:tc>
        <w:tc>
          <w:tcPr>
            <w:tcW w:w="850" w:type="dxa"/>
            <w:vAlign w:val="center"/>
          </w:tcPr>
          <w:p>
            <w:pPr>
              <w:adjustRightInd w:val="0"/>
              <w:snapToGrid w:val="0"/>
              <w:spacing w:before="156" w:beforeLines="50" w:line="360" w:lineRule="auto"/>
              <w:jc w:val="center"/>
              <w:rPr>
                <w:rFonts w:hint="default" w:eastAsia="宋体"/>
                <w:color w:val="auto"/>
                <w:szCs w:val="21"/>
                <w:lang w:val="en-US" w:eastAsia="zh-CN"/>
              </w:rPr>
            </w:pPr>
            <w:r>
              <w:rPr>
                <w:rFonts w:hint="eastAsia"/>
                <w:color w:val="auto"/>
                <w:szCs w:val="21"/>
                <w:lang w:val="en-US" w:eastAsia="zh-CN"/>
              </w:rPr>
              <w:t>签订合同后30天内</w:t>
            </w:r>
          </w:p>
        </w:tc>
        <w:tc>
          <w:tcPr>
            <w:tcW w:w="851" w:type="dxa"/>
            <w:vAlign w:val="center"/>
          </w:tcPr>
          <w:p>
            <w:pPr>
              <w:adjustRightInd w:val="0"/>
              <w:snapToGrid w:val="0"/>
              <w:spacing w:before="156" w:beforeLines="50" w:line="360" w:lineRule="auto"/>
              <w:jc w:val="center"/>
              <w:rPr>
                <w:rFonts w:hint="default" w:eastAsia="宋体"/>
                <w:color w:val="auto"/>
                <w:szCs w:val="21"/>
                <w:lang w:val="en-US" w:eastAsia="zh-CN"/>
              </w:rPr>
            </w:pPr>
            <w:r>
              <w:rPr>
                <w:rFonts w:hint="eastAsia"/>
                <w:color w:val="auto"/>
                <w:szCs w:val="21"/>
                <w:lang w:val="en-US" w:eastAsia="zh-CN"/>
              </w:rPr>
              <w:t>郴州职业技术学院</w:t>
            </w:r>
          </w:p>
        </w:tc>
        <w:tc>
          <w:tcPr>
            <w:tcW w:w="992" w:type="dxa"/>
            <w:vAlign w:val="center"/>
          </w:tcPr>
          <w:p>
            <w:pPr>
              <w:adjustRightInd w:val="0"/>
              <w:snapToGrid w:val="0"/>
              <w:spacing w:before="156" w:beforeLines="50" w:line="360" w:lineRule="auto"/>
              <w:jc w:val="center"/>
              <w:rPr>
                <w:color w:val="auto"/>
                <w:szCs w:val="21"/>
              </w:rPr>
            </w:pPr>
          </w:p>
        </w:tc>
      </w:tr>
    </w:tbl>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注：1、“包”为最小合同单位（最小投标单位）。每“包”内容应细化到“品目”（如果分品目的）。</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2、投标人必须对一个完整、独立的包进行投标，不得仅对一个包中的部分品目投标，否则</w:t>
      </w:r>
      <w:r>
        <w:rPr>
          <w:rFonts w:hint="eastAsia" w:asciiTheme="minorEastAsia" w:hAnsiTheme="minorEastAsia" w:eastAsiaTheme="minorEastAsia"/>
          <w:b/>
          <w:color w:val="auto"/>
          <w:szCs w:val="21"/>
        </w:rPr>
        <w:t>投标无效。</w:t>
      </w:r>
    </w:p>
    <w:p>
      <w:pPr>
        <w:adjustRightInd w:val="0"/>
        <w:snapToGrid w:val="0"/>
        <w:spacing w:before="156" w:beforeLines="50" w:line="360" w:lineRule="auto"/>
        <w:ind w:firstLine="420" w:firstLineChars="200"/>
        <w:rPr>
          <w:rFonts w:cs="宋体" w:asciiTheme="minorEastAsia" w:hAnsiTheme="minorEastAsia" w:eastAsiaTheme="minorEastAsia"/>
          <w:color w:val="auto"/>
          <w:kern w:val="0"/>
          <w:szCs w:val="21"/>
        </w:rPr>
      </w:pPr>
      <w:r>
        <w:rPr>
          <w:rFonts w:hint="eastAsia" w:asciiTheme="minorEastAsia" w:hAnsiTheme="minorEastAsia" w:eastAsiaTheme="minorEastAsia"/>
          <w:color w:val="auto"/>
          <w:szCs w:val="21"/>
        </w:rPr>
        <w:t>3、货物的主要技术参数或规格：</w:t>
      </w:r>
      <w:r>
        <w:rPr>
          <w:rFonts w:cs="宋体" w:asciiTheme="minorEastAsia" w:hAnsiTheme="minorEastAsia" w:eastAsiaTheme="minorEastAsia"/>
          <w:color w:val="auto"/>
          <w:kern w:val="0"/>
          <w:szCs w:val="21"/>
        </w:rPr>
        <w:t>详见“技术要求”中的具体技术参数</w:t>
      </w:r>
      <w:r>
        <w:rPr>
          <w:rFonts w:hint="eastAsia" w:cs="宋体" w:asciiTheme="minorEastAsia" w:hAnsiTheme="minorEastAsia" w:eastAsiaTheme="minorEastAsia"/>
          <w:color w:val="auto"/>
          <w:kern w:val="0"/>
          <w:szCs w:val="21"/>
        </w:rPr>
        <w:t>。</w:t>
      </w:r>
    </w:p>
    <w:p>
      <w:pPr>
        <w:adjustRightInd w:val="0"/>
        <w:snapToGrid w:val="0"/>
        <w:spacing w:before="156" w:beforeLines="50" w:line="360" w:lineRule="auto"/>
        <w:ind w:firstLine="420" w:firstLineChars="200"/>
        <w:rPr>
          <w:rFonts w:ascii="宋体" w:hAnsi="宋体" w:cs="宋体"/>
          <w:color w:val="auto"/>
          <w:kern w:val="0"/>
          <w:szCs w:val="21"/>
        </w:rPr>
      </w:pPr>
      <w:r>
        <w:rPr>
          <w:rFonts w:hint="eastAsia" w:ascii="宋体" w:hAnsi="宋体" w:cs="宋体"/>
          <w:bCs/>
          <w:color w:val="auto"/>
          <w:kern w:val="0"/>
          <w:szCs w:val="21"/>
        </w:rPr>
        <w:t>4、投标人应</w:t>
      </w:r>
      <w:r>
        <w:rPr>
          <w:rFonts w:hint="eastAsia" w:ascii="宋体" w:hAnsi="宋体" w:cs="宋体"/>
          <w:color w:val="auto"/>
          <w:kern w:val="0"/>
          <w:szCs w:val="21"/>
        </w:rPr>
        <w:t>在投标文件《分项报价明细表》中按</w:t>
      </w:r>
      <w:r>
        <w:rPr>
          <w:rFonts w:hint="eastAsia" w:ascii="宋体" w:hAnsi="宋体"/>
          <w:color w:val="auto"/>
          <w:szCs w:val="21"/>
        </w:rPr>
        <w:t>分项项目名称（包括</w:t>
      </w:r>
      <w:r>
        <w:rPr>
          <w:rFonts w:hint="eastAsia" w:ascii="宋体" w:hAnsi="宋体" w:cs="宋体"/>
          <w:color w:val="auto"/>
          <w:kern w:val="0"/>
          <w:szCs w:val="21"/>
        </w:rPr>
        <w:t>条目号/品目名称）顺序逐项填写，且每个品目中的条目均需按招标文件规定报价。如有缺项、漏项，其</w:t>
      </w:r>
      <w:r>
        <w:rPr>
          <w:rFonts w:hint="eastAsia" w:ascii="宋体" w:hAnsi="宋体" w:cs="宋体"/>
          <w:b/>
          <w:color w:val="auto"/>
          <w:kern w:val="0"/>
          <w:szCs w:val="21"/>
        </w:rPr>
        <w:t>投标无效</w:t>
      </w:r>
      <w:r>
        <w:rPr>
          <w:rFonts w:hint="eastAsia" w:ascii="宋体" w:hAnsi="宋体" w:cs="宋体"/>
          <w:color w:val="auto"/>
          <w:kern w:val="0"/>
          <w:szCs w:val="21"/>
        </w:rPr>
        <w:t>。</w:t>
      </w:r>
    </w:p>
    <w:p>
      <w:pPr>
        <w:pStyle w:val="5"/>
        <w:adjustRightInd w:val="0"/>
        <w:snapToGrid w:val="0"/>
        <w:spacing w:before="156" w:beforeLines="50"/>
        <w:jc w:val="both"/>
        <w:rPr>
          <w:rFonts w:hint="eastAsia" w:ascii="黑体" w:hAnsi="黑体" w:eastAsia="黑体"/>
          <w:color w:val="auto"/>
          <w:sz w:val="28"/>
          <w:szCs w:val="28"/>
        </w:rPr>
      </w:pPr>
      <w:bookmarkStart w:id="93" w:name="_Toc29913943"/>
      <w:bookmarkStart w:id="94" w:name="_Toc19741"/>
    </w:p>
    <w:p>
      <w:pPr>
        <w:pStyle w:val="5"/>
        <w:adjustRightInd w:val="0"/>
        <w:snapToGrid w:val="0"/>
        <w:spacing w:before="156" w:beforeLines="50"/>
        <w:jc w:val="both"/>
        <w:rPr>
          <w:rFonts w:hint="eastAsia" w:ascii="黑体" w:hAnsi="黑体" w:eastAsia="黑体"/>
          <w:color w:val="auto"/>
          <w:sz w:val="28"/>
          <w:szCs w:val="28"/>
        </w:rPr>
      </w:pPr>
    </w:p>
    <w:p>
      <w:pPr>
        <w:rPr>
          <w:rFonts w:hint="eastAsia"/>
          <w:color w:val="auto"/>
        </w:rPr>
      </w:pPr>
    </w:p>
    <w:p>
      <w:pPr>
        <w:pStyle w:val="2"/>
        <w:rPr>
          <w:rFonts w:hint="eastAsia"/>
          <w:color w:val="auto"/>
        </w:rPr>
      </w:pPr>
    </w:p>
    <w:p>
      <w:pPr>
        <w:rPr>
          <w:rFonts w:hint="eastAsia"/>
          <w:color w:val="auto"/>
        </w:rPr>
      </w:pPr>
    </w:p>
    <w:p>
      <w:pPr>
        <w:pStyle w:val="2"/>
        <w:rPr>
          <w:rFonts w:hint="eastAsia"/>
          <w:color w:val="auto"/>
        </w:rPr>
      </w:pPr>
    </w:p>
    <w:p>
      <w:pPr>
        <w:pStyle w:val="5"/>
        <w:adjustRightInd w:val="0"/>
        <w:snapToGrid w:val="0"/>
        <w:spacing w:before="156" w:beforeLines="50"/>
        <w:jc w:val="both"/>
        <w:rPr>
          <w:rFonts w:hint="eastAsia" w:ascii="黑体" w:hAnsi="黑体" w:eastAsia="黑体"/>
          <w:color w:val="auto"/>
          <w:sz w:val="28"/>
          <w:szCs w:val="28"/>
        </w:rPr>
      </w:pPr>
    </w:p>
    <w:p>
      <w:pPr>
        <w:pStyle w:val="5"/>
        <w:adjustRightInd w:val="0"/>
        <w:snapToGrid w:val="0"/>
        <w:spacing w:before="156" w:beforeLines="50"/>
        <w:jc w:val="both"/>
        <w:rPr>
          <w:rFonts w:hint="eastAsia" w:ascii="黑体" w:hAnsi="黑体" w:eastAsia="黑体"/>
          <w:color w:val="auto"/>
          <w:sz w:val="28"/>
          <w:szCs w:val="28"/>
        </w:rPr>
      </w:pPr>
    </w:p>
    <w:p>
      <w:pPr>
        <w:rPr>
          <w:rFonts w:hint="eastAsia" w:ascii="黑体" w:hAnsi="黑体" w:eastAsia="黑体"/>
          <w:color w:val="auto"/>
          <w:sz w:val="28"/>
          <w:szCs w:val="28"/>
        </w:rPr>
      </w:pPr>
    </w:p>
    <w:p>
      <w:pPr>
        <w:pStyle w:val="2"/>
        <w:rPr>
          <w:rFonts w:hint="eastAsia" w:ascii="黑体" w:hAnsi="黑体" w:eastAsia="黑体"/>
          <w:color w:val="auto"/>
          <w:sz w:val="28"/>
          <w:szCs w:val="28"/>
        </w:rPr>
      </w:pPr>
    </w:p>
    <w:p>
      <w:pPr>
        <w:rPr>
          <w:rFonts w:hint="eastAsia" w:ascii="黑体" w:hAnsi="黑体" w:eastAsia="黑体"/>
          <w:color w:val="auto"/>
          <w:sz w:val="28"/>
          <w:szCs w:val="28"/>
        </w:rPr>
      </w:pPr>
    </w:p>
    <w:p>
      <w:pPr>
        <w:pStyle w:val="2"/>
        <w:rPr>
          <w:rFonts w:hint="eastAsia"/>
          <w:color w:val="auto"/>
        </w:rPr>
      </w:pPr>
    </w:p>
    <w:p>
      <w:pPr>
        <w:pStyle w:val="2"/>
        <w:rPr>
          <w:rFonts w:hint="eastAsia"/>
          <w:color w:val="auto"/>
        </w:rPr>
      </w:pPr>
    </w:p>
    <w:p>
      <w:pPr>
        <w:pStyle w:val="5"/>
        <w:adjustRightInd w:val="0"/>
        <w:snapToGrid w:val="0"/>
        <w:spacing w:before="156" w:beforeLines="50"/>
        <w:jc w:val="center"/>
        <w:rPr>
          <w:rFonts w:ascii="黑体" w:hAnsi="黑体" w:eastAsia="黑体"/>
          <w:color w:val="auto"/>
          <w:sz w:val="28"/>
          <w:szCs w:val="28"/>
        </w:rPr>
      </w:pPr>
      <w:r>
        <w:rPr>
          <w:rFonts w:hint="eastAsia" w:ascii="黑体" w:hAnsi="黑体" w:eastAsia="黑体"/>
          <w:color w:val="auto"/>
          <w:sz w:val="28"/>
          <w:szCs w:val="28"/>
        </w:rPr>
        <w:t xml:space="preserve">第二节 </w:t>
      </w:r>
      <w:r>
        <w:rPr>
          <w:rFonts w:ascii="黑体" w:hAnsi="黑体" w:eastAsia="黑体"/>
          <w:color w:val="auto"/>
          <w:sz w:val="28"/>
          <w:szCs w:val="28"/>
        </w:rPr>
        <w:t>技术要求</w:t>
      </w:r>
      <w:bookmarkEnd w:id="93"/>
      <w:bookmarkEnd w:id="94"/>
    </w:p>
    <w:p>
      <w:pPr>
        <w:pageBreakBefore w:val="0"/>
        <w:widowControl/>
        <w:kinsoku/>
        <w:wordWrap/>
        <w:overflowPunct/>
        <w:topLinePunct w:val="0"/>
        <w:autoSpaceDE/>
        <w:autoSpaceDN/>
        <w:bidi w:val="0"/>
        <w:spacing w:beforeAutospacing="0" w:afterAutospacing="0" w:line="440" w:lineRule="exact"/>
        <w:ind w:right="0" w:firstLine="482" w:firstLineChars="200"/>
        <w:jc w:val="left"/>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一、</w:t>
      </w:r>
      <w:r>
        <w:rPr>
          <w:rFonts w:hint="eastAsia" w:ascii="宋体" w:hAnsi="宋体" w:eastAsia="宋体" w:cs="宋体"/>
          <w:b/>
          <w:color w:val="auto"/>
          <w:sz w:val="24"/>
          <w:szCs w:val="24"/>
          <w:lang w:val="en-US" w:eastAsia="zh-CN"/>
        </w:rPr>
        <w:t>项目概况：</w:t>
      </w:r>
    </w:p>
    <w:p>
      <w:pPr>
        <w:pStyle w:val="20"/>
        <w:spacing w:line="360" w:lineRule="auto"/>
        <w:ind w:left="0" w:leftChars="0" w:firstLine="210" w:firstLineChars="100"/>
        <w:rPr>
          <w:rFonts w:hint="eastAsia" w:ascii="宋体" w:hAnsi="宋体" w:cs="宋体"/>
          <w:b/>
          <w:bCs/>
          <w:color w:val="auto"/>
          <w:szCs w:val="21"/>
          <w:lang w:val="en-US" w:eastAsia="zh-CN"/>
        </w:rPr>
      </w:pPr>
      <w:r>
        <w:rPr>
          <w:rFonts w:hint="eastAsia" w:ascii="宋体" w:hAnsi="宋体" w:eastAsia="宋体" w:cs="宋体"/>
          <w:color w:val="auto"/>
          <w:kern w:val="0"/>
          <w:sz w:val="21"/>
          <w:szCs w:val="21"/>
          <w:lang w:val="en-US" w:eastAsia="zh-CN" w:bidi="ar-SA"/>
        </w:rPr>
        <w:t>基本内容；本次需更换2、3、5、6号教学楼（共四栋）的课桌椅共计1985套，每套为1张桌子配2张椅子</w:t>
      </w:r>
      <w:r>
        <w:rPr>
          <w:rFonts w:hint="eastAsia" w:ascii="宋体" w:hAnsi="宋体" w:cs="宋体"/>
          <w:color w:val="auto"/>
          <w:kern w:val="0"/>
          <w:sz w:val="21"/>
          <w:szCs w:val="21"/>
          <w:lang w:val="en-US" w:eastAsia="zh-CN" w:bidi="ar-SA"/>
        </w:rPr>
        <w:t>。</w:t>
      </w:r>
    </w:p>
    <w:p>
      <w:pPr>
        <w:pStyle w:val="20"/>
        <w:spacing w:line="360" w:lineRule="auto"/>
        <w:ind w:left="0" w:leftChars="0" w:firstLine="422" w:firstLineChars="200"/>
        <w:rPr>
          <w:color w:val="auto"/>
        </w:rPr>
      </w:pPr>
      <w:r>
        <w:rPr>
          <w:rFonts w:hint="eastAsia" w:ascii="宋体" w:hAnsi="宋体" w:cs="宋体"/>
          <w:b/>
          <w:bCs/>
          <w:color w:val="auto"/>
          <w:szCs w:val="21"/>
          <w:lang w:val="en-US" w:eastAsia="zh-CN"/>
        </w:rPr>
        <w:t>二</w:t>
      </w:r>
      <w:r>
        <w:rPr>
          <w:rFonts w:hint="eastAsia" w:ascii="宋体" w:hAnsi="宋体" w:cs="宋体"/>
          <w:b/>
          <w:bCs/>
          <w:color w:val="auto"/>
          <w:szCs w:val="21"/>
        </w:rPr>
        <w:t>、技术参数具体要求清单</w:t>
      </w:r>
    </w:p>
    <w:tbl>
      <w:tblPr>
        <w:tblStyle w:val="44"/>
        <w:tblW w:w="9385" w:type="dxa"/>
        <w:tblInd w:w="-3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1333"/>
        <w:gridCol w:w="885"/>
        <w:gridCol w:w="6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82"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序号</w:t>
            </w:r>
          </w:p>
        </w:tc>
        <w:tc>
          <w:tcPr>
            <w:tcW w:w="1333"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货物</w:t>
            </w:r>
            <w:r>
              <w:rPr>
                <w:rFonts w:asciiTheme="majorEastAsia" w:hAnsiTheme="majorEastAsia" w:eastAsiaTheme="majorEastAsia"/>
                <w:color w:val="auto"/>
                <w:sz w:val="24"/>
              </w:rPr>
              <w:t>名称</w:t>
            </w:r>
          </w:p>
        </w:tc>
        <w:tc>
          <w:tcPr>
            <w:tcW w:w="885"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数量</w:t>
            </w:r>
          </w:p>
        </w:tc>
        <w:tc>
          <w:tcPr>
            <w:tcW w:w="6385"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技术</w:t>
            </w:r>
            <w:r>
              <w:rPr>
                <w:rFonts w:asciiTheme="majorEastAsia" w:hAnsiTheme="majorEastAsia" w:eastAsiaTheme="majorEastAsia"/>
                <w:color w:val="auto"/>
                <w:sz w:val="24"/>
              </w:rPr>
              <w:t>参数性能配置要求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1</w:t>
            </w:r>
          </w:p>
        </w:tc>
        <w:tc>
          <w:tcPr>
            <w:tcW w:w="1333"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双人</w:t>
            </w:r>
            <w:r>
              <w:rPr>
                <w:rFonts w:asciiTheme="majorEastAsia" w:hAnsiTheme="majorEastAsia" w:eastAsiaTheme="majorEastAsia"/>
                <w:color w:val="auto"/>
                <w:sz w:val="24"/>
              </w:rPr>
              <w:t>课桌椅</w:t>
            </w:r>
          </w:p>
        </w:tc>
        <w:tc>
          <w:tcPr>
            <w:tcW w:w="885" w:type="dxa"/>
            <w:vAlign w:val="center"/>
          </w:tcPr>
          <w:p>
            <w:pPr>
              <w:widowControl/>
              <w:spacing w:line="360" w:lineRule="auto"/>
              <w:jc w:val="left"/>
              <w:rPr>
                <w:rFonts w:asciiTheme="majorEastAsia" w:hAnsiTheme="majorEastAsia" w:eastAsiaTheme="majorEastAsia"/>
                <w:color w:val="auto"/>
                <w:sz w:val="24"/>
              </w:rPr>
            </w:pPr>
            <w:r>
              <w:rPr>
                <w:rFonts w:hint="eastAsia" w:asciiTheme="majorEastAsia" w:hAnsiTheme="majorEastAsia" w:eastAsiaTheme="majorEastAsia"/>
                <w:color w:val="auto"/>
                <w:sz w:val="24"/>
                <w:lang w:val="en-US" w:eastAsia="zh-CN"/>
              </w:rPr>
              <w:t>1985</w:t>
            </w:r>
            <w:r>
              <w:rPr>
                <w:rFonts w:hint="eastAsia" w:asciiTheme="majorEastAsia" w:hAnsiTheme="majorEastAsia" w:eastAsiaTheme="majorEastAsia"/>
                <w:color w:val="auto"/>
                <w:sz w:val="24"/>
              </w:rPr>
              <w:t>套</w:t>
            </w:r>
          </w:p>
        </w:tc>
        <w:tc>
          <w:tcPr>
            <w:tcW w:w="6385" w:type="dxa"/>
            <w:vAlign w:val="center"/>
          </w:tcPr>
          <w:p>
            <w:pPr>
              <w:widowControl/>
              <w:spacing w:line="360" w:lineRule="auto"/>
              <w:ind w:right="-113" w:rightChars="-54"/>
              <w:jc w:val="left"/>
              <w:rPr>
                <w:rFonts w:asciiTheme="majorEastAsia" w:hAnsiTheme="majorEastAsia" w:eastAsiaTheme="majorEastAsia"/>
                <w:b/>
                <w:color w:val="auto"/>
                <w:sz w:val="24"/>
              </w:rPr>
            </w:pPr>
            <w:r>
              <w:rPr>
                <w:rFonts w:hint="eastAsia" w:asciiTheme="majorEastAsia" w:hAnsiTheme="majorEastAsia" w:eastAsiaTheme="majorEastAsia"/>
                <w:b/>
                <w:color w:val="auto"/>
                <w:sz w:val="24"/>
              </w:rPr>
              <w:t>一</w:t>
            </w:r>
            <w:r>
              <w:rPr>
                <w:rFonts w:asciiTheme="majorEastAsia" w:hAnsiTheme="majorEastAsia" w:eastAsiaTheme="majorEastAsia"/>
                <w:b/>
                <w:color w:val="auto"/>
                <w:sz w:val="24"/>
              </w:rPr>
              <w:t>、</w:t>
            </w:r>
            <w:r>
              <w:rPr>
                <w:rFonts w:hint="eastAsia" w:asciiTheme="majorEastAsia" w:hAnsiTheme="majorEastAsia" w:eastAsiaTheme="majorEastAsia"/>
                <w:b/>
                <w:color w:val="auto"/>
                <w:sz w:val="24"/>
              </w:rPr>
              <w:t>课桌</w:t>
            </w:r>
            <w:r>
              <w:rPr>
                <w:rFonts w:asciiTheme="majorEastAsia" w:hAnsiTheme="majorEastAsia" w:eastAsiaTheme="majorEastAsia"/>
                <w:b/>
                <w:color w:val="auto"/>
                <w:sz w:val="24"/>
              </w:rPr>
              <w:t>：</w:t>
            </w:r>
            <w:r>
              <w:rPr>
                <w:rFonts w:hint="eastAsia" w:asciiTheme="majorEastAsia" w:hAnsiTheme="majorEastAsia" w:eastAsiaTheme="majorEastAsia"/>
                <w:b/>
                <w:color w:val="auto"/>
                <w:sz w:val="24"/>
              </w:rPr>
              <w:t>（</w:t>
            </w:r>
            <w:r>
              <w:rPr>
                <w:rFonts w:hint="eastAsia" w:asciiTheme="majorEastAsia" w:hAnsiTheme="majorEastAsia" w:eastAsiaTheme="majorEastAsia"/>
                <w:b/>
                <w:color w:val="auto"/>
                <w:sz w:val="24"/>
                <w:lang w:val="en-US" w:eastAsia="zh-CN"/>
              </w:rPr>
              <w:t>1985</w:t>
            </w:r>
            <w:r>
              <w:rPr>
                <w:rFonts w:hint="eastAsia" w:asciiTheme="majorEastAsia" w:hAnsiTheme="majorEastAsia" w:eastAsiaTheme="majorEastAsia"/>
                <w:b/>
                <w:color w:val="auto"/>
                <w:sz w:val="24"/>
              </w:rPr>
              <w:t>张）</w:t>
            </w:r>
          </w:p>
          <w:p>
            <w:pPr>
              <w:spacing w:line="360" w:lineRule="auto"/>
              <w:ind w:right="-107" w:rightChars="-51"/>
              <w:jc w:val="left"/>
              <w:rPr>
                <w:rFonts w:hint="eastAsia" w:ascii="宋体" w:hAnsi="宋体"/>
                <w:color w:val="auto"/>
                <w:szCs w:val="21"/>
              </w:rPr>
            </w:pPr>
            <w:r>
              <w:rPr>
                <w:rFonts w:hint="eastAsia" w:ascii="宋体" w:hAnsi="宋体"/>
                <w:color w:val="auto"/>
                <w:szCs w:val="21"/>
              </w:rPr>
              <w:t>1、规格尺寸：(长×宽×高)：1300mm×450mm×790mm（偏离值±2mm）；</w:t>
            </w:r>
          </w:p>
          <w:p>
            <w:pPr>
              <w:spacing w:line="360" w:lineRule="auto"/>
              <w:ind w:right="-107" w:rightChars="-51"/>
              <w:jc w:val="left"/>
              <w:rPr>
                <w:rFonts w:hint="eastAsia" w:ascii="宋体" w:hAnsi="宋体"/>
                <w:color w:val="auto"/>
                <w:szCs w:val="21"/>
              </w:rPr>
            </w:pPr>
            <w:r>
              <w:rPr>
                <w:rFonts w:hint="eastAsia" w:ascii="宋体" w:hAnsi="宋体"/>
                <w:color w:val="auto"/>
                <w:szCs w:val="21"/>
              </w:rPr>
              <w:t>2、面板板材采用不小于18mm厚的AA级橡木指接板，双面抛光，并采用双组份水性透明底漆、双组份水性哑光清面漆饰面，油漆必须符合GB 30981.2-2025《涂料中有害物质限量 第2部分：工业涂料》。</w:t>
            </w:r>
          </w:p>
          <w:p>
            <w:pPr>
              <w:spacing w:line="360" w:lineRule="auto"/>
              <w:ind w:right="-107" w:rightChars="-51"/>
              <w:jc w:val="left"/>
              <w:rPr>
                <w:rFonts w:hint="eastAsia" w:ascii="宋体" w:hAnsi="宋体"/>
                <w:b/>
                <w:bCs/>
                <w:color w:val="auto"/>
                <w:szCs w:val="21"/>
              </w:rPr>
            </w:pPr>
            <w:r>
              <w:rPr>
                <w:rFonts w:hint="eastAsia" w:ascii="宋体" w:hAnsi="宋体"/>
                <w:color w:val="auto"/>
                <w:szCs w:val="21"/>
              </w:rPr>
              <w:t>★3、脚架：立柱底杆采用周长不小于155mm的梯形或椭圆形钢管，厚度不得小于1.5mm；立柱采用规格为不小于70mm×30mm的梅花管、D型管或跑道形钢管，厚度不得小于1.5mm。侧立面有2条加强筋，厚度不得小于1.5mm；连接杆采用规格为25mm×25mm的方形钢管，厚度不得小于1.2mm；</w:t>
            </w:r>
            <w:r>
              <w:rPr>
                <w:rFonts w:hint="eastAsia" w:ascii="宋体" w:hAnsi="宋体"/>
                <w:color w:val="auto"/>
                <w:szCs w:val="21"/>
                <w:lang w:eastAsia="zh-CN"/>
              </w:rPr>
              <w:t>（</w:t>
            </w:r>
            <w:r>
              <w:rPr>
                <w:rFonts w:hint="eastAsia" w:ascii="宋体" w:hAnsi="宋体"/>
                <w:b/>
                <w:bCs/>
                <w:color w:val="auto"/>
                <w:szCs w:val="21"/>
              </w:rPr>
              <w:t>注:</w:t>
            </w:r>
            <w:r>
              <w:rPr>
                <w:rFonts w:hint="eastAsia" w:ascii="宋体" w:hAnsi="宋体"/>
                <w:b/>
                <w:bCs/>
                <w:color w:val="auto"/>
                <w:szCs w:val="21"/>
                <w:lang w:val="en-US" w:eastAsia="zh-CN"/>
              </w:rPr>
              <w:t>投标文件中需提供</w:t>
            </w:r>
            <w:r>
              <w:rPr>
                <w:rFonts w:hint="eastAsia" w:ascii="宋体" w:hAnsi="宋体"/>
                <w:b/>
                <w:bCs/>
                <w:color w:val="auto"/>
                <w:szCs w:val="21"/>
              </w:rPr>
              <w:t>立柱底杆采用周长不小于155mm的梯形或椭圆形钢管，厚度不得小于1.5mm；立柱采用规格为不小于70mm×30mm梅花管、D型管或跑道形钢管实物图，实物图包括外形尺寸的测量彩图，未提供或提供不符合要求的视为无效投标。</w:t>
            </w:r>
            <w:r>
              <w:rPr>
                <w:rFonts w:hint="eastAsia" w:ascii="宋体" w:hAnsi="宋体"/>
                <w:color w:val="auto"/>
                <w:szCs w:val="21"/>
                <w:lang w:eastAsia="zh-CN"/>
              </w:rPr>
              <w:t>）</w:t>
            </w:r>
          </w:p>
          <w:p>
            <w:pPr>
              <w:spacing w:line="360" w:lineRule="auto"/>
              <w:ind w:right="-107" w:rightChars="-51"/>
              <w:jc w:val="left"/>
              <w:rPr>
                <w:rFonts w:hint="eastAsia" w:ascii="宋体" w:hAnsi="宋体"/>
                <w:color w:val="auto"/>
                <w:szCs w:val="21"/>
              </w:rPr>
            </w:pPr>
            <w:r>
              <w:rPr>
                <w:rFonts w:hint="eastAsia" w:ascii="宋体" w:hAnsi="宋体"/>
                <w:color w:val="auto"/>
                <w:szCs w:val="21"/>
              </w:rPr>
              <w:t xml:space="preserve">    4、桌斗：采用≥0.6mm一级冷轧钢板一次冲压成型，各面钢板必须是无拼接，每张课桌椅配置两个桌斗，每个桌斗规格尺寸≥445mm×310mm×150mm；钢板应符合GB/T708-2019《冷轧钢板和钢带的尺寸、外形、重量及允许偏差》的要求。</w:t>
            </w:r>
          </w:p>
          <w:p>
            <w:pPr>
              <w:spacing w:line="360" w:lineRule="auto"/>
              <w:ind w:right="-107" w:rightChars="-51"/>
              <w:jc w:val="left"/>
              <w:rPr>
                <w:rFonts w:hint="eastAsia" w:ascii="宋体" w:hAnsi="宋体"/>
                <w:color w:val="auto"/>
                <w:szCs w:val="21"/>
              </w:rPr>
            </w:pPr>
            <w:r>
              <w:rPr>
                <w:rFonts w:hint="eastAsia" w:ascii="宋体" w:hAnsi="宋体"/>
                <w:color w:val="auto"/>
                <w:szCs w:val="21"/>
              </w:rPr>
              <w:t>5、前档板：采用≥0.8mm一级冷轧钢板一次冲压成型，两长边处辅助20mm×20mm×1.0mm方管加强刚性，各面钢板必须是无拼接；钢板应符合GB/T708-2019《冷轧钢板和钢带的尺寸、外形、重量及允许偏差》的要求。</w:t>
            </w:r>
          </w:p>
          <w:p>
            <w:pPr>
              <w:spacing w:line="360" w:lineRule="auto"/>
              <w:ind w:right="-107" w:rightChars="-51"/>
              <w:jc w:val="left"/>
              <w:rPr>
                <w:rFonts w:hint="eastAsia" w:ascii="宋体" w:hAnsi="宋体"/>
                <w:color w:val="auto"/>
                <w:szCs w:val="21"/>
              </w:rPr>
            </w:pPr>
            <w:r>
              <w:rPr>
                <w:rFonts w:hint="eastAsia" w:ascii="宋体" w:hAnsi="宋体"/>
                <w:color w:val="auto"/>
                <w:szCs w:val="21"/>
              </w:rPr>
              <w:t>6、表面除锈镀层要求：表面须经过“预脱脂→主脱脂→水洗→除锈(或酸洗)→中和→水洗→喷淋陶化(或磷化)→水洗→烘干”九工序处理，预备处理后表面无氧化皮、锈蚀、粘砂等其他杂质并及时进行涂饰。</w:t>
            </w:r>
          </w:p>
          <w:p>
            <w:pPr>
              <w:spacing w:line="360" w:lineRule="auto"/>
              <w:ind w:right="-107" w:rightChars="-51"/>
              <w:jc w:val="left"/>
              <w:rPr>
                <w:rFonts w:hint="eastAsia" w:ascii="宋体" w:hAnsi="宋体"/>
                <w:color w:val="auto"/>
                <w:szCs w:val="21"/>
              </w:rPr>
            </w:pPr>
            <w:r>
              <w:rPr>
                <w:rFonts w:hint="eastAsia" w:ascii="宋体" w:hAnsi="宋体"/>
                <w:color w:val="auto"/>
                <w:szCs w:val="21"/>
              </w:rPr>
              <w:t>7、喷塑要求：采用优质环保环氧聚酯塑粉静电喷塑，颜色为桔纹白色，喷塑外膜的表面光滑平整，色泽均匀，喷塑层无漏喷、起泡、模糊、划痕或碰伤等缺陷。</w:t>
            </w:r>
          </w:p>
          <w:p>
            <w:pPr>
              <w:spacing w:line="360" w:lineRule="auto"/>
              <w:ind w:right="-107" w:rightChars="-51"/>
              <w:jc w:val="left"/>
              <w:rPr>
                <w:rFonts w:asciiTheme="majorEastAsia" w:hAnsiTheme="majorEastAsia" w:eastAsiaTheme="majorEastAsia"/>
                <w:b/>
                <w:color w:val="auto"/>
                <w:sz w:val="24"/>
              </w:rPr>
            </w:pPr>
            <w:r>
              <w:rPr>
                <w:rFonts w:hint="eastAsia" w:ascii="宋体" w:hAnsi="宋体"/>
                <w:color w:val="auto"/>
                <w:szCs w:val="21"/>
              </w:rPr>
              <w:t>8、立柱底杆两侧配备塑料脚套。</w:t>
            </w:r>
          </w:p>
          <w:p>
            <w:pPr>
              <w:widowControl/>
              <w:spacing w:line="360" w:lineRule="auto"/>
              <w:jc w:val="left"/>
              <w:rPr>
                <w:rFonts w:asciiTheme="majorEastAsia" w:hAnsiTheme="majorEastAsia" w:eastAsiaTheme="majorEastAsia"/>
                <w:b/>
                <w:color w:val="auto"/>
                <w:sz w:val="24"/>
              </w:rPr>
            </w:pPr>
            <w:r>
              <w:rPr>
                <w:rFonts w:hint="eastAsia" w:asciiTheme="majorEastAsia" w:hAnsiTheme="majorEastAsia" w:eastAsiaTheme="majorEastAsia"/>
                <w:b/>
                <w:color w:val="auto"/>
                <w:sz w:val="24"/>
              </w:rPr>
              <w:t>二</w:t>
            </w:r>
            <w:r>
              <w:rPr>
                <w:rFonts w:asciiTheme="majorEastAsia" w:hAnsiTheme="majorEastAsia" w:eastAsiaTheme="majorEastAsia"/>
                <w:b/>
                <w:color w:val="auto"/>
                <w:sz w:val="24"/>
              </w:rPr>
              <w:t>、</w:t>
            </w:r>
            <w:r>
              <w:rPr>
                <w:rFonts w:hint="eastAsia" w:asciiTheme="majorEastAsia" w:hAnsiTheme="majorEastAsia" w:eastAsiaTheme="majorEastAsia"/>
                <w:b/>
                <w:color w:val="auto"/>
                <w:sz w:val="24"/>
              </w:rPr>
              <w:t>课椅</w:t>
            </w:r>
            <w:r>
              <w:rPr>
                <w:rFonts w:asciiTheme="majorEastAsia" w:hAnsiTheme="majorEastAsia" w:eastAsiaTheme="majorEastAsia"/>
                <w:b/>
                <w:color w:val="auto"/>
                <w:sz w:val="24"/>
              </w:rPr>
              <w:t>：</w:t>
            </w:r>
            <w:r>
              <w:rPr>
                <w:rFonts w:hint="eastAsia" w:asciiTheme="majorEastAsia" w:hAnsiTheme="majorEastAsia" w:eastAsiaTheme="majorEastAsia"/>
                <w:b/>
                <w:color w:val="auto"/>
                <w:sz w:val="24"/>
              </w:rPr>
              <w:t>（</w:t>
            </w:r>
            <w:r>
              <w:rPr>
                <w:rFonts w:hint="eastAsia" w:asciiTheme="majorEastAsia" w:hAnsiTheme="majorEastAsia" w:eastAsiaTheme="majorEastAsia"/>
                <w:b/>
                <w:color w:val="auto"/>
                <w:sz w:val="24"/>
                <w:lang w:val="en-US" w:eastAsia="zh-CN"/>
              </w:rPr>
              <w:t>3970</w:t>
            </w:r>
            <w:r>
              <w:rPr>
                <w:rFonts w:hint="eastAsia" w:asciiTheme="majorEastAsia" w:hAnsiTheme="majorEastAsia" w:eastAsiaTheme="majorEastAsia"/>
                <w:b/>
                <w:color w:val="auto"/>
                <w:sz w:val="24"/>
              </w:rPr>
              <w:t>张）</w:t>
            </w:r>
          </w:p>
          <w:p>
            <w:pPr>
              <w:spacing w:line="360" w:lineRule="auto"/>
              <w:ind w:right="-107" w:rightChars="-51"/>
              <w:jc w:val="left"/>
              <w:rPr>
                <w:rFonts w:hint="eastAsia" w:ascii="宋体" w:hAnsi="宋体" w:eastAsia="宋体" w:cs="Times New Roman"/>
                <w:color w:val="auto"/>
                <w:szCs w:val="21"/>
              </w:rPr>
            </w:pPr>
            <w:r>
              <w:rPr>
                <w:rFonts w:hint="eastAsia" w:ascii="宋体" w:hAnsi="宋体" w:eastAsia="宋体" w:cs="Times New Roman"/>
                <w:color w:val="auto"/>
                <w:szCs w:val="21"/>
              </w:rPr>
              <w:t>1、规格尺寸：(宽×深×高)：380mm×360mm×790mm（偏离值±2mm）；</w:t>
            </w:r>
          </w:p>
          <w:p>
            <w:pPr>
              <w:spacing w:line="360" w:lineRule="auto"/>
              <w:ind w:right="-107" w:rightChars="-51"/>
              <w:jc w:val="left"/>
              <w:rPr>
                <w:rFonts w:hint="eastAsia" w:ascii="宋体" w:hAnsi="宋体" w:eastAsia="宋体" w:cs="Times New Roman"/>
                <w:color w:val="auto"/>
                <w:szCs w:val="21"/>
              </w:rPr>
            </w:pPr>
            <w:r>
              <w:rPr>
                <w:rFonts w:hint="eastAsia" w:ascii="宋体" w:hAnsi="宋体" w:eastAsia="宋体" w:cs="Times New Roman"/>
                <w:color w:val="auto"/>
                <w:szCs w:val="21"/>
              </w:rPr>
              <w:t>2、椅子的金属管件采用尺寸不小于20mm×40mm的椭圆管整体弯制成形，管壁厚度均不得小于1.5mm，管材采用高频焊接而成。金属管件外形的尺寸偏差、管壁厚度偏差和钢板厚度偏差以及金属材料的力学性能指标等质量技术参数，均应符合相应的国家标准的规定。金属件材质及缺陷应符合轻工行业标准QB/T4071-2021《课桌椅》的规定。椅子钢架部分经预脱脂→主脱脂→水洗→除锈(或酸洗)→中和→水洗→喷淋陶化(或磷化)→水洗→烘干，表面采用环保产品环氧聚酯塑粉静电喷塑；焊接表面光滑无毛刺。</w:t>
            </w:r>
          </w:p>
          <w:p>
            <w:pPr>
              <w:spacing w:line="360" w:lineRule="auto"/>
              <w:ind w:right="-107" w:rightChars="-51"/>
              <w:jc w:val="left"/>
              <w:rPr>
                <w:rFonts w:hint="eastAsia" w:ascii="宋体" w:hAnsi="宋体" w:eastAsia="宋体" w:cs="Times New Roman"/>
                <w:color w:val="auto"/>
                <w:szCs w:val="21"/>
              </w:rPr>
            </w:pPr>
            <w:r>
              <w:rPr>
                <w:rFonts w:hint="eastAsia" w:ascii="宋体" w:hAnsi="宋体" w:eastAsia="宋体" w:cs="Times New Roman"/>
                <w:color w:val="auto"/>
                <w:szCs w:val="21"/>
              </w:rPr>
              <w:t>3、塑粉采用环保材料并符合HG/T 2006-2022《热固性和热塑性粉末涂料》要求。</w:t>
            </w:r>
          </w:p>
          <w:p>
            <w:pPr>
              <w:spacing w:line="360" w:lineRule="auto"/>
              <w:ind w:right="-107" w:rightChars="-51"/>
              <w:jc w:val="left"/>
              <w:rPr>
                <w:rFonts w:hint="eastAsia" w:ascii="宋体" w:hAnsi="宋体" w:eastAsia="宋体" w:cs="Times New Roman"/>
                <w:b/>
                <w:bCs/>
                <w:color w:val="auto"/>
                <w:szCs w:val="21"/>
              </w:rPr>
            </w:pPr>
            <w:r>
              <w:rPr>
                <w:rFonts w:hint="eastAsia" w:ascii="宋体" w:hAnsi="宋体" w:eastAsia="宋体" w:cs="Times New Roman"/>
                <w:color w:val="auto"/>
                <w:szCs w:val="21"/>
              </w:rPr>
              <w:t>★4、椅子座面板板材采用不小于18mm厚的AA级橡木指接板制作，课椅座面板前缘及两角钝圆并向下弯曲，符合人体工程学的设计；椅子靠背面板板材厚≥12mm，采用AA级橡木指接板制作，面板的曲率半径700mm（±10mm），座板：宽≥380mm，深≥3</w:t>
            </w:r>
            <w:r>
              <w:rPr>
                <w:rFonts w:hint="eastAsia" w:ascii="宋体" w:hAnsi="宋体" w:cs="Times New Roman"/>
                <w:color w:val="auto"/>
                <w:szCs w:val="21"/>
                <w:lang w:val="en-US" w:eastAsia="zh-CN"/>
              </w:rPr>
              <w:t>6</w:t>
            </w:r>
            <w:r>
              <w:rPr>
                <w:rFonts w:hint="eastAsia" w:ascii="宋体" w:hAnsi="宋体" w:eastAsia="宋体" w:cs="Times New Roman"/>
                <w:color w:val="auto"/>
                <w:szCs w:val="21"/>
              </w:rPr>
              <w:t>0mm，厚度≥18mm，靠背板宽≥380，高≥155mm，厚度≥12mm；双面抛光，并采用双组份水性透明底漆、双组份水性哑光清面漆饰面，油漆必须符合GB 18581-2020《木器涂料中有害物质限量》。</w:t>
            </w:r>
            <w:r>
              <w:rPr>
                <w:rFonts w:hint="eastAsia" w:ascii="宋体" w:hAnsi="宋体" w:eastAsia="宋体" w:cs="Times New Roman"/>
                <w:color w:val="auto"/>
                <w:szCs w:val="21"/>
                <w:lang w:eastAsia="zh-CN"/>
              </w:rPr>
              <w:t>（</w:t>
            </w:r>
            <w:r>
              <w:rPr>
                <w:rFonts w:hint="eastAsia" w:ascii="宋体" w:hAnsi="宋体" w:eastAsia="宋体" w:cs="Times New Roman"/>
                <w:b/>
                <w:bCs/>
                <w:color w:val="auto"/>
                <w:szCs w:val="21"/>
              </w:rPr>
              <w:t>注:投标文件中需提供座板:宽≥380mm，深≥3</w:t>
            </w:r>
            <w:r>
              <w:rPr>
                <w:rFonts w:hint="eastAsia" w:ascii="宋体" w:hAnsi="宋体" w:cs="Times New Roman"/>
                <w:b/>
                <w:bCs/>
                <w:color w:val="auto"/>
                <w:szCs w:val="21"/>
                <w:lang w:val="en-US" w:eastAsia="zh-CN"/>
              </w:rPr>
              <w:t>6</w:t>
            </w:r>
            <w:r>
              <w:rPr>
                <w:rFonts w:hint="eastAsia" w:ascii="宋体" w:hAnsi="宋体" w:eastAsia="宋体" w:cs="Times New Roman"/>
                <w:b/>
                <w:bCs/>
                <w:color w:val="auto"/>
                <w:szCs w:val="21"/>
              </w:rPr>
              <w:t>0mm，厚度≥18mm的实物图、椅子靠背面板板材厚≥12mm，采用 AA 级橡木指接板制作，要求是弧形的，靠背板宽≥380，高≥155mm 的实物图，实物图至少包括外形尺寸的测量彩图，未提供或提供不符合要求的视为无效投标。</w:t>
            </w:r>
            <w:r>
              <w:rPr>
                <w:rFonts w:hint="eastAsia" w:ascii="宋体" w:hAnsi="宋体" w:eastAsia="宋体" w:cs="Times New Roman"/>
                <w:color w:val="auto"/>
                <w:szCs w:val="21"/>
                <w:lang w:eastAsia="zh-CN"/>
              </w:rPr>
              <w:t>）</w:t>
            </w:r>
          </w:p>
          <w:p>
            <w:pPr>
              <w:spacing w:line="360" w:lineRule="auto"/>
              <w:ind w:right="-107" w:rightChars="-51"/>
              <w:jc w:val="left"/>
              <w:rPr>
                <w:rFonts w:asciiTheme="majorEastAsia" w:hAnsiTheme="majorEastAsia" w:eastAsiaTheme="majorEastAsia"/>
                <w:color w:val="auto"/>
                <w:sz w:val="24"/>
              </w:rPr>
            </w:pPr>
            <w:r>
              <w:rPr>
                <w:rFonts w:hint="eastAsia" w:ascii="宋体" w:hAnsi="宋体" w:eastAsia="宋体" w:cs="Times New Roman"/>
                <w:color w:val="auto"/>
                <w:szCs w:val="21"/>
                <w:lang w:val="en-US" w:eastAsia="zh-CN"/>
              </w:rPr>
              <w:t>5、</w:t>
            </w:r>
            <w:r>
              <w:rPr>
                <w:rFonts w:hint="eastAsia" w:ascii="宋体" w:hAnsi="宋体" w:eastAsia="宋体" w:cs="Times New Roman"/>
                <w:color w:val="auto"/>
                <w:szCs w:val="21"/>
              </w:rPr>
              <w:t>椅脚的脚套为内嵌式脚套，采用超高分子量PE材料制作，壁厚不小于2mm,底厚不小于5mm；进深不小于20mm，加强筋不少于3圈, 加强筋厚度不小于1.2mm，底面直径不小于22mm×42mm，脚套与椅脚应结合紧密，牢靠，不脱落。</w:t>
            </w:r>
          </w:p>
        </w:tc>
      </w:tr>
    </w:tbl>
    <w:p>
      <w:pPr>
        <w:spacing w:line="360" w:lineRule="auto"/>
        <w:ind w:firstLine="482" w:firstLineChars="200"/>
        <w:rPr>
          <w:rFonts w:ascii="宋体" w:hAnsi="宋体"/>
          <w:b/>
          <w:color w:val="auto"/>
          <w:sz w:val="24"/>
        </w:rPr>
      </w:pPr>
      <w:r>
        <w:rPr>
          <w:rFonts w:hint="eastAsia" w:ascii="宋体" w:hAnsi="宋体"/>
          <w:b/>
          <w:bCs w:val="0"/>
          <w:color w:val="auto"/>
          <w:sz w:val="24"/>
          <w:lang w:val="en-US" w:eastAsia="zh-CN"/>
        </w:rPr>
        <w:t>三</w:t>
      </w:r>
      <w:r>
        <w:rPr>
          <w:rFonts w:hint="eastAsia" w:ascii="宋体" w:hAnsi="宋体"/>
          <w:b/>
          <w:color w:val="auto"/>
          <w:sz w:val="24"/>
        </w:rPr>
        <w:t>、原材料和配件要求：</w:t>
      </w:r>
    </w:p>
    <w:p>
      <w:pPr>
        <w:spacing w:line="360" w:lineRule="auto"/>
        <w:ind w:firstLine="420"/>
        <w:rPr>
          <w:rFonts w:ascii="宋体" w:hAnsi="宋体"/>
          <w:color w:val="auto"/>
          <w:sz w:val="24"/>
        </w:rPr>
      </w:pPr>
      <w:r>
        <w:rPr>
          <w:rFonts w:hint="eastAsia" w:ascii="宋体" w:hAnsi="宋体" w:cs="宋体"/>
          <w:color w:val="auto"/>
          <w:sz w:val="24"/>
        </w:rPr>
        <w:t>为保障本次采购的课桌椅产品品质，投标人或所投产品制造商使用的原材料和配件应出具以下符合技术参数要</w:t>
      </w:r>
      <w:r>
        <w:rPr>
          <w:rFonts w:hint="eastAsia" w:ascii="宋体" w:hAnsi="宋体"/>
          <w:color w:val="auto"/>
          <w:sz w:val="24"/>
        </w:rPr>
        <w:t>求的原材料及配件检测合格的报告，检验检测项目须包含以下内容：</w:t>
      </w:r>
    </w:p>
    <w:p>
      <w:pPr>
        <w:numPr>
          <w:ilvl w:val="0"/>
          <w:numId w:val="3"/>
        </w:numPr>
        <w:spacing w:line="360" w:lineRule="auto"/>
        <w:ind w:firstLine="480" w:firstLineChars="200"/>
        <w:rPr>
          <w:rFonts w:ascii="宋体" w:hAnsi="宋体" w:cs="宋体"/>
          <w:color w:val="auto"/>
          <w:sz w:val="24"/>
        </w:rPr>
      </w:pPr>
      <w:r>
        <w:rPr>
          <w:rFonts w:ascii="宋体" w:hAnsi="宋体" w:cs="宋体"/>
          <w:color w:val="auto"/>
          <w:sz w:val="24"/>
        </w:rPr>
        <w:t>“</w:t>
      </w:r>
      <w:r>
        <w:rPr>
          <w:rFonts w:hint="eastAsia" w:ascii="宋体" w:hAnsi="宋体" w:cs="微软雅黑"/>
          <w:color w:val="auto"/>
          <w:kern w:val="0"/>
          <w:sz w:val="24"/>
        </w:rPr>
        <w:t>桌体钢架</w:t>
      </w:r>
      <w:r>
        <w:rPr>
          <w:rFonts w:ascii="宋体" w:hAnsi="宋体" w:cs="宋体"/>
          <w:color w:val="auto"/>
          <w:sz w:val="24"/>
        </w:rPr>
        <w:t>”</w:t>
      </w:r>
      <w:r>
        <w:rPr>
          <w:rFonts w:hint="eastAsia" w:ascii="宋体" w:hAnsi="宋体" w:cs="宋体"/>
          <w:color w:val="auto"/>
          <w:sz w:val="24"/>
        </w:rPr>
        <w:t>或课桌</w:t>
      </w:r>
      <w:r>
        <w:rPr>
          <w:rFonts w:hint="eastAsia" w:ascii="宋体" w:hAnsi="宋体" w:cs="微软雅黑"/>
          <w:color w:val="auto"/>
          <w:kern w:val="0"/>
          <w:sz w:val="24"/>
        </w:rPr>
        <w:t>立柱钢管</w:t>
      </w:r>
      <w:r>
        <w:rPr>
          <w:rFonts w:hint="eastAsia" w:ascii="宋体" w:hAnsi="宋体" w:cs="宋体"/>
          <w:color w:val="auto"/>
          <w:sz w:val="24"/>
        </w:rPr>
        <w:t>需符合国家标准要求并提供检测合格的报告。</w:t>
      </w:r>
    </w:p>
    <w:p>
      <w:pPr>
        <w:numPr>
          <w:ilvl w:val="0"/>
          <w:numId w:val="3"/>
        </w:numPr>
        <w:spacing w:line="360" w:lineRule="auto"/>
        <w:ind w:firstLine="480" w:firstLineChars="200"/>
        <w:rPr>
          <w:rFonts w:ascii="宋体" w:hAnsi="宋体" w:cs="宋体"/>
          <w:color w:val="auto"/>
          <w:sz w:val="24"/>
        </w:rPr>
      </w:pPr>
      <w:r>
        <w:rPr>
          <w:rFonts w:hint="eastAsia" w:ascii="宋体" w:hAnsi="宋体" w:cs="宋体"/>
          <w:color w:val="auto"/>
          <w:sz w:val="24"/>
        </w:rPr>
        <w:t>“冷轧钢板”需符合国家标准要求并提供检测合格的报告。</w:t>
      </w:r>
    </w:p>
    <w:p>
      <w:pPr>
        <w:numPr>
          <w:ilvl w:val="0"/>
          <w:numId w:val="3"/>
        </w:numPr>
        <w:spacing w:line="360" w:lineRule="auto"/>
        <w:ind w:firstLine="480" w:firstLineChars="200"/>
        <w:rPr>
          <w:rFonts w:ascii="宋体" w:hAnsi="宋体"/>
          <w:color w:val="auto"/>
          <w:sz w:val="24"/>
        </w:rPr>
      </w:pPr>
      <w:r>
        <w:rPr>
          <w:rFonts w:ascii="宋体" w:hAnsi="宋体" w:cs="宋体"/>
          <w:color w:val="auto"/>
          <w:sz w:val="24"/>
        </w:rPr>
        <w:t>“</w:t>
      </w:r>
      <w:r>
        <w:rPr>
          <w:rFonts w:hint="eastAsia" w:ascii="宋体" w:hAnsi="宋体" w:cs="微软雅黑"/>
          <w:color w:val="auto"/>
          <w:kern w:val="0"/>
          <w:sz w:val="24"/>
        </w:rPr>
        <w:t>椅体钢架</w:t>
      </w:r>
      <w:r>
        <w:rPr>
          <w:rFonts w:ascii="宋体" w:hAnsi="宋体" w:cs="宋体"/>
          <w:color w:val="auto"/>
          <w:sz w:val="24"/>
        </w:rPr>
        <w:t>”</w:t>
      </w:r>
      <w:r>
        <w:rPr>
          <w:rFonts w:hint="eastAsia" w:ascii="宋体" w:hAnsi="宋体" w:cs="宋体"/>
          <w:color w:val="auto"/>
          <w:sz w:val="24"/>
        </w:rPr>
        <w:t>或</w:t>
      </w:r>
      <w:r>
        <w:rPr>
          <w:rFonts w:hint="eastAsia" w:ascii="宋体" w:hAnsi="宋体" w:cs="微软雅黑"/>
          <w:color w:val="auto"/>
          <w:kern w:val="0"/>
          <w:sz w:val="24"/>
        </w:rPr>
        <w:t>椅子金属管件</w:t>
      </w:r>
      <w:r>
        <w:rPr>
          <w:rFonts w:hint="eastAsia" w:ascii="宋体" w:hAnsi="宋体" w:cs="宋体"/>
          <w:color w:val="auto"/>
          <w:sz w:val="24"/>
        </w:rPr>
        <w:t>需符合国家标准要求并提供检测合格的报告。</w:t>
      </w:r>
    </w:p>
    <w:p>
      <w:pPr>
        <w:spacing w:line="360" w:lineRule="auto"/>
        <w:ind w:firstLine="480" w:firstLineChars="200"/>
        <w:rPr>
          <w:rFonts w:ascii="宋体" w:hAnsi="宋体" w:cs="宋体"/>
          <w:color w:val="auto"/>
          <w:sz w:val="24"/>
        </w:rPr>
      </w:pPr>
      <w:r>
        <w:rPr>
          <w:rFonts w:hint="eastAsia" w:ascii="宋体" w:hAnsi="宋体"/>
          <w:color w:val="auto"/>
          <w:sz w:val="24"/>
        </w:rPr>
        <w:t>4、</w:t>
      </w:r>
      <w:r>
        <w:rPr>
          <w:rFonts w:ascii="宋体" w:hAnsi="宋体" w:cs="宋体"/>
          <w:color w:val="auto"/>
          <w:sz w:val="24"/>
        </w:rPr>
        <w:t>“</w:t>
      </w:r>
      <w:r>
        <w:rPr>
          <w:rFonts w:hint="eastAsia" w:ascii="宋体" w:hAnsi="宋体"/>
          <w:color w:val="auto"/>
          <w:sz w:val="24"/>
        </w:rPr>
        <w:t>塑粉</w:t>
      </w:r>
      <w:r>
        <w:rPr>
          <w:rFonts w:ascii="宋体" w:hAnsi="宋体" w:cs="宋体"/>
          <w:color w:val="auto"/>
          <w:sz w:val="24"/>
        </w:rPr>
        <w:t>”</w:t>
      </w:r>
      <w:r>
        <w:rPr>
          <w:rFonts w:hint="eastAsia" w:ascii="宋体" w:hAnsi="宋体" w:cs="宋体"/>
          <w:color w:val="auto"/>
          <w:sz w:val="24"/>
        </w:rPr>
        <w:t>需符合国家标准要求并提供检测合格的报告。</w:t>
      </w:r>
    </w:p>
    <w:p>
      <w:pPr>
        <w:spacing w:line="360" w:lineRule="auto"/>
        <w:ind w:firstLine="480" w:firstLineChars="200"/>
        <w:rPr>
          <w:rFonts w:ascii="宋体" w:hAnsi="宋体" w:cs="宋体"/>
          <w:color w:val="auto"/>
          <w:sz w:val="24"/>
        </w:rPr>
      </w:pPr>
      <w:r>
        <w:rPr>
          <w:rFonts w:hint="eastAsia" w:ascii="宋体" w:hAnsi="宋体"/>
          <w:color w:val="auto"/>
          <w:sz w:val="24"/>
        </w:rPr>
        <w:t>5、</w:t>
      </w:r>
      <w:r>
        <w:rPr>
          <w:rFonts w:ascii="宋体" w:hAnsi="宋体" w:cs="宋体"/>
          <w:color w:val="auto"/>
          <w:sz w:val="24"/>
        </w:rPr>
        <w:t>“</w:t>
      </w:r>
      <w:r>
        <w:rPr>
          <w:rFonts w:hint="eastAsia" w:ascii="宋体" w:hAnsi="宋体"/>
          <w:color w:val="auto"/>
          <w:sz w:val="24"/>
        </w:rPr>
        <w:t>橡木</w:t>
      </w:r>
      <w:r>
        <w:rPr>
          <w:rFonts w:ascii="宋体" w:hAnsi="宋体" w:cs="宋体"/>
          <w:color w:val="auto"/>
          <w:sz w:val="24"/>
        </w:rPr>
        <w:t>”</w:t>
      </w:r>
      <w:r>
        <w:rPr>
          <w:rFonts w:hint="eastAsia" w:ascii="宋体" w:hAnsi="宋体" w:cs="宋体"/>
          <w:color w:val="auto"/>
          <w:sz w:val="24"/>
        </w:rPr>
        <w:t>需符合国家标准要求并提供检测合格的报告，其中木材名称为橡木、木材含水率≤10%（原材料）。</w:t>
      </w:r>
    </w:p>
    <w:p>
      <w:pPr>
        <w:spacing w:line="360" w:lineRule="auto"/>
        <w:ind w:firstLine="480" w:firstLineChars="200"/>
        <w:rPr>
          <w:rFonts w:ascii="宋体" w:hAnsi="宋体" w:cs="宋体"/>
          <w:color w:val="auto"/>
          <w:sz w:val="24"/>
        </w:rPr>
      </w:pPr>
      <w:r>
        <w:rPr>
          <w:rFonts w:hint="eastAsia" w:ascii="宋体" w:hAnsi="宋体"/>
          <w:color w:val="auto"/>
          <w:sz w:val="24"/>
        </w:rPr>
        <w:t>6、</w:t>
      </w:r>
      <w:r>
        <w:rPr>
          <w:rFonts w:ascii="宋体" w:hAnsi="宋体" w:cs="宋体"/>
          <w:color w:val="auto"/>
          <w:sz w:val="24"/>
        </w:rPr>
        <w:t>“</w:t>
      </w:r>
      <w:r>
        <w:rPr>
          <w:rFonts w:hint="eastAsia" w:ascii="宋体" w:hAnsi="宋体" w:cs="宋体"/>
          <w:color w:val="auto"/>
          <w:sz w:val="24"/>
        </w:rPr>
        <w:t>聚氨酯油漆面漆</w:t>
      </w:r>
      <w:r>
        <w:rPr>
          <w:rFonts w:ascii="宋体" w:hAnsi="宋体" w:cs="宋体"/>
          <w:color w:val="auto"/>
          <w:sz w:val="24"/>
        </w:rPr>
        <w:t>”</w:t>
      </w:r>
      <w:r>
        <w:rPr>
          <w:rFonts w:hint="eastAsia" w:ascii="宋体" w:hAnsi="宋体" w:cs="宋体"/>
          <w:color w:val="auto"/>
          <w:sz w:val="24"/>
        </w:rPr>
        <w:t>或</w:t>
      </w:r>
      <w:r>
        <w:rPr>
          <w:rFonts w:ascii="宋体" w:hAnsi="宋体" w:cs="宋体"/>
          <w:color w:val="auto"/>
          <w:sz w:val="24"/>
        </w:rPr>
        <w:t>“</w:t>
      </w:r>
      <w:r>
        <w:rPr>
          <w:rFonts w:hint="eastAsia" w:ascii="宋体" w:hAnsi="宋体" w:cs="宋体"/>
          <w:color w:val="auto"/>
          <w:sz w:val="24"/>
        </w:rPr>
        <w:t>聚氨酯油漆底漆</w:t>
      </w:r>
      <w:r>
        <w:rPr>
          <w:rFonts w:ascii="宋体" w:hAnsi="宋体" w:cs="宋体"/>
          <w:color w:val="auto"/>
          <w:sz w:val="24"/>
        </w:rPr>
        <w:t>”</w:t>
      </w:r>
      <w:r>
        <w:rPr>
          <w:rFonts w:hint="eastAsia" w:ascii="宋体" w:hAnsi="宋体" w:cs="宋体"/>
          <w:color w:val="auto"/>
          <w:sz w:val="24"/>
        </w:rPr>
        <w:t>需符合国家标准要求并提供检测合格的报告。</w:t>
      </w:r>
    </w:p>
    <w:p>
      <w:pPr>
        <w:spacing w:line="360" w:lineRule="auto"/>
        <w:ind w:firstLine="480" w:firstLineChars="200"/>
        <w:rPr>
          <w:rFonts w:ascii="宋体" w:hAnsi="宋体" w:cs="Calibri"/>
          <w:color w:val="auto"/>
          <w:sz w:val="24"/>
        </w:rPr>
      </w:pPr>
      <w:r>
        <w:rPr>
          <w:rFonts w:hint="eastAsia" w:ascii="宋体" w:hAnsi="宋体"/>
          <w:color w:val="auto"/>
          <w:sz w:val="24"/>
        </w:rPr>
        <w:t>7、</w:t>
      </w:r>
      <w:r>
        <w:rPr>
          <w:rFonts w:ascii="宋体" w:hAnsi="宋体" w:cs="宋体"/>
          <w:color w:val="auto"/>
          <w:sz w:val="24"/>
        </w:rPr>
        <w:t>“</w:t>
      </w:r>
      <w:r>
        <w:rPr>
          <w:rFonts w:hint="eastAsia" w:ascii="宋体" w:hAnsi="宋体" w:cs="宋体"/>
          <w:color w:val="auto"/>
          <w:sz w:val="24"/>
        </w:rPr>
        <w:t>脚套</w:t>
      </w:r>
      <w:r>
        <w:rPr>
          <w:rFonts w:ascii="宋体" w:hAnsi="宋体" w:cs="宋体"/>
          <w:color w:val="auto"/>
          <w:sz w:val="24"/>
        </w:rPr>
        <w:t>”</w:t>
      </w:r>
      <w:r>
        <w:rPr>
          <w:rFonts w:hint="eastAsia" w:ascii="宋体" w:hAnsi="宋体" w:cs="宋体"/>
          <w:color w:val="auto"/>
          <w:sz w:val="24"/>
        </w:rPr>
        <w:t>须符合国家标准要求并提供检测合格的报告。</w:t>
      </w:r>
    </w:p>
    <w:p>
      <w:pPr>
        <w:spacing w:line="360" w:lineRule="auto"/>
        <w:ind w:firstLine="482" w:firstLineChars="200"/>
        <w:rPr>
          <w:rFonts w:ascii="宋体" w:hAnsi="宋体" w:cs="Calibri"/>
          <w:b/>
          <w:color w:val="auto"/>
          <w:sz w:val="24"/>
        </w:rPr>
      </w:pPr>
      <w:r>
        <w:rPr>
          <w:rFonts w:hint="eastAsia" w:ascii="宋体" w:hAnsi="宋体" w:cs="Calibri"/>
          <w:b/>
          <w:color w:val="auto"/>
          <w:sz w:val="24"/>
          <w:lang w:val="en-US" w:eastAsia="zh-CN"/>
        </w:rPr>
        <w:t>四</w:t>
      </w:r>
      <w:r>
        <w:rPr>
          <w:rFonts w:hint="eastAsia" w:ascii="宋体" w:hAnsi="宋体" w:cs="Calibri"/>
          <w:b/>
          <w:color w:val="auto"/>
          <w:sz w:val="24"/>
        </w:rPr>
        <w:t>、成品要求</w:t>
      </w:r>
    </w:p>
    <w:p>
      <w:pPr>
        <w:spacing w:line="360" w:lineRule="auto"/>
        <w:ind w:firstLine="420"/>
        <w:rPr>
          <w:rFonts w:ascii="宋体" w:hAnsi="宋体"/>
          <w:color w:val="auto"/>
          <w:sz w:val="24"/>
        </w:rPr>
      </w:pPr>
      <w:r>
        <w:rPr>
          <w:rFonts w:hint="eastAsia" w:ascii="宋体" w:hAnsi="宋体"/>
          <w:color w:val="auto"/>
          <w:sz w:val="24"/>
        </w:rPr>
        <w:t>为保障产品品质，投标人或所投产品制造商课桌椅成品应出具具备</w:t>
      </w:r>
      <w:r>
        <w:rPr>
          <w:rFonts w:hint="eastAsia" w:ascii="宋体" w:hAnsi="宋体"/>
          <w:b/>
          <w:bCs/>
          <w:color w:val="auto"/>
          <w:sz w:val="24"/>
        </w:rPr>
        <w:t>CNAS或CMA</w:t>
      </w:r>
      <w:r>
        <w:rPr>
          <w:rFonts w:hint="eastAsia" w:ascii="宋体" w:hAnsi="宋体"/>
          <w:color w:val="auto"/>
          <w:sz w:val="24"/>
        </w:rPr>
        <w:t>资质的检测机构在近</w:t>
      </w:r>
      <w:r>
        <w:rPr>
          <w:rFonts w:hint="eastAsia" w:ascii="宋体" w:hAnsi="宋体"/>
          <w:color w:val="auto"/>
          <w:sz w:val="24"/>
          <w:lang w:eastAsia="zh-CN"/>
        </w:rPr>
        <w:t>一</w:t>
      </w:r>
      <w:r>
        <w:rPr>
          <w:rFonts w:hint="eastAsia" w:ascii="宋体" w:hAnsi="宋体"/>
          <w:color w:val="auto"/>
          <w:sz w:val="24"/>
        </w:rPr>
        <w:t>年（开标前</w:t>
      </w:r>
      <w:r>
        <w:rPr>
          <w:rFonts w:hint="eastAsia" w:ascii="宋体" w:hAnsi="宋体"/>
          <w:color w:val="auto"/>
          <w:sz w:val="24"/>
          <w:lang w:val="en-US" w:eastAsia="zh-CN"/>
        </w:rPr>
        <w:t>12</w:t>
      </w:r>
      <w:r>
        <w:rPr>
          <w:rFonts w:hint="eastAsia" w:ascii="宋体" w:hAnsi="宋体"/>
          <w:color w:val="auto"/>
          <w:sz w:val="24"/>
        </w:rPr>
        <w:t>个月）出具的以下符合技术参数要求的产品检测合格的报告，检验检测项目须包含以下内容，提供报告扫描件。</w:t>
      </w:r>
    </w:p>
    <w:p>
      <w:pPr>
        <w:spacing w:line="360" w:lineRule="auto"/>
        <w:ind w:firstLine="480" w:firstLineChars="200"/>
        <w:rPr>
          <w:rFonts w:ascii="宋体" w:hAnsi="宋体" w:cs="宋体"/>
          <w:color w:val="auto"/>
          <w:sz w:val="24"/>
        </w:rPr>
      </w:pPr>
      <w:r>
        <w:rPr>
          <w:rFonts w:hint="eastAsia" w:ascii="宋体" w:hAnsi="宋体" w:cs="宋体"/>
          <w:color w:val="auto"/>
          <w:sz w:val="24"/>
        </w:rPr>
        <w:t>1、</w:t>
      </w:r>
      <w:r>
        <w:rPr>
          <w:rFonts w:ascii="宋体" w:hAnsi="宋体" w:cs="宋体"/>
          <w:color w:val="auto"/>
          <w:sz w:val="24"/>
        </w:rPr>
        <w:t>“</w:t>
      </w:r>
      <w:r>
        <w:rPr>
          <w:rFonts w:hint="eastAsia" w:ascii="宋体" w:hAnsi="宋体" w:cs="宋体"/>
          <w:color w:val="auto"/>
          <w:sz w:val="24"/>
        </w:rPr>
        <w:t>课桌</w:t>
      </w:r>
      <w:r>
        <w:rPr>
          <w:rFonts w:ascii="宋体" w:hAnsi="宋体" w:cs="宋体"/>
          <w:color w:val="auto"/>
          <w:sz w:val="24"/>
        </w:rPr>
        <w:t>”</w:t>
      </w:r>
      <w:r>
        <w:rPr>
          <w:rFonts w:hint="eastAsia" w:ascii="宋体" w:hAnsi="宋体" w:cs="宋体"/>
          <w:color w:val="auto"/>
          <w:sz w:val="24"/>
        </w:rPr>
        <w:t>或学生课桌检测合格的报告。</w:t>
      </w:r>
    </w:p>
    <w:p>
      <w:pPr>
        <w:spacing w:line="360" w:lineRule="auto"/>
        <w:ind w:firstLine="480" w:firstLineChars="200"/>
        <w:rPr>
          <w:rFonts w:ascii="宋体" w:hAnsi="宋体" w:cs="宋体"/>
          <w:color w:val="auto"/>
          <w:sz w:val="24"/>
        </w:rPr>
      </w:pPr>
      <w:r>
        <w:rPr>
          <w:rFonts w:hint="eastAsia" w:ascii="宋体" w:hAnsi="宋体" w:cs="宋体"/>
          <w:color w:val="auto"/>
          <w:sz w:val="24"/>
        </w:rPr>
        <w:t>2、“课椅”或学生课椅检测合格的报告。</w:t>
      </w:r>
    </w:p>
    <w:p>
      <w:pPr>
        <w:rPr>
          <w:rFonts w:hint="eastAsia" w:ascii="宋体" w:hAnsi="宋体" w:cs="宋体"/>
          <w:b/>
          <w:bCs/>
          <w:color w:val="auto"/>
          <w:sz w:val="24"/>
          <w:u w:val="single"/>
        </w:rPr>
      </w:pPr>
      <w:r>
        <w:rPr>
          <w:rFonts w:hint="eastAsia" w:ascii="微软雅黑" w:hAnsi="微软雅黑" w:eastAsia="微软雅黑" w:cs="微软雅黑"/>
          <w:b/>
          <w:bCs/>
          <w:color w:val="auto"/>
          <w:sz w:val="24"/>
          <w:u w:val="single"/>
        </w:rPr>
        <w:t>★</w:t>
      </w:r>
      <w:r>
        <w:rPr>
          <w:rFonts w:hint="eastAsia" w:ascii="宋体" w:hAnsi="宋体" w:cs="宋体"/>
          <w:b/>
          <w:bCs/>
          <w:color w:val="auto"/>
          <w:sz w:val="24"/>
          <w:u w:val="single"/>
        </w:rPr>
        <w:t>注：投标单位须提供真实的检测报告，以上所有检测合格的报告时间为近</w:t>
      </w:r>
      <w:r>
        <w:rPr>
          <w:rFonts w:hint="eastAsia" w:ascii="宋体" w:hAnsi="宋体" w:cs="宋体"/>
          <w:b/>
          <w:bCs/>
          <w:color w:val="auto"/>
          <w:sz w:val="24"/>
          <w:u w:val="single"/>
          <w:lang w:eastAsia="zh-CN"/>
        </w:rPr>
        <w:t>一</w:t>
      </w:r>
      <w:r>
        <w:rPr>
          <w:rFonts w:hint="eastAsia" w:ascii="宋体" w:hAnsi="宋体" w:cs="宋体"/>
          <w:b/>
          <w:bCs/>
          <w:color w:val="auto"/>
          <w:sz w:val="24"/>
          <w:u w:val="single"/>
        </w:rPr>
        <w:t>年（开标前</w:t>
      </w:r>
      <w:r>
        <w:rPr>
          <w:rFonts w:hint="eastAsia" w:ascii="宋体" w:hAnsi="宋体" w:cs="宋体"/>
          <w:b/>
          <w:bCs/>
          <w:color w:val="auto"/>
          <w:sz w:val="24"/>
          <w:u w:val="single"/>
          <w:lang w:val="en-US" w:eastAsia="zh-CN"/>
        </w:rPr>
        <w:t>12</w:t>
      </w:r>
      <w:r>
        <w:rPr>
          <w:rFonts w:hint="eastAsia" w:ascii="宋体" w:hAnsi="宋体" w:cs="宋体"/>
          <w:b/>
          <w:bCs/>
          <w:color w:val="auto"/>
          <w:sz w:val="24"/>
          <w:u w:val="single"/>
        </w:rPr>
        <w:t>个月）。</w:t>
      </w: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pStyle w:val="2"/>
        <w:ind w:left="0" w:leftChars="0" w:firstLine="0" w:firstLineChars="0"/>
        <w:rPr>
          <w:rFonts w:hint="eastAsia" w:ascii="宋体" w:hAnsi="宋体" w:cs="宋体"/>
          <w:b/>
          <w:bCs/>
          <w:color w:val="auto"/>
          <w:sz w:val="24"/>
          <w:u w:val="single"/>
        </w:rPr>
      </w:pPr>
    </w:p>
    <w:p>
      <w:pPr>
        <w:rPr>
          <w:rFonts w:hint="eastAsia" w:ascii="宋体" w:hAnsi="宋体" w:cs="宋体"/>
          <w:b/>
          <w:bCs/>
          <w:color w:val="auto"/>
          <w:sz w:val="24"/>
          <w:u w:val="single"/>
        </w:rPr>
      </w:pPr>
    </w:p>
    <w:p>
      <w:pPr>
        <w:jc w:val="center"/>
        <w:outlineLvl w:val="1"/>
        <w:rPr>
          <w:rFonts w:hint="eastAsia"/>
          <w:color w:val="auto"/>
        </w:rPr>
      </w:pPr>
      <w:r>
        <w:rPr>
          <w:rFonts w:hint="eastAsia" w:ascii="黑体" w:hAnsi="黑体" w:eastAsia="黑体" w:cs="黑体"/>
          <w:b/>
          <w:bCs/>
          <w:color w:val="auto"/>
          <w:sz w:val="28"/>
          <w:szCs w:val="28"/>
        </w:rPr>
        <w:t>第三节 商务要求</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b/>
          <w:bCs/>
          <w:color w:val="auto"/>
          <w:szCs w:val="21"/>
          <w:lang w:val="en-US" w:eastAsia="zh-CN"/>
        </w:rPr>
      </w:pPr>
      <w:r>
        <w:rPr>
          <w:rFonts w:hint="eastAsia" w:ascii="宋体" w:hAnsi="宋体"/>
          <w:b/>
          <w:bCs/>
          <w:color w:val="auto"/>
          <w:szCs w:val="21"/>
          <w:lang w:val="en-US" w:eastAsia="zh-CN"/>
        </w:rPr>
        <w:t>一、主要商务要求：</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eastAsia="宋体" w:cs="宋体"/>
          <w:color w:val="auto"/>
          <w:szCs w:val="22"/>
        </w:rPr>
      </w:pPr>
      <w:r>
        <w:rPr>
          <w:rFonts w:hint="eastAsia" w:ascii="宋体" w:hAnsi="宋体"/>
          <w:color w:val="auto"/>
          <w:szCs w:val="21"/>
          <w:lang w:val="en-US" w:eastAsia="zh-CN"/>
        </w:rPr>
        <w:t>1</w:t>
      </w:r>
      <w:r>
        <w:rPr>
          <w:rFonts w:hint="eastAsia" w:ascii="宋体" w:hAnsi="宋体"/>
          <w:color w:val="auto"/>
          <w:szCs w:val="21"/>
        </w:rPr>
        <w:t>、付款：</w:t>
      </w:r>
      <w:r>
        <w:rPr>
          <w:rFonts w:hint="eastAsia" w:ascii="宋体" w:hAnsi="宋体" w:eastAsia="宋体" w:cs="宋体"/>
          <w:color w:val="auto"/>
          <w:szCs w:val="22"/>
        </w:rPr>
        <w:t>安装调试验收合格后付合同总款的9</w:t>
      </w:r>
      <w:r>
        <w:rPr>
          <w:rFonts w:hint="eastAsia" w:ascii="宋体" w:hAnsi="宋体" w:cs="宋体"/>
          <w:color w:val="auto"/>
          <w:szCs w:val="22"/>
          <w:lang w:val="en-US" w:eastAsia="zh-CN"/>
        </w:rPr>
        <w:t>7</w:t>
      </w:r>
      <w:r>
        <w:rPr>
          <w:rFonts w:hint="eastAsia" w:ascii="宋体" w:hAnsi="宋体" w:eastAsia="宋体" w:cs="宋体"/>
          <w:color w:val="auto"/>
          <w:szCs w:val="22"/>
        </w:rPr>
        <w:t>%，所剩</w:t>
      </w:r>
      <w:r>
        <w:rPr>
          <w:rFonts w:hint="eastAsia" w:ascii="宋体" w:hAnsi="宋体" w:cs="宋体"/>
          <w:color w:val="auto"/>
          <w:szCs w:val="22"/>
          <w:lang w:val="en-US" w:eastAsia="zh-CN"/>
        </w:rPr>
        <w:t>3</w:t>
      </w:r>
      <w:r>
        <w:rPr>
          <w:rFonts w:hint="eastAsia" w:ascii="宋体" w:hAnsi="宋体" w:eastAsia="宋体" w:cs="宋体"/>
          <w:color w:val="auto"/>
          <w:szCs w:val="22"/>
        </w:rPr>
        <w:t>%的余款作为质保金，待免费质保期满无任何纠纷一次性付清（余款不计利息）。</w:t>
      </w:r>
    </w:p>
    <w:p>
      <w:pPr>
        <w:widowControl/>
        <w:spacing w:line="360" w:lineRule="auto"/>
        <w:jc w:val="left"/>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、安装时间地点：郴州职业技术学院指定地点</w:t>
      </w:r>
    </w:p>
    <w:p>
      <w:pPr>
        <w:widowControl/>
        <w:spacing w:line="360" w:lineRule="auto"/>
        <w:jc w:val="left"/>
        <w:rPr>
          <w:rFonts w:hint="eastAsia" w:ascii="宋体" w:hAnsi="宋体" w:eastAsia="宋体" w:cs="宋体"/>
          <w:color w:val="auto"/>
          <w:szCs w:val="22"/>
          <w:highlight w:val="none"/>
          <w:lang w:val="en-US" w:eastAsia="zh-CN"/>
        </w:rPr>
      </w:pPr>
      <w:r>
        <w:rPr>
          <w:rFonts w:hint="eastAsia" w:ascii="宋体" w:hAnsi="宋体"/>
          <w:color w:val="auto"/>
          <w:szCs w:val="21"/>
        </w:rPr>
        <w:t>（1）到货要求:</w:t>
      </w:r>
      <w:r>
        <w:rPr>
          <w:rFonts w:hint="eastAsia" w:ascii="宋体" w:hAnsi="宋体"/>
          <w:color w:val="auto"/>
          <w:lang w:val="en-US" w:eastAsia="zh-CN"/>
        </w:rPr>
        <w:t>签订合同后1个月内完成交付并安装到位，保障正常教学活动的开展。</w:t>
      </w:r>
    </w:p>
    <w:p>
      <w:pPr>
        <w:widowControl/>
        <w:spacing w:line="360" w:lineRule="auto"/>
        <w:jc w:val="left"/>
        <w:rPr>
          <w:rFonts w:ascii="宋体" w:hAnsi="宋体"/>
          <w:color w:val="auto"/>
          <w:szCs w:val="21"/>
        </w:rPr>
      </w:pPr>
      <w:r>
        <w:rPr>
          <w:rFonts w:hint="eastAsia" w:ascii="宋体" w:hAnsi="宋体"/>
          <w:color w:val="auto"/>
          <w:szCs w:val="21"/>
        </w:rPr>
        <w:t>（2）乙方提供免费上门安装及现场培训。安装新课桌椅的时候，要负责把老旧的课桌椅搬至甲方指定位置，不增加费用。</w:t>
      </w:r>
    </w:p>
    <w:p>
      <w:pPr>
        <w:widowControl/>
        <w:spacing w:line="360" w:lineRule="auto"/>
        <w:jc w:val="left"/>
        <w:rPr>
          <w:rFonts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、供货范围：</w:t>
      </w:r>
      <w:r>
        <w:rPr>
          <w:rFonts w:hint="eastAsia" w:ascii="宋体" w:hAnsi="宋体" w:eastAsia="宋体" w:cs="宋体"/>
          <w:color w:val="auto"/>
          <w:kern w:val="0"/>
          <w:sz w:val="21"/>
          <w:szCs w:val="21"/>
          <w:lang w:val="en-US" w:eastAsia="zh-CN" w:bidi="ar-SA"/>
        </w:rPr>
        <w:t>本次需更换2、3、5、6号教学楼（共四栋）的课桌椅，共计1985套，每套为1张桌子配2张椅子。</w:t>
      </w:r>
    </w:p>
    <w:p>
      <w:pPr>
        <w:widowControl/>
        <w:spacing w:line="360" w:lineRule="auto"/>
        <w:jc w:val="left"/>
        <w:rPr>
          <w:rFonts w:ascii="宋体" w:hAnsi="宋体"/>
          <w:color w:val="auto"/>
          <w:szCs w:val="21"/>
        </w:rPr>
      </w:pPr>
      <w:r>
        <w:rPr>
          <w:rFonts w:hint="eastAsia" w:ascii="宋体" w:hAnsi="宋体"/>
          <w:color w:val="auto"/>
          <w:szCs w:val="21"/>
          <w:lang w:val="en-US" w:eastAsia="zh-CN"/>
        </w:rPr>
        <w:t>4</w:t>
      </w:r>
      <w:r>
        <w:rPr>
          <w:rFonts w:hint="eastAsia" w:ascii="宋体" w:hAnsi="宋体"/>
          <w:color w:val="auto"/>
          <w:szCs w:val="21"/>
        </w:rPr>
        <w:t>、验收标准及方法：投标人应保证提供的所有货物是全新、未使用过的，完全符合采购文件和相应的现行国家标准及规范规定的质量、规格和性能的要求。提交货物的技术规范应与采购文件规定的技术规范相一致，达到采购人的要求。</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b/>
          <w:bCs/>
          <w:color w:val="auto"/>
          <w:szCs w:val="21"/>
        </w:rPr>
      </w:pPr>
      <w:r>
        <w:rPr>
          <w:rFonts w:hint="eastAsia" w:ascii="宋体" w:hAnsi="宋体"/>
          <w:b/>
          <w:bCs/>
          <w:color w:val="auto"/>
          <w:szCs w:val="21"/>
          <w:lang w:val="en-US" w:eastAsia="zh-CN"/>
        </w:rPr>
        <w:t>二、</w:t>
      </w:r>
      <w:r>
        <w:rPr>
          <w:rFonts w:hint="eastAsia" w:ascii="宋体" w:hAnsi="宋体"/>
          <w:b/>
          <w:bCs/>
          <w:color w:val="auto"/>
          <w:szCs w:val="21"/>
        </w:rPr>
        <w:t>售后服务质保要求</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1. 质保期限：本项目整体原厂免费质保5年，质保期自项目全部货物验收合格之日起计算。质保期内中标人提供全周期免费维护、维保服务。</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2. 报修响应机制：中标人设立7×24小时全年无休报修热线；采购人发起报修后2小时内电话对接响应，48小时内专业维修人员抵达项目现场处置故障。</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3. 质保期内免费服务标准</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（1）非人为因素造成产品质量故障，中标人免费上门维护、维修、更换全部配件/整机，人工、运输、配件等所有费用全部免收；人为损坏维修产生的全部费用由采购人承担。</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（2）维修人员抵达现场后1天（24小时）内完成故障维修；若现场无法修复，自报修当日起3日内免费更换全新原厂产品。</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4. 质保期满后服务规则</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免费质保期结束后，中标人提供终身维修服务；如需更换配件，仅收取配件成本价，免收上门人工服务费。</w:t>
      </w:r>
    </w:p>
    <w:p>
      <w:pPr>
        <w:widowControl/>
        <w:numPr>
          <w:ilvl w:val="0"/>
          <w:numId w:val="4"/>
        </w:numPr>
        <w:spacing w:line="360" w:lineRule="auto"/>
        <w:jc w:val="left"/>
        <w:rPr>
          <w:rFonts w:hint="eastAsia" w:ascii="宋体" w:hAnsi="宋体"/>
          <w:b/>
          <w:bCs/>
          <w:color w:val="auto"/>
          <w:szCs w:val="21"/>
        </w:rPr>
      </w:pPr>
      <w:r>
        <w:rPr>
          <w:rFonts w:hint="eastAsia" w:ascii="宋体" w:hAnsi="宋体"/>
          <w:b/>
          <w:bCs/>
          <w:color w:val="auto"/>
          <w:szCs w:val="21"/>
        </w:rPr>
        <w:t>质量保证：</w:t>
      </w:r>
    </w:p>
    <w:p>
      <w:pPr>
        <w:widowControl/>
        <w:numPr>
          <w:ilvl w:val="0"/>
          <w:numId w:val="0"/>
        </w:numPr>
        <w:spacing w:line="360" w:lineRule="auto"/>
        <w:jc w:val="left"/>
        <w:rPr>
          <w:rFonts w:ascii="宋体" w:hAnsi="宋体"/>
          <w:color w:val="auto"/>
          <w:szCs w:val="21"/>
        </w:rPr>
      </w:pPr>
      <w:r>
        <w:rPr>
          <w:rFonts w:hint="eastAsia" w:ascii="宋体" w:hAnsi="宋体"/>
          <w:color w:val="auto"/>
          <w:szCs w:val="21"/>
        </w:rPr>
        <w:t xml:space="preserve">为保障产品质量，投标人或所投产品制造商需提供以下相关证书以证明企业实力，提供证书扫描件及“国家认证认可监督管理委员会”官网查询截图。 </w:t>
      </w:r>
    </w:p>
    <w:p>
      <w:pPr>
        <w:widowControl/>
        <w:spacing w:line="360" w:lineRule="auto"/>
        <w:jc w:val="left"/>
        <w:rPr>
          <w:rFonts w:ascii="宋体" w:hAnsi="宋体"/>
          <w:color w:val="auto"/>
          <w:szCs w:val="21"/>
        </w:rPr>
      </w:pPr>
      <w:r>
        <w:rPr>
          <w:rFonts w:hint="eastAsia" w:ascii="宋体" w:hAnsi="宋体"/>
          <w:color w:val="auto"/>
          <w:szCs w:val="21"/>
        </w:rPr>
        <w:t xml:space="preserve">1、投标人或所投产品制造商需具有有效期内(CNAS)标识的质量管理体系认证、环境管理体系认证，且认证范围包括家具类产品。 </w:t>
      </w:r>
    </w:p>
    <w:p>
      <w:pPr>
        <w:widowControl/>
        <w:spacing w:line="360" w:lineRule="auto"/>
        <w:jc w:val="left"/>
        <w:rPr>
          <w:rFonts w:ascii="宋体" w:hAnsi="宋体"/>
          <w:color w:val="auto"/>
          <w:szCs w:val="21"/>
        </w:rPr>
      </w:pPr>
      <w:r>
        <w:rPr>
          <w:rFonts w:hint="eastAsia" w:ascii="宋体" w:hAnsi="宋体"/>
          <w:color w:val="auto"/>
          <w:szCs w:val="21"/>
        </w:rPr>
        <w:t xml:space="preserve">2、投标人或所投产品制造商需具有有效期内的中国环境标志产品认证证书，且认证范围包括课桌椅类产品。 </w:t>
      </w:r>
    </w:p>
    <w:p>
      <w:pPr>
        <w:widowControl/>
        <w:spacing w:line="360" w:lineRule="auto"/>
        <w:jc w:val="left"/>
        <w:rPr>
          <w:color w:val="auto"/>
        </w:rPr>
      </w:pPr>
      <w:r>
        <w:rPr>
          <w:rFonts w:hint="eastAsia" w:ascii="宋体" w:hAnsi="宋体"/>
          <w:color w:val="auto"/>
          <w:szCs w:val="21"/>
        </w:rPr>
        <w:t>3、投标人或所投产品制造商需具有有效期内(CNAS)标识的职业健康安全管理体系认证，且认证范围包括家具类产品。</w:t>
      </w:r>
    </w:p>
    <w:p>
      <w:pPr>
        <w:widowControl/>
        <w:spacing w:line="360" w:lineRule="auto"/>
        <w:jc w:val="left"/>
        <w:rPr>
          <w:rFonts w:ascii="宋体" w:hAnsi="宋体"/>
          <w:b/>
          <w:bCs/>
          <w:color w:val="auto"/>
          <w:szCs w:val="21"/>
        </w:rPr>
      </w:pPr>
      <w:r>
        <w:rPr>
          <w:rFonts w:hint="eastAsia" w:ascii="宋体" w:hAnsi="宋体"/>
          <w:b/>
          <w:bCs/>
          <w:color w:val="auto"/>
          <w:szCs w:val="21"/>
          <w:lang w:val="en-US" w:eastAsia="zh-CN"/>
        </w:rPr>
        <w:t>四</w:t>
      </w:r>
      <w:r>
        <w:rPr>
          <w:rFonts w:hint="eastAsia" w:ascii="宋体" w:hAnsi="宋体"/>
          <w:b/>
          <w:bCs/>
          <w:color w:val="auto"/>
          <w:szCs w:val="21"/>
        </w:rPr>
        <w:t>、供货保障：</w:t>
      </w:r>
    </w:p>
    <w:p>
      <w:pPr>
        <w:widowControl/>
        <w:spacing w:line="360" w:lineRule="auto"/>
        <w:ind w:firstLine="420" w:firstLineChars="200"/>
        <w:jc w:val="left"/>
        <w:rPr>
          <w:rFonts w:ascii="宋体" w:hAnsi="宋体"/>
          <w:color w:val="auto"/>
          <w:szCs w:val="21"/>
        </w:rPr>
      </w:pPr>
      <w:r>
        <w:rPr>
          <w:rFonts w:hint="eastAsia" w:ascii="宋体" w:hAnsi="宋体"/>
          <w:color w:val="auto"/>
          <w:szCs w:val="21"/>
        </w:rPr>
        <w:t>为保障产品质量</w:t>
      </w:r>
      <w:r>
        <w:rPr>
          <w:rFonts w:hint="eastAsia" w:ascii="宋体" w:hAnsi="宋体"/>
          <w:color w:val="auto"/>
          <w:szCs w:val="21"/>
          <w:lang w:val="en-US" w:eastAsia="zh-CN"/>
        </w:rPr>
        <w:t>和</w:t>
      </w:r>
      <w:r>
        <w:rPr>
          <w:rFonts w:hint="eastAsia" w:ascii="宋体" w:hAnsi="宋体"/>
          <w:color w:val="auto"/>
          <w:szCs w:val="21"/>
        </w:rPr>
        <w:t xml:space="preserve">顺利供货及安装，投标人或所投产品制造商需提供供货承诺书及产品的设计图纸。 </w:t>
      </w:r>
    </w:p>
    <w:p>
      <w:pPr>
        <w:widowControl/>
        <w:spacing w:line="360" w:lineRule="auto"/>
        <w:jc w:val="left"/>
        <w:rPr>
          <w:rFonts w:ascii="宋体" w:hAnsi="宋体"/>
          <w:color w:val="auto"/>
          <w:szCs w:val="21"/>
        </w:rPr>
      </w:pPr>
      <w:r>
        <w:rPr>
          <w:rFonts w:hint="eastAsia" w:ascii="宋体" w:hAnsi="宋体"/>
          <w:color w:val="auto"/>
          <w:szCs w:val="21"/>
        </w:rPr>
        <w:t>1、投标供应商提供所投产品的供货承诺书，说明承担在本项目中供货与售后服务法律责任，否则投标无效。（投标人需提供加盖公章的承诺书，格式自拟）。</w:t>
      </w:r>
    </w:p>
    <w:p>
      <w:pPr>
        <w:widowControl/>
        <w:spacing w:line="360" w:lineRule="auto"/>
        <w:jc w:val="left"/>
        <w:rPr>
          <w:rFonts w:hint="eastAsia" w:ascii="宋体" w:hAnsi="宋体"/>
          <w:color w:val="auto"/>
          <w:szCs w:val="21"/>
        </w:rPr>
      </w:pPr>
      <w:r>
        <w:rPr>
          <w:rFonts w:hint="eastAsia" w:ascii="宋体" w:hAnsi="宋体"/>
          <w:color w:val="auto"/>
          <w:szCs w:val="21"/>
        </w:rPr>
        <w:t>2、投标时必须提供所投产品的设计图、产品效果图、产品主要零部件图片（课桌面板、课桌脚架、桌斗、前档板、椅子钢管、椅子座面板、椅子靠背面板），所投产品使用说明，所投产品五金配件表；产品技术性能应符合招标参数要求。</w:t>
      </w:r>
    </w:p>
    <w:p>
      <w:pPr>
        <w:widowControl/>
        <w:spacing w:line="360" w:lineRule="auto"/>
        <w:jc w:val="left"/>
        <w:rPr>
          <w:rFonts w:ascii="宋体" w:hAnsi="宋体"/>
          <w:b/>
          <w:bCs/>
          <w:color w:val="auto"/>
          <w:szCs w:val="21"/>
        </w:rPr>
      </w:pPr>
      <w:r>
        <w:rPr>
          <w:rFonts w:hint="eastAsia" w:ascii="宋体" w:hAnsi="宋体"/>
          <w:b/>
          <w:bCs/>
          <w:color w:val="auto"/>
          <w:szCs w:val="21"/>
          <w:lang w:val="en-US" w:eastAsia="zh-CN"/>
        </w:rPr>
        <w:t>五</w:t>
      </w:r>
      <w:r>
        <w:rPr>
          <w:rFonts w:hint="eastAsia" w:ascii="宋体" w:hAnsi="宋体"/>
          <w:b/>
          <w:bCs/>
          <w:color w:val="auto"/>
          <w:szCs w:val="21"/>
        </w:rPr>
        <w:t>、其他要求：</w:t>
      </w:r>
    </w:p>
    <w:p>
      <w:pPr>
        <w:widowControl/>
        <w:spacing w:line="360" w:lineRule="auto"/>
        <w:jc w:val="left"/>
        <w:rPr>
          <w:color w:val="auto"/>
        </w:rPr>
      </w:pPr>
      <w:r>
        <w:rPr>
          <w:rFonts w:hint="eastAsia" w:ascii="宋体" w:hAnsi="宋体"/>
          <w:color w:val="auto"/>
          <w:szCs w:val="21"/>
        </w:rPr>
        <w:t>1、项目采购清单中的所有产品，甲醛、重金属等有害物质检测符合国家标准；家具边缘应做安全性处理（投标人需提供加盖公章的承诺书，格式自拟）。</w:t>
      </w:r>
    </w:p>
    <w:p>
      <w:pPr>
        <w:autoSpaceDE w:val="0"/>
        <w:autoSpaceDN w:val="0"/>
        <w:adjustRightInd w:val="0"/>
        <w:spacing w:line="360" w:lineRule="auto"/>
        <w:jc w:val="left"/>
        <w:rPr>
          <w:rFonts w:ascii="宋体" w:hAnsi="宋体"/>
          <w:b/>
          <w:bCs/>
          <w:color w:val="auto"/>
          <w:szCs w:val="21"/>
        </w:rPr>
      </w:pPr>
      <w:r>
        <w:rPr>
          <w:rFonts w:hint="eastAsia" w:ascii="宋体" w:hAnsi="宋体"/>
          <w:color w:val="auto"/>
          <w:szCs w:val="21"/>
        </w:rPr>
        <w:t>2、中标供应商签订合同时提供生产所投产品的主要生产设备清单；如投标人是制造商的，须提供所投产品生产厂家的证明材料（原件备查）；如投标人是经销商的，须提供制造商授权（原件备查）。采购人有权根据实际情况考察现场，以确保所采购的产品的质量以及供应保障。</w:t>
      </w:r>
      <w:r>
        <w:rPr>
          <w:rFonts w:hint="eastAsia" w:ascii="宋体" w:hAnsi="宋体"/>
          <w:b/>
          <w:bCs/>
          <w:color w:val="auto"/>
          <w:szCs w:val="21"/>
        </w:rPr>
        <w:t>若中标供应商不能按要求提供上述资料的，视为不能履约，按相关规定做违约处理，由此带来的一切损失由中标供应商自行承担。同时采购人将上报政府采购主管部门按有关规定进行处理。</w:t>
      </w:r>
    </w:p>
    <w:p>
      <w:pPr>
        <w:autoSpaceDE w:val="0"/>
        <w:autoSpaceDN w:val="0"/>
        <w:adjustRightInd w:val="0"/>
        <w:spacing w:line="360" w:lineRule="auto"/>
        <w:jc w:val="left"/>
        <w:rPr>
          <w:rFonts w:hint="eastAsia" w:ascii="宋体" w:hAnsi="宋体"/>
          <w:strike w:val="0"/>
          <w:dstrike w:val="0"/>
          <w:color w:val="auto"/>
          <w:szCs w:val="21"/>
          <w:u w:val="none"/>
        </w:rPr>
      </w:pPr>
      <w:r>
        <w:rPr>
          <w:rFonts w:hint="eastAsia" w:ascii="宋体" w:hAnsi="宋体"/>
          <w:strike w:val="0"/>
          <w:dstrike w:val="0"/>
          <w:color w:val="auto"/>
          <w:szCs w:val="21"/>
          <w:u w:val="none"/>
        </w:rPr>
        <w:t>3、中标公示之日起五个工作日内，中标人须提供符合招标参数要求的双人课桌椅样品，样品清单如下：课桌一张、课椅两张；并提供经招标文件中要求的检测报告原件。样品及检测报告原件须经采购人逐一审核，未提供的、提供不齐全的、样品不符合招标参数要求的、检验检测报告不符合要求的、提供虚假文件的视为主动放弃中标资格,采购人将上报相关主管部门，并依据相关法律法规重新选择中标供应商。</w:t>
      </w:r>
      <w:r>
        <w:rPr>
          <w:rFonts w:hint="eastAsia" w:ascii="宋体" w:hAnsi="宋体"/>
          <w:strike w:val="0"/>
          <w:dstrike w:val="0"/>
          <w:color w:val="auto"/>
          <w:szCs w:val="21"/>
          <w:u w:val="none"/>
          <w:lang w:val="en-US" w:eastAsia="zh-CN"/>
        </w:rPr>
        <w:t>样品合格后，供应商才可以批量生产。</w:t>
      </w:r>
      <w:r>
        <w:rPr>
          <w:rFonts w:hint="eastAsia" w:ascii="宋体" w:hAnsi="宋体"/>
          <w:strike w:val="0"/>
          <w:dstrike w:val="0"/>
          <w:color w:val="auto"/>
          <w:szCs w:val="21"/>
          <w:u w:val="none"/>
        </w:rPr>
        <w:t>合格样品将由招标人封存、作为验收依据。</w:t>
      </w:r>
    </w:p>
    <w:p>
      <w:pPr>
        <w:pageBreakBefore w:val="0"/>
        <w:widowControl/>
        <w:kinsoku/>
        <w:wordWrap/>
        <w:overflowPunct/>
        <w:topLinePunct w:val="0"/>
        <w:autoSpaceDE/>
        <w:autoSpaceDN/>
        <w:bidi w:val="0"/>
        <w:spacing w:beforeAutospacing="0" w:afterAutospacing="0" w:line="440" w:lineRule="exact"/>
        <w:ind w:right="0" w:firstLine="422" w:firstLineChars="200"/>
        <w:jc w:val="left"/>
        <w:rPr>
          <w:rFonts w:hint="eastAsia" w:ascii="宋体" w:hAnsi="宋体" w:eastAsia="宋体" w:cs="宋体"/>
          <w:color w:val="auto"/>
          <w:sz w:val="18"/>
          <w:szCs w:val="18"/>
        </w:rPr>
      </w:pPr>
      <w:bookmarkStart w:id="95" w:name="OLE_LINK3"/>
      <w:r>
        <w:rPr>
          <w:rFonts w:hint="eastAsia" w:ascii="宋体" w:hAnsi="宋体" w:cs="宋体"/>
          <w:b/>
          <w:color w:val="auto"/>
          <w:szCs w:val="21"/>
          <w:lang w:val="en-US" w:eastAsia="zh-CN"/>
        </w:rPr>
        <w:t>六</w:t>
      </w:r>
      <w:r>
        <w:rPr>
          <w:rFonts w:hint="eastAsia" w:ascii="宋体" w:hAnsi="宋体" w:eastAsia="宋体" w:cs="宋体"/>
          <w:b/>
          <w:color w:val="auto"/>
          <w:szCs w:val="21"/>
        </w:rPr>
        <w:t>、未尽事宜，在签订合同时由双方协商确定。</w:t>
      </w:r>
    </w:p>
    <w:bookmarkEnd w:id="95"/>
    <w:p>
      <w:pPr>
        <w:pStyle w:val="24"/>
        <w:numPr>
          <w:ilvl w:val="0"/>
          <w:numId w:val="0"/>
        </w:numPr>
        <w:adjustRightInd w:val="0"/>
        <w:snapToGrid w:val="0"/>
        <w:spacing w:line="360" w:lineRule="auto"/>
        <w:jc w:val="center"/>
        <w:outlineLvl w:val="0"/>
        <w:rPr>
          <w:rFonts w:hint="eastAsia" w:ascii="宋体" w:hAnsi="宋体" w:eastAsia="宋体" w:cs="宋体"/>
          <w:b/>
          <w:color w:val="auto"/>
          <w:kern w:val="2"/>
          <w:sz w:val="32"/>
          <w:szCs w:val="32"/>
          <w:highlight w:val="none"/>
          <w:lang w:val="en-US" w:eastAsia="zh-CN" w:bidi="ar-SA"/>
        </w:rPr>
      </w:pPr>
    </w:p>
    <w:p>
      <w:pPr>
        <w:pStyle w:val="24"/>
        <w:keepNext w:val="0"/>
        <w:keepLines w:val="0"/>
        <w:pageBreakBefore w:val="0"/>
        <w:widowControl w:val="0"/>
        <w:kinsoku/>
        <w:wordWrap/>
        <w:overflowPunct/>
        <w:topLinePunct w:val="0"/>
        <w:autoSpaceDE/>
        <w:autoSpaceDN/>
        <w:bidi w:val="0"/>
        <w:adjustRightInd/>
        <w:snapToGrid/>
        <w:spacing w:beforeAutospacing="0" w:afterAutospacing="0" w:line="440" w:lineRule="exact"/>
        <w:ind w:right="0"/>
        <w:jc w:val="both"/>
        <w:textAlignment w:val="auto"/>
        <w:outlineLvl w:val="0"/>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备注：</w:t>
      </w:r>
    </w:p>
    <w:p>
      <w:pPr>
        <w:pageBreakBefore w:val="0"/>
        <w:kinsoku/>
        <w:wordWrap/>
        <w:overflowPunct/>
        <w:topLinePunct w:val="0"/>
        <w:autoSpaceDE/>
        <w:autoSpaceDN/>
        <w:bidi w:val="0"/>
        <w:adjustRightInd w:val="0"/>
        <w:snapToGrid w:val="0"/>
        <w:spacing w:beforeAutospacing="0" w:afterAutospacing="0" w:line="440" w:lineRule="exact"/>
        <w:ind w:right="0" w:firstLine="422" w:firstLineChars="200"/>
        <w:jc w:val="left"/>
        <w:rPr>
          <w:rFonts w:hint="eastAsia" w:ascii="宋体" w:hAnsi="宋体" w:eastAsia="宋体" w:cs="宋体"/>
          <w:b/>
          <w:bCs/>
          <w:color w:val="auto"/>
          <w:szCs w:val="22"/>
          <w:lang w:val="en-US" w:eastAsia="zh-CN"/>
        </w:rPr>
      </w:pPr>
      <w:r>
        <w:rPr>
          <w:rFonts w:hint="eastAsia" w:ascii="宋体" w:hAnsi="宋体" w:eastAsia="宋体" w:cs="宋体"/>
          <w:b/>
          <w:bCs/>
          <w:color w:val="auto"/>
          <w:szCs w:val="22"/>
          <w:lang w:val="en-US" w:eastAsia="zh-CN"/>
        </w:rPr>
        <w:t>1、</w:t>
      </w:r>
      <w:r>
        <w:rPr>
          <w:rFonts w:hint="eastAsia" w:ascii="宋体" w:hAnsi="宋体" w:cs="宋体"/>
          <w:b/>
          <w:bCs/>
          <w:color w:val="auto"/>
          <w:szCs w:val="22"/>
          <w:lang w:val="en-US" w:eastAsia="zh-CN"/>
        </w:rPr>
        <w:t>招标文件</w:t>
      </w:r>
      <w:r>
        <w:rPr>
          <w:rFonts w:hint="eastAsia" w:ascii="宋体" w:hAnsi="宋体" w:eastAsia="宋体" w:cs="宋体"/>
          <w:b/>
          <w:bCs/>
          <w:color w:val="auto"/>
          <w:szCs w:val="22"/>
          <w:lang w:val="en-US" w:eastAsia="zh-CN"/>
        </w:rPr>
        <w:t>第</w:t>
      </w:r>
      <w:r>
        <w:rPr>
          <w:rFonts w:hint="eastAsia" w:ascii="宋体" w:hAnsi="宋体" w:cs="宋体"/>
          <w:b/>
          <w:bCs/>
          <w:color w:val="auto"/>
          <w:szCs w:val="22"/>
          <w:lang w:val="en-US" w:eastAsia="zh-CN"/>
        </w:rPr>
        <w:t>五</w:t>
      </w:r>
      <w:r>
        <w:rPr>
          <w:rFonts w:hint="eastAsia" w:ascii="宋体" w:hAnsi="宋体" w:eastAsia="宋体" w:cs="宋体"/>
          <w:b/>
          <w:bCs/>
          <w:color w:val="auto"/>
          <w:szCs w:val="22"/>
          <w:lang w:val="en-US" w:eastAsia="zh-CN"/>
        </w:rPr>
        <w:t>章“采购需求”中带“★”的条款，为关键性技术参数要求，投标人须提供加盖公章的承诺函（格式自拟）。若投标人对该类条款存在负偏离（即不满足或未响应要求），其投标将被视为无效投标。</w:t>
      </w:r>
    </w:p>
    <w:p>
      <w:pPr>
        <w:pageBreakBefore w:val="0"/>
        <w:kinsoku/>
        <w:wordWrap/>
        <w:overflowPunct/>
        <w:topLinePunct w:val="0"/>
        <w:autoSpaceDE/>
        <w:autoSpaceDN/>
        <w:bidi w:val="0"/>
        <w:adjustRightInd w:val="0"/>
        <w:snapToGrid w:val="0"/>
        <w:spacing w:beforeAutospacing="0" w:afterAutospacing="0" w:line="440" w:lineRule="exact"/>
        <w:ind w:right="0" w:firstLine="422" w:firstLineChars="200"/>
        <w:jc w:val="left"/>
        <w:rPr>
          <w:rFonts w:hint="eastAsia" w:ascii="宋体" w:hAnsi="宋体" w:eastAsia="宋体" w:cs="宋体"/>
          <w:b/>
          <w:color w:val="auto"/>
          <w:kern w:val="2"/>
          <w:sz w:val="32"/>
          <w:szCs w:val="32"/>
          <w:highlight w:val="none"/>
          <w:lang w:val="en-US" w:eastAsia="zh-CN" w:bidi="ar-SA"/>
        </w:rPr>
        <w:sectPr>
          <w:pgSz w:w="11906" w:h="16838"/>
          <w:pgMar w:top="1020" w:right="1080" w:bottom="102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bCs/>
          <w:color w:val="auto"/>
          <w:szCs w:val="22"/>
          <w:lang w:val="en-US" w:eastAsia="zh-CN"/>
        </w:rPr>
        <w:t>2、对于上述项目要求，投标人应在投标文件中进行逐一回应，作出承诺及说明。</w:t>
      </w:r>
    </w:p>
    <w:p>
      <w:pPr>
        <w:jc w:val="center"/>
        <w:rPr>
          <w:rFonts w:ascii="黑体" w:hAnsi="华文中宋" w:eastAsia="黑体"/>
          <w:b/>
          <w:color w:val="auto"/>
          <w:sz w:val="32"/>
          <w:szCs w:val="32"/>
        </w:rPr>
      </w:pPr>
      <w:bookmarkStart w:id="96" w:name="_Toc2449"/>
      <w:bookmarkStart w:id="97" w:name="_Toc29913944"/>
      <w:r>
        <w:rPr>
          <w:rFonts w:hint="eastAsia" w:ascii="黑体" w:hAnsi="华文中宋" w:eastAsia="黑体"/>
          <w:b/>
          <w:color w:val="auto"/>
          <w:sz w:val="32"/>
          <w:szCs w:val="32"/>
        </w:rPr>
        <w:t>第六章 政府采购合同</w:t>
      </w:r>
      <w:bookmarkEnd w:id="96"/>
      <w:bookmarkEnd w:id="97"/>
    </w:p>
    <w:p>
      <w:pPr>
        <w:pStyle w:val="5"/>
        <w:adjustRightInd w:val="0"/>
        <w:snapToGrid w:val="0"/>
        <w:jc w:val="center"/>
        <w:rPr>
          <w:rFonts w:ascii="黑体" w:hAnsi="华文中宋" w:eastAsia="黑体"/>
          <w:color w:val="auto"/>
          <w:sz w:val="28"/>
          <w:szCs w:val="28"/>
        </w:rPr>
      </w:pPr>
      <w:bookmarkStart w:id="98" w:name="_Toc18256"/>
      <w:bookmarkStart w:id="99" w:name="_Toc29913945"/>
      <w:r>
        <w:rPr>
          <w:rFonts w:hint="eastAsia" w:ascii="黑体" w:hAnsi="华文中宋" w:eastAsia="黑体"/>
          <w:color w:val="auto"/>
          <w:sz w:val="28"/>
          <w:szCs w:val="28"/>
        </w:rPr>
        <w:t>第一节 政府采购合同协议书</w:t>
      </w:r>
      <w:bookmarkEnd w:id="98"/>
      <w:bookmarkEnd w:id="99"/>
    </w:p>
    <w:p>
      <w:pPr>
        <w:adjustRightInd w:val="0"/>
        <w:snapToGrid w:val="0"/>
        <w:spacing w:before="156" w:beforeLines="50" w:line="360" w:lineRule="auto"/>
        <w:ind w:firstLine="5460" w:firstLineChars="2600"/>
        <w:rPr>
          <w:rFonts w:asciiTheme="minorEastAsia" w:hAnsiTheme="minorEastAsia" w:eastAsiaTheme="minorEastAsia"/>
          <w:b/>
          <w:color w:val="auto"/>
          <w:szCs w:val="21"/>
        </w:rPr>
      </w:pPr>
      <w:r>
        <w:rPr>
          <w:rFonts w:hint="eastAsia" w:asciiTheme="minorEastAsia" w:hAnsiTheme="minorEastAsia" w:eastAsiaTheme="minorEastAsia"/>
          <w:color w:val="auto"/>
          <w:szCs w:val="21"/>
        </w:rPr>
        <w:t>采购合同编号：</w:t>
      </w:r>
      <w:r>
        <w:rPr>
          <w:rFonts w:asciiTheme="minorEastAsia" w:hAnsiTheme="minorEastAsia" w:eastAsiaTheme="minorEastAsia"/>
          <w:color w:val="auto"/>
          <w:szCs w:val="21"/>
          <w:u w:val="single"/>
        </w:rPr>
        <w:t xml:space="preserve">                 </w:t>
      </w:r>
    </w:p>
    <w:p>
      <w:pPr>
        <w:adjustRightInd w:val="0"/>
        <w:snapToGrid w:val="0"/>
        <w:spacing w:before="156" w:beforeLines="50" w:line="360" w:lineRule="auto"/>
        <w:jc w:val="both"/>
        <w:rPr>
          <w:rFonts w:asciiTheme="minorEastAsia" w:hAnsiTheme="minorEastAsia" w:eastAsiaTheme="minorEastAsia"/>
          <w:b/>
          <w:color w:val="auto"/>
          <w:szCs w:val="21"/>
        </w:rPr>
      </w:pP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采购人（全称）：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（甲方）</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供应商（全称）：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（乙方）</w:t>
      </w:r>
    </w:p>
    <w:p>
      <w:pPr>
        <w:pStyle w:val="19"/>
        <w:adjustRightInd w:val="0"/>
        <w:snapToGrid w:val="0"/>
        <w:spacing w:before="156" w:beforeLines="50" w:after="0" w:line="360" w:lineRule="auto"/>
        <w:rPr>
          <w:rFonts w:asciiTheme="minorEastAsia" w:hAnsiTheme="minorEastAsia" w:eastAsiaTheme="minorEastAsia"/>
          <w:color w:val="auto"/>
          <w:szCs w:val="21"/>
        </w:rPr>
      </w:pPr>
    </w:p>
    <w:p>
      <w:pPr>
        <w:pStyle w:val="19"/>
        <w:adjustRightInd w:val="0"/>
        <w:snapToGrid w:val="0"/>
        <w:spacing w:before="156" w:beforeLines="50" w:after="0" w:line="360" w:lineRule="auto"/>
        <w:ind w:left="0" w:leftChars="0"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为了保护甲、乙双方合法权益，根据《中华人民共和国合同法》、《中华人民共和国政府采购法》及其他有关法律、法规、规章，双方签订本合同协议书。</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1.项目信息</w:t>
      </w:r>
    </w:p>
    <w:p>
      <w:pPr>
        <w:pStyle w:val="19"/>
        <w:adjustRightInd w:val="0"/>
        <w:snapToGrid w:val="0"/>
        <w:spacing w:before="156" w:beforeLines="50" w:after="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（1）采购项目名称：</w:t>
      </w:r>
      <w:r>
        <w:rPr>
          <w:rFonts w:asciiTheme="minorEastAsia" w:hAnsiTheme="minorEastAsia" w:eastAsiaTheme="minorEastAsia"/>
          <w:color w:val="auto"/>
          <w:szCs w:val="21"/>
          <w:u w:val="single"/>
        </w:rPr>
        <w:t xml:space="preserve">                                          </w:t>
      </w:r>
    </w:p>
    <w:p>
      <w:pPr>
        <w:pStyle w:val="19"/>
        <w:adjustRightInd w:val="0"/>
        <w:snapToGrid w:val="0"/>
        <w:spacing w:before="156" w:beforeLines="50" w:after="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（2）采购计划编号：</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（3）项目内容：</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（4）项目负责人：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ind w:firstLine="413" w:firstLineChars="196"/>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2.合同金额</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（1）合同金额小写：</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1260" w:firstLineChars="600"/>
        <w:rPr>
          <w:rFonts w:asciiTheme="minorEastAsia" w:hAnsiTheme="minorEastAsia" w:eastAsiaTheme="minorEastAsia"/>
          <w:b/>
          <w:color w:val="auto"/>
          <w:szCs w:val="21"/>
        </w:rPr>
      </w:pPr>
      <w:r>
        <w:rPr>
          <w:rFonts w:hint="eastAsia" w:asciiTheme="minorEastAsia" w:hAnsiTheme="minorEastAsia" w:eastAsiaTheme="minorEastAsia"/>
          <w:color w:val="auto"/>
          <w:szCs w:val="21"/>
        </w:rPr>
        <w:t>大写：</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（2）具体标的见附件。</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（3）合同价格形式：</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ind w:firstLine="422" w:firstLineChars="200"/>
        <w:rPr>
          <w:rFonts w:asciiTheme="minorEastAsia" w:hAnsiTheme="minorEastAsia" w:eastAsiaTheme="minorEastAsia"/>
          <w:color w:val="auto"/>
          <w:szCs w:val="21"/>
          <w:u w:val="single"/>
        </w:rPr>
      </w:pPr>
      <w:r>
        <w:rPr>
          <w:rFonts w:hint="eastAsia" w:asciiTheme="minorEastAsia" w:hAnsiTheme="minorEastAsia" w:eastAsiaTheme="minorEastAsia"/>
          <w:b/>
          <w:color w:val="auto"/>
          <w:szCs w:val="21"/>
        </w:rPr>
        <w:t>3.履行合同的时间、地点及方式</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起始日期：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日，完成日期：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日。总日历天数：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天。</w:t>
      </w:r>
    </w:p>
    <w:p>
      <w:pPr>
        <w:adjustRightInd w:val="0"/>
        <w:snapToGrid w:val="0"/>
        <w:spacing w:before="156" w:beforeLines="50" w:line="360" w:lineRule="auto"/>
        <w:ind w:firstLine="630" w:firstLineChars="3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地点</w:t>
      </w:r>
      <w:r>
        <w:rPr>
          <w:rFonts w:hint="eastAsia" w:asciiTheme="minorEastAsia" w:hAnsiTheme="minorEastAsia" w:eastAsiaTheme="minorEastAsia"/>
          <w:b/>
          <w:color w:val="auto"/>
          <w:szCs w:val="21"/>
        </w:rPr>
        <w:t>：</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方式：</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4.付款：</w:t>
      </w:r>
    </w:p>
    <w:p>
      <w:pPr>
        <w:adjustRightInd w:val="0"/>
        <w:snapToGrid w:val="0"/>
        <w:spacing w:before="156" w:beforeLines="50" w:line="360" w:lineRule="auto"/>
        <w:ind w:firstLine="630" w:firstLineChars="300"/>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1、</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5.解决合同纠纷方式</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首先通过双方协商解决，协商解决不成，则通过以下途径之一解决纠纷：</w:t>
      </w:r>
    </w:p>
    <w:p>
      <w:pPr>
        <w:adjustRightInd w:val="0"/>
        <w:snapToGrid w:val="0"/>
        <w:spacing w:before="156" w:beforeLines="50" w:line="360" w:lineRule="auto"/>
        <w:ind w:firstLine="840" w:firstLineChars="400"/>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提请仲裁       </w:t>
      </w:r>
      <w:r>
        <w:rPr>
          <w:rFonts w:hint="eastAsia" w:asciiTheme="minorEastAsia" w:hAnsiTheme="minorEastAsia" w:eastAsiaTheme="minorEastAsia"/>
          <w:color w:val="auto"/>
          <w:szCs w:val="21"/>
        </w:rPr>
        <w:sym w:font="Wingdings 2" w:char="0052"/>
      </w:r>
      <w:r>
        <w:rPr>
          <w:rFonts w:hint="eastAsia" w:asciiTheme="minorEastAsia" w:hAnsiTheme="minorEastAsia" w:eastAsiaTheme="minorEastAsia"/>
          <w:color w:val="auto"/>
          <w:szCs w:val="21"/>
        </w:rPr>
        <w:t xml:space="preserve"> 向人民法院提起诉讼</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6.组成合同的文件</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本协议书与下列文件一起构成合同文件，如下述文件之间有任何抵触、矛盾或歧义，应按以下顺序解释：</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（1）在采购或合同履行过程中乙方作出的承诺以及双方协商达成的变更或补充协议</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（2）本合同协议书</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（3）中标通知书</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（4）投标文件</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（5）政府采购合同专用条款</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（6）政府采购合同通用条款</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（7）标准、规范及有关技术文件，图纸。</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（8）其他合同文件。</w:t>
      </w:r>
    </w:p>
    <w:p>
      <w:pPr>
        <w:adjustRightInd w:val="0"/>
        <w:snapToGrid w:val="0"/>
        <w:spacing w:before="156" w:beforeLines="50" w:line="360" w:lineRule="auto"/>
        <w:ind w:firstLine="310" w:firstLineChars="147"/>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7.合同生效</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本合同自</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生效。</w:t>
      </w:r>
    </w:p>
    <w:p>
      <w:pPr>
        <w:adjustRightInd w:val="0"/>
        <w:snapToGrid w:val="0"/>
        <w:spacing w:before="156" w:beforeLines="50" w:line="360" w:lineRule="auto"/>
        <w:ind w:firstLine="310" w:firstLineChars="147"/>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8.合同份数</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本合同一式</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份，采购人执</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份，供应商执</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份，均具有同等法律效力。</w:t>
      </w:r>
    </w:p>
    <w:p>
      <w:pPr>
        <w:adjustRightInd w:val="0"/>
        <w:snapToGrid w:val="0"/>
        <w:spacing w:before="156" w:beforeLines="50" w:line="360" w:lineRule="auto"/>
        <w:rPr>
          <w:rFonts w:asciiTheme="minorEastAsia" w:hAnsiTheme="minorEastAsia" w:eastAsiaTheme="minorEastAsia"/>
          <w:color w:val="auto"/>
          <w:szCs w:val="21"/>
        </w:rPr>
      </w:pP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合同订立时间：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合同订立地点：</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甲      方：（公章）                     乙      方：（公章）</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法定代表人：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法定代表人：</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委托代理人：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委托代理人：</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电      话：</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电      话：</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传      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传      真：</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开 户 银 行：</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color w:val="auto"/>
          <w:szCs w:val="21"/>
        </w:rPr>
        <w:t xml:space="preserve">         帐       号：</w:t>
      </w:r>
      <w:r>
        <w:rPr>
          <w:rFonts w:hint="eastAsia" w:asciiTheme="minorEastAsia" w:hAnsiTheme="minorEastAsia" w:eastAsiaTheme="minorEastAsia"/>
          <w:color w:val="auto"/>
          <w:szCs w:val="21"/>
          <w:u w:val="single"/>
        </w:rPr>
        <w:t xml:space="preserve">                 </w:t>
      </w:r>
    </w:p>
    <w:p>
      <w:pPr>
        <w:pStyle w:val="5"/>
        <w:adjustRightInd w:val="0"/>
        <w:snapToGrid w:val="0"/>
        <w:spacing w:before="156" w:beforeLines="50"/>
        <w:jc w:val="center"/>
        <w:rPr>
          <w:rFonts w:ascii="黑体" w:hAnsi="黑体" w:eastAsia="黑体"/>
          <w:color w:val="auto"/>
          <w:sz w:val="28"/>
          <w:szCs w:val="28"/>
        </w:rPr>
      </w:pPr>
      <w:r>
        <w:rPr>
          <w:rFonts w:asciiTheme="minorEastAsia" w:hAnsiTheme="minorEastAsia" w:eastAsiaTheme="minorEastAsia"/>
          <w:color w:val="auto"/>
          <w:sz w:val="21"/>
          <w:szCs w:val="21"/>
          <w:u w:val="single"/>
        </w:rPr>
        <w:br w:type="page"/>
      </w:r>
      <w:bookmarkStart w:id="100" w:name="_Toc29913946"/>
      <w:bookmarkStart w:id="101" w:name="_Toc48"/>
      <w:r>
        <w:rPr>
          <w:rFonts w:hint="eastAsia" w:ascii="黑体" w:hAnsi="黑体" w:eastAsia="黑体"/>
          <w:color w:val="auto"/>
          <w:sz w:val="28"/>
          <w:szCs w:val="28"/>
        </w:rPr>
        <w:t>第二节 政府采购合同通用条款</w:t>
      </w:r>
      <w:bookmarkEnd w:id="100"/>
      <w:bookmarkEnd w:id="101"/>
    </w:p>
    <w:p>
      <w:pPr>
        <w:tabs>
          <w:tab w:val="left" w:pos="8820"/>
          <w:tab w:val="left" w:pos="9345"/>
          <w:tab w:val="left" w:pos="9765"/>
        </w:tabs>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1.</w:t>
      </w:r>
      <w:r>
        <w:rPr>
          <w:rFonts w:hint="eastAsia" w:asciiTheme="minorEastAsia" w:hAnsiTheme="minorEastAsia" w:eastAsiaTheme="minorEastAsia"/>
          <w:b/>
          <w:bCs/>
          <w:color w:val="auto"/>
          <w:sz w:val="24"/>
        </w:rPr>
        <w:t>定义</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1.1合同当事人</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（1）采购人（以下称甲方）是指使用财政性资金，通过政府采购程序向供应商购买货物、服务的国家机关、事业单位、团体组织。本次采购的甲方名称、地址见</w:t>
      </w:r>
      <w:r>
        <w:rPr>
          <w:rFonts w:hint="eastAsia" w:asciiTheme="minorEastAsia" w:hAnsiTheme="minorEastAsia" w:eastAsiaTheme="minorEastAsia"/>
          <w:b/>
          <w:color w:val="auto"/>
          <w:szCs w:val="21"/>
        </w:rPr>
        <w:t>【政府采购合同专用条款】。</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b/>
          <w:color w:val="auto"/>
          <w:szCs w:val="21"/>
        </w:rPr>
      </w:pPr>
      <w:r>
        <w:rPr>
          <w:rFonts w:hint="eastAsia" w:asciiTheme="minorEastAsia" w:hAnsiTheme="minorEastAsia" w:eastAsiaTheme="minorEastAsia"/>
          <w:color w:val="auto"/>
          <w:szCs w:val="21"/>
        </w:rPr>
        <w:t>（2）供应商（以下称乙方）是指参加政府采购活动而取得中标结果，并向采购人提供货物、服务的法人、其他组织或者自然人。</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1.2本合同下列术语应解释为：</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（1）“合同”系指甲乙双方签署的、政府采购合同协议书中载明的甲乙双方所达成的协议，包括所有的附件、附录和上述文件所提到的构成合同的所有文件。</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（2）“合同价”系指根据本合同规定乙方在正确地完全履行合同义务后甲方应支付给乙方的价款。</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（3）“货物”系指乙方根据本合同规定须向甲方提供的各种形态和种类的物品，包括原材料、设备、产品（包括软件）及相关的其备品备件、工具、手册及其它技术资料和材料。</w:t>
      </w:r>
    </w:p>
    <w:p>
      <w:pPr>
        <w:tabs>
          <w:tab w:val="left" w:pos="570"/>
          <w:tab w:val="left" w:pos="888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服务”系指根据合同规定，乙方应提供的技术、管理和其它服务，包括但不限于：管理和质量保证、运输、保险、检验、现场准备、安装、集成、调试、培训、维修、技术支持等以及合同中规定乙方应承担的其它义务。</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（5）“合同条款”系指本合同条款。</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（6）“项目现场”系指本合同项下货物安装、运行的现场，其名称见</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2.合同的适用范围</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 本合同条款适用于没有被本合同其他部分的条款所取代的范围。</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 合同内容根据招标文件、投标文件而确定。</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3.</w:t>
      </w:r>
      <w:r>
        <w:rPr>
          <w:rFonts w:hint="eastAsia" w:asciiTheme="minorEastAsia" w:hAnsiTheme="minorEastAsia" w:eastAsiaTheme="minorEastAsia"/>
          <w:b/>
          <w:color w:val="auto"/>
          <w:sz w:val="24"/>
        </w:rPr>
        <w:t>合同标的及金额</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 合同标的及金额应与中标结果一致。</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4.</w:t>
      </w:r>
      <w:r>
        <w:rPr>
          <w:rFonts w:hint="eastAsia" w:asciiTheme="minorEastAsia" w:hAnsiTheme="minorEastAsia" w:eastAsiaTheme="minorEastAsia"/>
          <w:b/>
          <w:color w:val="auto"/>
          <w:sz w:val="24"/>
        </w:rPr>
        <w:t>合同价款</w:t>
      </w:r>
    </w:p>
    <w:p>
      <w:pPr>
        <w:adjustRightInd w:val="0"/>
        <w:snapToGrid w:val="0"/>
        <w:spacing w:before="50" w:line="360" w:lineRule="auto"/>
        <w:ind w:firstLine="420" w:firstLineChars="200"/>
        <w:jc w:val="left"/>
        <w:rPr>
          <w:rFonts w:asciiTheme="minorEastAsia" w:hAnsiTheme="minorEastAsia" w:eastAsiaTheme="minorEastAsia"/>
          <w:b/>
          <w:bCs/>
          <w:i/>
          <w:iCs/>
          <w:color w:val="auto"/>
          <w:szCs w:val="21"/>
        </w:rPr>
      </w:pPr>
      <w:r>
        <w:rPr>
          <w:rFonts w:hint="eastAsia" w:asciiTheme="minorEastAsia" w:hAnsiTheme="minorEastAsia" w:eastAsiaTheme="minorEastAsia"/>
          <w:color w:val="auto"/>
          <w:szCs w:val="21"/>
        </w:rPr>
        <w:t>4.1具体合同价款见本合同第3.1条。乙方为履行本合同而发生的所有费用均应包含在合同价款中，甲方不再另行支付其它任何费用。</w:t>
      </w:r>
    </w:p>
    <w:p>
      <w:pPr>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5.履行合同的时间、地点和方式</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5.1 乙方应当在甲方确定的时间、指定的地点履行合同，具体的交货时间、地点和方式见</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5.2 乙方提供服务的应当在甲方指定的地点完成服务项目。</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6.</w:t>
      </w:r>
      <w:r>
        <w:rPr>
          <w:rFonts w:hint="eastAsia" w:asciiTheme="minorEastAsia" w:hAnsiTheme="minorEastAsia" w:eastAsiaTheme="minorEastAsia"/>
          <w:b/>
          <w:color w:val="auto"/>
          <w:sz w:val="24"/>
        </w:rPr>
        <w:t>货物的验收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6.1 甲方在收到乙方交付的货物后应当及时组织验收。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6.2 货物的表面瑕疵，甲方应在验收时当面提出；对质量问题有异议的应在安装调试后十个工作日内提出。</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6.3 在验收过程中发现数量不足或有质量、技术等问题，乙方应负责按照甲方的要求采取补足、更换或退货等处理措施，并承担由此发生的一切费用和损失。</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6.4 甲方在乙方按合同规定交货或安装、调试后，无正当理由而拖延接收、验收或拒绝接收、验收的，应承担因此给乙方造成的直接损失。</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6.5 甲方对货物进行检查验收合格后，应当收取发票并在《交货验收单》上签署验收意见及加盖单位印章。</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6.6 大型或者复杂的货物采购项目，甲方可以邀请国家认可的质量检测机构参加验收工作，并由其出具验收报告单。</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6.7 乙方提供的进口产品，乙方应出示中华人民共和国进出口商品检验部门出具的检验证书（招标文件第五章采购需求另有约定的除外）。</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7.货物包装要求</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7.2 每一个包装箱内应附一份详细装箱单、质量证书和保修保养证书。</w:t>
      </w:r>
    </w:p>
    <w:p>
      <w:pPr>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8.运输和保险</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8.1乙方负责办理将货物运抵本合同第5.1条规定的交货地点的一切运输事项，相关费用应包括在合同总价中。</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8.2乙方应向保险公司投保以甲方为受益人的发运合同货物发票金额的110％运输一切险。</w:t>
      </w:r>
    </w:p>
    <w:p>
      <w:pPr>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9.质量标准和保证</w:t>
      </w:r>
    </w:p>
    <w:p>
      <w:pPr>
        <w:pStyle w:val="24"/>
        <w:adjustRightInd w:val="0"/>
        <w:snapToGrid w:val="0"/>
        <w:spacing w:before="50" w:line="360" w:lineRule="auto"/>
        <w:ind w:firstLine="420" w:firstLineChars="200"/>
        <w:jc w:val="left"/>
        <w:rPr>
          <w:rFonts w:asciiTheme="minorEastAsia" w:hAnsiTheme="minorEastAsia" w:eastAsiaTheme="minorEastAsia"/>
          <w:b/>
          <w:color w:val="auto"/>
        </w:rPr>
      </w:pPr>
      <w:r>
        <w:rPr>
          <w:rFonts w:hint="eastAsia" w:asciiTheme="minorEastAsia" w:hAnsiTheme="minorEastAsia" w:eastAsiaTheme="minorEastAsia"/>
          <w:color w:val="auto"/>
        </w:rPr>
        <w:t>9.1 质量标准</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（1）本合同下交付的货物应符合招标文件第四章“技术规格、参数与要求”所述的标准。如果没有提及适用标准，则应符合中华人民共和国有关机构发布的最新版本的标准。</w:t>
      </w:r>
    </w:p>
    <w:p>
      <w:pPr>
        <w:pStyle w:val="24"/>
        <w:adjustRightInd w:val="0"/>
        <w:snapToGrid w:val="0"/>
        <w:spacing w:before="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（2）采用中华人民共和国法定计量单位。</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（3）乙方所出售的货物还应符合国家有关安全、环保、卫生之规定。</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9.2 保证</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规定或乙方承诺（两者以较长的为准）的质量保证期内，本保证保持有效。</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（2）在质量保证期内所发现的缺陷，甲方应尽快以书面形式通知乙方。</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（3）乙方收到通知后应在</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规定的响应时间内以合理的速度免费维修或更换有缺陷的货物或部件。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（4）在质量保证期内，如果货物的质量或规格与合同不符，或证实货物是有缺陷的，包括潜在的缺陷或使用不符合要求的材料等，甲方可以根据本合同第15.1条规定以书面形式向乙方提出补救措施或索赔。</w:t>
      </w:r>
    </w:p>
    <w:p>
      <w:pPr>
        <w:adjustRightInd w:val="0"/>
        <w:snapToGrid w:val="0"/>
        <w:spacing w:before="50" w:line="360" w:lineRule="auto"/>
        <w:ind w:firstLine="420" w:firstLineChars="200"/>
        <w:jc w:val="left"/>
        <w:rPr>
          <w:rFonts w:asciiTheme="minorEastAsia" w:hAnsiTheme="minorEastAsia" w:eastAsiaTheme="minorEastAsia"/>
          <w:b/>
          <w:color w:val="auto"/>
          <w:szCs w:val="21"/>
        </w:rPr>
      </w:pPr>
      <w:r>
        <w:rPr>
          <w:rFonts w:hint="eastAsia" w:asciiTheme="minorEastAsia" w:hAnsiTheme="minorEastAsia" w:eastAsiaTheme="minorEastAsia"/>
          <w:color w:val="auto"/>
          <w:szCs w:val="21"/>
        </w:rPr>
        <w:t>（5）乙方在约定的时间内未能弥补缺陷，甲方可采取必要的补救措施，但其风险和费用将由乙方承担，甲方根据合同规定对乙方行使的其他权利不受影响。</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10.权利瑕疵担保</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10.1 乙方保证对其出售的货物享有合法的权利。</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10.2 乙方保证在其出售的货物上不存在任何未曾向甲方透露的担保物权，如抵押权、质押权、留置权等。</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10.3 如甲方使用该货物构成上述侵权的，则由乙方承担全部责任。</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11.知识产权保护</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11.1 乙方对其所销售的货物应当享有知识产权或经权利人合法授权，保证没有侵犯任何第三人的知识产权和商业秘密等权利。</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11.2 甲方使用乙方提供的货物对第三人构成侵权的，应当由乙方承担全部法律责任，给甲方造成损害的，乙方应当承担赔偿责任。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11.3 甲方委托乙方开发的产品，甲方享有知识产权，未经甲方许可不得转让任何第三人。</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12.保密义务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12.1 甲、乙双方在采购和履行合同过程中所获悉的对方属于保密的内容，双方均有保密义务。</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13.合同价款支付</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13.1验收合格后，乙方出具正规发票给甲方，凭甲方开具的《政府采购合同验收报告单》办理合同价</w:t>
      </w:r>
      <w:r>
        <w:rPr>
          <w:rFonts w:hint="eastAsia" w:asciiTheme="minorEastAsia" w:hAnsiTheme="minorEastAsia" w:eastAsiaTheme="minorEastAsia"/>
          <w:bCs/>
          <w:color w:val="auto"/>
          <w:szCs w:val="21"/>
        </w:rPr>
        <w:t>款</w:t>
      </w:r>
      <w:r>
        <w:rPr>
          <w:rFonts w:hint="eastAsia" w:asciiTheme="minorEastAsia" w:hAnsiTheme="minorEastAsia" w:eastAsiaTheme="minorEastAsia"/>
          <w:color w:val="auto"/>
          <w:szCs w:val="21"/>
        </w:rPr>
        <w:t>结算手续。</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13.2 合同价款构成中应当由财政支付的部分，甲方应当在货物验收合格后的十五个工作日内向国库管理部门申请支付，经国库管理部门审核后直接支付给乙方。</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13.3 合同价款构成中应当由甲方自行支付的部分，甲方应当在货物验收合格后十五个工作内支付。</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13.4支付合同价</w:t>
      </w:r>
      <w:r>
        <w:rPr>
          <w:rFonts w:hint="eastAsia" w:asciiTheme="minorEastAsia" w:hAnsiTheme="minorEastAsia" w:eastAsiaTheme="minorEastAsia"/>
          <w:bCs/>
          <w:color w:val="auto"/>
          <w:szCs w:val="21"/>
        </w:rPr>
        <w:t>款</w:t>
      </w:r>
      <w:r>
        <w:rPr>
          <w:rFonts w:hint="eastAsia" w:asciiTheme="minorEastAsia" w:hAnsiTheme="minorEastAsia" w:eastAsiaTheme="minorEastAsia"/>
          <w:color w:val="auto"/>
          <w:szCs w:val="21"/>
        </w:rPr>
        <w:t>时，一律不向乙方以外的任何第三方办理付款手续。开户行和账号以签订的政府采购合同为准，如果乙方要求变更，则乙方必须提供加盖了财务专用章、法定代表人签字的证明文件，报经甲方审查同意。</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13.5 合同价款支付方式</w:t>
      </w:r>
      <w:r>
        <w:rPr>
          <w:rFonts w:hint="eastAsia" w:asciiTheme="minorEastAsia" w:hAnsiTheme="minorEastAsia" w:eastAsiaTheme="minorEastAsia"/>
          <w:bCs/>
          <w:color w:val="auto"/>
          <w:szCs w:val="21"/>
        </w:rPr>
        <w:t>和条件在</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中另有规定。</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14.</w:t>
      </w:r>
      <w:r>
        <w:rPr>
          <w:rFonts w:hint="eastAsia"/>
          <w:b/>
          <w:color w:val="auto"/>
          <w:sz w:val="24"/>
        </w:rPr>
        <w:t>乙方应提供的</w:t>
      </w:r>
      <w:r>
        <w:rPr>
          <w:rFonts w:hint="eastAsia" w:asciiTheme="minorEastAsia" w:hAnsiTheme="minorEastAsia" w:eastAsiaTheme="minorEastAsia"/>
          <w:b/>
          <w:color w:val="auto"/>
          <w:sz w:val="24"/>
        </w:rPr>
        <w:t>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14.1 乙方应向甲方提交所提供货物的技术文件，包括相应的中文技术文件，如：产品目录、图纸、操作手册、使用说明、维护手册或服务指南。这些文件应包装好随同货物一起发运。</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14.2 乙方还应提供下列服务：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（1）货物的现场移动、安装、调试、启动监督及技术支持；</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（2）提供货物组装和维修所需的专用工具和辅助材料；</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（3）在合同各方商定的一定期限内对所有的货物实施运行监督、维修，但前提条件是该服务并不能免除乙方在质量保证期内所承担的义务；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（4）在制造商或项目现场就货物的安装、启动、运营、维护对甲方操作人员进行培训；</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规定由乙方提供的其他服务。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14.3 乙方提供的服务的费用应包含在合同价款中，甲方不再另行支付。</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15.违约责任</w:t>
      </w:r>
    </w:p>
    <w:p>
      <w:pPr>
        <w:adjustRightInd w:val="0"/>
        <w:snapToGrid w:val="0"/>
        <w:spacing w:before="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15.1质量瑕疵的补救措施和索赔</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①乙方同意退货并将货款退还给甲方，由此发生的一切费用和损失由乙方承担。</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②根据货物的质量状况以及甲方所遭受的损失，经过甲乙双方商定降低货物的价格。</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如不足以弥补甲方损失的，甲方有权进一步要求乙方赔偿。</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15.2 迟延交货的违约责任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（2）除本合同</w:t>
      </w:r>
      <w:r>
        <w:rPr>
          <w:rFonts w:hint="eastAsia" w:asciiTheme="minorEastAsia" w:hAnsiTheme="minorEastAsia" w:eastAsiaTheme="minorEastAsia"/>
          <w:bCs/>
          <w:color w:val="auto"/>
          <w:szCs w:val="21"/>
        </w:rPr>
        <w:t>第20条</w:t>
      </w:r>
      <w:r>
        <w:rPr>
          <w:rFonts w:hint="eastAsia" w:asciiTheme="minorEastAsia" w:hAnsiTheme="minorEastAsia" w:eastAsiaTheme="minorEastAsia"/>
          <w:color w:val="auto"/>
          <w:szCs w:val="21"/>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如果乙方迟延交货，甲方有权终止全部或部分合同，并依其认为适当的条件和方法购买与未交货物类似的货物，乙方应对购买类似货物所超出的那部分费用负责。但是，乙方应继续执行合同中未终止的部分。</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16.合同的变更</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16.1 在合同履行过程中，甲、乙双方可就合同履行的时间、地点和方式等协商进行变更。协商一致后，双方应签订书面的补充协议。</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16.2 在不改变合同其他条款的前提下，甲方有权在合同价款百分之十的范围内追加与合同标的相同的货物或服务，并就此与乙方签订补充合同，乙方不得拒绝。</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16.3 除双方签署书面协议，并成为合同不可分割的一部分外，本合同条件不得有任何变更。</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17.合同中止与终止</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17.1合同的中止</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（1）合同在履行过程中，因采购计划调整，甲方可以要求中止履行，待计划确定后继续履行；</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（2）合同履行过程中因供应商就采购过程或结果提起投诉的，甲方认为有必要或财政部门责令中止的，应当中止合同的履行。</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17.2合同的终止</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（1）合同因有效期限届满而终止；</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（2）乙方未能依照本合同约定条件履行合同，已构成根本性违约的，甲方有权终止本合同，并追究乙方的违约责任。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（3）如果乙方丧失履约能力或被宣告破产，甲方可在任何时候以书面形式通知乙方终止合同而不给乙方补偿。</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（4）如果乙方在履行合同过程中有不正当竞争行为，甲方有权解除合同，并按《中华人民共和国反不正当竞争法》规定由有关部门追究其法律责任。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（5）如果合同的履行将损害国家利益或社会公共利益，甲方有权终止合同的履行，给乙方造成损失的予以相应补偿。</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18.合同转让和分包</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18.1 乙方不得以任何形式将合同转包。</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18.2 乙方未在投标文件中说明，不得将</w:t>
      </w:r>
      <w:r>
        <w:rPr>
          <w:rFonts w:hint="eastAsia" w:asciiTheme="minorEastAsia" w:hAnsiTheme="minorEastAsia" w:eastAsiaTheme="minorEastAsia"/>
          <w:bCs/>
          <w:color w:val="auto"/>
          <w:szCs w:val="21"/>
        </w:rPr>
        <w:t>合同</w:t>
      </w:r>
      <w:r>
        <w:rPr>
          <w:rFonts w:hint="eastAsia" w:asciiTheme="minorEastAsia" w:hAnsiTheme="minorEastAsia" w:eastAsiaTheme="minorEastAsia"/>
          <w:color w:val="auto"/>
          <w:szCs w:val="21"/>
        </w:rPr>
        <w:t>的非主体、非关键性工作分包给他人。</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19.不可抗力</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19.1 不可抗力是指合同双方不可预见、不可避免、不可克服的自然灾害和社会事件。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19.2 任何一方对由于不可抗力造成的部分或全部不能履行合同不承担违约责任。但迟延履行后发生不可抗力的，不能免除责任。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19.3 遇有不可抗力的一方，应在三日内将事件的情况以书面形式通知另一方，并在事件发生后十日内，向另一方提交合同不能履行或部分不能履行或需要延期履行理由的报告。</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20.解决争议的方法</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20.1 合同各方应通过友好协商，解决在执行合同过程中所发生的或与合同有关的一切争端。如从协商开始后十日内仍不能解决，可以向财政部门提请调解。</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20.2 调解不成可以按</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中约定中规定下列方式之一提起仲裁或诉讼：</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（1）向甲方所在地仲裁机构提起仲裁；</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（2）向甲方所在地人民法院提起诉讼。</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20.3 如仲裁或诉讼事项不影响合同其它部分的履行，则在仲裁或诉讼期间，除正在进行仲裁或诉讼的部分外，合同的其它部分应继续执行。</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21.法律适用</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21.1 本合同适用中华人民共和国现行法律、行政法规和规章，如合同条款与法律、行政法规和规章不一致的，按照法律、行政法规和规章修改本合同。</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22.</w:t>
      </w:r>
      <w:r>
        <w:rPr>
          <w:rFonts w:hint="eastAsia" w:asciiTheme="minorEastAsia" w:hAnsiTheme="minorEastAsia" w:eastAsiaTheme="minorEastAsia"/>
          <w:b/>
          <w:color w:val="auto"/>
          <w:sz w:val="24"/>
        </w:rPr>
        <w:t>通知</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22.1本合同一方给另一方的通知均应采用书面形式，传真或快递送到本合同中规定的对方的地址和办理签收手续，</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22.2通知以送到之日或通知书中规定的生效之日起生效，两者中以较迟之日为准。</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23. 合同未尽事项</w:t>
      </w:r>
    </w:p>
    <w:p>
      <w:pPr>
        <w:adjustRightInd w:val="0"/>
        <w:snapToGrid w:val="0"/>
        <w:spacing w:before="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23.1合同未尽事项见</w:t>
      </w:r>
      <w:r>
        <w:rPr>
          <w:rFonts w:hint="eastAsia" w:asciiTheme="minorEastAsia" w:hAnsiTheme="minorEastAsia" w:eastAsiaTheme="minorEastAsia"/>
          <w:b/>
          <w:color w:val="auto"/>
          <w:szCs w:val="21"/>
        </w:rPr>
        <w:t>【政府采购合同专用条款】。</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24.合同生效</w:t>
      </w:r>
    </w:p>
    <w:p>
      <w:pPr>
        <w:autoSpaceDE w:val="0"/>
        <w:autoSpaceDN w:val="0"/>
        <w:adjustRightInd w:val="0"/>
        <w:snapToGrid w:val="0"/>
        <w:spacing w:before="50" w:line="360" w:lineRule="auto"/>
        <w:ind w:firstLine="420" w:firstLineChars="200"/>
        <w:jc w:val="left"/>
        <w:rPr>
          <w:rFonts w:ascii="黑体" w:hAnsi="黑体" w:eastAsia="黑体"/>
          <w:b/>
          <w:bCs/>
          <w:color w:val="auto"/>
          <w:sz w:val="32"/>
        </w:rPr>
      </w:pPr>
      <w:r>
        <w:rPr>
          <w:rFonts w:hint="eastAsia" w:asciiTheme="minorEastAsia" w:hAnsiTheme="minorEastAsia" w:eastAsiaTheme="minorEastAsia"/>
          <w:color w:val="auto"/>
          <w:szCs w:val="21"/>
        </w:rPr>
        <w:t>24.1 本合同在合同双方签字盖章后生效。</w:t>
      </w:r>
      <w:r>
        <w:rPr>
          <w:rFonts w:ascii="黑体" w:hAnsi="黑体" w:eastAsia="黑体"/>
          <w:b/>
          <w:bCs/>
          <w:color w:val="auto"/>
          <w:sz w:val="32"/>
        </w:rPr>
        <w:br w:type="page"/>
      </w:r>
    </w:p>
    <w:p>
      <w:pPr>
        <w:pStyle w:val="5"/>
        <w:adjustRightInd w:val="0"/>
        <w:snapToGrid w:val="0"/>
        <w:ind w:firstLine="562" w:firstLineChars="200"/>
        <w:jc w:val="center"/>
        <w:rPr>
          <w:rFonts w:ascii="黑体" w:hAnsi="华文中宋" w:eastAsia="黑体"/>
          <w:color w:val="auto"/>
          <w:sz w:val="28"/>
          <w:szCs w:val="28"/>
        </w:rPr>
      </w:pPr>
      <w:bookmarkStart w:id="102" w:name="_Toc23789"/>
      <w:bookmarkStart w:id="103" w:name="_Toc29913947"/>
      <w:r>
        <w:rPr>
          <w:rFonts w:hint="eastAsia" w:ascii="黑体" w:hAnsi="华文中宋" w:eastAsia="黑体"/>
          <w:color w:val="auto"/>
          <w:sz w:val="28"/>
          <w:szCs w:val="28"/>
        </w:rPr>
        <w:t>第三节 政府采购合同专用条款</w:t>
      </w:r>
      <w:bookmarkEnd w:id="102"/>
      <w:bookmarkEnd w:id="103"/>
    </w:p>
    <w:tbl>
      <w:tblPr>
        <w:tblStyle w:val="43"/>
        <w:tblW w:w="90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第1.1款</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 xml:space="preserve">甲方名称、地址 </w:t>
            </w:r>
          </w:p>
        </w:tc>
        <w:tc>
          <w:tcPr>
            <w:tcW w:w="5464" w:type="dxa"/>
            <w:vAlign w:val="center"/>
          </w:tcPr>
          <w:p>
            <w:pPr>
              <w:adjustRightInd w:val="0"/>
              <w:snapToGrid w:val="0"/>
              <w:spacing w:line="360" w:lineRule="auto"/>
              <w:jc w:val="left"/>
              <w:rPr>
                <w:rFonts w:ascii="宋体" w:hAnsi="宋体"/>
                <w:color w:val="auto"/>
                <w:szCs w:val="21"/>
                <w:u w:val="single"/>
              </w:rPr>
            </w:pPr>
            <w:r>
              <w:rPr>
                <w:rFonts w:hint="eastAsia" w:ascii="宋体" w:hAnsi="宋体"/>
                <w:color w:val="auto"/>
                <w:szCs w:val="21"/>
              </w:rPr>
              <w:t>名称：</w:t>
            </w:r>
            <w:r>
              <w:rPr>
                <w:rFonts w:hint="eastAsia" w:ascii="宋体" w:hAnsi="宋体" w:cs="宋体"/>
                <w:color w:val="auto"/>
                <w:szCs w:val="21"/>
                <w:highlight w:val="none"/>
                <w:u w:val="none"/>
                <w:lang w:eastAsia="zh-CN"/>
              </w:rPr>
              <w:t>教室课桌椅更换项目</w:t>
            </w:r>
          </w:p>
          <w:p>
            <w:pPr>
              <w:adjustRightInd w:val="0"/>
              <w:snapToGrid w:val="0"/>
              <w:spacing w:line="360" w:lineRule="auto"/>
              <w:jc w:val="left"/>
              <w:rPr>
                <w:rFonts w:ascii="宋体" w:hAnsi="宋体"/>
                <w:color w:val="auto"/>
                <w:szCs w:val="21"/>
              </w:rPr>
            </w:pPr>
            <w:r>
              <w:rPr>
                <w:rFonts w:hint="eastAsia" w:ascii="宋体" w:hAnsi="宋体"/>
                <w:color w:val="auto"/>
                <w:szCs w:val="21"/>
              </w:rPr>
              <w:t>地址</w:t>
            </w:r>
            <w:r>
              <w:rPr>
                <w:rFonts w:hint="eastAsia" w:ascii="宋体" w:hAnsi="宋体"/>
                <w:color w:val="auto"/>
                <w:szCs w:val="21"/>
                <w:u w:val="none"/>
              </w:rPr>
              <w:t>：</w:t>
            </w:r>
            <w:r>
              <w:rPr>
                <w:rFonts w:hint="eastAsia" w:ascii="宋体" w:hAnsi="宋体"/>
                <w:color w:val="auto"/>
                <w:szCs w:val="21"/>
                <w:u w:val="none"/>
                <w:lang w:val="en-US" w:eastAsia="zh-CN"/>
              </w:rPr>
              <w:t>郴州职业技术学院</w:t>
            </w:r>
            <w:r>
              <w:rPr>
                <w:rFonts w:hint="eastAsia" w:ascii="宋体" w:hAnsi="宋体"/>
                <w:color w:val="auto"/>
                <w:szCs w:val="21"/>
                <w:u w:val="none"/>
              </w:rPr>
              <w:t xml:space="preserve">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第1.2（6）项</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项目现场</w:t>
            </w:r>
          </w:p>
        </w:tc>
        <w:tc>
          <w:tcPr>
            <w:tcW w:w="5464" w:type="dxa"/>
            <w:vAlign w:val="center"/>
          </w:tcPr>
          <w:p>
            <w:pPr>
              <w:adjustRightInd w:val="0"/>
              <w:snapToGrid w:val="0"/>
              <w:spacing w:line="360" w:lineRule="auto"/>
              <w:jc w:val="left"/>
              <w:rPr>
                <w:rFonts w:ascii="宋体" w:hAnsi="宋体"/>
                <w:color w:val="auto"/>
                <w:szCs w:val="21"/>
                <w:u w:val="single"/>
              </w:rPr>
            </w:pPr>
            <w:r>
              <w:rPr>
                <w:rFonts w:hint="eastAsia" w:ascii="宋体" w:hAnsi="宋体" w:eastAsia="宋体" w:cs="宋体"/>
                <w:color w:val="auto"/>
                <w:highlight w:val="none"/>
              </w:rPr>
              <w:t>采购人指定地点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第5.1款</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履行合同的时间、地点及方式</w:t>
            </w:r>
          </w:p>
        </w:tc>
        <w:tc>
          <w:tcPr>
            <w:tcW w:w="5464" w:type="dxa"/>
            <w:vAlign w:val="center"/>
          </w:tcPr>
          <w:p>
            <w:pPr>
              <w:adjustRightInd w:val="0"/>
              <w:snapToGrid w:val="0"/>
              <w:spacing w:line="360" w:lineRule="auto"/>
              <w:jc w:val="left"/>
              <w:rPr>
                <w:rFonts w:hint="eastAsia" w:ascii="宋体" w:hAnsi="宋体"/>
                <w:color w:val="auto"/>
                <w:lang w:val="en-US" w:eastAsia="zh-CN"/>
              </w:rPr>
            </w:pPr>
            <w:r>
              <w:rPr>
                <w:rFonts w:hint="eastAsia" w:ascii="宋体" w:hAnsi="宋体"/>
                <w:color w:val="auto"/>
                <w:szCs w:val="21"/>
              </w:rPr>
              <w:t>交货时间：</w:t>
            </w:r>
            <w:r>
              <w:rPr>
                <w:rFonts w:hint="eastAsia" w:ascii="宋体" w:hAnsi="宋体"/>
                <w:color w:val="auto"/>
                <w:lang w:val="en-US" w:eastAsia="zh-CN"/>
              </w:rPr>
              <w:t>签订合同后30天内完成交付并安装到位。</w:t>
            </w:r>
          </w:p>
          <w:p>
            <w:pPr>
              <w:adjustRightInd w:val="0"/>
              <w:snapToGrid w:val="0"/>
              <w:spacing w:line="360" w:lineRule="auto"/>
              <w:jc w:val="left"/>
              <w:rPr>
                <w:rFonts w:ascii="宋体" w:hAnsi="宋体"/>
                <w:color w:val="auto"/>
                <w:szCs w:val="21"/>
              </w:rPr>
            </w:pPr>
            <w:r>
              <w:rPr>
                <w:rFonts w:hint="eastAsia" w:ascii="宋体" w:hAnsi="宋体"/>
                <w:color w:val="auto"/>
                <w:szCs w:val="21"/>
              </w:rPr>
              <w:t>交货地点：</w:t>
            </w:r>
            <w:r>
              <w:rPr>
                <w:rFonts w:hint="eastAsia" w:ascii="宋体" w:hAnsi="宋体"/>
                <w:color w:val="auto"/>
                <w:szCs w:val="21"/>
                <w:u w:val="none"/>
                <w:lang w:val="en-US" w:eastAsia="zh-CN"/>
              </w:rPr>
              <w:t>郴州职业技术学院</w:t>
            </w:r>
          </w:p>
          <w:p>
            <w:pPr>
              <w:adjustRightInd w:val="0"/>
              <w:snapToGrid w:val="0"/>
              <w:spacing w:line="360" w:lineRule="auto"/>
              <w:jc w:val="left"/>
              <w:rPr>
                <w:rFonts w:ascii="宋体" w:hAnsi="宋体"/>
                <w:color w:val="auto"/>
                <w:szCs w:val="21"/>
              </w:rPr>
            </w:pPr>
            <w:r>
              <w:rPr>
                <w:rFonts w:hint="eastAsia" w:ascii="宋体" w:hAnsi="宋体"/>
                <w:color w:val="auto"/>
                <w:szCs w:val="21"/>
              </w:rPr>
              <w:t>交货方式：</w:t>
            </w:r>
            <w:r>
              <w:rPr>
                <w:rFonts w:hint="eastAsia" w:ascii="宋体" w:hAnsi="宋体"/>
                <w:color w:val="auto"/>
                <w:szCs w:val="21"/>
                <w:u w:val="none"/>
              </w:rPr>
              <w:t>中标单位送货上门并完成全部安装就位，运输、装卸、上楼、安装等所有费用均含在投标报价中。</w:t>
            </w:r>
            <w:r>
              <w:rPr>
                <w:rFonts w:hint="eastAsia" w:ascii="宋体" w:hAnsi="宋体"/>
                <w:color w:val="auto"/>
                <w:szCs w:val="21"/>
              </w:rPr>
              <w:t xml:space="preserve">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7" w:hRule="atLeast"/>
        </w:trPr>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第9.2（1）项</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质量保证期</w:t>
            </w:r>
          </w:p>
        </w:tc>
        <w:tc>
          <w:tcPr>
            <w:tcW w:w="5464" w:type="dxa"/>
            <w:vAlign w:val="center"/>
          </w:tcPr>
          <w:p>
            <w:pPr>
              <w:autoSpaceDE w:val="0"/>
              <w:autoSpaceDN w:val="0"/>
              <w:adjustRightInd w:val="0"/>
              <w:snapToGrid w:val="0"/>
              <w:spacing w:line="360" w:lineRule="auto"/>
              <w:jc w:val="left"/>
              <w:rPr>
                <w:rFonts w:hint="default" w:ascii="宋体" w:hAnsi="宋体" w:eastAsia="宋体"/>
                <w:color w:val="auto"/>
                <w:szCs w:val="21"/>
                <w:u w:val="single"/>
                <w:lang w:val="en-US" w:eastAsia="zh-CN"/>
              </w:rPr>
            </w:pPr>
            <w:r>
              <w:rPr>
                <w:rFonts w:hint="eastAsia" w:ascii="宋体" w:hAnsi="宋体"/>
                <w:color w:val="auto"/>
                <w:szCs w:val="21"/>
              </w:rPr>
              <w:t xml:space="preserve"> </w:t>
            </w:r>
            <w:r>
              <w:rPr>
                <w:rFonts w:hint="eastAsia" w:ascii="宋体" w:hAnsi="宋体"/>
                <w:color w:val="auto"/>
                <w:szCs w:val="21"/>
                <w:u w:val="none"/>
                <w:lang w:val="en-US" w:eastAsia="zh-CN"/>
              </w:rPr>
              <w:t>整体质保5年（详见采购需求）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第9.2（3）项</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响应时间</w:t>
            </w:r>
          </w:p>
        </w:tc>
        <w:tc>
          <w:tcPr>
            <w:tcW w:w="5464" w:type="dxa"/>
            <w:vAlign w:val="center"/>
          </w:tcPr>
          <w:p>
            <w:pPr>
              <w:adjustRightInd w:val="0"/>
              <w:snapToGrid w:val="0"/>
              <w:spacing w:line="360" w:lineRule="auto"/>
              <w:jc w:val="left"/>
              <w:rPr>
                <w:rFonts w:ascii="宋体" w:hAnsi="宋体"/>
                <w:color w:val="auto"/>
                <w:szCs w:val="21"/>
                <w:u w:val="single"/>
              </w:rPr>
            </w:pPr>
            <w:r>
              <w:rPr>
                <w:rFonts w:hint="eastAsia" w:ascii="宋体" w:hAnsi="宋体"/>
                <w:color w:val="auto"/>
                <w:szCs w:val="21"/>
              </w:rPr>
              <w:t>详见第五章采购需求。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第13.5款</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合同价款支付方式</w:t>
            </w:r>
            <w:r>
              <w:rPr>
                <w:rFonts w:hint="eastAsia" w:ascii="宋体" w:hAnsi="宋体"/>
                <w:bCs/>
                <w:color w:val="auto"/>
                <w:szCs w:val="21"/>
              </w:rPr>
              <w:t>和条件</w:t>
            </w:r>
          </w:p>
        </w:tc>
        <w:tc>
          <w:tcPr>
            <w:tcW w:w="5464" w:type="dxa"/>
            <w:vAlign w:val="center"/>
          </w:tcPr>
          <w:p>
            <w:pPr>
              <w:adjustRightInd w:val="0"/>
              <w:snapToGrid w:val="0"/>
              <w:spacing w:line="360" w:lineRule="auto"/>
              <w:jc w:val="left"/>
              <w:rPr>
                <w:rFonts w:hint="eastAsia" w:ascii="宋体" w:hAnsi="宋体" w:eastAsia="宋体" w:cs="Times New Roman"/>
                <w:color w:val="auto"/>
                <w:szCs w:val="21"/>
              </w:rPr>
            </w:pPr>
            <w:r>
              <w:rPr>
                <w:rFonts w:hint="eastAsia" w:ascii="宋体" w:hAnsi="宋体" w:eastAsia="宋体" w:cs="Times New Roman"/>
                <w:color w:val="auto"/>
                <w:szCs w:val="21"/>
              </w:rPr>
              <w:t>合同价款支付方式：</w:t>
            </w:r>
            <w:r>
              <w:rPr>
                <w:rFonts w:hint="eastAsia" w:ascii="宋体" w:hAnsi="宋体" w:eastAsia="宋体" w:cs="Times New Roman"/>
                <w:color w:val="auto"/>
                <w:szCs w:val="21"/>
                <w:u w:val="none"/>
              </w:rPr>
              <w:t>货到安装调试合格后，项目经采购人验收合格后，乙方须提供正式税务发票（开具正规且有效的发票）供甲方办理付款手续。甲方按照</w:t>
            </w:r>
            <w:r>
              <w:rPr>
                <w:rFonts w:hint="eastAsia" w:ascii="宋体" w:hAnsi="宋体" w:cs="Times New Roman"/>
                <w:color w:val="auto"/>
                <w:szCs w:val="21"/>
                <w:u w:val="none"/>
                <w:lang w:eastAsia="zh-CN"/>
              </w:rPr>
              <w:t>市财政</w:t>
            </w:r>
            <w:r>
              <w:rPr>
                <w:rFonts w:hint="eastAsia" w:ascii="宋体" w:hAnsi="宋体" w:cs="Times New Roman"/>
                <w:color w:val="auto"/>
                <w:szCs w:val="21"/>
                <w:u w:val="none"/>
                <w:lang w:val="en-US" w:eastAsia="zh-CN"/>
              </w:rPr>
              <w:t>报账</w:t>
            </w:r>
            <w:r>
              <w:rPr>
                <w:rFonts w:hint="eastAsia" w:ascii="宋体" w:hAnsi="宋体" w:eastAsia="宋体" w:cs="Times New Roman"/>
                <w:color w:val="auto"/>
                <w:szCs w:val="21"/>
                <w:u w:val="none"/>
              </w:rPr>
              <w:t>相关政策履行付款手续，支付合同金额的97%</w:t>
            </w:r>
            <w:r>
              <w:rPr>
                <w:rFonts w:hint="eastAsia" w:ascii="宋体" w:hAnsi="宋体" w:eastAsia="宋体" w:cs="Times New Roman"/>
                <w:color w:val="auto"/>
                <w:szCs w:val="21"/>
                <w:u w:val="none"/>
                <w:lang w:eastAsia="zh-CN"/>
              </w:rPr>
              <w:t>，</w:t>
            </w:r>
            <w:r>
              <w:rPr>
                <w:rFonts w:hint="default" w:ascii="宋体" w:hAnsi="宋体" w:eastAsia="宋体" w:cs="Times New Roman"/>
                <w:color w:val="auto"/>
                <w:szCs w:val="21"/>
                <w:u w:val="none"/>
                <w:lang w:val="en-US" w:eastAsia="zh-CN"/>
              </w:rPr>
              <w:t>所剩</w:t>
            </w:r>
            <w:r>
              <w:rPr>
                <w:rFonts w:hint="eastAsia" w:ascii="宋体" w:hAnsi="宋体" w:eastAsia="宋体" w:cs="Times New Roman"/>
                <w:color w:val="auto"/>
                <w:szCs w:val="21"/>
                <w:u w:val="none"/>
                <w:lang w:val="en-US" w:eastAsia="zh-CN"/>
              </w:rPr>
              <w:t>3</w:t>
            </w:r>
            <w:r>
              <w:rPr>
                <w:rFonts w:hint="default" w:ascii="宋体" w:hAnsi="宋体" w:eastAsia="宋体" w:cs="Times New Roman"/>
                <w:color w:val="auto"/>
                <w:szCs w:val="21"/>
                <w:u w:val="none"/>
                <w:lang w:val="en-US" w:eastAsia="zh-CN"/>
              </w:rPr>
              <w:t>%的余款作为质保金，待免费质保期满无任何纠纷一次性付清（余款不计利息）。</w:t>
            </w:r>
          </w:p>
          <w:p>
            <w:pPr>
              <w:adjustRightInd w:val="0"/>
              <w:snapToGrid w:val="0"/>
              <w:spacing w:line="360" w:lineRule="auto"/>
              <w:jc w:val="left"/>
              <w:rPr>
                <w:rFonts w:ascii="宋体" w:hAnsi="宋体"/>
                <w:color w:val="auto"/>
                <w:szCs w:val="21"/>
              </w:rPr>
            </w:pPr>
            <w:r>
              <w:rPr>
                <w:rFonts w:hint="eastAsia" w:ascii="宋体" w:hAnsi="宋体" w:eastAsia="宋体" w:cs="Times New Roman"/>
                <w:color w:val="auto"/>
                <w:szCs w:val="21"/>
              </w:rPr>
              <w:t>合同价款支付条件</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u w:val="none"/>
              </w:rPr>
              <w:t>双方签订的合同、相关部门验收合格证、供应商开具的相应发票。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第14.2（6）项</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乙方提供的其他服务</w:t>
            </w:r>
          </w:p>
        </w:tc>
        <w:tc>
          <w:tcPr>
            <w:tcW w:w="5464"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详见第五章采购需求。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bCs/>
                <w:color w:val="auto"/>
                <w:szCs w:val="21"/>
              </w:rPr>
            </w:pPr>
            <w:r>
              <w:rPr>
                <w:rFonts w:hint="eastAsia" w:ascii="宋体" w:hAnsi="宋体"/>
                <w:color w:val="auto"/>
                <w:szCs w:val="21"/>
              </w:rPr>
              <w:t>第20.2款</w:t>
            </w:r>
          </w:p>
        </w:tc>
        <w:tc>
          <w:tcPr>
            <w:tcW w:w="1843" w:type="dxa"/>
            <w:vAlign w:val="center"/>
          </w:tcPr>
          <w:p>
            <w:pPr>
              <w:adjustRightInd w:val="0"/>
              <w:snapToGrid w:val="0"/>
              <w:spacing w:line="360" w:lineRule="auto"/>
              <w:jc w:val="left"/>
              <w:rPr>
                <w:rFonts w:ascii="宋体" w:hAnsi="宋体"/>
                <w:bCs/>
                <w:color w:val="auto"/>
                <w:szCs w:val="21"/>
              </w:rPr>
            </w:pPr>
            <w:r>
              <w:rPr>
                <w:rFonts w:hint="eastAsia" w:ascii="宋体" w:hAnsi="宋体"/>
                <w:color w:val="auto"/>
                <w:szCs w:val="21"/>
              </w:rPr>
              <w:t>解决争议的方式</w:t>
            </w:r>
          </w:p>
        </w:tc>
        <w:tc>
          <w:tcPr>
            <w:tcW w:w="5464"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sym w:font="Wingdings 2" w:char="0052"/>
            </w:r>
            <w:r>
              <w:rPr>
                <w:rFonts w:hint="eastAsia" w:ascii="宋体" w:hAnsi="宋体"/>
                <w:color w:val="auto"/>
                <w:szCs w:val="21"/>
              </w:rPr>
              <w:t xml:space="preserve"> 诉讼</w:t>
            </w:r>
          </w:p>
          <w:p>
            <w:pPr>
              <w:adjustRightInd w:val="0"/>
              <w:snapToGrid w:val="0"/>
              <w:spacing w:line="360" w:lineRule="auto"/>
              <w:jc w:val="left"/>
              <w:rPr>
                <w:rFonts w:ascii="宋体" w:hAnsi="宋体"/>
                <w:color w:val="auto"/>
                <w:szCs w:val="21"/>
              </w:rPr>
            </w:pPr>
            <w:r>
              <w:rPr>
                <w:rFonts w:hint="eastAsia" w:ascii="宋体" w:hAnsi="宋体"/>
                <w:color w:val="auto"/>
                <w:szCs w:val="21"/>
              </w:rPr>
              <w:t>□ 仲裁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第23.1款</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bCs/>
                <w:color w:val="auto"/>
                <w:szCs w:val="21"/>
              </w:rPr>
              <w:t>合同未尽事项</w:t>
            </w:r>
          </w:p>
        </w:tc>
        <w:tc>
          <w:tcPr>
            <w:tcW w:w="5464" w:type="dxa"/>
            <w:vAlign w:val="center"/>
          </w:tcPr>
          <w:p>
            <w:pPr>
              <w:adjustRightInd w:val="0"/>
              <w:snapToGrid w:val="0"/>
              <w:spacing w:line="360" w:lineRule="auto"/>
              <w:jc w:val="left"/>
              <w:rPr>
                <w:rFonts w:ascii="宋体" w:hAnsi="宋体"/>
                <w:color w:val="auto"/>
                <w:szCs w:val="21"/>
                <w:u w:val="single"/>
              </w:rPr>
            </w:pPr>
            <w:r>
              <w:rPr>
                <w:rFonts w:hint="eastAsia" w:ascii="宋体" w:hAnsi="宋体"/>
                <w:color w:val="auto"/>
                <w:szCs w:val="21"/>
              </w:rPr>
              <w:t>未尽事项协商解决。</w:t>
            </w:r>
          </w:p>
        </w:tc>
      </w:tr>
    </w:tbl>
    <w:p>
      <w:pPr>
        <w:rPr>
          <w:rFonts w:hAnsi="宋体"/>
          <w:b/>
          <w:bCs/>
          <w:color w:val="auto"/>
          <w:sz w:val="52"/>
          <w:szCs w:val="30"/>
        </w:rPr>
      </w:pPr>
      <w:r>
        <w:rPr>
          <w:rFonts w:hint="eastAsia"/>
          <w:color w:val="auto"/>
        </w:rPr>
        <w:t>本节内容详见第五章采购需求第三节</w:t>
      </w:r>
    </w:p>
    <w:p>
      <w:pPr>
        <w:rPr>
          <w:color w:val="auto"/>
        </w:rPr>
      </w:pPr>
    </w:p>
    <w:p>
      <w:pPr>
        <w:rPr>
          <w:rFonts w:hint="eastAsia" w:ascii="黑体" w:hAnsi="华文中宋" w:eastAsia="黑体"/>
          <w:b/>
          <w:color w:val="auto"/>
          <w:sz w:val="32"/>
          <w:szCs w:val="32"/>
        </w:rPr>
      </w:pPr>
      <w:bookmarkStart w:id="104" w:name="_Toc29913948"/>
      <w:r>
        <w:rPr>
          <w:rFonts w:hint="eastAsia" w:ascii="黑体" w:hAnsi="华文中宋" w:eastAsia="黑体"/>
          <w:b/>
          <w:color w:val="auto"/>
          <w:sz w:val="32"/>
          <w:szCs w:val="32"/>
        </w:rPr>
        <w:br w:type="page"/>
      </w:r>
    </w:p>
    <w:p>
      <w:pPr>
        <w:pStyle w:val="24"/>
        <w:adjustRightInd w:val="0"/>
        <w:snapToGrid w:val="0"/>
        <w:spacing w:line="360" w:lineRule="auto"/>
        <w:jc w:val="center"/>
        <w:outlineLvl w:val="0"/>
        <w:rPr>
          <w:rFonts w:ascii="黑体" w:hAnsi="华文中宋" w:eastAsia="黑体"/>
          <w:b/>
          <w:color w:val="auto"/>
          <w:sz w:val="32"/>
          <w:szCs w:val="32"/>
        </w:rPr>
      </w:pPr>
      <w:bookmarkStart w:id="105" w:name="_Toc22414"/>
      <w:r>
        <w:rPr>
          <w:rFonts w:hint="eastAsia" w:ascii="黑体" w:hAnsi="华文中宋" w:eastAsia="黑体"/>
          <w:b/>
          <w:color w:val="auto"/>
          <w:sz w:val="32"/>
          <w:szCs w:val="32"/>
        </w:rPr>
        <w:t>第七章 投标文件的组成</w:t>
      </w:r>
      <w:bookmarkEnd w:id="104"/>
      <w:bookmarkEnd w:id="105"/>
    </w:p>
    <w:p>
      <w:pPr>
        <w:adjustRightInd w:val="0"/>
        <w:snapToGrid w:val="0"/>
        <w:spacing w:line="360" w:lineRule="auto"/>
        <w:ind w:left="-88" w:leftChars="-42"/>
        <w:jc w:val="center"/>
        <w:rPr>
          <w:b/>
          <w:bCs/>
          <w:color w:val="auto"/>
          <w:sz w:val="32"/>
        </w:rPr>
      </w:pPr>
    </w:p>
    <w:p>
      <w:pPr>
        <w:adjustRightInd w:val="0"/>
        <w:snapToGrid w:val="0"/>
        <w:spacing w:before="156" w:beforeLines="50" w:line="360" w:lineRule="auto"/>
        <w:jc w:val="left"/>
        <w:rPr>
          <w:rFonts w:ascii="宋体" w:hAnsi="宋体"/>
          <w:b/>
          <w:color w:val="auto"/>
          <w:szCs w:val="21"/>
        </w:rPr>
      </w:pPr>
      <w:r>
        <w:rPr>
          <w:rFonts w:hint="eastAsia" w:ascii="宋体" w:hAnsi="宋体"/>
          <w:b/>
          <w:color w:val="auto"/>
          <w:szCs w:val="21"/>
        </w:rPr>
        <w:t>第一部分 资格证明文件</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一、开标一览表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lang w:val="en-US" w:eastAsia="zh-CN"/>
        </w:rPr>
        <w:t>二</w:t>
      </w:r>
      <w:r>
        <w:rPr>
          <w:rFonts w:hint="eastAsia" w:ascii="宋体" w:hAnsi="宋体"/>
          <w:color w:val="auto"/>
          <w:szCs w:val="21"/>
        </w:rPr>
        <w:t>、法定代表人（单位负责人）身份证明或授权委托书</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三、投标人提供的资格证明文件</w:t>
      </w:r>
    </w:p>
    <w:p>
      <w:pPr>
        <w:adjustRightInd w:val="0"/>
        <w:snapToGrid w:val="0"/>
        <w:spacing w:before="156" w:beforeLines="50" w:line="360" w:lineRule="auto"/>
        <w:jc w:val="left"/>
        <w:rPr>
          <w:rFonts w:ascii="宋体" w:hAnsi="宋体"/>
          <w:b/>
          <w:color w:val="auto"/>
          <w:szCs w:val="21"/>
        </w:rPr>
      </w:pPr>
      <w:r>
        <w:rPr>
          <w:rFonts w:hint="eastAsia" w:ascii="宋体" w:hAnsi="宋体"/>
          <w:b/>
          <w:color w:val="auto"/>
          <w:szCs w:val="21"/>
        </w:rPr>
        <w:t>第二部分 商务技术文件</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四、投标函</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五、分项报价</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六、采购需求响应</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七、合同条款偏离表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八、采购需求偏离表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九、享受政府采购政策优惠的证明资料和清单表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十、投标货物符合招标文件规定的证明文件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十</w:t>
      </w:r>
      <w:r>
        <w:rPr>
          <w:rFonts w:hint="eastAsia" w:ascii="宋体" w:hAnsi="宋体"/>
          <w:color w:val="auto"/>
          <w:szCs w:val="21"/>
        </w:rPr>
        <w:t>一</w:t>
      </w:r>
      <w:r>
        <w:rPr>
          <w:rFonts w:hint="eastAsia" w:asciiTheme="minorEastAsia" w:hAnsiTheme="minorEastAsia" w:eastAsiaTheme="minorEastAsia"/>
          <w:color w:val="auto"/>
          <w:szCs w:val="21"/>
        </w:rPr>
        <w:t>、投标人认为需提供的其他资料</w:t>
      </w:r>
    </w:p>
    <w:p>
      <w:pPr>
        <w:adjustRightInd w:val="0"/>
        <w:snapToGrid w:val="0"/>
        <w:spacing w:before="156" w:beforeLines="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注：1、投标人应按照电子招标文件格式及投标工具编制资格证明文件，不得将其编制到商务和技术文件中。否则，由于编制失误所产生的后果，由投标人自行承担。</w:t>
      </w:r>
    </w:p>
    <w:p>
      <w:pPr>
        <w:adjustRightInd w:val="0"/>
        <w:snapToGrid w:val="0"/>
        <w:spacing w:before="156" w:beforeLines="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2、投标人应按照电子招标文件格式及投标工具编制商务和技术及综合评分表相关资料。否则，由于编制失误所产生的后果，由投标人自行承担。</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p>
    <w:p>
      <w:pPr>
        <w:adjustRightInd w:val="0"/>
        <w:snapToGrid w:val="0"/>
        <w:spacing w:line="360" w:lineRule="auto"/>
        <w:jc w:val="center"/>
        <w:rPr>
          <w:rFonts w:ascii="仿宋_GB2312" w:hAnsi="宋体" w:eastAsia="仿宋_GB2312"/>
          <w:color w:val="auto"/>
          <w:szCs w:val="21"/>
        </w:rPr>
      </w:pPr>
    </w:p>
    <w:p>
      <w:pPr>
        <w:adjustRightInd w:val="0"/>
        <w:snapToGrid w:val="0"/>
        <w:spacing w:line="360" w:lineRule="auto"/>
        <w:jc w:val="center"/>
        <w:rPr>
          <w:rFonts w:ascii="黑体" w:eastAsia="黑体"/>
          <w:color w:val="auto"/>
          <w:sz w:val="32"/>
          <w:szCs w:val="32"/>
        </w:rPr>
      </w:pPr>
      <w:r>
        <w:rPr>
          <w:rFonts w:ascii="仿宋_GB2312" w:hAnsi="宋体" w:eastAsia="仿宋_GB2312"/>
          <w:color w:val="auto"/>
          <w:szCs w:val="21"/>
        </w:rPr>
        <w:br w:type="page"/>
      </w:r>
    </w:p>
    <w:p>
      <w:pPr>
        <w:adjustRightInd w:val="0"/>
        <w:snapToGrid w:val="0"/>
        <w:spacing w:line="360" w:lineRule="auto"/>
        <w:jc w:val="center"/>
        <w:rPr>
          <w:rFonts w:ascii="黑体" w:eastAsia="黑体"/>
          <w:color w:val="auto"/>
          <w:sz w:val="32"/>
          <w:szCs w:val="32"/>
        </w:rPr>
      </w:pPr>
    </w:p>
    <w:p>
      <w:pPr>
        <w:adjustRightInd w:val="0"/>
        <w:snapToGrid w:val="0"/>
        <w:spacing w:line="360" w:lineRule="auto"/>
        <w:jc w:val="center"/>
        <w:rPr>
          <w:rFonts w:ascii="黑体" w:eastAsia="黑体"/>
          <w:color w:val="auto"/>
          <w:sz w:val="32"/>
          <w:szCs w:val="32"/>
        </w:rPr>
      </w:pPr>
    </w:p>
    <w:p>
      <w:pPr>
        <w:adjustRightInd w:val="0"/>
        <w:snapToGrid w:val="0"/>
        <w:spacing w:line="360" w:lineRule="auto"/>
        <w:jc w:val="center"/>
        <w:rPr>
          <w:rFonts w:ascii="黑体" w:eastAsia="黑体"/>
          <w:color w:val="auto"/>
          <w:sz w:val="32"/>
          <w:szCs w:val="32"/>
        </w:rPr>
      </w:pPr>
    </w:p>
    <w:p>
      <w:pPr>
        <w:pStyle w:val="24"/>
        <w:adjustRightInd w:val="0"/>
        <w:snapToGrid w:val="0"/>
        <w:spacing w:line="360" w:lineRule="auto"/>
        <w:jc w:val="center"/>
        <w:rPr>
          <w:rFonts w:asciiTheme="minorEastAsia" w:hAnsiTheme="minorEastAsia" w:eastAsiaTheme="minorEastAsia"/>
          <w:b/>
          <w:bCs/>
          <w:color w:val="auto"/>
          <w:sz w:val="72"/>
          <w:szCs w:val="72"/>
        </w:rPr>
      </w:pPr>
      <w:r>
        <w:rPr>
          <w:rFonts w:hint="eastAsia" w:asciiTheme="minorEastAsia" w:hAnsiTheme="minorEastAsia" w:eastAsiaTheme="minorEastAsia"/>
          <w:b/>
          <w:bCs/>
          <w:color w:val="auto"/>
          <w:sz w:val="72"/>
          <w:szCs w:val="72"/>
        </w:rPr>
        <w:t>政府采购</w:t>
      </w:r>
    </w:p>
    <w:p>
      <w:pPr>
        <w:adjustRightInd w:val="0"/>
        <w:snapToGrid w:val="0"/>
        <w:spacing w:line="360" w:lineRule="auto"/>
        <w:jc w:val="center"/>
        <w:rPr>
          <w:rFonts w:asciiTheme="minorEastAsia" w:hAnsiTheme="minorEastAsia" w:eastAsiaTheme="minorEastAsia"/>
          <w:b/>
          <w:bCs/>
          <w:color w:val="auto"/>
          <w:sz w:val="84"/>
          <w:szCs w:val="84"/>
        </w:rPr>
      </w:pPr>
      <w:r>
        <w:rPr>
          <w:rFonts w:hint="eastAsia" w:asciiTheme="minorEastAsia" w:hAnsiTheme="minorEastAsia" w:eastAsiaTheme="minorEastAsia"/>
          <w:b/>
          <w:bCs/>
          <w:color w:val="auto"/>
          <w:sz w:val="84"/>
          <w:szCs w:val="84"/>
        </w:rPr>
        <w:t>投 标 文 件</w:t>
      </w:r>
    </w:p>
    <w:p>
      <w:pPr>
        <w:pStyle w:val="5"/>
        <w:adjustRightInd w:val="0"/>
        <w:snapToGrid w:val="0"/>
        <w:jc w:val="center"/>
        <w:rPr>
          <w:rFonts w:ascii="黑体" w:hAnsi="黑体" w:eastAsia="黑体"/>
          <w:color w:val="auto"/>
          <w:sz w:val="44"/>
          <w:szCs w:val="44"/>
        </w:rPr>
      </w:pPr>
      <w:bookmarkStart w:id="106" w:name="_Toc80"/>
      <w:bookmarkStart w:id="107" w:name="_Toc29913949"/>
      <w:r>
        <w:rPr>
          <w:rFonts w:hint="eastAsia" w:ascii="黑体" w:hAnsi="黑体" w:eastAsia="黑体"/>
          <w:color w:val="auto"/>
          <w:sz w:val="44"/>
          <w:szCs w:val="44"/>
        </w:rPr>
        <w:t>第一部分 资格证明文件</w:t>
      </w:r>
      <w:bookmarkEnd w:id="106"/>
      <w:bookmarkEnd w:id="107"/>
    </w:p>
    <w:p>
      <w:pPr>
        <w:adjustRightInd w:val="0"/>
        <w:snapToGrid w:val="0"/>
        <w:spacing w:line="360" w:lineRule="auto"/>
        <w:rPr>
          <w:rFonts w:ascii="黑体" w:hAnsi="黑体" w:eastAsia="黑体"/>
          <w:b/>
          <w:color w:val="auto"/>
          <w:sz w:val="32"/>
          <w:szCs w:val="32"/>
        </w:rPr>
      </w:pPr>
    </w:p>
    <w:p>
      <w:pPr>
        <w:adjustRightInd w:val="0"/>
        <w:snapToGrid w:val="0"/>
        <w:spacing w:line="360" w:lineRule="auto"/>
        <w:rPr>
          <w:rFonts w:asciiTheme="minorEastAsia" w:hAnsiTheme="minorEastAsia" w:eastAsiaTheme="minorEastAsia"/>
          <w:b/>
          <w:color w:val="auto"/>
          <w:sz w:val="30"/>
          <w:szCs w:val="30"/>
        </w:rPr>
      </w:pPr>
      <w:r>
        <w:rPr>
          <w:rFonts w:hint="eastAsia" w:asciiTheme="minorEastAsia" w:hAnsiTheme="minorEastAsia" w:eastAsiaTheme="minorEastAsia"/>
          <w:b/>
          <w:color w:val="auto"/>
          <w:sz w:val="32"/>
          <w:szCs w:val="32"/>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采购项目名称:</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rPr>
      </w:pPr>
      <w:r>
        <w:rPr>
          <w:rFonts w:hint="eastAsia" w:asciiTheme="minorEastAsia" w:hAnsiTheme="minorEastAsia" w:eastAsiaTheme="minorEastAsia"/>
          <w:b/>
          <w:bCs/>
          <w:color w:val="auto"/>
          <w:sz w:val="30"/>
          <w:szCs w:val="30"/>
        </w:rPr>
        <w:t>采   购   人：</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政府采购编号:</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采购代理编号:</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采购代理机构：</w:t>
      </w:r>
      <w:r>
        <w:rPr>
          <w:rFonts w:hint="eastAsia" w:asciiTheme="minorEastAsia" w:hAnsiTheme="minorEastAsia" w:eastAsiaTheme="minorEastAsia"/>
          <w:b/>
          <w:bCs/>
          <w:color w:val="auto"/>
          <w:sz w:val="30"/>
          <w:szCs w:val="30"/>
          <w:u w:val="single"/>
        </w:rPr>
        <w:t xml:space="preserve">                      </w:t>
      </w:r>
    </w:p>
    <w:p>
      <w:pPr>
        <w:adjustRightInd w:val="0"/>
        <w:snapToGrid w:val="0"/>
        <w:spacing w:line="360" w:lineRule="auto"/>
        <w:rPr>
          <w:rFonts w:ascii="黑体" w:hAnsi="黑体" w:eastAsia="黑体"/>
          <w:color w:val="auto"/>
          <w:sz w:val="30"/>
          <w:szCs w:val="30"/>
        </w:rPr>
      </w:pPr>
    </w:p>
    <w:p>
      <w:pPr>
        <w:adjustRightInd w:val="0"/>
        <w:snapToGrid w:val="0"/>
        <w:rPr>
          <w:rFonts w:ascii="黑体" w:hAnsi="宋体" w:eastAsia="黑体"/>
          <w:color w:val="auto"/>
          <w:sz w:val="30"/>
          <w:szCs w:val="30"/>
        </w:rPr>
      </w:pPr>
    </w:p>
    <w:p>
      <w:pPr>
        <w:adjustRightInd w:val="0"/>
        <w:snapToGrid w:val="0"/>
        <w:spacing w:line="360" w:lineRule="auto"/>
        <w:rPr>
          <w:rFonts w:ascii="黑体" w:hAnsi="宋体" w:eastAsia="黑体"/>
          <w:color w:val="auto"/>
          <w:sz w:val="30"/>
          <w:szCs w:val="30"/>
        </w:rPr>
      </w:pPr>
    </w:p>
    <w:p>
      <w:pPr>
        <w:adjustRightInd w:val="0"/>
        <w:snapToGrid w:val="0"/>
        <w:spacing w:line="360" w:lineRule="auto"/>
        <w:rPr>
          <w:rFonts w:ascii="黑体" w:hAnsi="宋体" w:eastAsia="黑体"/>
          <w:color w:val="auto"/>
          <w:sz w:val="30"/>
          <w:szCs w:val="30"/>
        </w:rPr>
      </w:pPr>
    </w:p>
    <w:p>
      <w:pPr>
        <w:adjustRightInd w:val="0"/>
        <w:snapToGrid w:val="0"/>
        <w:spacing w:line="360" w:lineRule="auto"/>
        <w:rPr>
          <w:rFonts w:ascii="黑体" w:hAnsi="宋体" w:eastAsia="黑体"/>
          <w:color w:val="auto"/>
          <w:sz w:val="30"/>
          <w:szCs w:val="30"/>
        </w:rPr>
      </w:pPr>
    </w:p>
    <w:p>
      <w:pPr>
        <w:adjustRightInd w:val="0"/>
        <w:snapToGrid w:val="0"/>
        <w:spacing w:line="360" w:lineRule="auto"/>
        <w:ind w:firstLine="1984" w:firstLineChars="620"/>
        <w:rPr>
          <w:rFonts w:ascii="黑体" w:hAnsi="宋体" w:eastAsia="黑体"/>
          <w:color w:val="auto"/>
          <w:sz w:val="32"/>
          <w:szCs w:val="32"/>
          <w:u w:val="single"/>
        </w:rPr>
      </w:pPr>
      <w:r>
        <w:rPr>
          <w:rFonts w:hint="eastAsia" w:ascii="黑体" w:hAnsi="宋体" w:eastAsia="黑体"/>
          <w:color w:val="auto"/>
          <w:sz w:val="32"/>
          <w:szCs w:val="32"/>
        </w:rPr>
        <w:t>投标人</w:t>
      </w:r>
      <w:r>
        <w:rPr>
          <w:rFonts w:hint="eastAsia" w:ascii="黑体" w:hAnsi="宋体" w:eastAsia="黑体"/>
          <w:color w:val="auto"/>
          <w:sz w:val="32"/>
          <w:szCs w:val="32"/>
          <w:u w:val="single"/>
        </w:rPr>
        <w:t xml:space="preserve">                         </w:t>
      </w:r>
    </w:p>
    <w:p>
      <w:pPr>
        <w:adjustRightInd w:val="0"/>
        <w:snapToGrid w:val="0"/>
        <w:spacing w:line="360" w:lineRule="auto"/>
        <w:jc w:val="center"/>
        <w:rPr>
          <w:rFonts w:ascii="黑体" w:eastAsia="黑体"/>
          <w:color w:val="auto"/>
          <w:sz w:val="28"/>
          <w:szCs w:val="28"/>
        </w:rPr>
      </w:pPr>
      <w:r>
        <w:rPr>
          <w:rFonts w:hint="eastAsia" w:ascii="黑体" w:hAnsi="宋体" w:eastAsia="黑体"/>
          <w:color w:val="auto"/>
          <w:sz w:val="32"/>
          <w:szCs w:val="32"/>
        </w:rPr>
        <w:t>年  月  日</w:t>
      </w:r>
      <w:r>
        <w:rPr>
          <w:rFonts w:ascii="黑体" w:eastAsia="黑体"/>
          <w:color w:val="auto"/>
          <w:sz w:val="28"/>
          <w:szCs w:val="28"/>
        </w:rPr>
        <w:br w:type="page"/>
      </w:r>
    </w:p>
    <w:p>
      <w:pPr>
        <w:pStyle w:val="6"/>
        <w:adjustRightInd w:val="0"/>
        <w:snapToGrid w:val="0"/>
        <w:spacing w:before="0" w:after="0" w:line="360" w:lineRule="auto"/>
        <w:jc w:val="center"/>
        <w:rPr>
          <w:rFonts w:ascii="黑体" w:hAnsi="宋体" w:eastAsia="黑体"/>
          <w:color w:val="auto"/>
          <w:sz w:val="28"/>
          <w:szCs w:val="28"/>
        </w:rPr>
      </w:pPr>
      <w:bookmarkStart w:id="108" w:name="_Toc6794"/>
      <w:bookmarkStart w:id="109" w:name="_Toc29913950"/>
      <w:r>
        <w:rPr>
          <w:rFonts w:hint="eastAsia" w:ascii="黑体" w:hAnsi="宋体" w:eastAsia="黑体"/>
          <w:color w:val="auto"/>
          <w:sz w:val="28"/>
          <w:szCs w:val="28"/>
        </w:rPr>
        <w:t>一、开标一览表</w:t>
      </w:r>
      <w:bookmarkEnd w:id="108"/>
      <w:bookmarkEnd w:id="109"/>
    </w:p>
    <w:p>
      <w:pPr>
        <w:adjustRightInd w:val="0"/>
        <w:snapToGrid w:val="0"/>
        <w:spacing w:line="360" w:lineRule="auto"/>
        <w:ind w:left="-88" w:leftChars="-42"/>
        <w:jc w:val="center"/>
        <w:rPr>
          <w:rFonts w:ascii="仿宋_GB2312" w:hAnsi="宋体" w:eastAsia="仿宋_GB2312"/>
          <w:color w:val="auto"/>
          <w:sz w:val="24"/>
        </w:rPr>
      </w:pP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政府采购计划号：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委托代理编号：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项目名称：</w:t>
      </w:r>
      <w:r>
        <w:rPr>
          <w:rFonts w:hint="eastAsia" w:asciiTheme="minorEastAsia" w:hAnsiTheme="minorEastAsia" w:eastAsiaTheme="minorEastAsia"/>
          <w:color w:val="auto"/>
          <w:szCs w:val="21"/>
          <w:u w:val="single"/>
        </w:rPr>
        <w:t>____            ______</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b/>
          <w:color w:val="auto"/>
          <w:szCs w:val="21"/>
        </w:rPr>
      </w:pPr>
      <w:r>
        <w:rPr>
          <w:rFonts w:hint="eastAsia" w:asciiTheme="minorEastAsia" w:hAnsiTheme="minorEastAsia" w:eastAsiaTheme="minorEastAsia"/>
          <w:color w:val="auto"/>
          <w:szCs w:val="21"/>
        </w:rPr>
        <w:t>包号：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包名称：</w:t>
      </w:r>
      <w:r>
        <w:rPr>
          <w:rFonts w:hint="eastAsia" w:asciiTheme="minorEastAsia" w:hAnsiTheme="minorEastAsia" w:eastAsiaTheme="minorEastAsia"/>
          <w:color w:val="auto"/>
          <w:szCs w:val="21"/>
          <w:u w:val="single"/>
        </w:rPr>
        <w:t>__    ________</w:t>
      </w:r>
    </w:p>
    <w:tbl>
      <w:tblPr>
        <w:tblStyle w:val="44"/>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pPr>
              <w:adjustRightInd w:val="0"/>
              <w:snapToGrid w:val="0"/>
              <w:spacing w:line="360" w:lineRule="auto"/>
              <w:jc w:val="center"/>
              <w:rPr>
                <w:rFonts w:asciiTheme="minorEastAsia" w:hAnsiTheme="minorEastAsia" w:eastAsiaTheme="minorEastAsia"/>
                <w:b/>
                <w:color w:val="auto"/>
                <w:kern w:val="0"/>
                <w:sz w:val="20"/>
                <w:szCs w:val="21"/>
              </w:rPr>
            </w:pPr>
            <w:r>
              <w:rPr>
                <w:rFonts w:hint="eastAsia" w:asciiTheme="minorEastAsia" w:hAnsiTheme="minorEastAsia" w:eastAsiaTheme="minorEastAsia"/>
                <w:b/>
                <w:color w:val="auto"/>
                <w:kern w:val="0"/>
                <w:szCs w:val="21"/>
              </w:rPr>
              <w:t>投标报价</w:t>
            </w:r>
          </w:p>
        </w:tc>
        <w:tc>
          <w:tcPr>
            <w:tcW w:w="3119" w:type="dxa"/>
            <w:vAlign w:val="center"/>
          </w:tcPr>
          <w:p>
            <w:pPr>
              <w:adjustRightInd w:val="0"/>
              <w:snapToGrid w:val="0"/>
              <w:spacing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其他内容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pPr>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小写金额：</w:t>
            </w:r>
            <w:r>
              <w:rPr>
                <w:rFonts w:hint="eastAsia" w:asciiTheme="minorEastAsia" w:hAnsiTheme="minorEastAsia" w:eastAsiaTheme="minorEastAsia"/>
                <w:color w:val="auto"/>
                <w:kern w:val="0"/>
                <w:szCs w:val="21"/>
                <w:u w:val="single"/>
              </w:rPr>
              <w:t>__    _______</w:t>
            </w:r>
            <w:r>
              <w:rPr>
                <w:rFonts w:hint="eastAsia" w:asciiTheme="minorEastAsia" w:hAnsiTheme="minorEastAsia" w:eastAsiaTheme="minorEastAsia"/>
                <w:color w:val="auto"/>
                <w:kern w:val="0"/>
                <w:szCs w:val="21"/>
              </w:rPr>
              <w:t>（</w:t>
            </w:r>
            <w:r>
              <w:rPr>
                <w:rFonts w:hint="eastAsia" w:asciiTheme="minorEastAsia" w:hAnsiTheme="minorEastAsia" w:eastAsiaTheme="minorEastAsia"/>
                <w:color w:val="auto"/>
                <w:kern w:val="0"/>
                <w:sz w:val="20"/>
                <w:szCs w:val="21"/>
              </w:rPr>
              <w:t>人民币元</w:t>
            </w:r>
            <w:r>
              <w:rPr>
                <w:rFonts w:hint="eastAsia" w:asciiTheme="minorEastAsia" w:hAnsiTheme="minorEastAsia" w:eastAsiaTheme="minorEastAsia"/>
                <w:color w:val="auto"/>
                <w:kern w:val="0"/>
                <w:szCs w:val="21"/>
              </w:rPr>
              <w:t>）</w:t>
            </w:r>
          </w:p>
          <w:p>
            <w:pPr>
              <w:adjustRightInd w:val="0"/>
              <w:snapToGrid w:val="0"/>
              <w:spacing w:line="360" w:lineRule="auto"/>
              <w:jc w:val="center"/>
              <w:rPr>
                <w:rFonts w:asciiTheme="minorEastAsia" w:hAnsiTheme="minorEastAsia" w:eastAsiaTheme="minorEastAsia"/>
                <w:color w:val="auto"/>
                <w:kern w:val="0"/>
                <w:szCs w:val="21"/>
                <w:u w:val="single"/>
              </w:rPr>
            </w:pPr>
            <w:r>
              <w:rPr>
                <w:rFonts w:hint="eastAsia" w:asciiTheme="minorEastAsia" w:hAnsiTheme="minorEastAsia" w:eastAsiaTheme="minorEastAsia"/>
                <w:color w:val="auto"/>
                <w:kern w:val="0"/>
                <w:szCs w:val="21"/>
              </w:rPr>
              <w:t>大写金额：</w:t>
            </w:r>
            <w:r>
              <w:rPr>
                <w:rFonts w:hint="eastAsia" w:asciiTheme="minorEastAsia" w:hAnsiTheme="minorEastAsia" w:eastAsiaTheme="minorEastAsia"/>
                <w:color w:val="auto"/>
                <w:kern w:val="0"/>
                <w:szCs w:val="21"/>
                <w:u w:val="single"/>
              </w:rPr>
              <w:t>__    _______</w:t>
            </w:r>
            <w:r>
              <w:rPr>
                <w:rFonts w:hint="eastAsia" w:asciiTheme="minorEastAsia" w:hAnsiTheme="minorEastAsia" w:eastAsiaTheme="minorEastAsia"/>
                <w:color w:val="auto"/>
                <w:kern w:val="0"/>
                <w:szCs w:val="21"/>
              </w:rPr>
              <w:t>（</w:t>
            </w:r>
            <w:r>
              <w:rPr>
                <w:rFonts w:hint="eastAsia" w:asciiTheme="minorEastAsia" w:hAnsiTheme="minorEastAsia" w:eastAsiaTheme="minorEastAsia"/>
                <w:color w:val="auto"/>
                <w:kern w:val="0"/>
                <w:sz w:val="20"/>
                <w:szCs w:val="21"/>
              </w:rPr>
              <w:t>人民币元</w:t>
            </w:r>
            <w:r>
              <w:rPr>
                <w:rFonts w:hint="eastAsia" w:asciiTheme="minorEastAsia" w:hAnsiTheme="minorEastAsia" w:eastAsiaTheme="minorEastAsia"/>
                <w:color w:val="auto"/>
                <w:kern w:val="0"/>
                <w:szCs w:val="21"/>
              </w:rPr>
              <w:t>）</w:t>
            </w:r>
          </w:p>
          <w:p>
            <w:pPr>
              <w:adjustRightInd w:val="0"/>
              <w:snapToGrid w:val="0"/>
              <w:spacing w:line="360" w:lineRule="auto"/>
              <w:jc w:val="center"/>
              <w:rPr>
                <w:rFonts w:asciiTheme="minorEastAsia" w:hAnsiTheme="minorEastAsia" w:eastAsiaTheme="minorEastAsia"/>
                <w:color w:val="auto"/>
                <w:kern w:val="0"/>
                <w:sz w:val="20"/>
                <w:szCs w:val="21"/>
              </w:rPr>
            </w:pPr>
            <w:r>
              <w:rPr>
                <w:rFonts w:hint="eastAsia" w:asciiTheme="minorEastAsia" w:hAnsiTheme="minorEastAsia" w:eastAsiaTheme="minorEastAsia"/>
                <w:color w:val="auto"/>
                <w:kern w:val="0"/>
                <w:szCs w:val="21"/>
              </w:rPr>
              <w:t>（</w:t>
            </w:r>
            <w:r>
              <w:rPr>
                <w:rFonts w:hint="eastAsia" w:ascii="黑体" w:hAnsi="黑体" w:eastAsia="黑体"/>
                <w:color w:val="auto"/>
                <w:kern w:val="0"/>
                <w:sz w:val="24"/>
              </w:rPr>
              <w:t>大写金额与小写金额不一致时，以大写金额为准</w:t>
            </w:r>
            <w:r>
              <w:rPr>
                <w:rFonts w:hint="eastAsia" w:asciiTheme="minorEastAsia" w:hAnsiTheme="minorEastAsia" w:eastAsiaTheme="minorEastAsia"/>
                <w:color w:val="auto"/>
                <w:kern w:val="0"/>
                <w:szCs w:val="21"/>
              </w:rPr>
              <w:t>）</w:t>
            </w:r>
          </w:p>
        </w:tc>
        <w:tc>
          <w:tcPr>
            <w:tcW w:w="3119" w:type="dxa"/>
            <w:vAlign w:val="center"/>
          </w:tcPr>
          <w:p>
            <w:pPr>
              <w:adjustRightInd w:val="0"/>
              <w:snapToGrid w:val="0"/>
              <w:spacing w:line="360" w:lineRule="auto"/>
              <w:jc w:val="center"/>
              <w:rPr>
                <w:rFonts w:asciiTheme="minorEastAsia" w:hAnsiTheme="minorEastAsia" w:eastAsiaTheme="minorEastAsia"/>
                <w:color w:val="auto"/>
                <w:kern w:val="0"/>
                <w:szCs w:val="21"/>
              </w:rPr>
            </w:pPr>
          </w:p>
        </w:tc>
      </w:tr>
    </w:tbl>
    <w:p>
      <w:pPr>
        <w:adjustRightInd w:val="0"/>
        <w:snapToGrid w:val="0"/>
        <w:spacing w:line="360" w:lineRule="auto"/>
        <w:rPr>
          <w:rFonts w:asciiTheme="minorEastAsia" w:hAnsiTheme="minorEastAsia" w:eastAsiaTheme="minorEastAsia"/>
          <w:b/>
          <w:color w:val="auto"/>
          <w:szCs w:val="21"/>
        </w:rPr>
      </w:pPr>
    </w:p>
    <w:p>
      <w:pPr>
        <w:adjustRightInd w:val="0"/>
        <w:snapToGrid w:val="0"/>
        <w:spacing w:line="360" w:lineRule="auto"/>
        <w:rPr>
          <w:rFonts w:asciiTheme="minorEastAsia" w:hAnsiTheme="minorEastAsia" w:eastAsiaTheme="minorEastAsia"/>
          <w:b/>
          <w:color w:val="auto"/>
          <w:szCs w:val="21"/>
        </w:rPr>
      </w:pPr>
    </w:p>
    <w:p>
      <w:pPr>
        <w:adjustRightInd w:val="0"/>
        <w:snapToGrid w:val="0"/>
        <w:spacing w:line="360" w:lineRule="auto"/>
        <w:rPr>
          <w:rFonts w:asciiTheme="minorEastAsia" w:hAnsiTheme="minorEastAsia" w:eastAsiaTheme="minorEastAsia"/>
          <w:b/>
          <w:color w:val="auto"/>
          <w:szCs w:val="21"/>
        </w:rPr>
      </w:pPr>
    </w:p>
    <w:p>
      <w:pPr>
        <w:adjustRightInd w:val="0"/>
        <w:snapToGrid w:val="0"/>
        <w:spacing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备注：1、本“开标一览表”所填报价应与交易平台上所填电子“开标一览表”报价一致，否则，以交易平台上所填电子“开标一览表”报价为准。</w:t>
      </w:r>
    </w:p>
    <w:p>
      <w:pPr>
        <w:adjustRightInd w:val="0"/>
        <w:snapToGrid w:val="0"/>
        <w:spacing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2、本表须按包填写，一个“包号”一份。</w:t>
      </w:r>
    </w:p>
    <w:p>
      <w:pPr>
        <w:adjustRightInd w:val="0"/>
        <w:snapToGrid w:val="0"/>
        <w:spacing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3、投标人提交两份及以上投标报价不同的“开标一览表”，且未书面说明哪个有效或以哪个为准的，其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pPr>
        <w:adjustRightInd w:val="0"/>
        <w:snapToGrid w:val="0"/>
        <w:spacing w:line="360" w:lineRule="auto"/>
        <w:ind w:firstLine="630" w:firstLineChars="300"/>
        <w:jc w:val="left"/>
        <w:rPr>
          <w:rFonts w:asciiTheme="minorEastAsia" w:hAnsiTheme="minorEastAsia" w:eastAsiaTheme="minorEastAsia"/>
          <w:color w:val="auto"/>
        </w:rPr>
      </w:pPr>
      <w:r>
        <w:rPr>
          <w:rFonts w:hint="eastAsia" w:asciiTheme="minorEastAsia" w:hAnsiTheme="minorEastAsia" w:eastAsiaTheme="minorEastAsia"/>
          <w:color w:val="auto"/>
          <w:szCs w:val="21"/>
        </w:rPr>
        <w:t>4、</w:t>
      </w:r>
      <w:r>
        <w:rPr>
          <w:rFonts w:hint="eastAsia" w:asciiTheme="minorEastAsia" w:hAnsiTheme="minorEastAsia" w:eastAsiaTheme="minorEastAsia"/>
          <w:color w:val="auto"/>
        </w:rPr>
        <w:t>投标人在投标截止时间前修改“开标一览表”中的投标报价的，应同时修改投标文件“分项报价明细表”“享受政府采购政策优惠的证明资料”以及“联合体协议书”（如果影响）等相关内容。</w:t>
      </w:r>
    </w:p>
    <w:p>
      <w:pPr>
        <w:adjustRightInd w:val="0"/>
        <w:snapToGrid w:val="0"/>
        <w:spacing w:line="360" w:lineRule="auto"/>
        <w:ind w:firstLine="420" w:firstLineChars="200"/>
        <w:rPr>
          <w:rFonts w:asciiTheme="minorEastAsia" w:hAnsiTheme="minorEastAsia" w:eastAsiaTheme="minorEastAsia"/>
          <w:color w:val="auto"/>
          <w:szCs w:val="21"/>
        </w:rPr>
      </w:pPr>
    </w:p>
    <w:p>
      <w:pPr>
        <w:adjustRightInd w:val="0"/>
        <w:snapToGrid w:val="0"/>
        <w:spacing w:line="360" w:lineRule="auto"/>
        <w:ind w:firstLine="420" w:firstLineChars="200"/>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投标人名称（盖单位电子章）：</w:t>
      </w:r>
    </w:p>
    <w:p>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或其授权的代理人（</w:t>
      </w:r>
      <w:r>
        <w:rPr>
          <w:rFonts w:hint="eastAsia" w:asciiTheme="minorEastAsia" w:hAnsiTheme="minorEastAsia" w:eastAsiaTheme="minorEastAsia"/>
          <w:color w:val="auto"/>
          <w:szCs w:val="21"/>
          <w:lang w:eastAsia="zh-CN"/>
        </w:rPr>
        <w:t>签字或签章</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_</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w:t>
      </w:r>
    </w:p>
    <w:p>
      <w:pPr>
        <w:adjustRightInd w:val="0"/>
        <w:snapToGrid w:val="0"/>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br w:type="page"/>
      </w:r>
      <w:bookmarkStart w:id="110" w:name="_Toc29913951"/>
    </w:p>
    <w:bookmarkEnd w:id="110"/>
    <w:p>
      <w:pPr>
        <w:pStyle w:val="6"/>
        <w:adjustRightInd w:val="0"/>
        <w:snapToGrid w:val="0"/>
        <w:spacing w:before="0" w:after="0" w:line="360" w:lineRule="auto"/>
        <w:jc w:val="center"/>
        <w:rPr>
          <w:rFonts w:ascii="黑体" w:hAnsi="黑体" w:eastAsia="黑体"/>
          <w:color w:val="auto"/>
          <w:sz w:val="28"/>
          <w:szCs w:val="28"/>
        </w:rPr>
      </w:pPr>
      <w:bookmarkStart w:id="111" w:name="_Toc29913953"/>
      <w:bookmarkStart w:id="112" w:name="_Toc1532"/>
      <w:r>
        <w:rPr>
          <w:rFonts w:hint="eastAsia" w:ascii="黑体" w:hAnsi="黑体" w:eastAsia="黑体"/>
          <w:color w:val="auto"/>
          <w:sz w:val="28"/>
          <w:szCs w:val="28"/>
          <w:lang w:val="en-US" w:eastAsia="zh-CN"/>
        </w:rPr>
        <w:t>二</w:t>
      </w:r>
      <w:r>
        <w:rPr>
          <w:rFonts w:hint="eastAsia" w:ascii="黑体" w:hAnsi="黑体" w:eastAsia="黑体"/>
          <w:color w:val="auto"/>
          <w:sz w:val="28"/>
          <w:szCs w:val="28"/>
        </w:rPr>
        <w:t>、法定代表人（单位负责人）身份证明</w:t>
      </w:r>
      <w:bookmarkEnd w:id="111"/>
      <w:bookmarkEnd w:id="112"/>
    </w:p>
    <w:p>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4"/>
          <w:szCs w:val="21"/>
        </w:rPr>
      </w:pPr>
    </w:p>
    <w:p>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4"/>
          <w:szCs w:val="21"/>
        </w:rPr>
        <w:t>投标</w:t>
      </w:r>
      <w:r>
        <w:rPr>
          <w:rFonts w:hint="eastAsia" w:cs="微软雅黑" w:asciiTheme="minorEastAsia" w:hAnsiTheme="minorEastAsia" w:eastAsiaTheme="minorEastAsia"/>
          <w:color w:val="auto"/>
          <w:spacing w:val="-2"/>
          <w:kern w:val="0"/>
          <w:position w:val="-4"/>
          <w:szCs w:val="21"/>
        </w:rPr>
        <w:t>人</w:t>
      </w:r>
      <w:r>
        <w:rPr>
          <w:rFonts w:hint="eastAsia" w:cs="微软雅黑" w:asciiTheme="minorEastAsia" w:hAnsiTheme="minorEastAsia" w:eastAsiaTheme="minorEastAsia"/>
          <w:color w:val="auto"/>
          <w:kern w:val="0"/>
          <w:position w:val="-4"/>
          <w:szCs w:val="21"/>
        </w:rPr>
        <w:t>名</w:t>
      </w:r>
      <w:r>
        <w:rPr>
          <w:rFonts w:hint="eastAsia" w:cs="微软雅黑" w:asciiTheme="minorEastAsia" w:hAnsiTheme="minorEastAsia" w:eastAsiaTheme="minorEastAsia"/>
          <w:color w:val="auto"/>
          <w:spacing w:val="-2"/>
          <w:kern w:val="0"/>
          <w:position w:val="-4"/>
          <w:szCs w:val="21"/>
        </w:rPr>
        <w:t>称</w:t>
      </w:r>
      <w:r>
        <w:rPr>
          <w:rFonts w:hint="eastAsia" w:cs="微软雅黑" w:asciiTheme="minorEastAsia" w:hAnsiTheme="minorEastAsia" w:eastAsiaTheme="minorEastAsia"/>
          <w:color w:val="auto"/>
          <w:kern w:val="0"/>
          <w:position w:val="-4"/>
          <w:szCs w:val="21"/>
        </w:rPr>
        <w:t>：</w:t>
      </w:r>
      <w:r>
        <w:rPr>
          <w:rFonts w:hint="eastAsia" w:ascii="宋体" w:hAnsi="宋体"/>
          <w:color w:val="auto"/>
          <w:szCs w:val="21"/>
          <w:u w:val="single"/>
        </w:rPr>
        <w:t xml:space="preserve">                 </w:t>
      </w:r>
    </w:p>
    <w:p>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2"/>
          <w:szCs w:val="21"/>
        </w:rPr>
      </w:pPr>
      <w:r>
        <w:rPr>
          <w:rFonts w:hint="eastAsia" w:cs="微软雅黑" w:asciiTheme="minorEastAsia" w:hAnsiTheme="minorEastAsia" w:eastAsiaTheme="minorEastAsia"/>
          <w:color w:val="auto"/>
          <w:kern w:val="0"/>
          <w:position w:val="-2"/>
          <w:szCs w:val="21"/>
        </w:rPr>
        <w:t>统一社会信用代码：</w:t>
      </w:r>
      <w:r>
        <w:rPr>
          <w:rFonts w:hint="eastAsia" w:ascii="宋体" w:hAnsi="宋体"/>
          <w:color w:val="auto"/>
          <w:szCs w:val="21"/>
          <w:u w:val="single"/>
        </w:rPr>
        <w:t xml:space="preserve">                 </w:t>
      </w:r>
    </w:p>
    <w:p>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2"/>
          <w:szCs w:val="21"/>
        </w:rPr>
      </w:pPr>
      <w:r>
        <w:rPr>
          <w:rFonts w:hint="eastAsia" w:cs="微软雅黑" w:asciiTheme="minorEastAsia" w:hAnsiTheme="minorEastAsia" w:eastAsiaTheme="minorEastAsia"/>
          <w:color w:val="auto"/>
          <w:kern w:val="0"/>
          <w:position w:val="-2"/>
          <w:szCs w:val="21"/>
        </w:rPr>
        <w:t>注册地址：</w:t>
      </w:r>
      <w:r>
        <w:rPr>
          <w:rFonts w:hint="eastAsia" w:ascii="宋体" w:hAnsi="宋体"/>
          <w:color w:val="auto"/>
          <w:szCs w:val="21"/>
          <w:u w:val="single"/>
        </w:rPr>
        <w:t xml:space="preserve">                 </w:t>
      </w:r>
    </w:p>
    <w:p>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2"/>
          <w:szCs w:val="21"/>
        </w:rPr>
        <w:t>姓名</w:t>
      </w:r>
      <w:r>
        <w:rPr>
          <w:rFonts w:hint="eastAsia" w:cs="微软雅黑" w:asciiTheme="minorEastAsia" w:hAnsiTheme="minorEastAsia" w:eastAsiaTheme="minorEastAsia"/>
          <w:color w:val="auto"/>
          <w:spacing w:val="-2"/>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性别</w:t>
      </w:r>
      <w:r>
        <w:rPr>
          <w:rFonts w:hint="eastAsia" w:cs="微软雅黑" w:asciiTheme="minorEastAsia" w:hAnsiTheme="minorEastAsia" w:eastAsiaTheme="minorEastAsia"/>
          <w:color w:val="auto"/>
          <w:spacing w:val="-2"/>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年</w:t>
      </w:r>
      <w:r>
        <w:rPr>
          <w:rFonts w:hint="eastAsia" w:cs="微软雅黑" w:asciiTheme="minorEastAsia" w:hAnsiTheme="minorEastAsia" w:eastAsiaTheme="minorEastAsia"/>
          <w:color w:val="auto"/>
          <w:spacing w:val="-2"/>
          <w:kern w:val="0"/>
          <w:position w:val="-2"/>
          <w:szCs w:val="21"/>
        </w:rPr>
        <w:t>龄</w:t>
      </w:r>
      <w:r>
        <w:rPr>
          <w:rFonts w:hint="eastAsia" w:cs="微软雅黑" w:asciiTheme="minorEastAsia" w:hAnsiTheme="minorEastAsia" w:eastAsiaTheme="minorEastAsia"/>
          <w:color w:val="auto"/>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职</w:t>
      </w:r>
      <w:r>
        <w:rPr>
          <w:rFonts w:hint="eastAsia" w:cs="微软雅黑" w:asciiTheme="minorEastAsia" w:hAnsiTheme="minorEastAsia" w:eastAsiaTheme="minorEastAsia"/>
          <w:color w:val="auto"/>
          <w:spacing w:val="-2"/>
          <w:kern w:val="0"/>
          <w:position w:val="-2"/>
          <w:szCs w:val="21"/>
        </w:rPr>
        <w:t>务</w:t>
      </w:r>
      <w:r>
        <w:rPr>
          <w:rFonts w:hint="eastAsia" w:cs="微软雅黑" w:asciiTheme="minorEastAsia" w:hAnsiTheme="minorEastAsia" w:eastAsiaTheme="minorEastAsia"/>
          <w:color w:val="auto"/>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系</w:t>
      </w:r>
      <w:r>
        <w:rPr>
          <w:rFonts w:hint="eastAsia" w:ascii="宋体" w:hAnsi="宋体"/>
          <w:color w:val="auto"/>
          <w:szCs w:val="21"/>
          <w:u w:val="single"/>
        </w:rPr>
        <w:t xml:space="preserve">         </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kern w:val="0"/>
          <w:position w:val="-2"/>
          <w:szCs w:val="21"/>
        </w:rPr>
        <w:t>投</w:t>
      </w:r>
      <w:r>
        <w:rPr>
          <w:rFonts w:hint="eastAsia" w:cs="微软雅黑" w:asciiTheme="minorEastAsia" w:hAnsiTheme="minorEastAsia" w:eastAsiaTheme="minorEastAsia"/>
          <w:color w:val="auto"/>
          <w:spacing w:val="-2"/>
          <w:kern w:val="0"/>
          <w:position w:val="-2"/>
          <w:szCs w:val="21"/>
        </w:rPr>
        <w:t>标</w:t>
      </w:r>
      <w:r>
        <w:rPr>
          <w:rFonts w:hint="eastAsia" w:cs="微软雅黑" w:asciiTheme="minorEastAsia" w:hAnsiTheme="minorEastAsia" w:eastAsiaTheme="minorEastAsia"/>
          <w:color w:val="auto"/>
          <w:kern w:val="0"/>
          <w:position w:val="-2"/>
          <w:szCs w:val="21"/>
        </w:rPr>
        <w:t>人</w:t>
      </w:r>
      <w:r>
        <w:rPr>
          <w:rFonts w:hint="eastAsia" w:cs="微软雅黑" w:asciiTheme="minorEastAsia" w:hAnsiTheme="minorEastAsia" w:eastAsiaTheme="minorEastAsia"/>
          <w:color w:val="auto"/>
          <w:spacing w:val="-2"/>
          <w:kern w:val="0"/>
          <w:position w:val="-2"/>
          <w:szCs w:val="21"/>
        </w:rPr>
        <w:t>名</w:t>
      </w:r>
      <w:r>
        <w:rPr>
          <w:rFonts w:hint="eastAsia" w:cs="微软雅黑" w:asciiTheme="minorEastAsia" w:hAnsiTheme="minorEastAsia" w:eastAsiaTheme="minorEastAsia"/>
          <w:color w:val="auto"/>
          <w:kern w:val="0"/>
          <w:position w:val="-2"/>
          <w:szCs w:val="21"/>
        </w:rPr>
        <w:t>称</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kern w:val="0"/>
          <w:position w:val="-2"/>
          <w:szCs w:val="21"/>
        </w:rPr>
        <w:t>的</w:t>
      </w:r>
      <w:r>
        <w:rPr>
          <w:rFonts w:hint="eastAsia" w:cs="微软雅黑" w:asciiTheme="minorEastAsia" w:hAnsiTheme="minorEastAsia" w:eastAsiaTheme="minorEastAsia"/>
          <w:color w:val="auto"/>
          <w:spacing w:val="-2"/>
          <w:kern w:val="0"/>
          <w:position w:val="-2"/>
          <w:szCs w:val="21"/>
        </w:rPr>
        <w:t>法定</w:t>
      </w:r>
      <w:r>
        <w:rPr>
          <w:rFonts w:hint="eastAsia" w:cs="微软雅黑" w:asciiTheme="minorEastAsia" w:hAnsiTheme="minorEastAsia" w:eastAsiaTheme="minorEastAsia"/>
          <w:color w:val="auto"/>
          <w:kern w:val="0"/>
          <w:position w:val="-2"/>
          <w:szCs w:val="21"/>
        </w:rPr>
        <w:t>代表</w:t>
      </w:r>
      <w:r>
        <w:rPr>
          <w:rFonts w:hint="eastAsia" w:cs="微软雅黑" w:asciiTheme="minorEastAsia" w:hAnsiTheme="minorEastAsia" w:eastAsiaTheme="minorEastAsia"/>
          <w:color w:val="auto"/>
          <w:spacing w:val="-2"/>
          <w:kern w:val="0"/>
          <w:position w:val="-2"/>
          <w:szCs w:val="21"/>
        </w:rPr>
        <w:t>人</w:t>
      </w:r>
      <w:r>
        <w:rPr>
          <w:rFonts w:hint="eastAsia" w:cs="微软雅黑" w:asciiTheme="minorEastAsia" w:hAnsiTheme="minorEastAsia" w:eastAsiaTheme="minorEastAsia"/>
          <w:color w:val="auto"/>
          <w:kern w:val="0"/>
          <w:position w:val="-2"/>
          <w:szCs w:val="21"/>
        </w:rPr>
        <w:t>（</w:t>
      </w:r>
      <w:r>
        <w:rPr>
          <w:rFonts w:hint="eastAsia" w:cs="微软雅黑" w:asciiTheme="minorEastAsia" w:hAnsiTheme="minorEastAsia" w:eastAsiaTheme="minorEastAsia"/>
          <w:color w:val="auto"/>
          <w:spacing w:val="-2"/>
          <w:kern w:val="0"/>
          <w:position w:val="-2"/>
          <w:szCs w:val="21"/>
        </w:rPr>
        <w:t>单</w:t>
      </w:r>
      <w:r>
        <w:rPr>
          <w:rFonts w:hint="eastAsia" w:cs="微软雅黑" w:asciiTheme="minorEastAsia" w:hAnsiTheme="minorEastAsia" w:eastAsiaTheme="minorEastAsia"/>
          <w:color w:val="auto"/>
          <w:kern w:val="0"/>
          <w:position w:val="-2"/>
          <w:szCs w:val="21"/>
        </w:rPr>
        <w:t>位</w:t>
      </w:r>
      <w:r>
        <w:rPr>
          <w:rFonts w:hint="eastAsia" w:cs="微软雅黑" w:asciiTheme="minorEastAsia" w:hAnsiTheme="minorEastAsia" w:eastAsiaTheme="minorEastAsia"/>
          <w:color w:val="auto"/>
          <w:spacing w:val="-2"/>
          <w:kern w:val="0"/>
          <w:position w:val="-2"/>
          <w:szCs w:val="21"/>
        </w:rPr>
        <w:t>负</w:t>
      </w:r>
      <w:r>
        <w:rPr>
          <w:rFonts w:hint="eastAsia" w:cs="微软雅黑" w:asciiTheme="minorEastAsia" w:hAnsiTheme="minorEastAsia" w:eastAsiaTheme="minorEastAsia"/>
          <w:color w:val="auto"/>
          <w:kern w:val="0"/>
          <w:position w:val="-2"/>
          <w:szCs w:val="21"/>
        </w:rPr>
        <w:t>责</w:t>
      </w:r>
      <w:r>
        <w:rPr>
          <w:rFonts w:hint="eastAsia" w:cs="微软雅黑" w:asciiTheme="minorEastAsia" w:hAnsiTheme="minorEastAsia" w:eastAsiaTheme="minorEastAsia"/>
          <w:color w:val="auto"/>
          <w:spacing w:val="-2"/>
          <w:kern w:val="0"/>
          <w:position w:val="-2"/>
          <w:szCs w:val="21"/>
        </w:rPr>
        <w:t>人</w:t>
      </w:r>
      <w:r>
        <w:rPr>
          <w:rFonts w:hint="eastAsia" w:cs="微软雅黑" w:asciiTheme="minorEastAsia" w:hAnsiTheme="minorEastAsia" w:eastAsiaTheme="minorEastAsia"/>
          <w:color w:val="auto"/>
          <w:spacing w:val="-106"/>
          <w:kern w:val="0"/>
          <w:position w:val="-2"/>
          <w:szCs w:val="21"/>
        </w:rPr>
        <w:t>）</w:t>
      </w:r>
      <w:r>
        <w:rPr>
          <w:rFonts w:hint="eastAsia" w:cs="微软雅黑" w:asciiTheme="minorEastAsia" w:hAnsiTheme="minorEastAsia" w:eastAsiaTheme="minorEastAsia"/>
          <w:color w:val="auto"/>
          <w:kern w:val="0"/>
          <w:position w:val="-2"/>
          <w:szCs w:val="21"/>
        </w:rPr>
        <w:t>。</w:t>
      </w:r>
    </w:p>
    <w:p>
      <w:pPr>
        <w:autoSpaceDE w:val="0"/>
        <w:autoSpaceDN w:val="0"/>
        <w:adjustRightInd w:val="0"/>
        <w:snapToGrid w:val="0"/>
        <w:spacing w:line="360" w:lineRule="auto"/>
        <w:ind w:left="520" w:right="-2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特此</w:t>
      </w:r>
      <w:r>
        <w:rPr>
          <w:rFonts w:hint="eastAsia" w:cs="微软雅黑" w:asciiTheme="minorEastAsia" w:hAnsiTheme="minorEastAsia" w:eastAsiaTheme="minorEastAsia"/>
          <w:color w:val="auto"/>
          <w:spacing w:val="-2"/>
          <w:kern w:val="0"/>
          <w:szCs w:val="21"/>
        </w:rPr>
        <w:t>证</w:t>
      </w:r>
      <w:r>
        <w:rPr>
          <w:rFonts w:hint="eastAsia" w:cs="微软雅黑" w:asciiTheme="minorEastAsia" w:hAnsiTheme="minorEastAsia" w:eastAsiaTheme="minorEastAsia"/>
          <w:color w:val="auto"/>
          <w:kern w:val="0"/>
          <w:szCs w:val="21"/>
        </w:rPr>
        <w:t>明。</w:t>
      </w:r>
    </w:p>
    <w:p>
      <w:pPr>
        <w:autoSpaceDE w:val="0"/>
        <w:autoSpaceDN w:val="0"/>
        <w:adjustRightInd w:val="0"/>
        <w:snapToGrid w:val="0"/>
        <w:spacing w:line="360" w:lineRule="auto"/>
        <w:ind w:left="100" w:right="4231"/>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附：</w:t>
      </w: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cs="微软雅黑" w:asciiTheme="minorEastAsia" w:hAnsiTheme="minorEastAsia" w:eastAsiaTheme="minorEastAsia"/>
          <w:color w:val="auto"/>
          <w:kern w:val="0"/>
          <w:szCs w:val="21"/>
        </w:rPr>
        <w:t>身</w:t>
      </w:r>
      <w:r>
        <w:rPr>
          <w:rFonts w:hint="eastAsia" w:cs="微软雅黑" w:asciiTheme="minorEastAsia" w:hAnsiTheme="minorEastAsia" w:eastAsiaTheme="minorEastAsia"/>
          <w:color w:val="auto"/>
          <w:spacing w:val="-2"/>
          <w:kern w:val="0"/>
          <w:szCs w:val="21"/>
        </w:rPr>
        <w:t>份</w:t>
      </w:r>
      <w:r>
        <w:rPr>
          <w:rFonts w:hint="eastAsia" w:cs="微软雅黑" w:asciiTheme="minorEastAsia" w:hAnsiTheme="minorEastAsia" w:eastAsiaTheme="minorEastAsia"/>
          <w:color w:val="auto"/>
          <w:kern w:val="0"/>
          <w:szCs w:val="21"/>
        </w:rPr>
        <w:t>证</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r>
        <w:rPr>
          <w:rFonts w:hint="eastAsia" w:cs="微软雅黑" w:asciiTheme="minorEastAsia" w:hAnsiTheme="minorEastAsia" w:eastAsiaTheme="minorEastAsia"/>
          <w:color w:val="auto"/>
          <w:kern w:val="0"/>
          <w:szCs w:val="21"/>
        </w:rPr>
        <w:t>。</w:t>
      </w:r>
    </w:p>
    <w:tbl>
      <w:tblPr>
        <w:tblStyle w:val="4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身份证（正面）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c>
          <w:tcPr>
            <w:tcW w:w="3899"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身份证（反面）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r>
    </w:tbl>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注：投标人代表为法定代表人（单位负责人）的提供。自然人投标的无需提供。</w:t>
      </w: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投标人名称（盖单位电子章）：</w:t>
      </w:r>
      <w:r>
        <w:rPr>
          <w:rFonts w:hint="eastAsia" w:ascii="宋体" w:hAnsi="宋体"/>
          <w:color w:val="auto"/>
          <w:szCs w:val="21"/>
          <w:u w:val="single"/>
        </w:rPr>
        <w:t xml:space="preserve">         </w:t>
      </w:r>
    </w:p>
    <w:p>
      <w:pPr>
        <w:adjustRightInd w:val="0"/>
        <w:snapToGrid w:val="0"/>
        <w:spacing w:line="360" w:lineRule="auto"/>
        <w:ind w:right="420"/>
        <w:rPr>
          <w:rFonts w:ascii="宋体" w:hAnsi="宋体"/>
          <w:color w:val="auto"/>
          <w:szCs w:val="21"/>
        </w:rPr>
      </w:pPr>
      <w:r>
        <w:rPr>
          <w:rFonts w:hint="eastAsia" w:cs="宋体" w:asciiTheme="minorEastAsia" w:hAnsiTheme="minorEastAsia" w:eastAsiaTheme="minorEastAsia"/>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adjustRightInd w:val="0"/>
        <w:snapToGrid w:val="0"/>
        <w:spacing w:line="360" w:lineRule="auto"/>
        <w:rPr>
          <w:color w:val="auto"/>
        </w:rPr>
      </w:pPr>
    </w:p>
    <w:p>
      <w:pPr>
        <w:widowControl/>
        <w:jc w:val="left"/>
        <w:rPr>
          <w:color w:val="auto"/>
        </w:rPr>
      </w:pPr>
      <w:r>
        <w:rPr>
          <w:color w:val="auto"/>
        </w:rPr>
        <w:br w:type="page"/>
      </w:r>
    </w:p>
    <w:p>
      <w:pPr>
        <w:pStyle w:val="6"/>
        <w:adjustRightInd w:val="0"/>
        <w:snapToGrid w:val="0"/>
        <w:spacing w:before="0" w:after="0" w:line="360" w:lineRule="auto"/>
        <w:jc w:val="center"/>
        <w:rPr>
          <w:rFonts w:ascii="黑体" w:hAnsi="宋体" w:eastAsia="黑体"/>
          <w:color w:val="auto"/>
          <w:sz w:val="28"/>
          <w:szCs w:val="28"/>
        </w:rPr>
      </w:pPr>
      <w:bookmarkStart w:id="113" w:name="_Toc522"/>
      <w:bookmarkStart w:id="114" w:name="_Toc29913954"/>
      <w:r>
        <w:rPr>
          <w:rFonts w:hint="eastAsia" w:ascii="黑体" w:hAnsi="宋体" w:eastAsia="黑体"/>
          <w:color w:val="auto"/>
          <w:sz w:val="28"/>
          <w:szCs w:val="28"/>
        </w:rPr>
        <w:t>三、授权委托书</w:t>
      </w:r>
      <w:bookmarkEnd w:id="113"/>
      <w:bookmarkEnd w:id="114"/>
    </w:p>
    <w:p>
      <w:pPr>
        <w:autoSpaceDE w:val="0"/>
        <w:autoSpaceDN w:val="0"/>
        <w:adjustRightInd w:val="0"/>
        <w:snapToGrid w:val="0"/>
        <w:spacing w:line="360" w:lineRule="auto"/>
        <w:ind w:firstLine="446" w:firstLineChars="200"/>
        <w:jc w:val="left"/>
        <w:rPr>
          <w:rFonts w:ascii="宋体" w:hAnsi="宋体"/>
          <w:b/>
          <w:color w:val="auto"/>
          <w:spacing w:val="6"/>
          <w:szCs w:val="21"/>
        </w:rPr>
      </w:pPr>
    </w:p>
    <w:p>
      <w:pPr>
        <w:autoSpaceDE w:val="0"/>
        <w:autoSpaceDN w:val="0"/>
        <w:adjustRightInd w:val="0"/>
        <w:snapToGrid w:val="0"/>
        <w:spacing w:line="360" w:lineRule="auto"/>
        <w:ind w:firstLine="420" w:firstLineChars="200"/>
        <w:jc w:val="left"/>
        <w:rPr>
          <w:rFonts w:ascii="宋体" w:hAnsi="宋体" w:cs="宋体"/>
          <w:color w:val="auto"/>
          <w:kern w:val="0"/>
          <w:szCs w:val="21"/>
        </w:rPr>
      </w:pPr>
    </w:p>
    <w:p>
      <w:pPr>
        <w:autoSpaceDE w:val="0"/>
        <w:autoSpaceDN w:val="0"/>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（姓名、职务）系</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olor w:val="auto"/>
          <w:szCs w:val="21"/>
        </w:rPr>
        <w:t>投标人</w:t>
      </w:r>
      <w:r>
        <w:rPr>
          <w:rFonts w:hint="eastAsia" w:ascii="宋体" w:hAnsi="宋体" w:cs="宋体"/>
          <w:color w:val="auto"/>
          <w:kern w:val="0"/>
          <w:szCs w:val="21"/>
        </w:rPr>
        <w:t>名称）的法定代表人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s="宋体"/>
          <w:color w:val="auto"/>
          <w:kern w:val="0"/>
          <w:szCs w:val="21"/>
        </w:rPr>
        <w:t>，现授权</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（姓名、职务）为我方代理人。代理人根据授权，以我方名义签署、澄清、说明、补正、递交、撤回、修改</w:t>
      </w:r>
      <w:r>
        <w:rPr>
          <w:rFonts w:hint="eastAsia" w:ascii="宋体" w:hAnsi="宋体" w:cs="宋体"/>
          <w:color w:val="auto"/>
          <w:kern w:val="0"/>
          <w:szCs w:val="21"/>
          <w:u w:val="single"/>
        </w:rPr>
        <w:t xml:space="preserve">              </w:t>
      </w:r>
      <w:r>
        <w:rPr>
          <w:rFonts w:hint="eastAsia" w:ascii="宋体" w:hAnsi="宋体" w:cs="宋体"/>
          <w:color w:val="auto"/>
          <w:kern w:val="0"/>
          <w:szCs w:val="21"/>
        </w:rPr>
        <w:t>（项目名称</w:t>
      </w:r>
      <w:r>
        <w:rPr>
          <w:rFonts w:ascii="宋体" w:hAnsi="宋体" w:cs="宋体"/>
          <w:color w:val="auto"/>
          <w:kern w:val="0"/>
          <w:szCs w:val="21"/>
        </w:rPr>
        <w:t>）</w:t>
      </w:r>
      <w:r>
        <w:rPr>
          <w:rFonts w:hint="eastAsia" w:ascii="宋体" w:hAnsi="宋体" w:cs="宋体"/>
          <w:color w:val="auto"/>
          <w:kern w:val="0"/>
          <w:szCs w:val="21"/>
        </w:rPr>
        <w:t>（</w:t>
      </w:r>
      <w:r>
        <w:rPr>
          <w:rFonts w:hint="eastAsia" w:asciiTheme="minorEastAsia" w:hAnsiTheme="minorEastAsia" w:eastAsiaTheme="minorEastAsia"/>
          <w:color w:val="auto"/>
        </w:rPr>
        <w:t>政府</w:t>
      </w:r>
      <w:r>
        <w:rPr>
          <w:rFonts w:hint="eastAsia" w:asciiTheme="minorEastAsia" w:hAnsiTheme="minorEastAsia" w:eastAsiaTheme="minorEastAsia"/>
          <w:iCs/>
          <w:color w:val="auto"/>
        </w:rPr>
        <w:t>采购编号：</w:t>
      </w:r>
      <w:r>
        <w:rPr>
          <w:rFonts w:hint="eastAsia" w:asciiTheme="minorEastAsia" w:hAnsiTheme="minorEastAsia" w:eastAsiaTheme="minorEastAsia"/>
          <w:iCs/>
          <w:color w:val="auto"/>
          <w:u w:val="single"/>
        </w:rPr>
        <w:t xml:space="preserve">      </w:t>
      </w:r>
      <w:r>
        <w:rPr>
          <w:rFonts w:hint="eastAsia" w:asciiTheme="minorEastAsia" w:hAnsiTheme="minorEastAsia" w:eastAsiaTheme="minorEastAsia"/>
          <w:iCs/>
          <w:color w:val="auto"/>
        </w:rPr>
        <w:t xml:space="preserve"> ，</w:t>
      </w:r>
      <w:r>
        <w:rPr>
          <w:rFonts w:hint="eastAsia" w:ascii="宋体" w:hAnsi="宋体" w:cs="宋体"/>
          <w:color w:val="auto"/>
          <w:kern w:val="0"/>
          <w:szCs w:val="21"/>
        </w:rPr>
        <w:t>采购代理编号：</w:t>
      </w:r>
      <w:r>
        <w:rPr>
          <w:rFonts w:hint="eastAsia" w:ascii="宋体" w:hAnsi="宋体" w:cs="宋体"/>
          <w:color w:val="auto"/>
          <w:kern w:val="0"/>
          <w:szCs w:val="21"/>
          <w:u w:val="single"/>
        </w:rPr>
        <w:t xml:space="preserve">       </w:t>
      </w:r>
      <w:r>
        <w:rPr>
          <w:rFonts w:hint="eastAsia" w:ascii="宋体" w:hAnsi="宋体" w:cs="宋体"/>
          <w:color w:val="auto"/>
          <w:kern w:val="0"/>
          <w:szCs w:val="21"/>
        </w:rPr>
        <w:t>）投标文件、签订合同和处理有关事宜，其法律后果由我方承担。</w:t>
      </w:r>
    </w:p>
    <w:p>
      <w:pPr>
        <w:autoSpaceDE w:val="0"/>
        <w:autoSpaceDN w:val="0"/>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pPr>
        <w:adjustRightInd w:val="0"/>
        <w:snapToGrid w:val="0"/>
        <w:spacing w:line="360" w:lineRule="auto"/>
        <w:ind w:firstLine="435"/>
        <w:rPr>
          <w:rFonts w:ascii="宋体" w:hAnsi="宋体" w:cs="宋体"/>
          <w:color w:val="auto"/>
          <w:kern w:val="0"/>
          <w:szCs w:val="21"/>
        </w:rPr>
      </w:pPr>
      <w:r>
        <w:rPr>
          <w:rFonts w:hint="eastAsia" w:ascii="宋体" w:hAnsi="宋体" w:cs="宋体"/>
          <w:color w:val="auto"/>
          <w:kern w:val="0"/>
          <w:szCs w:val="21"/>
        </w:rPr>
        <w:t>代理人无转委托权。</w:t>
      </w:r>
    </w:p>
    <w:p>
      <w:pPr>
        <w:adjustRightInd w:val="0"/>
        <w:snapToGrid w:val="0"/>
        <w:spacing w:line="360" w:lineRule="auto"/>
        <w:ind w:firstLine="435"/>
        <w:rPr>
          <w:rFonts w:cs="微软雅黑" w:asciiTheme="minorEastAsia" w:hAnsiTheme="minorEastAsia" w:eastAsiaTheme="minorEastAsia"/>
          <w:color w:val="auto"/>
          <w:kern w:val="0"/>
          <w:szCs w:val="21"/>
        </w:rPr>
      </w:pPr>
      <w:r>
        <w:rPr>
          <w:rFonts w:hint="eastAsia" w:ascii="宋体" w:hAnsi="宋体"/>
          <w:color w:val="auto"/>
          <w:szCs w:val="21"/>
        </w:rPr>
        <w:t>本授权书于</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日签字生效，特此声明。</w:t>
      </w:r>
    </w:p>
    <w:tbl>
      <w:tblPr>
        <w:tblStyle w:val="4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身份证（正面）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c>
          <w:tcPr>
            <w:tcW w:w="3899"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身份证（反面）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r>
    </w:tbl>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注：投标人代表不是投标人的法定代表人（单位负责人）的提供。自然人投标的无需提供。</w:t>
      </w:r>
    </w:p>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line="360" w:lineRule="auto"/>
        <w:ind w:right="420"/>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eastAsiaTheme="minorEastAsia"/>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line="360" w:lineRule="auto"/>
        <w:ind w:right="420"/>
        <w:rPr>
          <w:rFonts w:ascii="宋体" w:hAnsi="宋体"/>
          <w:color w:val="auto"/>
          <w:szCs w:val="21"/>
        </w:rPr>
      </w:pPr>
      <w:r>
        <w:rPr>
          <w:rFonts w:hint="eastAsia" w:ascii="宋体" w:hAnsi="宋体"/>
          <w:color w:val="auto"/>
          <w:szCs w:val="21"/>
        </w:rPr>
        <w:t>委托代理人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line="360" w:lineRule="auto"/>
        <w:ind w:right="420"/>
        <w:rPr>
          <w:rFonts w:ascii="宋体" w:hAnsi="宋体"/>
          <w:color w:val="auto"/>
          <w:szCs w:val="21"/>
        </w:rPr>
      </w:pPr>
      <w:r>
        <w:rPr>
          <w:rFonts w:hint="eastAsia" w:cs="宋体" w:asciiTheme="minorEastAsia" w:hAnsiTheme="minorEastAsia" w:eastAsiaTheme="minorEastAsia"/>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adjustRightInd w:val="0"/>
        <w:snapToGrid w:val="0"/>
        <w:spacing w:line="360" w:lineRule="auto"/>
        <w:jc w:val="left"/>
        <w:rPr>
          <w:rFonts w:ascii="黑体" w:hAnsi="黑体" w:eastAsia="黑体"/>
          <w:bCs/>
          <w:color w:val="auto"/>
          <w:sz w:val="28"/>
          <w:szCs w:val="28"/>
        </w:rPr>
      </w:pPr>
      <w:r>
        <w:rPr>
          <w:rFonts w:ascii="黑体" w:hAnsi="黑体" w:eastAsia="黑体"/>
          <w:bCs/>
          <w:color w:val="auto"/>
          <w:sz w:val="28"/>
          <w:szCs w:val="28"/>
        </w:rPr>
        <w:br w:type="page"/>
      </w:r>
    </w:p>
    <w:p>
      <w:pPr>
        <w:pStyle w:val="6"/>
        <w:adjustRightInd w:val="0"/>
        <w:snapToGrid w:val="0"/>
        <w:spacing w:before="0" w:after="0" w:line="360" w:lineRule="auto"/>
        <w:jc w:val="center"/>
        <w:rPr>
          <w:rFonts w:ascii="黑体" w:hAnsi="宋体" w:eastAsia="黑体"/>
          <w:color w:val="auto"/>
          <w:sz w:val="28"/>
          <w:szCs w:val="28"/>
        </w:rPr>
      </w:pPr>
      <w:bookmarkStart w:id="115" w:name="_Toc29913955"/>
      <w:bookmarkStart w:id="116" w:name="_Toc4241"/>
      <w:r>
        <w:rPr>
          <w:rFonts w:hint="eastAsia" w:ascii="黑体" w:hAnsi="宋体" w:eastAsia="黑体"/>
          <w:color w:val="auto"/>
          <w:sz w:val="28"/>
          <w:szCs w:val="28"/>
        </w:rPr>
        <w:t>四、投标人提供的资格证明文件</w:t>
      </w:r>
      <w:bookmarkEnd w:id="115"/>
      <w:bookmarkEnd w:id="116"/>
    </w:p>
    <w:p>
      <w:pPr>
        <w:pStyle w:val="24"/>
        <w:adjustRightInd w:val="0"/>
        <w:snapToGrid w:val="0"/>
        <w:spacing w:line="360" w:lineRule="auto"/>
        <w:jc w:val="center"/>
        <w:rPr>
          <w:rFonts w:hAnsi="宋体" w:cs="Times New Roman"/>
          <w:b/>
          <w:bCs/>
          <w:color w:val="auto"/>
          <w:sz w:val="24"/>
          <w:szCs w:val="24"/>
        </w:rPr>
      </w:pPr>
    </w:p>
    <w:p>
      <w:pPr>
        <w:pStyle w:val="24"/>
        <w:adjustRightInd w:val="0"/>
        <w:snapToGrid w:val="0"/>
        <w:spacing w:line="360" w:lineRule="auto"/>
        <w:jc w:val="center"/>
        <w:rPr>
          <w:rFonts w:ascii="黑体" w:hAnsi="黑体" w:eastAsia="黑体" w:cs="Times New Roman"/>
          <w:b/>
          <w:bCs/>
          <w:color w:val="auto"/>
          <w:sz w:val="28"/>
          <w:szCs w:val="28"/>
        </w:rPr>
      </w:pPr>
      <w:r>
        <w:rPr>
          <w:rFonts w:hint="eastAsia" w:ascii="黑体" w:hAnsi="黑体" w:eastAsia="黑体" w:cs="Times New Roman"/>
          <w:b/>
          <w:bCs/>
          <w:color w:val="auto"/>
          <w:sz w:val="28"/>
          <w:szCs w:val="28"/>
        </w:rPr>
        <w:t>须  知</w:t>
      </w:r>
    </w:p>
    <w:p>
      <w:pPr>
        <w:tabs>
          <w:tab w:val="left" w:pos="4725"/>
        </w:tabs>
        <w:adjustRightInd w:val="0"/>
        <w:snapToGrid w:val="0"/>
        <w:spacing w:before="156" w:beforeLines="50" w:line="360" w:lineRule="auto"/>
        <w:ind w:firstLine="422" w:firstLineChars="200"/>
        <w:rPr>
          <w:rFonts w:ascii="宋体" w:hAnsi="宋体"/>
          <w:b/>
          <w:bCs/>
          <w:color w:val="auto"/>
          <w:szCs w:val="21"/>
        </w:rPr>
      </w:pPr>
      <w:r>
        <w:rPr>
          <w:rFonts w:hint="eastAsia" w:ascii="宋体" w:hAnsi="宋体"/>
          <w:b/>
          <w:color w:val="auto"/>
          <w:szCs w:val="21"/>
        </w:rPr>
        <w:t>1、投标人</w:t>
      </w:r>
      <w:r>
        <w:rPr>
          <w:rFonts w:hint="eastAsia" w:ascii="宋体" w:hAnsi="宋体"/>
          <w:b/>
          <w:bCs/>
          <w:color w:val="auto"/>
          <w:szCs w:val="21"/>
        </w:rPr>
        <w:t>应按第二章第15.1款要求提供下列的证明材料</w:t>
      </w:r>
    </w:p>
    <w:p>
      <w:pPr>
        <w:tabs>
          <w:tab w:val="left" w:pos="4725"/>
        </w:tabs>
        <w:adjustRightInd w:val="0"/>
        <w:snapToGrid w:val="0"/>
        <w:spacing w:before="156"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附件4-1 法人或者其他组织的营业执照等主体资格证明文件，自然人的身份证明</w:t>
      </w:r>
    </w:p>
    <w:p>
      <w:pPr>
        <w:tabs>
          <w:tab w:val="left" w:pos="4725"/>
        </w:tabs>
        <w:adjustRightInd w:val="0"/>
        <w:snapToGrid w:val="0"/>
        <w:spacing w:before="156"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附件4-2 投标人资格声明(格式)</w:t>
      </w:r>
    </w:p>
    <w:p>
      <w:pPr>
        <w:tabs>
          <w:tab w:val="left" w:pos="4725"/>
        </w:tabs>
        <w:adjustRightInd w:val="0"/>
        <w:snapToGrid w:val="0"/>
        <w:spacing w:before="156"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附件4-3 符合特定资格条件证明材料复印件或者情况说明</w:t>
      </w:r>
    </w:p>
    <w:p>
      <w:pPr>
        <w:tabs>
          <w:tab w:val="left" w:pos="4725"/>
        </w:tabs>
        <w:adjustRightInd w:val="0"/>
        <w:snapToGrid w:val="0"/>
        <w:spacing w:before="156"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附件4-4 联合体协议书（格式）（联合体形式投标的提供）</w:t>
      </w:r>
    </w:p>
    <w:p>
      <w:pPr>
        <w:tabs>
          <w:tab w:val="left" w:pos="4725"/>
        </w:tabs>
        <w:adjustRightInd w:val="0"/>
        <w:snapToGrid w:val="0"/>
        <w:spacing w:before="156" w:beforeLines="50" w:line="360" w:lineRule="auto"/>
        <w:ind w:firstLine="420" w:firstLineChars="200"/>
        <w:rPr>
          <w:rFonts w:cs="宋体"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cs="宋体" w:asciiTheme="minorEastAsia" w:hAnsiTheme="minorEastAsia" w:eastAsiaTheme="minorEastAsia"/>
          <w:color w:val="auto"/>
          <w:szCs w:val="21"/>
        </w:rPr>
        <w:t>投标人以联合体形式投标的，除应提交联合协议书(本节附4-4)外，参加联合体的各方均应提交上款资格证明材料。</w:t>
      </w:r>
    </w:p>
    <w:p>
      <w:pPr>
        <w:tabs>
          <w:tab w:val="left" w:pos="4725"/>
        </w:tabs>
        <w:adjustRightInd w:val="0"/>
        <w:snapToGrid w:val="0"/>
        <w:spacing w:line="360" w:lineRule="auto"/>
        <w:rPr>
          <w:rFonts w:cs="宋体" w:asciiTheme="minorEastAsia" w:hAnsiTheme="minorEastAsia" w:eastAsiaTheme="minorEastAsia"/>
          <w:color w:val="auto"/>
          <w:szCs w:val="21"/>
        </w:rPr>
      </w:pPr>
    </w:p>
    <w:p>
      <w:pPr>
        <w:widowControl/>
        <w:adjustRightInd w:val="0"/>
        <w:snapToGrid w:val="0"/>
        <w:spacing w:line="360" w:lineRule="auto"/>
        <w:jc w:val="left"/>
        <w:rPr>
          <w:rFonts w:ascii="黑体" w:hAnsi="仿宋" w:eastAsia="黑体" w:cs="宋体"/>
          <w:color w:val="auto"/>
          <w:szCs w:val="21"/>
        </w:rPr>
      </w:pPr>
      <w:r>
        <w:rPr>
          <w:rFonts w:ascii="黑体" w:hAnsi="仿宋" w:eastAsia="黑体" w:cs="宋体"/>
          <w:color w:val="auto"/>
          <w:szCs w:val="21"/>
        </w:rPr>
        <w:br w:type="page"/>
      </w:r>
    </w:p>
    <w:p>
      <w:pPr>
        <w:pStyle w:val="7"/>
        <w:rPr>
          <w:rFonts w:ascii="黑体" w:hAnsi="仿宋" w:cs="宋体"/>
          <w:b w:val="0"/>
          <w:color w:val="auto"/>
          <w:sz w:val="21"/>
          <w:szCs w:val="21"/>
        </w:rPr>
      </w:pPr>
      <w:bookmarkStart w:id="117" w:name="_Toc30868"/>
      <w:bookmarkStart w:id="118" w:name="_Toc29913956"/>
      <w:r>
        <w:rPr>
          <w:rFonts w:hint="eastAsia" w:ascii="黑体" w:hAnsi="仿宋" w:cs="宋体"/>
          <w:b w:val="0"/>
          <w:color w:val="auto"/>
          <w:sz w:val="21"/>
          <w:szCs w:val="21"/>
        </w:rPr>
        <w:t>附件4-1 法人或者其他组织的营业执照等主体资格证明文件，自然人的身份证明</w:t>
      </w:r>
      <w:bookmarkEnd w:id="117"/>
      <w:bookmarkEnd w:id="118"/>
    </w:p>
    <w:p>
      <w:pPr>
        <w:widowControl/>
        <w:adjustRightInd w:val="0"/>
        <w:snapToGrid w:val="0"/>
        <w:spacing w:line="360" w:lineRule="auto"/>
        <w:jc w:val="center"/>
        <w:rPr>
          <w:rFonts w:ascii="黑体" w:hAnsi="仿宋" w:eastAsia="黑体" w:cs="宋体"/>
          <w:b/>
          <w:color w:val="auto"/>
          <w:sz w:val="28"/>
          <w:szCs w:val="28"/>
        </w:rPr>
      </w:pPr>
      <w:r>
        <w:rPr>
          <w:rFonts w:hint="eastAsia" w:ascii="黑体" w:hAnsi="仿宋" w:eastAsia="黑体" w:cs="宋体"/>
          <w:b/>
          <w:color w:val="auto"/>
          <w:sz w:val="28"/>
          <w:szCs w:val="28"/>
        </w:rPr>
        <w:t>法人或者其他组织的营业执照等主体资格证明文件，自然人的身份证明</w:t>
      </w:r>
    </w:p>
    <w:p>
      <w:pPr>
        <w:widowControl/>
        <w:adjustRightInd w:val="0"/>
        <w:snapToGrid w:val="0"/>
        <w:spacing w:before="156" w:beforeLines="50" w:line="360" w:lineRule="auto"/>
        <w:ind w:firstLine="420" w:firstLineChars="200"/>
        <w:jc w:val="left"/>
        <w:rPr>
          <w:rFonts w:cs="宋体" w:asciiTheme="minorEastAsia" w:hAnsiTheme="minorEastAsia" w:eastAsiaTheme="minorEastAsia"/>
          <w:color w:val="auto"/>
          <w:szCs w:val="21"/>
        </w:rPr>
      </w:pPr>
    </w:p>
    <w:p>
      <w:pPr>
        <w:adjustRightInd w:val="0"/>
        <w:snapToGrid w:val="0"/>
        <w:spacing w:before="156" w:beforeLines="50" w:line="360" w:lineRule="auto"/>
        <w:ind w:firstLine="420" w:firstLineChars="200"/>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注：按第二章第</w:t>
      </w:r>
      <w:r>
        <w:rPr>
          <w:rFonts w:cs="宋体" w:asciiTheme="minorEastAsia" w:hAnsiTheme="minorEastAsia" w:eastAsiaTheme="minorEastAsia"/>
          <w:color w:val="auto"/>
          <w:szCs w:val="21"/>
        </w:rPr>
        <w:t>1</w:t>
      </w:r>
      <w:r>
        <w:rPr>
          <w:rFonts w:hint="eastAsia" w:cs="宋体" w:asciiTheme="minorEastAsia" w:hAnsiTheme="minorEastAsia" w:eastAsiaTheme="minorEastAsia"/>
          <w:color w:val="auto"/>
          <w:szCs w:val="21"/>
        </w:rPr>
        <w:t>4</w:t>
      </w:r>
      <w:r>
        <w:rPr>
          <w:rFonts w:cs="宋体" w:asciiTheme="minorEastAsia" w:hAnsiTheme="minorEastAsia" w:eastAsiaTheme="minorEastAsia"/>
          <w:color w:val="auto"/>
          <w:szCs w:val="21"/>
        </w:rPr>
        <w:t>.1</w:t>
      </w:r>
      <w:r>
        <w:rPr>
          <w:rFonts w:hint="eastAsia" w:cs="宋体" w:asciiTheme="minorEastAsia" w:hAnsiTheme="minorEastAsia" w:eastAsiaTheme="minorEastAsia"/>
          <w:color w:val="auto"/>
          <w:szCs w:val="21"/>
        </w:rPr>
        <w:t>（2）项要求提供。</w:t>
      </w:r>
    </w:p>
    <w:p>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（1）</w:t>
      </w:r>
      <w:r>
        <w:rPr>
          <w:rFonts w:hint="eastAsia" w:asciiTheme="minorEastAsia" w:hAnsiTheme="minorEastAsia"/>
          <w:color w:val="auto"/>
        </w:rPr>
        <w:t>投标人为法人的，应提交营业执照或法人登记证书的复印件；</w:t>
      </w:r>
    </w:p>
    <w:p>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（2）</w:t>
      </w:r>
      <w:r>
        <w:rPr>
          <w:rFonts w:hint="eastAsia" w:asciiTheme="minorEastAsia" w:hAnsiTheme="minorEastAsia"/>
          <w:color w:val="auto"/>
        </w:rPr>
        <w:t>投标人为非法人组织的，应提交依法登记证书复印件；</w:t>
      </w:r>
    </w:p>
    <w:p>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（3）</w:t>
      </w:r>
      <w:r>
        <w:rPr>
          <w:rFonts w:hint="eastAsia" w:asciiTheme="minorEastAsia" w:hAnsiTheme="minorEastAsia"/>
          <w:color w:val="auto"/>
        </w:rPr>
        <w:t>投标人为个体工商户的，应提交个体工商户营业执照复印件；</w:t>
      </w:r>
    </w:p>
    <w:p>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（4）</w:t>
      </w:r>
      <w:r>
        <w:rPr>
          <w:rFonts w:hint="eastAsia" w:asciiTheme="minorEastAsia" w:hAnsiTheme="minorEastAsia"/>
          <w:color w:val="auto"/>
        </w:rPr>
        <w:t>投标人为自然人的，应提交自然人的身份证明复印件。</w:t>
      </w:r>
    </w:p>
    <w:p>
      <w:pPr>
        <w:adjustRightInd w:val="0"/>
        <w:snapToGrid w:val="0"/>
        <w:spacing w:before="156" w:beforeLines="50" w:line="360" w:lineRule="auto"/>
        <w:ind w:firstLine="420" w:firstLineChars="200"/>
        <w:rPr>
          <w:rFonts w:asciiTheme="minorEastAsia" w:hAnsiTheme="minorEastAsia"/>
          <w:color w:val="auto"/>
        </w:rPr>
      </w:pPr>
    </w:p>
    <w:p>
      <w:pPr>
        <w:widowControl/>
        <w:jc w:val="left"/>
        <w:rPr>
          <w:rFonts w:ascii="黑体" w:hAnsi="仿宋" w:eastAsia="黑体" w:cs="宋体"/>
          <w:bCs/>
          <w:color w:val="auto"/>
          <w:szCs w:val="21"/>
        </w:rPr>
      </w:pPr>
      <w:r>
        <w:rPr>
          <w:rFonts w:ascii="黑体" w:hAnsi="仿宋" w:cs="宋体"/>
          <w:b/>
          <w:color w:val="auto"/>
          <w:szCs w:val="21"/>
        </w:rPr>
        <w:br w:type="page"/>
      </w:r>
    </w:p>
    <w:p>
      <w:pPr>
        <w:pStyle w:val="7"/>
        <w:adjustRightInd w:val="0"/>
        <w:snapToGrid w:val="0"/>
        <w:spacing w:before="156" w:beforeLines="50" w:after="0" w:line="360" w:lineRule="auto"/>
        <w:rPr>
          <w:rFonts w:ascii="黑体" w:hAnsi="仿宋" w:cs="宋体"/>
          <w:b w:val="0"/>
          <w:color w:val="auto"/>
          <w:sz w:val="21"/>
          <w:szCs w:val="21"/>
        </w:rPr>
      </w:pPr>
      <w:bookmarkStart w:id="119" w:name="_Toc29368"/>
      <w:bookmarkStart w:id="120" w:name="_Toc29913957"/>
      <w:r>
        <w:rPr>
          <w:rFonts w:hint="eastAsia" w:ascii="黑体" w:hAnsi="仿宋" w:cs="宋体"/>
          <w:b w:val="0"/>
          <w:color w:val="auto"/>
          <w:sz w:val="21"/>
          <w:szCs w:val="21"/>
        </w:rPr>
        <w:t>附件4-2 投标人资格声明(格式)</w:t>
      </w:r>
      <w:bookmarkEnd w:id="119"/>
      <w:bookmarkEnd w:id="120"/>
    </w:p>
    <w:p>
      <w:pPr>
        <w:widowControl/>
        <w:adjustRightInd w:val="0"/>
        <w:snapToGrid w:val="0"/>
        <w:spacing w:before="156" w:beforeLines="50" w:line="360" w:lineRule="auto"/>
        <w:jc w:val="center"/>
        <w:rPr>
          <w:rFonts w:cs="宋体" w:asciiTheme="minorEastAsia" w:hAnsiTheme="minorEastAsia" w:eastAsiaTheme="minorEastAsia"/>
          <w:color w:val="auto"/>
          <w:szCs w:val="21"/>
        </w:rPr>
      </w:pPr>
      <w:r>
        <w:rPr>
          <w:rFonts w:hint="eastAsia" w:ascii="黑体" w:hAnsi="仿宋" w:eastAsia="黑体" w:cs="宋体"/>
          <w:b/>
          <w:color w:val="auto"/>
          <w:sz w:val="28"/>
          <w:szCs w:val="28"/>
        </w:rPr>
        <w:t>投标人资格声明(格式)</w:t>
      </w:r>
    </w:p>
    <w:p>
      <w:pPr>
        <w:widowControl/>
        <w:adjustRightInd w:val="0"/>
        <w:snapToGrid w:val="0"/>
        <w:spacing w:before="156" w:beforeLines="50" w:line="360" w:lineRule="auto"/>
        <w:jc w:val="left"/>
        <w:rPr>
          <w:rFonts w:ascii="宋体" w:hAnsi="宋体" w:cs="宋体"/>
          <w:color w:val="auto"/>
          <w:kern w:val="0"/>
          <w:szCs w:val="21"/>
        </w:rPr>
      </w:pPr>
      <w:r>
        <w:rPr>
          <w:rFonts w:hint="eastAsia" w:ascii="宋体" w:hAnsi="宋体" w:cs="宋体"/>
          <w:color w:val="auto"/>
          <w:szCs w:val="21"/>
        </w:rPr>
        <w:t>致</w:t>
      </w:r>
      <w:r>
        <w:rPr>
          <w:rFonts w:hint="eastAsia" w:ascii="宋体" w:hAnsi="宋体" w:cs="宋体"/>
          <w:color w:val="auto"/>
          <w:szCs w:val="21"/>
          <w:u w:val="single"/>
        </w:rPr>
        <w:t xml:space="preserve">            </w:t>
      </w:r>
      <w:r>
        <w:rPr>
          <w:rFonts w:hint="eastAsia" w:ascii="宋体" w:hAnsi="宋体" w:cs="宋体"/>
          <w:color w:val="auto"/>
          <w:szCs w:val="21"/>
        </w:rPr>
        <w:t>(采购人、采购代理机构)：</w:t>
      </w:r>
    </w:p>
    <w:p>
      <w:pPr>
        <w:widowControl/>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按照《中华人民共和国政府采购法》第二十二条和招标文件的规定，我单位郑重声明如下：</w:t>
      </w:r>
    </w:p>
    <w:p>
      <w:pPr>
        <w:widowControl/>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一、我单位是按照中华人民共和国法律规定登记注册的，注册地点为</w:t>
      </w:r>
      <w:r>
        <w:rPr>
          <w:rFonts w:hint="eastAsia" w:ascii="宋体" w:hAnsi="宋体" w:cs="宋体"/>
          <w:color w:val="auto"/>
          <w:szCs w:val="21"/>
          <w:u w:val="single"/>
        </w:rPr>
        <w:t xml:space="preserve">         </w:t>
      </w:r>
      <w:r>
        <w:rPr>
          <w:rFonts w:hint="eastAsia" w:ascii="宋体" w:hAnsi="宋体" w:cs="宋体"/>
          <w:color w:val="auto"/>
          <w:szCs w:val="21"/>
        </w:rPr>
        <w:t>，全称为</w:t>
      </w:r>
      <w:r>
        <w:rPr>
          <w:rFonts w:hint="eastAsia" w:ascii="宋体" w:hAnsi="宋体" w:cs="宋体"/>
          <w:color w:val="auto"/>
          <w:szCs w:val="21"/>
          <w:u w:val="single"/>
        </w:rPr>
        <w:t xml:space="preserve">        </w:t>
      </w:r>
      <w:r>
        <w:rPr>
          <w:rFonts w:hint="eastAsia" w:ascii="宋体" w:hAnsi="宋体" w:cs="宋体"/>
          <w:color w:val="auto"/>
          <w:szCs w:val="21"/>
        </w:rPr>
        <w:t>，统一社会信用代码为</w:t>
      </w:r>
      <w:r>
        <w:rPr>
          <w:rFonts w:hint="eastAsia" w:ascii="宋体" w:hAnsi="宋体" w:cs="宋体"/>
          <w:color w:val="auto"/>
          <w:szCs w:val="21"/>
          <w:u w:val="single"/>
        </w:rPr>
        <w:t xml:space="preserve">            </w:t>
      </w:r>
      <w:r>
        <w:rPr>
          <w:rFonts w:hint="eastAsia" w:ascii="宋体" w:hAnsi="宋体" w:cs="宋体"/>
          <w:color w:val="auto"/>
          <w:szCs w:val="21"/>
        </w:rPr>
        <w:t>，法定代表人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，具有独立承担民事责任的能力。</w:t>
      </w:r>
    </w:p>
    <w:p>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二、我单位未被</w:t>
      </w:r>
      <w:r>
        <w:rPr>
          <w:rFonts w:hint="eastAsia" w:ascii="华文中宋" w:hAnsi="华文中宋" w:eastAsia="华文中宋" w:cs="宋体"/>
          <w:color w:val="auto"/>
          <w:szCs w:val="21"/>
        </w:rPr>
        <w:t>“</w:t>
      </w:r>
      <w:r>
        <w:rPr>
          <w:rFonts w:hint="eastAsia" w:ascii="宋体" w:hAnsi="宋体" w:cs="宋体"/>
          <w:color w:val="auto"/>
          <w:szCs w:val="21"/>
        </w:rPr>
        <w:t>国家企业信用信息系统</w:t>
      </w:r>
      <w:r>
        <w:rPr>
          <w:rFonts w:hint="eastAsia" w:ascii="华文中宋" w:hAnsi="华文中宋" w:eastAsia="华文中宋" w:cs="宋体"/>
          <w:color w:val="auto"/>
          <w:szCs w:val="21"/>
        </w:rPr>
        <w:t>”</w:t>
      </w:r>
      <w:r>
        <w:rPr>
          <w:rFonts w:hint="eastAsia" w:ascii="宋体" w:hAnsi="宋体" w:cs="宋体"/>
          <w:color w:val="auto"/>
          <w:szCs w:val="21"/>
        </w:rPr>
        <w:t>列入经营异常名录或者严重违法企业名单。</w:t>
      </w:r>
    </w:p>
    <w:p>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kern w:val="0"/>
          <w:szCs w:val="21"/>
        </w:rPr>
        <w:t>三、</w:t>
      </w:r>
      <w:r>
        <w:rPr>
          <w:rFonts w:hint="eastAsia" w:ascii="宋体" w:hAnsi="宋体" w:cs="宋体"/>
          <w:color w:val="auto"/>
          <w:szCs w:val="21"/>
        </w:rPr>
        <w:t>我单位具有良好的商业信誉和健全的财务会计制度。</w:t>
      </w:r>
    </w:p>
    <w:p>
      <w:pPr>
        <w:widowControl/>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四、我</w:t>
      </w:r>
      <w:r>
        <w:rPr>
          <w:rFonts w:hint="eastAsia" w:ascii="宋体" w:hAnsi="宋体" w:cs="宋体"/>
          <w:color w:val="auto"/>
          <w:szCs w:val="21"/>
        </w:rPr>
        <w:t>单位</w:t>
      </w:r>
      <w:r>
        <w:rPr>
          <w:rFonts w:hint="eastAsia" w:ascii="宋体" w:hAnsi="宋体" w:cs="宋体"/>
          <w:color w:val="auto"/>
          <w:kern w:val="0"/>
          <w:szCs w:val="21"/>
        </w:rPr>
        <w:t>依法进行纳税和社会保险申报并实际履行了义务。</w:t>
      </w:r>
    </w:p>
    <w:p>
      <w:pPr>
        <w:widowControl/>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五、我单位具有履行本项目采购合同所必需的设备和专业技术能力，并具有履行合同的良好</w:t>
      </w:r>
      <w:r>
        <w:rPr>
          <w:rFonts w:asciiTheme="minorEastAsia" w:hAnsiTheme="minorEastAsia" w:eastAsiaTheme="minorEastAsia"/>
          <w:color w:val="auto"/>
          <w:szCs w:val="21"/>
        </w:rPr>
        <w:t>记录</w:t>
      </w:r>
      <w:r>
        <w:rPr>
          <w:rFonts w:hint="eastAsia" w:ascii="宋体" w:hAnsi="宋体" w:cs="宋体"/>
          <w:color w:val="auto"/>
          <w:szCs w:val="21"/>
        </w:rPr>
        <w:t>。</w:t>
      </w:r>
    </w:p>
    <w:p>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供应商在参加政府采购活动前3年内因违法经营被禁止在一定期限内参加政府采购活动，期限届满的，可以参加政府采购活动。</w:t>
      </w:r>
    </w:p>
    <w:p>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七、我单位具备法律、行政法规规定的其他条件。</w:t>
      </w:r>
    </w:p>
    <w:p>
      <w:pPr>
        <w:widowControl/>
        <w:adjustRightInd w:val="0"/>
        <w:snapToGrid w:val="0"/>
        <w:spacing w:before="156" w:beforeLines="50" w:line="360" w:lineRule="auto"/>
        <w:ind w:firstLine="420" w:firstLineChars="200"/>
        <w:jc w:val="left"/>
        <w:rPr>
          <w:color w:val="auto"/>
          <w:szCs w:val="21"/>
        </w:rPr>
      </w:pPr>
      <w:r>
        <w:rPr>
          <w:rFonts w:hint="eastAsia" w:ascii="宋体" w:hAnsi="宋体" w:cs="宋体"/>
          <w:color w:val="auto"/>
          <w:kern w:val="0"/>
          <w:szCs w:val="21"/>
        </w:rPr>
        <w:t>八、</w:t>
      </w:r>
      <w:r>
        <w:rPr>
          <w:rFonts w:hint="eastAsia"/>
          <w:color w:val="auto"/>
          <w:szCs w:val="21"/>
        </w:rPr>
        <w:t>与我单位存在“单位负责人为同一人或者存在直接控股、管理关系”的其他单位信息如下（如无，填写“无”）：</w:t>
      </w:r>
    </w:p>
    <w:p>
      <w:pPr>
        <w:adjustRightInd w:val="0"/>
        <w:snapToGrid w:val="0"/>
        <w:spacing w:before="156" w:beforeLines="50" w:line="360" w:lineRule="auto"/>
        <w:ind w:firstLine="420" w:firstLineChars="200"/>
        <w:rPr>
          <w:color w:val="auto"/>
          <w:szCs w:val="21"/>
        </w:rPr>
      </w:pPr>
      <w:r>
        <w:rPr>
          <w:rFonts w:hint="eastAsia" w:asciiTheme="minorEastAsia" w:hAnsiTheme="minorEastAsia" w:eastAsiaTheme="minorEastAsia"/>
          <w:color w:val="auto"/>
          <w:szCs w:val="21"/>
        </w:rPr>
        <w:t>1、</w:t>
      </w:r>
      <w:r>
        <w:rPr>
          <w:rFonts w:hint="eastAsia"/>
          <w:color w:val="auto"/>
          <w:szCs w:val="21"/>
        </w:rPr>
        <w:t>与我单位的法定代表人（单位负责人）为同一人的其他单位如下：</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2、我</w:t>
      </w:r>
      <w:r>
        <w:rPr>
          <w:rFonts w:hint="eastAsia"/>
          <w:color w:val="auto"/>
          <w:szCs w:val="21"/>
        </w:rPr>
        <w:t>单位</w:t>
      </w:r>
      <w:r>
        <w:rPr>
          <w:rFonts w:hint="eastAsia" w:asciiTheme="minorEastAsia" w:hAnsiTheme="minorEastAsia" w:eastAsiaTheme="minorEastAsia"/>
          <w:color w:val="auto"/>
          <w:szCs w:val="21"/>
        </w:rPr>
        <w:t>直接控股的其他单位如下：</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color w:val="auto"/>
          <w:szCs w:val="21"/>
        </w:rPr>
      </w:pPr>
      <w:r>
        <w:rPr>
          <w:rFonts w:hint="eastAsia" w:asciiTheme="minorEastAsia" w:hAnsiTheme="minorEastAsia" w:eastAsiaTheme="minorEastAsia"/>
          <w:color w:val="auto"/>
          <w:szCs w:val="21"/>
        </w:rPr>
        <w:t>3、与我</w:t>
      </w:r>
      <w:r>
        <w:rPr>
          <w:rFonts w:hint="eastAsia"/>
          <w:color w:val="auto"/>
          <w:szCs w:val="21"/>
        </w:rPr>
        <w:t>单位存在</w:t>
      </w:r>
      <w:r>
        <w:rPr>
          <w:rFonts w:hint="eastAsia" w:asciiTheme="minorEastAsia" w:hAnsiTheme="minorEastAsia" w:eastAsiaTheme="minorEastAsia"/>
          <w:color w:val="auto"/>
          <w:szCs w:val="21"/>
        </w:rPr>
        <w:t>管理关系的其他单位如下：</w:t>
      </w:r>
      <w:r>
        <w:rPr>
          <w:rFonts w:hint="eastAsia" w:asciiTheme="minorEastAsia" w:hAnsiTheme="minorEastAsia" w:eastAsiaTheme="minorEastAsia"/>
          <w:color w:val="auto"/>
          <w:szCs w:val="21"/>
          <w:u w:val="single"/>
        </w:rPr>
        <w:t xml:space="preserve">               </w:t>
      </w:r>
    </w:p>
    <w:p>
      <w:pPr>
        <w:widowControl/>
        <w:adjustRightInd w:val="0"/>
        <w:snapToGrid w:val="0"/>
        <w:spacing w:before="156" w:beforeLines="50" w:line="360" w:lineRule="auto"/>
        <w:ind w:firstLine="420" w:firstLineChars="200"/>
        <w:jc w:val="left"/>
        <w:rPr>
          <w:color w:val="auto"/>
          <w:szCs w:val="21"/>
        </w:rPr>
      </w:pPr>
      <w:r>
        <w:rPr>
          <w:rFonts w:hint="eastAsia" w:ascii="宋体" w:hAnsi="宋体"/>
          <w:color w:val="auto"/>
          <w:szCs w:val="21"/>
        </w:rPr>
        <w:t>九、</w:t>
      </w:r>
      <w:r>
        <w:rPr>
          <w:rFonts w:asciiTheme="minorEastAsia" w:hAnsiTheme="minorEastAsia" w:eastAsiaTheme="minorEastAsia"/>
          <w:color w:val="auto"/>
          <w:szCs w:val="21"/>
        </w:rPr>
        <w:t>我</w:t>
      </w:r>
      <w:r>
        <w:rPr>
          <w:rFonts w:hint="eastAsia" w:asciiTheme="minorEastAsia" w:hAnsiTheme="minorEastAsia" w:eastAsiaTheme="minorEastAsia"/>
          <w:color w:val="auto"/>
          <w:szCs w:val="21"/>
        </w:rPr>
        <w:t>单位</w:t>
      </w:r>
      <w:r>
        <w:rPr>
          <w:rFonts w:asciiTheme="minorEastAsia" w:hAnsiTheme="minorEastAsia" w:eastAsiaTheme="minorEastAsia"/>
          <w:color w:val="auto"/>
          <w:szCs w:val="21"/>
        </w:rPr>
        <w:t>不属于为本项目提供整体设计、规范编制或者项目管理、监理、检测等服务的投标人。</w:t>
      </w:r>
    </w:p>
    <w:p>
      <w:pPr>
        <w:widowControl/>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十、</w:t>
      </w:r>
      <w:r>
        <w:rPr>
          <w:rFonts w:asciiTheme="minorEastAsia" w:hAnsiTheme="minorEastAsia" w:eastAsiaTheme="minorEastAsia"/>
          <w:color w:val="auto"/>
          <w:szCs w:val="21"/>
        </w:rPr>
        <w:t>我单位无以下不良信用记录情形：</w:t>
      </w:r>
    </w:p>
    <w:p>
      <w:pPr>
        <w:widowControl/>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1、在“信用中国”、“信用湖南”、“信用郴州”网站被列入失信被执行人和重大税收违法案件当事人名单；</w:t>
      </w:r>
    </w:p>
    <w:p>
      <w:pPr>
        <w:widowControl/>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2、在“中国政府采购网”、“湖南省政府采购网”网站被列入政府采购严重违法失信行为记录名单；</w:t>
      </w:r>
    </w:p>
    <w:p>
      <w:pPr>
        <w:widowControl/>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asciiTheme="minorEastAsia" w:hAnsiTheme="minorEastAsia" w:eastAsiaTheme="minorEastAsia"/>
          <w:color w:val="auto"/>
          <w:szCs w:val="21"/>
        </w:rPr>
        <w:t>3</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不符合《政府采购法》第二十二条规定的条件。</w:t>
      </w:r>
    </w:p>
    <w:p>
      <w:pPr>
        <w:widowControl/>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我单位保证上述声明的事项都是真实的，如有虚假，我单位愿意承担相应的法律责任，并承担因此所造成的一切损失。</w:t>
      </w:r>
    </w:p>
    <w:p>
      <w:pPr>
        <w:widowControl/>
        <w:adjustRightInd w:val="0"/>
        <w:snapToGrid w:val="0"/>
        <w:spacing w:before="156" w:beforeLines="50" w:line="360" w:lineRule="auto"/>
        <w:jc w:val="left"/>
        <w:rPr>
          <w:rFonts w:ascii="宋体" w:hAnsi="宋体" w:cs="宋体"/>
          <w:color w:val="auto"/>
          <w:szCs w:val="21"/>
        </w:rPr>
      </w:pPr>
    </w:p>
    <w:p>
      <w:pPr>
        <w:widowControl/>
        <w:adjustRightInd w:val="0"/>
        <w:snapToGrid w:val="0"/>
        <w:spacing w:before="156" w:beforeLines="50" w:line="360" w:lineRule="auto"/>
        <w:jc w:val="left"/>
        <w:rPr>
          <w:rFonts w:ascii="宋体" w:hAnsi="宋体" w:cs="宋体"/>
          <w:color w:val="auto"/>
          <w:szCs w:val="21"/>
        </w:rPr>
      </w:pPr>
      <w:r>
        <w:rPr>
          <w:rFonts w:hint="eastAsia" w:cs="宋体" w:asciiTheme="minorEastAsia" w:hAnsiTheme="minorEastAsia" w:eastAsiaTheme="minorEastAsia"/>
          <w:color w:val="auto"/>
          <w:szCs w:val="21"/>
        </w:rPr>
        <w:t>注：第三条“良好的商业信誉”是指投标人经营状况良好，无本资格声明第十条情形。</w:t>
      </w:r>
    </w:p>
    <w:p>
      <w:pPr>
        <w:widowControl/>
        <w:adjustRightInd w:val="0"/>
        <w:snapToGrid w:val="0"/>
        <w:spacing w:before="156" w:beforeLines="50" w:line="360" w:lineRule="auto"/>
        <w:jc w:val="left"/>
        <w:rPr>
          <w:rFonts w:ascii="宋体" w:hAnsi="宋体" w:cs="宋体"/>
          <w:color w:val="auto"/>
          <w:szCs w:val="21"/>
        </w:rPr>
      </w:pPr>
    </w:p>
    <w:p>
      <w:pPr>
        <w:widowControl/>
        <w:adjustRightInd w:val="0"/>
        <w:snapToGrid w:val="0"/>
        <w:spacing w:line="360" w:lineRule="auto"/>
        <w:jc w:val="left"/>
        <w:rPr>
          <w:rFonts w:ascii="宋体" w:hAnsi="宋体" w:cs="宋体"/>
          <w:color w:val="auto"/>
          <w:kern w:val="0"/>
          <w:szCs w:val="21"/>
        </w:rPr>
      </w:pPr>
      <w:r>
        <w:rPr>
          <w:rFonts w:hint="eastAsia" w:ascii="宋体" w:hAnsi="宋体" w:cs="宋体"/>
          <w:color w:val="auto"/>
          <w:szCs w:val="21"/>
        </w:rPr>
        <w:t>投标人名称（盖单位电子公章）：</w:t>
      </w:r>
    </w:p>
    <w:p>
      <w:pPr>
        <w:widowControl/>
        <w:adjustRightInd w:val="0"/>
        <w:snapToGrid w:val="0"/>
        <w:spacing w:line="360" w:lineRule="auto"/>
        <w:jc w:val="left"/>
        <w:rPr>
          <w:rFonts w:hint="eastAsia" w:ascii="宋体" w:hAnsi="宋体" w:cs="宋体" w:eastAsiaTheme="minorEastAsia"/>
          <w:b/>
          <w:bCs/>
          <w:color w:val="auto"/>
          <w:kern w:val="0"/>
          <w:sz w:val="44"/>
          <w:szCs w:val="44"/>
          <w:lang w:eastAsia="zh-CN"/>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rPr>
        <w:t>或委托代理人：</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lang w:eastAsia="zh-CN"/>
        </w:rPr>
        <w:t>（签字或签章）</w:t>
      </w:r>
    </w:p>
    <w:p>
      <w:pPr>
        <w:widowControl/>
        <w:adjustRightInd w:val="0"/>
        <w:snapToGrid w:val="0"/>
        <w:spacing w:line="360" w:lineRule="auto"/>
        <w:jc w:val="left"/>
        <w:rPr>
          <w:rFonts w:cs="宋体" w:asciiTheme="minorEastAsia" w:hAnsiTheme="minorEastAsia" w:eastAsiaTheme="minorEastAsia"/>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pPr>
        <w:widowControl/>
        <w:jc w:val="left"/>
        <w:rPr>
          <w:rFonts w:ascii="黑体" w:hAnsi="仿宋" w:eastAsia="黑体" w:cs="宋体"/>
          <w:bCs/>
          <w:color w:val="auto"/>
          <w:szCs w:val="21"/>
        </w:rPr>
      </w:pPr>
      <w:r>
        <w:rPr>
          <w:rFonts w:ascii="黑体" w:hAnsi="仿宋" w:cs="宋体"/>
          <w:b/>
          <w:color w:val="auto"/>
          <w:szCs w:val="21"/>
        </w:rPr>
        <w:br w:type="page"/>
      </w:r>
    </w:p>
    <w:p>
      <w:pPr>
        <w:pStyle w:val="7"/>
        <w:rPr>
          <w:rFonts w:ascii="黑体" w:hAnsi="仿宋" w:cs="宋体"/>
          <w:b w:val="0"/>
          <w:color w:val="auto"/>
          <w:sz w:val="21"/>
          <w:szCs w:val="21"/>
        </w:rPr>
      </w:pPr>
      <w:bookmarkStart w:id="121" w:name="_Toc26357"/>
      <w:bookmarkStart w:id="122" w:name="_Toc29913958"/>
      <w:r>
        <w:rPr>
          <w:rFonts w:hint="eastAsia" w:ascii="黑体" w:hAnsi="仿宋" w:cs="宋体"/>
          <w:b w:val="0"/>
          <w:color w:val="auto"/>
          <w:sz w:val="21"/>
          <w:szCs w:val="21"/>
        </w:rPr>
        <w:t>附件4-3 符合特定资格条件证明材料复印件或者情况说明</w:t>
      </w:r>
      <w:bookmarkEnd w:id="121"/>
      <w:bookmarkEnd w:id="122"/>
    </w:p>
    <w:p>
      <w:pPr>
        <w:widowControl/>
        <w:adjustRightInd w:val="0"/>
        <w:snapToGrid w:val="0"/>
        <w:spacing w:line="360" w:lineRule="auto"/>
        <w:jc w:val="center"/>
        <w:rPr>
          <w:rFonts w:ascii="黑体" w:hAnsi="仿宋" w:eastAsia="黑体" w:cs="宋体"/>
          <w:b/>
          <w:color w:val="auto"/>
          <w:sz w:val="28"/>
          <w:szCs w:val="28"/>
        </w:rPr>
      </w:pPr>
      <w:r>
        <w:rPr>
          <w:rFonts w:hint="eastAsia" w:ascii="黑体" w:hAnsi="仿宋" w:eastAsia="黑体" w:cs="宋体"/>
          <w:b/>
          <w:color w:val="auto"/>
          <w:sz w:val="28"/>
          <w:szCs w:val="28"/>
        </w:rPr>
        <w:t>符合特定资格条件证明材料复印件或者情况说明</w:t>
      </w:r>
    </w:p>
    <w:p>
      <w:pPr>
        <w:widowControl/>
        <w:adjustRightInd w:val="0"/>
        <w:snapToGrid w:val="0"/>
        <w:spacing w:line="360" w:lineRule="auto"/>
        <w:ind w:firstLine="560" w:firstLineChars="200"/>
        <w:jc w:val="left"/>
        <w:rPr>
          <w:rFonts w:ascii="黑体" w:hAnsi="仿宋" w:eastAsia="黑体" w:cs="宋体"/>
          <w:color w:val="auto"/>
          <w:sz w:val="28"/>
          <w:szCs w:val="28"/>
        </w:rPr>
      </w:pPr>
    </w:p>
    <w:p>
      <w:pPr>
        <w:widowControl/>
        <w:adjustRightInd w:val="0"/>
        <w:snapToGrid w:val="0"/>
        <w:spacing w:line="360" w:lineRule="auto"/>
        <w:ind w:firstLine="420" w:firstLineChars="200"/>
        <w:jc w:val="left"/>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注：按第二章第</w:t>
      </w:r>
      <w:r>
        <w:rPr>
          <w:rFonts w:cs="宋体" w:asciiTheme="minorEastAsia" w:hAnsiTheme="minorEastAsia" w:eastAsiaTheme="minorEastAsia"/>
          <w:color w:val="auto"/>
          <w:szCs w:val="21"/>
        </w:rPr>
        <w:t>1</w:t>
      </w:r>
      <w:r>
        <w:rPr>
          <w:rFonts w:hint="eastAsia" w:cs="宋体" w:asciiTheme="minorEastAsia" w:hAnsiTheme="minorEastAsia" w:eastAsiaTheme="minorEastAsia"/>
          <w:color w:val="auto"/>
          <w:szCs w:val="21"/>
        </w:rPr>
        <w:t>4</w:t>
      </w:r>
      <w:r>
        <w:rPr>
          <w:rFonts w:cs="宋体" w:asciiTheme="minorEastAsia" w:hAnsiTheme="minorEastAsia" w:eastAsiaTheme="minorEastAsia"/>
          <w:color w:val="auto"/>
          <w:szCs w:val="21"/>
        </w:rPr>
        <w:t>.1</w:t>
      </w:r>
      <w:r>
        <w:rPr>
          <w:rFonts w:hint="eastAsia" w:cs="宋体" w:asciiTheme="minorEastAsia" w:hAnsiTheme="minorEastAsia" w:eastAsiaTheme="minorEastAsia"/>
          <w:color w:val="auto"/>
          <w:szCs w:val="21"/>
        </w:rPr>
        <w:t>（3）项要求提供。</w:t>
      </w:r>
    </w:p>
    <w:p>
      <w:pPr>
        <w:widowControl/>
        <w:jc w:val="left"/>
        <w:rPr>
          <w:rFonts w:ascii="黑体" w:hAnsi="仿宋" w:eastAsia="黑体" w:cs="宋体"/>
          <w:color w:val="auto"/>
          <w:szCs w:val="21"/>
        </w:rPr>
      </w:pPr>
      <w:r>
        <w:rPr>
          <w:rFonts w:ascii="黑体" w:hAnsi="仿宋" w:eastAsia="黑体" w:cs="宋体"/>
          <w:color w:val="auto"/>
          <w:szCs w:val="21"/>
        </w:rPr>
        <w:br w:type="page"/>
      </w:r>
    </w:p>
    <w:p>
      <w:pPr>
        <w:pStyle w:val="7"/>
        <w:rPr>
          <w:rFonts w:ascii="黑体" w:cs="宋体" w:hAnsiTheme="minorEastAsia"/>
          <w:b w:val="0"/>
          <w:color w:val="auto"/>
          <w:kern w:val="0"/>
          <w:sz w:val="21"/>
          <w:szCs w:val="21"/>
        </w:rPr>
      </w:pPr>
      <w:bookmarkStart w:id="123" w:name="_Toc14000"/>
      <w:bookmarkStart w:id="124" w:name="_Toc29913959"/>
      <w:r>
        <w:rPr>
          <w:rFonts w:hint="eastAsia" w:ascii="黑体" w:hAnsi="仿宋" w:cs="宋体"/>
          <w:b w:val="0"/>
          <w:color w:val="auto"/>
          <w:sz w:val="21"/>
          <w:szCs w:val="21"/>
        </w:rPr>
        <w:t>附件4-4 联合体协议书（格式）</w:t>
      </w:r>
      <w:bookmarkEnd w:id="123"/>
      <w:bookmarkEnd w:id="124"/>
    </w:p>
    <w:p>
      <w:pPr>
        <w:adjustRightInd w:val="0"/>
        <w:snapToGrid w:val="0"/>
        <w:spacing w:line="360" w:lineRule="auto"/>
        <w:jc w:val="center"/>
        <w:rPr>
          <w:rFonts w:asciiTheme="minorEastAsia" w:hAnsiTheme="minorEastAsia" w:eastAsiaTheme="minorEastAsia"/>
          <w:b/>
          <w:color w:val="auto"/>
          <w:szCs w:val="21"/>
        </w:rPr>
      </w:pPr>
      <w:r>
        <w:rPr>
          <w:rFonts w:hint="eastAsia" w:ascii="黑体" w:hAnsi="仿宋" w:eastAsia="黑体" w:cs="宋体"/>
          <w:b/>
          <w:color w:val="auto"/>
          <w:sz w:val="28"/>
          <w:szCs w:val="28"/>
        </w:rPr>
        <w:t>联合体协议书（格式）</w:t>
      </w:r>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（采购人、采购代理机构）：</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经研究，我们决定自愿组成联合体共同参加</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（项目名称</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（采购代理编号：</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）项目的投标。现就联合体投标事宜订立如下协议：</w:t>
      </w:r>
    </w:p>
    <w:p>
      <w:pPr>
        <w:adjustRightInd w:val="0"/>
        <w:snapToGrid w:val="0"/>
        <w:spacing w:line="360" w:lineRule="auto"/>
        <w:ind w:firstLine="420" w:firstLineChars="2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一、联合体基本信息：</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（各方公司名称、地址、注册资金、营业执照、</w:t>
      </w: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姓名）</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二、</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（某成员单位名称）为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（联合体名称）牵头人。</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四．联合体将严格按照招标文件的各项要求，递交投标文件，参加投标，履行中标义务和中标后的合同，并向采购人承担连带责任。</w:t>
      </w:r>
    </w:p>
    <w:p>
      <w:pPr>
        <w:adjustRightInd w:val="0"/>
        <w:snapToGrid w:val="0"/>
        <w:spacing w:line="360" w:lineRule="auto"/>
        <w:ind w:firstLine="420" w:firstLineChars="2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五、联合体各成员单位内部的职责分工如下：</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。按照本条上述分工，联合体各成员的协议合同金额占联合体协议合同总金额比例如下：</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六、本协议书自签署之日起生效，合同履行完毕后自动失效。</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七、本协议书一式</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份，联合体成员和采购人各执一份。</w:t>
      </w:r>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牵头人名称（盖单位电子章）：</w:t>
      </w:r>
    </w:p>
    <w:p>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或其委托代理人</w:t>
      </w:r>
      <w:r>
        <w:rPr>
          <w:rFonts w:hint="eastAsia" w:asciiTheme="minorEastAsia" w:hAnsiTheme="minorEastAsia" w:eastAsiaTheme="minorEastAsia"/>
          <w:color w:val="auto"/>
          <w:szCs w:val="21"/>
          <w:lang w:eastAsia="zh-CN"/>
        </w:rPr>
        <w:t>（签字或签章）</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u w:val="single"/>
        </w:rPr>
        <w:t xml:space="preserve">                          </w:t>
      </w:r>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成员1名称（盖单位电子章）：</w:t>
      </w:r>
    </w:p>
    <w:p>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或其委托代理人</w:t>
      </w:r>
      <w:r>
        <w:rPr>
          <w:rFonts w:hint="eastAsia" w:asciiTheme="minorEastAsia" w:hAnsiTheme="minorEastAsia" w:eastAsiaTheme="minorEastAsia"/>
          <w:color w:val="auto"/>
          <w:szCs w:val="21"/>
          <w:lang w:eastAsia="zh-CN"/>
        </w:rPr>
        <w:t>（签字或签章）</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u w:val="single"/>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成员2名称（盖单位电子章）：</w:t>
      </w:r>
    </w:p>
    <w:p>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或其委托代理人</w:t>
      </w:r>
      <w:r>
        <w:rPr>
          <w:rFonts w:hint="eastAsia" w:asciiTheme="minorEastAsia" w:hAnsiTheme="minorEastAsia" w:eastAsiaTheme="minorEastAsia"/>
          <w:color w:val="auto"/>
          <w:szCs w:val="21"/>
          <w:lang w:eastAsia="zh-CN"/>
        </w:rPr>
        <w:t>（签字或签章）</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u w:val="single"/>
        </w:rPr>
        <w:t xml:space="preserve">                          </w:t>
      </w:r>
    </w:p>
    <w:p>
      <w:pPr>
        <w:adjustRightInd w:val="0"/>
        <w:snapToGrid w:val="0"/>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日  </w:t>
      </w:r>
    </w:p>
    <w:p>
      <w:pPr>
        <w:widowControl/>
        <w:adjustRightInd w:val="0"/>
        <w:snapToGrid w:val="0"/>
        <w:spacing w:line="360" w:lineRule="auto"/>
        <w:ind w:firstLine="422" w:firstLineChars="200"/>
        <w:jc w:val="left"/>
        <w:rPr>
          <w:rFonts w:asciiTheme="minorEastAsia" w:hAnsiTheme="minorEastAsia" w:eastAsiaTheme="minorEastAsia"/>
          <w:color w:val="auto"/>
          <w:szCs w:val="21"/>
        </w:rPr>
      </w:pPr>
      <w:r>
        <w:rPr>
          <w:rFonts w:hint="eastAsia" w:asciiTheme="minorEastAsia" w:hAnsiTheme="minorEastAsia" w:eastAsiaTheme="minorEastAsia"/>
          <w:b/>
          <w:color w:val="auto"/>
          <w:szCs w:val="21"/>
        </w:rPr>
        <w:t>注</w:t>
      </w:r>
      <w:r>
        <w:rPr>
          <w:rFonts w:hint="eastAsia" w:asciiTheme="minorEastAsia" w:hAnsiTheme="minorEastAsia" w:eastAsiaTheme="minorEastAsia"/>
          <w:color w:val="auto"/>
          <w:szCs w:val="21"/>
        </w:rPr>
        <w:t>：1、本协议书由委托代理人签字的，应附法定代表人（单位负责人）授权委托书。</w:t>
      </w:r>
    </w:p>
    <w:p>
      <w:pPr>
        <w:widowControl/>
        <w:adjustRightInd w:val="0"/>
        <w:snapToGrid w:val="0"/>
        <w:spacing w:line="360" w:lineRule="auto"/>
        <w:ind w:firstLine="420" w:firstLineChars="200"/>
        <w:jc w:val="left"/>
        <w:rPr>
          <w:rFonts w:ascii="黑体" w:eastAsia="黑体"/>
          <w:color w:val="auto"/>
          <w:sz w:val="32"/>
          <w:szCs w:val="32"/>
        </w:rPr>
      </w:pPr>
      <w:r>
        <w:rPr>
          <w:rFonts w:hint="eastAsia" w:asciiTheme="minorEastAsia" w:hAnsiTheme="minorEastAsia" w:eastAsiaTheme="minorEastAsia"/>
          <w:color w:val="auto"/>
          <w:szCs w:val="21"/>
        </w:rPr>
        <w:t>2、投标人在提交投标文件的截止时间前修改“开标一览表”中的投标报价，影响本协议书第五条的，应同时修改本协议书第五条。否则，评审时价格评审优惠不予以考虑。</w:t>
      </w:r>
      <w:r>
        <w:rPr>
          <w:rFonts w:ascii="宋体" w:hAnsi="宋体"/>
          <w:color w:val="auto"/>
          <w:szCs w:val="21"/>
        </w:rPr>
        <w:br w:type="page"/>
      </w:r>
    </w:p>
    <w:p>
      <w:pPr>
        <w:adjustRightInd w:val="0"/>
        <w:snapToGrid w:val="0"/>
        <w:spacing w:line="360" w:lineRule="auto"/>
        <w:jc w:val="center"/>
        <w:rPr>
          <w:rFonts w:ascii="黑体" w:eastAsia="黑体"/>
          <w:color w:val="auto"/>
          <w:sz w:val="32"/>
          <w:szCs w:val="32"/>
        </w:rPr>
      </w:pPr>
    </w:p>
    <w:p>
      <w:pPr>
        <w:adjustRightInd w:val="0"/>
        <w:snapToGrid w:val="0"/>
        <w:spacing w:line="360" w:lineRule="auto"/>
        <w:jc w:val="center"/>
        <w:rPr>
          <w:rFonts w:ascii="黑体" w:eastAsia="黑体"/>
          <w:color w:val="auto"/>
          <w:sz w:val="32"/>
          <w:szCs w:val="32"/>
        </w:rPr>
      </w:pPr>
    </w:p>
    <w:p>
      <w:pPr>
        <w:pStyle w:val="24"/>
        <w:adjustRightInd w:val="0"/>
        <w:snapToGrid w:val="0"/>
        <w:spacing w:line="360" w:lineRule="auto"/>
        <w:jc w:val="center"/>
        <w:rPr>
          <w:rFonts w:ascii="华文中宋" w:hAnsi="华文中宋" w:eastAsia="华文中宋"/>
          <w:bCs/>
          <w:color w:val="auto"/>
          <w:sz w:val="72"/>
          <w:szCs w:val="72"/>
        </w:rPr>
      </w:pPr>
      <w:r>
        <w:rPr>
          <w:rFonts w:hint="eastAsia" w:ascii="华文中宋" w:hAnsi="华文中宋" w:eastAsia="华文中宋"/>
          <w:bCs/>
          <w:color w:val="auto"/>
          <w:sz w:val="72"/>
          <w:szCs w:val="72"/>
        </w:rPr>
        <w:t>政府采购</w:t>
      </w:r>
    </w:p>
    <w:p>
      <w:pPr>
        <w:adjustRightInd w:val="0"/>
        <w:snapToGrid w:val="0"/>
        <w:spacing w:line="360" w:lineRule="auto"/>
        <w:jc w:val="center"/>
        <w:rPr>
          <w:rFonts w:asciiTheme="minorEastAsia" w:hAnsiTheme="minorEastAsia" w:eastAsiaTheme="minorEastAsia"/>
          <w:b/>
          <w:bCs/>
          <w:color w:val="auto"/>
          <w:sz w:val="84"/>
          <w:szCs w:val="84"/>
        </w:rPr>
      </w:pPr>
      <w:r>
        <w:rPr>
          <w:rFonts w:hint="eastAsia" w:asciiTheme="minorEastAsia" w:hAnsiTheme="minorEastAsia" w:eastAsiaTheme="minorEastAsia"/>
          <w:b/>
          <w:bCs/>
          <w:color w:val="auto"/>
          <w:sz w:val="84"/>
          <w:szCs w:val="84"/>
        </w:rPr>
        <w:t>投 标 文 件</w:t>
      </w:r>
    </w:p>
    <w:p>
      <w:pPr>
        <w:pStyle w:val="5"/>
        <w:adjustRightInd w:val="0"/>
        <w:snapToGrid w:val="0"/>
        <w:jc w:val="center"/>
        <w:rPr>
          <w:rFonts w:ascii="黑体" w:hAnsi="黑体" w:eastAsia="黑体"/>
          <w:color w:val="auto"/>
          <w:sz w:val="44"/>
          <w:szCs w:val="44"/>
        </w:rPr>
      </w:pPr>
      <w:bookmarkStart w:id="125" w:name="_Toc1244"/>
      <w:bookmarkStart w:id="126" w:name="_Toc29913960"/>
      <w:r>
        <w:rPr>
          <w:rFonts w:hint="eastAsia" w:ascii="黑体" w:hAnsi="黑体" w:eastAsia="黑体"/>
          <w:color w:val="auto"/>
          <w:sz w:val="44"/>
          <w:szCs w:val="44"/>
        </w:rPr>
        <w:t>第二部分 商务技术文件</w:t>
      </w:r>
      <w:bookmarkEnd w:id="125"/>
      <w:bookmarkEnd w:id="126"/>
    </w:p>
    <w:p>
      <w:pPr>
        <w:adjustRightInd w:val="0"/>
        <w:snapToGrid w:val="0"/>
        <w:spacing w:line="360" w:lineRule="auto"/>
        <w:rPr>
          <w:rFonts w:asciiTheme="minorEastAsia" w:hAnsiTheme="minorEastAsia" w:eastAsiaTheme="minorEastAsia"/>
          <w:color w:val="auto"/>
          <w:sz w:val="32"/>
          <w:szCs w:val="32"/>
        </w:rPr>
      </w:pPr>
    </w:p>
    <w:p>
      <w:pPr>
        <w:pStyle w:val="24"/>
        <w:adjustRightInd w:val="0"/>
        <w:snapToGrid w:val="0"/>
        <w:spacing w:line="360" w:lineRule="auto"/>
        <w:ind w:firstLine="1988" w:firstLineChars="660"/>
        <w:rPr>
          <w:rFonts w:asciiTheme="minorEastAsia" w:hAnsiTheme="minorEastAsia" w:eastAsiaTheme="minorEastAsia"/>
          <w:b/>
          <w:bCs/>
          <w:color w:val="auto"/>
          <w:sz w:val="30"/>
          <w:szCs w:val="30"/>
        </w:rPr>
      </w:pP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采购项目名称:</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rPr>
      </w:pPr>
      <w:r>
        <w:rPr>
          <w:rFonts w:hint="eastAsia" w:asciiTheme="minorEastAsia" w:hAnsiTheme="minorEastAsia" w:eastAsiaTheme="minorEastAsia"/>
          <w:b/>
          <w:bCs/>
          <w:color w:val="auto"/>
          <w:sz w:val="30"/>
          <w:szCs w:val="30"/>
        </w:rPr>
        <w:t>采   购   人：</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政府采购编号:</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采购代理编号:</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采购代理机构：</w:t>
      </w:r>
      <w:r>
        <w:rPr>
          <w:rFonts w:hint="eastAsia" w:asciiTheme="minorEastAsia" w:hAnsiTheme="minorEastAsia" w:eastAsiaTheme="minorEastAsia"/>
          <w:b/>
          <w:bCs/>
          <w:color w:val="auto"/>
          <w:sz w:val="30"/>
          <w:szCs w:val="30"/>
          <w:u w:val="single"/>
        </w:rPr>
        <w:t xml:space="preserve">                     </w:t>
      </w:r>
    </w:p>
    <w:p>
      <w:pPr>
        <w:adjustRightInd w:val="0"/>
        <w:snapToGrid w:val="0"/>
        <w:spacing w:line="360" w:lineRule="auto"/>
        <w:rPr>
          <w:rFonts w:asciiTheme="minorEastAsia" w:hAnsiTheme="minorEastAsia" w:eastAsiaTheme="minorEastAsia"/>
          <w:color w:val="auto"/>
          <w:sz w:val="30"/>
          <w:szCs w:val="30"/>
        </w:rPr>
      </w:pPr>
    </w:p>
    <w:p>
      <w:pPr>
        <w:adjustRightInd w:val="0"/>
        <w:snapToGrid w:val="0"/>
        <w:spacing w:line="360" w:lineRule="auto"/>
        <w:rPr>
          <w:rFonts w:asciiTheme="minorEastAsia" w:hAnsiTheme="minorEastAsia" w:eastAsiaTheme="minorEastAsia"/>
          <w:color w:val="auto"/>
          <w:sz w:val="30"/>
          <w:szCs w:val="30"/>
        </w:rPr>
      </w:pPr>
    </w:p>
    <w:p>
      <w:pPr>
        <w:adjustRightInd w:val="0"/>
        <w:snapToGrid w:val="0"/>
        <w:spacing w:line="360" w:lineRule="auto"/>
        <w:rPr>
          <w:rFonts w:asciiTheme="minorEastAsia" w:hAnsiTheme="minorEastAsia" w:eastAsiaTheme="minorEastAsia"/>
          <w:color w:val="auto"/>
          <w:sz w:val="30"/>
          <w:szCs w:val="30"/>
        </w:rPr>
      </w:pPr>
    </w:p>
    <w:p>
      <w:pPr>
        <w:adjustRightInd w:val="0"/>
        <w:snapToGrid w:val="0"/>
        <w:spacing w:line="360" w:lineRule="auto"/>
        <w:ind w:left="1273" w:leftChars="606" w:firstLine="2"/>
        <w:rPr>
          <w:rFonts w:asciiTheme="minorEastAsia" w:hAnsiTheme="minorEastAsia" w:eastAsiaTheme="minorEastAsia"/>
          <w:color w:val="auto"/>
          <w:sz w:val="32"/>
          <w:szCs w:val="32"/>
          <w:u w:val="single"/>
        </w:rPr>
      </w:pPr>
      <w:r>
        <w:rPr>
          <w:rFonts w:hint="eastAsia" w:asciiTheme="minorEastAsia" w:hAnsiTheme="minorEastAsia" w:eastAsiaTheme="minorEastAsia"/>
          <w:color w:val="auto"/>
          <w:sz w:val="32"/>
          <w:szCs w:val="32"/>
        </w:rPr>
        <w:t>投标人</w:t>
      </w:r>
      <w:r>
        <w:rPr>
          <w:rFonts w:hint="eastAsia" w:asciiTheme="minorEastAsia" w:hAnsiTheme="minorEastAsia" w:eastAsiaTheme="minorEastAsia"/>
          <w:color w:val="auto"/>
          <w:sz w:val="32"/>
          <w:szCs w:val="32"/>
          <w:u w:val="single"/>
        </w:rPr>
        <w:t xml:space="preserve">                         </w:t>
      </w:r>
    </w:p>
    <w:p>
      <w:pPr>
        <w:adjustRightInd w:val="0"/>
        <w:snapToGrid w:val="0"/>
        <w:spacing w:line="360" w:lineRule="auto"/>
        <w:jc w:val="center"/>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年  月  日</w:t>
      </w:r>
    </w:p>
    <w:p>
      <w:pPr>
        <w:rPr>
          <w:color w:val="auto"/>
        </w:rPr>
      </w:pPr>
      <w:bookmarkStart w:id="127" w:name="_Toc29913961"/>
    </w:p>
    <w:p>
      <w:pPr>
        <w:widowControl/>
        <w:jc w:val="left"/>
        <w:rPr>
          <w:rFonts w:ascii="黑体" w:hAnsi="宋体" w:eastAsia="黑体"/>
          <w:b/>
          <w:bCs/>
          <w:color w:val="auto"/>
          <w:sz w:val="28"/>
          <w:szCs w:val="28"/>
        </w:rPr>
      </w:pPr>
      <w:r>
        <w:rPr>
          <w:rFonts w:ascii="黑体" w:hAnsi="宋体" w:eastAsia="黑体"/>
          <w:color w:val="auto"/>
          <w:sz w:val="28"/>
          <w:szCs w:val="28"/>
        </w:rPr>
        <w:br w:type="page"/>
      </w:r>
    </w:p>
    <w:p>
      <w:pPr>
        <w:pStyle w:val="6"/>
        <w:adjustRightInd w:val="0"/>
        <w:snapToGrid w:val="0"/>
        <w:spacing w:before="0" w:after="0" w:line="360" w:lineRule="auto"/>
        <w:jc w:val="center"/>
        <w:rPr>
          <w:rFonts w:ascii="黑体" w:hAnsi="宋体" w:eastAsia="黑体"/>
          <w:color w:val="auto"/>
          <w:sz w:val="28"/>
          <w:szCs w:val="28"/>
        </w:rPr>
      </w:pPr>
      <w:bookmarkStart w:id="128" w:name="_Toc23087"/>
      <w:r>
        <w:rPr>
          <w:rFonts w:hint="eastAsia" w:ascii="黑体" w:hAnsi="宋体" w:eastAsia="黑体"/>
          <w:color w:val="auto"/>
          <w:sz w:val="28"/>
          <w:szCs w:val="28"/>
        </w:rPr>
        <w:t>五</w:t>
      </w:r>
      <w:r>
        <w:rPr>
          <w:rFonts w:ascii="黑体" w:hAnsi="宋体" w:eastAsia="黑体"/>
          <w:color w:val="auto"/>
          <w:sz w:val="28"/>
          <w:szCs w:val="28"/>
        </w:rPr>
        <w:t>、</w:t>
      </w:r>
      <w:r>
        <w:rPr>
          <w:rFonts w:hint="eastAsia" w:ascii="黑体" w:hAnsi="宋体" w:eastAsia="黑体"/>
          <w:color w:val="auto"/>
          <w:sz w:val="28"/>
          <w:szCs w:val="28"/>
        </w:rPr>
        <w:t>投标函</w:t>
      </w:r>
      <w:bookmarkEnd w:id="127"/>
      <w:bookmarkEnd w:id="128"/>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（采购人、采购代理机构）：</w:t>
      </w:r>
    </w:p>
    <w:p>
      <w:pPr>
        <w:adjustRightInd w:val="0"/>
        <w:snapToGrid w:val="0"/>
        <w:spacing w:before="156" w:beforeLines="50" w:line="360" w:lineRule="auto"/>
        <w:ind w:firstLine="435"/>
        <w:rPr>
          <w:rFonts w:asciiTheme="minorEastAsia" w:hAnsiTheme="minorEastAsia" w:eastAsiaTheme="minorEastAsia"/>
          <w:color w:val="auto"/>
          <w:szCs w:val="21"/>
        </w:rPr>
      </w:pPr>
      <w:r>
        <w:rPr>
          <w:rFonts w:hint="eastAsia" w:asciiTheme="minorEastAsia" w:hAnsiTheme="minorEastAsia" w:eastAsiaTheme="minorEastAsia"/>
          <w:color w:val="auto"/>
          <w:szCs w:val="21"/>
        </w:rPr>
        <w:t>根据贵方为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（项目名称）的投标邀请（</w:t>
      </w:r>
      <w:r>
        <w:rPr>
          <w:rFonts w:hint="eastAsia" w:asciiTheme="minorEastAsia" w:hAnsiTheme="minorEastAsia" w:eastAsiaTheme="minorEastAsia"/>
          <w:color w:val="auto"/>
        </w:rPr>
        <w:t>政府</w:t>
      </w:r>
      <w:r>
        <w:rPr>
          <w:rFonts w:hint="eastAsia" w:asciiTheme="minorEastAsia" w:hAnsiTheme="minorEastAsia" w:eastAsiaTheme="minorEastAsia"/>
          <w:iCs/>
          <w:color w:val="auto"/>
        </w:rPr>
        <w:t>采购编号：</w:t>
      </w:r>
      <w:r>
        <w:rPr>
          <w:rFonts w:hint="eastAsia" w:asciiTheme="minorEastAsia" w:hAnsiTheme="minorEastAsia" w:eastAsiaTheme="minorEastAsia"/>
          <w:iCs/>
          <w:color w:val="auto"/>
          <w:u w:val="single"/>
        </w:rPr>
        <w:t xml:space="preserve">      </w:t>
      </w:r>
      <w:r>
        <w:rPr>
          <w:rFonts w:hint="eastAsia" w:asciiTheme="minorEastAsia" w:hAnsiTheme="minorEastAsia" w:eastAsiaTheme="minorEastAsia"/>
          <w:iCs/>
          <w:color w:val="auto"/>
        </w:rPr>
        <w:t xml:space="preserve"> ，</w:t>
      </w:r>
      <w:r>
        <w:rPr>
          <w:rFonts w:hint="eastAsia" w:asciiTheme="minorEastAsia" w:hAnsiTheme="minorEastAsia" w:eastAsiaTheme="minorEastAsia"/>
          <w:color w:val="auto"/>
          <w:szCs w:val="21"/>
        </w:rPr>
        <w:t>采购代理编号：</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），签字代表 </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（姓名、职务）经正式授权并代表投标人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（投标人名称）</w:t>
      </w:r>
      <w:r>
        <w:rPr>
          <w:rFonts w:hint="eastAsia" w:asciiTheme="minorEastAsia" w:hAnsiTheme="minorEastAsia" w:eastAsiaTheme="minorEastAsia"/>
          <w:color w:val="auto"/>
          <w:szCs w:val="21"/>
          <w:highlight w:val="yellow"/>
        </w:rPr>
        <w:t>提交包含下述内容的电子投标文件一份至郴州市公共资源交易中心政府采购交易系统，参加</w:t>
      </w:r>
      <w:r>
        <w:rPr>
          <w:rFonts w:hint="eastAsia" w:asciiTheme="minorEastAsia" w:hAnsiTheme="minorEastAsia" w:eastAsiaTheme="minorEastAsia"/>
          <w:color w:val="auto"/>
          <w:szCs w:val="21"/>
          <w:highlight w:val="yellow"/>
          <w:u w:val="single"/>
        </w:rPr>
        <w:t xml:space="preserve">          </w:t>
      </w:r>
      <w:r>
        <w:rPr>
          <w:rFonts w:hint="eastAsia" w:asciiTheme="minorEastAsia" w:hAnsiTheme="minorEastAsia" w:eastAsiaTheme="minorEastAsia"/>
          <w:color w:val="auto"/>
          <w:szCs w:val="21"/>
          <w:highlight w:val="yellow"/>
        </w:rPr>
        <w:t>项目第</w:t>
      </w:r>
      <w:r>
        <w:rPr>
          <w:rFonts w:hint="eastAsia" w:asciiTheme="minorEastAsia" w:hAnsiTheme="minorEastAsia" w:eastAsiaTheme="minorEastAsia"/>
          <w:color w:val="auto"/>
          <w:szCs w:val="21"/>
          <w:highlight w:val="yellow"/>
          <w:u w:val="single"/>
        </w:rPr>
        <w:t xml:space="preserve">   </w:t>
      </w:r>
      <w:r>
        <w:rPr>
          <w:rFonts w:hint="eastAsia" w:asciiTheme="minorEastAsia" w:hAnsiTheme="minorEastAsia" w:eastAsiaTheme="minorEastAsia"/>
          <w:color w:val="auto"/>
          <w:szCs w:val="21"/>
          <w:highlight w:val="yellow"/>
        </w:rPr>
        <w:t>包投标，并在此声明，所递交的投标文件内容合法、完整、真实。</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第一部分 资格证明文件</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一、开标一览表</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二</w:t>
      </w:r>
      <w:r>
        <w:rPr>
          <w:rFonts w:hint="eastAsia" w:asciiTheme="minorEastAsia" w:hAnsiTheme="minorEastAsia" w:eastAsiaTheme="minorEastAsia"/>
          <w:color w:val="auto"/>
          <w:szCs w:val="21"/>
        </w:rPr>
        <w:t>、法定代表人（单位负责人）身份证明或授权委托书</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三、投标人提供的资格证明文件</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第二部分 商务技术文件</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四、投标函</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五、分项报价</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六、采购需求响应</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七、合同条款偏离表</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八、采购需求偏离表</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九、享受政府采购政策优惠的证明资料</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十、投标货物符合招标文件规定的证明文件十二、投标人认为需提供的其他资料</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在此，签字代表宣布同意如下：</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1、投标人严格按照招标文件的规定报价，见《开标一览表》。</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2、投标人将按招标文件的规定履行合同责任和义务。</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3、投标人已详细审查招标文件。我们完全理解并同意放弃对这方面有不明及误解的权力。</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szCs w:val="21"/>
        </w:rPr>
        <w:t>4、本投标有效期为自招标文件规定的提交投标文件截止之日起</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个日历日。在投标有效期内，</w:t>
      </w:r>
      <w:r>
        <w:rPr>
          <w:rFonts w:hint="eastAsia" w:asciiTheme="minorEastAsia" w:hAnsiTheme="minorEastAsia" w:eastAsiaTheme="minorEastAsia"/>
          <w:color w:val="auto"/>
        </w:rPr>
        <w:t>投标人同意遵守本</w:t>
      </w:r>
      <w:r>
        <w:rPr>
          <w:rFonts w:hint="eastAsia" w:asciiTheme="minorEastAsia" w:hAnsiTheme="minorEastAsia" w:eastAsiaTheme="minorEastAsia"/>
          <w:color w:val="auto"/>
          <w:szCs w:val="21"/>
        </w:rPr>
        <w:t>投标</w:t>
      </w:r>
      <w:r>
        <w:rPr>
          <w:rFonts w:hint="eastAsia" w:asciiTheme="minorEastAsia" w:hAnsiTheme="minorEastAsia" w:eastAsiaTheme="minorEastAsia"/>
          <w:color w:val="auto"/>
        </w:rPr>
        <w:t>文件中的承诺且在此期限期满之前</w:t>
      </w:r>
      <w:r>
        <w:rPr>
          <w:rFonts w:hint="eastAsia" w:asciiTheme="minorEastAsia" w:hAnsiTheme="minorEastAsia" w:eastAsiaTheme="minorEastAsia"/>
          <w:color w:val="auto"/>
          <w:szCs w:val="21"/>
        </w:rPr>
        <w:t>投标</w:t>
      </w:r>
      <w:r>
        <w:rPr>
          <w:rFonts w:hint="eastAsia" w:asciiTheme="minorEastAsia" w:hAnsiTheme="minorEastAsia" w:eastAsiaTheme="minorEastAsia"/>
          <w:color w:val="auto"/>
        </w:rPr>
        <w:t>文件</w:t>
      </w:r>
      <w:r>
        <w:rPr>
          <w:rFonts w:hint="eastAsia" w:asciiTheme="minorEastAsia" w:hAnsiTheme="minorEastAsia" w:eastAsiaTheme="minorEastAsia"/>
          <w:color w:val="auto"/>
          <w:szCs w:val="21"/>
        </w:rPr>
        <w:t>对我方具有法律约束力</w:t>
      </w:r>
      <w:r>
        <w:rPr>
          <w:rFonts w:hint="eastAsia" w:asciiTheme="minorEastAsia" w:hAnsiTheme="minorEastAsia" w:eastAsiaTheme="minorEastAsia"/>
          <w:color w:val="auto"/>
        </w:rPr>
        <w:t>。</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5、</w:t>
      </w:r>
      <w:r>
        <w:rPr>
          <w:rFonts w:hint="eastAsia" w:asciiTheme="minorEastAsia" w:hAnsiTheme="minorEastAsia" w:eastAsiaTheme="minorEastAsia"/>
          <w:color w:val="auto"/>
          <w:szCs w:val="21"/>
        </w:rPr>
        <w:t>同意提供贵方可能要求的与其投标有关的一切数据或资料。</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6、与本投标有关的一切正式往来信函请寄：</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地址：</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；邮编：</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；电话：</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；电子邮箱：</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p>
    <w:p>
      <w:pPr>
        <w:pStyle w:val="24"/>
        <w:adjustRightInd w:val="0"/>
        <w:snapToGrid w:val="0"/>
        <w:spacing w:before="156" w:beforeLines="50" w:line="360" w:lineRule="auto"/>
        <w:rPr>
          <w:rFonts w:asciiTheme="minorEastAsia" w:hAnsiTheme="minorEastAsia" w:eastAsiaTheme="minorEastAsia"/>
          <w:color w:val="auto"/>
        </w:rPr>
      </w:pPr>
    </w:p>
    <w:p>
      <w:pPr>
        <w:pStyle w:val="24"/>
        <w:adjustRightInd w:val="0"/>
        <w:snapToGrid w:val="0"/>
        <w:spacing w:before="156" w:beforeLines="50"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投标人名称（盖单位电子章）：                       </w:t>
      </w:r>
    </w:p>
    <w:p>
      <w:pPr>
        <w:adjustRightInd w:val="0"/>
        <w:snapToGrid w:val="0"/>
        <w:spacing w:before="156" w:beforeLines="50" w:line="360" w:lineRule="auto"/>
        <w:rPr>
          <w:rFonts w:asciiTheme="minorEastAsia" w:hAnsiTheme="minorEastAsia" w:eastAsiaTheme="minorEastAsia"/>
          <w:color w:val="auto"/>
          <w:szCs w:val="21"/>
          <w:u w:val="single"/>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或其授权的代理人</w:t>
      </w:r>
      <w:r>
        <w:rPr>
          <w:rFonts w:hint="eastAsia" w:asciiTheme="minorEastAsia" w:hAnsiTheme="minorEastAsia" w:eastAsiaTheme="minorEastAsia"/>
          <w:color w:val="auto"/>
          <w:szCs w:val="21"/>
          <w:lang w:eastAsia="zh-CN"/>
        </w:rPr>
        <w:t>（签字或签章）</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rPr>
          <w:rFonts w:ascii="黑体" w:hAnsi="宋体" w:eastAsia="黑体"/>
          <w:b/>
          <w:bCs/>
          <w:color w:val="auto"/>
          <w:sz w:val="28"/>
          <w:szCs w:val="28"/>
        </w:rPr>
      </w:pPr>
      <w:r>
        <w:rPr>
          <w:rFonts w:hint="eastAsia" w:asciiTheme="minorEastAsia" w:hAnsiTheme="minorEastAsia" w:eastAsiaTheme="minorEastAsia"/>
          <w:color w:val="auto"/>
          <w:szCs w:val="21"/>
        </w:rPr>
        <w:t>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w:t>
      </w:r>
      <w:r>
        <w:rPr>
          <w:rFonts w:ascii="黑体" w:hAnsi="宋体" w:eastAsia="黑体"/>
          <w:b/>
          <w:bCs/>
          <w:color w:val="auto"/>
          <w:sz w:val="28"/>
          <w:szCs w:val="28"/>
        </w:rPr>
        <w:br w:type="page"/>
      </w:r>
    </w:p>
    <w:p>
      <w:pPr>
        <w:pStyle w:val="6"/>
        <w:adjustRightInd w:val="0"/>
        <w:snapToGrid w:val="0"/>
        <w:spacing w:before="0" w:after="0" w:line="360" w:lineRule="auto"/>
        <w:jc w:val="center"/>
        <w:rPr>
          <w:rFonts w:ascii="黑体" w:hAnsi="宋体" w:eastAsia="黑体"/>
          <w:color w:val="auto"/>
          <w:sz w:val="28"/>
          <w:szCs w:val="28"/>
        </w:rPr>
      </w:pPr>
      <w:bookmarkStart w:id="129" w:name="_Toc29913962"/>
      <w:bookmarkStart w:id="130" w:name="_Toc29407"/>
      <w:r>
        <w:rPr>
          <w:rFonts w:hint="eastAsia" w:ascii="黑体" w:hAnsi="宋体" w:eastAsia="黑体"/>
          <w:color w:val="auto"/>
          <w:sz w:val="28"/>
          <w:szCs w:val="28"/>
        </w:rPr>
        <w:t>六、分项报价</w:t>
      </w:r>
      <w:bookmarkEnd w:id="129"/>
      <w:bookmarkEnd w:id="130"/>
    </w:p>
    <w:p>
      <w:pPr>
        <w:pStyle w:val="7"/>
        <w:jc w:val="left"/>
        <w:rPr>
          <w:rFonts w:ascii="黑体" w:cs="微软雅黑" w:hAnsiTheme="minorEastAsia"/>
          <w:b w:val="0"/>
          <w:color w:val="auto"/>
          <w:kern w:val="0"/>
          <w:sz w:val="21"/>
          <w:szCs w:val="21"/>
        </w:rPr>
      </w:pPr>
      <w:bookmarkStart w:id="131" w:name="_Toc5706"/>
      <w:bookmarkStart w:id="132" w:name="_Toc29913963"/>
      <w:r>
        <w:rPr>
          <w:rFonts w:hint="eastAsia" w:ascii="黑体" w:hAnsi="华文中宋" w:cs="宋体"/>
          <w:b w:val="0"/>
          <w:bCs w:val="0"/>
          <w:color w:val="auto"/>
          <w:spacing w:val="6"/>
          <w:kern w:val="0"/>
          <w:sz w:val="21"/>
          <w:szCs w:val="21"/>
        </w:rPr>
        <w:t xml:space="preserve">附件6-1 </w:t>
      </w:r>
      <w:r>
        <w:rPr>
          <w:rFonts w:hint="eastAsia" w:ascii="黑体" w:cs="微软雅黑" w:hAnsiTheme="minorEastAsia"/>
          <w:b w:val="0"/>
          <w:color w:val="auto"/>
          <w:spacing w:val="-2"/>
          <w:kern w:val="0"/>
          <w:sz w:val="21"/>
          <w:szCs w:val="21"/>
        </w:rPr>
        <w:t>分</w:t>
      </w:r>
      <w:r>
        <w:rPr>
          <w:rFonts w:hint="eastAsia" w:ascii="黑体" w:cs="微软雅黑" w:hAnsiTheme="minorEastAsia"/>
          <w:b w:val="0"/>
          <w:color w:val="auto"/>
          <w:kern w:val="0"/>
          <w:sz w:val="21"/>
          <w:szCs w:val="21"/>
        </w:rPr>
        <w:t>项</w:t>
      </w:r>
      <w:r>
        <w:rPr>
          <w:rFonts w:hint="eastAsia" w:ascii="黑体" w:cs="微软雅黑" w:hAnsiTheme="minorEastAsia"/>
          <w:b w:val="0"/>
          <w:color w:val="auto"/>
          <w:spacing w:val="-2"/>
          <w:kern w:val="0"/>
          <w:sz w:val="21"/>
          <w:szCs w:val="21"/>
        </w:rPr>
        <w:t>报</w:t>
      </w:r>
      <w:r>
        <w:rPr>
          <w:rFonts w:hint="eastAsia" w:ascii="黑体" w:cs="微软雅黑" w:hAnsiTheme="minorEastAsia"/>
          <w:b w:val="0"/>
          <w:color w:val="auto"/>
          <w:kern w:val="0"/>
          <w:sz w:val="21"/>
          <w:szCs w:val="21"/>
        </w:rPr>
        <w:t>价说明</w:t>
      </w:r>
      <w:bookmarkEnd w:id="131"/>
      <w:bookmarkEnd w:id="132"/>
      <w:r>
        <w:rPr>
          <w:rFonts w:hint="eastAsia" w:ascii="黑体" w:cs="微软雅黑" w:hAnsiTheme="minorEastAsia"/>
          <w:b w:val="0"/>
          <w:color w:val="auto"/>
          <w:kern w:val="0"/>
          <w:sz w:val="21"/>
          <w:szCs w:val="21"/>
        </w:rPr>
        <w:t xml:space="preserve">  </w:t>
      </w:r>
    </w:p>
    <w:p>
      <w:pPr>
        <w:autoSpaceDE w:val="0"/>
        <w:autoSpaceDN w:val="0"/>
        <w:adjustRightInd w:val="0"/>
        <w:snapToGrid w:val="0"/>
        <w:spacing w:line="360" w:lineRule="auto"/>
        <w:jc w:val="center"/>
        <w:rPr>
          <w:rFonts w:ascii="黑体" w:eastAsia="黑体" w:cs="微软雅黑" w:hAnsiTheme="minorEastAsia"/>
          <w:b/>
          <w:color w:val="auto"/>
          <w:kern w:val="0"/>
          <w:sz w:val="28"/>
          <w:szCs w:val="28"/>
        </w:rPr>
      </w:pPr>
      <w:r>
        <w:rPr>
          <w:rFonts w:hint="eastAsia" w:ascii="黑体" w:eastAsia="黑体" w:cs="微软雅黑" w:hAnsiTheme="minorEastAsia"/>
          <w:b/>
          <w:color w:val="auto"/>
          <w:spacing w:val="-2"/>
          <w:kern w:val="0"/>
          <w:sz w:val="28"/>
          <w:szCs w:val="28"/>
        </w:rPr>
        <w:t>分</w:t>
      </w:r>
      <w:r>
        <w:rPr>
          <w:rFonts w:hint="eastAsia" w:ascii="黑体" w:eastAsia="黑体" w:cs="微软雅黑" w:hAnsiTheme="minorEastAsia"/>
          <w:b/>
          <w:color w:val="auto"/>
          <w:kern w:val="0"/>
          <w:sz w:val="28"/>
          <w:szCs w:val="28"/>
        </w:rPr>
        <w:t>项</w:t>
      </w:r>
      <w:r>
        <w:rPr>
          <w:rFonts w:hint="eastAsia" w:ascii="黑体" w:eastAsia="黑体" w:cs="微软雅黑" w:hAnsiTheme="minorEastAsia"/>
          <w:b/>
          <w:color w:val="auto"/>
          <w:spacing w:val="-2"/>
          <w:kern w:val="0"/>
          <w:sz w:val="28"/>
          <w:szCs w:val="28"/>
        </w:rPr>
        <w:t>报</w:t>
      </w:r>
      <w:r>
        <w:rPr>
          <w:rFonts w:hint="eastAsia" w:ascii="黑体" w:eastAsia="黑体" w:cs="微软雅黑" w:hAnsiTheme="minorEastAsia"/>
          <w:b/>
          <w:color w:val="auto"/>
          <w:kern w:val="0"/>
          <w:sz w:val="28"/>
          <w:szCs w:val="28"/>
        </w:rPr>
        <w:t>价说明</w:t>
      </w:r>
    </w:p>
    <w:p>
      <w:pPr>
        <w:autoSpaceDE w:val="0"/>
        <w:autoSpaceDN w:val="0"/>
        <w:adjustRightInd w:val="0"/>
        <w:snapToGrid w:val="0"/>
        <w:spacing w:line="360" w:lineRule="auto"/>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备注：投标人应按招标文件第二章相关要求，对本节</w:t>
      </w:r>
      <w:r>
        <w:rPr>
          <w:rFonts w:hint="eastAsia" w:asciiTheme="minorEastAsia" w:hAnsiTheme="minorEastAsia" w:eastAsiaTheme="minorEastAsia"/>
          <w:bCs/>
          <w:color w:val="auto"/>
          <w:szCs w:val="21"/>
        </w:rPr>
        <w:t>“</w:t>
      </w:r>
      <w:r>
        <w:rPr>
          <w:rFonts w:hint="eastAsia" w:cs="微软雅黑" w:asciiTheme="minorEastAsia" w:hAnsiTheme="minorEastAsia" w:eastAsiaTheme="minorEastAsia"/>
          <w:color w:val="auto"/>
          <w:kern w:val="0"/>
          <w:szCs w:val="21"/>
        </w:rPr>
        <w:t>分项报价明细表</w:t>
      </w:r>
      <w:r>
        <w:rPr>
          <w:rFonts w:hint="eastAsia" w:asciiTheme="minorEastAsia" w:hAnsiTheme="minorEastAsia" w:eastAsiaTheme="minorEastAsia"/>
          <w:bCs/>
          <w:color w:val="auto"/>
          <w:szCs w:val="21"/>
        </w:rPr>
        <w:t>”进行</w:t>
      </w:r>
      <w:r>
        <w:rPr>
          <w:rFonts w:hint="eastAsia" w:cs="微软雅黑" w:asciiTheme="minorEastAsia" w:hAnsiTheme="minorEastAsia" w:eastAsiaTheme="minorEastAsia"/>
          <w:color w:val="auto"/>
          <w:kern w:val="0"/>
          <w:szCs w:val="21"/>
        </w:rPr>
        <w:t>编制，并说明。</w:t>
      </w:r>
    </w:p>
    <w:p>
      <w:pPr>
        <w:rPr>
          <w:color w:val="auto"/>
        </w:rPr>
      </w:pPr>
    </w:p>
    <w:p>
      <w:pPr>
        <w:pStyle w:val="7"/>
        <w:jc w:val="left"/>
        <w:rPr>
          <w:rFonts w:ascii="黑体" w:cs="微软雅黑" w:hAnsiTheme="minorEastAsia"/>
          <w:b w:val="0"/>
          <w:color w:val="auto"/>
          <w:kern w:val="0"/>
          <w:sz w:val="21"/>
          <w:szCs w:val="21"/>
        </w:rPr>
      </w:pPr>
      <w:bookmarkStart w:id="133" w:name="_Toc29913964"/>
      <w:bookmarkStart w:id="134" w:name="_Toc32073"/>
      <w:r>
        <w:rPr>
          <w:rFonts w:hint="eastAsia" w:ascii="黑体" w:hAnsi="华文中宋" w:cs="宋体"/>
          <w:b w:val="0"/>
          <w:bCs w:val="0"/>
          <w:color w:val="auto"/>
          <w:spacing w:val="6"/>
          <w:kern w:val="0"/>
          <w:sz w:val="21"/>
          <w:szCs w:val="21"/>
        </w:rPr>
        <w:t xml:space="preserve">附件6-2 </w:t>
      </w:r>
      <w:r>
        <w:rPr>
          <w:rFonts w:hint="eastAsia" w:ascii="黑体" w:cs="微软雅黑" w:hAnsiTheme="minorEastAsia"/>
          <w:b w:val="0"/>
          <w:color w:val="auto"/>
          <w:spacing w:val="-2"/>
          <w:kern w:val="0"/>
          <w:position w:val="-3"/>
          <w:sz w:val="21"/>
          <w:szCs w:val="21"/>
        </w:rPr>
        <w:t>分</w:t>
      </w:r>
      <w:r>
        <w:rPr>
          <w:rFonts w:hint="eastAsia" w:ascii="黑体" w:cs="微软雅黑" w:hAnsiTheme="minorEastAsia"/>
          <w:b w:val="0"/>
          <w:color w:val="auto"/>
          <w:kern w:val="0"/>
          <w:position w:val="-3"/>
          <w:sz w:val="21"/>
          <w:szCs w:val="21"/>
        </w:rPr>
        <w:t>项</w:t>
      </w:r>
      <w:r>
        <w:rPr>
          <w:rFonts w:hint="eastAsia" w:ascii="黑体" w:cs="微软雅黑" w:hAnsiTheme="minorEastAsia"/>
          <w:b w:val="0"/>
          <w:color w:val="auto"/>
          <w:spacing w:val="-2"/>
          <w:kern w:val="0"/>
          <w:position w:val="-3"/>
          <w:sz w:val="21"/>
          <w:szCs w:val="21"/>
        </w:rPr>
        <w:t>报</w:t>
      </w:r>
      <w:r>
        <w:rPr>
          <w:rFonts w:hint="eastAsia" w:ascii="黑体" w:cs="微软雅黑" w:hAnsiTheme="minorEastAsia"/>
          <w:b w:val="0"/>
          <w:color w:val="auto"/>
          <w:kern w:val="0"/>
          <w:position w:val="-3"/>
          <w:sz w:val="21"/>
          <w:szCs w:val="21"/>
        </w:rPr>
        <w:t>价明细表</w:t>
      </w:r>
      <w:bookmarkEnd w:id="133"/>
      <w:bookmarkEnd w:id="134"/>
    </w:p>
    <w:p>
      <w:pPr>
        <w:adjustRightInd w:val="0"/>
        <w:snapToGrid w:val="0"/>
        <w:spacing w:line="360" w:lineRule="auto"/>
        <w:jc w:val="center"/>
        <w:rPr>
          <w:rFonts w:ascii="黑体" w:eastAsia="黑体" w:cs="微软雅黑" w:hAnsiTheme="minorEastAsia"/>
          <w:b/>
          <w:color w:val="auto"/>
          <w:kern w:val="0"/>
          <w:position w:val="-3"/>
          <w:sz w:val="44"/>
          <w:szCs w:val="44"/>
        </w:rPr>
      </w:pPr>
      <w:r>
        <w:rPr>
          <w:rFonts w:hint="eastAsia" w:ascii="黑体" w:eastAsia="黑体" w:cs="微软雅黑" w:hAnsiTheme="minorEastAsia"/>
          <w:b/>
          <w:color w:val="auto"/>
          <w:spacing w:val="-2"/>
          <w:kern w:val="0"/>
          <w:position w:val="-3"/>
          <w:sz w:val="28"/>
          <w:szCs w:val="28"/>
        </w:rPr>
        <w:t>分</w:t>
      </w:r>
      <w:r>
        <w:rPr>
          <w:rFonts w:hint="eastAsia" w:ascii="黑体" w:eastAsia="黑体" w:cs="微软雅黑" w:hAnsiTheme="minorEastAsia"/>
          <w:b/>
          <w:color w:val="auto"/>
          <w:kern w:val="0"/>
          <w:position w:val="-3"/>
          <w:sz w:val="28"/>
          <w:szCs w:val="28"/>
        </w:rPr>
        <w:t>项</w:t>
      </w:r>
      <w:r>
        <w:rPr>
          <w:rFonts w:hint="eastAsia" w:ascii="黑体" w:eastAsia="黑体" w:cs="微软雅黑" w:hAnsiTheme="minorEastAsia"/>
          <w:b/>
          <w:color w:val="auto"/>
          <w:spacing w:val="-2"/>
          <w:kern w:val="0"/>
          <w:position w:val="-3"/>
          <w:sz w:val="28"/>
          <w:szCs w:val="28"/>
        </w:rPr>
        <w:t>报</w:t>
      </w:r>
      <w:r>
        <w:rPr>
          <w:rFonts w:hint="eastAsia" w:ascii="黑体" w:eastAsia="黑体" w:cs="微软雅黑" w:hAnsiTheme="minorEastAsia"/>
          <w:b/>
          <w:color w:val="auto"/>
          <w:kern w:val="0"/>
          <w:position w:val="-3"/>
          <w:sz w:val="28"/>
          <w:szCs w:val="28"/>
        </w:rPr>
        <w:t>价明细表</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采购代理编号：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项目名称：</w:t>
      </w:r>
      <w:r>
        <w:rPr>
          <w:rFonts w:hint="eastAsia" w:asciiTheme="minorEastAsia" w:hAnsiTheme="minorEastAsia" w:eastAsiaTheme="minorEastAsia"/>
          <w:color w:val="auto"/>
          <w:szCs w:val="21"/>
          <w:u w:val="single"/>
        </w:rPr>
        <w:t>____            ______</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包号：</w:t>
      </w:r>
      <w:r>
        <w:rPr>
          <w:rFonts w:hint="eastAsia" w:asciiTheme="minorEastAsia" w:hAnsiTheme="minorEastAsia" w:eastAsiaTheme="minorEastAsia"/>
          <w:color w:val="auto"/>
          <w:szCs w:val="21"/>
          <w:u w:val="single"/>
        </w:rPr>
        <w:t xml:space="preserve">__    ________         </w:t>
      </w:r>
      <w:r>
        <w:rPr>
          <w:rFonts w:hint="eastAsia" w:asciiTheme="minorEastAsia" w:hAnsiTheme="minorEastAsia" w:eastAsiaTheme="minorEastAsia"/>
          <w:color w:val="auto"/>
          <w:szCs w:val="21"/>
        </w:rPr>
        <w:t xml:space="preserve">                      包名称：</w:t>
      </w:r>
      <w:r>
        <w:rPr>
          <w:rFonts w:hint="eastAsia" w:asciiTheme="minorEastAsia" w:hAnsiTheme="minorEastAsia" w:eastAsiaTheme="minorEastAsia"/>
          <w:color w:val="auto"/>
          <w:szCs w:val="21"/>
          <w:u w:val="single"/>
        </w:rPr>
        <w:t xml:space="preserve">__    ________  </w:t>
      </w:r>
      <w:r>
        <w:rPr>
          <w:rFonts w:hint="eastAsia" w:asciiTheme="minorEastAsia" w:hAnsiTheme="minorEastAsia" w:eastAsiaTheme="minorEastAsia"/>
          <w:color w:val="auto"/>
          <w:szCs w:val="21"/>
        </w:rPr>
        <w:t xml:space="preserve"> </w:t>
      </w:r>
    </w:p>
    <w:tbl>
      <w:tblPr>
        <w:tblStyle w:val="43"/>
        <w:tblW w:w="8874" w:type="dxa"/>
        <w:tblInd w:w="0"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vAlign w:val="center"/>
          </w:tcPr>
          <w:p>
            <w:pPr>
              <w:autoSpaceDE w:val="0"/>
              <w:autoSpaceDN w:val="0"/>
              <w:adjustRightInd w:val="0"/>
              <w:snapToGrid w:val="0"/>
              <w:spacing w:line="360" w:lineRule="auto"/>
              <w:ind w:right="-20"/>
              <w:jc w:val="center"/>
              <w:rPr>
                <w:rFonts w:cs="微软雅黑" w:asciiTheme="minorEastAsia" w:hAnsiTheme="minorEastAsia" w:eastAsiaTheme="minorEastAsia"/>
                <w:color w:val="auto"/>
                <w:kern w:val="0"/>
                <w:position w:val="-1"/>
                <w:szCs w:val="21"/>
              </w:rPr>
            </w:pPr>
            <w:r>
              <w:rPr>
                <w:rFonts w:hint="eastAsia" w:cs="微软雅黑" w:asciiTheme="minorEastAsia" w:hAnsiTheme="minorEastAsia" w:eastAsiaTheme="minorEastAsia"/>
                <w:color w:val="auto"/>
                <w:kern w:val="0"/>
                <w:position w:val="-1"/>
                <w:szCs w:val="21"/>
              </w:rPr>
              <w:t>分项项目名称</w:t>
            </w:r>
          </w:p>
        </w:tc>
        <w:tc>
          <w:tcPr>
            <w:tcW w:w="2126" w:type="dxa"/>
            <w:vMerge w:val="restart"/>
            <w:tcBorders>
              <w:top w:val="double" w:color="auto" w:sz="4" w:space="0"/>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规格型号</w:t>
            </w:r>
          </w:p>
          <w:p>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（或项目特征描述</w:t>
            </w:r>
            <w:r>
              <w:rPr>
                <w:rFonts w:ascii="宋体" w:hAnsi="宋体"/>
                <w:color w:val="auto"/>
                <w:szCs w:val="21"/>
              </w:rPr>
              <w:t>）</w:t>
            </w:r>
          </w:p>
        </w:tc>
        <w:tc>
          <w:tcPr>
            <w:tcW w:w="1200" w:type="dxa"/>
            <w:vMerge w:val="restart"/>
            <w:tcBorders>
              <w:top w:val="double" w:color="auto" w:sz="4"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品牌/产地</w:t>
            </w:r>
          </w:p>
        </w:tc>
        <w:tc>
          <w:tcPr>
            <w:tcW w:w="1092" w:type="dxa"/>
            <w:vMerge w:val="restart"/>
            <w:tcBorders>
              <w:top w:val="double" w:color="auto" w:sz="4" w:space="0"/>
              <w:left w:val="single" w:color="auto" w:sz="6" w:space="0"/>
              <w:right w:val="single" w:color="auto" w:sz="4" w:space="0"/>
            </w:tcBorders>
            <w:vAlign w:val="center"/>
          </w:tcPr>
          <w:p>
            <w:pPr>
              <w:autoSpaceDE w:val="0"/>
              <w:autoSpaceDN w:val="0"/>
              <w:adjustRightInd w:val="0"/>
              <w:snapToGrid w:val="0"/>
              <w:spacing w:line="360" w:lineRule="auto"/>
              <w:ind w:right="-20"/>
              <w:jc w:val="center"/>
              <w:rPr>
                <w:rFonts w:cs="微软雅黑" w:asciiTheme="minorEastAsia" w:hAnsiTheme="minorEastAsia" w:eastAsiaTheme="minorEastAsia"/>
                <w:color w:val="auto"/>
                <w:kern w:val="0"/>
                <w:position w:val="-1"/>
                <w:szCs w:val="21"/>
              </w:rPr>
            </w:pPr>
            <w:r>
              <w:rPr>
                <w:rFonts w:hint="eastAsia" w:asciiTheme="minorEastAsia" w:hAnsiTheme="minorEastAsia" w:eastAsiaTheme="minorEastAsia"/>
                <w:color w:val="auto"/>
                <w:kern w:val="0"/>
                <w:szCs w:val="21"/>
              </w:rPr>
              <w:t>数量/单位</w:t>
            </w:r>
          </w:p>
        </w:tc>
        <w:tc>
          <w:tcPr>
            <w:tcW w:w="1826" w:type="dxa"/>
            <w:gridSpan w:val="2"/>
            <w:tcBorders>
              <w:top w:val="double" w:color="auto" w:sz="4"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ind w:right="-20"/>
              <w:jc w:val="center"/>
              <w:rPr>
                <w:rFonts w:cs="微软雅黑" w:asciiTheme="minorEastAsia" w:hAnsiTheme="minorEastAsia" w:eastAsiaTheme="minorEastAsia"/>
                <w:color w:val="auto"/>
                <w:kern w:val="0"/>
                <w:position w:val="-1"/>
                <w:szCs w:val="21"/>
              </w:rPr>
            </w:pPr>
            <w:r>
              <w:rPr>
                <w:rFonts w:hint="eastAsia" w:cs="微软雅黑" w:asciiTheme="minorEastAsia" w:hAnsiTheme="minorEastAsia" w:eastAsiaTheme="minorEastAsia"/>
                <w:color w:val="auto"/>
                <w:kern w:val="0"/>
                <w:position w:val="-1"/>
                <w:szCs w:val="21"/>
              </w:rPr>
              <w:t>金额（元）</w:t>
            </w:r>
          </w:p>
        </w:tc>
        <w:tc>
          <w:tcPr>
            <w:tcW w:w="914" w:type="dxa"/>
            <w:vMerge w:val="restart"/>
            <w:tcBorders>
              <w:top w:val="double" w:color="auto" w:sz="4" w:space="0"/>
              <w:left w:val="single" w:color="auto" w:sz="6" w:space="0"/>
              <w:bottom w:val="single" w:color="auto" w:sz="6" w:space="0"/>
              <w:right w:val="double" w:color="auto" w:sz="4" w:space="0"/>
            </w:tcBorders>
            <w:vAlign w:val="center"/>
          </w:tcPr>
          <w:p>
            <w:pPr>
              <w:autoSpaceDE w:val="0"/>
              <w:autoSpaceDN w:val="0"/>
              <w:adjustRightInd w:val="0"/>
              <w:snapToGrid w:val="0"/>
              <w:spacing w:line="360" w:lineRule="auto"/>
              <w:ind w:right="-20"/>
              <w:jc w:val="center"/>
              <w:rPr>
                <w:rFonts w:cs="微软雅黑" w:asciiTheme="minorEastAsia" w:hAnsiTheme="minorEastAsia" w:eastAsiaTheme="minorEastAsia"/>
                <w:color w:val="auto"/>
                <w:kern w:val="0"/>
                <w:position w:val="-1"/>
                <w:szCs w:val="21"/>
              </w:rPr>
            </w:pPr>
            <w:r>
              <w:rPr>
                <w:rFonts w:hint="eastAsia" w:cs="微软雅黑" w:asciiTheme="minorEastAsia" w:hAnsiTheme="minorEastAsia" w:eastAsiaTheme="minorEastAsia"/>
                <w:color w:val="auto"/>
                <w:kern w:val="0"/>
                <w:position w:val="-1"/>
                <w:szCs w:val="21"/>
              </w:rPr>
              <w:t>备注</w:t>
            </w:r>
          </w:p>
        </w:tc>
      </w:tr>
      <w:tr>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tcPr>
          <w:p>
            <w:pPr>
              <w:autoSpaceDE w:val="0"/>
              <w:autoSpaceDN w:val="0"/>
              <w:adjustRightInd w:val="0"/>
              <w:snapToGrid w:val="0"/>
              <w:spacing w:line="360" w:lineRule="auto"/>
              <w:ind w:left="352" w:right="-20"/>
              <w:jc w:val="left"/>
              <w:rPr>
                <w:rFonts w:asciiTheme="minorEastAsia" w:hAnsiTheme="minorEastAsia" w:eastAsiaTheme="minorEastAsia"/>
                <w:color w:val="auto"/>
                <w:kern w:val="0"/>
                <w:szCs w:val="21"/>
              </w:rPr>
            </w:pPr>
          </w:p>
        </w:tc>
        <w:tc>
          <w:tcPr>
            <w:tcW w:w="2126" w:type="dxa"/>
            <w:vMerge w:val="continue"/>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ind w:right="-20"/>
              <w:jc w:val="center"/>
              <w:rPr>
                <w:rFonts w:asciiTheme="minorEastAsia" w:hAnsiTheme="minorEastAsia" w:eastAsiaTheme="minorEastAsia"/>
                <w:color w:val="auto"/>
                <w:kern w:val="0"/>
                <w:szCs w:val="21"/>
              </w:rPr>
            </w:pPr>
          </w:p>
        </w:tc>
        <w:tc>
          <w:tcPr>
            <w:tcW w:w="1200" w:type="dxa"/>
            <w:vMerge w:val="continue"/>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ind w:right="-20"/>
              <w:jc w:val="center"/>
              <w:rPr>
                <w:rFonts w:asciiTheme="minorEastAsia" w:hAnsiTheme="minorEastAsia" w:eastAsiaTheme="minorEastAsia"/>
                <w:color w:val="auto"/>
                <w:kern w:val="0"/>
                <w:szCs w:val="21"/>
              </w:rPr>
            </w:pPr>
          </w:p>
        </w:tc>
        <w:tc>
          <w:tcPr>
            <w:tcW w:w="1092" w:type="dxa"/>
            <w:vMerge w:val="continue"/>
            <w:tcBorders>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ind w:right="-20"/>
              <w:jc w:val="center"/>
              <w:rPr>
                <w:rFonts w:asciiTheme="minorEastAsia" w:hAnsiTheme="minorEastAsia" w:eastAsiaTheme="minorEastAsia"/>
                <w:color w:val="auto"/>
                <w:kern w:val="0"/>
                <w:szCs w:val="21"/>
              </w:rPr>
            </w:pPr>
          </w:p>
        </w:tc>
        <w:tc>
          <w:tcPr>
            <w:tcW w:w="910" w:type="dxa"/>
            <w:tcBorders>
              <w:top w:val="single" w:color="auto" w:sz="6" w:space="0"/>
              <w:left w:val="single" w:color="auto" w:sz="4" w:space="0"/>
              <w:bottom w:val="single" w:color="auto" w:sz="6" w:space="0"/>
              <w:right w:val="single" w:color="auto" w:sz="4" w:space="0"/>
            </w:tcBorders>
            <w:vAlign w:val="center"/>
          </w:tcPr>
          <w:p>
            <w:pPr>
              <w:autoSpaceDE w:val="0"/>
              <w:autoSpaceDN w:val="0"/>
              <w:adjustRightInd w:val="0"/>
              <w:snapToGrid w:val="0"/>
              <w:spacing w:line="360" w:lineRule="auto"/>
              <w:ind w:right="-20"/>
              <w:jc w:val="center"/>
              <w:rPr>
                <w:rFonts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1"/>
                <w:szCs w:val="21"/>
              </w:rPr>
              <w:t>单价</w:t>
            </w:r>
          </w:p>
        </w:tc>
        <w:tc>
          <w:tcPr>
            <w:tcW w:w="916"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ind w:left="70" w:right="-20"/>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小计</w:t>
            </w:r>
          </w:p>
        </w:tc>
        <w:tc>
          <w:tcPr>
            <w:tcW w:w="914" w:type="dxa"/>
            <w:vMerge w:val="continue"/>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ind w:left="422" w:right="-20"/>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13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w:t>
            </w:r>
          </w:p>
        </w:tc>
        <w:tc>
          <w:tcPr>
            <w:tcW w:w="13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w:t>
            </w:r>
          </w:p>
        </w:tc>
        <w:tc>
          <w:tcPr>
            <w:tcW w:w="13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w:t>
            </w:r>
          </w:p>
        </w:tc>
        <w:tc>
          <w:tcPr>
            <w:tcW w:w="13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w:t>
            </w:r>
          </w:p>
        </w:tc>
        <w:tc>
          <w:tcPr>
            <w:tcW w:w="13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color w:val="auto"/>
              </w:rPr>
            </w:pPr>
            <w:r>
              <w:rPr>
                <w:color w:val="auto"/>
              </w:rPr>
              <w:t>…</w:t>
            </w:r>
          </w:p>
        </w:tc>
        <w:tc>
          <w:tcPr>
            <w:tcW w:w="1383"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ind w:left="527" w:right="507"/>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1"/>
                <w:szCs w:val="21"/>
              </w:rPr>
              <w:t>投标报价（元）：</w:t>
            </w:r>
          </w:p>
        </w:tc>
        <w:tc>
          <w:tcPr>
            <w:tcW w:w="916" w:type="dxa"/>
            <w:tcBorders>
              <w:top w:val="single" w:color="auto" w:sz="6" w:space="0"/>
              <w:left w:val="single" w:color="auto" w:sz="6" w:space="0"/>
              <w:bottom w:val="double" w:color="auto" w:sz="4"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double" w:color="auto" w:sz="4"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bl>
    <w:p>
      <w:pPr>
        <w:adjustRightInd w:val="0"/>
        <w:snapToGrid w:val="0"/>
        <w:spacing w:line="360" w:lineRule="auto"/>
        <w:rPr>
          <w:rFonts w:ascii="宋体" w:hAnsi="宋体"/>
          <w:color w:val="auto"/>
          <w:szCs w:val="21"/>
        </w:rPr>
      </w:pPr>
      <w:r>
        <w:rPr>
          <w:rFonts w:hint="eastAsia" w:ascii="宋体" w:hAnsi="宋体"/>
          <w:color w:val="auto"/>
          <w:szCs w:val="21"/>
        </w:rPr>
        <w:t>备注：</w:t>
      </w:r>
      <w:r>
        <w:rPr>
          <w:rFonts w:hint="eastAsia" w:asciiTheme="minorEastAsia" w:hAnsiTheme="minorEastAsia" w:eastAsiaTheme="minorEastAsia"/>
          <w:color w:val="auto"/>
          <w:szCs w:val="21"/>
        </w:rPr>
        <w:t>（1）</w:t>
      </w:r>
      <w:r>
        <w:rPr>
          <w:rFonts w:hint="eastAsia" w:asciiTheme="minorEastAsia" w:hAnsiTheme="minorEastAsia" w:eastAsiaTheme="minorEastAsia"/>
          <w:b/>
          <w:color w:val="auto"/>
          <w:szCs w:val="21"/>
        </w:rPr>
        <w:t>本表应对应</w:t>
      </w:r>
      <w:r>
        <w:rPr>
          <w:rFonts w:hint="eastAsia" w:ascii="宋体" w:hAnsi="宋体"/>
          <w:color w:val="auto"/>
          <w:szCs w:val="21"/>
        </w:rPr>
        <w:t>“</w:t>
      </w:r>
      <w:r>
        <w:rPr>
          <w:rFonts w:hint="eastAsia" w:asciiTheme="minorEastAsia" w:hAnsiTheme="minorEastAsia" w:eastAsiaTheme="minorEastAsia"/>
          <w:b/>
          <w:color w:val="auto"/>
          <w:szCs w:val="21"/>
        </w:rPr>
        <w:t>开标一览表</w:t>
      </w:r>
      <w:r>
        <w:rPr>
          <w:rFonts w:hint="eastAsia" w:ascii="宋体" w:hAnsi="宋体"/>
          <w:color w:val="auto"/>
          <w:szCs w:val="21"/>
        </w:rPr>
        <w:t>”</w:t>
      </w:r>
      <w:r>
        <w:rPr>
          <w:rFonts w:hint="eastAsia" w:asciiTheme="minorEastAsia" w:hAnsiTheme="minorEastAsia" w:eastAsiaTheme="minorEastAsia"/>
          <w:b/>
          <w:color w:val="auto"/>
          <w:szCs w:val="21"/>
        </w:rPr>
        <w:t>，按包填写</w:t>
      </w:r>
      <w:r>
        <w:rPr>
          <w:rFonts w:hint="eastAsia" w:asciiTheme="minorEastAsia" w:hAnsiTheme="minorEastAsia" w:eastAsiaTheme="minorEastAsia"/>
          <w:color w:val="auto"/>
          <w:szCs w:val="21"/>
        </w:rPr>
        <w:t>。</w:t>
      </w:r>
      <w:r>
        <w:rPr>
          <w:rFonts w:hint="eastAsia" w:ascii="宋体" w:hAnsi="宋体"/>
          <w:color w:val="auto"/>
          <w:szCs w:val="21"/>
        </w:rPr>
        <w:t>投标人如果不提供分项报价明细表，其</w:t>
      </w:r>
      <w:r>
        <w:rPr>
          <w:rFonts w:hint="eastAsia" w:ascii="宋体" w:hAnsi="宋体"/>
          <w:b/>
          <w:color w:val="auto"/>
          <w:szCs w:val="21"/>
        </w:rPr>
        <w:t>投标无效</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Theme="minorEastAsia" w:hAnsiTheme="minorEastAsia" w:eastAsiaTheme="minorEastAsia"/>
          <w:color w:val="auto"/>
          <w:szCs w:val="21"/>
        </w:rPr>
        <w:t>（2）</w:t>
      </w:r>
      <w:r>
        <w:rPr>
          <w:rFonts w:hint="eastAsia" w:ascii="宋体" w:hAnsi="宋体"/>
          <w:color w:val="auto"/>
          <w:szCs w:val="21"/>
        </w:rPr>
        <w:t>不得填写“免费”或“赠与”，也不得进行“零”报价，否则</w:t>
      </w:r>
      <w:r>
        <w:rPr>
          <w:rFonts w:hint="eastAsia" w:ascii="宋体" w:hAnsi="宋体"/>
          <w:b/>
          <w:color w:val="auto"/>
          <w:szCs w:val="21"/>
        </w:rPr>
        <w:t>投标无效</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Theme="minorEastAsia" w:hAnsiTheme="minorEastAsia" w:eastAsiaTheme="minorEastAsia"/>
          <w:color w:val="auto"/>
          <w:szCs w:val="21"/>
        </w:rPr>
        <w:t>（3）</w:t>
      </w:r>
      <w:r>
        <w:rPr>
          <w:rFonts w:hint="eastAsia" w:ascii="宋体" w:hAnsi="宋体"/>
          <w:color w:val="auto"/>
          <w:szCs w:val="21"/>
        </w:rPr>
        <w:t>如果开标一览表内容与本表内容不一致的，以开标一览表内容为准。</w:t>
      </w:r>
    </w:p>
    <w:p>
      <w:pPr>
        <w:adjustRightInd w:val="0"/>
        <w:snapToGrid w:val="0"/>
        <w:spacing w:line="360" w:lineRule="auto"/>
        <w:ind w:firstLine="420" w:firstLineChars="200"/>
        <w:rPr>
          <w:rFonts w:ascii="宋体" w:hAnsi="宋体"/>
          <w:color w:val="auto"/>
          <w:szCs w:val="21"/>
        </w:rPr>
      </w:pPr>
      <w:r>
        <w:rPr>
          <w:rFonts w:hint="eastAsia" w:asciiTheme="minorEastAsia" w:hAnsiTheme="minorEastAsia" w:eastAsiaTheme="minorEastAsia"/>
          <w:color w:val="auto"/>
          <w:szCs w:val="21"/>
        </w:rPr>
        <w:t>（4）</w:t>
      </w:r>
      <w:r>
        <w:rPr>
          <w:rFonts w:hint="eastAsia" w:asciiTheme="minorEastAsia" w:hAnsiTheme="minorEastAsia" w:eastAsiaTheme="minorEastAsia"/>
          <w:bCs/>
          <w:color w:val="auto"/>
          <w:szCs w:val="21"/>
        </w:rPr>
        <w:t>投标人在投标截止时间前修改“开标一览表”中的投标报价的，应按第二章第13.7款规定修改本表相应内容。否则，</w:t>
      </w:r>
      <w:r>
        <w:rPr>
          <w:rFonts w:hint="eastAsia" w:ascii="宋体" w:hAnsi="宋体"/>
          <w:color w:val="auto"/>
          <w:szCs w:val="21"/>
        </w:rPr>
        <w:t>本表相应内容按投标报价修改的相同比例进行调整。</w:t>
      </w:r>
    </w:p>
    <w:p>
      <w:pPr>
        <w:adjustRightInd w:val="0"/>
        <w:snapToGrid w:val="0"/>
        <w:spacing w:line="360" w:lineRule="auto"/>
        <w:ind w:firstLine="422" w:firstLineChars="200"/>
        <w:rPr>
          <w:rFonts w:asciiTheme="minorEastAsia" w:hAnsiTheme="minorEastAsia" w:eastAsiaTheme="minorEastAsia"/>
          <w:b/>
          <w:color w:val="auto"/>
          <w:szCs w:val="21"/>
        </w:rPr>
      </w:pP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line="360" w:lineRule="auto"/>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adjustRightInd w:val="0"/>
        <w:snapToGrid w:val="0"/>
        <w:spacing w:line="360" w:lineRule="auto"/>
        <w:jc w:val="center"/>
        <w:rPr>
          <w:rFonts w:ascii="宋体" w:hAnsi="宋体"/>
          <w:b/>
          <w:color w:val="auto"/>
          <w:sz w:val="28"/>
          <w:szCs w:val="28"/>
        </w:rPr>
      </w:pPr>
      <w:r>
        <w:rPr>
          <w:rFonts w:ascii="宋体" w:hAnsi="宋体"/>
          <w:b/>
          <w:color w:val="auto"/>
          <w:sz w:val="28"/>
          <w:szCs w:val="28"/>
        </w:rPr>
        <w:br w:type="page"/>
      </w:r>
    </w:p>
    <w:p>
      <w:pPr>
        <w:pStyle w:val="6"/>
        <w:adjustRightInd w:val="0"/>
        <w:snapToGrid w:val="0"/>
        <w:spacing w:before="0" w:after="0" w:line="360" w:lineRule="auto"/>
        <w:jc w:val="center"/>
        <w:rPr>
          <w:rFonts w:ascii="黑体" w:hAnsi="宋体" w:eastAsia="黑体"/>
          <w:color w:val="auto"/>
          <w:sz w:val="44"/>
          <w:szCs w:val="44"/>
        </w:rPr>
      </w:pPr>
      <w:bookmarkStart w:id="135" w:name="_Toc18300"/>
      <w:bookmarkStart w:id="136" w:name="_Toc29913965"/>
      <w:r>
        <w:rPr>
          <w:rFonts w:hint="eastAsia" w:ascii="黑体" w:hAnsi="宋体" w:eastAsia="黑体"/>
          <w:color w:val="auto"/>
          <w:sz w:val="28"/>
          <w:szCs w:val="28"/>
        </w:rPr>
        <w:t>七、采购需求响应</w:t>
      </w:r>
      <w:bookmarkEnd w:id="135"/>
      <w:bookmarkEnd w:id="136"/>
    </w:p>
    <w:p>
      <w:pPr>
        <w:adjustRightInd w:val="0"/>
        <w:snapToGrid w:val="0"/>
        <w:spacing w:line="360" w:lineRule="auto"/>
        <w:rPr>
          <w:rFonts w:asciiTheme="minorEastAsia" w:hAnsiTheme="minorEastAsia" w:eastAsiaTheme="minorEastAsia"/>
          <w:b/>
          <w:color w:val="auto"/>
          <w:szCs w:val="21"/>
        </w:rPr>
      </w:pPr>
    </w:p>
    <w:p>
      <w:pPr>
        <w:adjustRightInd w:val="0"/>
        <w:snapToGrid w:val="0"/>
        <w:spacing w:line="360" w:lineRule="auto"/>
        <w:rPr>
          <w:b/>
          <w:color w:val="auto"/>
        </w:rPr>
      </w:pPr>
      <w:r>
        <w:rPr>
          <w:rFonts w:hint="eastAsia" w:asciiTheme="minorEastAsia" w:hAnsiTheme="minorEastAsia" w:eastAsiaTheme="minorEastAsia"/>
          <w:b/>
          <w:color w:val="auto"/>
          <w:szCs w:val="21"/>
        </w:rPr>
        <w:t>编制说明</w:t>
      </w:r>
      <w:r>
        <w:rPr>
          <w:rFonts w:hint="eastAsia" w:asciiTheme="minorEastAsia" w:hAnsiTheme="minorEastAsia" w:eastAsiaTheme="minorEastAsia"/>
          <w:bCs/>
          <w:color w:val="auto"/>
          <w:szCs w:val="21"/>
        </w:rPr>
        <w:t>：</w:t>
      </w:r>
      <w:r>
        <w:rPr>
          <w:rFonts w:hint="eastAsia"/>
          <w:b/>
          <w:color w:val="auto"/>
        </w:rPr>
        <w:t>投标人应按招标文件第五章采购需求自行编写采购需求响应文件（其内容可包括，且不限于详细的技术指标和性能、售后服务和技术服务的组织及保证措施等，格式自拟）。</w:t>
      </w:r>
    </w:p>
    <w:p>
      <w:pPr>
        <w:pStyle w:val="26"/>
        <w:adjustRightInd w:val="0"/>
        <w:snapToGrid w:val="0"/>
        <w:spacing w:line="360" w:lineRule="auto"/>
        <w:ind w:left="-88" w:leftChars="-42"/>
        <w:rPr>
          <w:rFonts w:ascii="宋体" w:hAnsi="宋体"/>
          <w:bCs/>
          <w:color w:val="auto"/>
          <w:sz w:val="21"/>
          <w:szCs w:val="21"/>
        </w:rPr>
      </w:pPr>
    </w:p>
    <w:p>
      <w:pPr>
        <w:rPr>
          <w:color w:val="auto"/>
        </w:rPr>
      </w:pPr>
    </w:p>
    <w:p>
      <w:pPr>
        <w:rPr>
          <w:color w:val="auto"/>
        </w:rPr>
      </w:pPr>
    </w:p>
    <w:p>
      <w:pPr>
        <w:pStyle w:val="26"/>
        <w:tabs>
          <w:tab w:val="left" w:pos="6208"/>
        </w:tabs>
        <w:adjustRightInd w:val="0"/>
        <w:snapToGrid w:val="0"/>
        <w:spacing w:line="360" w:lineRule="auto"/>
        <w:ind w:left="-88" w:leftChars="-42"/>
        <w:rPr>
          <w:rFonts w:ascii="宋体" w:hAnsi="宋体"/>
          <w:bCs/>
          <w:color w:val="auto"/>
          <w:sz w:val="21"/>
          <w:szCs w:val="21"/>
        </w:rPr>
      </w:pP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line="360" w:lineRule="auto"/>
        <w:rPr>
          <w:rFonts w:ascii="宋体" w:hAnsi="宋体"/>
          <w:color w:val="auto"/>
          <w:szCs w:val="21"/>
          <w:u w:val="single"/>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line="360" w:lineRule="auto"/>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rPr>
          <w:color w:val="auto"/>
        </w:rPr>
      </w:pPr>
    </w:p>
    <w:p>
      <w:pPr>
        <w:rPr>
          <w:color w:val="auto"/>
        </w:rPr>
      </w:pPr>
    </w:p>
    <w:p>
      <w:pPr>
        <w:pStyle w:val="7"/>
        <w:adjustRightInd w:val="0"/>
        <w:snapToGrid w:val="0"/>
        <w:spacing w:before="156" w:beforeLines="50" w:after="0" w:line="360" w:lineRule="auto"/>
        <w:rPr>
          <w:rFonts w:ascii="黑体" w:hAnsi="黑体"/>
          <w:b w:val="0"/>
          <w:color w:val="auto"/>
          <w:sz w:val="21"/>
          <w:szCs w:val="21"/>
        </w:rPr>
      </w:pPr>
      <w:bookmarkStart w:id="137" w:name="_Toc21123"/>
      <w:bookmarkStart w:id="138" w:name="_Toc29913966"/>
      <w:r>
        <w:rPr>
          <w:rFonts w:hint="eastAsia" w:ascii="黑体" w:hAnsi="黑体" w:cs="宋体"/>
          <w:b w:val="0"/>
          <w:color w:val="auto"/>
          <w:spacing w:val="6"/>
          <w:kern w:val="0"/>
          <w:sz w:val="21"/>
          <w:szCs w:val="21"/>
        </w:rPr>
        <w:t>附件7-1 响应</w:t>
      </w:r>
      <w:r>
        <w:rPr>
          <w:rFonts w:hint="eastAsia" w:ascii="黑体" w:hAnsi="黑体"/>
          <w:b w:val="0"/>
          <w:color w:val="auto"/>
          <w:sz w:val="21"/>
          <w:szCs w:val="21"/>
        </w:rPr>
        <w:t>-览表</w:t>
      </w:r>
      <w:bookmarkEnd w:id="137"/>
      <w:bookmarkEnd w:id="138"/>
    </w:p>
    <w:p>
      <w:pPr>
        <w:adjustRightInd w:val="0"/>
        <w:snapToGrid w:val="0"/>
        <w:spacing w:before="156" w:beforeLines="50" w:line="360" w:lineRule="auto"/>
        <w:jc w:val="center"/>
        <w:rPr>
          <w:rFonts w:ascii="黑体" w:hAnsi="黑体" w:eastAsia="黑体"/>
          <w:b/>
          <w:bCs/>
          <w:color w:val="auto"/>
          <w:sz w:val="28"/>
          <w:szCs w:val="28"/>
        </w:rPr>
      </w:pPr>
      <w:r>
        <w:rPr>
          <w:rFonts w:hint="eastAsia" w:ascii="黑体" w:hAnsi="黑体" w:eastAsia="黑体"/>
          <w:b/>
          <w:bCs/>
          <w:color w:val="auto"/>
          <w:sz w:val="28"/>
          <w:szCs w:val="28"/>
        </w:rPr>
        <w:t>响应-览表</w:t>
      </w:r>
    </w:p>
    <w:p>
      <w:pPr>
        <w:jc w:val="center"/>
        <w:rPr>
          <w:rFonts w:asciiTheme="minorEastAsia" w:hAnsiTheme="minorEastAsia" w:eastAsiaTheme="minorEastAsia"/>
          <w:color w:val="auto"/>
          <w:szCs w:val="21"/>
        </w:rPr>
      </w:pPr>
    </w:p>
    <w:tbl>
      <w:tblPr>
        <w:tblStyle w:val="43"/>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2127"/>
        <w:gridCol w:w="992"/>
        <w:gridCol w:w="709"/>
        <w:gridCol w:w="751"/>
        <w:gridCol w:w="97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vAlign w:val="center"/>
          </w:tcPr>
          <w:p>
            <w:pPr>
              <w:jc w:val="center"/>
              <w:rPr>
                <w:color w:val="auto"/>
                <w:szCs w:val="21"/>
              </w:rPr>
            </w:pPr>
            <w:r>
              <w:rPr>
                <w:rFonts w:hint="eastAsia"/>
                <w:color w:val="auto"/>
                <w:szCs w:val="21"/>
              </w:rPr>
              <w:t xml:space="preserve">包号 </w:t>
            </w:r>
          </w:p>
        </w:tc>
        <w:tc>
          <w:tcPr>
            <w:tcW w:w="957" w:type="dxa"/>
            <w:vMerge w:val="restart"/>
            <w:tcBorders>
              <w:right w:val="single" w:color="auto" w:sz="4" w:space="0"/>
            </w:tcBorders>
            <w:vAlign w:val="center"/>
          </w:tcPr>
          <w:p>
            <w:pPr>
              <w:jc w:val="center"/>
              <w:rPr>
                <w:color w:val="auto"/>
                <w:szCs w:val="21"/>
              </w:rPr>
            </w:pPr>
            <w:r>
              <w:rPr>
                <w:rFonts w:hint="eastAsia"/>
                <w:color w:val="auto"/>
                <w:szCs w:val="21"/>
              </w:rPr>
              <w:t>包名称</w:t>
            </w:r>
          </w:p>
        </w:tc>
        <w:tc>
          <w:tcPr>
            <w:tcW w:w="2124" w:type="dxa"/>
            <w:vMerge w:val="restart"/>
            <w:tcBorders>
              <w:left w:val="single" w:color="auto" w:sz="4" w:space="0"/>
            </w:tcBorders>
            <w:vAlign w:val="center"/>
          </w:tcPr>
          <w:p>
            <w:pPr>
              <w:jc w:val="center"/>
              <w:rPr>
                <w:color w:val="auto"/>
                <w:szCs w:val="21"/>
              </w:rPr>
            </w:pPr>
            <w:r>
              <w:rPr>
                <w:rFonts w:hint="eastAsia"/>
                <w:color w:val="auto"/>
                <w:szCs w:val="21"/>
              </w:rPr>
              <w:t>分项项目名称</w:t>
            </w:r>
          </w:p>
          <w:p>
            <w:pPr>
              <w:jc w:val="center"/>
              <w:rPr>
                <w:color w:val="auto"/>
                <w:szCs w:val="21"/>
              </w:rPr>
            </w:pPr>
            <w:r>
              <w:rPr>
                <w:rFonts w:hint="eastAsia"/>
                <w:color w:val="auto"/>
                <w:szCs w:val="21"/>
              </w:rPr>
              <w:t>（条目号/品目名称）</w:t>
            </w:r>
          </w:p>
        </w:tc>
        <w:tc>
          <w:tcPr>
            <w:tcW w:w="2127" w:type="dxa"/>
            <w:vMerge w:val="restart"/>
            <w:vAlign w:val="center"/>
          </w:tcPr>
          <w:p>
            <w:pPr>
              <w:jc w:val="center"/>
              <w:rPr>
                <w:color w:val="auto"/>
                <w:szCs w:val="21"/>
              </w:rPr>
            </w:pPr>
            <w:r>
              <w:rPr>
                <w:rFonts w:hint="eastAsia"/>
                <w:color w:val="auto"/>
                <w:szCs w:val="21"/>
              </w:rPr>
              <w:t>主要技术参数或规格</w:t>
            </w:r>
          </w:p>
        </w:tc>
        <w:tc>
          <w:tcPr>
            <w:tcW w:w="992" w:type="dxa"/>
            <w:vMerge w:val="restart"/>
            <w:vAlign w:val="center"/>
          </w:tcPr>
          <w:p>
            <w:pPr>
              <w:jc w:val="center"/>
              <w:rPr>
                <w:color w:val="auto"/>
                <w:szCs w:val="21"/>
              </w:rPr>
            </w:pPr>
            <w:r>
              <w:rPr>
                <w:rFonts w:hint="eastAsia"/>
                <w:color w:val="auto"/>
                <w:szCs w:val="21"/>
              </w:rPr>
              <w:t>数量</w:t>
            </w:r>
          </w:p>
          <w:p>
            <w:pPr>
              <w:jc w:val="center"/>
              <w:rPr>
                <w:color w:val="auto"/>
                <w:szCs w:val="21"/>
              </w:rPr>
            </w:pPr>
            <w:r>
              <w:rPr>
                <w:rFonts w:hint="eastAsia"/>
                <w:color w:val="auto"/>
                <w:szCs w:val="21"/>
              </w:rPr>
              <w:t>（台套）</w:t>
            </w:r>
          </w:p>
        </w:tc>
        <w:tc>
          <w:tcPr>
            <w:tcW w:w="1460" w:type="dxa"/>
            <w:gridSpan w:val="2"/>
            <w:vAlign w:val="center"/>
          </w:tcPr>
          <w:p>
            <w:pPr>
              <w:jc w:val="center"/>
              <w:rPr>
                <w:color w:val="auto"/>
                <w:szCs w:val="21"/>
              </w:rPr>
            </w:pPr>
            <w:r>
              <w:rPr>
                <w:rFonts w:hint="eastAsia"/>
                <w:color w:val="auto"/>
                <w:szCs w:val="21"/>
              </w:rPr>
              <w:t>交货</w:t>
            </w:r>
          </w:p>
        </w:tc>
        <w:tc>
          <w:tcPr>
            <w:tcW w:w="971" w:type="dxa"/>
            <w:vMerge w:val="restart"/>
            <w:vAlign w:val="center"/>
          </w:tcPr>
          <w:p>
            <w:pPr>
              <w:jc w:val="center"/>
              <w:rPr>
                <w:color w:val="auto"/>
                <w:szCs w:val="21"/>
              </w:rPr>
            </w:pPr>
            <w:r>
              <w:rPr>
                <w:rFonts w:hint="eastAsia"/>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4" w:hRule="atLeast"/>
        </w:trPr>
        <w:tc>
          <w:tcPr>
            <w:tcW w:w="429" w:type="dxa"/>
            <w:vMerge w:val="continue"/>
            <w:vAlign w:val="center"/>
          </w:tcPr>
          <w:p>
            <w:pPr>
              <w:jc w:val="center"/>
              <w:rPr>
                <w:color w:val="auto"/>
                <w:szCs w:val="21"/>
              </w:rPr>
            </w:pPr>
          </w:p>
        </w:tc>
        <w:tc>
          <w:tcPr>
            <w:tcW w:w="957" w:type="dxa"/>
            <w:vMerge w:val="continue"/>
            <w:tcBorders>
              <w:right w:val="single" w:color="auto" w:sz="4" w:space="0"/>
            </w:tcBorders>
            <w:vAlign w:val="center"/>
          </w:tcPr>
          <w:p>
            <w:pPr>
              <w:jc w:val="center"/>
              <w:rPr>
                <w:color w:val="auto"/>
                <w:szCs w:val="21"/>
              </w:rPr>
            </w:pPr>
          </w:p>
        </w:tc>
        <w:tc>
          <w:tcPr>
            <w:tcW w:w="2124" w:type="dxa"/>
            <w:vMerge w:val="continue"/>
            <w:tcBorders>
              <w:left w:val="single" w:color="auto" w:sz="4" w:space="0"/>
            </w:tcBorders>
            <w:vAlign w:val="center"/>
          </w:tcPr>
          <w:p>
            <w:pPr>
              <w:jc w:val="center"/>
              <w:rPr>
                <w:color w:val="auto"/>
                <w:szCs w:val="21"/>
              </w:rPr>
            </w:pPr>
          </w:p>
        </w:tc>
        <w:tc>
          <w:tcPr>
            <w:tcW w:w="2127" w:type="dxa"/>
            <w:vMerge w:val="continue"/>
            <w:vAlign w:val="center"/>
          </w:tcPr>
          <w:p>
            <w:pPr>
              <w:jc w:val="center"/>
              <w:rPr>
                <w:color w:val="auto"/>
                <w:szCs w:val="21"/>
              </w:rPr>
            </w:pPr>
          </w:p>
        </w:tc>
        <w:tc>
          <w:tcPr>
            <w:tcW w:w="992" w:type="dxa"/>
            <w:vMerge w:val="continue"/>
            <w:vAlign w:val="center"/>
          </w:tcPr>
          <w:p>
            <w:pPr>
              <w:jc w:val="center"/>
              <w:rPr>
                <w:color w:val="auto"/>
                <w:szCs w:val="21"/>
              </w:rPr>
            </w:pPr>
          </w:p>
        </w:tc>
        <w:tc>
          <w:tcPr>
            <w:tcW w:w="709" w:type="dxa"/>
            <w:vAlign w:val="center"/>
          </w:tcPr>
          <w:p>
            <w:pPr>
              <w:jc w:val="center"/>
              <w:rPr>
                <w:color w:val="auto"/>
                <w:szCs w:val="21"/>
              </w:rPr>
            </w:pPr>
            <w:r>
              <w:rPr>
                <w:rFonts w:hint="eastAsia"/>
                <w:color w:val="auto"/>
                <w:szCs w:val="21"/>
              </w:rPr>
              <w:t>时间</w:t>
            </w:r>
          </w:p>
        </w:tc>
        <w:tc>
          <w:tcPr>
            <w:tcW w:w="751" w:type="dxa"/>
            <w:vAlign w:val="center"/>
          </w:tcPr>
          <w:p>
            <w:pPr>
              <w:jc w:val="center"/>
              <w:rPr>
                <w:color w:val="auto"/>
                <w:szCs w:val="21"/>
              </w:rPr>
            </w:pPr>
            <w:r>
              <w:rPr>
                <w:rFonts w:hint="eastAsia"/>
                <w:color w:val="auto"/>
                <w:szCs w:val="21"/>
              </w:rPr>
              <w:t>地点</w:t>
            </w:r>
          </w:p>
        </w:tc>
        <w:tc>
          <w:tcPr>
            <w:tcW w:w="971" w:type="dxa"/>
            <w:vMerge w:val="continue"/>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pPr>
              <w:rPr>
                <w:color w:val="auto"/>
                <w:szCs w:val="21"/>
              </w:rPr>
            </w:pPr>
          </w:p>
        </w:tc>
        <w:tc>
          <w:tcPr>
            <w:tcW w:w="957" w:type="dxa"/>
            <w:tcBorders>
              <w:right w:val="single" w:color="auto" w:sz="4" w:space="0"/>
            </w:tcBorders>
          </w:tcPr>
          <w:p>
            <w:pPr>
              <w:rPr>
                <w:color w:val="auto"/>
                <w:szCs w:val="21"/>
              </w:rPr>
            </w:pPr>
          </w:p>
        </w:tc>
        <w:tc>
          <w:tcPr>
            <w:tcW w:w="2124" w:type="dxa"/>
            <w:tcBorders>
              <w:left w:val="single" w:color="auto" w:sz="4" w:space="0"/>
            </w:tcBorders>
          </w:tcPr>
          <w:p>
            <w:pPr>
              <w:rPr>
                <w:color w:val="auto"/>
                <w:szCs w:val="21"/>
              </w:rPr>
            </w:pPr>
          </w:p>
        </w:tc>
        <w:tc>
          <w:tcPr>
            <w:tcW w:w="2127" w:type="dxa"/>
          </w:tcPr>
          <w:p>
            <w:pPr>
              <w:rPr>
                <w:color w:val="auto"/>
                <w:szCs w:val="21"/>
              </w:rPr>
            </w:pPr>
          </w:p>
        </w:tc>
        <w:tc>
          <w:tcPr>
            <w:tcW w:w="992" w:type="dxa"/>
          </w:tcPr>
          <w:p>
            <w:pPr>
              <w:rPr>
                <w:color w:val="auto"/>
                <w:szCs w:val="21"/>
              </w:rPr>
            </w:pPr>
          </w:p>
        </w:tc>
        <w:tc>
          <w:tcPr>
            <w:tcW w:w="709" w:type="dxa"/>
            <w:tcBorders>
              <w:bottom w:val="single" w:color="auto" w:sz="4" w:space="0"/>
            </w:tcBorders>
          </w:tcPr>
          <w:p>
            <w:pPr>
              <w:rPr>
                <w:color w:val="auto"/>
                <w:szCs w:val="21"/>
              </w:rPr>
            </w:pPr>
          </w:p>
        </w:tc>
        <w:tc>
          <w:tcPr>
            <w:tcW w:w="751" w:type="dxa"/>
            <w:tcBorders>
              <w:bottom w:val="single" w:color="auto" w:sz="4" w:space="0"/>
            </w:tcBorders>
          </w:tcPr>
          <w:p>
            <w:pPr>
              <w:rPr>
                <w:color w:val="auto"/>
                <w:szCs w:val="21"/>
              </w:rPr>
            </w:pPr>
          </w:p>
        </w:tc>
        <w:tc>
          <w:tcPr>
            <w:tcW w:w="971" w:type="dxa"/>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pPr>
              <w:rPr>
                <w:color w:val="auto"/>
                <w:szCs w:val="21"/>
              </w:rPr>
            </w:pPr>
          </w:p>
        </w:tc>
        <w:tc>
          <w:tcPr>
            <w:tcW w:w="957" w:type="dxa"/>
            <w:tcBorders>
              <w:right w:val="single" w:color="auto" w:sz="4" w:space="0"/>
            </w:tcBorders>
          </w:tcPr>
          <w:p>
            <w:pPr>
              <w:rPr>
                <w:color w:val="auto"/>
                <w:szCs w:val="21"/>
              </w:rPr>
            </w:pPr>
          </w:p>
        </w:tc>
        <w:tc>
          <w:tcPr>
            <w:tcW w:w="2124" w:type="dxa"/>
            <w:tcBorders>
              <w:left w:val="single" w:color="auto" w:sz="4" w:space="0"/>
            </w:tcBorders>
          </w:tcPr>
          <w:p>
            <w:pPr>
              <w:rPr>
                <w:color w:val="auto"/>
                <w:szCs w:val="21"/>
              </w:rPr>
            </w:pPr>
          </w:p>
        </w:tc>
        <w:tc>
          <w:tcPr>
            <w:tcW w:w="2127" w:type="dxa"/>
          </w:tcPr>
          <w:p>
            <w:pPr>
              <w:rPr>
                <w:color w:val="auto"/>
                <w:szCs w:val="21"/>
              </w:rPr>
            </w:pPr>
          </w:p>
        </w:tc>
        <w:tc>
          <w:tcPr>
            <w:tcW w:w="992" w:type="dxa"/>
          </w:tcPr>
          <w:p>
            <w:pPr>
              <w:rPr>
                <w:color w:val="auto"/>
                <w:szCs w:val="21"/>
              </w:rPr>
            </w:pPr>
          </w:p>
        </w:tc>
        <w:tc>
          <w:tcPr>
            <w:tcW w:w="709" w:type="dxa"/>
            <w:tcBorders>
              <w:top w:val="single" w:color="auto" w:sz="4" w:space="0"/>
              <w:bottom w:val="single" w:color="auto" w:sz="4" w:space="0"/>
            </w:tcBorders>
          </w:tcPr>
          <w:p>
            <w:pPr>
              <w:rPr>
                <w:color w:val="auto"/>
                <w:szCs w:val="21"/>
              </w:rPr>
            </w:pPr>
          </w:p>
        </w:tc>
        <w:tc>
          <w:tcPr>
            <w:tcW w:w="751" w:type="dxa"/>
            <w:tcBorders>
              <w:top w:val="single" w:color="auto" w:sz="4" w:space="0"/>
              <w:bottom w:val="single" w:color="auto" w:sz="4" w:space="0"/>
            </w:tcBorders>
          </w:tcPr>
          <w:p>
            <w:pPr>
              <w:rPr>
                <w:color w:val="auto"/>
                <w:szCs w:val="21"/>
              </w:rPr>
            </w:pPr>
          </w:p>
        </w:tc>
        <w:tc>
          <w:tcPr>
            <w:tcW w:w="971" w:type="dxa"/>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pPr>
              <w:rPr>
                <w:color w:val="auto"/>
                <w:szCs w:val="21"/>
              </w:rPr>
            </w:pPr>
          </w:p>
        </w:tc>
        <w:tc>
          <w:tcPr>
            <w:tcW w:w="957" w:type="dxa"/>
            <w:tcBorders>
              <w:right w:val="single" w:color="auto" w:sz="4" w:space="0"/>
            </w:tcBorders>
          </w:tcPr>
          <w:p>
            <w:pPr>
              <w:rPr>
                <w:color w:val="auto"/>
                <w:szCs w:val="21"/>
              </w:rPr>
            </w:pPr>
          </w:p>
        </w:tc>
        <w:tc>
          <w:tcPr>
            <w:tcW w:w="2124" w:type="dxa"/>
            <w:tcBorders>
              <w:left w:val="single" w:color="auto" w:sz="4" w:space="0"/>
            </w:tcBorders>
          </w:tcPr>
          <w:p>
            <w:pPr>
              <w:rPr>
                <w:color w:val="auto"/>
                <w:szCs w:val="21"/>
              </w:rPr>
            </w:pPr>
          </w:p>
        </w:tc>
        <w:tc>
          <w:tcPr>
            <w:tcW w:w="2127" w:type="dxa"/>
          </w:tcPr>
          <w:p>
            <w:pPr>
              <w:rPr>
                <w:color w:val="auto"/>
                <w:szCs w:val="21"/>
              </w:rPr>
            </w:pPr>
          </w:p>
        </w:tc>
        <w:tc>
          <w:tcPr>
            <w:tcW w:w="992" w:type="dxa"/>
          </w:tcPr>
          <w:p>
            <w:pPr>
              <w:rPr>
                <w:color w:val="auto"/>
                <w:szCs w:val="21"/>
              </w:rPr>
            </w:pPr>
          </w:p>
        </w:tc>
        <w:tc>
          <w:tcPr>
            <w:tcW w:w="709" w:type="dxa"/>
            <w:tcBorders>
              <w:top w:val="single" w:color="auto" w:sz="4" w:space="0"/>
              <w:bottom w:val="single" w:color="auto" w:sz="4" w:space="0"/>
            </w:tcBorders>
          </w:tcPr>
          <w:p>
            <w:pPr>
              <w:rPr>
                <w:color w:val="auto"/>
                <w:szCs w:val="21"/>
              </w:rPr>
            </w:pPr>
          </w:p>
        </w:tc>
        <w:tc>
          <w:tcPr>
            <w:tcW w:w="751" w:type="dxa"/>
            <w:tcBorders>
              <w:top w:val="single" w:color="auto" w:sz="4" w:space="0"/>
              <w:bottom w:val="single" w:color="auto" w:sz="4" w:space="0"/>
            </w:tcBorders>
          </w:tcPr>
          <w:p>
            <w:pPr>
              <w:rPr>
                <w:color w:val="auto"/>
                <w:szCs w:val="21"/>
              </w:rPr>
            </w:pPr>
          </w:p>
        </w:tc>
        <w:tc>
          <w:tcPr>
            <w:tcW w:w="971" w:type="dxa"/>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pPr>
              <w:rPr>
                <w:color w:val="auto"/>
                <w:szCs w:val="21"/>
              </w:rPr>
            </w:pPr>
          </w:p>
        </w:tc>
        <w:tc>
          <w:tcPr>
            <w:tcW w:w="957" w:type="dxa"/>
            <w:tcBorders>
              <w:right w:val="single" w:color="auto" w:sz="4" w:space="0"/>
            </w:tcBorders>
          </w:tcPr>
          <w:p>
            <w:pPr>
              <w:rPr>
                <w:color w:val="auto"/>
                <w:szCs w:val="21"/>
              </w:rPr>
            </w:pPr>
          </w:p>
        </w:tc>
        <w:tc>
          <w:tcPr>
            <w:tcW w:w="2124" w:type="dxa"/>
            <w:tcBorders>
              <w:left w:val="single" w:color="auto" w:sz="4" w:space="0"/>
            </w:tcBorders>
          </w:tcPr>
          <w:p>
            <w:pPr>
              <w:rPr>
                <w:color w:val="auto"/>
                <w:szCs w:val="21"/>
              </w:rPr>
            </w:pPr>
          </w:p>
        </w:tc>
        <w:tc>
          <w:tcPr>
            <w:tcW w:w="2127" w:type="dxa"/>
          </w:tcPr>
          <w:p>
            <w:pPr>
              <w:rPr>
                <w:color w:val="auto"/>
                <w:szCs w:val="21"/>
              </w:rPr>
            </w:pPr>
          </w:p>
        </w:tc>
        <w:tc>
          <w:tcPr>
            <w:tcW w:w="992" w:type="dxa"/>
          </w:tcPr>
          <w:p>
            <w:pPr>
              <w:rPr>
                <w:color w:val="auto"/>
                <w:szCs w:val="21"/>
              </w:rPr>
            </w:pPr>
          </w:p>
        </w:tc>
        <w:tc>
          <w:tcPr>
            <w:tcW w:w="709" w:type="dxa"/>
            <w:tcBorders>
              <w:top w:val="single" w:color="auto" w:sz="4" w:space="0"/>
              <w:bottom w:val="single" w:color="auto" w:sz="4" w:space="0"/>
            </w:tcBorders>
          </w:tcPr>
          <w:p>
            <w:pPr>
              <w:rPr>
                <w:color w:val="auto"/>
                <w:szCs w:val="21"/>
              </w:rPr>
            </w:pPr>
          </w:p>
        </w:tc>
        <w:tc>
          <w:tcPr>
            <w:tcW w:w="751" w:type="dxa"/>
            <w:tcBorders>
              <w:top w:val="single" w:color="auto" w:sz="4" w:space="0"/>
              <w:bottom w:val="single" w:color="auto" w:sz="4" w:space="0"/>
            </w:tcBorders>
          </w:tcPr>
          <w:p>
            <w:pPr>
              <w:rPr>
                <w:color w:val="auto"/>
                <w:szCs w:val="21"/>
              </w:rPr>
            </w:pPr>
          </w:p>
        </w:tc>
        <w:tc>
          <w:tcPr>
            <w:tcW w:w="971" w:type="dxa"/>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pPr>
              <w:rPr>
                <w:color w:val="auto"/>
                <w:szCs w:val="21"/>
              </w:rPr>
            </w:pPr>
          </w:p>
        </w:tc>
        <w:tc>
          <w:tcPr>
            <w:tcW w:w="957" w:type="dxa"/>
            <w:tcBorders>
              <w:right w:val="single" w:color="auto" w:sz="4" w:space="0"/>
            </w:tcBorders>
          </w:tcPr>
          <w:p>
            <w:pPr>
              <w:rPr>
                <w:color w:val="auto"/>
                <w:szCs w:val="21"/>
              </w:rPr>
            </w:pPr>
          </w:p>
        </w:tc>
        <w:tc>
          <w:tcPr>
            <w:tcW w:w="2124" w:type="dxa"/>
            <w:tcBorders>
              <w:left w:val="single" w:color="auto" w:sz="4" w:space="0"/>
            </w:tcBorders>
          </w:tcPr>
          <w:p>
            <w:pPr>
              <w:rPr>
                <w:color w:val="auto"/>
                <w:szCs w:val="21"/>
              </w:rPr>
            </w:pPr>
          </w:p>
        </w:tc>
        <w:tc>
          <w:tcPr>
            <w:tcW w:w="2127" w:type="dxa"/>
          </w:tcPr>
          <w:p>
            <w:pPr>
              <w:rPr>
                <w:color w:val="auto"/>
                <w:szCs w:val="21"/>
              </w:rPr>
            </w:pPr>
          </w:p>
        </w:tc>
        <w:tc>
          <w:tcPr>
            <w:tcW w:w="992" w:type="dxa"/>
          </w:tcPr>
          <w:p>
            <w:pPr>
              <w:rPr>
                <w:color w:val="auto"/>
                <w:szCs w:val="21"/>
              </w:rPr>
            </w:pPr>
          </w:p>
        </w:tc>
        <w:tc>
          <w:tcPr>
            <w:tcW w:w="709" w:type="dxa"/>
            <w:tcBorders>
              <w:top w:val="single" w:color="auto" w:sz="4" w:space="0"/>
            </w:tcBorders>
          </w:tcPr>
          <w:p>
            <w:pPr>
              <w:rPr>
                <w:color w:val="auto"/>
                <w:szCs w:val="21"/>
              </w:rPr>
            </w:pPr>
          </w:p>
        </w:tc>
        <w:tc>
          <w:tcPr>
            <w:tcW w:w="751" w:type="dxa"/>
            <w:tcBorders>
              <w:top w:val="single" w:color="auto" w:sz="4" w:space="0"/>
            </w:tcBorders>
          </w:tcPr>
          <w:p>
            <w:pPr>
              <w:rPr>
                <w:color w:val="auto"/>
                <w:szCs w:val="21"/>
              </w:rPr>
            </w:pPr>
          </w:p>
        </w:tc>
        <w:tc>
          <w:tcPr>
            <w:tcW w:w="971" w:type="dxa"/>
          </w:tcPr>
          <w:p>
            <w:pPr>
              <w:rPr>
                <w:color w:val="auto"/>
                <w:szCs w:val="21"/>
              </w:rPr>
            </w:pPr>
          </w:p>
        </w:tc>
      </w:tr>
    </w:tbl>
    <w:p>
      <w:pPr>
        <w:adjustRightInd w:val="0"/>
        <w:snapToGrid w:val="0"/>
        <w:spacing w:line="360" w:lineRule="auto"/>
        <w:rPr>
          <w:color w:val="auto"/>
        </w:rPr>
      </w:pP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p>
    <w:p>
      <w:pPr>
        <w:adjustRightInd w:val="0"/>
        <w:snapToGrid w:val="0"/>
        <w:spacing w:line="360" w:lineRule="auto"/>
        <w:rPr>
          <w:rFonts w:ascii="黑体" w:hAnsi="宋体" w:eastAsia="黑体"/>
          <w:color w:val="auto"/>
          <w:sz w:val="28"/>
          <w:szCs w:val="28"/>
        </w:rPr>
        <w:sectPr>
          <w:headerReference r:id="rId10" w:type="first"/>
          <w:headerReference r:id="rId8" w:type="default"/>
          <w:footerReference r:id="rId11" w:type="default"/>
          <w:headerReference r:id="rId9" w:type="even"/>
          <w:pgSz w:w="11906" w:h="16838"/>
          <w:pgMar w:top="1474" w:right="1474" w:bottom="1474" w:left="1588" w:header="851" w:footer="992" w:gutter="0"/>
          <w:cols w:space="720" w:num="1"/>
          <w:docGrid w:type="lines" w:linePitch="312" w:charSpace="0"/>
        </w:sectPr>
      </w:pPr>
    </w:p>
    <w:p>
      <w:pPr>
        <w:adjustRightInd w:val="0"/>
        <w:snapToGrid w:val="0"/>
        <w:spacing w:line="360" w:lineRule="auto"/>
        <w:rPr>
          <w:color w:val="auto"/>
        </w:rPr>
      </w:pPr>
      <w:bookmarkStart w:id="139" w:name="_Toc29913967"/>
    </w:p>
    <w:p>
      <w:pPr>
        <w:pStyle w:val="6"/>
        <w:adjustRightInd w:val="0"/>
        <w:snapToGrid w:val="0"/>
        <w:spacing w:before="156" w:beforeLines="50" w:after="0" w:line="360" w:lineRule="auto"/>
        <w:jc w:val="center"/>
        <w:rPr>
          <w:rFonts w:ascii="黑体" w:hAnsi="黑体" w:eastAsia="黑体"/>
          <w:color w:val="auto"/>
          <w:sz w:val="28"/>
          <w:szCs w:val="28"/>
        </w:rPr>
      </w:pPr>
      <w:bookmarkStart w:id="140" w:name="_Toc32509"/>
      <w:r>
        <w:rPr>
          <w:rFonts w:hint="eastAsia" w:ascii="黑体" w:hAnsi="黑体" w:eastAsia="黑体"/>
          <w:color w:val="auto"/>
          <w:sz w:val="28"/>
          <w:szCs w:val="28"/>
        </w:rPr>
        <w:t>八、合同条款偏离表</w:t>
      </w:r>
      <w:bookmarkEnd w:id="139"/>
      <w:bookmarkEnd w:id="140"/>
    </w:p>
    <w:p>
      <w:pPr>
        <w:adjustRightInd w:val="0"/>
        <w:snapToGrid w:val="0"/>
        <w:spacing w:before="156"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采购代理编号</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u w:val="single"/>
        </w:rPr>
        <w:t>____            ______</w:t>
      </w:r>
    </w:p>
    <w:p>
      <w:pPr>
        <w:adjustRightInd w:val="0"/>
        <w:snapToGrid w:val="0"/>
        <w:spacing w:before="50" w:line="360" w:lineRule="auto"/>
        <w:rPr>
          <w:rFonts w:ascii="宋体" w:hAnsi="宋体"/>
          <w:color w:val="auto"/>
          <w:szCs w:val="21"/>
          <w:u w:val="single"/>
        </w:rPr>
      </w:pPr>
      <w:r>
        <w:rPr>
          <w:rFonts w:hint="eastAsia" w:asciiTheme="minorEastAsia" w:hAnsiTheme="minorEastAsia" w:eastAsiaTheme="minorEastAsia"/>
          <w:color w:val="auto"/>
          <w:szCs w:val="21"/>
        </w:rPr>
        <w:t>包           号：</w:t>
      </w:r>
      <w:r>
        <w:rPr>
          <w:rFonts w:hint="eastAsia" w:asciiTheme="minorEastAsia" w:hAnsiTheme="minorEastAsia" w:eastAsiaTheme="minorEastAsia"/>
          <w:color w:val="auto"/>
          <w:szCs w:val="21"/>
          <w:u w:val="single"/>
        </w:rPr>
        <w:t xml:space="preserve">__    ________          </w:t>
      </w:r>
      <w:r>
        <w:rPr>
          <w:rFonts w:hint="eastAsia" w:asciiTheme="minorEastAsia" w:hAnsiTheme="minorEastAsia" w:eastAsiaTheme="minorEastAsia"/>
          <w:color w:val="auto"/>
          <w:szCs w:val="21"/>
        </w:rPr>
        <w:t xml:space="preserve">           包名称：</w:t>
      </w:r>
      <w:r>
        <w:rPr>
          <w:rFonts w:hint="eastAsia" w:asciiTheme="minorEastAsia" w:hAnsiTheme="minorEastAsia" w:eastAsiaTheme="minorEastAsia"/>
          <w:color w:val="auto"/>
          <w:szCs w:val="21"/>
          <w:u w:val="single"/>
        </w:rPr>
        <w:t>___          _______</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序</w:t>
            </w:r>
            <w:r>
              <w:rPr>
                <w:rFonts w:hint="eastAsia" w:asciiTheme="minorEastAsia" w:hAnsiTheme="minorEastAsia" w:eastAsiaTheme="minorEastAsia"/>
                <w:color w:val="auto"/>
                <w:szCs w:val="21"/>
              </w:rPr>
              <w:t>号</w:t>
            </w: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招标文件章节</w:t>
            </w:r>
            <w:r>
              <w:rPr>
                <w:rFonts w:hint="eastAsia" w:asciiTheme="minorEastAsia" w:hAnsiTheme="minorEastAsia" w:eastAsiaTheme="minorEastAsia"/>
                <w:bCs/>
                <w:color w:val="auto"/>
                <w:szCs w:val="21"/>
              </w:rPr>
              <w:t>条</w:t>
            </w:r>
            <w:r>
              <w:rPr>
                <w:rFonts w:hint="eastAsia" w:asciiTheme="minorEastAsia" w:hAnsiTheme="minorEastAsia" w:eastAsiaTheme="minorEastAsia"/>
                <w:color w:val="auto"/>
                <w:szCs w:val="21"/>
              </w:rPr>
              <w:t>款号</w:t>
            </w: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color w:val="auto"/>
              </w:rPr>
              <w:t>招标文件要求</w:t>
            </w:r>
          </w:p>
        </w:tc>
        <w:tc>
          <w:tcPr>
            <w:tcW w:w="2082" w:type="dxa"/>
            <w:tcBorders>
              <w:right w:val="single" w:color="auto" w:sz="4" w:space="0"/>
            </w:tcBorders>
            <w:vAlign w:val="center"/>
          </w:tcPr>
          <w:p>
            <w:pPr>
              <w:adjustRightInd w:val="0"/>
              <w:snapToGrid w:val="0"/>
              <w:spacing w:before="50" w:line="360" w:lineRule="auto"/>
              <w:jc w:val="center"/>
              <w:rPr>
                <w:rFonts w:asciiTheme="minorEastAsia" w:hAnsiTheme="minorEastAsia" w:eastAsiaTheme="minorEastAsia"/>
                <w:color w:val="auto"/>
                <w:szCs w:val="21"/>
              </w:rPr>
            </w:pPr>
            <w:r>
              <w:rPr>
                <w:rFonts w:hint="eastAsia"/>
                <w:color w:val="auto"/>
              </w:rPr>
              <w:t>投标文件的应答</w:t>
            </w: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Pr>
          <w:p>
            <w:pPr>
              <w:adjustRightInd w:val="0"/>
              <w:snapToGrid w:val="0"/>
              <w:spacing w:before="50" w:line="360" w:lineRule="auto"/>
              <w:rPr>
                <w:color w:val="auto"/>
              </w:rPr>
            </w:pPr>
          </w:p>
        </w:tc>
        <w:tc>
          <w:tcPr>
            <w:tcW w:w="2082" w:type="dxa"/>
            <w:tcBorders>
              <w:right w:val="single" w:color="auto" w:sz="4" w:space="0"/>
            </w:tcBorders>
          </w:tcPr>
          <w:p>
            <w:pPr>
              <w:adjustRightInd w:val="0"/>
              <w:snapToGrid w:val="0"/>
              <w:spacing w:before="50" w:line="360" w:lineRule="auto"/>
              <w:rPr>
                <w:color w:val="auto"/>
              </w:rPr>
            </w:pPr>
          </w:p>
        </w:tc>
        <w:tc>
          <w:tcPr>
            <w:tcW w:w="1942" w:type="dxa"/>
            <w:tcBorders>
              <w:left w:val="single" w:color="auto" w:sz="4" w:space="0"/>
            </w:tcBorders>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4024" w:type="dxa"/>
            <w:gridSpan w:val="2"/>
            <w:vAlign w:val="center"/>
          </w:tcPr>
          <w:p>
            <w:pPr>
              <w:adjustRightInd w:val="0"/>
              <w:snapToGrid w:val="0"/>
              <w:spacing w:before="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投标人保证：除本合同条款偏离表列出的偏离外，我单位对招标文件的其他商务、合同条款完全响应，无偏离。</w:t>
            </w:r>
          </w:p>
        </w:tc>
      </w:tr>
    </w:tbl>
    <w:p>
      <w:pPr>
        <w:adjustRightInd w:val="0"/>
        <w:snapToGrid w:val="0"/>
        <w:spacing w:before="50" w:line="360" w:lineRule="auto"/>
        <w:ind w:left="-88" w:leftChars="-42"/>
        <w:rPr>
          <w:rFonts w:ascii="宋体" w:hAnsi="宋体"/>
          <w:color w:val="auto"/>
          <w:szCs w:val="21"/>
        </w:rPr>
      </w:pPr>
      <w:r>
        <w:rPr>
          <w:rFonts w:hint="eastAsia" w:asciiTheme="minorEastAsia" w:hAnsiTheme="minorEastAsia" w:eastAsiaTheme="minorEastAsia"/>
          <w:b/>
          <w:color w:val="auto"/>
          <w:szCs w:val="21"/>
        </w:rPr>
        <w:t>备注</w:t>
      </w:r>
      <w:r>
        <w:rPr>
          <w:rFonts w:hint="eastAsia" w:asciiTheme="minorEastAsia" w:hAnsiTheme="minorEastAsia" w:eastAsiaTheme="minorEastAsia"/>
          <w:color w:val="auto"/>
          <w:szCs w:val="21"/>
        </w:rPr>
        <w:t>：（1）</w:t>
      </w:r>
      <w:r>
        <w:rPr>
          <w:rFonts w:hint="eastAsia" w:ascii="宋体" w:hAnsi="宋体"/>
          <w:color w:val="auto"/>
          <w:szCs w:val="21"/>
        </w:rPr>
        <w:t>投标人应根据招标文件第六章</w:t>
      </w:r>
      <w:r>
        <w:rPr>
          <w:rFonts w:hint="eastAsia" w:ascii="华文宋体" w:hAnsi="华文宋体" w:eastAsia="华文宋体"/>
          <w:color w:val="auto"/>
          <w:szCs w:val="21"/>
        </w:rPr>
        <w:t>“</w:t>
      </w:r>
      <w:r>
        <w:rPr>
          <w:rFonts w:hint="eastAsia" w:ascii="宋体" w:hAnsi="宋体"/>
          <w:color w:val="auto"/>
          <w:szCs w:val="21"/>
        </w:rPr>
        <w:t>政府采购合同</w:t>
      </w:r>
      <w:r>
        <w:rPr>
          <w:rFonts w:hint="eastAsia" w:ascii="华文宋体" w:hAnsi="华文宋体" w:eastAsia="华文宋体"/>
          <w:color w:val="auto"/>
          <w:szCs w:val="21"/>
        </w:rPr>
        <w:t>”</w:t>
      </w:r>
      <w:r>
        <w:rPr>
          <w:rFonts w:hint="eastAsia" w:ascii="宋体" w:hAnsi="宋体"/>
          <w:color w:val="auto"/>
          <w:szCs w:val="21"/>
        </w:rPr>
        <w:t>填写本表；</w:t>
      </w:r>
    </w:p>
    <w:p>
      <w:pPr>
        <w:adjustRightInd w:val="0"/>
        <w:snapToGrid w:val="0"/>
        <w:spacing w:before="50" w:line="360" w:lineRule="auto"/>
        <w:ind w:left="-88" w:leftChars="-42" w:firstLine="420" w:firstLineChars="200"/>
        <w:rPr>
          <w:rFonts w:ascii="宋体" w:hAnsi="宋体"/>
          <w:b/>
          <w:color w:val="auto"/>
          <w:szCs w:val="21"/>
        </w:rPr>
      </w:pPr>
      <w:r>
        <w:rPr>
          <w:rFonts w:hint="eastAsia" w:asciiTheme="minorEastAsia" w:hAnsiTheme="minorEastAsia" w:eastAsiaTheme="minorEastAsia"/>
          <w:color w:val="auto"/>
          <w:szCs w:val="21"/>
        </w:rPr>
        <w:t>（2）</w:t>
      </w:r>
      <w:r>
        <w:rPr>
          <w:rFonts w:hint="eastAsia" w:ascii="宋体" w:hAnsi="宋体"/>
          <w:b/>
          <w:color w:val="auto"/>
          <w:szCs w:val="21"/>
        </w:rPr>
        <w:t>投标人如果对招标文件第六章“政府采购合同”的响应有偏离，应将偏离条款逐条如实应答，并作出说明；</w:t>
      </w:r>
    </w:p>
    <w:p>
      <w:pPr>
        <w:adjustRightInd w:val="0"/>
        <w:snapToGrid w:val="0"/>
        <w:spacing w:before="50" w:line="360" w:lineRule="auto"/>
        <w:ind w:left="-88" w:leftChars="-42" w:firstLine="420" w:firstLineChars="200"/>
        <w:rPr>
          <w:rFonts w:ascii="宋体" w:hAnsi="宋体"/>
          <w:color w:val="auto"/>
          <w:szCs w:val="21"/>
        </w:rPr>
      </w:pPr>
      <w:r>
        <w:rPr>
          <w:rFonts w:hint="eastAsia" w:asciiTheme="minorEastAsia" w:hAnsiTheme="minorEastAsia" w:eastAsiaTheme="minorEastAsia"/>
          <w:color w:val="auto"/>
          <w:szCs w:val="21"/>
        </w:rPr>
        <w:t>（3）</w:t>
      </w:r>
      <w:r>
        <w:rPr>
          <w:rFonts w:hint="eastAsia" w:ascii="宋体" w:hAnsi="宋体"/>
          <w:color w:val="auto"/>
          <w:szCs w:val="21"/>
        </w:rPr>
        <w:t>如不提供此表，则视为投标人不满足招标文件第六章的所有条款要求，</w:t>
      </w:r>
      <w:r>
        <w:rPr>
          <w:rFonts w:hint="eastAsia" w:asciiTheme="minorEastAsia" w:hAnsiTheme="minorEastAsia" w:eastAsiaTheme="minorEastAsia"/>
          <w:color w:val="auto"/>
          <w:szCs w:val="21"/>
        </w:rPr>
        <w:t>其</w:t>
      </w:r>
      <w:r>
        <w:rPr>
          <w:rFonts w:hint="eastAsia" w:asciiTheme="minorEastAsia" w:hAnsiTheme="minorEastAsia" w:eastAsiaTheme="minorEastAsia"/>
          <w:b/>
          <w:color w:val="auto"/>
          <w:szCs w:val="21"/>
        </w:rPr>
        <w:t>投标无效</w:t>
      </w:r>
      <w:r>
        <w:rPr>
          <w:rFonts w:hint="eastAsia" w:ascii="宋体" w:hAnsi="宋体"/>
          <w:color w:val="auto"/>
          <w:szCs w:val="21"/>
        </w:rPr>
        <w:t>。</w:t>
      </w:r>
    </w:p>
    <w:p>
      <w:pPr>
        <w:adjustRightInd w:val="0"/>
        <w:snapToGrid w:val="0"/>
        <w:spacing w:before="50" w:line="360" w:lineRule="auto"/>
        <w:ind w:left="-88" w:leftChars="-42" w:firstLine="420" w:firstLineChars="200"/>
        <w:rPr>
          <w:rFonts w:ascii="宋体" w:hAnsi="宋体"/>
          <w:color w:val="auto"/>
          <w:szCs w:val="21"/>
        </w:rPr>
      </w:pPr>
      <w:r>
        <w:rPr>
          <w:rFonts w:hint="eastAsia" w:asciiTheme="minorEastAsia" w:hAnsiTheme="minorEastAsia" w:eastAsiaTheme="minorEastAsia"/>
          <w:color w:val="auto"/>
          <w:szCs w:val="21"/>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pPr>
        <w:adjustRightInd w:val="0"/>
        <w:snapToGrid w:val="0"/>
        <w:spacing w:before="50" w:line="360" w:lineRule="auto"/>
        <w:rPr>
          <w:rFonts w:asciiTheme="minorEastAsia" w:hAnsiTheme="minorEastAsia" w:eastAsiaTheme="minorEastAsia"/>
          <w:color w:val="auto"/>
          <w:szCs w:val="21"/>
        </w:rPr>
      </w:pPr>
    </w:p>
    <w:p>
      <w:pPr>
        <w:adjustRightInd w:val="0"/>
        <w:snapToGrid w:val="0"/>
        <w:spacing w:before="50" w:line="360" w:lineRule="auto"/>
        <w:rPr>
          <w:rFonts w:ascii="宋体" w:hAnsi="宋体"/>
          <w:color w:val="auto"/>
          <w:szCs w:val="21"/>
        </w:rPr>
      </w:pPr>
    </w:p>
    <w:p>
      <w:pPr>
        <w:adjustRightInd w:val="0"/>
        <w:snapToGrid w:val="0"/>
        <w:spacing w:before="50"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before="50"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before="50" w:line="360" w:lineRule="auto"/>
        <w:rPr>
          <w:rFonts w:ascii="黑体" w:hAnsi="宋体" w:eastAsia="黑体"/>
          <w:b/>
          <w:bCs/>
          <w:color w:val="auto"/>
          <w:sz w:val="28"/>
          <w:szCs w:val="28"/>
        </w:rPr>
      </w:pPr>
      <w:r>
        <w:rPr>
          <w:rFonts w:hint="eastAsia" w:ascii="宋体" w:hAnsi="宋体"/>
          <w:color w:val="auto"/>
          <w:szCs w:val="21"/>
        </w:rPr>
        <w:t>日       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_日</w:t>
      </w:r>
      <w:r>
        <w:rPr>
          <w:rFonts w:ascii="黑体" w:hAnsi="宋体" w:eastAsia="黑体"/>
          <w:color w:val="auto"/>
          <w:sz w:val="28"/>
          <w:szCs w:val="28"/>
        </w:rPr>
        <w:br w:type="page"/>
      </w:r>
    </w:p>
    <w:p>
      <w:pPr>
        <w:pStyle w:val="6"/>
        <w:adjustRightInd w:val="0"/>
        <w:snapToGrid w:val="0"/>
        <w:spacing w:before="156" w:beforeLines="50" w:after="0" w:line="360" w:lineRule="auto"/>
        <w:jc w:val="center"/>
        <w:rPr>
          <w:rFonts w:ascii="黑体" w:hAnsi="宋体" w:eastAsia="黑体"/>
          <w:color w:val="auto"/>
          <w:sz w:val="28"/>
          <w:szCs w:val="28"/>
        </w:rPr>
      </w:pPr>
      <w:bookmarkStart w:id="141" w:name="_Toc12686"/>
      <w:bookmarkStart w:id="142" w:name="_Toc29913968"/>
      <w:r>
        <w:rPr>
          <w:rFonts w:hint="eastAsia" w:ascii="黑体" w:hAnsi="宋体" w:eastAsia="黑体"/>
          <w:color w:val="auto"/>
          <w:sz w:val="28"/>
          <w:szCs w:val="28"/>
        </w:rPr>
        <w:t>九、采购需求（技术、商务）偏离表</w:t>
      </w:r>
      <w:bookmarkEnd w:id="141"/>
      <w:bookmarkEnd w:id="142"/>
    </w:p>
    <w:p>
      <w:pPr>
        <w:adjustRightInd w:val="0"/>
        <w:snapToGrid w:val="0"/>
        <w:spacing w:before="156"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采购代理编号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u w:val="single"/>
        </w:rPr>
        <w:t>____            ______</w:t>
      </w:r>
    </w:p>
    <w:p>
      <w:pPr>
        <w:adjustRightInd w:val="0"/>
        <w:snapToGrid w:val="0"/>
        <w:spacing w:before="156" w:beforeLines="50" w:line="360" w:lineRule="auto"/>
        <w:rPr>
          <w:rFonts w:ascii="宋体" w:hAnsi="宋体"/>
          <w:color w:val="auto"/>
          <w:szCs w:val="21"/>
          <w:u w:val="single"/>
        </w:rPr>
      </w:pPr>
      <w:r>
        <w:rPr>
          <w:rFonts w:hint="eastAsia" w:asciiTheme="minorEastAsia" w:hAnsiTheme="minorEastAsia" w:eastAsiaTheme="minorEastAsia"/>
          <w:color w:val="auto"/>
          <w:szCs w:val="21"/>
        </w:rPr>
        <w:t>包           号：</w:t>
      </w:r>
      <w:r>
        <w:rPr>
          <w:rFonts w:hint="eastAsia" w:asciiTheme="minorEastAsia" w:hAnsiTheme="minorEastAsia" w:eastAsiaTheme="minorEastAsia"/>
          <w:color w:val="auto"/>
          <w:szCs w:val="21"/>
          <w:u w:val="single"/>
        </w:rPr>
        <w:t xml:space="preserve">__    ________           </w:t>
      </w:r>
      <w:r>
        <w:rPr>
          <w:rFonts w:hint="eastAsia" w:asciiTheme="minorEastAsia" w:hAnsiTheme="minorEastAsia" w:eastAsiaTheme="minorEastAsia"/>
          <w:color w:val="auto"/>
          <w:szCs w:val="21"/>
        </w:rPr>
        <w:t xml:space="preserve">           包名称：</w:t>
      </w:r>
      <w:r>
        <w:rPr>
          <w:rFonts w:hint="eastAsia" w:asciiTheme="minorEastAsia" w:hAnsiTheme="minorEastAsia" w:eastAsiaTheme="minorEastAsia"/>
          <w:color w:val="auto"/>
          <w:szCs w:val="21"/>
          <w:u w:val="single"/>
        </w:rPr>
        <w:t>___          _______</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序</w:t>
            </w:r>
            <w:r>
              <w:rPr>
                <w:rFonts w:hint="eastAsia" w:asciiTheme="minorEastAsia" w:hAnsiTheme="minorEastAsia" w:eastAsiaTheme="minorEastAsia"/>
                <w:color w:val="auto"/>
                <w:szCs w:val="21"/>
              </w:rPr>
              <w:t>号</w:t>
            </w: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招标文件章节</w:t>
            </w:r>
            <w:r>
              <w:rPr>
                <w:rFonts w:hint="eastAsia" w:asciiTheme="minorEastAsia" w:hAnsiTheme="minorEastAsia" w:eastAsiaTheme="minorEastAsia"/>
                <w:bCs/>
                <w:color w:val="auto"/>
                <w:szCs w:val="21"/>
              </w:rPr>
              <w:t>条</w:t>
            </w:r>
            <w:r>
              <w:rPr>
                <w:rFonts w:hint="eastAsia" w:asciiTheme="minorEastAsia" w:hAnsiTheme="minorEastAsia" w:eastAsiaTheme="minorEastAsia"/>
                <w:color w:val="auto"/>
                <w:szCs w:val="21"/>
              </w:rPr>
              <w:t>款号</w:t>
            </w:r>
          </w:p>
        </w:tc>
        <w:tc>
          <w:tcPr>
            <w:tcW w:w="1985" w:type="dxa"/>
            <w:tcBorders>
              <w:right w:val="single" w:color="auto" w:sz="4" w:space="0"/>
            </w:tcBorders>
          </w:tcPr>
          <w:p>
            <w:pPr>
              <w:adjustRightInd w:val="0"/>
              <w:snapToGrid w:val="0"/>
              <w:spacing w:before="50" w:line="360" w:lineRule="auto"/>
              <w:jc w:val="center"/>
              <w:rPr>
                <w:color w:val="auto"/>
              </w:rPr>
            </w:pPr>
            <w:r>
              <w:rPr>
                <w:rFonts w:hint="eastAsia"/>
                <w:color w:val="auto"/>
              </w:rPr>
              <w:t>招标文件要求</w:t>
            </w:r>
          </w:p>
        </w:tc>
        <w:tc>
          <w:tcPr>
            <w:tcW w:w="2126" w:type="dxa"/>
            <w:tcBorders>
              <w:left w:val="single" w:color="auto" w:sz="4" w:space="0"/>
            </w:tcBorders>
          </w:tcPr>
          <w:p>
            <w:pPr>
              <w:adjustRightInd w:val="0"/>
              <w:snapToGrid w:val="0"/>
              <w:spacing w:before="50" w:line="360" w:lineRule="auto"/>
              <w:jc w:val="center"/>
              <w:rPr>
                <w:color w:val="auto"/>
              </w:rPr>
            </w:pPr>
            <w:r>
              <w:rPr>
                <w:rFonts w:hint="eastAsia"/>
                <w:color w:val="auto"/>
              </w:rPr>
              <w:t>投标文件应答</w:t>
            </w: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3882" w:type="dxa"/>
            <w:gridSpan w:val="2"/>
            <w:tcBorders>
              <w:left w:val="single" w:color="auto" w:sz="4" w:space="0"/>
            </w:tcBorders>
            <w:vAlign w:val="center"/>
          </w:tcPr>
          <w:p>
            <w:pPr>
              <w:adjustRightInd w:val="0"/>
              <w:snapToGrid w:val="0"/>
              <w:spacing w:before="50" w:line="360" w:lineRule="auto"/>
              <w:ind w:firstLine="422" w:firstLineChars="200"/>
              <w:rPr>
                <w:rFonts w:asciiTheme="minorEastAsia" w:hAnsiTheme="minorEastAsia" w:eastAsiaTheme="minorEastAsia"/>
                <w:color w:val="auto"/>
                <w:szCs w:val="21"/>
              </w:rPr>
            </w:pPr>
            <w:r>
              <w:rPr>
                <w:rFonts w:hint="eastAsia" w:asciiTheme="minorEastAsia" w:hAnsiTheme="minorEastAsia" w:eastAsiaTheme="minorEastAsia"/>
                <w:b/>
                <w:color w:val="auto"/>
                <w:szCs w:val="21"/>
              </w:rPr>
              <w:t>投标人保证：除本采购需求偏离表列出的偏离外，我单位对招标文件的其他采购需求条款完全响应，无偏离。</w:t>
            </w:r>
          </w:p>
        </w:tc>
      </w:tr>
    </w:tbl>
    <w:p>
      <w:pPr>
        <w:adjustRightInd w:val="0"/>
        <w:snapToGrid w:val="0"/>
        <w:spacing w:before="50" w:line="360" w:lineRule="auto"/>
        <w:ind w:left="-88" w:leftChars="-42"/>
        <w:rPr>
          <w:rFonts w:asciiTheme="minorEastAsia" w:hAnsiTheme="minorEastAsia" w:eastAsiaTheme="minorEastAsia"/>
          <w:color w:val="auto"/>
          <w:szCs w:val="21"/>
        </w:rPr>
      </w:pPr>
      <w:r>
        <w:rPr>
          <w:rFonts w:hint="eastAsia" w:asciiTheme="minorEastAsia" w:hAnsiTheme="minorEastAsia" w:eastAsiaTheme="minorEastAsia"/>
          <w:b/>
          <w:color w:val="auto"/>
          <w:szCs w:val="21"/>
        </w:rPr>
        <w:t>备注</w:t>
      </w:r>
      <w:r>
        <w:rPr>
          <w:rFonts w:hint="eastAsia" w:asciiTheme="minorEastAsia" w:hAnsiTheme="minorEastAsia" w:eastAsiaTheme="minorEastAsia"/>
          <w:color w:val="auto"/>
          <w:szCs w:val="21"/>
        </w:rPr>
        <w:t>：（1）投标人应根据招标文件第五章“采购需求”填写本表；</w:t>
      </w:r>
    </w:p>
    <w:p>
      <w:pPr>
        <w:adjustRightInd w:val="0"/>
        <w:snapToGrid w:val="0"/>
        <w:spacing w:before="50" w:line="360" w:lineRule="auto"/>
        <w:ind w:left="-88" w:leftChars="-42" w:firstLine="420" w:firstLineChars="200"/>
        <w:rPr>
          <w:rFonts w:asciiTheme="minorEastAsia" w:hAnsiTheme="minorEastAsia" w:eastAsiaTheme="minorEastAsia"/>
          <w:b/>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b/>
          <w:color w:val="auto"/>
          <w:szCs w:val="21"/>
        </w:rPr>
        <w:t>投标人如果对招标文件第五章“采购需求”的响应有偏离，应将偏离条款逐条如实应答，并作出说明；</w:t>
      </w:r>
    </w:p>
    <w:p>
      <w:pPr>
        <w:adjustRightInd w:val="0"/>
        <w:snapToGrid w:val="0"/>
        <w:spacing w:before="50" w:line="360" w:lineRule="auto"/>
        <w:ind w:left="-88" w:leftChars="-42"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（3）如不提供此表，则视为投标人不满足招标文件第五章的所有条款要求，其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pPr>
        <w:adjustRightInd w:val="0"/>
        <w:snapToGrid w:val="0"/>
        <w:spacing w:before="50" w:line="360" w:lineRule="auto"/>
        <w:ind w:left="-88" w:leftChars="-42"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pPr>
        <w:adjustRightInd w:val="0"/>
        <w:snapToGrid w:val="0"/>
        <w:spacing w:before="50" w:line="360" w:lineRule="auto"/>
        <w:ind w:left="-88" w:leftChars="-42"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（5）本表偏离表与本章第七节“采购需求响应”不一致时，以“采购需求响应”为准。</w:t>
      </w:r>
    </w:p>
    <w:p>
      <w:pPr>
        <w:adjustRightInd w:val="0"/>
        <w:snapToGrid w:val="0"/>
        <w:spacing w:before="50" w:line="360" w:lineRule="auto"/>
        <w:rPr>
          <w:rFonts w:asciiTheme="minorEastAsia" w:hAnsiTheme="minorEastAsia" w:eastAsiaTheme="minorEastAsia"/>
          <w:color w:val="auto"/>
          <w:szCs w:val="21"/>
        </w:rPr>
      </w:pPr>
    </w:p>
    <w:p>
      <w:pPr>
        <w:adjustRightInd w:val="0"/>
        <w:snapToGrid w:val="0"/>
        <w:spacing w:before="50" w:line="360" w:lineRule="auto"/>
        <w:rPr>
          <w:rFonts w:ascii="宋体" w:hAnsi="宋体"/>
          <w:color w:val="auto"/>
          <w:szCs w:val="21"/>
        </w:rPr>
      </w:pPr>
    </w:p>
    <w:p>
      <w:pPr>
        <w:adjustRightInd w:val="0"/>
        <w:snapToGrid w:val="0"/>
        <w:spacing w:before="50"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before="50"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before="50" w:line="360" w:lineRule="auto"/>
        <w:rPr>
          <w:rFonts w:ascii="宋体" w:hAnsi="宋体"/>
          <w:color w:val="auto"/>
          <w:szCs w:val="21"/>
        </w:rPr>
      </w:pPr>
      <w:r>
        <w:rPr>
          <w:rFonts w:hint="eastAsia" w:ascii="宋体" w:hAnsi="宋体"/>
          <w:color w:val="auto"/>
          <w:szCs w:val="21"/>
        </w:rPr>
        <w:t>日      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_日</w:t>
      </w:r>
    </w:p>
    <w:p>
      <w:pPr>
        <w:pStyle w:val="6"/>
        <w:adjustRightInd w:val="0"/>
        <w:snapToGrid w:val="0"/>
        <w:spacing w:before="0" w:after="0" w:line="360" w:lineRule="auto"/>
        <w:jc w:val="center"/>
        <w:rPr>
          <w:rFonts w:ascii="宋体" w:hAnsi="宋体"/>
          <w:color w:val="auto"/>
          <w:szCs w:val="21"/>
        </w:rPr>
        <w:sectPr>
          <w:headerReference r:id="rId12" w:type="default"/>
          <w:footerReference r:id="rId13" w:type="default"/>
          <w:pgSz w:w="11906" w:h="16838"/>
          <w:pgMar w:top="1474" w:right="1474" w:bottom="1474" w:left="1474" w:header="851" w:footer="992" w:gutter="0"/>
          <w:cols w:space="720" w:num="1"/>
          <w:docGrid w:type="lines" w:linePitch="312" w:charSpace="0"/>
        </w:sectPr>
      </w:pPr>
      <w:r>
        <w:rPr>
          <w:rFonts w:ascii="宋体" w:hAnsi="宋体"/>
          <w:color w:val="auto"/>
          <w:szCs w:val="21"/>
        </w:rPr>
        <w:br w:type="page"/>
      </w:r>
    </w:p>
    <w:p>
      <w:pPr>
        <w:pStyle w:val="6"/>
        <w:adjustRightInd w:val="0"/>
        <w:snapToGrid w:val="0"/>
        <w:spacing w:before="0" w:after="0" w:line="360" w:lineRule="auto"/>
        <w:jc w:val="center"/>
        <w:rPr>
          <w:rFonts w:ascii="黑体" w:hAnsi="宋体" w:eastAsia="黑体"/>
          <w:color w:val="auto"/>
          <w:sz w:val="28"/>
          <w:szCs w:val="28"/>
        </w:rPr>
      </w:pPr>
      <w:bookmarkStart w:id="143" w:name="_Toc20432"/>
      <w:bookmarkStart w:id="144" w:name="_Toc29913969"/>
      <w:r>
        <w:rPr>
          <w:rFonts w:hint="eastAsia" w:ascii="宋体" w:hAnsi="宋体"/>
          <w:color w:val="auto"/>
          <w:szCs w:val="21"/>
        </w:rPr>
        <w:t>十</w:t>
      </w:r>
      <w:r>
        <w:rPr>
          <w:rFonts w:hint="eastAsia" w:ascii="黑体" w:hAnsi="宋体" w:eastAsia="黑体"/>
          <w:color w:val="auto"/>
          <w:sz w:val="28"/>
          <w:szCs w:val="28"/>
        </w:rPr>
        <w:t>、享受政府采购政策优惠的证明资料</w:t>
      </w:r>
      <w:bookmarkEnd w:id="143"/>
      <w:bookmarkEnd w:id="144"/>
    </w:p>
    <w:p>
      <w:pPr>
        <w:adjustRightInd w:val="0"/>
        <w:snapToGrid w:val="0"/>
        <w:spacing w:line="360" w:lineRule="auto"/>
        <w:rPr>
          <w:rFonts w:ascii="黑体" w:hAnsi="华文中宋" w:eastAsia="黑体" w:cs="宋体"/>
          <w:bCs/>
          <w:color w:val="auto"/>
          <w:spacing w:val="6"/>
          <w:kern w:val="0"/>
          <w:szCs w:val="21"/>
        </w:rPr>
      </w:pPr>
    </w:p>
    <w:p>
      <w:pPr>
        <w:adjustRightInd w:val="0"/>
        <w:snapToGrid w:val="0"/>
        <w:spacing w:line="360" w:lineRule="auto"/>
        <w:ind w:firstLine="444" w:firstLineChars="200"/>
        <w:rPr>
          <w:rFonts w:hint="eastAsia" w:ascii="黑体" w:hAnsi="华文中宋" w:cs="宋体"/>
          <w:b w:val="0"/>
          <w:bCs w:val="0"/>
          <w:color w:val="auto"/>
          <w:spacing w:val="6"/>
          <w:kern w:val="0"/>
          <w:sz w:val="21"/>
          <w:szCs w:val="21"/>
          <w:lang w:val="en-US" w:eastAsia="zh-CN"/>
        </w:rPr>
      </w:pPr>
      <w:r>
        <w:rPr>
          <w:rFonts w:hint="eastAsia" w:cs="宋体" w:asciiTheme="minorEastAsia" w:hAnsiTheme="minorEastAsia" w:eastAsiaTheme="minorEastAsia"/>
          <w:bCs/>
          <w:color w:val="auto"/>
          <w:spacing w:val="6"/>
          <w:kern w:val="0"/>
          <w:szCs w:val="21"/>
        </w:rPr>
        <w:t>投标人符合第二章第33.6款要求的，应提供下列证明资料，并填写相关数据。否则，评审时不予以考虑。</w:t>
      </w:r>
    </w:p>
    <w:p>
      <w:pPr>
        <w:pStyle w:val="7"/>
        <w:bidi w:val="0"/>
        <w:rPr>
          <w:rFonts w:hint="eastAsia"/>
          <w:b w:val="0"/>
          <w:bCs w:val="0"/>
          <w:color w:val="auto"/>
          <w:sz w:val="21"/>
          <w:szCs w:val="21"/>
          <w:lang w:val="en-US" w:eastAsia="zh-CN"/>
        </w:rPr>
      </w:pPr>
      <w:bookmarkStart w:id="145" w:name="_Toc31069"/>
      <w:r>
        <w:rPr>
          <w:rFonts w:hint="eastAsia"/>
          <w:b w:val="0"/>
          <w:bCs w:val="0"/>
          <w:color w:val="auto"/>
          <w:sz w:val="21"/>
          <w:szCs w:val="21"/>
          <w:lang w:val="en-US" w:eastAsia="zh-CN"/>
        </w:rPr>
        <w:t>附件10-1 中小企业声明函（货物）</w:t>
      </w:r>
      <w:bookmarkEnd w:id="145"/>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0" w:lineRule="atLeast"/>
        <w:ind w:left="0" w:right="0"/>
        <w:jc w:val="center"/>
        <w:textAlignment w:val="auto"/>
        <w:rPr>
          <w:rStyle w:val="46"/>
          <w:rFonts w:hint="eastAsia" w:ascii="宋体" w:hAnsi="宋体" w:eastAsia="宋体" w:cs="宋体"/>
          <w:color w:val="auto"/>
          <w:kern w:val="0"/>
          <w:sz w:val="28"/>
          <w:szCs w:val="28"/>
          <w:lang w:val="en-US" w:eastAsia="zh-CN" w:bidi="ar"/>
        </w:rPr>
      </w:pPr>
      <w:r>
        <w:rPr>
          <w:rStyle w:val="46"/>
          <w:rFonts w:hint="eastAsia" w:ascii="宋体" w:hAnsi="宋体" w:eastAsia="宋体" w:cs="宋体"/>
          <w:color w:val="auto"/>
          <w:kern w:val="0"/>
          <w:sz w:val="28"/>
          <w:szCs w:val="28"/>
          <w:lang w:val="en-US" w:eastAsia="zh-CN" w:bidi="ar"/>
        </w:rPr>
        <w:t>中小企业声明函（货物）</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0" w:lineRule="atLeast"/>
        <w:ind w:left="0" w:right="0"/>
        <w:jc w:val="center"/>
        <w:textAlignment w:val="auto"/>
        <w:rPr>
          <w:rStyle w:val="46"/>
          <w:rFonts w:hint="eastAsia" w:ascii="宋体" w:hAnsi="宋体" w:eastAsia="宋体" w:cs="宋体"/>
          <w:color w:val="auto"/>
          <w:kern w:val="0"/>
          <w:sz w:val="20"/>
          <w:szCs w:val="20"/>
          <w:lang w:val="en-US" w:eastAsia="zh-CN" w:bidi="ar"/>
        </w:rPr>
      </w:pPr>
      <w:r>
        <w:rPr>
          <w:rStyle w:val="46"/>
          <w:rFonts w:hint="eastAsia" w:ascii="宋体" w:hAnsi="宋体" w:cs="宋体"/>
          <w:color w:val="auto"/>
          <w:kern w:val="0"/>
          <w:sz w:val="20"/>
          <w:szCs w:val="20"/>
          <w:lang w:val="en-US" w:eastAsia="zh-CN" w:bidi="ar"/>
        </w:rPr>
        <w:t>（不符合条件无需填写）</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64" w:lineRule="auto"/>
        <w:ind w:left="0" w:right="0" w:firstLine="482"/>
        <w:jc w:val="left"/>
        <w:textAlignment w:val="auto"/>
        <w:rPr>
          <w:color w:val="auto"/>
        </w:rPr>
      </w:pPr>
      <w:r>
        <w:rPr>
          <w:rFonts w:hint="eastAsia" w:ascii="宋体" w:hAnsi="宋体" w:eastAsia="宋体" w:cs="宋体"/>
          <w:b w:val="0"/>
          <w:bCs w:val="0"/>
          <w:color w:val="auto"/>
          <w:kern w:val="0"/>
          <w:sz w:val="24"/>
          <w:szCs w:val="24"/>
          <w:lang w:val="en-US" w:eastAsia="zh-CN" w:bidi="ar"/>
        </w:rPr>
        <w:t>本公司（联合体）郑重声明，根据《政府采购促进中小企业发展管理办法》（财库﹝2020﹞46 号）的规定，本公司（联合体）参加</w:t>
      </w:r>
      <w:r>
        <w:rPr>
          <w:rFonts w:hint="eastAsia" w:ascii="宋体" w:hAnsi="宋体" w:eastAsia="宋体" w:cs="宋体"/>
          <w:b w:val="0"/>
          <w:bCs w:val="0"/>
          <w:color w:val="auto"/>
          <w:kern w:val="0"/>
          <w:sz w:val="24"/>
          <w:szCs w:val="24"/>
          <w:u w:val="single"/>
          <w:lang w:val="en-US" w:eastAsia="zh-CN" w:bidi="ar"/>
        </w:rPr>
        <w:t>     （单位名称）</w:t>
      </w:r>
      <w:r>
        <w:rPr>
          <w:rFonts w:hint="eastAsia" w:ascii="宋体" w:hAnsi="宋体" w:eastAsia="宋体" w:cs="宋体"/>
          <w:b w:val="0"/>
          <w:bCs w:val="0"/>
          <w:color w:val="auto"/>
          <w:kern w:val="0"/>
          <w:sz w:val="24"/>
          <w:szCs w:val="24"/>
          <w:lang w:val="en-US" w:eastAsia="zh-CN" w:bidi="ar"/>
        </w:rPr>
        <w:t>的</w:t>
      </w:r>
      <w:r>
        <w:rPr>
          <w:rFonts w:hint="eastAsia" w:ascii="宋体" w:hAnsi="宋体" w:eastAsia="宋体" w:cs="宋体"/>
          <w:b w:val="0"/>
          <w:bCs w:val="0"/>
          <w:color w:val="auto"/>
          <w:kern w:val="0"/>
          <w:sz w:val="24"/>
          <w:szCs w:val="24"/>
          <w:u w:val="single"/>
          <w:lang w:val="en-US" w:eastAsia="zh-CN" w:bidi="ar"/>
        </w:rPr>
        <w:t>    （项目名称）</w:t>
      </w:r>
      <w:r>
        <w:rPr>
          <w:rFonts w:hint="eastAsia" w:ascii="宋体" w:hAnsi="宋体" w:eastAsia="宋体" w:cs="宋体"/>
          <w:b w:val="0"/>
          <w:bCs w:val="0"/>
          <w:color w:val="auto"/>
          <w:kern w:val="0"/>
          <w:sz w:val="24"/>
          <w:szCs w:val="24"/>
          <w:lang w:val="en-US" w:eastAsia="zh-CN" w:bidi="ar"/>
        </w:rPr>
        <w:t>采购活动，提供的货物全部由符合政策要求的中小企业制造。相关企业（含联合体中的中小企业、签订分包意向协议的中小企业）的具体情况如下：</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64" w:lineRule="auto"/>
        <w:ind w:left="0" w:right="0" w:firstLine="482"/>
        <w:jc w:val="left"/>
        <w:textAlignment w:val="auto"/>
        <w:rPr>
          <w:color w:val="auto"/>
        </w:rPr>
      </w:pPr>
      <w:r>
        <w:rPr>
          <w:rFonts w:hint="eastAsia" w:ascii="宋体" w:hAnsi="宋体" w:eastAsia="宋体" w:cs="宋体"/>
          <w:b w:val="0"/>
          <w:bCs w:val="0"/>
          <w:color w:val="auto"/>
          <w:kern w:val="0"/>
          <w:sz w:val="24"/>
          <w:szCs w:val="24"/>
          <w:lang w:val="en-US" w:eastAsia="zh-CN" w:bidi="ar"/>
        </w:rPr>
        <w:t>1.</w:t>
      </w:r>
      <w:r>
        <w:rPr>
          <w:rFonts w:hint="eastAsia" w:ascii="宋体" w:hAnsi="宋体" w:eastAsia="宋体" w:cs="宋体"/>
          <w:b w:val="0"/>
          <w:bCs w:val="0"/>
          <w:color w:val="auto"/>
          <w:kern w:val="0"/>
          <w:sz w:val="24"/>
          <w:szCs w:val="24"/>
          <w:u w:val="single"/>
          <w:lang w:val="en-US" w:eastAsia="zh-CN" w:bidi="ar"/>
        </w:rPr>
        <w:t>     （标的名称）</w:t>
      </w:r>
      <w:r>
        <w:rPr>
          <w:rFonts w:hint="eastAsia" w:ascii="宋体" w:hAnsi="宋体" w:eastAsia="宋体" w:cs="宋体"/>
          <w:b w:val="0"/>
          <w:bCs w:val="0"/>
          <w:color w:val="auto"/>
          <w:kern w:val="0"/>
          <w:sz w:val="24"/>
          <w:szCs w:val="24"/>
          <w:lang w:val="en-US" w:eastAsia="zh-CN" w:bidi="ar"/>
        </w:rPr>
        <w:t>，属于</w:t>
      </w:r>
      <w:r>
        <w:rPr>
          <w:rFonts w:hint="eastAsia" w:ascii="宋体" w:hAnsi="宋体" w:eastAsia="宋体" w:cs="宋体"/>
          <w:b w:val="0"/>
          <w:bCs w:val="0"/>
          <w:color w:val="auto"/>
          <w:kern w:val="0"/>
          <w:sz w:val="24"/>
          <w:szCs w:val="24"/>
          <w:u w:val="single"/>
          <w:lang w:val="en-US" w:eastAsia="zh-CN" w:bidi="ar"/>
        </w:rPr>
        <w:t>     （采购文件中明确的所属行业）</w:t>
      </w:r>
      <w:r>
        <w:rPr>
          <w:rFonts w:hint="eastAsia" w:ascii="宋体" w:hAnsi="宋体" w:eastAsia="宋体" w:cs="宋体"/>
          <w:b w:val="0"/>
          <w:bCs w:val="0"/>
          <w:color w:val="auto"/>
          <w:kern w:val="0"/>
          <w:sz w:val="24"/>
          <w:szCs w:val="24"/>
          <w:lang w:val="en-US" w:eastAsia="zh-CN" w:bidi="ar"/>
        </w:rPr>
        <w:t>行业；制造商为</w:t>
      </w:r>
      <w:r>
        <w:rPr>
          <w:rFonts w:hint="eastAsia" w:ascii="宋体" w:hAnsi="宋体" w:eastAsia="宋体" w:cs="宋体"/>
          <w:b w:val="0"/>
          <w:bCs w:val="0"/>
          <w:color w:val="auto"/>
          <w:kern w:val="0"/>
          <w:sz w:val="24"/>
          <w:szCs w:val="24"/>
          <w:u w:val="single"/>
          <w:lang w:val="en-US" w:eastAsia="zh-CN" w:bidi="ar"/>
        </w:rPr>
        <w:t>       （企业名称）</w:t>
      </w:r>
      <w:r>
        <w:rPr>
          <w:rFonts w:hint="eastAsia" w:ascii="宋体" w:hAnsi="宋体" w:eastAsia="宋体" w:cs="宋体"/>
          <w:b w:val="0"/>
          <w:bCs w:val="0"/>
          <w:color w:val="auto"/>
          <w:kern w:val="0"/>
          <w:sz w:val="24"/>
          <w:szCs w:val="24"/>
          <w:lang w:val="en-US" w:eastAsia="zh-CN" w:bidi="ar"/>
        </w:rPr>
        <w:t>，从业人员</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人，营业收入为</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万元，资产总额为</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万元</w:t>
      </w:r>
      <w:r>
        <w:rPr>
          <w:rFonts w:hint="eastAsia" w:ascii="宋体" w:hAnsi="宋体" w:eastAsia="宋体" w:cs="宋体"/>
          <w:b w:val="0"/>
          <w:bCs w:val="0"/>
          <w:color w:val="auto"/>
          <w:kern w:val="0"/>
          <w:sz w:val="24"/>
          <w:szCs w:val="24"/>
          <w:vertAlign w:val="superscript"/>
          <w:lang w:val="en-US" w:eastAsia="zh-CN" w:bidi="ar"/>
        </w:rPr>
        <w:t>1</w:t>
      </w:r>
      <w:r>
        <w:rPr>
          <w:rFonts w:hint="eastAsia" w:ascii="宋体" w:hAnsi="宋体" w:eastAsia="宋体" w:cs="宋体"/>
          <w:b w:val="0"/>
          <w:bCs w:val="0"/>
          <w:color w:val="auto"/>
          <w:kern w:val="0"/>
          <w:sz w:val="24"/>
          <w:szCs w:val="24"/>
          <w:lang w:val="en-US" w:eastAsia="zh-CN" w:bidi="ar"/>
        </w:rPr>
        <w:t>，属于</w:t>
      </w:r>
      <w:r>
        <w:rPr>
          <w:rFonts w:hint="eastAsia" w:ascii="宋体" w:hAnsi="宋体" w:eastAsia="宋体" w:cs="宋体"/>
          <w:b w:val="0"/>
          <w:bCs w:val="0"/>
          <w:color w:val="auto"/>
          <w:kern w:val="0"/>
          <w:sz w:val="24"/>
          <w:szCs w:val="24"/>
          <w:u w:val="single"/>
          <w:lang w:val="en-US" w:eastAsia="zh-CN" w:bidi="ar"/>
        </w:rPr>
        <w:t>     （中型企业、小型企业、微型企业）</w:t>
      </w:r>
      <w:r>
        <w:rPr>
          <w:rFonts w:hint="eastAsia" w:ascii="宋体" w:hAnsi="宋体" w:eastAsia="宋体" w:cs="宋体"/>
          <w:b w:val="0"/>
          <w:bCs w:val="0"/>
          <w:color w:val="auto"/>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64" w:lineRule="auto"/>
        <w:ind w:left="0" w:right="0" w:firstLine="482"/>
        <w:jc w:val="left"/>
        <w:textAlignment w:val="auto"/>
        <w:rPr>
          <w:color w:val="auto"/>
        </w:rPr>
      </w:pPr>
      <w:r>
        <w:rPr>
          <w:rFonts w:hint="eastAsia" w:ascii="宋体" w:hAnsi="宋体" w:eastAsia="宋体" w:cs="宋体"/>
          <w:b w:val="0"/>
          <w:bCs w:val="0"/>
          <w:color w:val="auto"/>
          <w:kern w:val="0"/>
          <w:sz w:val="24"/>
          <w:szCs w:val="24"/>
          <w:lang w:val="en-US" w:eastAsia="zh-CN" w:bidi="ar"/>
        </w:rPr>
        <w:t>2.</w:t>
      </w:r>
      <w:r>
        <w:rPr>
          <w:rFonts w:hint="eastAsia" w:ascii="宋体" w:hAnsi="宋体" w:eastAsia="宋体" w:cs="宋体"/>
          <w:b w:val="0"/>
          <w:bCs w:val="0"/>
          <w:color w:val="auto"/>
          <w:kern w:val="0"/>
          <w:sz w:val="24"/>
          <w:szCs w:val="24"/>
          <w:u w:val="single"/>
          <w:lang w:val="en-US" w:eastAsia="zh-CN" w:bidi="ar"/>
        </w:rPr>
        <w:t>     （标的名称）</w:t>
      </w:r>
      <w:r>
        <w:rPr>
          <w:rFonts w:hint="eastAsia" w:ascii="宋体" w:hAnsi="宋体" w:eastAsia="宋体" w:cs="宋体"/>
          <w:b w:val="0"/>
          <w:bCs w:val="0"/>
          <w:color w:val="auto"/>
          <w:kern w:val="0"/>
          <w:sz w:val="24"/>
          <w:szCs w:val="24"/>
          <w:lang w:val="en-US" w:eastAsia="zh-CN" w:bidi="ar"/>
        </w:rPr>
        <w:t>，属于</w:t>
      </w:r>
      <w:r>
        <w:rPr>
          <w:rFonts w:hint="eastAsia" w:ascii="宋体" w:hAnsi="宋体" w:eastAsia="宋体" w:cs="宋体"/>
          <w:b w:val="0"/>
          <w:bCs w:val="0"/>
          <w:color w:val="auto"/>
          <w:kern w:val="0"/>
          <w:sz w:val="24"/>
          <w:szCs w:val="24"/>
          <w:u w:val="single"/>
          <w:lang w:val="en-US" w:eastAsia="zh-CN" w:bidi="ar"/>
        </w:rPr>
        <w:t>     （采购文件中明确的所属行业）</w:t>
      </w:r>
      <w:r>
        <w:rPr>
          <w:rFonts w:hint="eastAsia" w:ascii="宋体" w:hAnsi="宋体" w:eastAsia="宋体" w:cs="宋体"/>
          <w:b w:val="0"/>
          <w:bCs w:val="0"/>
          <w:color w:val="auto"/>
          <w:kern w:val="0"/>
          <w:sz w:val="24"/>
          <w:szCs w:val="24"/>
          <w:lang w:val="en-US" w:eastAsia="zh-CN" w:bidi="ar"/>
        </w:rPr>
        <w:t>行业；制造商为</w:t>
      </w:r>
      <w:r>
        <w:rPr>
          <w:rFonts w:hint="eastAsia" w:ascii="宋体" w:hAnsi="宋体" w:eastAsia="宋体" w:cs="宋体"/>
          <w:b w:val="0"/>
          <w:bCs w:val="0"/>
          <w:color w:val="auto"/>
          <w:kern w:val="0"/>
          <w:sz w:val="24"/>
          <w:szCs w:val="24"/>
          <w:u w:val="single"/>
          <w:lang w:val="en-US" w:eastAsia="zh-CN" w:bidi="ar"/>
        </w:rPr>
        <w:t>       （企业名称）</w:t>
      </w:r>
      <w:r>
        <w:rPr>
          <w:rFonts w:hint="eastAsia" w:ascii="宋体" w:hAnsi="宋体" w:eastAsia="宋体" w:cs="宋体"/>
          <w:b w:val="0"/>
          <w:bCs w:val="0"/>
          <w:color w:val="auto"/>
          <w:kern w:val="0"/>
          <w:sz w:val="24"/>
          <w:szCs w:val="24"/>
          <w:lang w:val="en-US" w:eastAsia="zh-CN" w:bidi="ar"/>
        </w:rPr>
        <w:t>，从业人员</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人，营业收入为</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万元，资产总额为</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万元</w:t>
      </w:r>
      <w:r>
        <w:rPr>
          <w:rFonts w:hint="eastAsia" w:ascii="宋体" w:hAnsi="宋体" w:eastAsia="宋体" w:cs="宋体"/>
          <w:b w:val="0"/>
          <w:bCs w:val="0"/>
          <w:color w:val="auto"/>
          <w:kern w:val="0"/>
          <w:sz w:val="24"/>
          <w:szCs w:val="24"/>
          <w:vertAlign w:val="superscript"/>
          <w:lang w:val="en-US" w:eastAsia="zh-CN" w:bidi="ar"/>
        </w:rPr>
        <w:t>1</w:t>
      </w:r>
      <w:r>
        <w:rPr>
          <w:rFonts w:hint="eastAsia" w:ascii="宋体" w:hAnsi="宋体" w:eastAsia="宋体" w:cs="宋体"/>
          <w:b w:val="0"/>
          <w:bCs w:val="0"/>
          <w:color w:val="auto"/>
          <w:kern w:val="0"/>
          <w:sz w:val="24"/>
          <w:szCs w:val="24"/>
          <w:lang w:val="en-US" w:eastAsia="zh-CN" w:bidi="ar"/>
        </w:rPr>
        <w:t>，属于</w:t>
      </w:r>
      <w:r>
        <w:rPr>
          <w:rFonts w:hint="eastAsia" w:ascii="宋体" w:hAnsi="宋体" w:eastAsia="宋体" w:cs="宋体"/>
          <w:b w:val="0"/>
          <w:bCs w:val="0"/>
          <w:color w:val="auto"/>
          <w:kern w:val="0"/>
          <w:sz w:val="24"/>
          <w:szCs w:val="24"/>
          <w:u w:val="single"/>
          <w:lang w:val="en-US" w:eastAsia="zh-CN" w:bidi="ar"/>
        </w:rPr>
        <w:t>     （中型企业、小型企业、微型企业）</w:t>
      </w:r>
      <w:r>
        <w:rPr>
          <w:rFonts w:hint="eastAsia" w:ascii="宋体" w:hAnsi="宋体" w:eastAsia="宋体" w:cs="宋体"/>
          <w:b w:val="0"/>
          <w:bCs w:val="0"/>
          <w:color w:val="auto"/>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64" w:lineRule="auto"/>
        <w:ind w:left="0" w:right="0" w:firstLine="482"/>
        <w:jc w:val="left"/>
        <w:textAlignment w:val="auto"/>
        <w:rPr>
          <w:color w:val="auto"/>
        </w:rPr>
      </w:pPr>
      <w:r>
        <w:rPr>
          <w:rFonts w:hint="eastAsia" w:ascii="宋体" w:hAnsi="宋体" w:eastAsia="宋体" w:cs="宋体"/>
          <w:b w:val="0"/>
          <w:bCs w:val="0"/>
          <w:color w:val="auto"/>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right="0" w:firstLine="480"/>
        <w:jc w:val="left"/>
        <w:textAlignment w:val="auto"/>
        <w:rPr>
          <w:color w:val="auto"/>
        </w:rPr>
      </w:pPr>
      <w:r>
        <w:rPr>
          <w:rFonts w:hint="eastAsia" w:ascii="宋体" w:hAnsi="宋体" w:eastAsia="宋体" w:cs="宋体"/>
          <w:b w:val="0"/>
          <w:bCs w:val="0"/>
          <w:color w:val="auto"/>
          <w:kern w:val="0"/>
          <w:sz w:val="24"/>
          <w:szCs w:val="24"/>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right="0" w:firstLine="480"/>
        <w:jc w:val="left"/>
        <w:textAlignment w:val="auto"/>
        <w:rPr>
          <w:color w:val="auto"/>
        </w:rPr>
      </w:pPr>
      <w:r>
        <w:rPr>
          <w:rFonts w:hint="eastAsia" w:ascii="宋体" w:hAnsi="宋体" w:eastAsia="宋体" w:cs="宋体"/>
          <w:b w:val="0"/>
          <w:bCs w:val="0"/>
          <w:color w:val="auto"/>
          <w:kern w:val="0"/>
          <w:sz w:val="24"/>
          <w:szCs w:val="24"/>
          <w:lang w:val="en-US" w:eastAsia="zh-CN" w:bidi="ar"/>
        </w:rPr>
        <w:t>本企业对上述声明内容的真实性负责。如有虚假，将依法承担相应责任。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right="0" w:firstLine="5278"/>
        <w:jc w:val="left"/>
        <w:textAlignment w:val="auto"/>
        <w:rPr>
          <w:color w:val="auto"/>
        </w:rPr>
      </w:pPr>
      <w:r>
        <w:rPr>
          <w:rFonts w:hint="eastAsia" w:ascii="宋体" w:hAnsi="宋体" w:eastAsia="宋体" w:cs="宋体"/>
          <w:b w:val="0"/>
          <w:bCs w:val="0"/>
          <w:color w:val="auto"/>
          <w:kern w:val="0"/>
          <w:sz w:val="24"/>
          <w:szCs w:val="24"/>
          <w:lang w:val="en-US" w:eastAsia="zh-CN" w:bidi="ar"/>
        </w:rPr>
        <w:t>企业名称（盖章）：</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right="0" w:firstLine="5278"/>
        <w:jc w:val="left"/>
        <w:textAlignment w:val="auto"/>
        <w:rPr>
          <w:color w:val="auto"/>
        </w:rPr>
      </w:pPr>
      <w:r>
        <w:rPr>
          <w:rFonts w:hint="eastAsia" w:ascii="宋体" w:hAnsi="宋体" w:eastAsia="宋体" w:cs="宋体"/>
          <w:b w:val="0"/>
          <w:bCs w:val="0"/>
          <w:color w:val="auto"/>
          <w:kern w:val="0"/>
          <w:sz w:val="24"/>
          <w:szCs w:val="24"/>
          <w:lang w:val="en-US" w:eastAsia="zh-CN" w:bidi="ar"/>
        </w:rPr>
        <w:t>日 期：</w:t>
      </w:r>
    </w:p>
    <w:p>
      <w:pPr>
        <w:keepNext w:val="0"/>
        <w:keepLines w:val="0"/>
        <w:widowControl/>
        <w:suppressLineNumbers w:val="0"/>
        <w:spacing w:before="100" w:beforeAutospacing="1" w:after="100" w:afterAutospacing="1" w:line="435" w:lineRule="atLeast"/>
        <w:ind w:left="0" w:right="0"/>
        <w:jc w:val="left"/>
        <w:rPr>
          <w:color w:val="auto"/>
        </w:rPr>
      </w:pPr>
      <w:r>
        <w:rPr>
          <w:rFonts w:hint="eastAsia" w:ascii="宋体" w:hAnsi="宋体" w:eastAsia="宋体" w:cs="宋体"/>
          <w:b w:val="0"/>
          <w:bCs w:val="0"/>
          <w:color w:val="auto"/>
          <w:kern w:val="0"/>
          <w:sz w:val="24"/>
          <w:szCs w:val="24"/>
          <w:u w:val="single"/>
          <w:lang w:val="en-US" w:eastAsia="zh-CN" w:bidi="ar"/>
        </w:rPr>
        <w:t>           </w:t>
      </w:r>
    </w:p>
    <w:p>
      <w:pPr>
        <w:keepNext w:val="0"/>
        <w:keepLines w:val="0"/>
        <w:widowControl/>
        <w:suppressLineNumbers w:val="0"/>
        <w:spacing w:before="100" w:beforeAutospacing="1" w:after="100" w:afterAutospacing="1" w:line="435" w:lineRule="atLeast"/>
        <w:ind w:left="0" w:right="0"/>
        <w:jc w:val="left"/>
        <w:rPr>
          <w:rFonts w:ascii="宋体" w:hAnsi="宋体" w:cs="宋体"/>
          <w:color w:val="auto"/>
          <w:spacing w:val="6"/>
          <w:kern w:val="0"/>
          <w:szCs w:val="21"/>
        </w:rPr>
      </w:pPr>
      <w:r>
        <w:rPr>
          <w:rFonts w:hint="eastAsia" w:ascii="宋体" w:hAnsi="宋体" w:eastAsia="宋体" w:cs="宋体"/>
          <w:b w:val="0"/>
          <w:bCs w:val="0"/>
          <w:color w:val="auto"/>
          <w:kern w:val="0"/>
          <w:sz w:val="18"/>
          <w:szCs w:val="18"/>
          <w:vertAlign w:val="superscript"/>
          <w:lang w:val="en-US" w:eastAsia="zh-CN" w:bidi="ar"/>
        </w:rPr>
        <w:t>1</w:t>
      </w:r>
      <w:r>
        <w:rPr>
          <w:rFonts w:hint="eastAsia" w:ascii="宋体" w:hAnsi="宋体" w:eastAsia="宋体" w:cs="宋体"/>
          <w:b w:val="0"/>
          <w:bCs w:val="0"/>
          <w:color w:val="auto"/>
          <w:kern w:val="0"/>
          <w:sz w:val="18"/>
          <w:szCs w:val="18"/>
          <w:lang w:val="en-US" w:eastAsia="zh-CN" w:bidi="ar"/>
        </w:rPr>
        <w:t>从业人员、营业收入、资产总额填报上一年度数据，无上一年度数据的新成立企业可不填报。</w:t>
      </w:r>
    </w:p>
    <w:p>
      <w:pPr>
        <w:pStyle w:val="7"/>
        <w:rPr>
          <w:rFonts w:ascii="黑体" w:hAnsi="宋体"/>
          <w:b w:val="0"/>
          <w:color w:val="auto"/>
          <w:spacing w:val="6"/>
          <w:sz w:val="21"/>
          <w:szCs w:val="21"/>
        </w:rPr>
      </w:pPr>
      <w:bookmarkStart w:id="146" w:name="_Toc29913972"/>
      <w:bookmarkStart w:id="147" w:name="_Toc15656"/>
      <w:r>
        <w:rPr>
          <w:rFonts w:hint="eastAsia" w:ascii="黑体" w:hAnsi="华文中宋" w:cs="宋体"/>
          <w:b w:val="0"/>
          <w:bCs w:val="0"/>
          <w:color w:val="auto"/>
          <w:spacing w:val="6"/>
          <w:kern w:val="0"/>
          <w:sz w:val="21"/>
          <w:szCs w:val="21"/>
        </w:rPr>
        <w:t xml:space="preserve">附件10-2 </w:t>
      </w:r>
      <w:r>
        <w:rPr>
          <w:rFonts w:hint="eastAsia" w:ascii="黑体" w:hAnsi="宋体"/>
          <w:b w:val="0"/>
          <w:color w:val="auto"/>
          <w:spacing w:val="6"/>
          <w:sz w:val="21"/>
          <w:szCs w:val="21"/>
        </w:rPr>
        <w:t>残疾人福利性单位声明函</w:t>
      </w:r>
      <w:bookmarkEnd w:id="146"/>
      <w:bookmarkEnd w:id="147"/>
    </w:p>
    <w:p>
      <w:pPr>
        <w:adjustRightInd w:val="0"/>
        <w:snapToGrid w:val="0"/>
        <w:spacing w:line="360" w:lineRule="auto"/>
        <w:jc w:val="center"/>
        <w:rPr>
          <w:rFonts w:ascii="黑体" w:hAnsi="黑体" w:eastAsia="黑体"/>
          <w:b/>
          <w:color w:val="auto"/>
          <w:spacing w:val="6"/>
          <w:sz w:val="28"/>
          <w:szCs w:val="28"/>
        </w:rPr>
      </w:pPr>
      <w:r>
        <w:rPr>
          <w:rFonts w:hint="eastAsia" w:ascii="黑体" w:hAnsi="黑体" w:eastAsia="黑体"/>
          <w:b/>
          <w:color w:val="auto"/>
          <w:spacing w:val="6"/>
          <w:sz w:val="28"/>
          <w:szCs w:val="28"/>
        </w:rPr>
        <w:t>残疾人福利性单位声明函</w:t>
      </w:r>
    </w:p>
    <w:p>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(不属于残疾人福利性单位的无需填写)</w:t>
      </w:r>
    </w:p>
    <w:p>
      <w:pPr>
        <w:adjustRightInd w:val="0"/>
        <w:snapToGrid w:val="0"/>
        <w:spacing w:line="360" w:lineRule="auto"/>
        <w:ind w:firstLine="444" w:firstLineChars="200"/>
        <w:rPr>
          <w:rFonts w:ascii="宋体" w:hAnsi="宋体"/>
          <w:color w:val="auto"/>
          <w:spacing w:val="6"/>
          <w:szCs w:val="21"/>
        </w:rPr>
      </w:pPr>
    </w:p>
    <w:p>
      <w:pPr>
        <w:adjustRightInd w:val="0"/>
        <w:snapToGrid w:val="0"/>
        <w:spacing w:line="360" w:lineRule="auto"/>
        <w:ind w:firstLine="444" w:firstLineChars="200"/>
        <w:rPr>
          <w:rFonts w:ascii="宋体" w:hAnsi="宋体"/>
          <w:color w:val="auto"/>
          <w:spacing w:val="6"/>
          <w:szCs w:val="21"/>
        </w:rPr>
      </w:pPr>
      <w:r>
        <w:rPr>
          <w:rFonts w:hint="eastAsia" w:ascii="宋体" w:hAnsi="宋体"/>
          <w:color w:val="auto"/>
          <w:spacing w:val="6"/>
          <w:szCs w:val="21"/>
        </w:rPr>
        <w:t>本单位郑重声明，根据《财政部 民政部 中国残疾人联合会关于促进残疾人就业政府采购政策的通知》（财库</w:t>
      </w:r>
      <w:r>
        <w:rPr>
          <w:rFonts w:hint="eastAsia" w:ascii="宋体" w:hAnsi="宋体"/>
          <w:color w:val="auto"/>
          <w:szCs w:val="21"/>
        </w:rPr>
        <w:t>〔2017〕141</w:t>
      </w:r>
      <w:r>
        <w:rPr>
          <w:rFonts w:hint="eastAsia" w:ascii="宋体" w:hAnsi="宋体"/>
          <w:color w:val="auto"/>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ascii="宋体" w:hAnsi="宋体"/>
          <w:color w:val="auto"/>
          <w:spacing w:val="6"/>
          <w:szCs w:val="21"/>
        </w:rPr>
      </w:pPr>
      <w:r>
        <w:rPr>
          <w:rFonts w:hint="eastAsia" w:ascii="宋体" w:hAnsi="宋体"/>
          <w:color w:val="auto"/>
          <w:spacing w:val="6"/>
          <w:szCs w:val="21"/>
        </w:rPr>
        <w:t>本单位对上述声明的真实性负责。如有虚假，将依法承担相应责任。</w:t>
      </w:r>
    </w:p>
    <w:p>
      <w:pPr>
        <w:adjustRightInd w:val="0"/>
        <w:snapToGrid w:val="0"/>
        <w:spacing w:line="360" w:lineRule="auto"/>
        <w:ind w:firstLine="444" w:firstLineChars="200"/>
        <w:rPr>
          <w:rFonts w:ascii="宋体" w:hAnsi="宋体"/>
          <w:color w:val="auto"/>
          <w:spacing w:val="6"/>
          <w:szCs w:val="21"/>
        </w:rPr>
      </w:pPr>
    </w:p>
    <w:p>
      <w:pPr>
        <w:adjustRightInd w:val="0"/>
        <w:snapToGrid w:val="0"/>
        <w:spacing w:line="360" w:lineRule="auto"/>
        <w:ind w:firstLine="444" w:firstLineChars="200"/>
        <w:rPr>
          <w:rFonts w:ascii="宋体" w:hAnsi="宋体"/>
          <w:color w:val="auto"/>
          <w:spacing w:val="6"/>
          <w:szCs w:val="21"/>
        </w:rPr>
      </w:pPr>
    </w:p>
    <w:p>
      <w:pPr>
        <w:tabs>
          <w:tab w:val="left" w:pos="4860"/>
        </w:tabs>
        <w:adjustRightInd w:val="0"/>
        <w:snapToGrid w:val="0"/>
        <w:spacing w:line="360" w:lineRule="auto"/>
        <w:ind w:right="1560" w:firstLine="444" w:firstLineChars="200"/>
        <w:jc w:val="center"/>
        <w:rPr>
          <w:rFonts w:ascii="宋体" w:hAnsi="宋体"/>
          <w:color w:val="auto"/>
          <w:spacing w:val="6"/>
          <w:szCs w:val="21"/>
        </w:rPr>
      </w:pPr>
      <w:r>
        <w:rPr>
          <w:rFonts w:hint="eastAsia" w:ascii="宋体" w:hAnsi="宋体"/>
          <w:color w:val="auto"/>
          <w:spacing w:val="6"/>
          <w:szCs w:val="21"/>
        </w:rPr>
        <w:t xml:space="preserve">               </w:t>
      </w:r>
      <w:r>
        <w:rPr>
          <w:rFonts w:hint="eastAsia" w:ascii="宋体" w:hAnsi="宋体"/>
          <w:color w:val="auto"/>
          <w:spacing w:val="6"/>
          <w:szCs w:val="21"/>
          <w:lang w:val="en-US" w:eastAsia="zh-CN"/>
        </w:rPr>
        <w:t xml:space="preserve">          </w:t>
      </w:r>
      <w:r>
        <w:rPr>
          <w:rFonts w:hint="eastAsia" w:ascii="宋体" w:hAnsi="宋体"/>
          <w:color w:val="auto"/>
          <w:spacing w:val="6"/>
          <w:szCs w:val="21"/>
        </w:rPr>
        <w:t>单位名称（盖单位电子章）：</w:t>
      </w:r>
    </w:p>
    <w:p>
      <w:pPr>
        <w:tabs>
          <w:tab w:val="left" w:pos="4860"/>
        </w:tabs>
        <w:adjustRightInd w:val="0"/>
        <w:snapToGrid w:val="0"/>
        <w:spacing w:line="360" w:lineRule="auto"/>
        <w:ind w:right="1560" w:firstLine="444" w:firstLineChars="200"/>
        <w:jc w:val="center"/>
        <w:rPr>
          <w:rFonts w:ascii="宋体" w:hAnsi="宋体"/>
          <w:color w:val="auto"/>
          <w:spacing w:val="6"/>
          <w:szCs w:val="21"/>
        </w:rPr>
      </w:pPr>
      <w:r>
        <w:rPr>
          <w:rFonts w:hint="eastAsia" w:ascii="宋体" w:hAnsi="宋体"/>
          <w:color w:val="auto"/>
          <w:spacing w:val="6"/>
          <w:szCs w:val="21"/>
        </w:rPr>
        <w:t xml:space="preserve">    </w:t>
      </w:r>
      <w:r>
        <w:rPr>
          <w:rFonts w:hint="eastAsia" w:ascii="宋体" w:hAnsi="宋体"/>
          <w:color w:val="auto"/>
          <w:spacing w:val="6"/>
          <w:szCs w:val="21"/>
          <w:lang w:val="en-US" w:eastAsia="zh-CN"/>
        </w:rPr>
        <w:t xml:space="preserve">   </w:t>
      </w:r>
      <w:r>
        <w:rPr>
          <w:rFonts w:hint="eastAsia" w:ascii="宋体" w:hAnsi="宋体"/>
          <w:color w:val="auto"/>
          <w:spacing w:val="6"/>
          <w:szCs w:val="21"/>
        </w:rPr>
        <w:t xml:space="preserve">   日  期：</w:t>
      </w:r>
    </w:p>
    <w:p>
      <w:pPr>
        <w:widowControl/>
        <w:adjustRightInd w:val="0"/>
        <w:snapToGrid w:val="0"/>
        <w:spacing w:line="360" w:lineRule="auto"/>
        <w:jc w:val="left"/>
        <w:rPr>
          <w:rFonts w:ascii="宋体" w:hAnsi="宋体" w:cs="宋体"/>
          <w:color w:val="auto"/>
          <w:kern w:val="0"/>
          <w:szCs w:val="21"/>
        </w:rPr>
      </w:pPr>
    </w:p>
    <w:p>
      <w:pPr>
        <w:widowControl/>
        <w:jc w:val="left"/>
        <w:rPr>
          <w:rFonts w:ascii="黑体" w:hAnsi="华文中宋" w:eastAsia="黑体" w:cs="宋体"/>
          <w:color w:val="auto"/>
          <w:spacing w:val="6"/>
          <w:kern w:val="0"/>
          <w:szCs w:val="21"/>
        </w:rPr>
      </w:pPr>
      <w:r>
        <w:rPr>
          <w:rFonts w:ascii="黑体" w:hAnsi="华文中宋" w:cs="宋体"/>
          <w:b/>
          <w:bCs/>
          <w:color w:val="auto"/>
          <w:spacing w:val="6"/>
          <w:kern w:val="0"/>
          <w:szCs w:val="21"/>
        </w:rPr>
        <w:br w:type="page"/>
      </w:r>
    </w:p>
    <w:p>
      <w:pPr>
        <w:pStyle w:val="7"/>
        <w:rPr>
          <w:rFonts w:ascii="黑体" w:hAnsi="宋体"/>
          <w:b w:val="0"/>
          <w:color w:val="auto"/>
          <w:sz w:val="21"/>
          <w:szCs w:val="21"/>
        </w:rPr>
      </w:pPr>
      <w:bookmarkStart w:id="148" w:name="_Toc29913973"/>
      <w:bookmarkStart w:id="149" w:name="_Toc2082"/>
      <w:r>
        <w:rPr>
          <w:rFonts w:hint="eastAsia" w:ascii="黑体" w:hAnsi="宋体" w:cs="宋体"/>
          <w:b w:val="0"/>
          <w:color w:val="auto"/>
          <w:kern w:val="0"/>
          <w:sz w:val="21"/>
          <w:szCs w:val="21"/>
        </w:rPr>
        <w:t xml:space="preserve">附件10-3 </w:t>
      </w:r>
      <w:r>
        <w:rPr>
          <w:rFonts w:hint="eastAsia" w:ascii="黑体" w:hAnsi="宋体"/>
          <w:b w:val="0"/>
          <w:color w:val="auto"/>
          <w:sz w:val="21"/>
          <w:szCs w:val="21"/>
        </w:rPr>
        <w:t>监狱企业证明资料</w:t>
      </w:r>
      <w:bookmarkEnd w:id="148"/>
      <w:bookmarkEnd w:id="149"/>
    </w:p>
    <w:p>
      <w:pPr>
        <w:adjustRightInd w:val="0"/>
        <w:snapToGrid w:val="0"/>
        <w:spacing w:line="360" w:lineRule="auto"/>
        <w:jc w:val="center"/>
        <w:rPr>
          <w:rFonts w:ascii="黑体" w:hAnsi="宋体"/>
          <w:b/>
          <w:color w:val="auto"/>
          <w:sz w:val="28"/>
          <w:szCs w:val="28"/>
        </w:rPr>
      </w:pPr>
      <w:r>
        <w:rPr>
          <w:rFonts w:hint="eastAsia" w:ascii="黑体" w:hAnsi="宋体"/>
          <w:b/>
          <w:color w:val="auto"/>
          <w:sz w:val="28"/>
          <w:szCs w:val="28"/>
        </w:rPr>
        <w:t>监狱企业证明资料</w:t>
      </w:r>
    </w:p>
    <w:p>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(不属于监狱企业的无需提供)</w:t>
      </w:r>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ind w:firstLine="444" w:firstLineChars="200"/>
        <w:rPr>
          <w:rFonts w:asciiTheme="minorEastAsia" w:hAnsiTheme="minorEastAsia" w:eastAsiaTheme="minorEastAsia"/>
          <w:color w:val="auto"/>
          <w:szCs w:val="21"/>
        </w:rPr>
      </w:pPr>
      <w:r>
        <w:rPr>
          <w:rFonts w:hint="eastAsia" w:cs="宋体" w:asciiTheme="minorEastAsia" w:hAnsiTheme="minorEastAsia" w:eastAsiaTheme="minorEastAsia"/>
          <w:bCs/>
          <w:color w:val="auto"/>
          <w:spacing w:val="6"/>
          <w:kern w:val="0"/>
          <w:szCs w:val="21"/>
        </w:rPr>
        <w:t>备注：</w:t>
      </w:r>
      <w:r>
        <w:rPr>
          <w:rFonts w:hint="eastAsia" w:asciiTheme="minorEastAsia" w:hAnsiTheme="minorEastAsia" w:eastAsiaTheme="minorEastAsia"/>
          <w:color w:val="auto"/>
          <w:szCs w:val="21"/>
        </w:rPr>
        <w:t>按</w:t>
      </w:r>
      <w:r>
        <w:rPr>
          <w:rFonts w:hint="eastAsia" w:ascii="宋体" w:hAnsi="宋体"/>
          <w:color w:val="auto"/>
          <w:spacing w:val="6"/>
          <w:szCs w:val="21"/>
        </w:rPr>
        <w:t>《</w:t>
      </w:r>
      <w:r>
        <w:rPr>
          <w:rFonts w:hint="eastAsia" w:asciiTheme="minorEastAsia" w:hAnsiTheme="minorEastAsia" w:eastAsiaTheme="minorEastAsia"/>
          <w:color w:val="auto"/>
          <w:szCs w:val="21"/>
        </w:rPr>
        <w:t>财政部 司法部关于政府采购支持监狱企业发展有关问题的通知</w:t>
      </w:r>
      <w:r>
        <w:rPr>
          <w:rFonts w:hint="eastAsia" w:ascii="宋体" w:hAnsi="宋体"/>
          <w:color w:val="auto"/>
          <w:spacing w:val="6"/>
          <w:szCs w:val="21"/>
        </w:rPr>
        <w:t>》</w:t>
      </w:r>
      <w:r>
        <w:rPr>
          <w:rFonts w:hint="eastAsia" w:asciiTheme="minorEastAsia" w:hAnsiTheme="minorEastAsia" w:eastAsiaTheme="minorEastAsia"/>
          <w:color w:val="auto"/>
          <w:szCs w:val="21"/>
        </w:rPr>
        <w:t>(财库〔2014〕68号)文件规定提供证明文件（复印件）。</w:t>
      </w:r>
    </w:p>
    <w:p>
      <w:pPr>
        <w:adjustRightInd w:val="0"/>
        <w:snapToGrid w:val="0"/>
        <w:spacing w:line="360" w:lineRule="auto"/>
        <w:rPr>
          <w:rFonts w:ascii="黑体" w:hAnsi="华文中宋" w:eastAsia="黑体" w:cs="宋体"/>
          <w:bCs/>
          <w:color w:val="auto"/>
          <w:spacing w:val="6"/>
          <w:kern w:val="0"/>
          <w:szCs w:val="21"/>
        </w:rPr>
      </w:pPr>
      <w:r>
        <w:rPr>
          <w:rFonts w:ascii="黑体" w:hAnsi="华文中宋" w:eastAsia="黑体" w:cs="宋体"/>
          <w:bCs/>
          <w:color w:val="auto"/>
          <w:spacing w:val="6"/>
          <w:kern w:val="0"/>
          <w:szCs w:val="21"/>
        </w:rPr>
        <w:br w:type="page"/>
      </w:r>
    </w:p>
    <w:p>
      <w:pPr>
        <w:pStyle w:val="7"/>
        <w:rPr>
          <w:rFonts w:ascii="黑体" w:hAnsi="宋体"/>
          <w:b w:val="0"/>
          <w:color w:val="auto"/>
          <w:sz w:val="21"/>
          <w:szCs w:val="21"/>
        </w:rPr>
      </w:pPr>
      <w:bookmarkStart w:id="150" w:name="_Toc29913974"/>
      <w:bookmarkStart w:id="151" w:name="_Toc7447"/>
      <w:r>
        <w:rPr>
          <w:rFonts w:hint="eastAsia" w:ascii="黑体" w:hAnsi="华文中宋" w:cs="宋体"/>
          <w:b w:val="0"/>
          <w:bCs w:val="0"/>
          <w:color w:val="auto"/>
          <w:spacing w:val="6"/>
          <w:kern w:val="0"/>
          <w:sz w:val="21"/>
          <w:szCs w:val="21"/>
        </w:rPr>
        <w:t xml:space="preserve">附件10-4 </w:t>
      </w:r>
      <w:r>
        <w:rPr>
          <w:rFonts w:hint="eastAsia" w:ascii="黑体" w:hAnsi="宋体"/>
          <w:b w:val="0"/>
          <w:color w:val="auto"/>
          <w:sz w:val="21"/>
          <w:szCs w:val="21"/>
        </w:rPr>
        <w:t>强制采购或者优先采购产品</w:t>
      </w:r>
      <w:r>
        <w:rPr>
          <w:rFonts w:hint="eastAsia" w:ascii="黑体" w:hAnsi="宋体"/>
          <w:b w:val="0"/>
          <w:bCs w:val="0"/>
          <w:color w:val="auto"/>
          <w:sz w:val="21"/>
          <w:szCs w:val="21"/>
        </w:rPr>
        <w:t>的</w:t>
      </w:r>
      <w:r>
        <w:rPr>
          <w:rFonts w:hint="eastAsia" w:ascii="黑体" w:hAnsi="宋体"/>
          <w:b w:val="0"/>
          <w:color w:val="auto"/>
          <w:sz w:val="21"/>
          <w:szCs w:val="21"/>
        </w:rPr>
        <w:t>证明材料</w:t>
      </w:r>
      <w:bookmarkEnd w:id="150"/>
      <w:bookmarkEnd w:id="151"/>
    </w:p>
    <w:p>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强制采购或者优先采购产品</w:t>
      </w:r>
      <w:r>
        <w:rPr>
          <w:rFonts w:hint="eastAsia" w:ascii="黑体" w:hAnsi="黑体" w:eastAsia="黑体"/>
          <w:b/>
          <w:bCs/>
          <w:color w:val="auto"/>
          <w:sz w:val="28"/>
          <w:szCs w:val="28"/>
        </w:rPr>
        <w:t>的</w:t>
      </w:r>
      <w:r>
        <w:rPr>
          <w:rFonts w:hint="eastAsia" w:ascii="黑体" w:hAnsi="黑体" w:eastAsia="黑体"/>
          <w:b/>
          <w:color w:val="auto"/>
          <w:sz w:val="28"/>
          <w:szCs w:val="28"/>
        </w:rPr>
        <w:t>证明材料</w:t>
      </w:r>
    </w:p>
    <w:p>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(不属于强制采购或者优先采购产品的无需提供)</w:t>
      </w:r>
    </w:p>
    <w:p>
      <w:pPr>
        <w:adjustRightInd w:val="0"/>
        <w:snapToGrid w:val="0"/>
        <w:spacing w:line="360" w:lineRule="auto"/>
        <w:ind w:firstLine="420" w:firstLineChars="200"/>
        <w:jc w:val="left"/>
        <w:rPr>
          <w:rFonts w:asciiTheme="minorEastAsia" w:hAnsiTheme="minorEastAsia" w:eastAsiaTheme="minorEastAsia"/>
          <w:color w:val="auto"/>
          <w:szCs w:val="21"/>
        </w:rPr>
      </w:pPr>
    </w:p>
    <w:p>
      <w:pPr>
        <w:adjustRightInd w:val="0"/>
        <w:snapToGri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说明：投标人提供的产品</w:t>
      </w:r>
      <w:r>
        <w:rPr>
          <w:rFonts w:hint="eastAsia" w:asciiTheme="minorEastAsia" w:hAnsiTheme="minorEastAsia" w:eastAsiaTheme="minorEastAsia"/>
          <w:bCs/>
          <w:color w:val="auto"/>
          <w:szCs w:val="21"/>
        </w:rPr>
        <w:t>属于强制采购或者优先采购的</w:t>
      </w:r>
      <w:r>
        <w:rPr>
          <w:rFonts w:hint="eastAsia" w:asciiTheme="minorEastAsia" w:hAnsiTheme="minorEastAsia" w:eastAsiaTheme="minorEastAsia"/>
          <w:color w:val="auto"/>
          <w:szCs w:val="21"/>
        </w:rPr>
        <w:t>，应按第二章第33.6款规定提供证明材料和本章本节附页2“优先采购产品清单”，并加盖投标人单位电子章。</w:t>
      </w:r>
    </w:p>
    <w:p>
      <w:pPr>
        <w:adjustRightInd w:val="0"/>
        <w:snapToGrid w:val="0"/>
        <w:spacing w:line="360" w:lineRule="auto"/>
        <w:ind w:firstLine="420" w:firstLineChars="200"/>
        <w:jc w:val="left"/>
        <w:rPr>
          <w:rFonts w:asciiTheme="minorEastAsia" w:hAnsiTheme="minorEastAsia" w:eastAsiaTheme="minorEastAsia"/>
          <w:color w:val="auto"/>
          <w:szCs w:val="21"/>
        </w:rPr>
      </w:pPr>
    </w:p>
    <w:p>
      <w:pPr>
        <w:adjustRightInd w:val="0"/>
        <w:snapToGrid w:val="0"/>
        <w:spacing w:line="360" w:lineRule="auto"/>
        <w:rPr>
          <w:rFonts w:ascii="黑体" w:hAnsi="宋体" w:eastAsia="黑体"/>
          <w:color w:val="auto"/>
          <w:szCs w:val="21"/>
        </w:rPr>
      </w:pPr>
      <w:r>
        <w:rPr>
          <w:rFonts w:ascii="黑体" w:hAnsi="宋体" w:eastAsia="黑体"/>
          <w:b/>
          <w:color w:val="auto"/>
          <w:sz w:val="28"/>
          <w:szCs w:val="28"/>
        </w:rPr>
        <w:br w:type="page"/>
      </w:r>
    </w:p>
    <w:p>
      <w:pPr>
        <w:pStyle w:val="7"/>
        <w:jc w:val="left"/>
        <w:rPr>
          <w:rFonts w:ascii="黑体" w:hAnsi="宋体"/>
          <w:b w:val="0"/>
          <w:color w:val="auto"/>
          <w:sz w:val="21"/>
          <w:szCs w:val="21"/>
        </w:rPr>
      </w:pPr>
      <w:bookmarkStart w:id="152" w:name="_Toc4541"/>
      <w:bookmarkStart w:id="153" w:name="_Toc29913975"/>
      <w:r>
        <w:rPr>
          <w:rFonts w:hint="eastAsia" w:ascii="黑体" w:hAnsi="华文中宋" w:cs="宋体"/>
          <w:b w:val="0"/>
          <w:bCs w:val="0"/>
          <w:color w:val="auto"/>
          <w:spacing w:val="6"/>
          <w:kern w:val="0"/>
          <w:sz w:val="21"/>
          <w:szCs w:val="21"/>
        </w:rPr>
        <w:t xml:space="preserve">附页 2 </w:t>
      </w:r>
      <w:r>
        <w:rPr>
          <w:rFonts w:hint="eastAsia" w:ascii="黑体" w:hAnsi="宋体"/>
          <w:b w:val="0"/>
          <w:color w:val="auto"/>
          <w:sz w:val="21"/>
          <w:szCs w:val="21"/>
        </w:rPr>
        <w:t>优先采购产品清单</w:t>
      </w:r>
      <w:bookmarkEnd w:id="152"/>
      <w:bookmarkEnd w:id="153"/>
    </w:p>
    <w:p>
      <w:pPr>
        <w:adjustRightInd w:val="0"/>
        <w:snapToGrid w:val="0"/>
        <w:spacing w:line="360" w:lineRule="auto"/>
        <w:jc w:val="center"/>
        <w:rPr>
          <w:rFonts w:ascii="宋体" w:hAnsi="宋体"/>
          <w:b/>
          <w:color w:val="auto"/>
          <w:spacing w:val="6"/>
          <w:szCs w:val="21"/>
        </w:rPr>
      </w:pPr>
      <w:r>
        <w:rPr>
          <w:rFonts w:hint="eastAsia" w:ascii="黑体" w:hAnsi="宋体" w:eastAsia="黑体"/>
          <w:b/>
          <w:color w:val="auto"/>
          <w:sz w:val="28"/>
          <w:szCs w:val="28"/>
        </w:rPr>
        <w:t>优先采购产品清单</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采购代理编号：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项目名称：</w:t>
      </w:r>
      <w:r>
        <w:rPr>
          <w:rFonts w:hint="eastAsia" w:asciiTheme="minorEastAsia" w:hAnsiTheme="minorEastAsia" w:eastAsiaTheme="minorEastAsia"/>
          <w:color w:val="auto"/>
          <w:szCs w:val="21"/>
          <w:u w:val="single"/>
        </w:rPr>
        <w:t>____            ______</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包       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包名称：</w:t>
      </w:r>
      <w:r>
        <w:rPr>
          <w:rFonts w:hint="eastAsia" w:asciiTheme="minorEastAsia" w:hAnsiTheme="minorEastAsia" w:eastAsiaTheme="minorEastAsia"/>
          <w:color w:val="auto"/>
          <w:szCs w:val="21"/>
          <w:u w:val="single"/>
        </w:rPr>
        <w:t>___          _______</w:t>
      </w:r>
      <w:r>
        <w:rPr>
          <w:rFonts w:hint="eastAsia" w:asciiTheme="minorEastAsia" w:hAnsiTheme="minorEastAsia" w:eastAsiaTheme="minorEastAsia"/>
          <w:color w:val="auto"/>
          <w:szCs w:val="21"/>
        </w:rPr>
        <w:t xml:space="preserve">  </w:t>
      </w:r>
    </w:p>
    <w:tbl>
      <w:tblPr>
        <w:tblStyle w:val="43"/>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vAlign w:val="center"/>
          </w:tcPr>
          <w:p>
            <w:pPr>
              <w:widowControl/>
              <w:adjustRightInd w:val="0"/>
              <w:snapToGrid w:val="0"/>
              <w:spacing w:line="360" w:lineRule="auto"/>
              <w:ind w:firstLine="480" w:firstLineChars="200"/>
              <w:jc w:val="left"/>
              <w:rPr>
                <w:rFonts w:ascii="黑体" w:hAnsi="黑体" w:eastAsia="黑体"/>
                <w:color w:val="auto"/>
                <w:kern w:val="0"/>
                <w:sz w:val="24"/>
              </w:rPr>
            </w:pPr>
            <w:r>
              <w:rPr>
                <w:rFonts w:hint="eastAsia" w:ascii="黑体" w:hAnsi="宋体" w:eastAsia="黑体"/>
                <w:color w:val="auto"/>
                <w:kern w:val="0"/>
                <w:sz w:val="24"/>
              </w:rPr>
              <w:t>以下为投标人提供的政府采购优先采购产品，投标人对本表的真实性负责。如有虚假，将依法承担相应责任。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vAlign w:val="center"/>
          </w:tcPr>
          <w:p>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1</w:t>
            </w:r>
          </w:p>
        </w:tc>
        <w:tc>
          <w:tcPr>
            <w:tcW w:w="1739"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w:t>
            </w:r>
          </w:p>
        </w:tc>
        <w:tc>
          <w:tcPr>
            <w:tcW w:w="1134" w:type="dxa"/>
            <w:tcBorders>
              <w:right w:val="single" w:color="auto" w:sz="4" w:space="0"/>
            </w:tcBorders>
            <w:vAlign w:val="center"/>
          </w:tcPr>
          <w:p>
            <w:pPr>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3</w:t>
            </w:r>
          </w:p>
        </w:tc>
        <w:tc>
          <w:tcPr>
            <w:tcW w:w="1418" w:type="dxa"/>
            <w:tcBorders>
              <w:left w:val="single" w:color="auto" w:sz="4" w:space="0"/>
            </w:tcBorders>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4</w:t>
            </w:r>
          </w:p>
        </w:tc>
        <w:tc>
          <w:tcPr>
            <w:tcW w:w="1984"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5</w:t>
            </w:r>
          </w:p>
        </w:tc>
        <w:tc>
          <w:tcPr>
            <w:tcW w:w="1843"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6</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vAlign w:val="center"/>
          </w:tcPr>
          <w:p>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序号</w:t>
            </w:r>
          </w:p>
        </w:tc>
        <w:tc>
          <w:tcPr>
            <w:tcW w:w="1739"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货物名称</w:t>
            </w:r>
          </w:p>
        </w:tc>
        <w:tc>
          <w:tcPr>
            <w:tcW w:w="1134" w:type="dxa"/>
            <w:tcBorders>
              <w:right w:val="single" w:color="auto" w:sz="4" w:space="0"/>
            </w:tcBorders>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规格型号</w:t>
            </w:r>
          </w:p>
        </w:tc>
        <w:tc>
          <w:tcPr>
            <w:tcW w:w="1418" w:type="dxa"/>
            <w:tcBorders>
              <w:left w:val="single" w:color="auto" w:sz="4" w:space="0"/>
            </w:tcBorders>
            <w:vAlign w:val="center"/>
          </w:tcPr>
          <w:p>
            <w:pPr>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价格（元）</w:t>
            </w:r>
          </w:p>
        </w:tc>
        <w:tc>
          <w:tcPr>
            <w:tcW w:w="1984"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货物制造商名称</w:t>
            </w:r>
          </w:p>
        </w:tc>
        <w:tc>
          <w:tcPr>
            <w:tcW w:w="1843"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政策功能编码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pPr>
              <w:adjustRightInd w:val="0"/>
              <w:snapToGrid w:val="0"/>
              <w:spacing w:line="360" w:lineRule="auto"/>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pPr>
              <w:adjustRightInd w:val="0"/>
              <w:snapToGrid w:val="0"/>
              <w:spacing w:line="360" w:lineRule="auto"/>
              <w:jc w:val="center"/>
              <w:rPr>
                <w:rFonts w:ascii="宋体" w:hAnsi="宋体"/>
                <w:b/>
                <w:color w:val="auto"/>
                <w:szCs w:val="21"/>
              </w:rPr>
            </w:pPr>
          </w:p>
        </w:tc>
        <w:tc>
          <w:tcPr>
            <w:tcW w:w="1739" w:type="dxa"/>
            <w:vAlign w:val="center"/>
          </w:tcPr>
          <w:p>
            <w:pPr>
              <w:adjustRightInd w:val="0"/>
              <w:snapToGrid w:val="0"/>
              <w:spacing w:line="360" w:lineRule="auto"/>
              <w:jc w:val="center"/>
              <w:rPr>
                <w:rFonts w:asciiTheme="minorEastAsia" w:hAnsiTheme="minorEastAsia" w:eastAsiaTheme="minorEastAsia"/>
                <w:b/>
                <w:color w:val="auto"/>
                <w:szCs w:val="21"/>
              </w:rPr>
            </w:pPr>
          </w:p>
        </w:tc>
        <w:tc>
          <w:tcPr>
            <w:tcW w:w="1134" w:type="dxa"/>
            <w:tcBorders>
              <w:righ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418" w:type="dxa"/>
            <w:tcBorders>
              <w:lef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984" w:type="dxa"/>
            <w:vAlign w:val="center"/>
          </w:tcPr>
          <w:p>
            <w:pPr>
              <w:adjustRightInd w:val="0"/>
              <w:snapToGrid w:val="0"/>
              <w:spacing w:line="360" w:lineRule="auto"/>
              <w:jc w:val="center"/>
              <w:rPr>
                <w:rFonts w:asciiTheme="minorEastAsia" w:hAnsiTheme="minorEastAsia" w:eastAsiaTheme="minorEastAsia"/>
                <w:b/>
                <w:color w:val="auto"/>
                <w:szCs w:val="21"/>
              </w:rPr>
            </w:pPr>
          </w:p>
        </w:tc>
        <w:tc>
          <w:tcPr>
            <w:tcW w:w="1843" w:type="dxa"/>
          </w:tcPr>
          <w:p>
            <w:pPr>
              <w:adjustRightInd w:val="0"/>
              <w:snapToGrid w:val="0"/>
              <w:spacing w:line="360" w:lineRule="auto"/>
              <w:jc w:val="center"/>
              <w:rPr>
                <w:rFonts w:asciiTheme="minorEastAsia" w:hAnsiTheme="minorEastAsia" w:eastAsiaTheme="minorEastAsia"/>
                <w:b/>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小计</w:t>
            </w:r>
          </w:p>
        </w:tc>
        <w:tc>
          <w:tcPr>
            <w:tcW w:w="1739"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c>
          <w:tcPr>
            <w:tcW w:w="1134" w:type="dxa"/>
            <w:tcBorders>
              <w:righ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418" w:type="dxa"/>
            <w:tcBorders>
              <w:lef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984"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c>
          <w:tcPr>
            <w:tcW w:w="1843" w:type="dxa"/>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pPr>
              <w:adjustRightInd w:val="0"/>
              <w:snapToGrid w:val="0"/>
              <w:spacing w:line="360" w:lineRule="auto"/>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pPr>
              <w:adjustRightInd w:val="0"/>
              <w:snapToGrid w:val="0"/>
              <w:spacing w:line="360" w:lineRule="auto"/>
              <w:jc w:val="center"/>
              <w:rPr>
                <w:rFonts w:ascii="宋体" w:hAnsi="宋体"/>
                <w:b/>
                <w:color w:val="auto"/>
                <w:szCs w:val="21"/>
              </w:rPr>
            </w:pPr>
          </w:p>
        </w:tc>
        <w:tc>
          <w:tcPr>
            <w:tcW w:w="1739" w:type="dxa"/>
            <w:vAlign w:val="center"/>
          </w:tcPr>
          <w:p>
            <w:pPr>
              <w:adjustRightInd w:val="0"/>
              <w:snapToGrid w:val="0"/>
              <w:spacing w:line="360" w:lineRule="auto"/>
              <w:jc w:val="center"/>
              <w:rPr>
                <w:rFonts w:asciiTheme="minorEastAsia" w:hAnsiTheme="minorEastAsia" w:eastAsiaTheme="minorEastAsia"/>
                <w:b/>
                <w:color w:val="auto"/>
                <w:szCs w:val="21"/>
              </w:rPr>
            </w:pPr>
          </w:p>
        </w:tc>
        <w:tc>
          <w:tcPr>
            <w:tcW w:w="1134" w:type="dxa"/>
            <w:tcBorders>
              <w:righ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418" w:type="dxa"/>
            <w:tcBorders>
              <w:lef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984" w:type="dxa"/>
            <w:vAlign w:val="center"/>
          </w:tcPr>
          <w:p>
            <w:pPr>
              <w:adjustRightInd w:val="0"/>
              <w:snapToGrid w:val="0"/>
              <w:spacing w:line="360" w:lineRule="auto"/>
              <w:jc w:val="center"/>
              <w:rPr>
                <w:rFonts w:asciiTheme="minorEastAsia" w:hAnsiTheme="minorEastAsia" w:eastAsiaTheme="minorEastAsia"/>
                <w:b/>
                <w:color w:val="auto"/>
                <w:szCs w:val="21"/>
              </w:rPr>
            </w:pPr>
          </w:p>
        </w:tc>
        <w:tc>
          <w:tcPr>
            <w:tcW w:w="1843" w:type="dxa"/>
          </w:tcPr>
          <w:p>
            <w:pPr>
              <w:adjustRightInd w:val="0"/>
              <w:snapToGrid w:val="0"/>
              <w:spacing w:line="360" w:lineRule="auto"/>
              <w:jc w:val="center"/>
              <w:rPr>
                <w:rFonts w:asciiTheme="minorEastAsia" w:hAnsiTheme="minorEastAsia" w:eastAsiaTheme="minorEastAsia"/>
                <w:b/>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小计</w:t>
            </w:r>
          </w:p>
        </w:tc>
        <w:tc>
          <w:tcPr>
            <w:tcW w:w="1739"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c>
          <w:tcPr>
            <w:tcW w:w="1134" w:type="dxa"/>
            <w:tcBorders>
              <w:righ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418" w:type="dxa"/>
            <w:tcBorders>
              <w:lef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984"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c>
          <w:tcPr>
            <w:tcW w:w="1843" w:type="dxa"/>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r>
    </w:tbl>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说明：</w:t>
      </w:r>
      <w:r>
        <w:rPr>
          <w:rFonts w:hint="eastAsia" w:asciiTheme="minorEastAsia" w:hAnsiTheme="minorEastAsia" w:eastAsiaTheme="minorEastAsia"/>
          <w:bCs/>
          <w:color w:val="auto"/>
          <w:szCs w:val="21"/>
        </w:rPr>
        <w:t>1、</w:t>
      </w:r>
      <w:r>
        <w:rPr>
          <w:rFonts w:hint="eastAsia" w:asciiTheme="minorEastAsia" w:hAnsiTheme="minorEastAsia" w:eastAsiaTheme="minorEastAsia"/>
          <w:color w:val="auto"/>
          <w:szCs w:val="21"/>
        </w:rPr>
        <w:t>本表用于计算政府采购优先采购产品（节能产品或环境标志产品）的政府采购政策加分或者价格扣除。</w:t>
      </w:r>
    </w:p>
    <w:p>
      <w:pPr>
        <w:adjustRightInd w:val="0"/>
        <w:snapToGrid w:val="0"/>
        <w:spacing w:line="360" w:lineRule="auto"/>
        <w:ind w:firstLine="630" w:firstLineChars="3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2、栏目4“价格”为综合单价，包含货物所有隐含的内容，如运输费、保险费、管理费和利润等。</w:t>
      </w:r>
    </w:p>
    <w:p>
      <w:pPr>
        <w:adjustRightInd w:val="0"/>
        <w:snapToGrid w:val="0"/>
        <w:spacing w:line="360" w:lineRule="auto"/>
        <w:ind w:firstLine="630" w:firstLineChars="3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3、栏目6“政策功能编码”是指货物的中国环境标志认证证书编号、中国节能标志认证证书号（货物同时属于节能产品、环境标志产品的，只须填写一种）。</w:t>
      </w:r>
    </w:p>
    <w:p>
      <w:pPr>
        <w:adjustRightInd w:val="0"/>
        <w:snapToGrid w:val="0"/>
        <w:spacing w:line="360" w:lineRule="auto"/>
        <w:ind w:firstLine="630" w:firstLineChars="300"/>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4、投标人在投标截止时间前修改“开标一览表”中的投标报价的，应按第二章第13.7款规定修改本表相应内容。否则，评审时涉及本表所有优惠不予以考虑。</w:t>
      </w: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或其委托代理人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rPr>
          <w:rFonts w:ascii="宋体" w:hAnsi="宋体"/>
          <w:b/>
          <w:bCs/>
          <w:color w:val="auto"/>
          <w:sz w:val="32"/>
          <w:szCs w:val="21"/>
        </w:rPr>
      </w:pPr>
      <w:r>
        <w:rPr>
          <w:rFonts w:hint="eastAsia"/>
          <w:color w:val="auto"/>
        </w:rPr>
        <w:t>日期：</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w:t>
      </w:r>
      <w:r>
        <w:rPr>
          <w:rFonts w:ascii="宋体" w:hAnsi="宋体"/>
          <w:color w:val="auto"/>
          <w:szCs w:val="21"/>
        </w:rPr>
        <w:br w:type="page"/>
      </w:r>
    </w:p>
    <w:p>
      <w:pPr>
        <w:pStyle w:val="6"/>
        <w:adjustRightInd w:val="0"/>
        <w:snapToGrid w:val="0"/>
        <w:spacing w:before="0" w:after="0" w:line="360" w:lineRule="auto"/>
        <w:jc w:val="center"/>
        <w:rPr>
          <w:rFonts w:ascii="黑体" w:hAnsi="宋体" w:eastAsia="黑体"/>
          <w:color w:val="auto"/>
          <w:sz w:val="28"/>
          <w:szCs w:val="28"/>
        </w:rPr>
      </w:pPr>
      <w:bookmarkStart w:id="154" w:name="_Toc29913976"/>
      <w:bookmarkStart w:id="155" w:name="_Toc6570"/>
      <w:r>
        <w:rPr>
          <w:rFonts w:hint="eastAsia" w:ascii="黑体" w:hAnsi="宋体" w:eastAsia="黑体"/>
          <w:color w:val="auto"/>
          <w:sz w:val="28"/>
          <w:szCs w:val="28"/>
        </w:rPr>
        <w:t>十一、投标货物符合招标文件规定的证明文件</w:t>
      </w:r>
      <w:bookmarkEnd w:id="154"/>
      <w:bookmarkEnd w:id="155"/>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rPr>
      </w:pPr>
      <w:r>
        <w:rPr>
          <w:rFonts w:hint="eastAsia" w:asciiTheme="minorEastAsia" w:hAnsiTheme="minorEastAsia" w:eastAsiaTheme="minorEastAsia"/>
          <w:color w:val="auto"/>
          <w:szCs w:val="21"/>
        </w:rPr>
        <w:t>备注：提供第五章规定的证明材料复印件。</w:t>
      </w:r>
    </w:p>
    <w:p>
      <w:pPr>
        <w:widowControl/>
        <w:jc w:val="left"/>
        <w:rPr>
          <w:rFonts w:ascii="黑体" w:eastAsia="黑体"/>
          <w:color w:val="auto"/>
          <w:sz w:val="28"/>
          <w:szCs w:val="28"/>
        </w:rPr>
      </w:pPr>
      <w:r>
        <w:rPr>
          <w:rFonts w:ascii="黑体" w:eastAsia="黑体"/>
          <w:b/>
          <w:bCs/>
          <w:color w:val="auto"/>
          <w:sz w:val="28"/>
          <w:szCs w:val="28"/>
        </w:rPr>
        <w:br w:type="page"/>
      </w:r>
    </w:p>
    <w:p>
      <w:pPr>
        <w:pStyle w:val="6"/>
        <w:adjustRightInd w:val="0"/>
        <w:snapToGrid w:val="0"/>
        <w:spacing w:before="0" w:after="0" w:line="360" w:lineRule="auto"/>
        <w:jc w:val="center"/>
        <w:rPr>
          <w:rFonts w:ascii="黑体" w:hAnsi="宋体" w:eastAsia="黑体"/>
          <w:color w:val="auto"/>
          <w:sz w:val="28"/>
          <w:szCs w:val="28"/>
        </w:rPr>
      </w:pPr>
      <w:bookmarkStart w:id="156" w:name="_Toc29913977"/>
      <w:bookmarkStart w:id="157" w:name="_Toc3827"/>
      <w:r>
        <w:rPr>
          <w:rFonts w:hint="eastAsia" w:ascii="黑体" w:hAnsi="宋体" w:eastAsia="黑体"/>
          <w:color w:val="auto"/>
          <w:sz w:val="28"/>
          <w:szCs w:val="28"/>
        </w:rPr>
        <w:t>十二、投标人认为需提供的其他资料</w:t>
      </w:r>
      <w:bookmarkEnd w:id="156"/>
      <w:bookmarkEnd w:id="157"/>
    </w:p>
    <w:p>
      <w:pPr>
        <w:adjustRightInd w:val="0"/>
        <w:snapToGrid w:val="0"/>
        <w:spacing w:before="156" w:beforeLines="50" w:line="360" w:lineRule="auto"/>
        <w:rPr>
          <w:rFonts w:asciiTheme="minorEastAsia" w:hAnsiTheme="minorEastAsia" w:eastAsiaTheme="minorEastAsia"/>
          <w:color w:val="auto"/>
        </w:rPr>
      </w:pPr>
    </w:p>
    <w:p>
      <w:pPr>
        <w:adjustRightInd w:val="0"/>
        <w:snapToGrid w:val="0"/>
        <w:spacing w:before="156" w:beforeLines="50" w:line="360" w:lineRule="auto"/>
        <w:rPr>
          <w:rFonts w:asciiTheme="minorEastAsia" w:hAnsiTheme="minorEastAsia" w:eastAsiaTheme="minorEastAsia"/>
          <w:color w:val="auto"/>
        </w:rPr>
      </w:pPr>
      <w:r>
        <w:rPr>
          <w:rFonts w:hint="eastAsia" w:asciiTheme="minorEastAsia" w:hAnsiTheme="minorEastAsia" w:eastAsiaTheme="minorEastAsia"/>
          <w:color w:val="auto"/>
        </w:rPr>
        <w:t>备注：投标人认为需提供的其他资料包括：</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（1）招标文件第五章采购需求要求的其他资料；</w:t>
      </w:r>
    </w:p>
    <w:p>
      <w:pPr>
        <w:adjustRightInd w:val="0"/>
        <w:snapToGrid w:val="0"/>
        <w:spacing w:before="156" w:beforeLines="50" w:line="360" w:lineRule="auto"/>
        <w:ind w:firstLine="420" w:firstLineChars="200"/>
        <w:rPr>
          <w:rFonts w:ascii="宋体" w:hAnsi="宋体"/>
          <w:color w:val="auto"/>
          <w:szCs w:val="21"/>
        </w:rPr>
      </w:pPr>
      <w:r>
        <w:rPr>
          <w:rFonts w:hint="eastAsia" w:asciiTheme="minorEastAsia" w:hAnsiTheme="minorEastAsia" w:eastAsiaTheme="minorEastAsia"/>
          <w:color w:val="auto"/>
        </w:rPr>
        <w:t>（2）招标文件第四章评标方法及标准要求的其他相关资料。</w:t>
      </w:r>
    </w:p>
    <w:sectPr>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roma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7F" w:usb3="00000000" w:csb0="203F01FF" w:csb1="DFFF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0"/>
    <w:family w:val="auto"/>
    <w:pitch w:val="default"/>
    <w:sig w:usb0="00000000" w:usb1="00000000" w:usb2="00000000" w:usb3="00000000" w:csb0="80000000" w:csb1="00000000"/>
  </w:font>
  <w:font w:name="华文宋体">
    <w:panose1 w:val="02010600040101010101"/>
    <w:charset w:val="86"/>
    <w:family w:val="auto"/>
    <w:pitch w:val="default"/>
    <w:sig w:usb0="00000287" w:usb1="080F0000" w:usb2="00000000" w:usb3="00000000" w:csb0="0004009F" w:csb1="DFD7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300" w:right="359" w:rightChars="171" w:hanging="300" w:hangingChars="100"/>
      <w:jc w:val="right"/>
      <w:rPr>
        <w:rFonts w:eastAsia="楷体_GB2312"/>
      </w:rPr>
    </w:pPr>
    <w:r>
      <w:rPr>
        <w:rStyle w:val="47"/>
        <w:rFonts w:hint="eastAsia" w:ascii="仿宋_GB2312" w:eastAsia="仿宋_GB2312"/>
        <w:sz w:val="30"/>
        <w:szCs w:val="30"/>
      </w:rPr>
      <w:t>—</w:t>
    </w:r>
    <w:r>
      <w:rPr>
        <w:rStyle w:val="47"/>
        <w:rFonts w:hint="eastAsia" w:ascii="仿宋_GB2312" w:eastAsia="仿宋_GB2312"/>
        <w:sz w:val="30"/>
        <w:szCs w:val="30"/>
      </w:rPr>
      <w:fldChar w:fldCharType="begin"/>
    </w:r>
    <w:r>
      <w:rPr>
        <w:rStyle w:val="47"/>
        <w:rFonts w:hint="eastAsia" w:ascii="仿宋_GB2312" w:eastAsia="仿宋_GB2312"/>
        <w:sz w:val="30"/>
        <w:szCs w:val="30"/>
      </w:rPr>
      <w:instrText xml:space="preserve"> PAGE </w:instrText>
    </w:r>
    <w:r>
      <w:rPr>
        <w:rStyle w:val="47"/>
        <w:rFonts w:hint="eastAsia" w:ascii="仿宋_GB2312" w:eastAsia="仿宋_GB2312"/>
        <w:sz w:val="30"/>
        <w:szCs w:val="30"/>
      </w:rPr>
      <w:fldChar w:fldCharType="separate"/>
    </w:r>
    <w:r>
      <w:rPr>
        <w:rStyle w:val="47"/>
        <w:rFonts w:ascii="仿宋_GB2312" w:eastAsia="仿宋_GB2312"/>
        <w:sz w:val="30"/>
        <w:szCs w:val="30"/>
      </w:rPr>
      <w:t>1</w:t>
    </w:r>
    <w:r>
      <w:rPr>
        <w:rStyle w:val="47"/>
        <w:rFonts w:hint="eastAsia" w:ascii="仿宋_GB2312" w:eastAsia="仿宋_GB2312"/>
        <w:sz w:val="30"/>
        <w:szCs w:val="30"/>
      </w:rPr>
      <w:fldChar w:fldCharType="end"/>
    </w:r>
    <w:r>
      <w:rPr>
        <w:rStyle w:val="47"/>
        <w:rFonts w:hint="eastAsia" w:ascii="仿宋_GB2312" w:eastAsia="仿宋_GB2312"/>
        <w:sz w:val="30"/>
        <w:szCs w:val="30"/>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300" w:right="359" w:rightChars="171" w:hanging="300" w:hangingChars="100"/>
      <w:jc w:val="right"/>
      <w:rPr>
        <w:rFonts w:eastAsia="楷体_GB2312"/>
      </w:rPr>
    </w:pPr>
    <w:r>
      <w:rPr>
        <w:rStyle w:val="47"/>
        <w:rFonts w:hint="eastAsia" w:ascii="仿宋_GB2312" w:eastAsia="仿宋_GB2312"/>
        <w:sz w:val="30"/>
        <w:szCs w:val="30"/>
      </w:rPr>
      <w:t>—</w:t>
    </w:r>
    <w:r>
      <w:rPr>
        <w:rStyle w:val="47"/>
        <w:rFonts w:hint="eastAsia" w:ascii="仿宋_GB2312" w:eastAsia="仿宋_GB2312"/>
        <w:sz w:val="30"/>
        <w:szCs w:val="30"/>
      </w:rPr>
      <w:fldChar w:fldCharType="begin"/>
    </w:r>
    <w:r>
      <w:rPr>
        <w:rStyle w:val="47"/>
        <w:rFonts w:hint="eastAsia" w:ascii="仿宋_GB2312" w:eastAsia="仿宋_GB2312"/>
        <w:sz w:val="30"/>
        <w:szCs w:val="30"/>
      </w:rPr>
      <w:instrText xml:space="preserve"> PAGE </w:instrText>
    </w:r>
    <w:r>
      <w:rPr>
        <w:rStyle w:val="47"/>
        <w:rFonts w:hint="eastAsia" w:ascii="仿宋_GB2312" w:eastAsia="仿宋_GB2312"/>
        <w:sz w:val="30"/>
        <w:szCs w:val="30"/>
      </w:rPr>
      <w:fldChar w:fldCharType="separate"/>
    </w:r>
    <w:r>
      <w:rPr>
        <w:rStyle w:val="47"/>
        <w:rFonts w:ascii="仿宋_GB2312" w:eastAsia="仿宋_GB2312"/>
        <w:sz w:val="30"/>
        <w:szCs w:val="30"/>
      </w:rPr>
      <w:t>71</w:t>
    </w:r>
    <w:r>
      <w:rPr>
        <w:rStyle w:val="47"/>
        <w:rFonts w:hint="eastAsia" w:ascii="仿宋_GB2312" w:eastAsia="仿宋_GB2312"/>
        <w:sz w:val="30"/>
        <w:szCs w:val="30"/>
      </w:rPr>
      <w:fldChar w:fldCharType="end"/>
    </w:r>
    <w:r>
      <w:rPr>
        <w:rStyle w:val="47"/>
        <w:rFonts w:hint="eastAsia" w:ascii="仿宋_GB2312" w:eastAsia="仿宋_GB2312"/>
        <w:sz w:val="30"/>
        <w:szCs w:val="30"/>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300" w:right="359" w:rightChars="171" w:hanging="300" w:hangingChars="100"/>
      <w:jc w:val="right"/>
      <w:rPr>
        <w:rFonts w:eastAsia="楷体_GB2312"/>
      </w:rPr>
    </w:pPr>
    <w:r>
      <w:rPr>
        <w:rStyle w:val="47"/>
        <w:rFonts w:hint="eastAsia" w:ascii="仿宋_GB2312" w:eastAsia="仿宋_GB2312"/>
        <w:sz w:val="30"/>
        <w:szCs w:val="30"/>
      </w:rPr>
      <w:t>—</w:t>
    </w:r>
    <w:r>
      <w:rPr>
        <w:rStyle w:val="47"/>
        <w:rFonts w:hint="eastAsia" w:ascii="仿宋_GB2312" w:eastAsia="仿宋_GB2312"/>
        <w:sz w:val="30"/>
        <w:szCs w:val="30"/>
      </w:rPr>
      <w:fldChar w:fldCharType="begin"/>
    </w:r>
    <w:r>
      <w:rPr>
        <w:rStyle w:val="47"/>
        <w:rFonts w:hint="eastAsia" w:ascii="仿宋_GB2312" w:eastAsia="仿宋_GB2312"/>
        <w:sz w:val="30"/>
        <w:szCs w:val="30"/>
      </w:rPr>
      <w:instrText xml:space="preserve"> PAGE </w:instrText>
    </w:r>
    <w:r>
      <w:rPr>
        <w:rStyle w:val="47"/>
        <w:rFonts w:hint="eastAsia" w:ascii="仿宋_GB2312" w:eastAsia="仿宋_GB2312"/>
        <w:sz w:val="30"/>
        <w:szCs w:val="30"/>
      </w:rPr>
      <w:fldChar w:fldCharType="separate"/>
    </w:r>
    <w:r>
      <w:rPr>
        <w:rStyle w:val="47"/>
        <w:rFonts w:ascii="仿宋_GB2312" w:eastAsia="仿宋_GB2312"/>
        <w:sz w:val="30"/>
        <w:szCs w:val="30"/>
      </w:rPr>
      <w:t>85</w:t>
    </w:r>
    <w:r>
      <w:rPr>
        <w:rStyle w:val="47"/>
        <w:rFonts w:hint="eastAsia" w:ascii="仿宋_GB2312" w:eastAsia="仿宋_GB2312"/>
        <w:sz w:val="30"/>
        <w:szCs w:val="30"/>
      </w:rPr>
      <w:fldChar w:fldCharType="end"/>
    </w:r>
    <w:r>
      <w:rPr>
        <w:rStyle w:val="47"/>
        <w:rFonts w:hint="eastAsia" w:ascii="仿宋_GB2312" w:eastAsia="仿宋_GB2312"/>
        <w:sz w:val="30"/>
        <w:szCs w:val="30"/>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342F25"/>
    <w:multiLevelType w:val="singleLevel"/>
    <w:tmpl w:val="A4342F25"/>
    <w:lvl w:ilvl="0" w:tentative="0">
      <w:start w:val="1"/>
      <w:numFmt w:val="chineseCounting"/>
      <w:suff w:val="nothing"/>
      <w:lvlText w:val="%1、"/>
      <w:lvlJc w:val="left"/>
      <w:rPr>
        <w:rFonts w:hint="eastAsia"/>
      </w:rPr>
    </w:lvl>
  </w:abstractNum>
  <w:abstractNum w:abstractNumId="1">
    <w:nsid w:val="49C49B56"/>
    <w:multiLevelType w:val="singleLevel"/>
    <w:tmpl w:val="49C49B56"/>
    <w:lvl w:ilvl="0" w:tentative="0">
      <w:start w:val="4"/>
      <w:numFmt w:val="chineseCounting"/>
      <w:suff w:val="nothing"/>
      <w:lvlText w:val="%1、"/>
      <w:lvlJc w:val="left"/>
      <w:rPr>
        <w:rFonts w:hint="eastAsia"/>
      </w:rPr>
    </w:lvl>
  </w:abstractNum>
  <w:abstractNum w:abstractNumId="2">
    <w:nsid w:val="5DA5C137"/>
    <w:multiLevelType w:val="singleLevel"/>
    <w:tmpl w:val="5DA5C137"/>
    <w:lvl w:ilvl="0" w:tentative="0">
      <w:start w:val="1"/>
      <w:numFmt w:val="decimal"/>
      <w:suff w:val="nothing"/>
      <w:lvlText w:val="%1、"/>
      <w:lvlJc w:val="left"/>
    </w:lvl>
  </w:abstractNum>
  <w:abstractNum w:abstractNumId="3">
    <w:nsid w:val="5FC36A67"/>
    <w:multiLevelType w:val="singleLevel"/>
    <w:tmpl w:val="5FC36A67"/>
    <w:lvl w:ilvl="0" w:tentative="0">
      <w:start w:val="3"/>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FmYzkwZmEzYjAzOGIzYTgxNGUxMzg1OWEyYWFjMDYifQ=="/>
    <w:docVar w:name="KSO_WPS_MARK_KEY" w:val="a91b7037-2dde-4247-b1fb-0212e4d4e236"/>
  </w:docVars>
  <w:rsids>
    <w:rsidRoot w:val="007434B4"/>
    <w:rsid w:val="00000A61"/>
    <w:rsid w:val="00000A83"/>
    <w:rsid w:val="000013FE"/>
    <w:rsid w:val="0000186F"/>
    <w:rsid w:val="00001A03"/>
    <w:rsid w:val="00002568"/>
    <w:rsid w:val="00002840"/>
    <w:rsid w:val="000037DE"/>
    <w:rsid w:val="00003D23"/>
    <w:rsid w:val="00004EAF"/>
    <w:rsid w:val="00006552"/>
    <w:rsid w:val="0001024D"/>
    <w:rsid w:val="00010382"/>
    <w:rsid w:val="00011A7B"/>
    <w:rsid w:val="00013365"/>
    <w:rsid w:val="00013466"/>
    <w:rsid w:val="00013574"/>
    <w:rsid w:val="000135B0"/>
    <w:rsid w:val="00013923"/>
    <w:rsid w:val="00014A82"/>
    <w:rsid w:val="00015858"/>
    <w:rsid w:val="00015A29"/>
    <w:rsid w:val="0001617A"/>
    <w:rsid w:val="00017581"/>
    <w:rsid w:val="000175E8"/>
    <w:rsid w:val="00017CF0"/>
    <w:rsid w:val="00017F9C"/>
    <w:rsid w:val="000252F0"/>
    <w:rsid w:val="00025EED"/>
    <w:rsid w:val="00027D0F"/>
    <w:rsid w:val="00030A53"/>
    <w:rsid w:val="00031705"/>
    <w:rsid w:val="00031BBE"/>
    <w:rsid w:val="00031C52"/>
    <w:rsid w:val="00032D53"/>
    <w:rsid w:val="000333AE"/>
    <w:rsid w:val="00033EFF"/>
    <w:rsid w:val="00035663"/>
    <w:rsid w:val="000358FA"/>
    <w:rsid w:val="00035B2B"/>
    <w:rsid w:val="00040247"/>
    <w:rsid w:val="00040313"/>
    <w:rsid w:val="00040E14"/>
    <w:rsid w:val="0004234C"/>
    <w:rsid w:val="0004444E"/>
    <w:rsid w:val="00045B4B"/>
    <w:rsid w:val="00046881"/>
    <w:rsid w:val="00047440"/>
    <w:rsid w:val="0004759C"/>
    <w:rsid w:val="0005019F"/>
    <w:rsid w:val="000508AD"/>
    <w:rsid w:val="0005168D"/>
    <w:rsid w:val="0005208E"/>
    <w:rsid w:val="00052DBD"/>
    <w:rsid w:val="00053BE1"/>
    <w:rsid w:val="00053C94"/>
    <w:rsid w:val="000566BD"/>
    <w:rsid w:val="0005701C"/>
    <w:rsid w:val="000606A2"/>
    <w:rsid w:val="00060C04"/>
    <w:rsid w:val="00061310"/>
    <w:rsid w:val="00061914"/>
    <w:rsid w:val="000620A1"/>
    <w:rsid w:val="000638C9"/>
    <w:rsid w:val="000662FC"/>
    <w:rsid w:val="000666F2"/>
    <w:rsid w:val="000675E6"/>
    <w:rsid w:val="000677C7"/>
    <w:rsid w:val="00067D0B"/>
    <w:rsid w:val="000709FB"/>
    <w:rsid w:val="00070B21"/>
    <w:rsid w:val="00070F95"/>
    <w:rsid w:val="00072573"/>
    <w:rsid w:val="0007343D"/>
    <w:rsid w:val="000745C1"/>
    <w:rsid w:val="0007473A"/>
    <w:rsid w:val="00074CB8"/>
    <w:rsid w:val="00076502"/>
    <w:rsid w:val="000775DD"/>
    <w:rsid w:val="000777C0"/>
    <w:rsid w:val="000821AB"/>
    <w:rsid w:val="00082346"/>
    <w:rsid w:val="000841E5"/>
    <w:rsid w:val="00085204"/>
    <w:rsid w:val="00087CA6"/>
    <w:rsid w:val="000904BC"/>
    <w:rsid w:val="000909AB"/>
    <w:rsid w:val="00090D47"/>
    <w:rsid w:val="00091751"/>
    <w:rsid w:val="000917F5"/>
    <w:rsid w:val="000921D2"/>
    <w:rsid w:val="00092E61"/>
    <w:rsid w:val="00094343"/>
    <w:rsid w:val="0009483A"/>
    <w:rsid w:val="0009530E"/>
    <w:rsid w:val="00095A0E"/>
    <w:rsid w:val="00096239"/>
    <w:rsid w:val="00096A68"/>
    <w:rsid w:val="00097FB9"/>
    <w:rsid w:val="000A0CD6"/>
    <w:rsid w:val="000A2575"/>
    <w:rsid w:val="000A25D2"/>
    <w:rsid w:val="000A2631"/>
    <w:rsid w:val="000A3313"/>
    <w:rsid w:val="000A3BB4"/>
    <w:rsid w:val="000A4283"/>
    <w:rsid w:val="000A4354"/>
    <w:rsid w:val="000A6658"/>
    <w:rsid w:val="000B0390"/>
    <w:rsid w:val="000B0F6F"/>
    <w:rsid w:val="000B1637"/>
    <w:rsid w:val="000B1715"/>
    <w:rsid w:val="000B2722"/>
    <w:rsid w:val="000B2C01"/>
    <w:rsid w:val="000B320F"/>
    <w:rsid w:val="000B33DF"/>
    <w:rsid w:val="000B3A4F"/>
    <w:rsid w:val="000B4504"/>
    <w:rsid w:val="000B48CB"/>
    <w:rsid w:val="000B5D7D"/>
    <w:rsid w:val="000B67D9"/>
    <w:rsid w:val="000B6A6A"/>
    <w:rsid w:val="000B7DF1"/>
    <w:rsid w:val="000C035B"/>
    <w:rsid w:val="000C0714"/>
    <w:rsid w:val="000C188C"/>
    <w:rsid w:val="000C245B"/>
    <w:rsid w:val="000C2AE6"/>
    <w:rsid w:val="000C354A"/>
    <w:rsid w:val="000C4FD9"/>
    <w:rsid w:val="000C52A0"/>
    <w:rsid w:val="000C6B2C"/>
    <w:rsid w:val="000C70C2"/>
    <w:rsid w:val="000C7812"/>
    <w:rsid w:val="000D04C8"/>
    <w:rsid w:val="000D0769"/>
    <w:rsid w:val="000D0E5E"/>
    <w:rsid w:val="000D1018"/>
    <w:rsid w:val="000D211B"/>
    <w:rsid w:val="000D2A3F"/>
    <w:rsid w:val="000D344B"/>
    <w:rsid w:val="000D5249"/>
    <w:rsid w:val="000D6185"/>
    <w:rsid w:val="000D6514"/>
    <w:rsid w:val="000E166F"/>
    <w:rsid w:val="000E3DCC"/>
    <w:rsid w:val="000E4525"/>
    <w:rsid w:val="000E46D9"/>
    <w:rsid w:val="000E4E95"/>
    <w:rsid w:val="000E50DD"/>
    <w:rsid w:val="000E640C"/>
    <w:rsid w:val="000E7308"/>
    <w:rsid w:val="000E7417"/>
    <w:rsid w:val="000E741F"/>
    <w:rsid w:val="000E7B7A"/>
    <w:rsid w:val="000F1A45"/>
    <w:rsid w:val="000F1AF9"/>
    <w:rsid w:val="000F21C8"/>
    <w:rsid w:val="000F3713"/>
    <w:rsid w:val="000F376A"/>
    <w:rsid w:val="000F37AB"/>
    <w:rsid w:val="000F4155"/>
    <w:rsid w:val="000F44CB"/>
    <w:rsid w:val="000F4F2F"/>
    <w:rsid w:val="000F5866"/>
    <w:rsid w:val="000F620C"/>
    <w:rsid w:val="000F7591"/>
    <w:rsid w:val="001000C3"/>
    <w:rsid w:val="0010071B"/>
    <w:rsid w:val="001047E3"/>
    <w:rsid w:val="00104908"/>
    <w:rsid w:val="00104D5D"/>
    <w:rsid w:val="00105A9C"/>
    <w:rsid w:val="00106446"/>
    <w:rsid w:val="00107077"/>
    <w:rsid w:val="00107FD9"/>
    <w:rsid w:val="00110169"/>
    <w:rsid w:val="00110B4B"/>
    <w:rsid w:val="001113FC"/>
    <w:rsid w:val="00111596"/>
    <w:rsid w:val="00111CC9"/>
    <w:rsid w:val="00112A3D"/>
    <w:rsid w:val="001133AC"/>
    <w:rsid w:val="00113C61"/>
    <w:rsid w:val="00114B15"/>
    <w:rsid w:val="00117058"/>
    <w:rsid w:val="00117143"/>
    <w:rsid w:val="00117E7C"/>
    <w:rsid w:val="00120369"/>
    <w:rsid w:val="00121A30"/>
    <w:rsid w:val="001228FD"/>
    <w:rsid w:val="001232B6"/>
    <w:rsid w:val="00124345"/>
    <w:rsid w:val="00125769"/>
    <w:rsid w:val="00125F48"/>
    <w:rsid w:val="00126231"/>
    <w:rsid w:val="001264B5"/>
    <w:rsid w:val="001264DC"/>
    <w:rsid w:val="00126691"/>
    <w:rsid w:val="00127083"/>
    <w:rsid w:val="0013172D"/>
    <w:rsid w:val="001322EF"/>
    <w:rsid w:val="001324B3"/>
    <w:rsid w:val="001345E9"/>
    <w:rsid w:val="00134894"/>
    <w:rsid w:val="001348D3"/>
    <w:rsid w:val="00135375"/>
    <w:rsid w:val="001370E3"/>
    <w:rsid w:val="00137DBD"/>
    <w:rsid w:val="00137DCD"/>
    <w:rsid w:val="00140DA3"/>
    <w:rsid w:val="001413DF"/>
    <w:rsid w:val="00141BEE"/>
    <w:rsid w:val="00143121"/>
    <w:rsid w:val="00144141"/>
    <w:rsid w:val="00144F97"/>
    <w:rsid w:val="00145791"/>
    <w:rsid w:val="0014699B"/>
    <w:rsid w:val="00146D14"/>
    <w:rsid w:val="00151BA6"/>
    <w:rsid w:val="0015269F"/>
    <w:rsid w:val="00153C89"/>
    <w:rsid w:val="00156049"/>
    <w:rsid w:val="001564DB"/>
    <w:rsid w:val="00156F75"/>
    <w:rsid w:val="00160E3C"/>
    <w:rsid w:val="001617E9"/>
    <w:rsid w:val="00162175"/>
    <w:rsid w:val="00162403"/>
    <w:rsid w:val="0016254E"/>
    <w:rsid w:val="00162F23"/>
    <w:rsid w:val="001637C1"/>
    <w:rsid w:val="0016451E"/>
    <w:rsid w:val="00164C0D"/>
    <w:rsid w:val="001655DB"/>
    <w:rsid w:val="0016583A"/>
    <w:rsid w:val="00166A7A"/>
    <w:rsid w:val="00166F38"/>
    <w:rsid w:val="00167313"/>
    <w:rsid w:val="00167763"/>
    <w:rsid w:val="001708E8"/>
    <w:rsid w:val="0017148D"/>
    <w:rsid w:val="0017284E"/>
    <w:rsid w:val="0017334A"/>
    <w:rsid w:val="00173713"/>
    <w:rsid w:val="00173A95"/>
    <w:rsid w:val="00173D83"/>
    <w:rsid w:val="0017404D"/>
    <w:rsid w:val="00175C3F"/>
    <w:rsid w:val="00175FE2"/>
    <w:rsid w:val="0017633E"/>
    <w:rsid w:val="001773C6"/>
    <w:rsid w:val="0017741D"/>
    <w:rsid w:val="001810E9"/>
    <w:rsid w:val="00181D2E"/>
    <w:rsid w:val="001828D3"/>
    <w:rsid w:val="001846F2"/>
    <w:rsid w:val="001850A4"/>
    <w:rsid w:val="00185B43"/>
    <w:rsid w:val="00186927"/>
    <w:rsid w:val="001870D2"/>
    <w:rsid w:val="00190053"/>
    <w:rsid w:val="00190101"/>
    <w:rsid w:val="00190C8F"/>
    <w:rsid w:val="00191A57"/>
    <w:rsid w:val="00192075"/>
    <w:rsid w:val="00193526"/>
    <w:rsid w:val="00195771"/>
    <w:rsid w:val="00197441"/>
    <w:rsid w:val="001A053D"/>
    <w:rsid w:val="001A101A"/>
    <w:rsid w:val="001A12A4"/>
    <w:rsid w:val="001A130A"/>
    <w:rsid w:val="001A2976"/>
    <w:rsid w:val="001A3AA5"/>
    <w:rsid w:val="001A3AFC"/>
    <w:rsid w:val="001A3BCB"/>
    <w:rsid w:val="001A4D9B"/>
    <w:rsid w:val="001A561A"/>
    <w:rsid w:val="001A58C6"/>
    <w:rsid w:val="001A59EB"/>
    <w:rsid w:val="001B0B82"/>
    <w:rsid w:val="001B2294"/>
    <w:rsid w:val="001B313B"/>
    <w:rsid w:val="001B383C"/>
    <w:rsid w:val="001B4531"/>
    <w:rsid w:val="001B4F01"/>
    <w:rsid w:val="001B5907"/>
    <w:rsid w:val="001B78EC"/>
    <w:rsid w:val="001C2072"/>
    <w:rsid w:val="001C274B"/>
    <w:rsid w:val="001C3481"/>
    <w:rsid w:val="001C4E4C"/>
    <w:rsid w:val="001C5444"/>
    <w:rsid w:val="001C737E"/>
    <w:rsid w:val="001C7B25"/>
    <w:rsid w:val="001D0F5F"/>
    <w:rsid w:val="001D1A86"/>
    <w:rsid w:val="001D26DC"/>
    <w:rsid w:val="001D300D"/>
    <w:rsid w:val="001D302B"/>
    <w:rsid w:val="001D574C"/>
    <w:rsid w:val="001D5B75"/>
    <w:rsid w:val="001E1D4A"/>
    <w:rsid w:val="001E3396"/>
    <w:rsid w:val="001E3A6E"/>
    <w:rsid w:val="001E3AF6"/>
    <w:rsid w:val="001E3D6A"/>
    <w:rsid w:val="001E4458"/>
    <w:rsid w:val="001E59F7"/>
    <w:rsid w:val="001E6A66"/>
    <w:rsid w:val="001F075D"/>
    <w:rsid w:val="001F130D"/>
    <w:rsid w:val="001F1819"/>
    <w:rsid w:val="001F3A23"/>
    <w:rsid w:val="001F4878"/>
    <w:rsid w:val="001F5321"/>
    <w:rsid w:val="001F534E"/>
    <w:rsid w:val="001F5B18"/>
    <w:rsid w:val="001F7AFA"/>
    <w:rsid w:val="00200789"/>
    <w:rsid w:val="002008A9"/>
    <w:rsid w:val="00200C39"/>
    <w:rsid w:val="00200D09"/>
    <w:rsid w:val="002018AB"/>
    <w:rsid w:val="00201F4F"/>
    <w:rsid w:val="002023F0"/>
    <w:rsid w:val="0020308E"/>
    <w:rsid w:val="00203EA6"/>
    <w:rsid w:val="00205CF8"/>
    <w:rsid w:val="00206018"/>
    <w:rsid w:val="00207D02"/>
    <w:rsid w:val="00210EE8"/>
    <w:rsid w:val="00210F21"/>
    <w:rsid w:val="00211F38"/>
    <w:rsid w:val="0021548B"/>
    <w:rsid w:val="002157B6"/>
    <w:rsid w:val="00215C17"/>
    <w:rsid w:val="00215D98"/>
    <w:rsid w:val="00216282"/>
    <w:rsid w:val="00216FA2"/>
    <w:rsid w:val="002203CE"/>
    <w:rsid w:val="00221240"/>
    <w:rsid w:val="00221600"/>
    <w:rsid w:val="00221BE4"/>
    <w:rsid w:val="00223541"/>
    <w:rsid w:val="00223B66"/>
    <w:rsid w:val="002240A4"/>
    <w:rsid w:val="0022478B"/>
    <w:rsid w:val="00224EE3"/>
    <w:rsid w:val="00225547"/>
    <w:rsid w:val="00226CCD"/>
    <w:rsid w:val="002303FF"/>
    <w:rsid w:val="00230B4C"/>
    <w:rsid w:val="00231C9E"/>
    <w:rsid w:val="0023235C"/>
    <w:rsid w:val="00232836"/>
    <w:rsid w:val="00232D80"/>
    <w:rsid w:val="0023339C"/>
    <w:rsid w:val="00234309"/>
    <w:rsid w:val="00235123"/>
    <w:rsid w:val="00235317"/>
    <w:rsid w:val="002416E2"/>
    <w:rsid w:val="002419D0"/>
    <w:rsid w:val="00242897"/>
    <w:rsid w:val="00242A62"/>
    <w:rsid w:val="002444EA"/>
    <w:rsid w:val="00244B2A"/>
    <w:rsid w:val="00245EF6"/>
    <w:rsid w:val="00250A62"/>
    <w:rsid w:val="0025131F"/>
    <w:rsid w:val="00253669"/>
    <w:rsid w:val="00255AC7"/>
    <w:rsid w:val="002569C5"/>
    <w:rsid w:val="00256A84"/>
    <w:rsid w:val="00257F4D"/>
    <w:rsid w:val="00260902"/>
    <w:rsid w:val="00260A71"/>
    <w:rsid w:val="0026198C"/>
    <w:rsid w:val="00261AC6"/>
    <w:rsid w:val="00262FCB"/>
    <w:rsid w:val="00263AB2"/>
    <w:rsid w:val="002643E5"/>
    <w:rsid w:val="00264503"/>
    <w:rsid w:val="00264EB2"/>
    <w:rsid w:val="00265009"/>
    <w:rsid w:val="0026705D"/>
    <w:rsid w:val="00267C83"/>
    <w:rsid w:val="00267F9F"/>
    <w:rsid w:val="00270AE8"/>
    <w:rsid w:val="00270DBF"/>
    <w:rsid w:val="00272498"/>
    <w:rsid w:val="002725B6"/>
    <w:rsid w:val="002726B5"/>
    <w:rsid w:val="00276030"/>
    <w:rsid w:val="00276AC4"/>
    <w:rsid w:val="00276F7B"/>
    <w:rsid w:val="0027767A"/>
    <w:rsid w:val="002815E4"/>
    <w:rsid w:val="0028240A"/>
    <w:rsid w:val="00282892"/>
    <w:rsid w:val="00283506"/>
    <w:rsid w:val="00283A43"/>
    <w:rsid w:val="002842BF"/>
    <w:rsid w:val="00284301"/>
    <w:rsid w:val="00284647"/>
    <w:rsid w:val="0028487B"/>
    <w:rsid w:val="002849EB"/>
    <w:rsid w:val="002859F4"/>
    <w:rsid w:val="00285A81"/>
    <w:rsid w:val="00285BDF"/>
    <w:rsid w:val="00285F61"/>
    <w:rsid w:val="002862E3"/>
    <w:rsid w:val="002868A8"/>
    <w:rsid w:val="0028701F"/>
    <w:rsid w:val="00287BB6"/>
    <w:rsid w:val="00287E12"/>
    <w:rsid w:val="00290DAB"/>
    <w:rsid w:val="00291042"/>
    <w:rsid w:val="00291C24"/>
    <w:rsid w:val="002922D9"/>
    <w:rsid w:val="00292441"/>
    <w:rsid w:val="00292F73"/>
    <w:rsid w:val="00293A07"/>
    <w:rsid w:val="002950BC"/>
    <w:rsid w:val="002958E2"/>
    <w:rsid w:val="00295CE8"/>
    <w:rsid w:val="002962B1"/>
    <w:rsid w:val="002965AD"/>
    <w:rsid w:val="00297B75"/>
    <w:rsid w:val="002A0C4E"/>
    <w:rsid w:val="002A15D6"/>
    <w:rsid w:val="002A1672"/>
    <w:rsid w:val="002A22D6"/>
    <w:rsid w:val="002A3505"/>
    <w:rsid w:val="002A3741"/>
    <w:rsid w:val="002A4AAB"/>
    <w:rsid w:val="002A5CB2"/>
    <w:rsid w:val="002A5E44"/>
    <w:rsid w:val="002A65E2"/>
    <w:rsid w:val="002A7BBC"/>
    <w:rsid w:val="002B00AE"/>
    <w:rsid w:val="002B12E2"/>
    <w:rsid w:val="002B1662"/>
    <w:rsid w:val="002B3F03"/>
    <w:rsid w:val="002B4148"/>
    <w:rsid w:val="002B469A"/>
    <w:rsid w:val="002B51EA"/>
    <w:rsid w:val="002B5C26"/>
    <w:rsid w:val="002B7974"/>
    <w:rsid w:val="002C0DD0"/>
    <w:rsid w:val="002C11C5"/>
    <w:rsid w:val="002C1AB9"/>
    <w:rsid w:val="002C2D6E"/>
    <w:rsid w:val="002C3042"/>
    <w:rsid w:val="002C33EB"/>
    <w:rsid w:val="002C363B"/>
    <w:rsid w:val="002C465A"/>
    <w:rsid w:val="002C666B"/>
    <w:rsid w:val="002C6C07"/>
    <w:rsid w:val="002C6E3F"/>
    <w:rsid w:val="002C7157"/>
    <w:rsid w:val="002D13DD"/>
    <w:rsid w:val="002D1777"/>
    <w:rsid w:val="002D2F30"/>
    <w:rsid w:val="002D47DE"/>
    <w:rsid w:val="002D54FF"/>
    <w:rsid w:val="002D5C40"/>
    <w:rsid w:val="002D61AB"/>
    <w:rsid w:val="002D7BB2"/>
    <w:rsid w:val="002E1F2C"/>
    <w:rsid w:val="002E273F"/>
    <w:rsid w:val="002E28E9"/>
    <w:rsid w:val="002E348F"/>
    <w:rsid w:val="002E36ED"/>
    <w:rsid w:val="002E466F"/>
    <w:rsid w:val="002E6BFE"/>
    <w:rsid w:val="002F1878"/>
    <w:rsid w:val="002F4310"/>
    <w:rsid w:val="002F4865"/>
    <w:rsid w:val="002F499D"/>
    <w:rsid w:val="002F654F"/>
    <w:rsid w:val="002F7B60"/>
    <w:rsid w:val="0030203A"/>
    <w:rsid w:val="00306A74"/>
    <w:rsid w:val="00311CEC"/>
    <w:rsid w:val="00313325"/>
    <w:rsid w:val="00313A4D"/>
    <w:rsid w:val="00313F34"/>
    <w:rsid w:val="00314DB9"/>
    <w:rsid w:val="0031707F"/>
    <w:rsid w:val="00321E2F"/>
    <w:rsid w:val="003246F2"/>
    <w:rsid w:val="00324865"/>
    <w:rsid w:val="00324B01"/>
    <w:rsid w:val="00324E36"/>
    <w:rsid w:val="0032557C"/>
    <w:rsid w:val="00326478"/>
    <w:rsid w:val="003266B9"/>
    <w:rsid w:val="0032788A"/>
    <w:rsid w:val="00331031"/>
    <w:rsid w:val="00331281"/>
    <w:rsid w:val="003333CF"/>
    <w:rsid w:val="003347D8"/>
    <w:rsid w:val="003347F8"/>
    <w:rsid w:val="003348AD"/>
    <w:rsid w:val="003350FF"/>
    <w:rsid w:val="0033575A"/>
    <w:rsid w:val="003359F2"/>
    <w:rsid w:val="00340374"/>
    <w:rsid w:val="003405B0"/>
    <w:rsid w:val="00340734"/>
    <w:rsid w:val="0034095A"/>
    <w:rsid w:val="00340B45"/>
    <w:rsid w:val="0034287E"/>
    <w:rsid w:val="00342E44"/>
    <w:rsid w:val="00343125"/>
    <w:rsid w:val="00343334"/>
    <w:rsid w:val="00346F10"/>
    <w:rsid w:val="00347DC8"/>
    <w:rsid w:val="00350642"/>
    <w:rsid w:val="0035087B"/>
    <w:rsid w:val="00352E5D"/>
    <w:rsid w:val="003538B4"/>
    <w:rsid w:val="00353D3F"/>
    <w:rsid w:val="003546A7"/>
    <w:rsid w:val="00354E41"/>
    <w:rsid w:val="00355F7D"/>
    <w:rsid w:val="00356C0C"/>
    <w:rsid w:val="00357A18"/>
    <w:rsid w:val="00357CAE"/>
    <w:rsid w:val="0036003D"/>
    <w:rsid w:val="003601EE"/>
    <w:rsid w:val="0036092F"/>
    <w:rsid w:val="0036212C"/>
    <w:rsid w:val="00364709"/>
    <w:rsid w:val="00365849"/>
    <w:rsid w:val="00365CEB"/>
    <w:rsid w:val="0036608F"/>
    <w:rsid w:val="00367761"/>
    <w:rsid w:val="00371061"/>
    <w:rsid w:val="003723EC"/>
    <w:rsid w:val="003725C2"/>
    <w:rsid w:val="00373228"/>
    <w:rsid w:val="0037398C"/>
    <w:rsid w:val="00373BCB"/>
    <w:rsid w:val="00373DDA"/>
    <w:rsid w:val="003751D4"/>
    <w:rsid w:val="003765C9"/>
    <w:rsid w:val="0037765F"/>
    <w:rsid w:val="0037789B"/>
    <w:rsid w:val="003805C3"/>
    <w:rsid w:val="003808DC"/>
    <w:rsid w:val="003812EE"/>
    <w:rsid w:val="00381353"/>
    <w:rsid w:val="003817D3"/>
    <w:rsid w:val="00381AD3"/>
    <w:rsid w:val="00382023"/>
    <w:rsid w:val="00382317"/>
    <w:rsid w:val="00382748"/>
    <w:rsid w:val="0038366B"/>
    <w:rsid w:val="00383E27"/>
    <w:rsid w:val="00384A33"/>
    <w:rsid w:val="00384F53"/>
    <w:rsid w:val="0038718B"/>
    <w:rsid w:val="00390037"/>
    <w:rsid w:val="003908CB"/>
    <w:rsid w:val="00390F51"/>
    <w:rsid w:val="00391805"/>
    <w:rsid w:val="00392780"/>
    <w:rsid w:val="003965DB"/>
    <w:rsid w:val="003966A4"/>
    <w:rsid w:val="00397EA7"/>
    <w:rsid w:val="003A131A"/>
    <w:rsid w:val="003A1873"/>
    <w:rsid w:val="003A3153"/>
    <w:rsid w:val="003A389D"/>
    <w:rsid w:val="003A4099"/>
    <w:rsid w:val="003A4572"/>
    <w:rsid w:val="003A48A3"/>
    <w:rsid w:val="003A4DEB"/>
    <w:rsid w:val="003A56B4"/>
    <w:rsid w:val="003A63A3"/>
    <w:rsid w:val="003A7CE9"/>
    <w:rsid w:val="003A7D94"/>
    <w:rsid w:val="003B074C"/>
    <w:rsid w:val="003B304F"/>
    <w:rsid w:val="003B36FD"/>
    <w:rsid w:val="003B52E3"/>
    <w:rsid w:val="003B6EB4"/>
    <w:rsid w:val="003C0A14"/>
    <w:rsid w:val="003C1256"/>
    <w:rsid w:val="003C1404"/>
    <w:rsid w:val="003C229B"/>
    <w:rsid w:val="003C2F63"/>
    <w:rsid w:val="003C4815"/>
    <w:rsid w:val="003C5D94"/>
    <w:rsid w:val="003C7A73"/>
    <w:rsid w:val="003D061C"/>
    <w:rsid w:val="003D16A0"/>
    <w:rsid w:val="003D1765"/>
    <w:rsid w:val="003D188B"/>
    <w:rsid w:val="003D2993"/>
    <w:rsid w:val="003D3B9A"/>
    <w:rsid w:val="003D42BA"/>
    <w:rsid w:val="003D4669"/>
    <w:rsid w:val="003D5E2A"/>
    <w:rsid w:val="003D6B57"/>
    <w:rsid w:val="003D6F48"/>
    <w:rsid w:val="003E0880"/>
    <w:rsid w:val="003E0893"/>
    <w:rsid w:val="003E0C00"/>
    <w:rsid w:val="003E3CBC"/>
    <w:rsid w:val="003E4724"/>
    <w:rsid w:val="003E5316"/>
    <w:rsid w:val="003E5B81"/>
    <w:rsid w:val="003E63DA"/>
    <w:rsid w:val="003E6E9A"/>
    <w:rsid w:val="003E7A91"/>
    <w:rsid w:val="003F0052"/>
    <w:rsid w:val="003F080A"/>
    <w:rsid w:val="003F2BA3"/>
    <w:rsid w:val="003F4609"/>
    <w:rsid w:val="003F47E7"/>
    <w:rsid w:val="003F4887"/>
    <w:rsid w:val="003F6718"/>
    <w:rsid w:val="003F7A91"/>
    <w:rsid w:val="00400ACB"/>
    <w:rsid w:val="004014AC"/>
    <w:rsid w:val="00401EA9"/>
    <w:rsid w:val="00402BA3"/>
    <w:rsid w:val="004041BB"/>
    <w:rsid w:val="0040556F"/>
    <w:rsid w:val="00405C57"/>
    <w:rsid w:val="0040634B"/>
    <w:rsid w:val="00406717"/>
    <w:rsid w:val="00406F15"/>
    <w:rsid w:val="00407DF5"/>
    <w:rsid w:val="004112B7"/>
    <w:rsid w:val="004113F2"/>
    <w:rsid w:val="0041189C"/>
    <w:rsid w:val="00412846"/>
    <w:rsid w:val="0041286B"/>
    <w:rsid w:val="00412E55"/>
    <w:rsid w:val="00412EDA"/>
    <w:rsid w:val="00413ED6"/>
    <w:rsid w:val="0041470D"/>
    <w:rsid w:val="00415306"/>
    <w:rsid w:val="004153E5"/>
    <w:rsid w:val="00416293"/>
    <w:rsid w:val="004165A5"/>
    <w:rsid w:val="004165E0"/>
    <w:rsid w:val="0042020F"/>
    <w:rsid w:val="004209AD"/>
    <w:rsid w:val="00420E26"/>
    <w:rsid w:val="00423265"/>
    <w:rsid w:val="00423AB0"/>
    <w:rsid w:val="004241CA"/>
    <w:rsid w:val="00424DB7"/>
    <w:rsid w:val="0042508B"/>
    <w:rsid w:val="004255AF"/>
    <w:rsid w:val="00425EF9"/>
    <w:rsid w:val="00426293"/>
    <w:rsid w:val="0043056E"/>
    <w:rsid w:val="004307C1"/>
    <w:rsid w:val="0043102C"/>
    <w:rsid w:val="00431770"/>
    <w:rsid w:val="00431D80"/>
    <w:rsid w:val="0043264C"/>
    <w:rsid w:val="00432EDE"/>
    <w:rsid w:val="00433361"/>
    <w:rsid w:val="00433970"/>
    <w:rsid w:val="004346A4"/>
    <w:rsid w:val="00434E74"/>
    <w:rsid w:val="00435970"/>
    <w:rsid w:val="004366AC"/>
    <w:rsid w:val="00436879"/>
    <w:rsid w:val="00437C0C"/>
    <w:rsid w:val="00437DC8"/>
    <w:rsid w:val="00440935"/>
    <w:rsid w:val="0044137D"/>
    <w:rsid w:val="00441DE0"/>
    <w:rsid w:val="004428F8"/>
    <w:rsid w:val="004438EC"/>
    <w:rsid w:val="00445686"/>
    <w:rsid w:val="00446471"/>
    <w:rsid w:val="004470BD"/>
    <w:rsid w:val="00447425"/>
    <w:rsid w:val="00447F68"/>
    <w:rsid w:val="004508EB"/>
    <w:rsid w:val="004515F1"/>
    <w:rsid w:val="00453947"/>
    <w:rsid w:val="00456A2C"/>
    <w:rsid w:val="00457B50"/>
    <w:rsid w:val="00460668"/>
    <w:rsid w:val="004611C1"/>
    <w:rsid w:val="00462B72"/>
    <w:rsid w:val="00465AF5"/>
    <w:rsid w:val="004661B0"/>
    <w:rsid w:val="00466FEA"/>
    <w:rsid w:val="004702BD"/>
    <w:rsid w:val="00470775"/>
    <w:rsid w:val="0047091D"/>
    <w:rsid w:val="00472D5C"/>
    <w:rsid w:val="00473A7F"/>
    <w:rsid w:val="0047596E"/>
    <w:rsid w:val="00476409"/>
    <w:rsid w:val="00477865"/>
    <w:rsid w:val="00480F9B"/>
    <w:rsid w:val="00482A44"/>
    <w:rsid w:val="004838AA"/>
    <w:rsid w:val="00484599"/>
    <w:rsid w:val="004851C5"/>
    <w:rsid w:val="00485335"/>
    <w:rsid w:val="00485F0D"/>
    <w:rsid w:val="00486155"/>
    <w:rsid w:val="00487EFD"/>
    <w:rsid w:val="004911DC"/>
    <w:rsid w:val="004920BD"/>
    <w:rsid w:val="004944B6"/>
    <w:rsid w:val="00494A80"/>
    <w:rsid w:val="004A3B8B"/>
    <w:rsid w:val="004A4630"/>
    <w:rsid w:val="004A4CC2"/>
    <w:rsid w:val="004A5AEC"/>
    <w:rsid w:val="004A7952"/>
    <w:rsid w:val="004A7AFF"/>
    <w:rsid w:val="004B1465"/>
    <w:rsid w:val="004B268D"/>
    <w:rsid w:val="004B5555"/>
    <w:rsid w:val="004B6A9B"/>
    <w:rsid w:val="004C0A57"/>
    <w:rsid w:val="004C159B"/>
    <w:rsid w:val="004C1CEC"/>
    <w:rsid w:val="004C4320"/>
    <w:rsid w:val="004C5584"/>
    <w:rsid w:val="004C6B9E"/>
    <w:rsid w:val="004C6C6E"/>
    <w:rsid w:val="004C780E"/>
    <w:rsid w:val="004D090D"/>
    <w:rsid w:val="004D14D8"/>
    <w:rsid w:val="004D2C1C"/>
    <w:rsid w:val="004D3D91"/>
    <w:rsid w:val="004D4549"/>
    <w:rsid w:val="004D5ACE"/>
    <w:rsid w:val="004D5BB9"/>
    <w:rsid w:val="004D7834"/>
    <w:rsid w:val="004D7BF8"/>
    <w:rsid w:val="004E01E1"/>
    <w:rsid w:val="004E0B7A"/>
    <w:rsid w:val="004E0B8E"/>
    <w:rsid w:val="004E1894"/>
    <w:rsid w:val="004E28E8"/>
    <w:rsid w:val="004E2CF6"/>
    <w:rsid w:val="004E3BBF"/>
    <w:rsid w:val="004E4CC2"/>
    <w:rsid w:val="004E518C"/>
    <w:rsid w:val="004E6F94"/>
    <w:rsid w:val="004E7578"/>
    <w:rsid w:val="004F0107"/>
    <w:rsid w:val="004F1699"/>
    <w:rsid w:val="004F17FB"/>
    <w:rsid w:val="004F3090"/>
    <w:rsid w:val="004F4346"/>
    <w:rsid w:val="004F489A"/>
    <w:rsid w:val="004F4A39"/>
    <w:rsid w:val="004F4D75"/>
    <w:rsid w:val="004F5F21"/>
    <w:rsid w:val="004F66D0"/>
    <w:rsid w:val="004F6747"/>
    <w:rsid w:val="00500332"/>
    <w:rsid w:val="00500F88"/>
    <w:rsid w:val="00504154"/>
    <w:rsid w:val="00504223"/>
    <w:rsid w:val="0050477B"/>
    <w:rsid w:val="005057CC"/>
    <w:rsid w:val="00505858"/>
    <w:rsid w:val="00505A9A"/>
    <w:rsid w:val="00505F80"/>
    <w:rsid w:val="00506735"/>
    <w:rsid w:val="005069A5"/>
    <w:rsid w:val="00507E86"/>
    <w:rsid w:val="0051089D"/>
    <w:rsid w:val="005115F3"/>
    <w:rsid w:val="00512BF2"/>
    <w:rsid w:val="00513834"/>
    <w:rsid w:val="00514908"/>
    <w:rsid w:val="00514A6D"/>
    <w:rsid w:val="00515EB7"/>
    <w:rsid w:val="00520518"/>
    <w:rsid w:val="005208EB"/>
    <w:rsid w:val="005209D7"/>
    <w:rsid w:val="00520CD4"/>
    <w:rsid w:val="0052205A"/>
    <w:rsid w:val="00523D1E"/>
    <w:rsid w:val="0052537E"/>
    <w:rsid w:val="00525F48"/>
    <w:rsid w:val="0052611C"/>
    <w:rsid w:val="005261F1"/>
    <w:rsid w:val="00526784"/>
    <w:rsid w:val="00526E2C"/>
    <w:rsid w:val="00527268"/>
    <w:rsid w:val="00527CD2"/>
    <w:rsid w:val="00531527"/>
    <w:rsid w:val="005316B6"/>
    <w:rsid w:val="00533FFC"/>
    <w:rsid w:val="0053539D"/>
    <w:rsid w:val="005361E0"/>
    <w:rsid w:val="005378EF"/>
    <w:rsid w:val="00540570"/>
    <w:rsid w:val="005437CF"/>
    <w:rsid w:val="0054482C"/>
    <w:rsid w:val="00547B5A"/>
    <w:rsid w:val="00550282"/>
    <w:rsid w:val="0055130D"/>
    <w:rsid w:val="005550DD"/>
    <w:rsid w:val="00555359"/>
    <w:rsid w:val="005575BA"/>
    <w:rsid w:val="00557DC5"/>
    <w:rsid w:val="00560C5B"/>
    <w:rsid w:val="00560F77"/>
    <w:rsid w:val="00561EA3"/>
    <w:rsid w:val="005624A0"/>
    <w:rsid w:val="005634AE"/>
    <w:rsid w:val="005635C8"/>
    <w:rsid w:val="00564B12"/>
    <w:rsid w:val="0056550D"/>
    <w:rsid w:val="005659AC"/>
    <w:rsid w:val="00566122"/>
    <w:rsid w:val="005665E1"/>
    <w:rsid w:val="00567592"/>
    <w:rsid w:val="00567730"/>
    <w:rsid w:val="00567B55"/>
    <w:rsid w:val="005701BB"/>
    <w:rsid w:val="005709B5"/>
    <w:rsid w:val="00570BB9"/>
    <w:rsid w:val="005712A8"/>
    <w:rsid w:val="00572418"/>
    <w:rsid w:val="00572A77"/>
    <w:rsid w:val="00573BE5"/>
    <w:rsid w:val="00574301"/>
    <w:rsid w:val="00574806"/>
    <w:rsid w:val="005752A3"/>
    <w:rsid w:val="00575CB7"/>
    <w:rsid w:val="00580F55"/>
    <w:rsid w:val="0058146F"/>
    <w:rsid w:val="00583F70"/>
    <w:rsid w:val="00584D05"/>
    <w:rsid w:val="0058523D"/>
    <w:rsid w:val="00586934"/>
    <w:rsid w:val="00587C00"/>
    <w:rsid w:val="00587E4F"/>
    <w:rsid w:val="0059033F"/>
    <w:rsid w:val="00591754"/>
    <w:rsid w:val="00591BBD"/>
    <w:rsid w:val="0059449D"/>
    <w:rsid w:val="00597E4B"/>
    <w:rsid w:val="005A1260"/>
    <w:rsid w:val="005A2328"/>
    <w:rsid w:val="005A2FA1"/>
    <w:rsid w:val="005A3014"/>
    <w:rsid w:val="005A35B6"/>
    <w:rsid w:val="005A4232"/>
    <w:rsid w:val="005A50A0"/>
    <w:rsid w:val="005A57A2"/>
    <w:rsid w:val="005A6740"/>
    <w:rsid w:val="005A6767"/>
    <w:rsid w:val="005A77C9"/>
    <w:rsid w:val="005A7A37"/>
    <w:rsid w:val="005B016E"/>
    <w:rsid w:val="005B03C3"/>
    <w:rsid w:val="005B0807"/>
    <w:rsid w:val="005B0C96"/>
    <w:rsid w:val="005B1244"/>
    <w:rsid w:val="005B214B"/>
    <w:rsid w:val="005B2CA3"/>
    <w:rsid w:val="005B3314"/>
    <w:rsid w:val="005B3467"/>
    <w:rsid w:val="005B5AF6"/>
    <w:rsid w:val="005B61FE"/>
    <w:rsid w:val="005B6687"/>
    <w:rsid w:val="005C09B3"/>
    <w:rsid w:val="005C0D7E"/>
    <w:rsid w:val="005C0DE7"/>
    <w:rsid w:val="005C0F07"/>
    <w:rsid w:val="005C177B"/>
    <w:rsid w:val="005C1CA1"/>
    <w:rsid w:val="005C2DE6"/>
    <w:rsid w:val="005C3E05"/>
    <w:rsid w:val="005C4EBF"/>
    <w:rsid w:val="005C5098"/>
    <w:rsid w:val="005C58EB"/>
    <w:rsid w:val="005C5977"/>
    <w:rsid w:val="005C7ED7"/>
    <w:rsid w:val="005D01A4"/>
    <w:rsid w:val="005D088D"/>
    <w:rsid w:val="005D0D39"/>
    <w:rsid w:val="005D1A7D"/>
    <w:rsid w:val="005D1D9B"/>
    <w:rsid w:val="005D1F21"/>
    <w:rsid w:val="005D392F"/>
    <w:rsid w:val="005D57AA"/>
    <w:rsid w:val="005D5D39"/>
    <w:rsid w:val="005D78A2"/>
    <w:rsid w:val="005E1C52"/>
    <w:rsid w:val="005E2E68"/>
    <w:rsid w:val="005E33D2"/>
    <w:rsid w:val="005E41E1"/>
    <w:rsid w:val="005E4442"/>
    <w:rsid w:val="005E4BD2"/>
    <w:rsid w:val="005E501E"/>
    <w:rsid w:val="005E50F3"/>
    <w:rsid w:val="005E5490"/>
    <w:rsid w:val="005E5F00"/>
    <w:rsid w:val="005F2D4C"/>
    <w:rsid w:val="005F31D5"/>
    <w:rsid w:val="005F37D4"/>
    <w:rsid w:val="005F42D2"/>
    <w:rsid w:val="005F4DD9"/>
    <w:rsid w:val="005F51F9"/>
    <w:rsid w:val="005F554A"/>
    <w:rsid w:val="005F67E2"/>
    <w:rsid w:val="006020D9"/>
    <w:rsid w:val="0060267A"/>
    <w:rsid w:val="006030D6"/>
    <w:rsid w:val="00603705"/>
    <w:rsid w:val="006043A4"/>
    <w:rsid w:val="00605007"/>
    <w:rsid w:val="0060594A"/>
    <w:rsid w:val="006105B3"/>
    <w:rsid w:val="006119B8"/>
    <w:rsid w:val="00613E21"/>
    <w:rsid w:val="00614CD3"/>
    <w:rsid w:val="0061627F"/>
    <w:rsid w:val="00616BF1"/>
    <w:rsid w:val="0062043A"/>
    <w:rsid w:val="00620808"/>
    <w:rsid w:val="006209D6"/>
    <w:rsid w:val="006217E3"/>
    <w:rsid w:val="00621A67"/>
    <w:rsid w:val="00621EDB"/>
    <w:rsid w:val="00622F37"/>
    <w:rsid w:val="006232A3"/>
    <w:rsid w:val="006240A6"/>
    <w:rsid w:val="006242DF"/>
    <w:rsid w:val="0062497C"/>
    <w:rsid w:val="00624EB7"/>
    <w:rsid w:val="0062600E"/>
    <w:rsid w:val="00626EC9"/>
    <w:rsid w:val="006365C2"/>
    <w:rsid w:val="00636643"/>
    <w:rsid w:val="006374CD"/>
    <w:rsid w:val="00637F16"/>
    <w:rsid w:val="00640570"/>
    <w:rsid w:val="00640CB0"/>
    <w:rsid w:val="00641143"/>
    <w:rsid w:val="0064267E"/>
    <w:rsid w:val="006430FF"/>
    <w:rsid w:val="0064347A"/>
    <w:rsid w:val="00643967"/>
    <w:rsid w:val="0064721C"/>
    <w:rsid w:val="00647882"/>
    <w:rsid w:val="00647AC7"/>
    <w:rsid w:val="00647DA8"/>
    <w:rsid w:val="00647F9D"/>
    <w:rsid w:val="006502AB"/>
    <w:rsid w:val="00650F32"/>
    <w:rsid w:val="00651177"/>
    <w:rsid w:val="0065343A"/>
    <w:rsid w:val="00653A2A"/>
    <w:rsid w:val="00653B74"/>
    <w:rsid w:val="006569FD"/>
    <w:rsid w:val="0066096D"/>
    <w:rsid w:val="0066100B"/>
    <w:rsid w:val="0066219C"/>
    <w:rsid w:val="00663D25"/>
    <w:rsid w:val="0066654B"/>
    <w:rsid w:val="00666B1D"/>
    <w:rsid w:val="006672FF"/>
    <w:rsid w:val="00671816"/>
    <w:rsid w:val="006724CA"/>
    <w:rsid w:val="006727E9"/>
    <w:rsid w:val="006746CD"/>
    <w:rsid w:val="00674DB1"/>
    <w:rsid w:val="00675481"/>
    <w:rsid w:val="00677156"/>
    <w:rsid w:val="006779A1"/>
    <w:rsid w:val="006807B3"/>
    <w:rsid w:val="006813A4"/>
    <w:rsid w:val="00681F77"/>
    <w:rsid w:val="006823B3"/>
    <w:rsid w:val="00682BA0"/>
    <w:rsid w:val="00682E7A"/>
    <w:rsid w:val="0068368F"/>
    <w:rsid w:val="0068390A"/>
    <w:rsid w:val="00684D30"/>
    <w:rsid w:val="0068528A"/>
    <w:rsid w:val="006855D3"/>
    <w:rsid w:val="00685D06"/>
    <w:rsid w:val="00686202"/>
    <w:rsid w:val="00690243"/>
    <w:rsid w:val="00690709"/>
    <w:rsid w:val="0069139A"/>
    <w:rsid w:val="006917A7"/>
    <w:rsid w:val="00691862"/>
    <w:rsid w:val="0069219F"/>
    <w:rsid w:val="006944EB"/>
    <w:rsid w:val="00694C2D"/>
    <w:rsid w:val="006954C4"/>
    <w:rsid w:val="006A00B7"/>
    <w:rsid w:val="006A0563"/>
    <w:rsid w:val="006A134B"/>
    <w:rsid w:val="006A1B12"/>
    <w:rsid w:val="006A229F"/>
    <w:rsid w:val="006A34AC"/>
    <w:rsid w:val="006A46A7"/>
    <w:rsid w:val="006A4D18"/>
    <w:rsid w:val="006A4F09"/>
    <w:rsid w:val="006A50E4"/>
    <w:rsid w:val="006A5C66"/>
    <w:rsid w:val="006A7371"/>
    <w:rsid w:val="006B34C9"/>
    <w:rsid w:val="006B399A"/>
    <w:rsid w:val="006B4795"/>
    <w:rsid w:val="006B5791"/>
    <w:rsid w:val="006B60A2"/>
    <w:rsid w:val="006B6798"/>
    <w:rsid w:val="006B77BE"/>
    <w:rsid w:val="006B7B54"/>
    <w:rsid w:val="006C06AF"/>
    <w:rsid w:val="006C0F76"/>
    <w:rsid w:val="006C1340"/>
    <w:rsid w:val="006C23C2"/>
    <w:rsid w:val="006C33AC"/>
    <w:rsid w:val="006C4B1F"/>
    <w:rsid w:val="006C5C39"/>
    <w:rsid w:val="006C6FBB"/>
    <w:rsid w:val="006C723E"/>
    <w:rsid w:val="006C7B71"/>
    <w:rsid w:val="006D01E3"/>
    <w:rsid w:val="006D3A6D"/>
    <w:rsid w:val="006D46C6"/>
    <w:rsid w:val="006D4F91"/>
    <w:rsid w:val="006D5556"/>
    <w:rsid w:val="006D6DB3"/>
    <w:rsid w:val="006D7238"/>
    <w:rsid w:val="006E0419"/>
    <w:rsid w:val="006E0CF5"/>
    <w:rsid w:val="006E15B5"/>
    <w:rsid w:val="006E18EB"/>
    <w:rsid w:val="006E1C31"/>
    <w:rsid w:val="006E31A3"/>
    <w:rsid w:val="006E45CC"/>
    <w:rsid w:val="006E52E1"/>
    <w:rsid w:val="006E5C6C"/>
    <w:rsid w:val="006E63DE"/>
    <w:rsid w:val="006E6A42"/>
    <w:rsid w:val="006E70D1"/>
    <w:rsid w:val="006F04D9"/>
    <w:rsid w:val="006F07FA"/>
    <w:rsid w:val="006F0FBF"/>
    <w:rsid w:val="006F137B"/>
    <w:rsid w:val="006F1B2E"/>
    <w:rsid w:val="006F1DC1"/>
    <w:rsid w:val="006F2292"/>
    <w:rsid w:val="006F31D7"/>
    <w:rsid w:val="006F3670"/>
    <w:rsid w:val="006F3932"/>
    <w:rsid w:val="006F3B2C"/>
    <w:rsid w:val="006F48D3"/>
    <w:rsid w:val="006F4901"/>
    <w:rsid w:val="006F617A"/>
    <w:rsid w:val="006F6BD6"/>
    <w:rsid w:val="006F6D52"/>
    <w:rsid w:val="007001BB"/>
    <w:rsid w:val="0070184C"/>
    <w:rsid w:val="007028E7"/>
    <w:rsid w:val="007039B7"/>
    <w:rsid w:val="00703CAD"/>
    <w:rsid w:val="0070401B"/>
    <w:rsid w:val="00704082"/>
    <w:rsid w:val="00705371"/>
    <w:rsid w:val="007077DC"/>
    <w:rsid w:val="00707DAE"/>
    <w:rsid w:val="00710C2B"/>
    <w:rsid w:val="00712FDD"/>
    <w:rsid w:val="00713384"/>
    <w:rsid w:val="00713D73"/>
    <w:rsid w:val="007141E1"/>
    <w:rsid w:val="00714F31"/>
    <w:rsid w:val="0071593B"/>
    <w:rsid w:val="007219F6"/>
    <w:rsid w:val="00722046"/>
    <w:rsid w:val="00722CFC"/>
    <w:rsid w:val="0072440A"/>
    <w:rsid w:val="00724504"/>
    <w:rsid w:val="007247EB"/>
    <w:rsid w:val="007257D4"/>
    <w:rsid w:val="00725A64"/>
    <w:rsid w:val="00725BA5"/>
    <w:rsid w:val="00726485"/>
    <w:rsid w:val="00726F2B"/>
    <w:rsid w:val="00732F1A"/>
    <w:rsid w:val="00733151"/>
    <w:rsid w:val="00733AC8"/>
    <w:rsid w:val="00734A87"/>
    <w:rsid w:val="00734CF6"/>
    <w:rsid w:val="00735189"/>
    <w:rsid w:val="007360FB"/>
    <w:rsid w:val="007369A0"/>
    <w:rsid w:val="00740E6A"/>
    <w:rsid w:val="007413D9"/>
    <w:rsid w:val="0074150C"/>
    <w:rsid w:val="00742024"/>
    <w:rsid w:val="007434B4"/>
    <w:rsid w:val="00744360"/>
    <w:rsid w:val="007455AC"/>
    <w:rsid w:val="00745685"/>
    <w:rsid w:val="0074593E"/>
    <w:rsid w:val="007460BC"/>
    <w:rsid w:val="00746586"/>
    <w:rsid w:val="00747190"/>
    <w:rsid w:val="00747779"/>
    <w:rsid w:val="00747DDA"/>
    <w:rsid w:val="00747F03"/>
    <w:rsid w:val="00750446"/>
    <w:rsid w:val="00751132"/>
    <w:rsid w:val="00751F7C"/>
    <w:rsid w:val="00753FAF"/>
    <w:rsid w:val="00755F77"/>
    <w:rsid w:val="007567BC"/>
    <w:rsid w:val="007568EE"/>
    <w:rsid w:val="007601F3"/>
    <w:rsid w:val="007606C3"/>
    <w:rsid w:val="00760E64"/>
    <w:rsid w:val="007611A9"/>
    <w:rsid w:val="00761C5D"/>
    <w:rsid w:val="00761F02"/>
    <w:rsid w:val="0076488F"/>
    <w:rsid w:val="00765AED"/>
    <w:rsid w:val="0076675E"/>
    <w:rsid w:val="0076684A"/>
    <w:rsid w:val="00767220"/>
    <w:rsid w:val="00771449"/>
    <w:rsid w:val="00771DE6"/>
    <w:rsid w:val="007723AB"/>
    <w:rsid w:val="0077273F"/>
    <w:rsid w:val="0077276B"/>
    <w:rsid w:val="007741AD"/>
    <w:rsid w:val="00774632"/>
    <w:rsid w:val="00775065"/>
    <w:rsid w:val="00777B6C"/>
    <w:rsid w:val="00780CB0"/>
    <w:rsid w:val="007847B2"/>
    <w:rsid w:val="00785952"/>
    <w:rsid w:val="00786755"/>
    <w:rsid w:val="00787111"/>
    <w:rsid w:val="00787136"/>
    <w:rsid w:val="0078751B"/>
    <w:rsid w:val="00787713"/>
    <w:rsid w:val="00787B90"/>
    <w:rsid w:val="007928E2"/>
    <w:rsid w:val="007936B7"/>
    <w:rsid w:val="007938A2"/>
    <w:rsid w:val="00793C99"/>
    <w:rsid w:val="007946C7"/>
    <w:rsid w:val="007948EB"/>
    <w:rsid w:val="0079531F"/>
    <w:rsid w:val="00795D1A"/>
    <w:rsid w:val="007972B8"/>
    <w:rsid w:val="00797518"/>
    <w:rsid w:val="007975C6"/>
    <w:rsid w:val="007A32D4"/>
    <w:rsid w:val="007A33DB"/>
    <w:rsid w:val="007A3ABD"/>
    <w:rsid w:val="007A4B56"/>
    <w:rsid w:val="007A54CF"/>
    <w:rsid w:val="007A5DDD"/>
    <w:rsid w:val="007A69F1"/>
    <w:rsid w:val="007A6B90"/>
    <w:rsid w:val="007B00EC"/>
    <w:rsid w:val="007B0338"/>
    <w:rsid w:val="007B0520"/>
    <w:rsid w:val="007B2232"/>
    <w:rsid w:val="007B4A00"/>
    <w:rsid w:val="007B644C"/>
    <w:rsid w:val="007B65F8"/>
    <w:rsid w:val="007C0C56"/>
    <w:rsid w:val="007C2C9D"/>
    <w:rsid w:val="007C302F"/>
    <w:rsid w:val="007C5C1F"/>
    <w:rsid w:val="007C5F6A"/>
    <w:rsid w:val="007C6ED7"/>
    <w:rsid w:val="007C76F3"/>
    <w:rsid w:val="007D0885"/>
    <w:rsid w:val="007D1565"/>
    <w:rsid w:val="007D23C8"/>
    <w:rsid w:val="007D348B"/>
    <w:rsid w:val="007D3A8A"/>
    <w:rsid w:val="007D405F"/>
    <w:rsid w:val="007D460B"/>
    <w:rsid w:val="007D4EAE"/>
    <w:rsid w:val="007D57AF"/>
    <w:rsid w:val="007D5C23"/>
    <w:rsid w:val="007D6E84"/>
    <w:rsid w:val="007D71A8"/>
    <w:rsid w:val="007D7812"/>
    <w:rsid w:val="007E0993"/>
    <w:rsid w:val="007E1305"/>
    <w:rsid w:val="007E1DC0"/>
    <w:rsid w:val="007E256E"/>
    <w:rsid w:val="007E2C2B"/>
    <w:rsid w:val="007E2F36"/>
    <w:rsid w:val="007E3355"/>
    <w:rsid w:val="007E4784"/>
    <w:rsid w:val="007E484A"/>
    <w:rsid w:val="007E4969"/>
    <w:rsid w:val="007E5152"/>
    <w:rsid w:val="007E5BC4"/>
    <w:rsid w:val="007F589A"/>
    <w:rsid w:val="007F5A41"/>
    <w:rsid w:val="007F5C7E"/>
    <w:rsid w:val="007F5C8A"/>
    <w:rsid w:val="007F6ECA"/>
    <w:rsid w:val="00801B24"/>
    <w:rsid w:val="008022FA"/>
    <w:rsid w:val="00802842"/>
    <w:rsid w:val="008029A3"/>
    <w:rsid w:val="00802D88"/>
    <w:rsid w:val="008041E9"/>
    <w:rsid w:val="00804342"/>
    <w:rsid w:val="0080530F"/>
    <w:rsid w:val="00805524"/>
    <w:rsid w:val="00805B8A"/>
    <w:rsid w:val="00805E68"/>
    <w:rsid w:val="00807280"/>
    <w:rsid w:val="00807527"/>
    <w:rsid w:val="008100B3"/>
    <w:rsid w:val="00811559"/>
    <w:rsid w:val="008137E0"/>
    <w:rsid w:val="00814617"/>
    <w:rsid w:val="00814F1A"/>
    <w:rsid w:val="008168BB"/>
    <w:rsid w:val="008171F2"/>
    <w:rsid w:val="008205E0"/>
    <w:rsid w:val="00820C24"/>
    <w:rsid w:val="00821980"/>
    <w:rsid w:val="0082253F"/>
    <w:rsid w:val="00823B5F"/>
    <w:rsid w:val="00824B7E"/>
    <w:rsid w:val="00826848"/>
    <w:rsid w:val="00826A07"/>
    <w:rsid w:val="00826FDC"/>
    <w:rsid w:val="008327F1"/>
    <w:rsid w:val="0083358D"/>
    <w:rsid w:val="00833685"/>
    <w:rsid w:val="008348A7"/>
    <w:rsid w:val="00834DF7"/>
    <w:rsid w:val="008368A0"/>
    <w:rsid w:val="00837704"/>
    <w:rsid w:val="008400EE"/>
    <w:rsid w:val="00840AB2"/>
    <w:rsid w:val="008417A5"/>
    <w:rsid w:val="00842D56"/>
    <w:rsid w:val="00844573"/>
    <w:rsid w:val="00844C56"/>
    <w:rsid w:val="00845C17"/>
    <w:rsid w:val="00846C2C"/>
    <w:rsid w:val="0085129C"/>
    <w:rsid w:val="00852675"/>
    <w:rsid w:val="00852853"/>
    <w:rsid w:val="00853251"/>
    <w:rsid w:val="00854301"/>
    <w:rsid w:val="008558C2"/>
    <w:rsid w:val="008570AA"/>
    <w:rsid w:val="00860E07"/>
    <w:rsid w:val="008613AD"/>
    <w:rsid w:val="0086223C"/>
    <w:rsid w:val="00862AC9"/>
    <w:rsid w:val="00862E2B"/>
    <w:rsid w:val="00863896"/>
    <w:rsid w:val="00863AFA"/>
    <w:rsid w:val="00865FC0"/>
    <w:rsid w:val="00865FEB"/>
    <w:rsid w:val="0086659F"/>
    <w:rsid w:val="00866B3B"/>
    <w:rsid w:val="008706F9"/>
    <w:rsid w:val="00871BBB"/>
    <w:rsid w:val="00873CDE"/>
    <w:rsid w:val="00874C18"/>
    <w:rsid w:val="00875458"/>
    <w:rsid w:val="00875A3A"/>
    <w:rsid w:val="00876925"/>
    <w:rsid w:val="00877941"/>
    <w:rsid w:val="0088016F"/>
    <w:rsid w:val="00880359"/>
    <w:rsid w:val="0088062D"/>
    <w:rsid w:val="00880C22"/>
    <w:rsid w:val="00881408"/>
    <w:rsid w:val="0088206F"/>
    <w:rsid w:val="008821CE"/>
    <w:rsid w:val="00882419"/>
    <w:rsid w:val="008828A3"/>
    <w:rsid w:val="00882F88"/>
    <w:rsid w:val="008836B3"/>
    <w:rsid w:val="00883835"/>
    <w:rsid w:val="00884527"/>
    <w:rsid w:val="00885429"/>
    <w:rsid w:val="00886054"/>
    <w:rsid w:val="008862FF"/>
    <w:rsid w:val="00886FAE"/>
    <w:rsid w:val="00887570"/>
    <w:rsid w:val="0088767A"/>
    <w:rsid w:val="00892D2C"/>
    <w:rsid w:val="00893531"/>
    <w:rsid w:val="008952DA"/>
    <w:rsid w:val="00895D20"/>
    <w:rsid w:val="008961A9"/>
    <w:rsid w:val="00897720"/>
    <w:rsid w:val="008978AE"/>
    <w:rsid w:val="008A0865"/>
    <w:rsid w:val="008A1CC1"/>
    <w:rsid w:val="008A1E03"/>
    <w:rsid w:val="008A400C"/>
    <w:rsid w:val="008A4564"/>
    <w:rsid w:val="008A64F6"/>
    <w:rsid w:val="008A664A"/>
    <w:rsid w:val="008A6C2A"/>
    <w:rsid w:val="008A75A2"/>
    <w:rsid w:val="008B064A"/>
    <w:rsid w:val="008B35FF"/>
    <w:rsid w:val="008B3914"/>
    <w:rsid w:val="008B3B34"/>
    <w:rsid w:val="008B4ECD"/>
    <w:rsid w:val="008B685F"/>
    <w:rsid w:val="008B7C50"/>
    <w:rsid w:val="008B7C74"/>
    <w:rsid w:val="008B7E9E"/>
    <w:rsid w:val="008C008E"/>
    <w:rsid w:val="008C2834"/>
    <w:rsid w:val="008C29DE"/>
    <w:rsid w:val="008C2DE1"/>
    <w:rsid w:val="008C3A07"/>
    <w:rsid w:val="008C41AF"/>
    <w:rsid w:val="008C47C2"/>
    <w:rsid w:val="008C59E1"/>
    <w:rsid w:val="008D0C02"/>
    <w:rsid w:val="008D201F"/>
    <w:rsid w:val="008D3FC4"/>
    <w:rsid w:val="008D499A"/>
    <w:rsid w:val="008D4A08"/>
    <w:rsid w:val="008D5A64"/>
    <w:rsid w:val="008D63C6"/>
    <w:rsid w:val="008D71E1"/>
    <w:rsid w:val="008E1B2E"/>
    <w:rsid w:val="008E2E02"/>
    <w:rsid w:val="008E3392"/>
    <w:rsid w:val="008E3C1A"/>
    <w:rsid w:val="008E4ED5"/>
    <w:rsid w:val="008E6DFB"/>
    <w:rsid w:val="008F1C57"/>
    <w:rsid w:val="008F587E"/>
    <w:rsid w:val="008F63FC"/>
    <w:rsid w:val="008F6500"/>
    <w:rsid w:val="008F73EE"/>
    <w:rsid w:val="00901406"/>
    <w:rsid w:val="00901880"/>
    <w:rsid w:val="00901F5B"/>
    <w:rsid w:val="0090312E"/>
    <w:rsid w:val="00903231"/>
    <w:rsid w:val="0090323D"/>
    <w:rsid w:val="0090365C"/>
    <w:rsid w:val="009040DE"/>
    <w:rsid w:val="00904101"/>
    <w:rsid w:val="00904162"/>
    <w:rsid w:val="00904FDD"/>
    <w:rsid w:val="009055CB"/>
    <w:rsid w:val="009069C0"/>
    <w:rsid w:val="0090766C"/>
    <w:rsid w:val="009104BE"/>
    <w:rsid w:val="00910FB9"/>
    <w:rsid w:val="0091102F"/>
    <w:rsid w:val="009130C4"/>
    <w:rsid w:val="009138A1"/>
    <w:rsid w:val="00913D07"/>
    <w:rsid w:val="00914055"/>
    <w:rsid w:val="00915C2A"/>
    <w:rsid w:val="00916580"/>
    <w:rsid w:val="0091715D"/>
    <w:rsid w:val="009179EE"/>
    <w:rsid w:val="00917B30"/>
    <w:rsid w:val="00921556"/>
    <w:rsid w:val="0092181D"/>
    <w:rsid w:val="009220E1"/>
    <w:rsid w:val="009226FF"/>
    <w:rsid w:val="00922BF1"/>
    <w:rsid w:val="00922DDF"/>
    <w:rsid w:val="0092412A"/>
    <w:rsid w:val="0092516A"/>
    <w:rsid w:val="009258D3"/>
    <w:rsid w:val="00926E98"/>
    <w:rsid w:val="0093049E"/>
    <w:rsid w:val="00932D24"/>
    <w:rsid w:val="0093449D"/>
    <w:rsid w:val="0093744F"/>
    <w:rsid w:val="009413A9"/>
    <w:rsid w:val="009438E2"/>
    <w:rsid w:val="00943F2F"/>
    <w:rsid w:val="009440E8"/>
    <w:rsid w:val="0094476B"/>
    <w:rsid w:val="00944F45"/>
    <w:rsid w:val="00945FCD"/>
    <w:rsid w:val="009471C8"/>
    <w:rsid w:val="00950768"/>
    <w:rsid w:val="00951E05"/>
    <w:rsid w:val="009523BC"/>
    <w:rsid w:val="0095283A"/>
    <w:rsid w:val="009530CA"/>
    <w:rsid w:val="00953295"/>
    <w:rsid w:val="009533D4"/>
    <w:rsid w:val="009536C0"/>
    <w:rsid w:val="00955A0A"/>
    <w:rsid w:val="00956792"/>
    <w:rsid w:val="009575AE"/>
    <w:rsid w:val="00957733"/>
    <w:rsid w:val="0096037C"/>
    <w:rsid w:val="009605C3"/>
    <w:rsid w:val="00960AEF"/>
    <w:rsid w:val="00964404"/>
    <w:rsid w:val="009663CE"/>
    <w:rsid w:val="00966666"/>
    <w:rsid w:val="00966A87"/>
    <w:rsid w:val="00967B29"/>
    <w:rsid w:val="00967EB5"/>
    <w:rsid w:val="0097053B"/>
    <w:rsid w:val="00970885"/>
    <w:rsid w:val="009716E8"/>
    <w:rsid w:val="00974D37"/>
    <w:rsid w:val="00974E44"/>
    <w:rsid w:val="009764A4"/>
    <w:rsid w:val="009771AA"/>
    <w:rsid w:val="0098151F"/>
    <w:rsid w:val="009822D7"/>
    <w:rsid w:val="009822F0"/>
    <w:rsid w:val="00983A67"/>
    <w:rsid w:val="00983E55"/>
    <w:rsid w:val="009864CF"/>
    <w:rsid w:val="009868D4"/>
    <w:rsid w:val="0099031D"/>
    <w:rsid w:val="00991EB4"/>
    <w:rsid w:val="009928A8"/>
    <w:rsid w:val="00992BAF"/>
    <w:rsid w:val="00992F43"/>
    <w:rsid w:val="00993871"/>
    <w:rsid w:val="00994C2B"/>
    <w:rsid w:val="00994DAF"/>
    <w:rsid w:val="00996896"/>
    <w:rsid w:val="00996B4D"/>
    <w:rsid w:val="00996D0D"/>
    <w:rsid w:val="009A0AA3"/>
    <w:rsid w:val="009A0EAF"/>
    <w:rsid w:val="009A2243"/>
    <w:rsid w:val="009A2CBF"/>
    <w:rsid w:val="009A30BF"/>
    <w:rsid w:val="009A3EDB"/>
    <w:rsid w:val="009A3F9F"/>
    <w:rsid w:val="009A4C47"/>
    <w:rsid w:val="009A5E9C"/>
    <w:rsid w:val="009A7525"/>
    <w:rsid w:val="009A7664"/>
    <w:rsid w:val="009A7FB8"/>
    <w:rsid w:val="009B06BC"/>
    <w:rsid w:val="009B1169"/>
    <w:rsid w:val="009B1687"/>
    <w:rsid w:val="009B1F47"/>
    <w:rsid w:val="009B2B6A"/>
    <w:rsid w:val="009B327E"/>
    <w:rsid w:val="009B339A"/>
    <w:rsid w:val="009B3680"/>
    <w:rsid w:val="009B4D71"/>
    <w:rsid w:val="009B56E8"/>
    <w:rsid w:val="009B5BE2"/>
    <w:rsid w:val="009C120F"/>
    <w:rsid w:val="009C29F4"/>
    <w:rsid w:val="009C2F1E"/>
    <w:rsid w:val="009C3487"/>
    <w:rsid w:val="009C39BD"/>
    <w:rsid w:val="009C4F0D"/>
    <w:rsid w:val="009C7F22"/>
    <w:rsid w:val="009D09B9"/>
    <w:rsid w:val="009D7095"/>
    <w:rsid w:val="009E04AF"/>
    <w:rsid w:val="009E4A6F"/>
    <w:rsid w:val="009E5BB5"/>
    <w:rsid w:val="009E6986"/>
    <w:rsid w:val="009E69CC"/>
    <w:rsid w:val="009F08F7"/>
    <w:rsid w:val="009F091E"/>
    <w:rsid w:val="009F09DD"/>
    <w:rsid w:val="009F3C62"/>
    <w:rsid w:val="009F51BF"/>
    <w:rsid w:val="009F6612"/>
    <w:rsid w:val="009F7FB0"/>
    <w:rsid w:val="00A00FE5"/>
    <w:rsid w:val="00A025C8"/>
    <w:rsid w:val="00A0440E"/>
    <w:rsid w:val="00A055A2"/>
    <w:rsid w:val="00A05BDC"/>
    <w:rsid w:val="00A068BD"/>
    <w:rsid w:val="00A079C5"/>
    <w:rsid w:val="00A10993"/>
    <w:rsid w:val="00A10DF5"/>
    <w:rsid w:val="00A118FA"/>
    <w:rsid w:val="00A1238E"/>
    <w:rsid w:val="00A147BA"/>
    <w:rsid w:val="00A14F25"/>
    <w:rsid w:val="00A150CD"/>
    <w:rsid w:val="00A20365"/>
    <w:rsid w:val="00A2099A"/>
    <w:rsid w:val="00A20DB6"/>
    <w:rsid w:val="00A21A8D"/>
    <w:rsid w:val="00A21F26"/>
    <w:rsid w:val="00A23123"/>
    <w:rsid w:val="00A251BE"/>
    <w:rsid w:val="00A27620"/>
    <w:rsid w:val="00A308A5"/>
    <w:rsid w:val="00A30C20"/>
    <w:rsid w:val="00A31C0C"/>
    <w:rsid w:val="00A32970"/>
    <w:rsid w:val="00A33BF9"/>
    <w:rsid w:val="00A33F77"/>
    <w:rsid w:val="00A340D8"/>
    <w:rsid w:val="00A35822"/>
    <w:rsid w:val="00A364E0"/>
    <w:rsid w:val="00A3740A"/>
    <w:rsid w:val="00A40786"/>
    <w:rsid w:val="00A410EA"/>
    <w:rsid w:val="00A4267E"/>
    <w:rsid w:val="00A42F8F"/>
    <w:rsid w:val="00A43F6D"/>
    <w:rsid w:val="00A44128"/>
    <w:rsid w:val="00A44AA1"/>
    <w:rsid w:val="00A45D07"/>
    <w:rsid w:val="00A47B85"/>
    <w:rsid w:val="00A513BE"/>
    <w:rsid w:val="00A51B00"/>
    <w:rsid w:val="00A52D92"/>
    <w:rsid w:val="00A53A4C"/>
    <w:rsid w:val="00A53AA9"/>
    <w:rsid w:val="00A543D4"/>
    <w:rsid w:val="00A54ADC"/>
    <w:rsid w:val="00A572BD"/>
    <w:rsid w:val="00A57B0B"/>
    <w:rsid w:val="00A60510"/>
    <w:rsid w:val="00A611BB"/>
    <w:rsid w:val="00A64028"/>
    <w:rsid w:val="00A64425"/>
    <w:rsid w:val="00A668FB"/>
    <w:rsid w:val="00A6702B"/>
    <w:rsid w:val="00A71189"/>
    <w:rsid w:val="00A71D10"/>
    <w:rsid w:val="00A71D21"/>
    <w:rsid w:val="00A7220C"/>
    <w:rsid w:val="00A73A8A"/>
    <w:rsid w:val="00A73F66"/>
    <w:rsid w:val="00A7408E"/>
    <w:rsid w:val="00A74F07"/>
    <w:rsid w:val="00A76084"/>
    <w:rsid w:val="00A806A9"/>
    <w:rsid w:val="00A807C8"/>
    <w:rsid w:val="00A80A87"/>
    <w:rsid w:val="00A812A3"/>
    <w:rsid w:val="00A81C21"/>
    <w:rsid w:val="00A83F45"/>
    <w:rsid w:val="00A8400E"/>
    <w:rsid w:val="00A867DB"/>
    <w:rsid w:val="00A869D6"/>
    <w:rsid w:val="00A86ECE"/>
    <w:rsid w:val="00A90B18"/>
    <w:rsid w:val="00A90F3C"/>
    <w:rsid w:val="00A92883"/>
    <w:rsid w:val="00A92E92"/>
    <w:rsid w:val="00A93090"/>
    <w:rsid w:val="00A933B4"/>
    <w:rsid w:val="00A95AC6"/>
    <w:rsid w:val="00A95E01"/>
    <w:rsid w:val="00A96972"/>
    <w:rsid w:val="00A9710F"/>
    <w:rsid w:val="00A979CB"/>
    <w:rsid w:val="00AA4277"/>
    <w:rsid w:val="00AA4545"/>
    <w:rsid w:val="00AA6414"/>
    <w:rsid w:val="00AB03B3"/>
    <w:rsid w:val="00AB05A0"/>
    <w:rsid w:val="00AB0DD6"/>
    <w:rsid w:val="00AB126F"/>
    <w:rsid w:val="00AB1312"/>
    <w:rsid w:val="00AB179F"/>
    <w:rsid w:val="00AB1891"/>
    <w:rsid w:val="00AB210D"/>
    <w:rsid w:val="00AB4CFA"/>
    <w:rsid w:val="00AB5225"/>
    <w:rsid w:val="00AB621A"/>
    <w:rsid w:val="00AB65F6"/>
    <w:rsid w:val="00AB704D"/>
    <w:rsid w:val="00AB70A5"/>
    <w:rsid w:val="00AB77B3"/>
    <w:rsid w:val="00AB7A04"/>
    <w:rsid w:val="00AC14AF"/>
    <w:rsid w:val="00AC25B2"/>
    <w:rsid w:val="00AC47B6"/>
    <w:rsid w:val="00AC558B"/>
    <w:rsid w:val="00AC5FEB"/>
    <w:rsid w:val="00AC7AA9"/>
    <w:rsid w:val="00AC7D32"/>
    <w:rsid w:val="00AD0017"/>
    <w:rsid w:val="00AD0343"/>
    <w:rsid w:val="00AD0B8C"/>
    <w:rsid w:val="00AD3712"/>
    <w:rsid w:val="00AD3D71"/>
    <w:rsid w:val="00AD3EA2"/>
    <w:rsid w:val="00AD4070"/>
    <w:rsid w:val="00AD44DC"/>
    <w:rsid w:val="00AD4609"/>
    <w:rsid w:val="00AD5A5C"/>
    <w:rsid w:val="00AE0EF8"/>
    <w:rsid w:val="00AE3218"/>
    <w:rsid w:val="00AE32D9"/>
    <w:rsid w:val="00AE3B1F"/>
    <w:rsid w:val="00AE43C4"/>
    <w:rsid w:val="00AE4454"/>
    <w:rsid w:val="00AE4958"/>
    <w:rsid w:val="00AE4D65"/>
    <w:rsid w:val="00AE52B3"/>
    <w:rsid w:val="00AE58AB"/>
    <w:rsid w:val="00AE7DF5"/>
    <w:rsid w:val="00AF0141"/>
    <w:rsid w:val="00AF18B3"/>
    <w:rsid w:val="00AF25D7"/>
    <w:rsid w:val="00AF3BA9"/>
    <w:rsid w:val="00AF4CCA"/>
    <w:rsid w:val="00AF7B5E"/>
    <w:rsid w:val="00B00935"/>
    <w:rsid w:val="00B00CF6"/>
    <w:rsid w:val="00B012BD"/>
    <w:rsid w:val="00B014E7"/>
    <w:rsid w:val="00B02A7E"/>
    <w:rsid w:val="00B02D50"/>
    <w:rsid w:val="00B036E5"/>
    <w:rsid w:val="00B06424"/>
    <w:rsid w:val="00B07C43"/>
    <w:rsid w:val="00B108D2"/>
    <w:rsid w:val="00B10B2A"/>
    <w:rsid w:val="00B115CA"/>
    <w:rsid w:val="00B122B7"/>
    <w:rsid w:val="00B137EA"/>
    <w:rsid w:val="00B13FED"/>
    <w:rsid w:val="00B14152"/>
    <w:rsid w:val="00B14513"/>
    <w:rsid w:val="00B147C9"/>
    <w:rsid w:val="00B15ACB"/>
    <w:rsid w:val="00B1686A"/>
    <w:rsid w:val="00B20FEC"/>
    <w:rsid w:val="00B216C6"/>
    <w:rsid w:val="00B218D2"/>
    <w:rsid w:val="00B21BCE"/>
    <w:rsid w:val="00B221AB"/>
    <w:rsid w:val="00B2223A"/>
    <w:rsid w:val="00B22735"/>
    <w:rsid w:val="00B22ABA"/>
    <w:rsid w:val="00B233A7"/>
    <w:rsid w:val="00B242AF"/>
    <w:rsid w:val="00B24A89"/>
    <w:rsid w:val="00B24DFF"/>
    <w:rsid w:val="00B2614F"/>
    <w:rsid w:val="00B26607"/>
    <w:rsid w:val="00B277C0"/>
    <w:rsid w:val="00B30004"/>
    <w:rsid w:val="00B302AC"/>
    <w:rsid w:val="00B307F5"/>
    <w:rsid w:val="00B318AA"/>
    <w:rsid w:val="00B31CB9"/>
    <w:rsid w:val="00B33C46"/>
    <w:rsid w:val="00B37CD6"/>
    <w:rsid w:val="00B416F4"/>
    <w:rsid w:val="00B41991"/>
    <w:rsid w:val="00B420B0"/>
    <w:rsid w:val="00B42258"/>
    <w:rsid w:val="00B42450"/>
    <w:rsid w:val="00B4378F"/>
    <w:rsid w:val="00B44107"/>
    <w:rsid w:val="00B45413"/>
    <w:rsid w:val="00B45891"/>
    <w:rsid w:val="00B46449"/>
    <w:rsid w:val="00B47A89"/>
    <w:rsid w:val="00B47F99"/>
    <w:rsid w:val="00B50B02"/>
    <w:rsid w:val="00B51CB4"/>
    <w:rsid w:val="00B52945"/>
    <w:rsid w:val="00B52B57"/>
    <w:rsid w:val="00B53341"/>
    <w:rsid w:val="00B533D2"/>
    <w:rsid w:val="00B53710"/>
    <w:rsid w:val="00B539D0"/>
    <w:rsid w:val="00B53D89"/>
    <w:rsid w:val="00B56CDE"/>
    <w:rsid w:val="00B5734F"/>
    <w:rsid w:val="00B575F0"/>
    <w:rsid w:val="00B578B5"/>
    <w:rsid w:val="00B6048A"/>
    <w:rsid w:val="00B61262"/>
    <w:rsid w:val="00B612F1"/>
    <w:rsid w:val="00B618A0"/>
    <w:rsid w:val="00B629EE"/>
    <w:rsid w:val="00B62F29"/>
    <w:rsid w:val="00B6426D"/>
    <w:rsid w:val="00B650CF"/>
    <w:rsid w:val="00B661D4"/>
    <w:rsid w:val="00B667F6"/>
    <w:rsid w:val="00B7097C"/>
    <w:rsid w:val="00B70D74"/>
    <w:rsid w:val="00B71032"/>
    <w:rsid w:val="00B716F8"/>
    <w:rsid w:val="00B71E34"/>
    <w:rsid w:val="00B7326F"/>
    <w:rsid w:val="00B762A9"/>
    <w:rsid w:val="00B76AA9"/>
    <w:rsid w:val="00B77BB6"/>
    <w:rsid w:val="00B80917"/>
    <w:rsid w:val="00B81B3B"/>
    <w:rsid w:val="00B8333A"/>
    <w:rsid w:val="00B83403"/>
    <w:rsid w:val="00B8357F"/>
    <w:rsid w:val="00B8443F"/>
    <w:rsid w:val="00B87EE4"/>
    <w:rsid w:val="00B91352"/>
    <w:rsid w:val="00B917E2"/>
    <w:rsid w:val="00B924B7"/>
    <w:rsid w:val="00B924B9"/>
    <w:rsid w:val="00B92BEC"/>
    <w:rsid w:val="00B93D7E"/>
    <w:rsid w:val="00B948B3"/>
    <w:rsid w:val="00B95659"/>
    <w:rsid w:val="00B95BF4"/>
    <w:rsid w:val="00B962C7"/>
    <w:rsid w:val="00B96EA9"/>
    <w:rsid w:val="00B9759F"/>
    <w:rsid w:val="00BA1CF8"/>
    <w:rsid w:val="00BA27AD"/>
    <w:rsid w:val="00BA2A64"/>
    <w:rsid w:val="00BA2FAA"/>
    <w:rsid w:val="00BA3DEF"/>
    <w:rsid w:val="00BA499C"/>
    <w:rsid w:val="00BA5A6A"/>
    <w:rsid w:val="00BB014D"/>
    <w:rsid w:val="00BB1478"/>
    <w:rsid w:val="00BB1830"/>
    <w:rsid w:val="00BB220F"/>
    <w:rsid w:val="00BB4A09"/>
    <w:rsid w:val="00BB5B51"/>
    <w:rsid w:val="00BB7E13"/>
    <w:rsid w:val="00BC06E2"/>
    <w:rsid w:val="00BC0FDA"/>
    <w:rsid w:val="00BC1A1F"/>
    <w:rsid w:val="00BC23A2"/>
    <w:rsid w:val="00BC3538"/>
    <w:rsid w:val="00BC3C3D"/>
    <w:rsid w:val="00BC43EA"/>
    <w:rsid w:val="00BC4CC0"/>
    <w:rsid w:val="00BC509C"/>
    <w:rsid w:val="00BC51EA"/>
    <w:rsid w:val="00BC5F46"/>
    <w:rsid w:val="00BC60F6"/>
    <w:rsid w:val="00BC61E8"/>
    <w:rsid w:val="00BC62F1"/>
    <w:rsid w:val="00BC6F2C"/>
    <w:rsid w:val="00BD313F"/>
    <w:rsid w:val="00BD3615"/>
    <w:rsid w:val="00BD53DE"/>
    <w:rsid w:val="00BD5BEE"/>
    <w:rsid w:val="00BE0B80"/>
    <w:rsid w:val="00BE0C22"/>
    <w:rsid w:val="00BE2565"/>
    <w:rsid w:val="00BE2979"/>
    <w:rsid w:val="00BE2FF1"/>
    <w:rsid w:val="00BE3417"/>
    <w:rsid w:val="00BE37D6"/>
    <w:rsid w:val="00BE3967"/>
    <w:rsid w:val="00BE399F"/>
    <w:rsid w:val="00BE4053"/>
    <w:rsid w:val="00BE45B4"/>
    <w:rsid w:val="00BE4EF1"/>
    <w:rsid w:val="00BE623D"/>
    <w:rsid w:val="00BE66FC"/>
    <w:rsid w:val="00BE7139"/>
    <w:rsid w:val="00BE7826"/>
    <w:rsid w:val="00BF0581"/>
    <w:rsid w:val="00BF0D44"/>
    <w:rsid w:val="00BF19DA"/>
    <w:rsid w:val="00BF39FE"/>
    <w:rsid w:val="00BF3DF7"/>
    <w:rsid w:val="00BF4C07"/>
    <w:rsid w:val="00BF56F8"/>
    <w:rsid w:val="00BF59BE"/>
    <w:rsid w:val="00BF6097"/>
    <w:rsid w:val="00BF7233"/>
    <w:rsid w:val="00BF79D5"/>
    <w:rsid w:val="00C00EE7"/>
    <w:rsid w:val="00C02620"/>
    <w:rsid w:val="00C02977"/>
    <w:rsid w:val="00C02F22"/>
    <w:rsid w:val="00C0330A"/>
    <w:rsid w:val="00C0528C"/>
    <w:rsid w:val="00C11D0C"/>
    <w:rsid w:val="00C12F2F"/>
    <w:rsid w:val="00C13EF7"/>
    <w:rsid w:val="00C17281"/>
    <w:rsid w:val="00C208F9"/>
    <w:rsid w:val="00C20B7F"/>
    <w:rsid w:val="00C23CC1"/>
    <w:rsid w:val="00C23D8A"/>
    <w:rsid w:val="00C23E80"/>
    <w:rsid w:val="00C2463D"/>
    <w:rsid w:val="00C251FE"/>
    <w:rsid w:val="00C26970"/>
    <w:rsid w:val="00C26DAF"/>
    <w:rsid w:val="00C2755A"/>
    <w:rsid w:val="00C278BE"/>
    <w:rsid w:val="00C3055B"/>
    <w:rsid w:val="00C3149C"/>
    <w:rsid w:val="00C315B1"/>
    <w:rsid w:val="00C3210C"/>
    <w:rsid w:val="00C3302E"/>
    <w:rsid w:val="00C33EC6"/>
    <w:rsid w:val="00C35288"/>
    <w:rsid w:val="00C40DA5"/>
    <w:rsid w:val="00C40E1A"/>
    <w:rsid w:val="00C4109D"/>
    <w:rsid w:val="00C4500C"/>
    <w:rsid w:val="00C469CD"/>
    <w:rsid w:val="00C475AC"/>
    <w:rsid w:val="00C5245A"/>
    <w:rsid w:val="00C53170"/>
    <w:rsid w:val="00C536AF"/>
    <w:rsid w:val="00C54135"/>
    <w:rsid w:val="00C54290"/>
    <w:rsid w:val="00C54739"/>
    <w:rsid w:val="00C54C6E"/>
    <w:rsid w:val="00C55250"/>
    <w:rsid w:val="00C55584"/>
    <w:rsid w:val="00C578FA"/>
    <w:rsid w:val="00C6021F"/>
    <w:rsid w:val="00C613C2"/>
    <w:rsid w:val="00C61777"/>
    <w:rsid w:val="00C62CE9"/>
    <w:rsid w:val="00C62FE6"/>
    <w:rsid w:val="00C63C78"/>
    <w:rsid w:val="00C63CB0"/>
    <w:rsid w:val="00C65169"/>
    <w:rsid w:val="00C659FC"/>
    <w:rsid w:val="00C6650A"/>
    <w:rsid w:val="00C66D00"/>
    <w:rsid w:val="00C67517"/>
    <w:rsid w:val="00C67AF0"/>
    <w:rsid w:val="00C67B05"/>
    <w:rsid w:val="00C704F9"/>
    <w:rsid w:val="00C71E43"/>
    <w:rsid w:val="00C72881"/>
    <w:rsid w:val="00C73AB3"/>
    <w:rsid w:val="00C75910"/>
    <w:rsid w:val="00C7696B"/>
    <w:rsid w:val="00C76B08"/>
    <w:rsid w:val="00C7722E"/>
    <w:rsid w:val="00C77DF9"/>
    <w:rsid w:val="00C80904"/>
    <w:rsid w:val="00C814BA"/>
    <w:rsid w:val="00C81682"/>
    <w:rsid w:val="00C83221"/>
    <w:rsid w:val="00C849DC"/>
    <w:rsid w:val="00C84BEE"/>
    <w:rsid w:val="00C85093"/>
    <w:rsid w:val="00C867C3"/>
    <w:rsid w:val="00C903D2"/>
    <w:rsid w:val="00C9058B"/>
    <w:rsid w:val="00C93B6F"/>
    <w:rsid w:val="00C94A69"/>
    <w:rsid w:val="00C9576D"/>
    <w:rsid w:val="00C957B6"/>
    <w:rsid w:val="00CA0823"/>
    <w:rsid w:val="00CA467A"/>
    <w:rsid w:val="00CA46D9"/>
    <w:rsid w:val="00CA473C"/>
    <w:rsid w:val="00CA5C85"/>
    <w:rsid w:val="00CA6433"/>
    <w:rsid w:val="00CA6F49"/>
    <w:rsid w:val="00CA752A"/>
    <w:rsid w:val="00CB003D"/>
    <w:rsid w:val="00CB066D"/>
    <w:rsid w:val="00CB0E79"/>
    <w:rsid w:val="00CB110F"/>
    <w:rsid w:val="00CB2335"/>
    <w:rsid w:val="00CB28D1"/>
    <w:rsid w:val="00CB2C90"/>
    <w:rsid w:val="00CB3788"/>
    <w:rsid w:val="00CB4902"/>
    <w:rsid w:val="00CB566F"/>
    <w:rsid w:val="00CB58B3"/>
    <w:rsid w:val="00CB65B0"/>
    <w:rsid w:val="00CB67F0"/>
    <w:rsid w:val="00CB68B5"/>
    <w:rsid w:val="00CB6C72"/>
    <w:rsid w:val="00CC24D5"/>
    <w:rsid w:val="00CC25F6"/>
    <w:rsid w:val="00CC26CB"/>
    <w:rsid w:val="00CC385C"/>
    <w:rsid w:val="00CC44EE"/>
    <w:rsid w:val="00CC479D"/>
    <w:rsid w:val="00CC4990"/>
    <w:rsid w:val="00CC54FD"/>
    <w:rsid w:val="00CC60E8"/>
    <w:rsid w:val="00CC627D"/>
    <w:rsid w:val="00CC6CF9"/>
    <w:rsid w:val="00CC72C5"/>
    <w:rsid w:val="00CC78C4"/>
    <w:rsid w:val="00CD1183"/>
    <w:rsid w:val="00CD13E8"/>
    <w:rsid w:val="00CD2906"/>
    <w:rsid w:val="00CD2E8F"/>
    <w:rsid w:val="00CD4432"/>
    <w:rsid w:val="00CD761E"/>
    <w:rsid w:val="00CD77FE"/>
    <w:rsid w:val="00CE5D57"/>
    <w:rsid w:val="00CE6BED"/>
    <w:rsid w:val="00CF0D0B"/>
    <w:rsid w:val="00CF2EFB"/>
    <w:rsid w:val="00CF42C0"/>
    <w:rsid w:val="00CF50E5"/>
    <w:rsid w:val="00CF5178"/>
    <w:rsid w:val="00CF565F"/>
    <w:rsid w:val="00CF5F28"/>
    <w:rsid w:val="00CF6927"/>
    <w:rsid w:val="00D045AB"/>
    <w:rsid w:val="00D045D2"/>
    <w:rsid w:val="00D05DA4"/>
    <w:rsid w:val="00D05E78"/>
    <w:rsid w:val="00D102D4"/>
    <w:rsid w:val="00D1130C"/>
    <w:rsid w:val="00D11C1D"/>
    <w:rsid w:val="00D12384"/>
    <w:rsid w:val="00D13355"/>
    <w:rsid w:val="00D149C8"/>
    <w:rsid w:val="00D14AE5"/>
    <w:rsid w:val="00D153C1"/>
    <w:rsid w:val="00D1657F"/>
    <w:rsid w:val="00D17CB4"/>
    <w:rsid w:val="00D202CE"/>
    <w:rsid w:val="00D20FE9"/>
    <w:rsid w:val="00D21663"/>
    <w:rsid w:val="00D22742"/>
    <w:rsid w:val="00D235C6"/>
    <w:rsid w:val="00D23FAD"/>
    <w:rsid w:val="00D24163"/>
    <w:rsid w:val="00D24BDB"/>
    <w:rsid w:val="00D25618"/>
    <w:rsid w:val="00D257BB"/>
    <w:rsid w:val="00D25B6D"/>
    <w:rsid w:val="00D25CB9"/>
    <w:rsid w:val="00D270CB"/>
    <w:rsid w:val="00D2732B"/>
    <w:rsid w:val="00D27741"/>
    <w:rsid w:val="00D27D30"/>
    <w:rsid w:val="00D305EC"/>
    <w:rsid w:val="00D30D81"/>
    <w:rsid w:val="00D30FDA"/>
    <w:rsid w:val="00D32A90"/>
    <w:rsid w:val="00D334FE"/>
    <w:rsid w:val="00D3360B"/>
    <w:rsid w:val="00D3479D"/>
    <w:rsid w:val="00D34B16"/>
    <w:rsid w:val="00D358A0"/>
    <w:rsid w:val="00D35B85"/>
    <w:rsid w:val="00D408EA"/>
    <w:rsid w:val="00D421F0"/>
    <w:rsid w:val="00D439F9"/>
    <w:rsid w:val="00D45E85"/>
    <w:rsid w:val="00D4671F"/>
    <w:rsid w:val="00D468AC"/>
    <w:rsid w:val="00D506A7"/>
    <w:rsid w:val="00D5329B"/>
    <w:rsid w:val="00D539C8"/>
    <w:rsid w:val="00D53E60"/>
    <w:rsid w:val="00D56DE3"/>
    <w:rsid w:val="00D570BC"/>
    <w:rsid w:val="00D573EA"/>
    <w:rsid w:val="00D579A6"/>
    <w:rsid w:val="00D60D2B"/>
    <w:rsid w:val="00D61D9E"/>
    <w:rsid w:val="00D6300D"/>
    <w:rsid w:val="00D631D2"/>
    <w:rsid w:val="00D65906"/>
    <w:rsid w:val="00D66DC1"/>
    <w:rsid w:val="00D66EF0"/>
    <w:rsid w:val="00D66F25"/>
    <w:rsid w:val="00D66FC5"/>
    <w:rsid w:val="00D679C2"/>
    <w:rsid w:val="00D720BD"/>
    <w:rsid w:val="00D720F1"/>
    <w:rsid w:val="00D7252F"/>
    <w:rsid w:val="00D72B3F"/>
    <w:rsid w:val="00D74F3C"/>
    <w:rsid w:val="00D76F19"/>
    <w:rsid w:val="00D774C7"/>
    <w:rsid w:val="00D77EFF"/>
    <w:rsid w:val="00D8088C"/>
    <w:rsid w:val="00D8167D"/>
    <w:rsid w:val="00D81873"/>
    <w:rsid w:val="00D81B81"/>
    <w:rsid w:val="00D82C72"/>
    <w:rsid w:val="00D83A2E"/>
    <w:rsid w:val="00D8453D"/>
    <w:rsid w:val="00D84D5F"/>
    <w:rsid w:val="00D854A2"/>
    <w:rsid w:val="00D85BA2"/>
    <w:rsid w:val="00D85DC3"/>
    <w:rsid w:val="00D86957"/>
    <w:rsid w:val="00D86A93"/>
    <w:rsid w:val="00D86AD5"/>
    <w:rsid w:val="00D86C5D"/>
    <w:rsid w:val="00D90A72"/>
    <w:rsid w:val="00D90D40"/>
    <w:rsid w:val="00D91111"/>
    <w:rsid w:val="00D917C7"/>
    <w:rsid w:val="00D91CA2"/>
    <w:rsid w:val="00D92719"/>
    <w:rsid w:val="00D92844"/>
    <w:rsid w:val="00D92CB8"/>
    <w:rsid w:val="00D92D7A"/>
    <w:rsid w:val="00D94248"/>
    <w:rsid w:val="00D95300"/>
    <w:rsid w:val="00D95C9B"/>
    <w:rsid w:val="00D95D9F"/>
    <w:rsid w:val="00D962ED"/>
    <w:rsid w:val="00D96631"/>
    <w:rsid w:val="00D96B28"/>
    <w:rsid w:val="00D96D87"/>
    <w:rsid w:val="00DA00FE"/>
    <w:rsid w:val="00DA0D97"/>
    <w:rsid w:val="00DA10B6"/>
    <w:rsid w:val="00DA12F4"/>
    <w:rsid w:val="00DA2B04"/>
    <w:rsid w:val="00DA2F07"/>
    <w:rsid w:val="00DA5DB6"/>
    <w:rsid w:val="00DA5DC0"/>
    <w:rsid w:val="00DA62C1"/>
    <w:rsid w:val="00DA7691"/>
    <w:rsid w:val="00DB0054"/>
    <w:rsid w:val="00DB0C12"/>
    <w:rsid w:val="00DB1D0E"/>
    <w:rsid w:val="00DB2595"/>
    <w:rsid w:val="00DB2F2C"/>
    <w:rsid w:val="00DB65C0"/>
    <w:rsid w:val="00DB74B1"/>
    <w:rsid w:val="00DC144A"/>
    <w:rsid w:val="00DC181C"/>
    <w:rsid w:val="00DC2440"/>
    <w:rsid w:val="00DC2A42"/>
    <w:rsid w:val="00DC30F3"/>
    <w:rsid w:val="00DC40C3"/>
    <w:rsid w:val="00DC4278"/>
    <w:rsid w:val="00DC4A83"/>
    <w:rsid w:val="00DC513B"/>
    <w:rsid w:val="00DC5C92"/>
    <w:rsid w:val="00DC6C22"/>
    <w:rsid w:val="00DD1F39"/>
    <w:rsid w:val="00DD2D6E"/>
    <w:rsid w:val="00DD3399"/>
    <w:rsid w:val="00DD33A0"/>
    <w:rsid w:val="00DD3AC2"/>
    <w:rsid w:val="00DD3C69"/>
    <w:rsid w:val="00DD5C09"/>
    <w:rsid w:val="00DD7653"/>
    <w:rsid w:val="00DD790D"/>
    <w:rsid w:val="00DE0A40"/>
    <w:rsid w:val="00DE1653"/>
    <w:rsid w:val="00DE2D8D"/>
    <w:rsid w:val="00DE6364"/>
    <w:rsid w:val="00DE6929"/>
    <w:rsid w:val="00DE7D7D"/>
    <w:rsid w:val="00DF0D25"/>
    <w:rsid w:val="00DF0E04"/>
    <w:rsid w:val="00DF210C"/>
    <w:rsid w:val="00DF4387"/>
    <w:rsid w:val="00DF4EB5"/>
    <w:rsid w:val="00DF53AF"/>
    <w:rsid w:val="00DF5957"/>
    <w:rsid w:val="00DF655F"/>
    <w:rsid w:val="00DF759D"/>
    <w:rsid w:val="00DF7BAE"/>
    <w:rsid w:val="00E01802"/>
    <w:rsid w:val="00E04F3F"/>
    <w:rsid w:val="00E0546F"/>
    <w:rsid w:val="00E05BA4"/>
    <w:rsid w:val="00E05EE8"/>
    <w:rsid w:val="00E06DA8"/>
    <w:rsid w:val="00E079C3"/>
    <w:rsid w:val="00E07EB2"/>
    <w:rsid w:val="00E10BC8"/>
    <w:rsid w:val="00E12D3B"/>
    <w:rsid w:val="00E13BD4"/>
    <w:rsid w:val="00E13EE0"/>
    <w:rsid w:val="00E15A39"/>
    <w:rsid w:val="00E15DAA"/>
    <w:rsid w:val="00E17FC4"/>
    <w:rsid w:val="00E22C20"/>
    <w:rsid w:val="00E23E08"/>
    <w:rsid w:val="00E23EBF"/>
    <w:rsid w:val="00E24459"/>
    <w:rsid w:val="00E246D4"/>
    <w:rsid w:val="00E25F5E"/>
    <w:rsid w:val="00E2648E"/>
    <w:rsid w:val="00E26F87"/>
    <w:rsid w:val="00E3015C"/>
    <w:rsid w:val="00E3127B"/>
    <w:rsid w:val="00E32B75"/>
    <w:rsid w:val="00E33154"/>
    <w:rsid w:val="00E33BEE"/>
    <w:rsid w:val="00E34719"/>
    <w:rsid w:val="00E34AC2"/>
    <w:rsid w:val="00E372AE"/>
    <w:rsid w:val="00E372F7"/>
    <w:rsid w:val="00E37331"/>
    <w:rsid w:val="00E40217"/>
    <w:rsid w:val="00E40A2D"/>
    <w:rsid w:val="00E42AE6"/>
    <w:rsid w:val="00E43872"/>
    <w:rsid w:val="00E44AE9"/>
    <w:rsid w:val="00E451F3"/>
    <w:rsid w:val="00E473F1"/>
    <w:rsid w:val="00E50005"/>
    <w:rsid w:val="00E5009F"/>
    <w:rsid w:val="00E50306"/>
    <w:rsid w:val="00E50972"/>
    <w:rsid w:val="00E52193"/>
    <w:rsid w:val="00E528E8"/>
    <w:rsid w:val="00E54D53"/>
    <w:rsid w:val="00E554E8"/>
    <w:rsid w:val="00E57523"/>
    <w:rsid w:val="00E61894"/>
    <w:rsid w:val="00E62214"/>
    <w:rsid w:val="00E6245C"/>
    <w:rsid w:val="00E62C34"/>
    <w:rsid w:val="00E62D90"/>
    <w:rsid w:val="00E63140"/>
    <w:rsid w:val="00E633DC"/>
    <w:rsid w:val="00E64BA0"/>
    <w:rsid w:val="00E655E2"/>
    <w:rsid w:val="00E65CD8"/>
    <w:rsid w:val="00E66603"/>
    <w:rsid w:val="00E711EA"/>
    <w:rsid w:val="00E715D0"/>
    <w:rsid w:val="00E735A9"/>
    <w:rsid w:val="00E735FE"/>
    <w:rsid w:val="00E73ACF"/>
    <w:rsid w:val="00E74ECC"/>
    <w:rsid w:val="00E7515A"/>
    <w:rsid w:val="00E776F0"/>
    <w:rsid w:val="00E80640"/>
    <w:rsid w:val="00E8157E"/>
    <w:rsid w:val="00E815FC"/>
    <w:rsid w:val="00E816FE"/>
    <w:rsid w:val="00E81736"/>
    <w:rsid w:val="00E81ED7"/>
    <w:rsid w:val="00E82586"/>
    <w:rsid w:val="00E826C4"/>
    <w:rsid w:val="00E82F1F"/>
    <w:rsid w:val="00E836D7"/>
    <w:rsid w:val="00E83A20"/>
    <w:rsid w:val="00E84C24"/>
    <w:rsid w:val="00E84D69"/>
    <w:rsid w:val="00E850C3"/>
    <w:rsid w:val="00E85C7C"/>
    <w:rsid w:val="00E86488"/>
    <w:rsid w:val="00E90228"/>
    <w:rsid w:val="00E907F4"/>
    <w:rsid w:val="00E9145C"/>
    <w:rsid w:val="00E95F4E"/>
    <w:rsid w:val="00E96E5D"/>
    <w:rsid w:val="00E9798A"/>
    <w:rsid w:val="00E979F7"/>
    <w:rsid w:val="00EA3000"/>
    <w:rsid w:val="00EA3725"/>
    <w:rsid w:val="00EA3936"/>
    <w:rsid w:val="00EA513F"/>
    <w:rsid w:val="00EA5961"/>
    <w:rsid w:val="00EA5CD1"/>
    <w:rsid w:val="00EA5E2A"/>
    <w:rsid w:val="00EA6D84"/>
    <w:rsid w:val="00EA7710"/>
    <w:rsid w:val="00EA7D38"/>
    <w:rsid w:val="00EB0731"/>
    <w:rsid w:val="00EB1015"/>
    <w:rsid w:val="00EB2020"/>
    <w:rsid w:val="00EB27D5"/>
    <w:rsid w:val="00EB28E9"/>
    <w:rsid w:val="00EB2E09"/>
    <w:rsid w:val="00EB3653"/>
    <w:rsid w:val="00EB39F0"/>
    <w:rsid w:val="00EB578A"/>
    <w:rsid w:val="00EB6AFD"/>
    <w:rsid w:val="00EB6C7D"/>
    <w:rsid w:val="00EB70E5"/>
    <w:rsid w:val="00EB7C8E"/>
    <w:rsid w:val="00EC02BE"/>
    <w:rsid w:val="00EC064F"/>
    <w:rsid w:val="00EC146E"/>
    <w:rsid w:val="00EC1B1A"/>
    <w:rsid w:val="00EC35DE"/>
    <w:rsid w:val="00EC53E6"/>
    <w:rsid w:val="00EC543A"/>
    <w:rsid w:val="00EC5975"/>
    <w:rsid w:val="00EC6130"/>
    <w:rsid w:val="00EC6766"/>
    <w:rsid w:val="00EC6B27"/>
    <w:rsid w:val="00EC6BF6"/>
    <w:rsid w:val="00EC7AE3"/>
    <w:rsid w:val="00EC7E08"/>
    <w:rsid w:val="00ED0F4E"/>
    <w:rsid w:val="00ED2563"/>
    <w:rsid w:val="00ED2A4C"/>
    <w:rsid w:val="00ED6DFC"/>
    <w:rsid w:val="00ED762B"/>
    <w:rsid w:val="00EE067C"/>
    <w:rsid w:val="00EE1275"/>
    <w:rsid w:val="00EE1D7D"/>
    <w:rsid w:val="00EE2031"/>
    <w:rsid w:val="00EE2D3E"/>
    <w:rsid w:val="00EE35DE"/>
    <w:rsid w:val="00EE4924"/>
    <w:rsid w:val="00EE7A5E"/>
    <w:rsid w:val="00EF039F"/>
    <w:rsid w:val="00EF11CE"/>
    <w:rsid w:val="00EF13D7"/>
    <w:rsid w:val="00EF13FE"/>
    <w:rsid w:val="00EF2143"/>
    <w:rsid w:val="00EF3159"/>
    <w:rsid w:val="00EF384D"/>
    <w:rsid w:val="00EF4569"/>
    <w:rsid w:val="00EF4B37"/>
    <w:rsid w:val="00EF4F51"/>
    <w:rsid w:val="00EF6301"/>
    <w:rsid w:val="00EF6960"/>
    <w:rsid w:val="00EF74D6"/>
    <w:rsid w:val="00EF7D4C"/>
    <w:rsid w:val="00F03706"/>
    <w:rsid w:val="00F062AC"/>
    <w:rsid w:val="00F068A0"/>
    <w:rsid w:val="00F0745D"/>
    <w:rsid w:val="00F10C63"/>
    <w:rsid w:val="00F115CA"/>
    <w:rsid w:val="00F121CB"/>
    <w:rsid w:val="00F12787"/>
    <w:rsid w:val="00F152AB"/>
    <w:rsid w:val="00F15BE9"/>
    <w:rsid w:val="00F17101"/>
    <w:rsid w:val="00F175F6"/>
    <w:rsid w:val="00F177DC"/>
    <w:rsid w:val="00F17AC1"/>
    <w:rsid w:val="00F20A25"/>
    <w:rsid w:val="00F20D6E"/>
    <w:rsid w:val="00F21433"/>
    <w:rsid w:val="00F22810"/>
    <w:rsid w:val="00F23521"/>
    <w:rsid w:val="00F2359F"/>
    <w:rsid w:val="00F25573"/>
    <w:rsid w:val="00F25733"/>
    <w:rsid w:val="00F25E05"/>
    <w:rsid w:val="00F26F08"/>
    <w:rsid w:val="00F2710C"/>
    <w:rsid w:val="00F274F9"/>
    <w:rsid w:val="00F314CA"/>
    <w:rsid w:val="00F31F31"/>
    <w:rsid w:val="00F34F34"/>
    <w:rsid w:val="00F35350"/>
    <w:rsid w:val="00F35805"/>
    <w:rsid w:val="00F35D14"/>
    <w:rsid w:val="00F35E37"/>
    <w:rsid w:val="00F36CF6"/>
    <w:rsid w:val="00F37737"/>
    <w:rsid w:val="00F4022D"/>
    <w:rsid w:val="00F40BDA"/>
    <w:rsid w:val="00F419C8"/>
    <w:rsid w:val="00F41C30"/>
    <w:rsid w:val="00F4352C"/>
    <w:rsid w:val="00F435DD"/>
    <w:rsid w:val="00F43806"/>
    <w:rsid w:val="00F44A54"/>
    <w:rsid w:val="00F46DC9"/>
    <w:rsid w:val="00F47051"/>
    <w:rsid w:val="00F47DFA"/>
    <w:rsid w:val="00F5078F"/>
    <w:rsid w:val="00F529FD"/>
    <w:rsid w:val="00F56757"/>
    <w:rsid w:val="00F61830"/>
    <w:rsid w:val="00F61F2B"/>
    <w:rsid w:val="00F632F0"/>
    <w:rsid w:val="00F650C6"/>
    <w:rsid w:val="00F6654F"/>
    <w:rsid w:val="00F670C5"/>
    <w:rsid w:val="00F672F3"/>
    <w:rsid w:val="00F67E52"/>
    <w:rsid w:val="00F717A9"/>
    <w:rsid w:val="00F72893"/>
    <w:rsid w:val="00F72F75"/>
    <w:rsid w:val="00F744CB"/>
    <w:rsid w:val="00F74885"/>
    <w:rsid w:val="00F75D7F"/>
    <w:rsid w:val="00F808C8"/>
    <w:rsid w:val="00F82F71"/>
    <w:rsid w:val="00F8319D"/>
    <w:rsid w:val="00F852AC"/>
    <w:rsid w:val="00F87873"/>
    <w:rsid w:val="00F8797F"/>
    <w:rsid w:val="00F90801"/>
    <w:rsid w:val="00F90CEE"/>
    <w:rsid w:val="00F90FD1"/>
    <w:rsid w:val="00F928A7"/>
    <w:rsid w:val="00F940F7"/>
    <w:rsid w:val="00F94832"/>
    <w:rsid w:val="00F951A8"/>
    <w:rsid w:val="00F973B8"/>
    <w:rsid w:val="00FA074C"/>
    <w:rsid w:val="00FA1715"/>
    <w:rsid w:val="00FA189F"/>
    <w:rsid w:val="00FA33EA"/>
    <w:rsid w:val="00FA3B31"/>
    <w:rsid w:val="00FA4E6A"/>
    <w:rsid w:val="00FA6021"/>
    <w:rsid w:val="00FA6E71"/>
    <w:rsid w:val="00FA7041"/>
    <w:rsid w:val="00FB1AF5"/>
    <w:rsid w:val="00FB1F32"/>
    <w:rsid w:val="00FB38C1"/>
    <w:rsid w:val="00FB496B"/>
    <w:rsid w:val="00FB4EEC"/>
    <w:rsid w:val="00FB5305"/>
    <w:rsid w:val="00FB5539"/>
    <w:rsid w:val="00FB580A"/>
    <w:rsid w:val="00FB5D0B"/>
    <w:rsid w:val="00FB6219"/>
    <w:rsid w:val="00FB6344"/>
    <w:rsid w:val="00FC0BB0"/>
    <w:rsid w:val="00FC18C6"/>
    <w:rsid w:val="00FC2AA2"/>
    <w:rsid w:val="00FC2BFC"/>
    <w:rsid w:val="00FC2FEF"/>
    <w:rsid w:val="00FC4E0A"/>
    <w:rsid w:val="00FC507A"/>
    <w:rsid w:val="00FC5721"/>
    <w:rsid w:val="00FC7057"/>
    <w:rsid w:val="00FC70C1"/>
    <w:rsid w:val="00FC7C5E"/>
    <w:rsid w:val="00FD0107"/>
    <w:rsid w:val="00FD0552"/>
    <w:rsid w:val="00FD1F7B"/>
    <w:rsid w:val="00FD2A36"/>
    <w:rsid w:val="00FD45B6"/>
    <w:rsid w:val="00FD5B9A"/>
    <w:rsid w:val="00FD5BAB"/>
    <w:rsid w:val="00FD6621"/>
    <w:rsid w:val="00FE058D"/>
    <w:rsid w:val="00FE2FFD"/>
    <w:rsid w:val="00FE369C"/>
    <w:rsid w:val="00FE477F"/>
    <w:rsid w:val="00FE4CEE"/>
    <w:rsid w:val="00FE53AC"/>
    <w:rsid w:val="00FE6F80"/>
    <w:rsid w:val="00FE78F3"/>
    <w:rsid w:val="00FF0141"/>
    <w:rsid w:val="00FF1535"/>
    <w:rsid w:val="00FF309C"/>
    <w:rsid w:val="00FF5CDC"/>
    <w:rsid w:val="00FF6FAA"/>
    <w:rsid w:val="00FF771D"/>
    <w:rsid w:val="00FF77B0"/>
    <w:rsid w:val="019A4CB2"/>
    <w:rsid w:val="02195109"/>
    <w:rsid w:val="02661E94"/>
    <w:rsid w:val="02F44BE5"/>
    <w:rsid w:val="03187320"/>
    <w:rsid w:val="03831CE7"/>
    <w:rsid w:val="03A26EFC"/>
    <w:rsid w:val="03C9092D"/>
    <w:rsid w:val="0444365B"/>
    <w:rsid w:val="045D72C7"/>
    <w:rsid w:val="046B3792"/>
    <w:rsid w:val="04FD2458"/>
    <w:rsid w:val="050D65F7"/>
    <w:rsid w:val="06825B65"/>
    <w:rsid w:val="06BB5D14"/>
    <w:rsid w:val="06DF40D5"/>
    <w:rsid w:val="0721282E"/>
    <w:rsid w:val="07A6693B"/>
    <w:rsid w:val="07DF683A"/>
    <w:rsid w:val="08337756"/>
    <w:rsid w:val="09223C46"/>
    <w:rsid w:val="0996767A"/>
    <w:rsid w:val="0A275610"/>
    <w:rsid w:val="0A512688"/>
    <w:rsid w:val="0A6F576F"/>
    <w:rsid w:val="0B7468FE"/>
    <w:rsid w:val="0B950A33"/>
    <w:rsid w:val="0BDC04FD"/>
    <w:rsid w:val="0BE65DF4"/>
    <w:rsid w:val="0C0F1B84"/>
    <w:rsid w:val="0C1E733C"/>
    <w:rsid w:val="0C3B1C9C"/>
    <w:rsid w:val="0C970E9C"/>
    <w:rsid w:val="0CB544E8"/>
    <w:rsid w:val="0D166265"/>
    <w:rsid w:val="0D4A0310"/>
    <w:rsid w:val="0DDC67AB"/>
    <w:rsid w:val="0E575EC1"/>
    <w:rsid w:val="0E970FCA"/>
    <w:rsid w:val="0EA871A3"/>
    <w:rsid w:val="0FCF029B"/>
    <w:rsid w:val="10951F66"/>
    <w:rsid w:val="10A02426"/>
    <w:rsid w:val="10C43E75"/>
    <w:rsid w:val="10D70444"/>
    <w:rsid w:val="10E8411B"/>
    <w:rsid w:val="111F39FD"/>
    <w:rsid w:val="120E566D"/>
    <w:rsid w:val="12217B86"/>
    <w:rsid w:val="122257A0"/>
    <w:rsid w:val="128F6FB5"/>
    <w:rsid w:val="12AC6F19"/>
    <w:rsid w:val="13E628BC"/>
    <w:rsid w:val="146707AD"/>
    <w:rsid w:val="147635A2"/>
    <w:rsid w:val="15220E5B"/>
    <w:rsid w:val="157A3CFC"/>
    <w:rsid w:val="15FE52F3"/>
    <w:rsid w:val="16005244"/>
    <w:rsid w:val="16173C12"/>
    <w:rsid w:val="16E3365C"/>
    <w:rsid w:val="16E86EC4"/>
    <w:rsid w:val="175C6075"/>
    <w:rsid w:val="178F30E4"/>
    <w:rsid w:val="17C0574B"/>
    <w:rsid w:val="17ED64CE"/>
    <w:rsid w:val="18583BD5"/>
    <w:rsid w:val="185F42FA"/>
    <w:rsid w:val="189C1D14"/>
    <w:rsid w:val="18C64457"/>
    <w:rsid w:val="18FF4383"/>
    <w:rsid w:val="1989530E"/>
    <w:rsid w:val="19B04EC5"/>
    <w:rsid w:val="19B42EBE"/>
    <w:rsid w:val="19CD2169"/>
    <w:rsid w:val="1A275396"/>
    <w:rsid w:val="1A32674B"/>
    <w:rsid w:val="1BED0AD9"/>
    <w:rsid w:val="1C9B5934"/>
    <w:rsid w:val="1D022362"/>
    <w:rsid w:val="1D2A012C"/>
    <w:rsid w:val="1DD3548B"/>
    <w:rsid w:val="1DED21D8"/>
    <w:rsid w:val="1E635082"/>
    <w:rsid w:val="1E8B1165"/>
    <w:rsid w:val="1ED10585"/>
    <w:rsid w:val="1EFB6D55"/>
    <w:rsid w:val="1F0B19A2"/>
    <w:rsid w:val="1F0E3DA5"/>
    <w:rsid w:val="1F1C046B"/>
    <w:rsid w:val="1F2729E6"/>
    <w:rsid w:val="1F2C59B7"/>
    <w:rsid w:val="1F8030CC"/>
    <w:rsid w:val="1F8B56F9"/>
    <w:rsid w:val="1F912F7A"/>
    <w:rsid w:val="203A3726"/>
    <w:rsid w:val="207C0876"/>
    <w:rsid w:val="20CE49AC"/>
    <w:rsid w:val="20E9633A"/>
    <w:rsid w:val="20F35085"/>
    <w:rsid w:val="20F868EE"/>
    <w:rsid w:val="21072D98"/>
    <w:rsid w:val="21E464DA"/>
    <w:rsid w:val="21E9372C"/>
    <w:rsid w:val="229E0D7F"/>
    <w:rsid w:val="22A46395"/>
    <w:rsid w:val="22F75C0D"/>
    <w:rsid w:val="23351811"/>
    <w:rsid w:val="235B0742"/>
    <w:rsid w:val="24707D43"/>
    <w:rsid w:val="25114177"/>
    <w:rsid w:val="25164869"/>
    <w:rsid w:val="259D70CC"/>
    <w:rsid w:val="26356379"/>
    <w:rsid w:val="267B190B"/>
    <w:rsid w:val="26D65096"/>
    <w:rsid w:val="2790513A"/>
    <w:rsid w:val="27A074E2"/>
    <w:rsid w:val="27CB4D62"/>
    <w:rsid w:val="2898443A"/>
    <w:rsid w:val="290F7096"/>
    <w:rsid w:val="292024ED"/>
    <w:rsid w:val="29B00012"/>
    <w:rsid w:val="29D03E3F"/>
    <w:rsid w:val="2A4F6779"/>
    <w:rsid w:val="2AB225E4"/>
    <w:rsid w:val="2AB7478C"/>
    <w:rsid w:val="2AE90B8F"/>
    <w:rsid w:val="2B9A3AFE"/>
    <w:rsid w:val="2BFB7DF5"/>
    <w:rsid w:val="2C3241D6"/>
    <w:rsid w:val="2C473861"/>
    <w:rsid w:val="2C6E3570"/>
    <w:rsid w:val="2CA207E8"/>
    <w:rsid w:val="2CAA1B33"/>
    <w:rsid w:val="2D595FCE"/>
    <w:rsid w:val="2E5A5FB4"/>
    <w:rsid w:val="2E823336"/>
    <w:rsid w:val="2EFA148A"/>
    <w:rsid w:val="2EFD7546"/>
    <w:rsid w:val="2F90042E"/>
    <w:rsid w:val="2FBF0026"/>
    <w:rsid w:val="2FC26ACA"/>
    <w:rsid w:val="2FCA7124"/>
    <w:rsid w:val="2FE9188B"/>
    <w:rsid w:val="300A35B0"/>
    <w:rsid w:val="3013798C"/>
    <w:rsid w:val="30505D04"/>
    <w:rsid w:val="309E0581"/>
    <w:rsid w:val="312863E3"/>
    <w:rsid w:val="3149717D"/>
    <w:rsid w:val="316F7C2F"/>
    <w:rsid w:val="318B04D8"/>
    <w:rsid w:val="32C5141D"/>
    <w:rsid w:val="32EE225D"/>
    <w:rsid w:val="3309115B"/>
    <w:rsid w:val="332B3F69"/>
    <w:rsid w:val="336D0D54"/>
    <w:rsid w:val="33ED2E70"/>
    <w:rsid w:val="34583E67"/>
    <w:rsid w:val="345D510E"/>
    <w:rsid w:val="34B14942"/>
    <w:rsid w:val="350F7D2D"/>
    <w:rsid w:val="358409E6"/>
    <w:rsid w:val="35A10512"/>
    <w:rsid w:val="35C91DF7"/>
    <w:rsid w:val="35D9133D"/>
    <w:rsid w:val="36823E24"/>
    <w:rsid w:val="36965B9D"/>
    <w:rsid w:val="36B85636"/>
    <w:rsid w:val="37411658"/>
    <w:rsid w:val="37B07132"/>
    <w:rsid w:val="3825507C"/>
    <w:rsid w:val="38C26B8B"/>
    <w:rsid w:val="38F60B75"/>
    <w:rsid w:val="39726D2C"/>
    <w:rsid w:val="3A0374A0"/>
    <w:rsid w:val="3A4A7D8D"/>
    <w:rsid w:val="3A6C4ACA"/>
    <w:rsid w:val="3AAE222A"/>
    <w:rsid w:val="3B135A0E"/>
    <w:rsid w:val="3B2E74ED"/>
    <w:rsid w:val="3B343BD6"/>
    <w:rsid w:val="3B9B5A04"/>
    <w:rsid w:val="3BCC2061"/>
    <w:rsid w:val="3C0D4B53"/>
    <w:rsid w:val="3C5A62F4"/>
    <w:rsid w:val="3CC64D02"/>
    <w:rsid w:val="3D1D165D"/>
    <w:rsid w:val="3D1F191A"/>
    <w:rsid w:val="3D904ED1"/>
    <w:rsid w:val="3DB03FCF"/>
    <w:rsid w:val="3E8804C1"/>
    <w:rsid w:val="3EA03A5D"/>
    <w:rsid w:val="3ECB2D10"/>
    <w:rsid w:val="3F153CF6"/>
    <w:rsid w:val="40573CB3"/>
    <w:rsid w:val="407E58A4"/>
    <w:rsid w:val="40A04C7C"/>
    <w:rsid w:val="40E25430"/>
    <w:rsid w:val="410A78B3"/>
    <w:rsid w:val="41D57EC1"/>
    <w:rsid w:val="424A5620"/>
    <w:rsid w:val="429338D8"/>
    <w:rsid w:val="433C7ACC"/>
    <w:rsid w:val="437C611B"/>
    <w:rsid w:val="437D663E"/>
    <w:rsid w:val="439E0787"/>
    <w:rsid w:val="43B32607"/>
    <w:rsid w:val="441B3B85"/>
    <w:rsid w:val="44A27E03"/>
    <w:rsid w:val="45237196"/>
    <w:rsid w:val="457136DD"/>
    <w:rsid w:val="4594599D"/>
    <w:rsid w:val="45991206"/>
    <w:rsid w:val="468F1A0F"/>
    <w:rsid w:val="46FF481C"/>
    <w:rsid w:val="474B4782"/>
    <w:rsid w:val="47643823"/>
    <w:rsid w:val="47753390"/>
    <w:rsid w:val="47A91793"/>
    <w:rsid w:val="47C83248"/>
    <w:rsid w:val="483732D3"/>
    <w:rsid w:val="48CE7418"/>
    <w:rsid w:val="494B6CBB"/>
    <w:rsid w:val="494C27F0"/>
    <w:rsid w:val="4A1110EB"/>
    <w:rsid w:val="4A4112FC"/>
    <w:rsid w:val="4A9C748C"/>
    <w:rsid w:val="4AD666AF"/>
    <w:rsid w:val="4B3C501C"/>
    <w:rsid w:val="4B655202"/>
    <w:rsid w:val="4B671CB0"/>
    <w:rsid w:val="4B781B3A"/>
    <w:rsid w:val="4BEA1F36"/>
    <w:rsid w:val="4C3D6263"/>
    <w:rsid w:val="4C4023DB"/>
    <w:rsid w:val="4C516396"/>
    <w:rsid w:val="4CA23096"/>
    <w:rsid w:val="4DBA260C"/>
    <w:rsid w:val="4EC11AAA"/>
    <w:rsid w:val="4F483C6B"/>
    <w:rsid w:val="4FC265DB"/>
    <w:rsid w:val="4FDC2367"/>
    <w:rsid w:val="503B275E"/>
    <w:rsid w:val="50797CDC"/>
    <w:rsid w:val="50863A39"/>
    <w:rsid w:val="50E81293"/>
    <w:rsid w:val="50F814D6"/>
    <w:rsid w:val="516E4DEE"/>
    <w:rsid w:val="518A6447"/>
    <w:rsid w:val="518C7E71"/>
    <w:rsid w:val="51AA25EA"/>
    <w:rsid w:val="51D27F79"/>
    <w:rsid w:val="525267D5"/>
    <w:rsid w:val="53240073"/>
    <w:rsid w:val="53316F22"/>
    <w:rsid w:val="536F3B1E"/>
    <w:rsid w:val="53FA37B7"/>
    <w:rsid w:val="53FF6292"/>
    <w:rsid w:val="54050702"/>
    <w:rsid w:val="55120D38"/>
    <w:rsid w:val="55767554"/>
    <w:rsid w:val="55B449CA"/>
    <w:rsid w:val="55CD1544"/>
    <w:rsid w:val="55E87EF1"/>
    <w:rsid w:val="562B61C7"/>
    <w:rsid w:val="56602607"/>
    <w:rsid w:val="56B4410E"/>
    <w:rsid w:val="57604F6B"/>
    <w:rsid w:val="57A5692F"/>
    <w:rsid w:val="57BD5DDF"/>
    <w:rsid w:val="58962C38"/>
    <w:rsid w:val="590F5946"/>
    <w:rsid w:val="59CA7788"/>
    <w:rsid w:val="59FF38D6"/>
    <w:rsid w:val="5A9E4763"/>
    <w:rsid w:val="5BA26C0E"/>
    <w:rsid w:val="5CD51FB1"/>
    <w:rsid w:val="5CF16E5D"/>
    <w:rsid w:val="5D096819"/>
    <w:rsid w:val="5D1C1241"/>
    <w:rsid w:val="5D4F60A9"/>
    <w:rsid w:val="5D514F1F"/>
    <w:rsid w:val="5DCE4506"/>
    <w:rsid w:val="5E6B449C"/>
    <w:rsid w:val="5E7B3E52"/>
    <w:rsid w:val="5ED209B4"/>
    <w:rsid w:val="5EDA5A11"/>
    <w:rsid w:val="5EDE3A83"/>
    <w:rsid w:val="5F610B8F"/>
    <w:rsid w:val="5FC668DF"/>
    <w:rsid w:val="600F07FA"/>
    <w:rsid w:val="60876F0C"/>
    <w:rsid w:val="60AE3960"/>
    <w:rsid w:val="60B46019"/>
    <w:rsid w:val="6123706E"/>
    <w:rsid w:val="613D1E9E"/>
    <w:rsid w:val="61FD2483"/>
    <w:rsid w:val="62296D7B"/>
    <w:rsid w:val="6235591B"/>
    <w:rsid w:val="6256166F"/>
    <w:rsid w:val="63015E25"/>
    <w:rsid w:val="638B1188"/>
    <w:rsid w:val="63AE0C04"/>
    <w:rsid w:val="642D54E3"/>
    <w:rsid w:val="642F0F61"/>
    <w:rsid w:val="64520AA6"/>
    <w:rsid w:val="646A51B0"/>
    <w:rsid w:val="64C040B0"/>
    <w:rsid w:val="65567AD8"/>
    <w:rsid w:val="6562503C"/>
    <w:rsid w:val="656332FE"/>
    <w:rsid w:val="65897C68"/>
    <w:rsid w:val="65982E30"/>
    <w:rsid w:val="660A64D6"/>
    <w:rsid w:val="66761C7D"/>
    <w:rsid w:val="66C63977"/>
    <w:rsid w:val="67FA4BEF"/>
    <w:rsid w:val="68160749"/>
    <w:rsid w:val="682E55C7"/>
    <w:rsid w:val="69366BE8"/>
    <w:rsid w:val="69FC0D2A"/>
    <w:rsid w:val="6A274783"/>
    <w:rsid w:val="6A35463D"/>
    <w:rsid w:val="6B572203"/>
    <w:rsid w:val="6B64759D"/>
    <w:rsid w:val="6B810CE3"/>
    <w:rsid w:val="6BD5386D"/>
    <w:rsid w:val="6C040369"/>
    <w:rsid w:val="6C6F5F6B"/>
    <w:rsid w:val="6C7E201A"/>
    <w:rsid w:val="6E640AFA"/>
    <w:rsid w:val="6E676A88"/>
    <w:rsid w:val="6E856D66"/>
    <w:rsid w:val="6F435BBB"/>
    <w:rsid w:val="6FC509BB"/>
    <w:rsid w:val="70695380"/>
    <w:rsid w:val="706C51D4"/>
    <w:rsid w:val="706E0FC6"/>
    <w:rsid w:val="707039DC"/>
    <w:rsid w:val="70A257C1"/>
    <w:rsid w:val="70A66D4D"/>
    <w:rsid w:val="70B2124A"/>
    <w:rsid w:val="713532F6"/>
    <w:rsid w:val="713D4D9B"/>
    <w:rsid w:val="71F33028"/>
    <w:rsid w:val="72075C76"/>
    <w:rsid w:val="720F2F0D"/>
    <w:rsid w:val="72D66D46"/>
    <w:rsid w:val="732E0930"/>
    <w:rsid w:val="74736F42"/>
    <w:rsid w:val="759B7FBA"/>
    <w:rsid w:val="76BE2A5C"/>
    <w:rsid w:val="76EB34F6"/>
    <w:rsid w:val="77F84EAE"/>
    <w:rsid w:val="780A263B"/>
    <w:rsid w:val="785624A1"/>
    <w:rsid w:val="78B01A50"/>
    <w:rsid w:val="799F572C"/>
    <w:rsid w:val="79D50638"/>
    <w:rsid w:val="79E11C75"/>
    <w:rsid w:val="7A523156"/>
    <w:rsid w:val="7A891AB7"/>
    <w:rsid w:val="7ACA3E4C"/>
    <w:rsid w:val="7B0F3060"/>
    <w:rsid w:val="7B2421B4"/>
    <w:rsid w:val="7B5E60C0"/>
    <w:rsid w:val="7B6B04D4"/>
    <w:rsid w:val="7BD302C6"/>
    <w:rsid w:val="7C4E77CA"/>
    <w:rsid w:val="7C5424EB"/>
    <w:rsid w:val="7C831B79"/>
    <w:rsid w:val="7E453DE0"/>
    <w:rsid w:val="7F9F6E3D"/>
    <w:rsid w:val="7FD835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1"/>
    <w:qFormat/>
    <w:uiPriority w:val="0"/>
    <w:pPr>
      <w:keepNext/>
      <w:jc w:val="center"/>
      <w:outlineLvl w:val="0"/>
    </w:pPr>
    <w:rPr>
      <w:b/>
      <w:bCs/>
      <w:sz w:val="24"/>
      <w:szCs w:val="20"/>
    </w:rPr>
  </w:style>
  <w:style w:type="paragraph" w:styleId="5">
    <w:name w:val="heading 2"/>
    <w:basedOn w:val="1"/>
    <w:next w:val="1"/>
    <w:link w:val="52"/>
    <w:qFormat/>
    <w:uiPriority w:val="0"/>
    <w:pPr>
      <w:keepNext/>
      <w:keepLines/>
      <w:spacing w:line="360" w:lineRule="auto"/>
      <w:outlineLvl w:val="1"/>
    </w:pPr>
    <w:rPr>
      <w:rFonts w:ascii="Arial" w:hAnsi="Arial"/>
      <w:b/>
      <w:bCs/>
      <w:sz w:val="24"/>
      <w:szCs w:val="32"/>
    </w:rPr>
  </w:style>
  <w:style w:type="paragraph" w:styleId="6">
    <w:name w:val="heading 3"/>
    <w:basedOn w:val="1"/>
    <w:next w:val="1"/>
    <w:link w:val="53"/>
    <w:qFormat/>
    <w:uiPriority w:val="0"/>
    <w:pPr>
      <w:keepNext/>
      <w:keepLines/>
      <w:spacing w:before="260" w:after="260" w:line="416" w:lineRule="auto"/>
      <w:outlineLvl w:val="2"/>
    </w:pPr>
    <w:rPr>
      <w:b/>
      <w:bCs/>
      <w:sz w:val="32"/>
      <w:szCs w:val="32"/>
    </w:rPr>
  </w:style>
  <w:style w:type="paragraph" w:styleId="7">
    <w:name w:val="heading 4"/>
    <w:basedOn w:val="1"/>
    <w:next w:val="1"/>
    <w:link w:val="54"/>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55"/>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9">
    <w:name w:val="heading 6"/>
    <w:basedOn w:val="1"/>
    <w:next w:val="1"/>
    <w:link w:val="56"/>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0">
    <w:name w:val="heading 7"/>
    <w:basedOn w:val="1"/>
    <w:next w:val="1"/>
    <w:link w:val="57"/>
    <w:qFormat/>
    <w:uiPriority w:val="0"/>
    <w:pPr>
      <w:keepNext/>
      <w:keepLines/>
      <w:adjustRightInd w:val="0"/>
      <w:spacing w:before="240" w:after="64" w:line="320" w:lineRule="atLeast"/>
      <w:jc w:val="left"/>
      <w:textAlignment w:val="baseline"/>
      <w:outlineLvl w:val="6"/>
    </w:pPr>
    <w:rPr>
      <w:b/>
      <w:bCs/>
      <w:kern w:val="0"/>
      <w:sz w:val="24"/>
    </w:rPr>
  </w:style>
  <w:style w:type="paragraph" w:styleId="11">
    <w:name w:val="heading 8"/>
    <w:basedOn w:val="1"/>
    <w:next w:val="1"/>
    <w:link w:val="58"/>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2">
    <w:name w:val="heading 9"/>
    <w:basedOn w:val="1"/>
    <w:next w:val="1"/>
    <w:link w:val="59"/>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3"/>
    <w:next w:val="1"/>
    <w:qFormat/>
    <w:uiPriority w:val="0"/>
    <w:pPr>
      <w:widowControl w:val="0"/>
      <w:ind w:firstLine="420" w:firstLineChars="200"/>
      <w:jc w:val="both"/>
    </w:pPr>
    <w:rPr>
      <w:rFonts w:ascii="Times New Roman" w:hAnsi="Times New Roman" w:eastAsia="宋体" w:cs="Times New Roman"/>
      <w:kern w:val="2"/>
      <w:sz w:val="21"/>
      <w:szCs w:val="21"/>
      <w:lang w:val="en-US" w:eastAsia="zh-CN" w:bidi="ar-SA"/>
    </w:rPr>
  </w:style>
  <w:style w:type="paragraph" w:customStyle="1" w:styleId="3">
    <w:name w:val="正文_0_0"/>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13">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4">
    <w:name w:val="Normal Indent"/>
    <w:basedOn w:val="1"/>
    <w:qFormat/>
    <w:uiPriority w:val="0"/>
    <w:pPr>
      <w:widowControl/>
      <w:ind w:firstLine="420"/>
      <w:jc w:val="left"/>
    </w:pPr>
    <w:rPr>
      <w:kern w:val="0"/>
      <w:sz w:val="20"/>
      <w:szCs w:val="20"/>
    </w:rPr>
  </w:style>
  <w:style w:type="paragraph" w:styleId="15">
    <w:name w:val="Document Map"/>
    <w:basedOn w:val="1"/>
    <w:link w:val="83"/>
    <w:semiHidden/>
    <w:qFormat/>
    <w:uiPriority w:val="0"/>
    <w:pPr>
      <w:shd w:val="clear" w:color="auto" w:fill="000080"/>
    </w:pPr>
  </w:style>
  <w:style w:type="paragraph" w:styleId="16">
    <w:name w:val="annotation text"/>
    <w:basedOn w:val="1"/>
    <w:link w:val="67"/>
    <w:semiHidden/>
    <w:qFormat/>
    <w:uiPriority w:val="0"/>
    <w:pPr>
      <w:jc w:val="left"/>
    </w:pPr>
  </w:style>
  <w:style w:type="paragraph" w:styleId="17">
    <w:name w:val="Salutation"/>
    <w:basedOn w:val="1"/>
    <w:next w:val="1"/>
    <w:link w:val="72"/>
    <w:qFormat/>
    <w:uiPriority w:val="0"/>
    <w:rPr>
      <w:rFonts w:ascii="仿宋_GB2312" w:eastAsia="仿宋_GB2312"/>
      <w:sz w:val="24"/>
    </w:rPr>
  </w:style>
  <w:style w:type="paragraph" w:styleId="18">
    <w:name w:val="Body Text"/>
    <w:basedOn w:val="1"/>
    <w:link w:val="61"/>
    <w:qFormat/>
    <w:uiPriority w:val="0"/>
    <w:pPr>
      <w:spacing w:after="120"/>
    </w:pPr>
  </w:style>
  <w:style w:type="paragraph" w:styleId="19">
    <w:name w:val="Body Text Indent"/>
    <w:basedOn w:val="1"/>
    <w:next w:val="20"/>
    <w:link w:val="64"/>
    <w:qFormat/>
    <w:uiPriority w:val="0"/>
    <w:pPr>
      <w:spacing w:after="120"/>
      <w:ind w:left="420" w:leftChars="200"/>
    </w:pPr>
  </w:style>
  <w:style w:type="paragraph" w:styleId="20">
    <w:name w:val="Body Text First Indent 2"/>
    <w:basedOn w:val="19"/>
    <w:next w:val="1"/>
    <w:qFormat/>
    <w:uiPriority w:val="0"/>
    <w:pPr>
      <w:ind w:firstLine="420" w:firstLineChars="200"/>
    </w:pPr>
  </w:style>
  <w:style w:type="paragraph" w:styleId="21">
    <w:name w:val="Block Text"/>
    <w:basedOn w:val="1"/>
    <w:qFormat/>
    <w:uiPriority w:val="0"/>
    <w:pPr>
      <w:ind w:left="1171" w:right="91" w:hanging="1080"/>
    </w:pPr>
    <w:rPr>
      <w:rFonts w:eastAsia="楷体_GB2312"/>
      <w:szCs w:val="20"/>
    </w:rPr>
  </w:style>
  <w:style w:type="paragraph" w:styleId="22">
    <w:name w:val="toc 5"/>
    <w:basedOn w:val="1"/>
    <w:next w:val="1"/>
    <w:unhideWhenUsed/>
    <w:qFormat/>
    <w:uiPriority w:val="39"/>
    <w:pPr>
      <w:ind w:left="1680" w:leftChars="800"/>
    </w:pPr>
    <w:rPr>
      <w:rFonts w:asciiTheme="minorHAnsi" w:hAnsiTheme="minorHAnsi" w:eastAsiaTheme="minorEastAsia" w:cstheme="minorBidi"/>
      <w:szCs w:val="22"/>
    </w:rPr>
  </w:style>
  <w:style w:type="paragraph" w:styleId="23">
    <w:name w:val="toc 3"/>
    <w:basedOn w:val="1"/>
    <w:next w:val="1"/>
    <w:unhideWhenUsed/>
    <w:qFormat/>
    <w:uiPriority w:val="39"/>
    <w:pPr>
      <w:adjustRightInd w:val="0"/>
      <w:snapToGrid w:val="0"/>
      <w:spacing w:line="360" w:lineRule="auto"/>
      <w:ind w:left="400" w:leftChars="400"/>
    </w:pPr>
    <w:rPr>
      <w:rFonts w:eastAsiaTheme="minorEastAsia"/>
      <w:b/>
    </w:rPr>
  </w:style>
  <w:style w:type="paragraph" w:styleId="24">
    <w:name w:val="Plain Text"/>
    <w:basedOn w:val="1"/>
    <w:next w:val="1"/>
    <w:link w:val="66"/>
    <w:qFormat/>
    <w:uiPriority w:val="0"/>
    <w:rPr>
      <w:rFonts w:ascii="宋体" w:hAnsi="Courier New" w:cs="Courier New"/>
      <w:szCs w:val="21"/>
    </w:rPr>
  </w:style>
  <w:style w:type="paragraph" w:styleId="25">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6">
    <w:name w:val="Date"/>
    <w:basedOn w:val="1"/>
    <w:next w:val="1"/>
    <w:link w:val="77"/>
    <w:qFormat/>
    <w:uiPriority w:val="0"/>
    <w:rPr>
      <w:sz w:val="24"/>
      <w:szCs w:val="20"/>
    </w:rPr>
  </w:style>
  <w:style w:type="paragraph" w:styleId="27">
    <w:name w:val="Body Text Indent 2"/>
    <w:basedOn w:val="1"/>
    <w:link w:val="74"/>
    <w:qFormat/>
    <w:uiPriority w:val="0"/>
    <w:pPr>
      <w:spacing w:after="120" w:line="480" w:lineRule="auto"/>
      <w:ind w:left="420" w:leftChars="200"/>
    </w:pPr>
  </w:style>
  <w:style w:type="paragraph" w:styleId="28">
    <w:name w:val="Balloon Text"/>
    <w:basedOn w:val="1"/>
    <w:link w:val="91"/>
    <w:qFormat/>
    <w:uiPriority w:val="0"/>
    <w:rPr>
      <w:sz w:val="18"/>
      <w:szCs w:val="18"/>
    </w:rPr>
  </w:style>
  <w:style w:type="paragraph" w:styleId="29">
    <w:name w:val="footer"/>
    <w:basedOn w:val="1"/>
    <w:link w:val="62"/>
    <w:qFormat/>
    <w:uiPriority w:val="99"/>
    <w:pPr>
      <w:tabs>
        <w:tab w:val="center" w:pos="4153"/>
        <w:tab w:val="right" w:pos="8306"/>
      </w:tabs>
      <w:snapToGrid w:val="0"/>
      <w:jc w:val="left"/>
    </w:pPr>
    <w:rPr>
      <w:sz w:val="18"/>
      <w:szCs w:val="18"/>
    </w:rPr>
  </w:style>
  <w:style w:type="paragraph" w:styleId="30">
    <w:name w:val="header"/>
    <w:basedOn w:val="1"/>
    <w:link w:val="63"/>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line="360" w:lineRule="auto"/>
    </w:pPr>
    <w:rPr>
      <w:rFonts w:asciiTheme="minorEastAsia" w:hAnsiTheme="minorEastAsia" w:eastAsiaTheme="minorEastAsia"/>
      <w:b/>
      <w:sz w:val="24"/>
      <w:szCs w:val="21"/>
    </w:rPr>
  </w:style>
  <w:style w:type="paragraph" w:styleId="32">
    <w:name w:val="toc 4"/>
    <w:basedOn w:val="1"/>
    <w:next w:val="1"/>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3">
    <w:name w:val="toc 6"/>
    <w:basedOn w:val="1"/>
    <w:next w:val="1"/>
    <w:qFormat/>
    <w:uiPriority w:val="39"/>
    <w:pPr>
      <w:ind w:left="2100"/>
    </w:pPr>
    <w:rPr>
      <w:szCs w:val="20"/>
    </w:rPr>
  </w:style>
  <w:style w:type="paragraph" w:styleId="34">
    <w:name w:val="Body Text Indent 3"/>
    <w:basedOn w:val="1"/>
    <w:link w:val="76"/>
    <w:qFormat/>
    <w:uiPriority w:val="0"/>
    <w:pPr>
      <w:spacing w:after="120"/>
      <w:ind w:left="420" w:leftChars="200"/>
    </w:pPr>
    <w:rPr>
      <w:sz w:val="16"/>
      <w:szCs w:val="16"/>
    </w:rPr>
  </w:style>
  <w:style w:type="paragraph" w:styleId="35">
    <w:name w:val="toc 2"/>
    <w:basedOn w:val="1"/>
    <w:next w:val="1"/>
    <w:unhideWhenUsed/>
    <w:qFormat/>
    <w:uiPriority w:val="39"/>
    <w:pPr>
      <w:spacing w:line="360" w:lineRule="auto"/>
      <w:ind w:left="200" w:leftChars="200"/>
    </w:pPr>
    <w:rPr>
      <w:rFonts w:eastAsiaTheme="majorEastAsia"/>
      <w:b/>
    </w:rPr>
  </w:style>
  <w:style w:type="paragraph" w:styleId="36">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7">
    <w:name w:val="Body Text 2"/>
    <w:basedOn w:val="1"/>
    <w:link w:val="73"/>
    <w:qFormat/>
    <w:uiPriority w:val="0"/>
    <w:pPr>
      <w:spacing w:after="120" w:line="480" w:lineRule="auto"/>
    </w:pPr>
  </w:style>
  <w:style w:type="paragraph" w:styleId="38">
    <w:name w:val="HTML Preformatted"/>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eastAsia="仿宋_GB2312"/>
      <w:szCs w:val="20"/>
    </w:rPr>
  </w:style>
  <w:style w:type="paragraph" w:styleId="41">
    <w:name w:val="Title"/>
    <w:basedOn w:val="1"/>
    <w:link w:val="108"/>
    <w:qFormat/>
    <w:uiPriority w:val="0"/>
    <w:pPr>
      <w:jc w:val="center"/>
      <w:outlineLvl w:val="0"/>
    </w:pPr>
    <w:rPr>
      <w:rFonts w:asciiTheme="minorHAnsi" w:hAnsiTheme="minorHAnsi" w:eastAsiaTheme="minorEastAsia" w:cstheme="minorBidi"/>
      <w:b/>
      <w:sz w:val="32"/>
      <w:szCs w:val="22"/>
    </w:rPr>
  </w:style>
  <w:style w:type="paragraph" w:styleId="42">
    <w:name w:val="annotation subject"/>
    <w:basedOn w:val="16"/>
    <w:next w:val="16"/>
    <w:link w:val="90"/>
    <w:qFormat/>
    <w:uiPriority w:val="0"/>
    <w:rPr>
      <w:b/>
      <w:bCs/>
    </w:rPr>
  </w:style>
  <w:style w:type="table" w:styleId="44">
    <w:name w:val="Table Grid"/>
    <w:basedOn w:val="43"/>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Hyperlink"/>
    <w:qFormat/>
    <w:uiPriority w:val="99"/>
    <w:rPr>
      <w:color w:val="136EC2"/>
      <w:u w:val="single"/>
    </w:rPr>
  </w:style>
  <w:style w:type="character" w:styleId="50">
    <w:name w:val="annotation reference"/>
    <w:qFormat/>
    <w:uiPriority w:val="0"/>
    <w:rPr>
      <w:sz w:val="21"/>
      <w:szCs w:val="21"/>
    </w:rPr>
  </w:style>
  <w:style w:type="character" w:customStyle="1" w:styleId="51">
    <w:name w:val="标题 1 Char"/>
    <w:basedOn w:val="45"/>
    <w:link w:val="4"/>
    <w:qFormat/>
    <w:uiPriority w:val="0"/>
    <w:rPr>
      <w:rFonts w:ascii="Times New Roman" w:hAnsi="Times New Roman" w:eastAsia="宋体" w:cs="Times New Roman"/>
      <w:b/>
      <w:bCs/>
      <w:sz w:val="24"/>
      <w:szCs w:val="20"/>
    </w:rPr>
  </w:style>
  <w:style w:type="character" w:customStyle="1" w:styleId="52">
    <w:name w:val="标题 2 Char"/>
    <w:basedOn w:val="45"/>
    <w:link w:val="5"/>
    <w:qFormat/>
    <w:uiPriority w:val="0"/>
    <w:rPr>
      <w:rFonts w:ascii="Arial" w:hAnsi="Arial" w:eastAsia="宋体" w:cs="Times New Roman"/>
      <w:b/>
      <w:bCs/>
      <w:sz w:val="24"/>
      <w:szCs w:val="32"/>
    </w:rPr>
  </w:style>
  <w:style w:type="character" w:customStyle="1" w:styleId="53">
    <w:name w:val="标题 3 Char"/>
    <w:basedOn w:val="45"/>
    <w:link w:val="6"/>
    <w:qFormat/>
    <w:uiPriority w:val="0"/>
    <w:rPr>
      <w:rFonts w:ascii="Times New Roman" w:hAnsi="Times New Roman" w:eastAsia="宋体" w:cs="Times New Roman"/>
      <w:b/>
      <w:bCs/>
      <w:sz w:val="32"/>
      <w:szCs w:val="32"/>
    </w:rPr>
  </w:style>
  <w:style w:type="character" w:customStyle="1" w:styleId="54">
    <w:name w:val="标题 4 Char"/>
    <w:basedOn w:val="45"/>
    <w:link w:val="7"/>
    <w:qFormat/>
    <w:uiPriority w:val="0"/>
    <w:rPr>
      <w:rFonts w:ascii="Arial" w:hAnsi="Arial" w:eastAsia="黑体" w:cs="Times New Roman"/>
      <w:b/>
      <w:bCs/>
      <w:sz w:val="28"/>
      <w:szCs w:val="28"/>
    </w:rPr>
  </w:style>
  <w:style w:type="character" w:customStyle="1" w:styleId="55">
    <w:name w:val="标题 5 Char"/>
    <w:basedOn w:val="45"/>
    <w:link w:val="8"/>
    <w:qFormat/>
    <w:uiPriority w:val="0"/>
    <w:rPr>
      <w:rFonts w:ascii="Times New Roman" w:hAnsi="Times New Roman" w:eastAsia="宋体" w:cs="Times New Roman"/>
      <w:b/>
      <w:bCs/>
      <w:kern w:val="0"/>
      <w:sz w:val="28"/>
      <w:szCs w:val="28"/>
    </w:rPr>
  </w:style>
  <w:style w:type="character" w:customStyle="1" w:styleId="56">
    <w:name w:val="标题 6 Char"/>
    <w:basedOn w:val="45"/>
    <w:link w:val="9"/>
    <w:qFormat/>
    <w:uiPriority w:val="0"/>
    <w:rPr>
      <w:rFonts w:ascii="Arial" w:hAnsi="Arial" w:eastAsia="黑体" w:cs="Times New Roman"/>
      <w:b/>
      <w:bCs/>
      <w:kern w:val="0"/>
      <w:sz w:val="24"/>
      <w:szCs w:val="24"/>
    </w:rPr>
  </w:style>
  <w:style w:type="character" w:customStyle="1" w:styleId="57">
    <w:name w:val="标题 7 Char"/>
    <w:basedOn w:val="45"/>
    <w:link w:val="10"/>
    <w:qFormat/>
    <w:uiPriority w:val="0"/>
    <w:rPr>
      <w:rFonts w:ascii="Times New Roman" w:hAnsi="Times New Roman" w:eastAsia="宋体" w:cs="Times New Roman"/>
      <w:b/>
      <w:bCs/>
      <w:kern w:val="0"/>
      <w:sz w:val="24"/>
      <w:szCs w:val="24"/>
    </w:rPr>
  </w:style>
  <w:style w:type="character" w:customStyle="1" w:styleId="58">
    <w:name w:val="标题 8 Char"/>
    <w:basedOn w:val="45"/>
    <w:link w:val="11"/>
    <w:qFormat/>
    <w:uiPriority w:val="0"/>
    <w:rPr>
      <w:rFonts w:ascii="Arial" w:hAnsi="Arial" w:eastAsia="黑体" w:cs="Times New Roman"/>
      <w:kern w:val="0"/>
      <w:sz w:val="24"/>
      <w:szCs w:val="24"/>
    </w:rPr>
  </w:style>
  <w:style w:type="character" w:customStyle="1" w:styleId="59">
    <w:name w:val="标题 9 Char"/>
    <w:basedOn w:val="45"/>
    <w:link w:val="12"/>
    <w:qFormat/>
    <w:uiPriority w:val="0"/>
    <w:rPr>
      <w:rFonts w:ascii="Arial" w:hAnsi="Arial" w:eastAsia="黑体" w:cs="Times New Roman"/>
      <w:kern w:val="0"/>
      <w:szCs w:val="21"/>
    </w:rPr>
  </w:style>
  <w:style w:type="paragraph" w:customStyle="1" w:styleId="60">
    <w:name w:val="表格内容"/>
    <w:basedOn w:val="18"/>
    <w:qFormat/>
    <w:uiPriority w:val="0"/>
    <w:pPr>
      <w:suppressLineNumbers/>
      <w:suppressAutoHyphens/>
      <w:jc w:val="left"/>
    </w:pPr>
    <w:rPr>
      <w:rFonts w:cs="Tahoma"/>
      <w:kern w:val="0"/>
      <w:sz w:val="24"/>
    </w:rPr>
  </w:style>
  <w:style w:type="character" w:customStyle="1" w:styleId="61">
    <w:name w:val="正文文本 Char"/>
    <w:basedOn w:val="45"/>
    <w:link w:val="18"/>
    <w:qFormat/>
    <w:uiPriority w:val="0"/>
    <w:rPr>
      <w:rFonts w:ascii="Times New Roman" w:hAnsi="Times New Roman" w:eastAsia="宋体" w:cs="Times New Roman"/>
      <w:szCs w:val="24"/>
    </w:rPr>
  </w:style>
  <w:style w:type="character" w:customStyle="1" w:styleId="62">
    <w:name w:val="页脚 Char"/>
    <w:basedOn w:val="45"/>
    <w:link w:val="29"/>
    <w:qFormat/>
    <w:uiPriority w:val="99"/>
    <w:rPr>
      <w:rFonts w:ascii="Times New Roman" w:hAnsi="Times New Roman" w:eastAsia="宋体" w:cs="Times New Roman"/>
      <w:sz w:val="18"/>
      <w:szCs w:val="18"/>
    </w:rPr>
  </w:style>
  <w:style w:type="character" w:customStyle="1" w:styleId="63">
    <w:name w:val="页眉 Char"/>
    <w:basedOn w:val="45"/>
    <w:link w:val="30"/>
    <w:qFormat/>
    <w:uiPriority w:val="99"/>
    <w:rPr>
      <w:rFonts w:ascii="Times New Roman" w:hAnsi="Times New Roman" w:eastAsia="宋体" w:cs="Times New Roman"/>
      <w:sz w:val="18"/>
      <w:szCs w:val="18"/>
    </w:rPr>
  </w:style>
  <w:style w:type="character" w:customStyle="1" w:styleId="64">
    <w:name w:val="正文文本缩进 Char"/>
    <w:basedOn w:val="45"/>
    <w:link w:val="19"/>
    <w:qFormat/>
    <w:uiPriority w:val="0"/>
    <w:rPr>
      <w:rFonts w:ascii="Times New Roman" w:hAnsi="Times New Roman" w:eastAsia="宋体" w:cs="Times New Roman"/>
      <w:szCs w:val="24"/>
    </w:rPr>
  </w:style>
  <w:style w:type="paragraph" w:customStyle="1" w:styleId="65">
    <w:name w:val="Char Char Char Char Char Char Char"/>
    <w:basedOn w:val="1"/>
    <w:qFormat/>
    <w:uiPriority w:val="0"/>
    <w:pPr>
      <w:snapToGrid w:val="0"/>
      <w:spacing w:line="360" w:lineRule="auto"/>
      <w:ind w:firstLine="200" w:firstLineChars="200"/>
    </w:pPr>
    <w:rPr>
      <w:rFonts w:eastAsia="仿宋_GB2312"/>
      <w:sz w:val="24"/>
    </w:rPr>
  </w:style>
  <w:style w:type="character" w:customStyle="1" w:styleId="66">
    <w:name w:val="纯文本 Char"/>
    <w:basedOn w:val="45"/>
    <w:link w:val="24"/>
    <w:qFormat/>
    <w:uiPriority w:val="0"/>
    <w:rPr>
      <w:rFonts w:ascii="宋体" w:hAnsi="Courier New" w:eastAsia="宋体" w:cs="Courier New"/>
      <w:szCs w:val="21"/>
    </w:rPr>
  </w:style>
  <w:style w:type="character" w:customStyle="1" w:styleId="67">
    <w:name w:val="批注文字 Char"/>
    <w:basedOn w:val="45"/>
    <w:link w:val="16"/>
    <w:semiHidden/>
    <w:qFormat/>
    <w:uiPriority w:val="0"/>
    <w:rPr>
      <w:rFonts w:ascii="Times New Roman" w:hAnsi="Times New Roman" w:eastAsia="宋体" w:cs="Times New Roman"/>
      <w:szCs w:val="24"/>
    </w:rPr>
  </w:style>
  <w:style w:type="paragraph" w:customStyle="1" w:styleId="6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69">
    <w:name w:val="Char Char Char"/>
    <w:basedOn w:val="1"/>
    <w:qFormat/>
    <w:uiPriority w:val="0"/>
    <w:rPr>
      <w:rFonts w:ascii="宋体" w:hAnsi="宋体"/>
      <w:b/>
      <w:sz w:val="28"/>
      <w:szCs w:val="28"/>
    </w:rPr>
  </w:style>
  <w:style w:type="paragraph" w:customStyle="1" w:styleId="70">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71">
    <w:name w:val="HTML 预设格式 Char"/>
    <w:basedOn w:val="45"/>
    <w:link w:val="38"/>
    <w:qFormat/>
    <w:uiPriority w:val="0"/>
    <w:rPr>
      <w:rFonts w:ascii="Arial" w:hAnsi="Arial" w:eastAsia="宋体" w:cs="Arial"/>
      <w:kern w:val="0"/>
      <w:sz w:val="24"/>
      <w:szCs w:val="24"/>
    </w:rPr>
  </w:style>
  <w:style w:type="character" w:customStyle="1" w:styleId="72">
    <w:name w:val="称呼 Char"/>
    <w:basedOn w:val="45"/>
    <w:link w:val="17"/>
    <w:qFormat/>
    <w:uiPriority w:val="0"/>
    <w:rPr>
      <w:rFonts w:ascii="仿宋_GB2312" w:hAnsi="Times New Roman" w:eastAsia="仿宋_GB2312" w:cs="Times New Roman"/>
      <w:sz w:val="24"/>
      <w:szCs w:val="24"/>
    </w:rPr>
  </w:style>
  <w:style w:type="character" w:customStyle="1" w:styleId="73">
    <w:name w:val="正文文本 2 Char"/>
    <w:basedOn w:val="45"/>
    <w:link w:val="37"/>
    <w:qFormat/>
    <w:uiPriority w:val="0"/>
    <w:rPr>
      <w:rFonts w:ascii="Times New Roman" w:hAnsi="Times New Roman" w:eastAsia="宋体" w:cs="Times New Roman"/>
      <w:szCs w:val="24"/>
    </w:rPr>
  </w:style>
  <w:style w:type="character" w:customStyle="1" w:styleId="74">
    <w:name w:val="正文文本缩进 2 Char"/>
    <w:basedOn w:val="45"/>
    <w:link w:val="27"/>
    <w:qFormat/>
    <w:uiPriority w:val="0"/>
    <w:rPr>
      <w:rFonts w:ascii="Times New Roman" w:hAnsi="Times New Roman" w:eastAsia="宋体" w:cs="Times New Roman"/>
      <w:szCs w:val="24"/>
    </w:rPr>
  </w:style>
  <w:style w:type="paragraph" w:customStyle="1" w:styleId="75">
    <w:name w:val="Char"/>
    <w:basedOn w:val="1"/>
    <w:qFormat/>
    <w:uiPriority w:val="0"/>
    <w:pPr>
      <w:tabs>
        <w:tab w:val="left" w:pos="360"/>
      </w:tabs>
      <w:ind w:left="360" w:hanging="360" w:hangingChars="200"/>
    </w:pPr>
    <w:rPr>
      <w:sz w:val="24"/>
    </w:rPr>
  </w:style>
  <w:style w:type="character" w:customStyle="1" w:styleId="76">
    <w:name w:val="正文文本缩进 3 Char"/>
    <w:basedOn w:val="45"/>
    <w:link w:val="34"/>
    <w:qFormat/>
    <w:uiPriority w:val="0"/>
    <w:rPr>
      <w:rFonts w:ascii="Times New Roman" w:hAnsi="Times New Roman" w:eastAsia="宋体" w:cs="Times New Roman"/>
      <w:sz w:val="16"/>
      <w:szCs w:val="16"/>
    </w:rPr>
  </w:style>
  <w:style w:type="character" w:customStyle="1" w:styleId="77">
    <w:name w:val="日期 Char"/>
    <w:basedOn w:val="45"/>
    <w:link w:val="26"/>
    <w:qFormat/>
    <w:uiPriority w:val="0"/>
    <w:rPr>
      <w:rFonts w:ascii="Times New Roman" w:hAnsi="Times New Roman" w:eastAsia="宋体" w:cs="Times New Roman"/>
      <w:sz w:val="24"/>
      <w:szCs w:val="20"/>
    </w:rPr>
  </w:style>
  <w:style w:type="paragraph" w:customStyle="1" w:styleId="78">
    <w:name w:val="样式1"/>
    <w:basedOn w:val="1"/>
    <w:link w:val="110"/>
    <w:qFormat/>
    <w:uiPriority w:val="0"/>
    <w:pPr>
      <w:tabs>
        <w:tab w:val="left" w:pos="360"/>
      </w:tabs>
      <w:adjustRightInd w:val="0"/>
      <w:ind w:left="360" w:hanging="360"/>
      <w:textAlignment w:val="baseline"/>
    </w:pPr>
    <w:rPr>
      <w:rFonts w:ascii="宋体" w:hAnsi="宋体"/>
      <w:kern w:val="0"/>
      <w:szCs w:val="21"/>
    </w:rPr>
  </w:style>
  <w:style w:type="character" w:customStyle="1" w:styleId="79">
    <w:name w:val="p0 Char"/>
    <w:link w:val="80"/>
    <w:qFormat/>
    <w:uiPriority w:val="0"/>
    <w:rPr>
      <w:rFonts w:eastAsia="宋体"/>
      <w:szCs w:val="21"/>
    </w:rPr>
  </w:style>
  <w:style w:type="paragraph" w:customStyle="1" w:styleId="80">
    <w:name w:val="p0"/>
    <w:basedOn w:val="1"/>
    <w:link w:val="79"/>
    <w:qFormat/>
    <w:uiPriority w:val="0"/>
    <w:pPr>
      <w:widowControl/>
    </w:pPr>
    <w:rPr>
      <w:rFonts w:asciiTheme="minorHAnsi" w:hAnsiTheme="minorHAnsi" w:cstheme="minorBidi"/>
      <w:szCs w:val="21"/>
    </w:rPr>
  </w:style>
  <w:style w:type="paragraph" w:customStyle="1" w:styleId="81">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82">
    <w:name w:val="Char Char1 Char Char Char Char Char1 Char Char Char Char"/>
    <w:basedOn w:val="15"/>
    <w:qFormat/>
    <w:uiPriority w:val="0"/>
    <w:rPr>
      <w:rFonts w:ascii="Tahoma" w:hAnsi="Tahoma"/>
    </w:rPr>
  </w:style>
  <w:style w:type="character" w:customStyle="1" w:styleId="83">
    <w:name w:val="文档结构图 Char"/>
    <w:basedOn w:val="45"/>
    <w:link w:val="15"/>
    <w:semiHidden/>
    <w:qFormat/>
    <w:uiPriority w:val="0"/>
    <w:rPr>
      <w:rFonts w:ascii="Times New Roman" w:hAnsi="Times New Roman" w:eastAsia="宋体" w:cs="Times New Roman"/>
      <w:szCs w:val="24"/>
      <w:shd w:val="clear" w:color="auto" w:fill="000080"/>
    </w:rPr>
  </w:style>
  <w:style w:type="paragraph" w:customStyle="1" w:styleId="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5">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6">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7">
    <w:name w:val="1"/>
    <w:basedOn w:val="1"/>
    <w:qFormat/>
    <w:uiPriority w:val="0"/>
    <w:pPr>
      <w:spacing w:afterLines="50" w:line="360" w:lineRule="auto"/>
    </w:pPr>
    <w:rPr>
      <w:rFonts w:ascii="宋体" w:hAnsi="宋体"/>
      <w:b/>
      <w:sz w:val="30"/>
      <w:szCs w:val="21"/>
    </w:rPr>
  </w:style>
  <w:style w:type="paragraph" w:customStyle="1" w:styleId="88">
    <w:name w:val="样式 标题 2 + 宋体 五号 行距: 单倍行距"/>
    <w:basedOn w:val="5"/>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89">
    <w:name w:val="标题 1 +"/>
    <w:basedOn w:val="4"/>
    <w:next w:val="1"/>
    <w:qFormat/>
    <w:uiPriority w:val="0"/>
    <w:pPr>
      <w:keepLines/>
      <w:spacing w:line="600" w:lineRule="auto"/>
    </w:pPr>
    <w:rPr>
      <w:rFonts w:eastAsia="黑体"/>
      <w:kern w:val="0"/>
      <w:sz w:val="32"/>
      <w:szCs w:val="32"/>
    </w:rPr>
  </w:style>
  <w:style w:type="character" w:customStyle="1" w:styleId="90">
    <w:name w:val="批注主题 Char"/>
    <w:basedOn w:val="67"/>
    <w:link w:val="42"/>
    <w:qFormat/>
    <w:uiPriority w:val="0"/>
    <w:rPr>
      <w:rFonts w:ascii="Times New Roman" w:hAnsi="Times New Roman" w:eastAsia="宋体" w:cs="Times New Roman"/>
      <w:b/>
      <w:bCs/>
      <w:szCs w:val="24"/>
    </w:rPr>
  </w:style>
  <w:style w:type="character" w:customStyle="1" w:styleId="91">
    <w:name w:val="批注框文本 Char"/>
    <w:basedOn w:val="45"/>
    <w:link w:val="28"/>
    <w:qFormat/>
    <w:uiPriority w:val="0"/>
    <w:rPr>
      <w:rFonts w:ascii="Times New Roman" w:hAnsi="Times New Roman" w:eastAsia="宋体" w:cs="Times New Roman"/>
      <w:sz w:val="18"/>
      <w:szCs w:val="18"/>
    </w:rPr>
  </w:style>
  <w:style w:type="paragraph" w:customStyle="1" w:styleId="92">
    <w:name w:val="样式 标题 2 + Times New Roman 四号 非加粗 段前: 5 磅 段后: 0 磅 行距: 固定值 20..."/>
    <w:basedOn w:val="5"/>
    <w:qFormat/>
    <w:uiPriority w:val="0"/>
    <w:pPr>
      <w:spacing w:before="100" w:line="400" w:lineRule="exact"/>
    </w:pPr>
    <w:rPr>
      <w:rFonts w:ascii="Times New Roman" w:hAnsi="Times New Roman" w:eastAsia="黑体"/>
      <w:b w:val="0"/>
      <w:bCs w:val="0"/>
      <w:sz w:val="28"/>
      <w:szCs w:val="20"/>
    </w:rPr>
  </w:style>
  <w:style w:type="paragraph" w:customStyle="1" w:styleId="93">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94">
    <w:name w:val="Char1 Char Char Char 字元 Char Char 字元 Char 字元 Char1 Char Char Char"/>
    <w:basedOn w:val="1"/>
    <w:qFormat/>
    <w:uiPriority w:val="0"/>
    <w:rPr>
      <w:szCs w:val="20"/>
    </w:rPr>
  </w:style>
  <w:style w:type="paragraph" w:customStyle="1" w:styleId="95">
    <w:name w:val="p16"/>
    <w:basedOn w:val="1"/>
    <w:qFormat/>
    <w:uiPriority w:val="0"/>
    <w:pPr>
      <w:widowControl/>
      <w:jc w:val="left"/>
    </w:pPr>
    <w:rPr>
      <w:kern w:val="0"/>
      <w:szCs w:val="21"/>
    </w:rPr>
  </w:style>
  <w:style w:type="paragraph" w:customStyle="1" w:styleId="96">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7">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8">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9">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0">
    <w:name w:val="Char Char Char1 Char"/>
    <w:basedOn w:val="1"/>
    <w:qFormat/>
    <w:uiPriority w:val="0"/>
    <w:pPr>
      <w:tabs>
        <w:tab w:val="left" w:pos="360"/>
      </w:tabs>
      <w:snapToGrid w:val="0"/>
      <w:spacing w:line="360" w:lineRule="auto"/>
    </w:pPr>
    <w:rPr>
      <w:rFonts w:eastAsia="仿宋_GB2312" w:cs="宋体"/>
      <w:sz w:val="24"/>
    </w:rPr>
  </w:style>
  <w:style w:type="paragraph" w:styleId="101">
    <w:name w:val="List Paragraph"/>
    <w:basedOn w:val="1"/>
    <w:link w:val="107"/>
    <w:qFormat/>
    <w:uiPriority w:val="0"/>
    <w:pPr>
      <w:ind w:firstLine="420" w:firstLineChars="200"/>
    </w:pPr>
  </w:style>
  <w:style w:type="character" w:customStyle="1" w:styleId="102">
    <w:name w:val="fontstyle01"/>
    <w:basedOn w:val="45"/>
    <w:qFormat/>
    <w:uiPriority w:val="0"/>
    <w:rPr>
      <w:rFonts w:hint="eastAsia" w:ascii="宋体" w:hAnsi="宋体" w:eastAsia="宋体"/>
      <w:color w:val="000000"/>
      <w:sz w:val="24"/>
      <w:szCs w:val="24"/>
    </w:rPr>
  </w:style>
  <w:style w:type="character" w:customStyle="1" w:styleId="103">
    <w:name w:val="fontstyle11"/>
    <w:basedOn w:val="45"/>
    <w:qFormat/>
    <w:uiPriority w:val="0"/>
    <w:rPr>
      <w:rFonts w:hint="default" w:ascii="TimesNewRomanPSMT" w:hAnsi="TimesNewRomanPSMT"/>
      <w:color w:val="000000"/>
      <w:sz w:val="24"/>
      <w:szCs w:val="24"/>
    </w:rPr>
  </w:style>
  <w:style w:type="paragraph" w:customStyle="1" w:styleId="104">
    <w:name w:val="TOC 标题1"/>
    <w:basedOn w:val="4"/>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5">
    <w:name w:val="fontstyle21"/>
    <w:basedOn w:val="45"/>
    <w:qFormat/>
    <w:uiPriority w:val="0"/>
    <w:rPr>
      <w:rFonts w:hint="eastAsia" w:ascii="宋体" w:hAnsi="宋体" w:eastAsia="宋体"/>
      <w:color w:val="993300"/>
      <w:sz w:val="24"/>
      <w:szCs w:val="24"/>
    </w:rPr>
  </w:style>
  <w:style w:type="character" w:customStyle="1" w:styleId="106">
    <w:name w:val="fontstyle31"/>
    <w:basedOn w:val="45"/>
    <w:qFormat/>
    <w:uiPriority w:val="0"/>
    <w:rPr>
      <w:rFonts w:hint="default" w:ascii="Arial" w:hAnsi="Arial" w:cs="Arial"/>
      <w:color w:val="993300"/>
      <w:sz w:val="24"/>
      <w:szCs w:val="24"/>
    </w:rPr>
  </w:style>
  <w:style w:type="character" w:customStyle="1" w:styleId="107">
    <w:name w:val="列出段落 Char"/>
    <w:link w:val="101"/>
    <w:qFormat/>
    <w:uiPriority w:val="0"/>
    <w:rPr>
      <w:rFonts w:ascii="Times New Roman" w:hAnsi="Times New Roman" w:eastAsia="宋体" w:cs="Times New Roman"/>
      <w:szCs w:val="24"/>
    </w:rPr>
  </w:style>
  <w:style w:type="character" w:customStyle="1" w:styleId="108">
    <w:name w:val="标题 Char"/>
    <w:link w:val="41"/>
    <w:qFormat/>
    <w:uiPriority w:val="0"/>
    <w:rPr>
      <w:b/>
      <w:sz w:val="32"/>
    </w:rPr>
  </w:style>
  <w:style w:type="character" w:customStyle="1" w:styleId="109">
    <w:name w:val="标题 Char1"/>
    <w:basedOn w:val="45"/>
    <w:qFormat/>
    <w:uiPriority w:val="10"/>
    <w:rPr>
      <w:rFonts w:eastAsia="宋体" w:asciiTheme="majorHAnsi" w:hAnsiTheme="majorHAnsi" w:cstheme="majorBidi"/>
      <w:b/>
      <w:bCs/>
      <w:sz w:val="32"/>
      <w:szCs w:val="32"/>
    </w:rPr>
  </w:style>
  <w:style w:type="character" w:customStyle="1" w:styleId="110">
    <w:name w:val="样式1 Char Char"/>
    <w:link w:val="78"/>
    <w:qFormat/>
    <w:uiPriority w:val="0"/>
    <w:rPr>
      <w:rFonts w:ascii="宋体" w:hAnsi="宋体" w:eastAsia="宋体" w:cs="Times New Roman"/>
      <w:kern w:val="0"/>
      <w:szCs w:val="21"/>
    </w:rPr>
  </w:style>
  <w:style w:type="character" w:customStyle="1" w:styleId="111">
    <w:name w:val="纯文本 Char1"/>
    <w:semiHidden/>
    <w:qFormat/>
    <w:locked/>
    <w:uiPriority w:val="0"/>
    <w:rPr>
      <w:rFonts w:ascii="宋体" w:hAnsi="Courier New" w:eastAsia="宋体" w:cs="Courier New"/>
      <w:kern w:val="2"/>
      <w:sz w:val="21"/>
      <w:szCs w:val="21"/>
      <w:lang w:val="en-US" w:eastAsia="zh-CN" w:bidi="ar-SA"/>
    </w:rPr>
  </w:style>
  <w:style w:type="paragraph" w:customStyle="1" w:styleId="112">
    <w:name w:val="正文_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3">
    <w:name w:val="Normal_10"/>
    <w:qFormat/>
    <w:uiPriority w:val="0"/>
    <w:rPr>
      <w:rFonts w:ascii="Times New Roman" w:hAnsi="Times New Roman" w:eastAsia="Times New Roman" w:cs="Times New Roman"/>
      <w:sz w:val="24"/>
      <w:szCs w:val="24"/>
      <w:lang w:val="en-US" w:eastAsia="zh-CN" w:bidi="ar-SA"/>
    </w:rPr>
  </w:style>
  <w:style w:type="paragraph" w:customStyle="1" w:styleId="114">
    <w:name w:val="Table Text"/>
    <w:basedOn w:val="1"/>
    <w:semiHidden/>
    <w:qFormat/>
    <w:uiPriority w:val="0"/>
    <w:rPr>
      <w:rFonts w:ascii="宋体" w:hAnsi="宋体" w:eastAsia="宋体" w:cs="宋体"/>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3.xml"/><Relationship Id="rId12" Type="http://schemas.openxmlformats.org/officeDocument/2006/relationships/header" Target="header8.xml"/><Relationship Id="rId11" Type="http://schemas.openxmlformats.org/officeDocument/2006/relationships/footer" Target="footer2.xml"/><Relationship Id="rId10" Type="http://schemas.openxmlformats.org/officeDocument/2006/relationships/header" Target="head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6ED26-6C4D-4EE1-AD83-35644AAD68CA}">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87</Pages>
  <Words>41671</Words>
  <Characters>44092</Characters>
  <Lines>352</Lines>
  <Paragraphs>99</Paragraphs>
  <TotalTime>404</TotalTime>
  <ScaleCrop>false</ScaleCrop>
  <LinksUpToDate>false</LinksUpToDate>
  <CharactersWithSpaces>47933</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2020-01-16T02:43:00Z</dcterms:created>
  <dc:creator>admin</dc:creator>
  <cp:lastModifiedBy>慧</cp:lastModifiedBy>
  <cp:lastPrinted>2026-07-30T09:47:00Z</cp:lastPrinted>
  <dcterms:modified xsi:type="dcterms:W3CDTF">2026-08-04T08:35:03Z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D668438DB3904CB4800D00349B8E18A4</vt:lpwstr>
  </property>
  <property fmtid="{D5CDD505-2E9C-101B-9397-08002B2CF9AE}" pid="4" name="KSOTemplateDocerSaveRecord">
    <vt:lpwstr>eyJoZGlkIjoiODExYzViOTZkOTVjOGRjYzZlNWM1YzQ5NzQ0OWFmZjciLCJ1c2VySWQiOiI2NTI3NzUzOTkifQ==</vt:lpwstr>
  </property>
</Properties>
</file>