
<file path=[Content_Types].xml><?xml version="1.0" encoding="utf-8"?>
<Types xmlns="http://schemas.openxmlformats.org/package/2006/content-types">
  <Default Extension="jpeg" ContentType="image/jpeg"/>
  <Default Extension="JPG" ContentType="image/.jpg"/>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AF0ED">
      <w:pPr>
        <w:keepNext/>
        <w:jc w:val="center"/>
        <w:outlineLvl w:val="0"/>
        <w:rPr>
          <w:rFonts w:ascii="黑体" w:hAnsi="黑体" w:eastAsia="黑体"/>
          <w:b/>
          <w:bCs/>
          <w:color w:val="auto"/>
          <w:sz w:val="32"/>
          <w:szCs w:val="32"/>
        </w:rPr>
      </w:pPr>
      <w:bookmarkStart w:id="0" w:name="_Toc25776"/>
      <w:r>
        <w:rPr>
          <w:rFonts w:hint="eastAsia" w:ascii="黑体" w:hAnsi="黑体" w:eastAsia="黑体"/>
          <w:b/>
          <w:bCs/>
          <w:color w:val="auto"/>
          <w:sz w:val="32"/>
          <w:szCs w:val="32"/>
        </w:rPr>
        <w:t>采购需求</w:t>
      </w:r>
      <w:bookmarkEnd w:id="0"/>
    </w:p>
    <w:p w14:paraId="147306DE">
      <w:pPr>
        <w:keepNext/>
        <w:keepLines/>
        <w:adjustRightInd w:val="0"/>
        <w:snapToGrid w:val="0"/>
        <w:spacing w:before="156" w:beforeLines="50" w:line="360" w:lineRule="auto"/>
        <w:jc w:val="center"/>
        <w:outlineLvl w:val="1"/>
        <w:rPr>
          <w:rFonts w:ascii="黑体" w:hAnsi="黑体" w:eastAsia="黑体"/>
          <w:b/>
          <w:bCs/>
          <w:color w:val="auto"/>
          <w:sz w:val="28"/>
          <w:szCs w:val="28"/>
        </w:rPr>
      </w:pPr>
      <w:bookmarkStart w:id="1" w:name="_Toc31588"/>
      <w:r>
        <w:rPr>
          <w:rFonts w:hint="eastAsia" w:ascii="黑体" w:hAnsi="黑体" w:eastAsia="黑体"/>
          <w:b/>
          <w:bCs/>
          <w:color w:val="auto"/>
          <w:sz w:val="28"/>
          <w:szCs w:val="28"/>
        </w:rPr>
        <w:t>第一节 采购清单一览表</w:t>
      </w:r>
      <w:bookmarkEnd w:id="1"/>
    </w:p>
    <w:tbl>
      <w:tblPr>
        <w:tblStyle w:val="2"/>
        <w:tblW w:w="894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15"/>
        <w:gridCol w:w="1183"/>
        <w:gridCol w:w="2200"/>
        <w:gridCol w:w="2271"/>
        <w:gridCol w:w="1027"/>
        <w:gridCol w:w="844"/>
        <w:gridCol w:w="800"/>
      </w:tblGrid>
      <w:tr w14:paraId="42B5E0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27" w:hRule="atLeast"/>
        </w:trPr>
        <w:tc>
          <w:tcPr>
            <w:tcW w:w="615" w:type="dxa"/>
            <w:noWrap w:val="0"/>
            <w:vAlign w:val="center"/>
          </w:tcPr>
          <w:p w14:paraId="3F5A564D">
            <w:pPr>
              <w:adjustRightInd w:val="0"/>
              <w:snapToGrid w:val="0"/>
              <w:jc w:val="center"/>
              <w:rPr>
                <w:color w:val="auto"/>
                <w:szCs w:val="21"/>
              </w:rPr>
            </w:pPr>
            <w:r>
              <w:rPr>
                <w:rFonts w:hint="eastAsia"/>
                <w:color w:val="auto"/>
                <w:szCs w:val="21"/>
              </w:rPr>
              <w:t xml:space="preserve">包号 </w:t>
            </w:r>
          </w:p>
        </w:tc>
        <w:tc>
          <w:tcPr>
            <w:tcW w:w="1183" w:type="dxa"/>
            <w:noWrap w:val="0"/>
            <w:vAlign w:val="center"/>
          </w:tcPr>
          <w:p w14:paraId="2AB706B4">
            <w:pPr>
              <w:adjustRightInd w:val="0"/>
              <w:snapToGrid w:val="0"/>
              <w:jc w:val="center"/>
              <w:rPr>
                <w:color w:val="auto"/>
                <w:szCs w:val="21"/>
              </w:rPr>
            </w:pPr>
            <w:r>
              <w:rPr>
                <w:rFonts w:hint="eastAsia"/>
                <w:color w:val="auto"/>
                <w:szCs w:val="21"/>
              </w:rPr>
              <w:t>包名称</w:t>
            </w:r>
          </w:p>
        </w:tc>
        <w:tc>
          <w:tcPr>
            <w:tcW w:w="2200" w:type="dxa"/>
            <w:noWrap w:val="0"/>
            <w:vAlign w:val="center"/>
          </w:tcPr>
          <w:p w14:paraId="2665C4CD">
            <w:pPr>
              <w:adjustRightInd w:val="0"/>
              <w:snapToGrid w:val="0"/>
              <w:jc w:val="center"/>
              <w:rPr>
                <w:color w:val="0C0C0C"/>
                <w:szCs w:val="21"/>
              </w:rPr>
            </w:pPr>
            <w:r>
              <w:rPr>
                <w:rFonts w:hint="eastAsia"/>
                <w:color w:val="0C0C0C"/>
                <w:szCs w:val="21"/>
              </w:rPr>
              <w:t>标的名称</w:t>
            </w:r>
          </w:p>
        </w:tc>
        <w:tc>
          <w:tcPr>
            <w:tcW w:w="2271" w:type="dxa"/>
            <w:tcBorders>
              <w:left w:val="single" w:color="auto" w:sz="4" w:space="0"/>
            </w:tcBorders>
            <w:noWrap w:val="0"/>
            <w:vAlign w:val="center"/>
          </w:tcPr>
          <w:p w14:paraId="35244F2D">
            <w:pPr>
              <w:adjustRightInd w:val="0"/>
              <w:snapToGrid w:val="0"/>
              <w:jc w:val="center"/>
              <w:rPr>
                <w:color w:val="FF0000"/>
                <w:szCs w:val="21"/>
              </w:rPr>
            </w:pPr>
            <w:r>
              <w:rPr>
                <w:rFonts w:hint="eastAsia"/>
                <w:color w:val="0C0C0C"/>
                <w:szCs w:val="21"/>
              </w:rPr>
              <w:t>简要技术要求</w:t>
            </w:r>
          </w:p>
        </w:tc>
        <w:tc>
          <w:tcPr>
            <w:tcW w:w="1027" w:type="dxa"/>
            <w:tcBorders>
              <w:left w:val="single" w:color="auto" w:sz="4" w:space="0"/>
            </w:tcBorders>
            <w:noWrap w:val="0"/>
            <w:vAlign w:val="center"/>
          </w:tcPr>
          <w:p w14:paraId="4CDDE280">
            <w:pPr>
              <w:adjustRightInd w:val="0"/>
              <w:snapToGrid w:val="0"/>
              <w:jc w:val="center"/>
              <w:rPr>
                <w:rFonts w:ascii="宋体" w:hAnsi="宋体" w:cs="宋体"/>
                <w:color w:val="0C0C0C"/>
                <w:kern w:val="0"/>
                <w:szCs w:val="21"/>
              </w:rPr>
            </w:pPr>
            <w:r>
              <w:rPr>
                <w:rFonts w:hint="eastAsia"/>
                <w:color w:val="0C0C0C"/>
                <w:szCs w:val="21"/>
              </w:rPr>
              <w:t>数量</w:t>
            </w:r>
          </w:p>
        </w:tc>
        <w:tc>
          <w:tcPr>
            <w:tcW w:w="844" w:type="dxa"/>
            <w:noWrap w:val="0"/>
            <w:vAlign w:val="center"/>
          </w:tcPr>
          <w:p w14:paraId="39429025">
            <w:pPr>
              <w:adjustRightInd w:val="0"/>
              <w:snapToGrid w:val="0"/>
              <w:jc w:val="center"/>
              <w:rPr>
                <w:color w:val="0C0C0C"/>
                <w:szCs w:val="21"/>
              </w:rPr>
            </w:pPr>
            <w:r>
              <w:rPr>
                <w:rFonts w:hint="eastAsia"/>
                <w:color w:val="0C0C0C"/>
                <w:szCs w:val="21"/>
              </w:rPr>
              <w:t>节能产品</w:t>
            </w:r>
          </w:p>
        </w:tc>
        <w:tc>
          <w:tcPr>
            <w:tcW w:w="800" w:type="dxa"/>
            <w:noWrap w:val="0"/>
            <w:vAlign w:val="center"/>
          </w:tcPr>
          <w:p w14:paraId="74533CD8">
            <w:pPr>
              <w:adjustRightInd w:val="0"/>
              <w:snapToGrid w:val="0"/>
              <w:jc w:val="center"/>
              <w:rPr>
                <w:color w:val="0C0C0C"/>
                <w:szCs w:val="21"/>
              </w:rPr>
            </w:pPr>
            <w:r>
              <w:rPr>
                <w:rFonts w:hint="eastAsia"/>
                <w:color w:val="0C0C0C"/>
                <w:szCs w:val="21"/>
              </w:rPr>
              <w:t>进口产品</w:t>
            </w:r>
          </w:p>
        </w:tc>
      </w:tr>
      <w:tr w14:paraId="2C4477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8" w:hRule="atLeast"/>
        </w:trPr>
        <w:tc>
          <w:tcPr>
            <w:tcW w:w="615" w:type="dxa"/>
            <w:noWrap w:val="0"/>
            <w:vAlign w:val="center"/>
          </w:tcPr>
          <w:p w14:paraId="56825C9D">
            <w:pPr>
              <w:adjustRightInd w:val="0"/>
              <w:snapToGrid w:val="0"/>
              <w:spacing w:before="156" w:beforeLines="50" w:line="360" w:lineRule="auto"/>
              <w:jc w:val="center"/>
              <w:rPr>
                <w:rFonts w:hint="eastAsia" w:eastAsia="宋体"/>
                <w:color w:val="auto"/>
                <w:szCs w:val="21"/>
                <w:lang w:val="en-US" w:eastAsia="zh-CN"/>
              </w:rPr>
            </w:pPr>
            <w:r>
              <w:rPr>
                <w:rFonts w:hint="eastAsia"/>
                <w:color w:val="auto"/>
                <w:szCs w:val="21"/>
                <w:lang w:val="en-US" w:eastAsia="zh-CN"/>
              </w:rPr>
              <w:t>1</w:t>
            </w:r>
          </w:p>
        </w:tc>
        <w:tc>
          <w:tcPr>
            <w:tcW w:w="1183" w:type="dxa"/>
            <w:noWrap w:val="0"/>
            <w:vAlign w:val="center"/>
          </w:tcPr>
          <w:p w14:paraId="47205725">
            <w:pPr>
              <w:adjustRightInd w:val="0"/>
              <w:snapToGrid w:val="0"/>
              <w:spacing w:before="156" w:beforeLines="50" w:line="360" w:lineRule="auto"/>
              <w:jc w:val="center"/>
              <w:rPr>
                <w:rFonts w:hint="default" w:eastAsia="宋体"/>
                <w:color w:val="auto"/>
                <w:szCs w:val="21"/>
                <w:lang w:val="en-US" w:eastAsia="zh-CN"/>
              </w:rPr>
            </w:pPr>
            <w:r>
              <w:rPr>
                <w:rFonts w:hint="eastAsia"/>
                <w:color w:val="auto"/>
                <w:szCs w:val="21"/>
                <w:lang w:eastAsia="zh-CN"/>
              </w:rPr>
              <w:t>包</w:t>
            </w:r>
            <w:r>
              <w:rPr>
                <w:rFonts w:hint="eastAsia"/>
                <w:color w:val="auto"/>
                <w:szCs w:val="21"/>
                <w:lang w:val="en-US" w:eastAsia="zh-CN"/>
              </w:rPr>
              <w:t>1</w:t>
            </w:r>
          </w:p>
        </w:tc>
        <w:tc>
          <w:tcPr>
            <w:tcW w:w="2200" w:type="dxa"/>
            <w:noWrap w:val="0"/>
            <w:vAlign w:val="center"/>
          </w:tcPr>
          <w:p w14:paraId="1B57DC4E">
            <w:pPr>
              <w:adjustRightInd w:val="0"/>
              <w:snapToGrid w:val="0"/>
              <w:spacing w:before="156" w:beforeLines="50" w:line="360" w:lineRule="auto"/>
              <w:jc w:val="center"/>
              <w:rPr>
                <w:rFonts w:hint="eastAsia" w:eastAsia="宋体"/>
                <w:color w:val="0C0C0C"/>
                <w:szCs w:val="21"/>
                <w:lang w:eastAsia="zh-CN"/>
              </w:rPr>
            </w:pPr>
            <w:r>
              <w:rPr>
                <w:rFonts w:hint="eastAsia" w:eastAsia="宋体"/>
                <w:color w:val="0C0C0C"/>
                <w:szCs w:val="21"/>
                <w:lang w:val="en-US" w:eastAsia="zh-CN"/>
              </w:rPr>
              <w:t xml:space="preserve">应急救援设备类  </w:t>
            </w:r>
          </w:p>
        </w:tc>
        <w:tc>
          <w:tcPr>
            <w:tcW w:w="2271" w:type="dxa"/>
            <w:tcBorders>
              <w:left w:val="single" w:color="auto" w:sz="4" w:space="0"/>
            </w:tcBorders>
            <w:noWrap w:val="0"/>
            <w:vAlign w:val="center"/>
          </w:tcPr>
          <w:p w14:paraId="473719F0">
            <w:pPr>
              <w:adjustRightInd w:val="0"/>
              <w:snapToGrid w:val="0"/>
              <w:spacing w:before="156" w:beforeLines="50" w:line="360" w:lineRule="auto"/>
              <w:jc w:val="center"/>
              <w:rPr>
                <w:rFonts w:hint="eastAsia" w:eastAsia="宋体"/>
                <w:color w:val="0C0C0C"/>
                <w:szCs w:val="21"/>
                <w:lang w:eastAsia="zh-CN"/>
              </w:rPr>
            </w:pPr>
            <w:r>
              <w:rPr>
                <w:rFonts w:hint="eastAsia"/>
                <w:color w:val="0C0C0C"/>
                <w:szCs w:val="21"/>
                <w:lang w:eastAsia="zh-CN"/>
              </w:rPr>
              <w:t>详见本章第二节</w:t>
            </w:r>
          </w:p>
        </w:tc>
        <w:tc>
          <w:tcPr>
            <w:tcW w:w="1027" w:type="dxa"/>
            <w:tcBorders>
              <w:left w:val="single" w:color="auto" w:sz="4" w:space="0"/>
            </w:tcBorders>
            <w:noWrap w:val="0"/>
            <w:vAlign w:val="center"/>
          </w:tcPr>
          <w:p w14:paraId="38741106">
            <w:pPr>
              <w:adjustRightInd w:val="0"/>
              <w:snapToGrid w:val="0"/>
              <w:spacing w:before="156" w:beforeLines="50" w:line="360" w:lineRule="auto"/>
              <w:jc w:val="center"/>
              <w:rPr>
                <w:rFonts w:hint="eastAsia" w:eastAsia="宋体"/>
                <w:color w:val="0C0C0C"/>
                <w:szCs w:val="21"/>
                <w:lang w:val="en-US" w:eastAsia="zh-CN"/>
              </w:rPr>
            </w:pPr>
            <w:r>
              <w:rPr>
                <w:rFonts w:hint="eastAsia"/>
                <w:color w:val="0C0C0C"/>
                <w:szCs w:val="21"/>
                <w:lang w:val="en-US" w:eastAsia="zh-CN"/>
              </w:rPr>
              <w:t>1批</w:t>
            </w:r>
          </w:p>
        </w:tc>
        <w:tc>
          <w:tcPr>
            <w:tcW w:w="844" w:type="dxa"/>
            <w:noWrap w:val="0"/>
            <w:vAlign w:val="center"/>
          </w:tcPr>
          <w:p w14:paraId="0E91F124">
            <w:pPr>
              <w:adjustRightInd w:val="0"/>
              <w:snapToGrid w:val="0"/>
              <w:spacing w:before="156" w:beforeLines="50" w:line="360" w:lineRule="auto"/>
              <w:jc w:val="center"/>
              <w:rPr>
                <w:color w:val="0C0C0C"/>
                <w:szCs w:val="21"/>
              </w:rPr>
            </w:pPr>
            <w:r>
              <w:rPr>
                <w:rFonts w:hint="eastAsia" w:ascii="宋体" w:hAnsi="宋体"/>
                <w:iCs/>
                <w:color w:val="0C0C0C"/>
                <w:szCs w:val="21"/>
              </w:rPr>
              <w:sym w:font="Wingdings" w:char="00A8"/>
            </w:r>
          </w:p>
        </w:tc>
        <w:tc>
          <w:tcPr>
            <w:tcW w:w="800" w:type="dxa"/>
            <w:noWrap w:val="0"/>
            <w:vAlign w:val="center"/>
          </w:tcPr>
          <w:p w14:paraId="5020CAFB">
            <w:pPr>
              <w:adjustRightInd w:val="0"/>
              <w:snapToGrid w:val="0"/>
              <w:spacing w:before="156" w:beforeLines="50" w:line="360" w:lineRule="auto"/>
              <w:jc w:val="center"/>
              <w:rPr>
                <w:rFonts w:hint="eastAsia" w:eastAsia="宋体"/>
                <w:color w:val="0C0C0C"/>
                <w:szCs w:val="21"/>
                <w:lang w:eastAsia="zh-CN"/>
              </w:rPr>
            </w:pPr>
            <w:r>
              <w:rPr>
                <w:rFonts w:hint="eastAsia"/>
                <w:color w:val="0C0C0C"/>
                <w:szCs w:val="21"/>
                <w:lang w:eastAsia="zh-CN"/>
              </w:rPr>
              <w:t>否</w:t>
            </w:r>
          </w:p>
        </w:tc>
      </w:tr>
    </w:tbl>
    <w:p w14:paraId="07C90B60">
      <w:pPr>
        <w:adjustRightInd w:val="0"/>
        <w:snapToGrid w:val="0"/>
        <w:spacing w:before="156" w:beforeLines="50" w:line="360" w:lineRule="auto"/>
        <w:ind w:firstLine="420" w:firstLineChars="200"/>
        <w:rPr>
          <w:rFonts w:ascii="宋体" w:hAnsi="宋体" w:cs="宋体"/>
          <w:color w:val="auto"/>
          <w:kern w:val="0"/>
          <w:szCs w:val="21"/>
        </w:rPr>
        <w:sectPr>
          <w:pgSz w:w="11906" w:h="16838"/>
          <w:pgMar w:top="1474" w:right="1474" w:bottom="1474" w:left="1474" w:header="851" w:footer="992" w:gutter="0"/>
          <w:cols w:space="720" w:num="1"/>
          <w:docGrid w:type="lines" w:linePitch="312" w:charSpace="0"/>
        </w:sectPr>
      </w:pPr>
      <w:bookmarkStart w:id="8" w:name="_GoBack"/>
      <w:bookmarkEnd w:id="8"/>
    </w:p>
    <w:p w14:paraId="273C8154">
      <w:pPr>
        <w:keepNext/>
        <w:keepLines/>
        <w:adjustRightInd w:val="0"/>
        <w:snapToGrid w:val="0"/>
        <w:spacing w:before="156" w:beforeLines="50" w:line="360" w:lineRule="auto"/>
        <w:jc w:val="center"/>
        <w:outlineLvl w:val="1"/>
        <w:rPr>
          <w:rFonts w:hint="eastAsia" w:ascii="黑体" w:hAnsi="黑体" w:eastAsia="黑体"/>
          <w:b/>
          <w:bCs/>
          <w:color w:val="0C0C0C"/>
          <w:sz w:val="28"/>
          <w:szCs w:val="28"/>
          <w:lang w:eastAsia="zh-CN"/>
        </w:rPr>
      </w:pPr>
      <w:bookmarkStart w:id="2" w:name="_Toc702"/>
      <w:r>
        <w:rPr>
          <w:rFonts w:hint="eastAsia" w:ascii="黑体" w:hAnsi="黑体" w:eastAsia="黑体"/>
          <w:b/>
          <w:bCs/>
          <w:color w:val="0C0C0C"/>
          <w:sz w:val="28"/>
          <w:szCs w:val="28"/>
        </w:rPr>
        <w:t xml:space="preserve">第二节 </w:t>
      </w:r>
      <w:r>
        <w:rPr>
          <w:rFonts w:ascii="黑体" w:hAnsi="黑体" w:eastAsia="黑体"/>
          <w:b/>
          <w:bCs/>
          <w:color w:val="0C0C0C"/>
          <w:sz w:val="28"/>
          <w:szCs w:val="28"/>
        </w:rPr>
        <w:t>技术要求</w:t>
      </w:r>
      <w:bookmarkEnd w:id="2"/>
    </w:p>
    <w:p w14:paraId="683B985D">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0C0C0C"/>
          <w:lang w:eastAsia="zh-CN"/>
        </w:rPr>
      </w:pPr>
      <w:r>
        <w:rPr>
          <w:rFonts w:hint="eastAsia" w:ascii="宋体" w:hAnsi="宋体" w:eastAsia="宋体" w:cs="宋体"/>
          <w:b/>
          <w:bCs/>
          <w:color w:val="0C0C0C"/>
          <w:lang w:eastAsia="zh-CN"/>
        </w:rPr>
        <w:t>采购标的需实现的功能或者目标</w:t>
      </w:r>
    </w:p>
    <w:p w14:paraId="1EFBCEDB">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bookmarkStart w:id="3" w:name="_Toc70069105"/>
      <w:bookmarkStart w:id="4" w:name="_Toc25711"/>
      <w:bookmarkStart w:id="5" w:name="_Toc17660"/>
      <w:bookmarkStart w:id="6" w:name="_Toc84573998"/>
      <w:bookmarkStart w:id="7" w:name="_Toc14475"/>
      <w:r>
        <w:rPr>
          <w:rFonts w:hint="eastAsia" w:ascii="Times New Roman" w:hAnsi="Times New Roman" w:eastAsia="宋体" w:cs="Times New Roman"/>
          <w:color w:val="0C0C0C"/>
          <w:kern w:val="2"/>
          <w:sz w:val="21"/>
          <w:szCs w:val="24"/>
          <w:lang w:val="en-US" w:eastAsia="zh-CN" w:bidi="ar-SA"/>
        </w:rPr>
        <w:t>为切实提升岳阳市应急管理局应对自然灾害和突发事件的应急救灾保障能力，加强市级生活类救灾物资储备，本采购项目拟采购一批生活类救灾物资，用于灾后受灾群众临时安置、御寒保暖等基本生活救助，保障受灾群众的基本生活需求，为全市防汛抗旱、地质灾害、低温雨雪冰冻等自然灾害和突发公共事件的应急救援提供物资保障。</w:t>
      </w:r>
    </w:p>
    <w:p w14:paraId="726C5B0D">
      <w:pPr>
        <w:adjustRightInd w:val="0"/>
        <w:snapToGrid w:val="0"/>
        <w:spacing w:beforeLines="50" w:line="360" w:lineRule="auto"/>
        <w:rPr>
          <w:rFonts w:hint="eastAsia" w:ascii="宋体" w:hAnsi="宋体" w:cs="宋体"/>
          <w:b/>
          <w:bCs/>
          <w:color w:val="0C0C0C"/>
          <w:kern w:val="0"/>
          <w:szCs w:val="21"/>
        </w:rPr>
      </w:pPr>
      <w:r>
        <w:rPr>
          <w:rFonts w:hint="eastAsia" w:ascii="宋体" w:hAnsi="宋体" w:eastAsia="宋体" w:cs="宋体"/>
          <w:b/>
          <w:bCs/>
          <w:color w:val="0C0C0C"/>
          <w:lang w:val="en-US" w:eastAsia="zh-CN"/>
        </w:rPr>
        <w:t>二、</w:t>
      </w:r>
      <w:bookmarkEnd w:id="3"/>
      <w:bookmarkEnd w:id="4"/>
      <w:bookmarkEnd w:id="5"/>
      <w:bookmarkEnd w:id="6"/>
      <w:bookmarkEnd w:id="7"/>
      <w:r>
        <w:rPr>
          <w:rFonts w:hint="eastAsia" w:ascii="宋体" w:hAnsi="宋体" w:cs="宋体"/>
          <w:b/>
          <w:bCs/>
          <w:color w:val="0C0C0C"/>
          <w:kern w:val="0"/>
          <w:szCs w:val="21"/>
        </w:rPr>
        <w:t>采购标的需执行的国家相关标准、行业标准、地方标准或者其他标准、规范</w:t>
      </w:r>
    </w:p>
    <w:p w14:paraId="252113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本项目采购的救灾物资，其生产、检验、验收应严格执行下列现行有效的国家标准、行业标准及技术规范（如下述标准发生更新、修订或废止，执行届时最新有效版本）：</w:t>
      </w:r>
    </w:p>
    <w:p w14:paraId="72547E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（一）GB/T 44010-2024《救灾帐篷 通用技术要求》；</w:t>
      </w:r>
    </w:p>
    <w:p w14:paraId="57ED44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（二）GB/T 5455-2014《纺织品 燃烧性能 垂直方向 损毁长度、阴燃和续燃时间的测定》；</w:t>
      </w:r>
    </w:p>
    <w:p w14:paraId="56A22B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（三）GB/T 3923.1《纺织品 织物拉伸性能 第1部分：断裂强力和断裂伸长率的测定（条样法）》；</w:t>
      </w:r>
    </w:p>
    <w:p w14:paraId="275918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（四）GB/T 3917.3《纺织品 织物撕破性能 第3部分：梯形试样撕破强力的测定》；</w:t>
      </w:r>
    </w:p>
    <w:p w14:paraId="0166CD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（五）GB/T 4744</w:t>
      </w:r>
      <w:r>
        <w:rPr>
          <w:rFonts w:hint="eastAsia"/>
          <w:color w:val="0C0C0C"/>
          <w:sz w:val="21"/>
          <w:szCs w:val="21"/>
          <w:lang w:eastAsia="zh-CN"/>
        </w:rPr>
        <w:noBreakHyphen/>
      </w:r>
      <w:r>
        <w:rPr>
          <w:rFonts w:hint="eastAsia"/>
          <w:color w:val="0C0C0C"/>
          <w:sz w:val="21"/>
          <w:szCs w:val="21"/>
          <w:lang w:eastAsia="zh-CN"/>
        </w:rPr>
        <w:t>2013《纺织品 防水性能的检测和评价 静水压法》；</w:t>
      </w:r>
    </w:p>
    <w:p w14:paraId="633ED7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（六）GB/T 3325-2024《金属家具通用技术条件》；</w:t>
      </w:r>
    </w:p>
    <w:p w14:paraId="09213B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（七）YJ/T 11.1-2010《救灾装具 第1部分：折叠床》；</w:t>
      </w:r>
    </w:p>
    <w:p w14:paraId="788C1E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（八）MZ/T 014-2010《救灾被服 第4部分：防寒服》；</w:t>
      </w:r>
    </w:p>
    <w:p w14:paraId="6D8607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（九）MZ/T 014.2-2010《救灾被服 第2部分：救灾单衣》；</w:t>
      </w:r>
    </w:p>
    <w:p w14:paraId="37468D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（十）GB/T 6892</w:t>
      </w:r>
      <w:r>
        <w:rPr>
          <w:rFonts w:hint="eastAsia"/>
          <w:color w:val="0C0C0C"/>
          <w:sz w:val="21"/>
          <w:szCs w:val="21"/>
          <w:lang w:eastAsia="zh-CN"/>
        </w:rPr>
        <w:noBreakHyphen/>
      </w:r>
      <w:r>
        <w:rPr>
          <w:rFonts w:hint="eastAsia"/>
          <w:color w:val="0C0C0C"/>
          <w:sz w:val="21"/>
          <w:szCs w:val="21"/>
          <w:lang w:eastAsia="zh-CN"/>
        </w:rPr>
        <w:t>2023《一般工业用铝及铝合金挤压型材》；</w:t>
      </w:r>
    </w:p>
    <w:p w14:paraId="354F20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（十一）GB/T 228.1</w:t>
      </w:r>
      <w:r>
        <w:rPr>
          <w:rFonts w:hint="eastAsia"/>
          <w:color w:val="0C0C0C"/>
          <w:sz w:val="21"/>
          <w:szCs w:val="21"/>
          <w:lang w:eastAsia="zh-CN"/>
        </w:rPr>
        <w:noBreakHyphen/>
      </w:r>
      <w:r>
        <w:rPr>
          <w:rFonts w:hint="eastAsia"/>
          <w:color w:val="0C0C0C"/>
          <w:sz w:val="21"/>
          <w:szCs w:val="21"/>
          <w:lang w:eastAsia="zh-CN"/>
        </w:rPr>
        <w:t>2021《金属材料 拉伸试验 第 1 部分：室温试验方法》；</w:t>
      </w:r>
    </w:p>
    <w:p w14:paraId="1772FB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（十二）GB18383《絮用纤维制品通用技术要求》；</w:t>
      </w:r>
    </w:p>
    <w:p w14:paraId="79DC4E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（十三）GB 18401-2010《国家纺织产品基本安全技术规范》（B类）；</w:t>
      </w:r>
    </w:p>
    <w:p w14:paraId="3C8F6A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C0C0C"/>
          <w:sz w:val="21"/>
          <w:szCs w:val="21"/>
          <w:lang w:eastAsia="zh-CN"/>
        </w:rPr>
      </w:pPr>
      <w:r>
        <w:rPr>
          <w:rFonts w:hint="eastAsia"/>
          <w:color w:val="0C0C0C"/>
          <w:sz w:val="21"/>
          <w:szCs w:val="21"/>
          <w:lang w:eastAsia="zh-CN"/>
        </w:rPr>
        <w:t>（十四）GB/T 10357《家具力学性能试验》等与物资生产、检验、验收相关的其他国家标准、行业标准及强制性标准。</w:t>
      </w:r>
    </w:p>
    <w:p w14:paraId="6D4CF7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color w:val="FF0000"/>
          <w:sz w:val="21"/>
          <w:szCs w:val="21"/>
          <w:lang w:eastAsia="zh-CN"/>
        </w:rPr>
      </w:pPr>
      <w:r>
        <w:rPr>
          <w:rFonts w:hint="eastAsia"/>
          <w:color w:val="0C0C0C"/>
          <w:sz w:val="21"/>
          <w:szCs w:val="21"/>
          <w:lang w:eastAsia="zh-CN"/>
        </w:rPr>
        <w:t>上述标准若因国家政策调整或标准修订而更新，以现行最新有效版本为准。供应商提供的产品应完全满足上述标准规定的技术指标要求。所有指标以到货履约抽样验收结果作为判定依据；成交后履约验收阶段，采购人有权要求成交供应商配合提供与本批次到货产品相关的检测资料，同时采购人可委托第三方开展抽样检测。</w:t>
      </w:r>
    </w:p>
    <w:p w14:paraId="292E87BD">
      <w:pPr>
        <w:numPr>
          <w:ilvl w:val="0"/>
          <w:numId w:val="2"/>
        </w:numPr>
        <w:adjustRightInd w:val="0"/>
        <w:snapToGrid w:val="0"/>
        <w:spacing w:beforeLines="50" w:line="360" w:lineRule="auto"/>
        <w:rPr>
          <w:rFonts w:hint="eastAsia"/>
          <w:b/>
          <w:bCs/>
          <w:color w:val="0C0C0C"/>
          <w:lang w:eastAsia="zh-CN"/>
        </w:rPr>
      </w:pPr>
      <w:r>
        <w:rPr>
          <w:rFonts w:hint="eastAsia" w:ascii="宋体" w:hAnsi="宋体" w:cs="宋体"/>
          <w:b/>
          <w:bCs/>
          <w:color w:val="0C0C0C"/>
          <w:kern w:val="0"/>
          <w:szCs w:val="21"/>
        </w:rPr>
        <w:t>采购标的需满足的质量、安全、技术规格、物理特性等要求</w:t>
      </w:r>
    </w:p>
    <w:p w14:paraId="3B3A94B4">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本项目采购物资应符合国家现行有关产品质量、安全、环保等法律法规及技术标准要求，原材料合格、生产工艺规范、成品质量可靠，具体技术规格、质量及物理特性要求如下：</w:t>
      </w:r>
    </w:p>
    <w:p w14:paraId="76BC7420">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（一）帐篷（12㎡单帐篷）</w:t>
      </w:r>
    </w:p>
    <w:p w14:paraId="364A4422">
      <w:pPr>
        <w:pStyle w:val="4"/>
        <w:numPr>
          <w:ilvl w:val="0"/>
          <w:numId w:val="0"/>
        </w:numPr>
        <w:autoSpaceDE w:val="0"/>
        <w:spacing w:line="360" w:lineRule="auto"/>
        <w:ind w:firstLine="420" w:firstLineChars="200"/>
        <w:rPr>
          <w:rFonts w:hint="eastAsia" w:ascii="Times New Roman" w:hAnsi="Times New Roman" w:eastAsia="宋体" w:cs="Times New Roman"/>
          <w:color w:val="0C0C0C"/>
          <w:kern w:val="2"/>
          <w:sz w:val="21"/>
          <w:szCs w:val="24"/>
          <w:highlight w:val="yellow"/>
          <w:lang w:val="en-US" w:eastAsia="zh-CN" w:bidi="ar-SA"/>
        </w:rPr>
      </w:pPr>
      <w:r>
        <w:rPr>
          <w:rFonts w:hint="eastAsia" w:ascii="Times New Roman" w:hAnsi="Times New Roman" w:eastAsia="宋体" w:cs="Times New Roman"/>
          <w:color w:val="0C0C0C"/>
          <w:kern w:val="2"/>
          <w:sz w:val="21"/>
          <w:szCs w:val="24"/>
          <w:lang w:val="en-US" w:eastAsia="zh-CN" w:bidi="ar-SA"/>
        </w:rPr>
        <w:t>帐篷规格：长×宽×高：3.7米</w:t>
      </w:r>
      <w:r>
        <w:rPr>
          <w:rFonts w:hint="eastAsia"/>
          <w:color w:val="0C0C0C"/>
          <w:highlight w:val="none"/>
          <w:lang w:val="en-US" w:eastAsia="zh-CN"/>
        </w:rPr>
        <w:t>+</w:t>
      </w:r>
      <w:r>
        <w:rPr>
          <w:rFonts w:hint="eastAsia" w:ascii="Times New Roman" w:hAnsi="Times New Roman" w:eastAsia="宋体" w:cs="Times New Roman"/>
          <w:color w:val="0C0C0C"/>
          <w:kern w:val="2"/>
          <w:sz w:val="21"/>
          <w:szCs w:val="24"/>
          <w:lang w:val="en-US" w:eastAsia="zh-CN" w:bidi="ar-SA"/>
        </w:rPr>
        <w:t>30mm×3.2米</w:t>
      </w:r>
      <w:r>
        <w:rPr>
          <w:rFonts w:hint="eastAsia"/>
          <w:color w:val="0C0C0C"/>
          <w:highlight w:val="none"/>
          <w:lang w:val="en-US" w:eastAsia="zh-CN"/>
        </w:rPr>
        <w:t>+</w:t>
      </w:r>
      <w:r>
        <w:rPr>
          <w:rFonts w:hint="eastAsia" w:ascii="Times New Roman" w:hAnsi="Times New Roman" w:eastAsia="宋体" w:cs="Times New Roman"/>
          <w:color w:val="0C0C0C"/>
          <w:kern w:val="2"/>
          <w:sz w:val="21"/>
          <w:szCs w:val="24"/>
          <w:lang w:val="en-US" w:eastAsia="zh-CN" w:bidi="ar-SA"/>
        </w:rPr>
        <w:t>30mm×（边高1.75米+20mm、顶高2.67米+20mm）。</w:t>
      </w:r>
      <w:r>
        <w:rPr>
          <w:rFonts w:hint="eastAsia" w:ascii="Times New Roman" w:hAnsi="Times New Roman" w:eastAsia="宋体" w:cs="Times New Roman"/>
          <w:color w:val="0C0C0C"/>
          <w:kern w:val="2"/>
          <w:sz w:val="21"/>
          <w:szCs w:val="24"/>
          <w:highlight w:val="none"/>
          <w:lang w:val="en-US" w:eastAsia="zh-CN" w:bidi="ar-SA"/>
        </w:rPr>
        <w:t>帐篷为长方形双坡面直墙样式；出入门设置于一侧山墙，顶部设置三角窗；另一侧山墙设置方形窗 + 三角窗；两侧墙各设置 2 扇方形窗户，配置可拆卸纱围；整体帐篷通过拉绳、三角桩固定。帐篷可同时容纳</w:t>
      </w:r>
      <w:r>
        <w:rPr>
          <w:rFonts w:hint="eastAsia" w:ascii="宋体" w:hAnsi="宋体" w:eastAsia="宋体" w:cs="宋体"/>
          <w:color w:val="0C0C0C"/>
          <w:kern w:val="2"/>
          <w:sz w:val="21"/>
          <w:szCs w:val="24"/>
          <w:highlight w:val="none"/>
          <w:lang w:val="en-US" w:eastAsia="zh-CN" w:bidi="ar-SA"/>
        </w:rPr>
        <w:t>≥</w:t>
      </w:r>
      <w:r>
        <w:rPr>
          <w:rFonts w:hint="eastAsia" w:ascii="Times New Roman" w:hAnsi="Times New Roman" w:eastAsia="宋体" w:cs="Times New Roman"/>
          <w:color w:val="0C0C0C"/>
          <w:kern w:val="2"/>
          <w:sz w:val="21"/>
          <w:szCs w:val="24"/>
          <w:highlight w:val="none"/>
          <w:lang w:val="en-US" w:eastAsia="zh-CN" w:bidi="ar-SA"/>
        </w:rPr>
        <w:t>5人临时居住；可在自重及8级风力条件下安全使用；正常条件可连续使用不少于2年。成品外部主要尺寸及极限偏差（单位mm）要求：</w:t>
      </w:r>
    </w:p>
    <w:tbl>
      <w:tblPr>
        <w:tblStyle w:val="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228"/>
        <w:gridCol w:w="2700"/>
        <w:gridCol w:w="2618"/>
      </w:tblGrid>
      <w:tr w14:paraId="2AA3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1888" w:type="pct"/>
            <w:noWrap w:val="0"/>
            <w:tcMar>
              <w:top w:w="120" w:type="dxa"/>
              <w:left w:w="120" w:type="dxa"/>
              <w:bottom w:w="120" w:type="dxa"/>
              <w:right w:w="120" w:type="dxa"/>
            </w:tcMar>
            <w:vAlign w:val="center"/>
          </w:tcPr>
          <w:p w14:paraId="28098826">
            <w:pPr>
              <w:jc w:val="center"/>
              <w:rPr>
                <w:rFonts w:hint="eastAsia"/>
                <w:b/>
                <w:bCs/>
                <w:highlight w:val="none"/>
                <w:lang w:val="en-US" w:eastAsia="zh-CN"/>
              </w:rPr>
            </w:pPr>
            <w:r>
              <w:rPr>
                <w:rFonts w:hint="eastAsia"/>
                <w:b/>
                <w:bCs/>
                <w:highlight w:val="none"/>
                <w:lang w:val="en-US" w:eastAsia="zh-CN"/>
              </w:rPr>
              <w:t>部位</w:t>
            </w:r>
          </w:p>
        </w:tc>
        <w:tc>
          <w:tcPr>
            <w:tcW w:w="1579" w:type="pct"/>
            <w:noWrap w:val="0"/>
            <w:tcMar>
              <w:top w:w="120" w:type="dxa"/>
              <w:left w:w="120" w:type="dxa"/>
              <w:bottom w:w="120" w:type="dxa"/>
              <w:right w:w="120" w:type="dxa"/>
            </w:tcMar>
            <w:vAlign w:val="center"/>
          </w:tcPr>
          <w:p w14:paraId="42A95B86">
            <w:pPr>
              <w:jc w:val="center"/>
              <w:rPr>
                <w:rFonts w:hint="eastAsia"/>
                <w:b/>
                <w:bCs/>
                <w:highlight w:val="none"/>
                <w:lang w:val="en-US" w:eastAsia="zh-CN"/>
              </w:rPr>
            </w:pPr>
            <w:r>
              <w:rPr>
                <w:rFonts w:hint="eastAsia"/>
                <w:b/>
                <w:bCs/>
                <w:highlight w:val="none"/>
                <w:lang w:val="en-US" w:eastAsia="zh-CN"/>
              </w:rPr>
              <w:t>成品尺寸</w:t>
            </w:r>
          </w:p>
        </w:tc>
        <w:tc>
          <w:tcPr>
            <w:tcW w:w="1531" w:type="pct"/>
            <w:noWrap w:val="0"/>
            <w:tcMar>
              <w:top w:w="120" w:type="dxa"/>
              <w:left w:w="120" w:type="dxa"/>
              <w:bottom w:w="120" w:type="dxa"/>
              <w:right w:w="120" w:type="dxa"/>
            </w:tcMar>
            <w:vAlign w:val="center"/>
          </w:tcPr>
          <w:p w14:paraId="343987C8">
            <w:pPr>
              <w:jc w:val="center"/>
              <w:rPr>
                <w:rFonts w:hint="eastAsia"/>
                <w:b/>
                <w:bCs/>
                <w:highlight w:val="none"/>
                <w:lang w:val="en-US" w:eastAsia="zh-CN"/>
              </w:rPr>
            </w:pPr>
            <w:r>
              <w:rPr>
                <w:rFonts w:hint="eastAsia"/>
                <w:b/>
                <w:bCs/>
                <w:highlight w:val="none"/>
                <w:lang w:val="en-US" w:eastAsia="zh-CN"/>
              </w:rPr>
              <w:t>极限偏差</w:t>
            </w:r>
          </w:p>
        </w:tc>
      </w:tr>
      <w:tr w14:paraId="4AE9B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7D273B47">
            <w:pPr>
              <w:jc w:val="center"/>
              <w:rPr>
                <w:rFonts w:hint="eastAsia"/>
                <w:highlight w:val="none"/>
                <w:lang w:val="en-US" w:eastAsia="zh-CN"/>
              </w:rPr>
            </w:pPr>
            <w:r>
              <w:rPr>
                <w:rFonts w:hint="eastAsia"/>
                <w:highlight w:val="none"/>
                <w:lang w:val="en-US" w:eastAsia="zh-CN"/>
              </w:rPr>
              <w:t>篷体长度</w:t>
            </w:r>
          </w:p>
        </w:tc>
        <w:tc>
          <w:tcPr>
            <w:tcW w:w="1579" w:type="pct"/>
            <w:noWrap w:val="0"/>
            <w:tcMar>
              <w:top w:w="120" w:type="dxa"/>
              <w:left w:w="120" w:type="dxa"/>
              <w:bottom w:w="120" w:type="dxa"/>
              <w:right w:w="120" w:type="dxa"/>
            </w:tcMar>
            <w:vAlign w:val="center"/>
          </w:tcPr>
          <w:p w14:paraId="1066AA47">
            <w:pPr>
              <w:jc w:val="center"/>
              <w:rPr>
                <w:rFonts w:hint="eastAsia"/>
                <w:color w:val="0C0C0C"/>
                <w:highlight w:val="none"/>
                <w:lang w:val="en-US" w:eastAsia="zh-CN"/>
              </w:rPr>
            </w:pPr>
            <w:r>
              <w:rPr>
                <w:rFonts w:hint="eastAsia"/>
                <w:color w:val="0C0C0C"/>
                <w:highlight w:val="none"/>
                <w:lang w:val="en-US" w:eastAsia="zh-CN"/>
              </w:rPr>
              <w:t>3700</w:t>
            </w:r>
          </w:p>
        </w:tc>
        <w:tc>
          <w:tcPr>
            <w:tcW w:w="1531" w:type="pct"/>
            <w:noWrap w:val="0"/>
            <w:tcMar>
              <w:top w:w="120" w:type="dxa"/>
              <w:left w:w="120" w:type="dxa"/>
              <w:bottom w:w="120" w:type="dxa"/>
              <w:right w:w="120" w:type="dxa"/>
            </w:tcMar>
            <w:vAlign w:val="center"/>
          </w:tcPr>
          <w:p w14:paraId="64B1DD4C">
            <w:pPr>
              <w:jc w:val="center"/>
              <w:rPr>
                <w:rFonts w:hint="eastAsia"/>
                <w:color w:val="0C0C0C"/>
                <w:highlight w:val="none"/>
                <w:lang w:val="en-US" w:eastAsia="zh-CN"/>
              </w:rPr>
            </w:pPr>
            <w:r>
              <w:rPr>
                <w:rFonts w:hint="eastAsia"/>
                <w:color w:val="0C0C0C"/>
                <w:highlight w:val="none"/>
                <w:lang w:val="en-US" w:eastAsia="zh-CN"/>
              </w:rPr>
              <w:t>+30</w:t>
            </w:r>
          </w:p>
        </w:tc>
      </w:tr>
      <w:tr w14:paraId="514C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4A13B41F">
            <w:pPr>
              <w:jc w:val="center"/>
              <w:rPr>
                <w:rFonts w:hint="eastAsia"/>
                <w:highlight w:val="none"/>
                <w:lang w:val="en-US" w:eastAsia="zh-CN"/>
              </w:rPr>
            </w:pPr>
            <w:r>
              <w:rPr>
                <w:rFonts w:hint="eastAsia"/>
                <w:highlight w:val="none"/>
                <w:lang w:val="en-US" w:eastAsia="zh-CN"/>
              </w:rPr>
              <w:t>篷体宽度</w:t>
            </w:r>
          </w:p>
        </w:tc>
        <w:tc>
          <w:tcPr>
            <w:tcW w:w="1579" w:type="pct"/>
            <w:noWrap w:val="0"/>
            <w:tcMar>
              <w:top w:w="120" w:type="dxa"/>
              <w:left w:w="120" w:type="dxa"/>
              <w:bottom w:w="120" w:type="dxa"/>
              <w:right w:w="120" w:type="dxa"/>
            </w:tcMar>
            <w:vAlign w:val="center"/>
          </w:tcPr>
          <w:p w14:paraId="6186A31E">
            <w:pPr>
              <w:jc w:val="center"/>
              <w:rPr>
                <w:rFonts w:hint="eastAsia"/>
                <w:color w:val="0C0C0C"/>
                <w:highlight w:val="none"/>
                <w:lang w:val="en-US" w:eastAsia="zh-CN"/>
              </w:rPr>
            </w:pPr>
            <w:r>
              <w:rPr>
                <w:rFonts w:hint="eastAsia"/>
                <w:color w:val="0C0C0C"/>
                <w:highlight w:val="none"/>
                <w:lang w:val="en-US" w:eastAsia="zh-CN"/>
              </w:rPr>
              <w:t>3200</w:t>
            </w:r>
          </w:p>
        </w:tc>
        <w:tc>
          <w:tcPr>
            <w:tcW w:w="1531" w:type="pct"/>
            <w:noWrap w:val="0"/>
            <w:tcMar>
              <w:top w:w="120" w:type="dxa"/>
              <w:left w:w="120" w:type="dxa"/>
              <w:bottom w:w="120" w:type="dxa"/>
              <w:right w:w="120" w:type="dxa"/>
            </w:tcMar>
            <w:vAlign w:val="center"/>
          </w:tcPr>
          <w:p w14:paraId="6A0FF4F5">
            <w:pPr>
              <w:jc w:val="center"/>
              <w:rPr>
                <w:rFonts w:hint="eastAsia"/>
                <w:color w:val="0C0C0C"/>
                <w:highlight w:val="none"/>
                <w:lang w:val="en-US" w:eastAsia="zh-CN"/>
              </w:rPr>
            </w:pPr>
            <w:r>
              <w:rPr>
                <w:rFonts w:hint="eastAsia"/>
                <w:color w:val="0C0C0C"/>
                <w:highlight w:val="none"/>
                <w:lang w:val="en-US" w:eastAsia="zh-CN"/>
              </w:rPr>
              <w:t>+30</w:t>
            </w:r>
          </w:p>
        </w:tc>
      </w:tr>
      <w:tr w14:paraId="72865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744BB6B1">
            <w:pPr>
              <w:jc w:val="center"/>
              <w:rPr>
                <w:rFonts w:hint="eastAsia"/>
                <w:highlight w:val="none"/>
                <w:lang w:val="en-US" w:eastAsia="zh-CN"/>
              </w:rPr>
            </w:pPr>
            <w:r>
              <w:rPr>
                <w:rFonts w:hint="eastAsia"/>
                <w:highlight w:val="none"/>
                <w:lang w:val="en-US" w:eastAsia="zh-CN"/>
              </w:rPr>
              <w:t>侧墙高度</w:t>
            </w:r>
          </w:p>
        </w:tc>
        <w:tc>
          <w:tcPr>
            <w:tcW w:w="1579" w:type="pct"/>
            <w:noWrap w:val="0"/>
            <w:tcMar>
              <w:top w:w="120" w:type="dxa"/>
              <w:left w:w="120" w:type="dxa"/>
              <w:bottom w:w="120" w:type="dxa"/>
              <w:right w:w="120" w:type="dxa"/>
            </w:tcMar>
            <w:vAlign w:val="center"/>
          </w:tcPr>
          <w:p w14:paraId="271B5E73">
            <w:pPr>
              <w:jc w:val="center"/>
              <w:rPr>
                <w:rFonts w:hint="eastAsia"/>
                <w:color w:val="0C0C0C"/>
                <w:highlight w:val="none"/>
                <w:lang w:val="en-US" w:eastAsia="zh-CN"/>
              </w:rPr>
            </w:pPr>
            <w:r>
              <w:rPr>
                <w:rFonts w:hint="eastAsia"/>
                <w:color w:val="0C0C0C"/>
                <w:highlight w:val="none"/>
                <w:lang w:val="en-US" w:eastAsia="zh-CN"/>
              </w:rPr>
              <w:t>1750</w:t>
            </w:r>
          </w:p>
        </w:tc>
        <w:tc>
          <w:tcPr>
            <w:tcW w:w="1531" w:type="pct"/>
            <w:noWrap w:val="0"/>
            <w:tcMar>
              <w:top w:w="120" w:type="dxa"/>
              <w:left w:w="120" w:type="dxa"/>
              <w:bottom w:w="120" w:type="dxa"/>
              <w:right w:w="120" w:type="dxa"/>
            </w:tcMar>
            <w:vAlign w:val="center"/>
          </w:tcPr>
          <w:p w14:paraId="30E341D7">
            <w:pPr>
              <w:jc w:val="center"/>
              <w:rPr>
                <w:rFonts w:hint="eastAsia"/>
                <w:color w:val="0C0C0C"/>
                <w:highlight w:val="none"/>
                <w:lang w:val="en-US" w:eastAsia="zh-CN"/>
              </w:rPr>
            </w:pPr>
            <w:r>
              <w:rPr>
                <w:rFonts w:hint="eastAsia"/>
                <w:color w:val="0C0C0C"/>
                <w:highlight w:val="none"/>
                <w:lang w:val="en-US" w:eastAsia="zh-CN"/>
              </w:rPr>
              <w:t>+20</w:t>
            </w:r>
          </w:p>
        </w:tc>
      </w:tr>
      <w:tr w14:paraId="70E7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16B5D2B2">
            <w:pPr>
              <w:jc w:val="center"/>
              <w:rPr>
                <w:rFonts w:hint="eastAsia"/>
                <w:highlight w:val="none"/>
                <w:lang w:val="en-US" w:eastAsia="zh-CN"/>
              </w:rPr>
            </w:pPr>
            <w:r>
              <w:rPr>
                <w:rFonts w:hint="eastAsia"/>
                <w:highlight w:val="none"/>
                <w:lang w:val="en-US" w:eastAsia="zh-CN"/>
              </w:rPr>
              <w:t>脊顶高</w:t>
            </w:r>
          </w:p>
        </w:tc>
        <w:tc>
          <w:tcPr>
            <w:tcW w:w="1579" w:type="pct"/>
            <w:noWrap w:val="0"/>
            <w:tcMar>
              <w:top w:w="120" w:type="dxa"/>
              <w:left w:w="120" w:type="dxa"/>
              <w:bottom w:w="120" w:type="dxa"/>
              <w:right w:w="120" w:type="dxa"/>
            </w:tcMar>
            <w:vAlign w:val="center"/>
          </w:tcPr>
          <w:p w14:paraId="092E623F">
            <w:pPr>
              <w:jc w:val="center"/>
              <w:rPr>
                <w:rFonts w:hint="eastAsia"/>
                <w:color w:val="0C0C0C"/>
                <w:highlight w:val="none"/>
                <w:lang w:val="en-US" w:eastAsia="zh-CN"/>
              </w:rPr>
            </w:pPr>
            <w:r>
              <w:rPr>
                <w:rFonts w:hint="eastAsia"/>
                <w:color w:val="0C0C0C"/>
                <w:highlight w:val="none"/>
                <w:lang w:val="en-US" w:eastAsia="zh-CN"/>
              </w:rPr>
              <w:t>2670</w:t>
            </w:r>
          </w:p>
        </w:tc>
        <w:tc>
          <w:tcPr>
            <w:tcW w:w="1531" w:type="pct"/>
            <w:noWrap w:val="0"/>
            <w:tcMar>
              <w:top w:w="120" w:type="dxa"/>
              <w:left w:w="120" w:type="dxa"/>
              <w:bottom w:w="120" w:type="dxa"/>
              <w:right w:w="120" w:type="dxa"/>
            </w:tcMar>
            <w:vAlign w:val="center"/>
          </w:tcPr>
          <w:p w14:paraId="54AB3736">
            <w:pPr>
              <w:jc w:val="center"/>
              <w:rPr>
                <w:rFonts w:hint="eastAsia"/>
                <w:color w:val="0C0C0C"/>
                <w:highlight w:val="none"/>
                <w:lang w:val="en-US" w:eastAsia="zh-CN"/>
              </w:rPr>
            </w:pPr>
            <w:r>
              <w:rPr>
                <w:rFonts w:hint="eastAsia"/>
                <w:color w:val="0C0C0C"/>
                <w:highlight w:val="none"/>
                <w:lang w:val="en-US" w:eastAsia="zh-CN"/>
              </w:rPr>
              <w:t>+20</w:t>
            </w:r>
          </w:p>
        </w:tc>
      </w:tr>
      <w:tr w14:paraId="4B5F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3B7B6929">
            <w:pPr>
              <w:jc w:val="center"/>
              <w:rPr>
                <w:rFonts w:hint="eastAsia"/>
                <w:highlight w:val="none"/>
                <w:lang w:val="en-US" w:eastAsia="zh-CN"/>
              </w:rPr>
            </w:pPr>
            <w:r>
              <w:rPr>
                <w:rFonts w:hint="eastAsia"/>
                <w:highlight w:val="none"/>
                <w:lang w:val="en-US" w:eastAsia="zh-CN"/>
              </w:rPr>
              <w:t>篷顶沿宽度</w:t>
            </w:r>
          </w:p>
        </w:tc>
        <w:tc>
          <w:tcPr>
            <w:tcW w:w="1579" w:type="pct"/>
            <w:noWrap w:val="0"/>
            <w:tcMar>
              <w:top w:w="120" w:type="dxa"/>
              <w:left w:w="120" w:type="dxa"/>
              <w:bottom w:w="120" w:type="dxa"/>
              <w:right w:w="120" w:type="dxa"/>
            </w:tcMar>
            <w:vAlign w:val="center"/>
          </w:tcPr>
          <w:p w14:paraId="238FCF92">
            <w:pPr>
              <w:jc w:val="center"/>
              <w:rPr>
                <w:rFonts w:hint="default"/>
                <w:color w:val="0C0C0C"/>
                <w:highlight w:val="none"/>
                <w:lang w:val="en-US" w:eastAsia="zh-CN"/>
              </w:rPr>
            </w:pPr>
            <w:r>
              <w:rPr>
                <w:rFonts w:hint="eastAsia"/>
                <w:color w:val="0C0C0C"/>
                <w:highlight w:val="none"/>
                <w:lang w:val="en-US" w:eastAsia="zh-CN"/>
              </w:rPr>
              <w:t>100</w:t>
            </w:r>
          </w:p>
        </w:tc>
        <w:tc>
          <w:tcPr>
            <w:tcW w:w="1531" w:type="pct"/>
            <w:noWrap w:val="0"/>
            <w:tcMar>
              <w:top w:w="120" w:type="dxa"/>
              <w:left w:w="120" w:type="dxa"/>
              <w:bottom w:w="120" w:type="dxa"/>
              <w:right w:w="120" w:type="dxa"/>
            </w:tcMar>
            <w:vAlign w:val="center"/>
          </w:tcPr>
          <w:p w14:paraId="7D05F622">
            <w:pPr>
              <w:jc w:val="center"/>
              <w:rPr>
                <w:rFonts w:hint="default"/>
                <w:color w:val="0C0C0C"/>
                <w:highlight w:val="none"/>
                <w:lang w:val="en-US" w:eastAsia="zh-CN"/>
              </w:rPr>
            </w:pPr>
            <w:r>
              <w:rPr>
                <w:rFonts w:hint="eastAsia"/>
                <w:color w:val="0C0C0C"/>
                <w:highlight w:val="none"/>
                <w:lang w:val="en-US" w:eastAsia="zh-CN"/>
              </w:rPr>
              <w:t>±5</w:t>
            </w:r>
          </w:p>
        </w:tc>
      </w:tr>
      <w:tr w14:paraId="26E48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4B31EE9B">
            <w:pPr>
              <w:jc w:val="center"/>
              <w:rPr>
                <w:rFonts w:hint="eastAsia"/>
                <w:highlight w:val="none"/>
                <w:lang w:val="en-US" w:eastAsia="zh-CN"/>
              </w:rPr>
            </w:pPr>
            <w:r>
              <w:rPr>
                <w:rFonts w:hint="eastAsia"/>
                <w:highlight w:val="none"/>
                <w:lang w:val="en-US" w:eastAsia="zh-CN"/>
              </w:rPr>
              <w:t>门口高度</w:t>
            </w:r>
          </w:p>
        </w:tc>
        <w:tc>
          <w:tcPr>
            <w:tcW w:w="1579" w:type="pct"/>
            <w:noWrap w:val="0"/>
            <w:tcMar>
              <w:top w:w="120" w:type="dxa"/>
              <w:left w:w="120" w:type="dxa"/>
              <w:bottom w:w="120" w:type="dxa"/>
              <w:right w:w="120" w:type="dxa"/>
            </w:tcMar>
            <w:vAlign w:val="center"/>
          </w:tcPr>
          <w:p w14:paraId="66949457">
            <w:pPr>
              <w:jc w:val="center"/>
              <w:rPr>
                <w:rFonts w:hint="eastAsia"/>
                <w:color w:val="0C0C0C"/>
                <w:highlight w:val="none"/>
                <w:lang w:val="en-US" w:eastAsia="zh-CN"/>
              </w:rPr>
            </w:pPr>
            <w:r>
              <w:rPr>
                <w:rFonts w:hint="eastAsia"/>
                <w:color w:val="0C0C0C"/>
                <w:highlight w:val="none"/>
                <w:lang w:val="en-US" w:eastAsia="zh-CN"/>
              </w:rPr>
              <w:t>1800</w:t>
            </w:r>
          </w:p>
        </w:tc>
        <w:tc>
          <w:tcPr>
            <w:tcW w:w="1531" w:type="pct"/>
            <w:noWrap w:val="0"/>
            <w:tcMar>
              <w:top w:w="120" w:type="dxa"/>
              <w:left w:w="120" w:type="dxa"/>
              <w:bottom w:w="120" w:type="dxa"/>
              <w:right w:w="120" w:type="dxa"/>
            </w:tcMar>
            <w:vAlign w:val="center"/>
          </w:tcPr>
          <w:p w14:paraId="35092808">
            <w:pPr>
              <w:jc w:val="center"/>
              <w:rPr>
                <w:rFonts w:hint="eastAsia"/>
                <w:color w:val="0C0C0C"/>
                <w:highlight w:val="none"/>
                <w:lang w:val="en-US" w:eastAsia="zh-CN"/>
              </w:rPr>
            </w:pPr>
            <w:r>
              <w:rPr>
                <w:rFonts w:hint="eastAsia"/>
                <w:color w:val="0C0C0C"/>
                <w:highlight w:val="none"/>
                <w:lang w:val="en-US" w:eastAsia="zh-CN"/>
              </w:rPr>
              <w:t>±20</w:t>
            </w:r>
          </w:p>
        </w:tc>
      </w:tr>
      <w:tr w14:paraId="4404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3FBFB3E7">
            <w:pPr>
              <w:jc w:val="center"/>
              <w:rPr>
                <w:rFonts w:hint="eastAsia"/>
                <w:highlight w:val="none"/>
                <w:lang w:val="en-US" w:eastAsia="zh-CN"/>
              </w:rPr>
            </w:pPr>
            <w:r>
              <w:rPr>
                <w:rFonts w:hint="eastAsia"/>
                <w:highlight w:val="none"/>
                <w:lang w:val="en-US" w:eastAsia="zh-CN"/>
              </w:rPr>
              <w:t>门口宽度</w:t>
            </w:r>
          </w:p>
        </w:tc>
        <w:tc>
          <w:tcPr>
            <w:tcW w:w="1579" w:type="pct"/>
            <w:noWrap w:val="0"/>
            <w:tcMar>
              <w:top w:w="120" w:type="dxa"/>
              <w:left w:w="120" w:type="dxa"/>
              <w:bottom w:w="120" w:type="dxa"/>
              <w:right w:w="120" w:type="dxa"/>
            </w:tcMar>
            <w:vAlign w:val="center"/>
          </w:tcPr>
          <w:p w14:paraId="27F5051E">
            <w:pPr>
              <w:jc w:val="center"/>
              <w:rPr>
                <w:rFonts w:hint="eastAsia"/>
                <w:color w:val="0C0C0C"/>
                <w:highlight w:val="none"/>
                <w:lang w:val="en-US" w:eastAsia="zh-CN"/>
              </w:rPr>
            </w:pPr>
            <w:r>
              <w:rPr>
                <w:rFonts w:hint="eastAsia"/>
                <w:color w:val="0C0C0C"/>
                <w:highlight w:val="none"/>
                <w:lang w:val="en-US" w:eastAsia="zh-CN"/>
              </w:rPr>
              <w:t>800</w:t>
            </w:r>
          </w:p>
        </w:tc>
        <w:tc>
          <w:tcPr>
            <w:tcW w:w="1531" w:type="pct"/>
            <w:noWrap w:val="0"/>
            <w:tcMar>
              <w:top w:w="120" w:type="dxa"/>
              <w:left w:w="120" w:type="dxa"/>
              <w:bottom w:w="120" w:type="dxa"/>
              <w:right w:w="120" w:type="dxa"/>
            </w:tcMar>
            <w:vAlign w:val="center"/>
          </w:tcPr>
          <w:p w14:paraId="632E3370">
            <w:pPr>
              <w:jc w:val="center"/>
              <w:rPr>
                <w:rFonts w:hint="eastAsia"/>
                <w:color w:val="0C0C0C"/>
                <w:highlight w:val="none"/>
                <w:lang w:val="en-US" w:eastAsia="zh-CN"/>
              </w:rPr>
            </w:pPr>
            <w:r>
              <w:rPr>
                <w:rFonts w:hint="eastAsia"/>
                <w:color w:val="0C0C0C"/>
                <w:highlight w:val="none"/>
                <w:lang w:val="en-US" w:eastAsia="zh-CN"/>
              </w:rPr>
              <w:t>±10</w:t>
            </w:r>
          </w:p>
        </w:tc>
      </w:tr>
      <w:tr w14:paraId="311A3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5141F17F">
            <w:pPr>
              <w:jc w:val="center"/>
              <w:rPr>
                <w:rFonts w:hint="eastAsia"/>
                <w:highlight w:val="none"/>
                <w:lang w:val="en-US" w:eastAsia="zh-CN"/>
              </w:rPr>
            </w:pPr>
            <w:r>
              <w:rPr>
                <w:rFonts w:hint="eastAsia"/>
                <w:highlight w:val="none"/>
                <w:lang w:val="en-US" w:eastAsia="zh-CN"/>
              </w:rPr>
              <w:t>门帘高度</w:t>
            </w:r>
          </w:p>
        </w:tc>
        <w:tc>
          <w:tcPr>
            <w:tcW w:w="1579" w:type="pct"/>
            <w:noWrap w:val="0"/>
            <w:tcMar>
              <w:top w:w="120" w:type="dxa"/>
              <w:left w:w="120" w:type="dxa"/>
              <w:bottom w:w="120" w:type="dxa"/>
              <w:right w:w="120" w:type="dxa"/>
            </w:tcMar>
            <w:vAlign w:val="center"/>
          </w:tcPr>
          <w:p w14:paraId="2362172D">
            <w:pPr>
              <w:jc w:val="center"/>
              <w:rPr>
                <w:rFonts w:hint="eastAsia"/>
                <w:color w:val="0C0C0C"/>
                <w:highlight w:val="none"/>
                <w:lang w:val="en-US" w:eastAsia="zh-CN"/>
              </w:rPr>
            </w:pPr>
            <w:r>
              <w:rPr>
                <w:rFonts w:hint="eastAsia"/>
                <w:color w:val="0C0C0C"/>
                <w:highlight w:val="none"/>
                <w:lang w:val="en-US" w:eastAsia="zh-CN"/>
              </w:rPr>
              <w:t>1900</w:t>
            </w:r>
          </w:p>
        </w:tc>
        <w:tc>
          <w:tcPr>
            <w:tcW w:w="1531" w:type="pct"/>
            <w:noWrap w:val="0"/>
            <w:tcMar>
              <w:top w:w="120" w:type="dxa"/>
              <w:left w:w="120" w:type="dxa"/>
              <w:bottom w:w="120" w:type="dxa"/>
              <w:right w:w="120" w:type="dxa"/>
            </w:tcMar>
            <w:vAlign w:val="center"/>
          </w:tcPr>
          <w:p w14:paraId="1BBD5E0C">
            <w:pPr>
              <w:jc w:val="center"/>
              <w:rPr>
                <w:rFonts w:hint="eastAsia"/>
                <w:color w:val="0C0C0C"/>
                <w:highlight w:val="none"/>
                <w:lang w:val="en-US" w:eastAsia="zh-CN"/>
              </w:rPr>
            </w:pPr>
            <w:r>
              <w:rPr>
                <w:rFonts w:hint="eastAsia"/>
                <w:color w:val="0C0C0C"/>
                <w:highlight w:val="none"/>
                <w:lang w:val="en-US" w:eastAsia="zh-CN"/>
              </w:rPr>
              <w:t>±20</w:t>
            </w:r>
          </w:p>
        </w:tc>
      </w:tr>
      <w:tr w14:paraId="58C3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14BB13E1">
            <w:pPr>
              <w:jc w:val="center"/>
              <w:rPr>
                <w:rFonts w:hint="eastAsia"/>
                <w:highlight w:val="none"/>
                <w:lang w:val="en-US" w:eastAsia="zh-CN"/>
              </w:rPr>
            </w:pPr>
            <w:r>
              <w:rPr>
                <w:rFonts w:hint="eastAsia"/>
                <w:highlight w:val="none"/>
                <w:lang w:val="en-US" w:eastAsia="zh-CN"/>
              </w:rPr>
              <w:t>门帘宽度</w:t>
            </w:r>
          </w:p>
        </w:tc>
        <w:tc>
          <w:tcPr>
            <w:tcW w:w="1579" w:type="pct"/>
            <w:noWrap w:val="0"/>
            <w:tcMar>
              <w:top w:w="120" w:type="dxa"/>
              <w:left w:w="120" w:type="dxa"/>
              <w:bottom w:w="120" w:type="dxa"/>
              <w:right w:w="120" w:type="dxa"/>
            </w:tcMar>
            <w:vAlign w:val="center"/>
          </w:tcPr>
          <w:p w14:paraId="3ACFB9FD">
            <w:pPr>
              <w:jc w:val="center"/>
              <w:rPr>
                <w:rFonts w:hint="default"/>
                <w:color w:val="0C0C0C"/>
                <w:highlight w:val="none"/>
                <w:lang w:val="en-US" w:eastAsia="zh-CN"/>
              </w:rPr>
            </w:pPr>
            <w:r>
              <w:rPr>
                <w:rFonts w:hint="eastAsia"/>
                <w:color w:val="0C0C0C"/>
                <w:highlight w:val="none"/>
                <w:lang w:val="en-US" w:eastAsia="zh-CN"/>
              </w:rPr>
              <w:t>1040</w:t>
            </w:r>
          </w:p>
        </w:tc>
        <w:tc>
          <w:tcPr>
            <w:tcW w:w="1531" w:type="pct"/>
            <w:noWrap w:val="0"/>
            <w:tcMar>
              <w:top w:w="120" w:type="dxa"/>
              <w:left w:w="120" w:type="dxa"/>
              <w:bottom w:w="120" w:type="dxa"/>
              <w:right w:w="120" w:type="dxa"/>
            </w:tcMar>
            <w:vAlign w:val="center"/>
          </w:tcPr>
          <w:p w14:paraId="637C468A">
            <w:pPr>
              <w:jc w:val="center"/>
              <w:rPr>
                <w:rFonts w:hint="eastAsia"/>
                <w:color w:val="0C0C0C"/>
                <w:highlight w:val="none"/>
                <w:lang w:val="en-US" w:eastAsia="zh-CN"/>
              </w:rPr>
            </w:pPr>
            <w:r>
              <w:rPr>
                <w:rFonts w:hint="eastAsia"/>
                <w:color w:val="0C0C0C"/>
                <w:highlight w:val="none"/>
                <w:lang w:val="en-US" w:eastAsia="zh-CN"/>
              </w:rPr>
              <w:t>±20</w:t>
            </w:r>
          </w:p>
        </w:tc>
      </w:tr>
      <w:tr w14:paraId="30C15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45A684F3">
            <w:pPr>
              <w:jc w:val="center"/>
              <w:rPr>
                <w:rFonts w:hint="eastAsia"/>
                <w:highlight w:val="none"/>
                <w:lang w:val="en-US" w:eastAsia="zh-CN"/>
              </w:rPr>
            </w:pPr>
            <w:r>
              <w:rPr>
                <w:rFonts w:hint="eastAsia"/>
                <w:highlight w:val="none"/>
                <w:lang w:val="en-US" w:eastAsia="zh-CN"/>
              </w:rPr>
              <w:t>窗口高度</w:t>
            </w:r>
          </w:p>
        </w:tc>
        <w:tc>
          <w:tcPr>
            <w:tcW w:w="1579" w:type="pct"/>
            <w:noWrap w:val="0"/>
            <w:tcMar>
              <w:top w:w="120" w:type="dxa"/>
              <w:left w:w="120" w:type="dxa"/>
              <w:bottom w:w="120" w:type="dxa"/>
              <w:right w:w="120" w:type="dxa"/>
            </w:tcMar>
            <w:vAlign w:val="center"/>
          </w:tcPr>
          <w:p w14:paraId="5544CC91">
            <w:pPr>
              <w:jc w:val="center"/>
              <w:rPr>
                <w:rFonts w:hint="eastAsia"/>
                <w:color w:val="0C0C0C"/>
                <w:highlight w:val="none"/>
                <w:lang w:val="en-US" w:eastAsia="zh-CN"/>
              </w:rPr>
            </w:pPr>
            <w:r>
              <w:rPr>
                <w:rFonts w:hint="eastAsia"/>
                <w:color w:val="0C0C0C"/>
                <w:highlight w:val="none"/>
                <w:lang w:val="en-US" w:eastAsia="zh-CN"/>
              </w:rPr>
              <w:t>810</w:t>
            </w:r>
          </w:p>
        </w:tc>
        <w:tc>
          <w:tcPr>
            <w:tcW w:w="1531" w:type="pct"/>
            <w:noWrap w:val="0"/>
            <w:tcMar>
              <w:top w:w="120" w:type="dxa"/>
              <w:left w:w="120" w:type="dxa"/>
              <w:bottom w:w="120" w:type="dxa"/>
              <w:right w:w="120" w:type="dxa"/>
            </w:tcMar>
            <w:vAlign w:val="center"/>
          </w:tcPr>
          <w:p w14:paraId="705F1857">
            <w:pPr>
              <w:jc w:val="center"/>
              <w:rPr>
                <w:rFonts w:hint="eastAsia"/>
                <w:color w:val="0C0C0C"/>
                <w:highlight w:val="none"/>
                <w:lang w:val="en-US" w:eastAsia="zh-CN"/>
              </w:rPr>
            </w:pPr>
            <w:r>
              <w:rPr>
                <w:rFonts w:hint="eastAsia"/>
                <w:color w:val="0C0C0C"/>
                <w:highlight w:val="none"/>
                <w:lang w:val="en-US" w:eastAsia="zh-CN"/>
              </w:rPr>
              <w:t>±10</w:t>
            </w:r>
          </w:p>
        </w:tc>
      </w:tr>
      <w:tr w14:paraId="05D02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4A6F2F54">
            <w:pPr>
              <w:jc w:val="center"/>
              <w:rPr>
                <w:rFonts w:hint="eastAsia"/>
                <w:highlight w:val="none"/>
                <w:lang w:val="en-US" w:eastAsia="zh-CN"/>
              </w:rPr>
            </w:pPr>
            <w:r>
              <w:rPr>
                <w:rFonts w:hint="eastAsia"/>
                <w:highlight w:val="none"/>
                <w:lang w:val="en-US" w:eastAsia="zh-CN"/>
              </w:rPr>
              <w:t>窗口宽度</w:t>
            </w:r>
          </w:p>
        </w:tc>
        <w:tc>
          <w:tcPr>
            <w:tcW w:w="1579" w:type="pct"/>
            <w:noWrap w:val="0"/>
            <w:tcMar>
              <w:top w:w="120" w:type="dxa"/>
              <w:left w:w="120" w:type="dxa"/>
              <w:bottom w:w="120" w:type="dxa"/>
              <w:right w:w="120" w:type="dxa"/>
            </w:tcMar>
            <w:vAlign w:val="center"/>
          </w:tcPr>
          <w:p w14:paraId="3CCB725B">
            <w:pPr>
              <w:jc w:val="center"/>
              <w:rPr>
                <w:rFonts w:hint="eastAsia"/>
                <w:color w:val="0C0C0C"/>
                <w:highlight w:val="none"/>
                <w:lang w:val="en-US" w:eastAsia="zh-CN"/>
              </w:rPr>
            </w:pPr>
            <w:r>
              <w:rPr>
                <w:rFonts w:hint="eastAsia"/>
                <w:color w:val="0C0C0C"/>
                <w:highlight w:val="none"/>
                <w:lang w:val="en-US" w:eastAsia="zh-CN"/>
              </w:rPr>
              <w:t>1100</w:t>
            </w:r>
          </w:p>
        </w:tc>
        <w:tc>
          <w:tcPr>
            <w:tcW w:w="1531" w:type="pct"/>
            <w:noWrap w:val="0"/>
            <w:tcMar>
              <w:top w:w="120" w:type="dxa"/>
              <w:left w:w="120" w:type="dxa"/>
              <w:bottom w:w="120" w:type="dxa"/>
              <w:right w:w="120" w:type="dxa"/>
            </w:tcMar>
            <w:vAlign w:val="center"/>
          </w:tcPr>
          <w:p w14:paraId="30DB832B">
            <w:pPr>
              <w:jc w:val="center"/>
              <w:rPr>
                <w:rFonts w:hint="eastAsia"/>
                <w:color w:val="0C0C0C"/>
                <w:highlight w:val="none"/>
                <w:lang w:val="en-US" w:eastAsia="zh-CN"/>
              </w:rPr>
            </w:pPr>
            <w:r>
              <w:rPr>
                <w:rFonts w:hint="eastAsia"/>
                <w:color w:val="0C0C0C"/>
                <w:highlight w:val="none"/>
                <w:lang w:val="en-US" w:eastAsia="zh-CN"/>
              </w:rPr>
              <w:t>±20</w:t>
            </w:r>
          </w:p>
        </w:tc>
      </w:tr>
      <w:tr w14:paraId="0E41C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0647E2B4">
            <w:pPr>
              <w:jc w:val="center"/>
              <w:rPr>
                <w:rFonts w:hint="eastAsia"/>
                <w:highlight w:val="none"/>
                <w:lang w:val="en-US" w:eastAsia="zh-CN"/>
              </w:rPr>
            </w:pPr>
            <w:r>
              <w:rPr>
                <w:rFonts w:hint="eastAsia"/>
                <w:highlight w:val="none"/>
                <w:lang w:val="en-US" w:eastAsia="zh-CN"/>
              </w:rPr>
              <w:t>窗帘高度</w:t>
            </w:r>
          </w:p>
        </w:tc>
        <w:tc>
          <w:tcPr>
            <w:tcW w:w="1579" w:type="pct"/>
            <w:noWrap w:val="0"/>
            <w:tcMar>
              <w:top w:w="120" w:type="dxa"/>
              <w:left w:w="120" w:type="dxa"/>
              <w:bottom w:w="120" w:type="dxa"/>
              <w:right w:w="120" w:type="dxa"/>
            </w:tcMar>
            <w:vAlign w:val="center"/>
          </w:tcPr>
          <w:p w14:paraId="64938834">
            <w:pPr>
              <w:jc w:val="center"/>
              <w:rPr>
                <w:rFonts w:hint="default"/>
                <w:color w:val="0C0C0C"/>
                <w:highlight w:val="none"/>
                <w:lang w:val="en-US" w:eastAsia="zh-CN"/>
              </w:rPr>
            </w:pPr>
            <w:r>
              <w:rPr>
                <w:rFonts w:hint="eastAsia"/>
                <w:color w:val="0C0C0C"/>
                <w:highlight w:val="none"/>
                <w:lang w:val="en-US" w:eastAsia="zh-CN"/>
              </w:rPr>
              <w:t>915</w:t>
            </w:r>
          </w:p>
        </w:tc>
        <w:tc>
          <w:tcPr>
            <w:tcW w:w="1531" w:type="pct"/>
            <w:noWrap w:val="0"/>
            <w:tcMar>
              <w:top w:w="120" w:type="dxa"/>
              <w:left w:w="120" w:type="dxa"/>
              <w:bottom w:w="120" w:type="dxa"/>
              <w:right w:w="120" w:type="dxa"/>
            </w:tcMar>
            <w:vAlign w:val="center"/>
          </w:tcPr>
          <w:p w14:paraId="038400E1">
            <w:pPr>
              <w:jc w:val="center"/>
              <w:rPr>
                <w:rFonts w:hint="eastAsia"/>
                <w:color w:val="0C0C0C"/>
                <w:highlight w:val="none"/>
                <w:lang w:val="en-US" w:eastAsia="zh-CN"/>
              </w:rPr>
            </w:pPr>
            <w:r>
              <w:rPr>
                <w:rFonts w:hint="eastAsia"/>
                <w:color w:val="0C0C0C"/>
                <w:highlight w:val="none"/>
                <w:lang w:val="en-US" w:eastAsia="zh-CN"/>
              </w:rPr>
              <w:t>±20</w:t>
            </w:r>
          </w:p>
        </w:tc>
      </w:tr>
      <w:tr w14:paraId="6929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0284B5F2">
            <w:pPr>
              <w:jc w:val="center"/>
              <w:rPr>
                <w:rFonts w:hint="eastAsia"/>
                <w:highlight w:val="none"/>
                <w:lang w:val="en-US" w:eastAsia="zh-CN"/>
              </w:rPr>
            </w:pPr>
            <w:r>
              <w:rPr>
                <w:rFonts w:hint="eastAsia"/>
                <w:highlight w:val="none"/>
                <w:lang w:val="en-US" w:eastAsia="zh-CN"/>
              </w:rPr>
              <w:t>窗帘宽度</w:t>
            </w:r>
          </w:p>
        </w:tc>
        <w:tc>
          <w:tcPr>
            <w:tcW w:w="1579" w:type="pct"/>
            <w:noWrap w:val="0"/>
            <w:tcMar>
              <w:top w:w="120" w:type="dxa"/>
              <w:left w:w="120" w:type="dxa"/>
              <w:bottom w:w="120" w:type="dxa"/>
              <w:right w:w="120" w:type="dxa"/>
            </w:tcMar>
            <w:vAlign w:val="center"/>
          </w:tcPr>
          <w:p w14:paraId="12B1D0C5">
            <w:pPr>
              <w:jc w:val="center"/>
              <w:rPr>
                <w:rFonts w:hint="default"/>
                <w:color w:val="0C0C0C"/>
                <w:highlight w:val="none"/>
                <w:lang w:val="en-US" w:eastAsia="zh-CN"/>
              </w:rPr>
            </w:pPr>
            <w:r>
              <w:rPr>
                <w:rFonts w:hint="eastAsia"/>
                <w:color w:val="0C0C0C"/>
                <w:highlight w:val="none"/>
                <w:lang w:val="en-US" w:eastAsia="zh-CN"/>
              </w:rPr>
              <w:t>1220</w:t>
            </w:r>
          </w:p>
        </w:tc>
        <w:tc>
          <w:tcPr>
            <w:tcW w:w="1531" w:type="pct"/>
            <w:noWrap w:val="0"/>
            <w:tcMar>
              <w:top w:w="120" w:type="dxa"/>
              <w:left w:w="120" w:type="dxa"/>
              <w:bottom w:w="120" w:type="dxa"/>
              <w:right w:w="120" w:type="dxa"/>
            </w:tcMar>
            <w:vAlign w:val="center"/>
          </w:tcPr>
          <w:p w14:paraId="2C4CC67C">
            <w:pPr>
              <w:jc w:val="center"/>
              <w:rPr>
                <w:rFonts w:hint="eastAsia"/>
                <w:color w:val="0C0C0C"/>
                <w:highlight w:val="none"/>
                <w:lang w:val="en-US" w:eastAsia="zh-CN"/>
              </w:rPr>
            </w:pPr>
            <w:r>
              <w:rPr>
                <w:rFonts w:hint="eastAsia"/>
                <w:color w:val="0C0C0C"/>
                <w:highlight w:val="none"/>
                <w:lang w:val="en-US" w:eastAsia="zh-CN"/>
              </w:rPr>
              <w:t>±20</w:t>
            </w:r>
          </w:p>
        </w:tc>
      </w:tr>
      <w:tr w14:paraId="26D78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74CBEB0F">
            <w:pPr>
              <w:jc w:val="center"/>
              <w:rPr>
                <w:rFonts w:hint="eastAsia"/>
                <w:highlight w:val="none"/>
                <w:lang w:val="en-US" w:eastAsia="zh-CN"/>
              </w:rPr>
            </w:pPr>
            <w:r>
              <w:rPr>
                <w:rFonts w:hint="eastAsia"/>
                <w:highlight w:val="none"/>
                <w:lang w:val="en-US" w:eastAsia="zh-CN"/>
              </w:rPr>
              <w:t>窗口下边距地面高度</w:t>
            </w:r>
          </w:p>
        </w:tc>
        <w:tc>
          <w:tcPr>
            <w:tcW w:w="1579" w:type="pct"/>
            <w:noWrap w:val="0"/>
            <w:tcMar>
              <w:top w:w="120" w:type="dxa"/>
              <w:left w:w="120" w:type="dxa"/>
              <w:bottom w:w="120" w:type="dxa"/>
              <w:right w:w="120" w:type="dxa"/>
            </w:tcMar>
            <w:vAlign w:val="center"/>
          </w:tcPr>
          <w:p w14:paraId="60734AC3">
            <w:pPr>
              <w:jc w:val="center"/>
              <w:rPr>
                <w:rFonts w:hint="eastAsia"/>
                <w:color w:val="0C0C0C"/>
                <w:highlight w:val="none"/>
                <w:lang w:val="en-US" w:eastAsia="zh-CN"/>
              </w:rPr>
            </w:pPr>
            <w:r>
              <w:rPr>
                <w:rFonts w:hint="eastAsia"/>
                <w:color w:val="0C0C0C"/>
                <w:highlight w:val="none"/>
                <w:lang w:val="en-US" w:eastAsia="zh-CN"/>
              </w:rPr>
              <w:t>750</w:t>
            </w:r>
          </w:p>
        </w:tc>
        <w:tc>
          <w:tcPr>
            <w:tcW w:w="1531" w:type="pct"/>
            <w:noWrap w:val="0"/>
            <w:tcMar>
              <w:top w:w="120" w:type="dxa"/>
              <w:left w:w="120" w:type="dxa"/>
              <w:bottom w:w="120" w:type="dxa"/>
              <w:right w:w="120" w:type="dxa"/>
            </w:tcMar>
            <w:vAlign w:val="center"/>
          </w:tcPr>
          <w:p w14:paraId="15C52E26">
            <w:pPr>
              <w:jc w:val="center"/>
              <w:rPr>
                <w:rFonts w:hint="eastAsia"/>
                <w:color w:val="0C0C0C"/>
                <w:highlight w:val="none"/>
                <w:lang w:val="en-US" w:eastAsia="zh-CN"/>
              </w:rPr>
            </w:pPr>
            <w:r>
              <w:rPr>
                <w:rFonts w:hint="eastAsia"/>
                <w:color w:val="0C0C0C"/>
                <w:highlight w:val="none"/>
                <w:lang w:val="en-US" w:eastAsia="zh-CN"/>
              </w:rPr>
              <w:t>±20</w:t>
            </w:r>
          </w:p>
        </w:tc>
      </w:tr>
      <w:tr w14:paraId="495A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5832F973">
            <w:pPr>
              <w:jc w:val="center"/>
              <w:rPr>
                <w:rFonts w:hint="eastAsia"/>
                <w:highlight w:val="none"/>
                <w:lang w:val="en-US" w:eastAsia="zh-CN"/>
              </w:rPr>
            </w:pPr>
            <w:r>
              <w:rPr>
                <w:rFonts w:hint="eastAsia"/>
                <w:highlight w:val="none"/>
                <w:lang w:val="en-US" w:eastAsia="zh-CN"/>
              </w:rPr>
              <w:t>三角窗底口宽度</w:t>
            </w:r>
          </w:p>
        </w:tc>
        <w:tc>
          <w:tcPr>
            <w:tcW w:w="1579" w:type="pct"/>
            <w:noWrap w:val="0"/>
            <w:tcMar>
              <w:top w:w="120" w:type="dxa"/>
              <w:left w:w="120" w:type="dxa"/>
              <w:bottom w:w="120" w:type="dxa"/>
              <w:right w:w="120" w:type="dxa"/>
            </w:tcMar>
            <w:vAlign w:val="center"/>
          </w:tcPr>
          <w:p w14:paraId="192C0443">
            <w:pPr>
              <w:jc w:val="center"/>
              <w:rPr>
                <w:rFonts w:hint="eastAsia"/>
                <w:color w:val="0C0C0C"/>
                <w:highlight w:val="none"/>
                <w:lang w:val="en-US" w:eastAsia="zh-CN"/>
              </w:rPr>
            </w:pPr>
            <w:r>
              <w:rPr>
                <w:rFonts w:hint="eastAsia"/>
                <w:color w:val="0C0C0C"/>
                <w:highlight w:val="none"/>
                <w:lang w:val="en-US" w:eastAsia="zh-CN"/>
              </w:rPr>
              <w:t>1390</w:t>
            </w:r>
          </w:p>
        </w:tc>
        <w:tc>
          <w:tcPr>
            <w:tcW w:w="1531" w:type="pct"/>
            <w:noWrap w:val="0"/>
            <w:tcMar>
              <w:top w:w="120" w:type="dxa"/>
              <w:left w:w="120" w:type="dxa"/>
              <w:bottom w:w="120" w:type="dxa"/>
              <w:right w:w="120" w:type="dxa"/>
            </w:tcMar>
            <w:vAlign w:val="center"/>
          </w:tcPr>
          <w:p w14:paraId="434EB439">
            <w:pPr>
              <w:jc w:val="center"/>
              <w:rPr>
                <w:rFonts w:hint="eastAsia"/>
                <w:color w:val="0C0C0C"/>
                <w:highlight w:val="none"/>
                <w:lang w:val="en-US" w:eastAsia="zh-CN"/>
              </w:rPr>
            </w:pPr>
            <w:r>
              <w:rPr>
                <w:rFonts w:hint="eastAsia"/>
                <w:color w:val="0C0C0C"/>
                <w:highlight w:val="none"/>
                <w:lang w:val="en-US" w:eastAsia="zh-CN"/>
              </w:rPr>
              <w:t>±20</w:t>
            </w:r>
          </w:p>
        </w:tc>
      </w:tr>
      <w:tr w14:paraId="4B16A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6486E374">
            <w:pPr>
              <w:jc w:val="center"/>
              <w:rPr>
                <w:rFonts w:hint="eastAsia"/>
                <w:highlight w:val="none"/>
                <w:lang w:val="en-US" w:eastAsia="zh-CN"/>
              </w:rPr>
            </w:pPr>
            <w:r>
              <w:rPr>
                <w:rFonts w:hint="eastAsia"/>
                <w:highlight w:val="none"/>
                <w:lang w:val="en-US" w:eastAsia="zh-CN"/>
              </w:rPr>
              <w:t>三角窗口高度</w:t>
            </w:r>
          </w:p>
        </w:tc>
        <w:tc>
          <w:tcPr>
            <w:tcW w:w="1579" w:type="pct"/>
            <w:noWrap w:val="0"/>
            <w:tcMar>
              <w:top w:w="120" w:type="dxa"/>
              <w:left w:w="120" w:type="dxa"/>
              <w:bottom w:w="120" w:type="dxa"/>
              <w:right w:w="120" w:type="dxa"/>
            </w:tcMar>
            <w:vAlign w:val="center"/>
          </w:tcPr>
          <w:p w14:paraId="3179A777">
            <w:pPr>
              <w:jc w:val="center"/>
              <w:rPr>
                <w:rFonts w:hint="eastAsia"/>
                <w:color w:val="0C0C0C"/>
                <w:highlight w:val="none"/>
                <w:lang w:val="en-US" w:eastAsia="zh-CN"/>
              </w:rPr>
            </w:pPr>
            <w:r>
              <w:rPr>
                <w:rFonts w:hint="eastAsia"/>
                <w:color w:val="0C0C0C"/>
                <w:highlight w:val="none"/>
                <w:lang w:val="en-US" w:eastAsia="zh-CN"/>
              </w:rPr>
              <w:t>400</w:t>
            </w:r>
          </w:p>
        </w:tc>
        <w:tc>
          <w:tcPr>
            <w:tcW w:w="1531" w:type="pct"/>
            <w:noWrap w:val="0"/>
            <w:tcMar>
              <w:top w:w="120" w:type="dxa"/>
              <w:left w:w="120" w:type="dxa"/>
              <w:bottom w:w="120" w:type="dxa"/>
              <w:right w:w="120" w:type="dxa"/>
            </w:tcMar>
            <w:vAlign w:val="center"/>
          </w:tcPr>
          <w:p w14:paraId="5818B9D2">
            <w:pPr>
              <w:jc w:val="center"/>
              <w:rPr>
                <w:rFonts w:hint="eastAsia"/>
                <w:color w:val="0C0C0C"/>
                <w:highlight w:val="none"/>
                <w:lang w:val="en-US" w:eastAsia="zh-CN"/>
              </w:rPr>
            </w:pPr>
            <w:r>
              <w:rPr>
                <w:rFonts w:hint="eastAsia"/>
                <w:color w:val="0C0C0C"/>
                <w:highlight w:val="none"/>
                <w:lang w:val="en-US" w:eastAsia="zh-CN"/>
              </w:rPr>
              <w:t>±20</w:t>
            </w:r>
          </w:p>
        </w:tc>
      </w:tr>
      <w:tr w14:paraId="62443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88" w:type="pct"/>
            <w:noWrap w:val="0"/>
            <w:tcMar>
              <w:top w:w="120" w:type="dxa"/>
              <w:left w:w="120" w:type="dxa"/>
              <w:bottom w:w="120" w:type="dxa"/>
              <w:right w:w="120" w:type="dxa"/>
            </w:tcMar>
            <w:vAlign w:val="center"/>
          </w:tcPr>
          <w:p w14:paraId="32ABEE62">
            <w:pPr>
              <w:jc w:val="center"/>
              <w:rPr>
                <w:rFonts w:hint="eastAsia"/>
                <w:highlight w:val="none"/>
                <w:lang w:val="en-US" w:eastAsia="zh-CN"/>
              </w:rPr>
            </w:pPr>
            <w:r>
              <w:rPr>
                <w:rFonts w:hint="eastAsia"/>
                <w:highlight w:val="none"/>
                <w:lang w:val="en-US" w:eastAsia="zh-CN"/>
              </w:rPr>
              <w:t>培土帘宽度</w:t>
            </w:r>
          </w:p>
        </w:tc>
        <w:tc>
          <w:tcPr>
            <w:tcW w:w="1579" w:type="pct"/>
            <w:noWrap w:val="0"/>
            <w:tcMar>
              <w:top w:w="120" w:type="dxa"/>
              <w:left w:w="120" w:type="dxa"/>
              <w:bottom w:w="120" w:type="dxa"/>
              <w:right w:w="120" w:type="dxa"/>
            </w:tcMar>
            <w:vAlign w:val="center"/>
          </w:tcPr>
          <w:p w14:paraId="0B13896E">
            <w:pPr>
              <w:jc w:val="center"/>
              <w:rPr>
                <w:rFonts w:hint="eastAsia"/>
                <w:color w:val="0C0C0C"/>
                <w:highlight w:val="none"/>
                <w:lang w:val="en-US" w:eastAsia="zh-CN"/>
              </w:rPr>
            </w:pPr>
            <w:r>
              <w:rPr>
                <w:rFonts w:hint="eastAsia"/>
                <w:color w:val="0C0C0C"/>
                <w:highlight w:val="none"/>
                <w:lang w:val="en-US" w:eastAsia="zh-CN"/>
              </w:rPr>
              <w:t>200</w:t>
            </w:r>
          </w:p>
        </w:tc>
        <w:tc>
          <w:tcPr>
            <w:tcW w:w="1531" w:type="pct"/>
            <w:noWrap w:val="0"/>
            <w:tcMar>
              <w:top w:w="120" w:type="dxa"/>
              <w:left w:w="120" w:type="dxa"/>
              <w:bottom w:w="120" w:type="dxa"/>
              <w:right w:w="120" w:type="dxa"/>
            </w:tcMar>
            <w:vAlign w:val="center"/>
          </w:tcPr>
          <w:p w14:paraId="559BD638">
            <w:pPr>
              <w:jc w:val="center"/>
              <w:rPr>
                <w:rFonts w:hint="eastAsia"/>
                <w:color w:val="0C0C0C"/>
                <w:highlight w:val="none"/>
                <w:lang w:val="en-US" w:eastAsia="zh-CN"/>
              </w:rPr>
            </w:pPr>
            <w:r>
              <w:rPr>
                <w:rFonts w:hint="eastAsia"/>
                <w:color w:val="0C0C0C"/>
                <w:highlight w:val="none"/>
                <w:lang w:val="en-US" w:eastAsia="zh-CN"/>
              </w:rPr>
              <w:t>+10</w:t>
            </w:r>
          </w:p>
        </w:tc>
      </w:tr>
    </w:tbl>
    <w:p w14:paraId="1D6D0AD6">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（2）支架材质：钢管，φ25×1.0mm。</w:t>
      </w:r>
    </w:p>
    <w:p w14:paraId="1167E552">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（3）帐篷结构：单层帐。</w:t>
      </w:r>
    </w:p>
    <w:p w14:paraId="0222691A">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（4）帐篷采用防水工艺，防水防晒，隔挡紫外线。</w:t>
      </w:r>
    </w:p>
    <w:p w14:paraId="5D8B2B3E">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（5）配置：一端开门，两侧墙各2扇纱窗窗</w:t>
      </w:r>
      <w:r>
        <w:rPr>
          <w:rFonts w:hint="eastAsia" w:ascii="Times New Roman" w:hAnsi="Times New Roman" w:eastAsia="宋体" w:cs="Times New Roman"/>
          <w:color w:val="0C0C0C"/>
          <w:kern w:val="2"/>
          <w:sz w:val="21"/>
          <w:szCs w:val="24"/>
          <w:highlight w:val="none"/>
          <w:lang w:val="en-US" w:eastAsia="zh-CN" w:bidi="ar-SA"/>
        </w:rPr>
        <w:t>户，带拉</w:t>
      </w:r>
      <w:r>
        <w:rPr>
          <w:rFonts w:hint="eastAsia" w:ascii="Times New Roman" w:hAnsi="Times New Roman" w:eastAsia="宋体" w:cs="Times New Roman"/>
          <w:color w:val="0C0C0C"/>
          <w:kern w:val="2"/>
          <w:sz w:val="21"/>
          <w:szCs w:val="24"/>
          <w:lang w:val="en-US" w:eastAsia="zh-CN" w:bidi="ar-SA"/>
        </w:rPr>
        <w:t>绳+地桩全套配件。</w:t>
      </w:r>
    </w:p>
    <w:p w14:paraId="3B109C6A">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（6）篷体面料：333dtex</w:t>
      </w:r>
      <w:r>
        <w:rPr>
          <w:rFonts w:hint="default" w:ascii="Arial" w:hAnsi="Arial" w:eastAsia="宋体" w:cs="Arial"/>
          <w:color w:val="0C0C0C"/>
          <w:kern w:val="2"/>
          <w:sz w:val="21"/>
          <w:szCs w:val="24"/>
          <w:lang w:val="en-US" w:eastAsia="zh-CN" w:bidi="ar-SA"/>
        </w:rPr>
        <w:t>×</w:t>
      </w:r>
      <w:r>
        <w:rPr>
          <w:rFonts w:hint="eastAsia" w:ascii="Times New Roman" w:hAnsi="Times New Roman" w:eastAsia="宋体" w:cs="Times New Roman"/>
          <w:color w:val="0C0C0C"/>
          <w:kern w:val="2"/>
          <w:sz w:val="21"/>
          <w:szCs w:val="24"/>
          <w:lang w:val="en-US" w:eastAsia="zh-CN" w:bidi="ar-SA"/>
        </w:rPr>
        <w:t>333dtex涤纶丝天蓝色PVC涂层布，克重≥350g/㎡。</w:t>
      </w:r>
    </w:p>
    <w:p w14:paraId="66B5E222">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（7）篷体面料力学性能：断裂强力经向≥1200N/5cm、纬向≥1000N/5cm（按GB/T 3923.1检测）；撕破强力经向≥40N、纬向≥35N（按GB/T 3917.3检测</w:t>
      </w:r>
      <w:r>
        <w:rPr>
          <w:rFonts w:hint="eastAsia" w:ascii="Times New Roman" w:hAnsi="Times New Roman" w:eastAsia="宋体" w:cs="Times New Roman"/>
          <w:color w:val="0C0C0C"/>
          <w:kern w:val="2"/>
          <w:sz w:val="21"/>
          <w:szCs w:val="24"/>
          <w:highlight w:val="none"/>
          <w:lang w:val="en-US" w:eastAsia="zh-CN" w:bidi="ar-SA"/>
        </w:rPr>
        <w:t>）；耐光色牢度≥4 级（GB/T8427</w:t>
      </w:r>
      <w:r>
        <w:rPr>
          <w:rFonts w:hint="eastAsia" w:ascii="Times New Roman" w:hAnsi="Times New Roman" w:eastAsia="宋体" w:cs="Times New Roman"/>
          <w:color w:val="0C0C0C"/>
          <w:kern w:val="2"/>
          <w:sz w:val="21"/>
          <w:szCs w:val="24"/>
          <w:highlight w:val="none"/>
          <w:lang w:val="en-US" w:eastAsia="zh-CN" w:bidi="ar-SA"/>
        </w:rPr>
        <w:noBreakHyphen/>
      </w:r>
      <w:r>
        <w:rPr>
          <w:rFonts w:hint="eastAsia" w:ascii="Times New Roman" w:hAnsi="Times New Roman" w:eastAsia="宋体" w:cs="Times New Roman"/>
          <w:color w:val="0C0C0C"/>
          <w:kern w:val="2"/>
          <w:sz w:val="21"/>
          <w:szCs w:val="24"/>
          <w:highlight w:val="none"/>
          <w:lang w:val="en-US" w:eastAsia="zh-CN" w:bidi="ar-SA"/>
        </w:rPr>
        <w:t>2019）；</w:t>
      </w:r>
      <w:r>
        <w:rPr>
          <w:rFonts w:hint="eastAsia" w:ascii="Times New Roman" w:hAnsi="Times New Roman" w:eastAsia="宋体" w:cs="Times New Roman"/>
          <w:color w:val="0C0C0C"/>
          <w:kern w:val="2"/>
          <w:sz w:val="21"/>
          <w:szCs w:val="24"/>
          <w:lang w:val="en-US" w:eastAsia="zh-CN" w:bidi="ar-SA"/>
        </w:rPr>
        <w:t>氙灯耐气候老化后断裂强力保持率≥80%；阻燃性能符合GB/T 5455-2014，损毁长度≤150mm，续燃时间≤15s，阴燃时间≤15s，熔融滴落物不得引燃脱</w:t>
      </w:r>
      <w:r>
        <w:rPr>
          <w:rFonts w:hint="eastAsia" w:ascii="Times New Roman" w:hAnsi="Times New Roman" w:eastAsia="宋体" w:cs="Times New Roman"/>
          <w:color w:val="0C0C0C"/>
          <w:kern w:val="2"/>
          <w:sz w:val="21"/>
          <w:szCs w:val="24"/>
          <w:highlight w:val="none"/>
          <w:lang w:val="en-US" w:eastAsia="zh-CN" w:bidi="ar-SA"/>
        </w:rPr>
        <w:t>脂棉；耐静</w:t>
      </w:r>
      <w:r>
        <w:rPr>
          <w:rFonts w:hint="eastAsia" w:ascii="Times New Roman" w:hAnsi="Times New Roman" w:eastAsia="宋体" w:cs="Times New Roman"/>
          <w:color w:val="0C0C0C"/>
          <w:kern w:val="2"/>
          <w:sz w:val="21"/>
          <w:szCs w:val="24"/>
          <w:lang w:val="en-US" w:eastAsia="zh-CN" w:bidi="ar-SA"/>
        </w:rPr>
        <w:t>水压：未折叠部位≥50kPa，折痕部位≥30</w:t>
      </w:r>
      <w:r>
        <w:rPr>
          <w:rFonts w:hint="eastAsia" w:ascii="Times New Roman" w:hAnsi="Times New Roman" w:eastAsia="宋体" w:cs="Times New Roman"/>
          <w:color w:val="0C0C0C"/>
          <w:kern w:val="2"/>
          <w:sz w:val="21"/>
          <w:szCs w:val="24"/>
          <w:highlight w:val="none"/>
          <w:lang w:val="en-US" w:eastAsia="zh-CN" w:bidi="ar-SA"/>
        </w:rPr>
        <w:t>kPa（GB/T 4744</w:t>
      </w:r>
      <w:r>
        <w:rPr>
          <w:rFonts w:hint="eastAsia" w:ascii="Times New Roman" w:hAnsi="Times New Roman" w:eastAsia="宋体" w:cs="Times New Roman"/>
          <w:color w:val="0C0C0C"/>
          <w:kern w:val="2"/>
          <w:sz w:val="21"/>
          <w:szCs w:val="24"/>
          <w:highlight w:val="none"/>
          <w:lang w:val="en-US" w:eastAsia="zh-CN" w:bidi="ar-SA"/>
        </w:rPr>
        <w:noBreakHyphen/>
      </w:r>
      <w:r>
        <w:rPr>
          <w:rFonts w:hint="eastAsia" w:ascii="Times New Roman" w:hAnsi="Times New Roman" w:eastAsia="宋体" w:cs="Times New Roman"/>
          <w:color w:val="0C0C0C"/>
          <w:kern w:val="2"/>
          <w:sz w:val="21"/>
          <w:szCs w:val="24"/>
          <w:highlight w:val="none"/>
          <w:lang w:val="en-US" w:eastAsia="zh-CN" w:bidi="ar-SA"/>
        </w:rPr>
        <w:t>2013，试样折叠、加压测试按附录测试方法执行）；抗粘连性：允许轻度粘连（FZ/T 01063</w:t>
      </w:r>
      <w:r>
        <w:rPr>
          <w:rFonts w:hint="eastAsia" w:ascii="Times New Roman" w:hAnsi="Times New Roman" w:eastAsia="宋体" w:cs="Times New Roman"/>
          <w:color w:val="0C0C0C"/>
          <w:kern w:val="2"/>
          <w:sz w:val="21"/>
          <w:szCs w:val="24"/>
          <w:highlight w:val="none"/>
          <w:lang w:val="en-US" w:eastAsia="zh-CN" w:bidi="ar-SA"/>
        </w:rPr>
        <w:noBreakHyphen/>
      </w:r>
      <w:r>
        <w:rPr>
          <w:rFonts w:hint="eastAsia" w:ascii="Times New Roman" w:hAnsi="Times New Roman" w:eastAsia="宋体" w:cs="Times New Roman"/>
          <w:color w:val="0C0C0C"/>
          <w:kern w:val="2"/>
          <w:sz w:val="21"/>
          <w:szCs w:val="24"/>
          <w:highlight w:val="none"/>
          <w:lang w:val="en-US" w:eastAsia="zh-CN" w:bidi="ar-SA"/>
        </w:rPr>
        <w:t>2008《涂层织物 抗粘连性的测定》）。全</w:t>
      </w:r>
      <w:r>
        <w:rPr>
          <w:rFonts w:hint="eastAsia" w:ascii="Times New Roman" w:hAnsi="Times New Roman" w:eastAsia="宋体" w:cs="Times New Roman"/>
          <w:color w:val="0C0C0C"/>
          <w:kern w:val="2"/>
          <w:sz w:val="21"/>
          <w:szCs w:val="24"/>
          <w:lang w:val="en-US" w:eastAsia="zh-CN" w:bidi="ar-SA"/>
        </w:rPr>
        <w:t>部指标满足GB/T 44010-2024《救灾帐篷 通用技术要求》。</w:t>
      </w:r>
    </w:p>
    <w:p w14:paraId="3A5B6203">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（8）篷体、包装袋同一交付批次成品布件相互之间色差，采用目视比对，按GB/T 250</w:t>
      </w:r>
      <w:r>
        <w:rPr>
          <w:rFonts w:hint="eastAsia" w:ascii="Times New Roman" w:hAnsi="Times New Roman" w:eastAsia="宋体" w:cs="Times New Roman"/>
          <w:color w:val="0C0C0C"/>
          <w:kern w:val="2"/>
          <w:sz w:val="21"/>
          <w:szCs w:val="24"/>
          <w:lang w:val="en-US" w:eastAsia="zh-CN" w:bidi="ar-SA"/>
        </w:rPr>
        <w:noBreakHyphen/>
      </w:r>
      <w:r>
        <w:rPr>
          <w:rFonts w:hint="eastAsia" w:ascii="Times New Roman" w:hAnsi="Times New Roman" w:eastAsia="宋体" w:cs="Times New Roman"/>
          <w:color w:val="0C0C0C"/>
          <w:kern w:val="2"/>
          <w:sz w:val="21"/>
          <w:szCs w:val="24"/>
          <w:lang w:val="en-US" w:eastAsia="zh-CN" w:bidi="ar-SA"/>
        </w:rPr>
        <w:t>2008《纺织品 色牢度试验 评定变色用灰色样卡》评定，色差等级不低于3级。</w:t>
      </w:r>
    </w:p>
    <w:p w14:paraId="5200E269">
      <w:pPr>
        <w:pStyle w:val="4"/>
        <w:autoSpaceDE w:val="0"/>
        <w:spacing w:line="360" w:lineRule="auto"/>
        <w:ind w:firstLine="420" w:firstLineChars="2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lang w:val="en-US" w:eastAsia="zh-CN" w:bidi="ar-SA"/>
        </w:rPr>
        <w:t>（9）框架管材：立杆、通用杆、地杆采用Q235焊接钢管φ25mm</w:t>
      </w:r>
      <w:r>
        <w:rPr>
          <w:rFonts w:hint="default" w:ascii="Arial" w:hAnsi="Arial" w:eastAsia="宋体" w:cs="Arial"/>
          <w:color w:val="0C0C0C"/>
          <w:kern w:val="2"/>
          <w:sz w:val="21"/>
          <w:szCs w:val="24"/>
          <w:lang w:val="en-US" w:eastAsia="zh-CN" w:bidi="ar-SA"/>
        </w:rPr>
        <w:t>×</w:t>
      </w:r>
      <w:r>
        <w:rPr>
          <w:rFonts w:hint="eastAsia" w:ascii="Times New Roman" w:hAnsi="Times New Roman" w:eastAsia="宋体" w:cs="Times New Roman"/>
          <w:color w:val="0C0C0C"/>
          <w:kern w:val="2"/>
          <w:sz w:val="21"/>
          <w:szCs w:val="24"/>
          <w:lang w:val="en-US" w:eastAsia="zh-CN" w:bidi="ar-SA"/>
        </w:rPr>
        <w:t>1.0mm</w:t>
      </w:r>
      <w:r>
        <w:rPr>
          <w:rFonts w:hint="eastAsia" w:ascii="Times New Roman" w:hAnsi="Times New Roman" w:eastAsia="宋体" w:cs="Times New Roman"/>
          <w:color w:val="0C0C0C"/>
          <w:kern w:val="2"/>
          <w:sz w:val="21"/>
          <w:szCs w:val="24"/>
          <w:highlight w:val="none"/>
          <w:lang w:val="en-US" w:eastAsia="zh-CN" w:bidi="ar-SA"/>
        </w:rPr>
        <w:t>；三通、四通金属连接件采用</w:t>
      </w:r>
      <w:r>
        <w:rPr>
          <w:rFonts w:hint="eastAsia" w:ascii="Times New Roman" w:hAnsi="Times New Roman" w:eastAsia="宋体" w:cs="Times New Roman"/>
          <w:color w:val="0C0C0C"/>
          <w:kern w:val="2"/>
          <w:sz w:val="21"/>
          <w:szCs w:val="24"/>
          <w:lang w:val="en-US" w:eastAsia="zh-CN" w:bidi="ar-SA"/>
        </w:rPr>
        <w:t>φ28mm</w:t>
      </w:r>
      <w:r>
        <w:rPr>
          <w:rFonts w:hint="default" w:ascii="Arial" w:hAnsi="Arial" w:eastAsia="宋体" w:cs="Arial"/>
          <w:color w:val="0C0C0C"/>
          <w:kern w:val="2"/>
          <w:sz w:val="21"/>
          <w:szCs w:val="24"/>
          <w:lang w:val="en-US" w:eastAsia="zh-CN" w:bidi="ar-SA"/>
        </w:rPr>
        <w:t>×</w:t>
      </w:r>
      <w:r>
        <w:rPr>
          <w:rFonts w:hint="eastAsia" w:ascii="Times New Roman" w:hAnsi="Times New Roman" w:eastAsia="宋体" w:cs="Times New Roman"/>
          <w:color w:val="0C0C0C"/>
          <w:kern w:val="2"/>
          <w:sz w:val="21"/>
          <w:szCs w:val="24"/>
          <w:lang w:val="en-US" w:eastAsia="zh-CN" w:bidi="ar-SA"/>
        </w:rPr>
        <w:t>1.0mm焊接钢管</w:t>
      </w:r>
      <w:r>
        <w:rPr>
          <w:rFonts w:hint="eastAsia" w:ascii="Times New Roman" w:hAnsi="Times New Roman" w:eastAsia="宋体" w:cs="Times New Roman"/>
          <w:color w:val="0C0C0C"/>
          <w:kern w:val="2"/>
          <w:sz w:val="21"/>
          <w:szCs w:val="24"/>
          <w:highlight w:val="none"/>
          <w:lang w:val="en-US" w:eastAsia="zh-CN" w:bidi="ar-SA"/>
        </w:rPr>
        <w:t>，与管材匹配并做喷塑或镀锌防锈处理。</w:t>
      </w:r>
    </w:p>
    <w:p w14:paraId="7F1ECA1C">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（10）金属件防腐性能（中性盐雾试验按 GB/T 10125</w:t>
      </w:r>
      <w:r>
        <w:rPr>
          <w:rFonts w:hint="eastAsia" w:ascii="Times New Roman" w:hAnsi="Times New Roman" w:eastAsia="宋体" w:cs="Times New Roman"/>
          <w:color w:val="0C0C0C"/>
          <w:kern w:val="2"/>
          <w:sz w:val="21"/>
          <w:szCs w:val="24"/>
          <w:lang w:val="en-US" w:eastAsia="zh-CN" w:bidi="ar-SA"/>
        </w:rPr>
        <w:noBreakHyphen/>
      </w:r>
      <w:r>
        <w:rPr>
          <w:rFonts w:hint="eastAsia" w:ascii="Times New Roman" w:hAnsi="Times New Roman" w:eastAsia="宋体" w:cs="Times New Roman"/>
          <w:color w:val="0C0C0C"/>
          <w:kern w:val="2"/>
          <w:sz w:val="21"/>
          <w:szCs w:val="24"/>
          <w:lang w:val="en-US" w:eastAsia="zh-CN" w:bidi="ar-SA"/>
        </w:rPr>
        <w:t>2021 执行）：喷塑类金属配件经96h中性盐雾试验后，漆膜不起泡、不脱落、无锈斑；电镀锌金属配件经 48h 中性盐雾试验后，主要表面无锈斑（切割断面、边角非主要表面不作为考核判定部位）。篷体 PU 热封胶条粘附强度≥6N/cm。</w:t>
      </w:r>
    </w:p>
    <w:p w14:paraId="0FC4F357">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（11）抗环境性能：可承受8级风力；防雨；成品防雨性能按照标准喷淋试验开展，喷淋持续 30min，篷体各部位不得出现漏水、渗水</w:t>
      </w:r>
      <w:r>
        <w:rPr>
          <w:rFonts w:hint="eastAsia" w:ascii="Times New Roman" w:hAnsi="Times New Roman" w:eastAsia="宋体" w:cs="Times New Roman"/>
          <w:color w:val="0C0C0C"/>
          <w:kern w:val="2"/>
          <w:sz w:val="21"/>
          <w:szCs w:val="24"/>
          <w:highlight w:val="none"/>
          <w:lang w:val="en-US" w:eastAsia="zh-CN" w:bidi="ar-SA"/>
        </w:rPr>
        <w:t>现象。可重</w:t>
      </w:r>
      <w:r>
        <w:rPr>
          <w:rFonts w:hint="eastAsia" w:ascii="Times New Roman" w:hAnsi="Times New Roman" w:eastAsia="宋体" w:cs="Times New Roman"/>
          <w:color w:val="0C0C0C"/>
          <w:kern w:val="2"/>
          <w:sz w:val="21"/>
          <w:szCs w:val="24"/>
          <w:lang w:val="en-US" w:eastAsia="zh-CN" w:bidi="ar-SA"/>
        </w:rPr>
        <w:t>复拆装使用。</w:t>
      </w:r>
    </w:p>
    <w:p w14:paraId="2D3BF3C4">
      <w:pPr>
        <w:pStyle w:val="4"/>
        <w:autoSpaceDE w:val="0"/>
        <w:spacing w:line="360" w:lineRule="auto"/>
        <w:ind w:firstLine="420" w:firstLineChars="200"/>
        <w:rPr>
          <w:rFonts w:hint="eastAsia" w:ascii="Times New Roman" w:hAnsi="Times New Roman" w:eastAsia="宋体" w:cs="Times New Roman"/>
          <w:color w:val="0C0C0C"/>
          <w:kern w:val="2"/>
          <w:sz w:val="21"/>
          <w:szCs w:val="24"/>
          <w:highlight w:val="yellow"/>
          <w:lang w:val="en-US" w:eastAsia="zh-CN" w:bidi="ar-SA"/>
        </w:rPr>
      </w:pPr>
      <w:r>
        <w:rPr>
          <w:rFonts w:hint="eastAsia" w:ascii="Times New Roman" w:hAnsi="Times New Roman" w:eastAsia="宋体" w:cs="Times New Roman"/>
          <w:color w:val="0C0C0C"/>
          <w:kern w:val="2"/>
          <w:sz w:val="21"/>
          <w:szCs w:val="24"/>
          <w:lang w:val="en-US" w:eastAsia="zh-CN" w:bidi="ar-SA"/>
        </w:rPr>
        <w:t>（12）标识印刷：</w:t>
      </w:r>
    </w:p>
    <w:p w14:paraId="53CD440C">
      <w:pPr>
        <w:pStyle w:val="4"/>
        <w:autoSpaceDE w:val="0"/>
        <w:spacing w:line="360" w:lineRule="auto"/>
        <w:ind w:firstLine="630" w:firstLineChars="300"/>
        <w:rPr>
          <w:rFonts w:hint="default" w:ascii="Times New Roman" w:hAnsi="Times New Roman" w:eastAsia="宋体" w:cs="Times New Roman"/>
          <w:color w:val="0C0C0C"/>
          <w:kern w:val="2"/>
          <w:sz w:val="21"/>
          <w:szCs w:val="24"/>
          <w:highlight w:val="none"/>
          <w:lang w:val="en-US" w:eastAsia="zh-CN" w:bidi="ar-SA"/>
        </w:rPr>
      </w:pPr>
      <w:r>
        <w:rPr>
          <w:rFonts w:hint="default" w:ascii="Times New Roman" w:hAnsi="Times New Roman" w:eastAsia="宋体" w:cs="Times New Roman"/>
          <w:color w:val="0C0C0C"/>
          <w:kern w:val="2"/>
          <w:sz w:val="21"/>
          <w:szCs w:val="24"/>
          <w:highlight w:val="none"/>
          <w:lang w:val="en-US" w:eastAsia="zh-CN" w:bidi="ar-SA"/>
        </w:rPr>
        <w:t>1）篷体篷顶两面印制</w:t>
      </w:r>
      <w:r>
        <w:rPr>
          <w:rFonts w:hint="eastAsia" w:ascii="Times New Roman" w:hAnsi="Times New Roman" w:eastAsia="宋体" w:cs="Times New Roman"/>
          <w:color w:val="0C0C0C"/>
          <w:kern w:val="2"/>
          <w:sz w:val="21"/>
          <w:szCs w:val="24"/>
          <w:highlight w:val="none"/>
          <w:lang w:val="en-US" w:eastAsia="zh-CN" w:bidi="ar-SA"/>
        </w:rPr>
        <w:t>“救灾”</w:t>
      </w:r>
      <w:r>
        <w:rPr>
          <w:rFonts w:hint="default" w:ascii="Times New Roman" w:hAnsi="Times New Roman" w:eastAsia="宋体" w:cs="Times New Roman"/>
          <w:color w:val="0C0C0C"/>
          <w:kern w:val="2"/>
          <w:sz w:val="21"/>
          <w:szCs w:val="24"/>
          <w:highlight w:val="none"/>
          <w:lang w:val="en-US" w:eastAsia="zh-CN" w:bidi="ar-SA"/>
        </w:rPr>
        <w:t>图样及</w:t>
      </w:r>
      <w:r>
        <w:rPr>
          <w:rFonts w:hint="eastAsia" w:ascii="Times New Roman" w:hAnsi="Times New Roman" w:eastAsia="宋体" w:cs="Times New Roman"/>
          <w:color w:val="0C0C0C"/>
          <w:kern w:val="2"/>
          <w:sz w:val="21"/>
          <w:szCs w:val="24"/>
          <w:highlight w:val="none"/>
          <w:lang w:val="en-US" w:eastAsia="zh-CN" w:bidi="ar-SA"/>
        </w:rPr>
        <w:t>“</w:t>
      </w:r>
      <w:r>
        <w:rPr>
          <w:rFonts w:hint="default" w:ascii="Times New Roman" w:hAnsi="Times New Roman" w:eastAsia="宋体" w:cs="Times New Roman"/>
          <w:color w:val="0C0C0C"/>
          <w:kern w:val="2"/>
          <w:sz w:val="21"/>
          <w:szCs w:val="24"/>
          <w:highlight w:val="none"/>
          <w:lang w:val="en-US" w:eastAsia="zh-CN" w:bidi="ar-SA"/>
        </w:rPr>
        <w:t>应急救灾</w:t>
      </w:r>
      <w:r>
        <w:rPr>
          <w:rFonts w:hint="eastAsia" w:ascii="Times New Roman" w:hAnsi="Times New Roman" w:eastAsia="宋体" w:cs="Times New Roman"/>
          <w:color w:val="0C0C0C"/>
          <w:kern w:val="2"/>
          <w:sz w:val="21"/>
          <w:szCs w:val="24"/>
          <w:highlight w:val="none"/>
          <w:lang w:val="en-US" w:eastAsia="zh-CN" w:bidi="ar-SA"/>
        </w:rPr>
        <w:t>”</w:t>
      </w:r>
      <w:r>
        <w:rPr>
          <w:rFonts w:hint="default" w:ascii="Times New Roman" w:hAnsi="Times New Roman" w:eastAsia="宋体" w:cs="Times New Roman"/>
          <w:color w:val="0C0C0C"/>
          <w:kern w:val="2"/>
          <w:sz w:val="21"/>
          <w:szCs w:val="24"/>
          <w:highlight w:val="none"/>
          <w:lang w:val="en-US" w:eastAsia="zh-CN" w:bidi="ar-SA"/>
        </w:rPr>
        <w:t>字样，图样按照本章</w:t>
      </w:r>
      <w:r>
        <w:rPr>
          <w:rFonts w:hint="eastAsia" w:ascii="Times New Roman" w:hAnsi="Times New Roman" w:eastAsia="宋体" w:cs="Times New Roman"/>
          <w:color w:val="0C0C0C"/>
          <w:kern w:val="2"/>
          <w:sz w:val="21"/>
          <w:szCs w:val="24"/>
          <w:highlight w:val="none"/>
          <w:lang w:val="en-US" w:eastAsia="zh-CN" w:bidi="ar-SA"/>
        </w:rPr>
        <w:t>相关</w:t>
      </w:r>
      <w:r>
        <w:rPr>
          <w:rFonts w:hint="default" w:ascii="Times New Roman" w:hAnsi="Times New Roman" w:eastAsia="宋体" w:cs="Times New Roman"/>
          <w:color w:val="0C0C0C"/>
          <w:kern w:val="2"/>
          <w:sz w:val="21"/>
          <w:szCs w:val="24"/>
          <w:highlight w:val="none"/>
          <w:lang w:val="en-US" w:eastAsia="zh-CN" w:bidi="ar-SA"/>
        </w:rPr>
        <w:t xml:space="preserve">附图等比例缩放，不得更改图案比例；印刷图文附着牢固，淋雨、水擦拭无褪色，印刷油墨无流淌现象，附图仅作为图样参考，不限制印刷工艺； </w:t>
      </w:r>
    </w:p>
    <w:p w14:paraId="708DCC6D">
      <w:pPr>
        <w:pStyle w:val="4"/>
        <w:autoSpaceDE w:val="0"/>
        <w:spacing w:line="360" w:lineRule="auto"/>
        <w:ind w:firstLine="630" w:firstLineChars="300"/>
        <w:rPr>
          <w:rFonts w:hint="default" w:ascii="Times New Roman" w:hAnsi="Times New Roman" w:eastAsia="宋体" w:cs="Times New Roman"/>
          <w:color w:val="0C0C0C"/>
          <w:kern w:val="2"/>
          <w:sz w:val="21"/>
          <w:szCs w:val="24"/>
          <w:highlight w:val="none"/>
          <w:lang w:val="en-US" w:eastAsia="zh-CN" w:bidi="ar-SA"/>
        </w:rPr>
      </w:pPr>
      <w:r>
        <w:rPr>
          <w:rFonts w:hint="default" w:ascii="Times New Roman" w:hAnsi="Times New Roman" w:eastAsia="宋体" w:cs="Times New Roman"/>
          <w:color w:val="0C0C0C"/>
          <w:kern w:val="2"/>
          <w:sz w:val="21"/>
          <w:szCs w:val="24"/>
          <w:highlight w:val="none"/>
          <w:lang w:val="en-US" w:eastAsia="zh-CN" w:bidi="ar-SA"/>
        </w:rPr>
        <w:t>2）开门山墙两侧分别印制</w:t>
      </w:r>
      <w:r>
        <w:rPr>
          <w:rFonts w:hint="eastAsia" w:ascii="Times New Roman" w:hAnsi="Times New Roman" w:eastAsia="宋体" w:cs="Times New Roman"/>
          <w:color w:val="0C0C0C"/>
          <w:kern w:val="2"/>
          <w:sz w:val="21"/>
          <w:szCs w:val="24"/>
          <w:highlight w:val="none"/>
          <w:lang w:val="en-US" w:eastAsia="zh-CN" w:bidi="ar-SA"/>
        </w:rPr>
        <w:t>“</w:t>
      </w:r>
      <w:r>
        <w:rPr>
          <w:rFonts w:hint="default" w:ascii="Times New Roman" w:hAnsi="Times New Roman" w:eastAsia="宋体" w:cs="Times New Roman"/>
          <w:color w:val="0C0C0C"/>
          <w:kern w:val="2"/>
          <w:sz w:val="21"/>
          <w:szCs w:val="24"/>
          <w:highlight w:val="none"/>
          <w:lang w:val="en-US" w:eastAsia="zh-CN" w:bidi="ar-SA"/>
        </w:rPr>
        <w:t>救</w:t>
      </w:r>
      <w:r>
        <w:rPr>
          <w:rFonts w:hint="eastAsia" w:ascii="Times New Roman" w:hAnsi="Times New Roman" w:eastAsia="宋体" w:cs="Times New Roman"/>
          <w:color w:val="0C0C0C"/>
          <w:kern w:val="2"/>
          <w:sz w:val="21"/>
          <w:szCs w:val="24"/>
          <w:highlight w:val="none"/>
          <w:lang w:val="en-US" w:eastAsia="zh-CN" w:bidi="ar-SA"/>
        </w:rPr>
        <w:t>”、“</w:t>
      </w:r>
      <w:r>
        <w:rPr>
          <w:rFonts w:hint="default" w:ascii="Times New Roman" w:hAnsi="Times New Roman" w:eastAsia="宋体" w:cs="Times New Roman"/>
          <w:color w:val="0C0C0C"/>
          <w:kern w:val="2"/>
          <w:sz w:val="21"/>
          <w:szCs w:val="24"/>
          <w:highlight w:val="none"/>
          <w:lang w:val="en-US" w:eastAsia="zh-CN" w:bidi="ar-SA"/>
        </w:rPr>
        <w:t>灾</w:t>
      </w:r>
      <w:r>
        <w:rPr>
          <w:rFonts w:hint="eastAsia" w:ascii="Times New Roman" w:hAnsi="Times New Roman" w:eastAsia="宋体" w:cs="Times New Roman"/>
          <w:color w:val="0C0C0C"/>
          <w:kern w:val="2"/>
          <w:sz w:val="21"/>
          <w:szCs w:val="24"/>
          <w:highlight w:val="none"/>
          <w:lang w:val="en-US" w:eastAsia="zh-CN" w:bidi="ar-SA"/>
        </w:rPr>
        <w:t>”</w:t>
      </w:r>
      <w:r>
        <w:rPr>
          <w:rFonts w:hint="default" w:ascii="Times New Roman" w:hAnsi="Times New Roman" w:eastAsia="宋体" w:cs="Times New Roman"/>
          <w:color w:val="0C0C0C"/>
          <w:kern w:val="2"/>
          <w:sz w:val="21"/>
          <w:szCs w:val="24"/>
          <w:highlight w:val="none"/>
          <w:lang w:val="en-US" w:eastAsia="zh-CN" w:bidi="ar-SA"/>
        </w:rPr>
        <w:t xml:space="preserve"> 字样；</w:t>
      </w:r>
    </w:p>
    <w:p w14:paraId="3A6641D5">
      <w:pPr>
        <w:pStyle w:val="4"/>
        <w:autoSpaceDE w:val="0"/>
        <w:spacing w:line="360" w:lineRule="auto"/>
        <w:ind w:firstLine="630" w:firstLineChars="300"/>
        <w:rPr>
          <w:rFonts w:hint="default" w:ascii="Times New Roman" w:hAnsi="Times New Roman" w:eastAsia="宋体" w:cs="Times New Roman"/>
          <w:color w:val="0C0C0C"/>
          <w:kern w:val="2"/>
          <w:sz w:val="21"/>
          <w:szCs w:val="24"/>
          <w:highlight w:val="none"/>
          <w:lang w:val="en-US" w:eastAsia="zh-CN" w:bidi="ar-SA"/>
        </w:rPr>
      </w:pPr>
      <w:r>
        <w:rPr>
          <w:rFonts w:hint="default" w:ascii="Times New Roman" w:hAnsi="Times New Roman" w:eastAsia="宋体" w:cs="Times New Roman"/>
          <w:color w:val="0C0C0C"/>
          <w:kern w:val="2"/>
          <w:sz w:val="21"/>
          <w:szCs w:val="24"/>
          <w:highlight w:val="none"/>
          <w:lang w:val="en-US" w:eastAsia="zh-CN" w:bidi="ar-SA"/>
        </w:rPr>
        <w:t>3）侧墙印制产品名称、生产年月、承制单位、监制单位信息，并设置</w:t>
      </w:r>
      <w:r>
        <w:rPr>
          <w:rFonts w:hint="eastAsia" w:ascii="Times New Roman" w:hAnsi="Times New Roman" w:eastAsia="宋体" w:cs="Times New Roman"/>
          <w:color w:val="0C0C0C"/>
          <w:kern w:val="2"/>
          <w:sz w:val="21"/>
          <w:szCs w:val="24"/>
          <w:highlight w:val="none"/>
          <w:lang w:val="en-US" w:eastAsia="zh-CN" w:bidi="ar-SA"/>
        </w:rPr>
        <w:t>“</w:t>
      </w:r>
      <w:r>
        <w:rPr>
          <w:rFonts w:hint="default" w:ascii="Times New Roman" w:hAnsi="Times New Roman" w:eastAsia="宋体" w:cs="Times New Roman"/>
          <w:color w:val="0C0C0C"/>
          <w:kern w:val="2"/>
          <w:sz w:val="21"/>
          <w:szCs w:val="24"/>
          <w:highlight w:val="none"/>
          <w:lang w:val="en-US" w:eastAsia="zh-CN" w:bidi="ar-SA"/>
        </w:rPr>
        <w:t>湖南 HUNAN</w:t>
      </w:r>
      <w:r>
        <w:rPr>
          <w:rFonts w:hint="eastAsia" w:ascii="Times New Roman" w:hAnsi="Times New Roman" w:eastAsia="宋体" w:cs="Times New Roman"/>
          <w:color w:val="0C0C0C"/>
          <w:kern w:val="2"/>
          <w:sz w:val="21"/>
          <w:szCs w:val="24"/>
          <w:highlight w:val="none"/>
          <w:lang w:val="en-US" w:eastAsia="zh-CN" w:bidi="ar-SA"/>
        </w:rPr>
        <w:t>”</w:t>
      </w:r>
      <w:r>
        <w:rPr>
          <w:rFonts w:hint="default" w:ascii="Times New Roman" w:hAnsi="Times New Roman" w:eastAsia="宋体" w:cs="Times New Roman"/>
          <w:color w:val="0C0C0C"/>
          <w:kern w:val="2"/>
          <w:sz w:val="21"/>
          <w:szCs w:val="24"/>
          <w:highlight w:val="none"/>
          <w:lang w:val="en-US" w:eastAsia="zh-CN" w:bidi="ar-SA"/>
        </w:rPr>
        <w:t xml:space="preserve">标识； </w:t>
      </w:r>
    </w:p>
    <w:p w14:paraId="0134885D">
      <w:pPr>
        <w:pStyle w:val="4"/>
        <w:autoSpaceDE w:val="0"/>
        <w:spacing w:line="360" w:lineRule="auto"/>
        <w:ind w:firstLine="630" w:firstLineChars="300"/>
        <w:rPr>
          <w:rFonts w:hint="default" w:ascii="Times New Roman" w:hAnsi="Times New Roman" w:eastAsia="宋体" w:cs="Times New Roman"/>
          <w:color w:val="0C0C0C"/>
          <w:kern w:val="2"/>
          <w:sz w:val="21"/>
          <w:szCs w:val="24"/>
          <w:highlight w:val="none"/>
          <w:lang w:val="en-US" w:eastAsia="zh-CN" w:bidi="ar-SA"/>
        </w:rPr>
      </w:pPr>
      <w:r>
        <w:rPr>
          <w:rFonts w:hint="default" w:ascii="Times New Roman" w:hAnsi="Times New Roman" w:eastAsia="宋体" w:cs="Times New Roman"/>
          <w:color w:val="0C0C0C"/>
          <w:kern w:val="2"/>
          <w:sz w:val="21"/>
          <w:szCs w:val="24"/>
          <w:highlight w:val="none"/>
          <w:lang w:val="en-US" w:eastAsia="zh-CN" w:bidi="ar-SA"/>
        </w:rPr>
        <w:t>4）篷体设置可放置编号卡片的 PVC 透明插袋；篷体内侧缝制耐磨防水材质水洗标；产品外包装印刷规格、承制单位、监制单位、</w:t>
      </w:r>
      <w:r>
        <w:rPr>
          <w:rFonts w:hint="eastAsia" w:ascii="Times New Roman" w:hAnsi="Times New Roman" w:eastAsia="宋体" w:cs="Times New Roman"/>
          <w:color w:val="0C0C0C"/>
          <w:kern w:val="2"/>
          <w:sz w:val="21"/>
          <w:szCs w:val="24"/>
          <w:highlight w:val="none"/>
          <w:lang w:val="en-US" w:eastAsia="zh-CN" w:bidi="ar-SA"/>
        </w:rPr>
        <w:t>生产单位、</w:t>
      </w:r>
      <w:r>
        <w:rPr>
          <w:rFonts w:hint="default" w:ascii="Times New Roman" w:hAnsi="Times New Roman" w:eastAsia="宋体" w:cs="Times New Roman"/>
          <w:color w:val="0C0C0C"/>
          <w:kern w:val="2"/>
          <w:sz w:val="21"/>
          <w:szCs w:val="24"/>
          <w:highlight w:val="none"/>
          <w:lang w:val="en-US" w:eastAsia="zh-CN" w:bidi="ar-SA"/>
        </w:rPr>
        <w:t>生产日期相关信息。</w:t>
      </w:r>
    </w:p>
    <w:p w14:paraId="76BA871B">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（13）产品符合GB/T 44010-2024《救灾帐篷 通用技术要求》、GB/T 5455-2014纺织品垂直燃烧（阻燃）要求。</w:t>
      </w:r>
    </w:p>
    <w:p w14:paraId="4B20B87E">
      <w:pPr>
        <w:pStyle w:val="4"/>
        <w:autoSpaceDE w:val="0"/>
        <w:spacing w:line="360" w:lineRule="auto"/>
        <w:ind w:firstLine="420" w:firstLineChars="2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（14）包装要求：</w:t>
      </w:r>
    </w:p>
    <w:p w14:paraId="43BFAA36">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1）一体化包装，篷体与框架分仓收纳于包装袋内；随货配套三角桩、拉绳木板、纱围、配件袋、产品检验单、产品包装单、帐篷使用说明书；</w:t>
      </w:r>
    </w:p>
    <w:p w14:paraId="49D291E5">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2）内包装袋面料采用涤纶防水帆布，单位面积质量≥290g/㎡，断裂强力、撕破强力、静水压性能符合 GB/T 44010</w:t>
      </w:r>
      <w:r>
        <w:rPr>
          <w:rFonts w:hint="eastAsia" w:ascii="Times New Roman" w:hAnsi="Times New Roman" w:eastAsia="宋体" w:cs="Times New Roman"/>
          <w:color w:val="0C0C0C"/>
          <w:kern w:val="2"/>
          <w:sz w:val="21"/>
          <w:szCs w:val="24"/>
          <w:highlight w:val="none"/>
          <w:lang w:val="en-US" w:eastAsia="zh-CN" w:bidi="ar-SA"/>
        </w:rPr>
        <w:noBreakHyphen/>
      </w:r>
      <w:r>
        <w:rPr>
          <w:rFonts w:hint="eastAsia" w:ascii="Times New Roman" w:hAnsi="Times New Roman" w:eastAsia="宋体" w:cs="Times New Roman"/>
          <w:color w:val="0C0C0C"/>
          <w:kern w:val="2"/>
          <w:sz w:val="21"/>
          <w:szCs w:val="24"/>
          <w:highlight w:val="none"/>
          <w:lang w:val="en-US" w:eastAsia="zh-CN" w:bidi="ar-SA"/>
        </w:rPr>
        <w:t>2024 相关要求；</w:t>
      </w:r>
    </w:p>
    <w:p w14:paraId="3478654C">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3）帐篷外层聚丙烯编织布外包装：单位面积质量≥90g/m²；经向、纬向断裂强力均≥700N/5cm；经向、纬向织物密度均≥35 根 / 10cm；</w:t>
      </w:r>
    </w:p>
    <w:p w14:paraId="72DC2257">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4）拉绳断裂强力</w:t>
      </w:r>
      <w:r>
        <w:rPr>
          <w:rFonts w:hint="eastAsia" w:ascii="宋体" w:hAnsi="宋体" w:eastAsia="宋体" w:cs="宋体"/>
          <w:color w:val="0C0C0C"/>
          <w:kern w:val="2"/>
          <w:sz w:val="21"/>
          <w:szCs w:val="24"/>
          <w:highlight w:val="none"/>
          <w:lang w:val="en-US" w:eastAsia="zh-CN" w:bidi="ar-SA"/>
        </w:rPr>
        <w:t>≥</w:t>
      </w:r>
      <w:r>
        <w:rPr>
          <w:rFonts w:hint="eastAsia" w:ascii="Times New Roman" w:hAnsi="Times New Roman" w:eastAsia="宋体" w:cs="Times New Roman"/>
          <w:color w:val="0C0C0C"/>
          <w:kern w:val="2"/>
          <w:sz w:val="21"/>
          <w:szCs w:val="24"/>
          <w:highlight w:val="none"/>
          <w:lang w:val="en-US" w:eastAsia="zh-CN" w:bidi="ar-SA"/>
        </w:rPr>
        <w:t>2500N；</w:t>
      </w:r>
    </w:p>
    <w:p w14:paraId="23EF2A56">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5）外包装袋两个端面须印刷仓储堆码方向标识；</w:t>
      </w:r>
    </w:p>
    <w:p w14:paraId="0F1ACB2C">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6）包装件运输贮存：货物不得露天堆放，装卸禁止抛摔；仓储库房保持通风干燥，贮存环境相对湿度≤80%。</w:t>
      </w:r>
    </w:p>
    <w:p w14:paraId="5E06C6F8">
      <w:pPr>
        <w:rPr>
          <w:rFonts w:hint="eastAsia"/>
          <w:lang w:val="en-US" w:eastAsia="zh-CN"/>
        </w:rPr>
      </w:pPr>
    </w:p>
    <w:p w14:paraId="560A0531">
      <w:pPr>
        <w:rPr>
          <w:rFonts w:hint="eastAsia"/>
          <w:lang w:val="en-US" w:eastAsia="zh-CN"/>
        </w:rPr>
      </w:pPr>
    </w:p>
    <w:p w14:paraId="7DBA9BF7">
      <w:pPr>
        <w:pStyle w:val="4"/>
        <w:autoSpaceDE w:val="0"/>
        <w:spacing w:line="360" w:lineRule="auto"/>
        <w:rPr>
          <w:rFonts w:hint="eastAsia" w:ascii="Times New Roman" w:hAnsi="Times New Roman" w:eastAsia="宋体" w:cs="Times New Roman"/>
          <w:b/>
          <w:bCs/>
          <w:color w:val="0C0C0C"/>
          <w:kern w:val="2"/>
          <w:sz w:val="21"/>
          <w:szCs w:val="24"/>
          <w:lang w:val="en-US" w:eastAsia="zh-CN" w:bidi="ar-SA"/>
        </w:rPr>
      </w:pPr>
      <w:r>
        <w:rPr>
          <w:rFonts w:hint="eastAsia" w:ascii="Times New Roman" w:hAnsi="Times New Roman" w:eastAsia="宋体" w:cs="Times New Roman"/>
          <w:b/>
          <w:bCs/>
          <w:color w:val="0C0C0C"/>
          <w:kern w:val="2"/>
          <w:sz w:val="21"/>
          <w:szCs w:val="24"/>
          <w:lang w:val="en-US" w:eastAsia="zh-CN" w:bidi="ar-SA"/>
        </w:rPr>
        <w:t>附图1    帐篷应急救灾标识图样</w:t>
      </w:r>
    </w:p>
    <w:p w14:paraId="4E5EAAD7">
      <w:pPr>
        <w:pStyle w:val="4"/>
        <w:autoSpaceDE w:val="0"/>
        <w:spacing w:line="360" w:lineRule="auto"/>
        <w:rPr>
          <w:rFonts w:hint="eastAsia" w:ascii="Times New Roman" w:hAnsi="Times New Roman" w:eastAsia="宋体" w:cs="Times New Roman"/>
          <w:b/>
          <w:bCs/>
          <w:color w:val="0C0C0C"/>
          <w:kern w:val="2"/>
          <w:sz w:val="21"/>
          <w:szCs w:val="24"/>
          <w:lang w:val="en-US" w:eastAsia="zh-CN" w:bidi="ar-SA"/>
        </w:rPr>
      </w:pPr>
    </w:p>
    <w:p w14:paraId="1B00B0C4">
      <w:pPr>
        <w:pStyle w:val="5"/>
        <w:ind w:left="0" w:leftChars="0" w:firstLine="0" w:firstLineChars="0"/>
        <w:rPr>
          <w:rFonts w:hint="eastAsia" w:eastAsia="宋体"/>
          <w:lang w:val="en-US" w:eastAsia="zh-CN"/>
        </w:rPr>
      </w:pPr>
      <w:r>
        <w:rPr>
          <w:rFonts w:hint="eastAsia" w:ascii="仿宋" w:hAnsi="仿宋" w:eastAsia="仿宋" w:cs="仿宋"/>
          <w:color w:val="auto"/>
          <w:sz w:val="21"/>
          <w:lang w:val="en-US" w:eastAsia="zh-CN" w:bidi="ar-SA"/>
        </w:rPr>
        <w:drawing>
          <wp:inline distT="0" distB="0" distL="114300" distR="114300">
            <wp:extent cx="2037715" cy="1960245"/>
            <wp:effectExtent l="0" t="0" r="635" b="1905"/>
            <wp:docPr id="3" name="图片 1" descr="9afef941167800867ae2810b8a580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9afef941167800867ae2810b8a580594"/>
                    <pic:cNvPicPr>
                      <a:picLocks noChangeAspect="1"/>
                    </pic:cNvPicPr>
                  </pic:nvPicPr>
                  <pic:blipFill>
                    <a:blip r:embed="rId4"/>
                    <a:stretch>
                      <a:fillRect/>
                    </a:stretch>
                  </pic:blipFill>
                  <pic:spPr>
                    <a:xfrm>
                      <a:off x="0" y="0"/>
                      <a:ext cx="2037715" cy="1960245"/>
                    </a:xfrm>
                    <a:prstGeom prst="rect">
                      <a:avLst/>
                    </a:prstGeom>
                    <a:noFill/>
                    <a:ln>
                      <a:noFill/>
                    </a:ln>
                  </pic:spPr>
                </pic:pic>
              </a:graphicData>
            </a:graphic>
          </wp:inline>
        </w:drawing>
      </w:r>
      <w:r>
        <w:rPr>
          <w:rFonts w:hint="eastAsia" w:eastAsia="宋体"/>
          <w:lang w:val="en-US" w:eastAsia="zh-CN"/>
        </w:rPr>
        <w:t xml:space="preserve"> </w:t>
      </w:r>
      <w:r>
        <w:rPr>
          <w:rFonts w:hint="eastAsia"/>
          <w:lang w:val="en-US" w:eastAsia="zh-CN"/>
        </w:rPr>
        <w:drawing>
          <wp:inline distT="0" distB="0" distL="114300" distR="114300">
            <wp:extent cx="1697355" cy="1706880"/>
            <wp:effectExtent l="0" t="0" r="17145" b="7620"/>
            <wp:docPr id="5" name="图片 2" descr="应急物资标识（帐篷篷顶图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应急物资标识（帐篷篷顶图案）"/>
                    <pic:cNvPicPr>
                      <a:picLocks noChangeAspect="1"/>
                    </pic:cNvPicPr>
                  </pic:nvPicPr>
                  <pic:blipFill>
                    <a:blip r:embed="rId5"/>
                    <a:stretch>
                      <a:fillRect/>
                    </a:stretch>
                  </pic:blipFill>
                  <pic:spPr>
                    <a:xfrm>
                      <a:off x="0" y="0"/>
                      <a:ext cx="1697355" cy="1706880"/>
                    </a:xfrm>
                    <a:prstGeom prst="rect">
                      <a:avLst/>
                    </a:prstGeom>
                    <a:noFill/>
                    <a:ln>
                      <a:noFill/>
                    </a:ln>
                  </pic:spPr>
                </pic:pic>
              </a:graphicData>
            </a:graphic>
          </wp:inline>
        </w:drawing>
      </w:r>
      <w:r>
        <w:rPr>
          <w:rFonts w:hint="eastAsia"/>
          <w:lang w:val="en-US" w:eastAsia="zh-CN"/>
        </w:rPr>
        <w:t xml:space="preserve"> </w:t>
      </w:r>
      <w:r>
        <w:rPr>
          <w:rFonts w:hint="eastAsia" w:eastAsia="宋体"/>
          <w:lang w:val="en-US" w:eastAsia="zh-CN"/>
        </w:rPr>
        <w:drawing>
          <wp:inline distT="0" distB="0" distL="114300" distR="114300">
            <wp:extent cx="1771650" cy="1628775"/>
            <wp:effectExtent l="0" t="0" r="0" b="9525"/>
            <wp:docPr id="4" name="图片 3" descr="应急物资标识（帐篷篷顶比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应急物资标识（帐篷篷顶比例）"/>
                    <pic:cNvPicPr>
                      <a:picLocks noChangeAspect="1"/>
                    </pic:cNvPicPr>
                  </pic:nvPicPr>
                  <pic:blipFill>
                    <a:blip r:embed="rId6"/>
                    <a:stretch>
                      <a:fillRect/>
                    </a:stretch>
                  </pic:blipFill>
                  <pic:spPr>
                    <a:xfrm>
                      <a:off x="0" y="0"/>
                      <a:ext cx="1771650" cy="1628775"/>
                    </a:xfrm>
                    <a:prstGeom prst="rect">
                      <a:avLst/>
                    </a:prstGeom>
                    <a:noFill/>
                    <a:ln>
                      <a:noFill/>
                    </a:ln>
                  </pic:spPr>
                </pic:pic>
              </a:graphicData>
            </a:graphic>
          </wp:inline>
        </w:drawing>
      </w:r>
    </w:p>
    <w:p w14:paraId="098F71EF">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1F6BC5C6">
      <w:pPr>
        <w:pStyle w:val="4"/>
        <w:autoSpaceDE w:val="0"/>
        <w:spacing w:line="360" w:lineRule="auto"/>
        <w:rPr>
          <w:rFonts w:hint="default"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说明</w:t>
      </w:r>
      <w:r>
        <w:rPr>
          <w:rFonts w:hint="default" w:ascii="Times New Roman" w:hAnsi="Times New Roman" w:eastAsia="宋体" w:cs="Times New Roman"/>
          <w:color w:val="0C0C0C"/>
          <w:kern w:val="2"/>
          <w:sz w:val="21"/>
          <w:szCs w:val="24"/>
          <w:lang w:val="en-US" w:eastAsia="zh-CN" w:bidi="ar-SA"/>
        </w:rPr>
        <w:t>：本附图仅展示标识图案、比例，仅作参考。不限制印刷工艺，</w:t>
      </w:r>
      <w:r>
        <w:rPr>
          <w:rFonts w:hint="eastAsia" w:ascii="Times New Roman" w:hAnsi="Times New Roman" w:eastAsia="宋体" w:cs="Times New Roman"/>
          <w:color w:val="0C0C0C"/>
          <w:kern w:val="2"/>
          <w:sz w:val="21"/>
          <w:szCs w:val="24"/>
          <w:lang w:val="en-US" w:eastAsia="zh-CN" w:bidi="ar-SA"/>
        </w:rPr>
        <w:t>供应商的</w:t>
      </w:r>
      <w:r>
        <w:rPr>
          <w:rFonts w:hint="default" w:ascii="Times New Roman" w:hAnsi="Times New Roman" w:eastAsia="宋体" w:cs="Times New Roman"/>
          <w:color w:val="0C0C0C"/>
          <w:kern w:val="2"/>
          <w:sz w:val="21"/>
          <w:szCs w:val="24"/>
          <w:lang w:val="en-US" w:eastAsia="zh-CN" w:bidi="ar-SA"/>
        </w:rPr>
        <w:t>产品成品标识图案、比例满足</w:t>
      </w:r>
      <w:r>
        <w:rPr>
          <w:rFonts w:hint="eastAsia" w:ascii="Times New Roman" w:hAnsi="Times New Roman" w:eastAsia="宋体" w:cs="Times New Roman"/>
          <w:color w:val="0C0C0C"/>
          <w:kern w:val="2"/>
          <w:sz w:val="21"/>
          <w:szCs w:val="24"/>
          <w:lang w:val="en-US" w:eastAsia="zh-CN" w:bidi="ar-SA"/>
        </w:rPr>
        <w:t>本章本节</w:t>
      </w:r>
      <w:r>
        <w:rPr>
          <w:rFonts w:hint="default" w:ascii="Times New Roman" w:hAnsi="Times New Roman" w:eastAsia="宋体" w:cs="Times New Roman"/>
          <w:color w:val="0C0C0C"/>
          <w:kern w:val="2"/>
          <w:sz w:val="21"/>
          <w:szCs w:val="24"/>
          <w:lang w:val="en-US" w:eastAsia="zh-CN" w:bidi="ar-SA"/>
        </w:rPr>
        <w:t>文字要求即可，不强制采用本图印刷工艺。</w:t>
      </w:r>
    </w:p>
    <w:p w14:paraId="2AAF0A6D">
      <w:pPr>
        <w:pStyle w:val="4"/>
        <w:autoSpaceDE w:val="0"/>
        <w:spacing w:line="360" w:lineRule="auto"/>
        <w:rPr>
          <w:rFonts w:hint="eastAsia" w:ascii="Times New Roman" w:hAnsi="Times New Roman" w:eastAsia="宋体" w:cs="Times New Roman"/>
          <w:b/>
          <w:bCs/>
          <w:color w:val="0C0C0C"/>
          <w:kern w:val="2"/>
          <w:sz w:val="21"/>
          <w:szCs w:val="24"/>
          <w:lang w:val="en-US" w:eastAsia="zh-CN" w:bidi="ar-SA"/>
        </w:rPr>
      </w:pPr>
    </w:p>
    <w:p w14:paraId="77A7ED98">
      <w:pPr>
        <w:pStyle w:val="4"/>
        <w:autoSpaceDE w:val="0"/>
        <w:spacing w:line="360" w:lineRule="auto"/>
        <w:rPr>
          <w:rFonts w:hint="eastAsia" w:ascii="Times New Roman" w:hAnsi="Times New Roman" w:eastAsia="宋体" w:cs="Times New Roman"/>
          <w:b/>
          <w:bCs/>
          <w:color w:val="0C0C0C"/>
          <w:kern w:val="2"/>
          <w:sz w:val="21"/>
          <w:szCs w:val="24"/>
          <w:lang w:val="en-US" w:eastAsia="zh-CN" w:bidi="ar-SA"/>
        </w:rPr>
      </w:pPr>
    </w:p>
    <w:p w14:paraId="29C6B043">
      <w:pPr>
        <w:pStyle w:val="4"/>
        <w:autoSpaceDE w:val="0"/>
        <w:spacing w:line="360" w:lineRule="auto"/>
        <w:rPr>
          <w:rFonts w:hint="eastAsia" w:ascii="Times New Roman" w:hAnsi="Times New Roman" w:eastAsia="宋体" w:cs="Times New Roman"/>
          <w:b/>
          <w:bCs/>
          <w:color w:val="0C0C0C"/>
          <w:kern w:val="2"/>
          <w:sz w:val="21"/>
          <w:szCs w:val="24"/>
          <w:lang w:val="en-US" w:eastAsia="zh-CN" w:bidi="ar-SA"/>
        </w:rPr>
      </w:pPr>
    </w:p>
    <w:p w14:paraId="55DDD191">
      <w:pPr>
        <w:pStyle w:val="4"/>
        <w:autoSpaceDE w:val="0"/>
        <w:spacing w:line="360" w:lineRule="auto"/>
        <w:rPr>
          <w:rFonts w:hint="eastAsia" w:ascii="Times New Roman" w:hAnsi="Times New Roman" w:eastAsia="宋体" w:cs="Times New Roman"/>
          <w:b/>
          <w:bCs/>
          <w:color w:val="0C0C0C"/>
          <w:kern w:val="2"/>
          <w:sz w:val="21"/>
          <w:szCs w:val="24"/>
          <w:lang w:val="en-US" w:eastAsia="zh-CN" w:bidi="ar-SA"/>
        </w:rPr>
      </w:pPr>
    </w:p>
    <w:p w14:paraId="6700D426">
      <w:pPr>
        <w:pStyle w:val="4"/>
        <w:autoSpaceDE w:val="0"/>
        <w:spacing w:line="360" w:lineRule="auto"/>
        <w:rPr>
          <w:rFonts w:hint="eastAsia" w:ascii="Times New Roman" w:hAnsi="Times New Roman" w:eastAsia="宋体" w:cs="Times New Roman"/>
          <w:b/>
          <w:bCs/>
          <w:color w:val="0C0C0C"/>
          <w:kern w:val="2"/>
          <w:sz w:val="21"/>
          <w:szCs w:val="24"/>
          <w:lang w:val="en-US" w:eastAsia="zh-CN" w:bidi="ar-SA"/>
        </w:rPr>
      </w:pPr>
      <w:r>
        <w:rPr>
          <w:rFonts w:hint="eastAsia" w:ascii="Times New Roman" w:hAnsi="Times New Roman" w:eastAsia="宋体" w:cs="Times New Roman"/>
          <w:b/>
          <w:bCs/>
          <w:color w:val="0C0C0C"/>
          <w:kern w:val="2"/>
          <w:sz w:val="21"/>
          <w:szCs w:val="24"/>
          <w:lang w:val="en-US" w:eastAsia="zh-CN" w:bidi="ar-SA"/>
        </w:rPr>
        <w:t>附图2    “湖南 HUNAN” 标志示意图</w:t>
      </w:r>
    </w:p>
    <w:p w14:paraId="0AA2D309">
      <w:pPr>
        <w:pStyle w:val="4"/>
        <w:autoSpaceDE w:val="0"/>
        <w:spacing w:line="360" w:lineRule="auto"/>
        <w:rPr>
          <w:rFonts w:hint="default" w:ascii="Times New Roman" w:hAnsi="Times New Roman" w:eastAsia="宋体" w:cs="Times New Roman"/>
          <w:color w:val="0C0C0C"/>
          <w:kern w:val="2"/>
          <w:sz w:val="21"/>
          <w:szCs w:val="24"/>
          <w:lang w:val="en-US" w:eastAsia="zh-CN" w:bidi="ar-SA"/>
        </w:rPr>
      </w:pPr>
      <w:r>
        <w:rPr>
          <w:rFonts w:hint="eastAsia" w:hAnsi="宋体"/>
          <w:color w:val="auto"/>
        </w:rPr>
        <w:drawing>
          <wp:inline distT="0" distB="0" distL="114300" distR="114300">
            <wp:extent cx="5727065" cy="4482465"/>
            <wp:effectExtent l="0" t="0" r="6985" b="13335"/>
            <wp:docPr id="2" name="图片 4" descr="湖南HU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湖南HUNAN"/>
                    <pic:cNvPicPr>
                      <a:picLocks noChangeAspect="1"/>
                    </pic:cNvPicPr>
                  </pic:nvPicPr>
                  <pic:blipFill>
                    <a:blip r:embed="rId7"/>
                    <a:stretch>
                      <a:fillRect/>
                    </a:stretch>
                  </pic:blipFill>
                  <pic:spPr>
                    <a:xfrm>
                      <a:off x="0" y="0"/>
                      <a:ext cx="5727065" cy="4482465"/>
                    </a:xfrm>
                    <a:prstGeom prst="rect">
                      <a:avLst/>
                    </a:prstGeom>
                    <a:noFill/>
                    <a:ln>
                      <a:noFill/>
                    </a:ln>
                  </pic:spPr>
                </pic:pic>
              </a:graphicData>
            </a:graphic>
          </wp:inline>
        </w:drawing>
      </w:r>
    </w:p>
    <w:p w14:paraId="16E0212B">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说明</w:t>
      </w:r>
      <w:r>
        <w:rPr>
          <w:rFonts w:hint="default" w:ascii="Times New Roman" w:hAnsi="Times New Roman" w:eastAsia="宋体" w:cs="Times New Roman"/>
          <w:color w:val="0C0C0C"/>
          <w:kern w:val="2"/>
          <w:sz w:val="21"/>
          <w:szCs w:val="24"/>
          <w:lang w:val="en-US" w:eastAsia="zh-CN" w:bidi="ar-SA"/>
        </w:rPr>
        <w:t>：本附图仅展示标志印刷位置与外观尺寸，仅作参考。</w:t>
      </w:r>
      <w:r>
        <w:rPr>
          <w:rFonts w:hint="eastAsia" w:ascii="Times New Roman" w:hAnsi="Times New Roman" w:eastAsia="宋体" w:cs="Times New Roman"/>
          <w:color w:val="0C0C0C"/>
          <w:kern w:val="2"/>
          <w:sz w:val="21"/>
          <w:szCs w:val="24"/>
          <w:lang w:val="en-US" w:eastAsia="zh-CN" w:bidi="ar-SA"/>
        </w:rPr>
        <w:t>供应商</w:t>
      </w:r>
      <w:r>
        <w:rPr>
          <w:rFonts w:hint="default" w:ascii="Times New Roman" w:hAnsi="Times New Roman" w:eastAsia="宋体" w:cs="Times New Roman"/>
          <w:color w:val="0C0C0C"/>
          <w:kern w:val="2"/>
          <w:sz w:val="21"/>
          <w:szCs w:val="24"/>
          <w:lang w:val="en-US" w:eastAsia="zh-CN" w:bidi="ar-SA"/>
        </w:rPr>
        <w:t>只要成品印刷位置、文字尺寸满足</w:t>
      </w:r>
      <w:r>
        <w:rPr>
          <w:rFonts w:hint="eastAsia" w:ascii="Times New Roman" w:hAnsi="Times New Roman" w:eastAsia="宋体" w:cs="Times New Roman"/>
          <w:color w:val="0C0C0C"/>
          <w:kern w:val="2"/>
          <w:sz w:val="21"/>
          <w:szCs w:val="24"/>
          <w:lang w:val="en-US" w:eastAsia="zh-CN" w:bidi="ar-SA"/>
        </w:rPr>
        <w:t>本章本节</w:t>
      </w:r>
      <w:r>
        <w:rPr>
          <w:rFonts w:hint="default" w:ascii="Times New Roman" w:hAnsi="Times New Roman" w:eastAsia="宋体" w:cs="Times New Roman"/>
          <w:color w:val="0C0C0C"/>
          <w:kern w:val="2"/>
          <w:sz w:val="21"/>
          <w:szCs w:val="24"/>
          <w:lang w:val="en-US" w:eastAsia="zh-CN" w:bidi="ar-SA"/>
        </w:rPr>
        <w:t>文字</w:t>
      </w:r>
      <w:r>
        <w:rPr>
          <w:rFonts w:hint="eastAsia" w:ascii="Times New Roman" w:hAnsi="Times New Roman" w:eastAsia="宋体" w:cs="Times New Roman"/>
          <w:color w:val="0C0C0C"/>
          <w:kern w:val="2"/>
          <w:sz w:val="21"/>
          <w:szCs w:val="24"/>
          <w:lang w:val="en-US" w:eastAsia="zh-CN" w:bidi="ar-SA"/>
        </w:rPr>
        <w:t>要求</w:t>
      </w:r>
      <w:r>
        <w:rPr>
          <w:rFonts w:hint="default" w:ascii="Times New Roman" w:hAnsi="Times New Roman" w:eastAsia="宋体" w:cs="Times New Roman"/>
          <w:color w:val="0C0C0C"/>
          <w:kern w:val="2"/>
          <w:sz w:val="21"/>
          <w:szCs w:val="24"/>
          <w:lang w:val="en-US" w:eastAsia="zh-CN" w:bidi="ar-SA"/>
        </w:rPr>
        <w:t>即可，不约束帐篷内部零部件结构。</w:t>
      </w:r>
    </w:p>
    <w:p w14:paraId="1B2EC62A">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4898832C">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7920A932">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21F6D763">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735A26A8">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6586B935">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14F656BD">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22484069">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61B84828">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38E08755">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1816915C">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4B5EBF65">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0873AA11">
      <w:pPr>
        <w:pStyle w:val="4"/>
        <w:autoSpaceDE w:val="0"/>
        <w:spacing w:line="360" w:lineRule="auto"/>
        <w:rPr>
          <w:rFonts w:hint="eastAsia" w:ascii="Times New Roman" w:hAnsi="Times New Roman" w:eastAsia="宋体" w:cs="Times New Roman"/>
          <w:b/>
          <w:bCs/>
          <w:color w:val="0C0C0C"/>
          <w:kern w:val="2"/>
          <w:sz w:val="21"/>
          <w:szCs w:val="24"/>
          <w:lang w:val="en-US" w:eastAsia="zh-CN" w:bidi="ar-SA"/>
        </w:rPr>
      </w:pPr>
      <w:r>
        <w:rPr>
          <w:rFonts w:hint="eastAsia" w:ascii="Times New Roman" w:hAnsi="Times New Roman" w:eastAsia="宋体" w:cs="Times New Roman"/>
          <w:b/>
          <w:bCs/>
          <w:color w:val="0C0C0C"/>
          <w:kern w:val="2"/>
          <w:sz w:val="21"/>
          <w:szCs w:val="24"/>
          <w:lang w:val="en-US" w:eastAsia="zh-CN" w:bidi="ar-SA"/>
        </w:rPr>
        <w:t>附图 3    防雨性能试验示意图</w:t>
      </w:r>
    </w:p>
    <w:p w14:paraId="5F587E20">
      <w:pPr>
        <w:pStyle w:val="4"/>
        <w:autoSpaceDE w:val="0"/>
        <w:spacing w:line="360" w:lineRule="auto"/>
        <w:jc w:val="center"/>
      </w:pPr>
      <w:r>
        <w:drawing>
          <wp:inline distT="0" distB="0" distL="114300" distR="114300">
            <wp:extent cx="4773295" cy="3721735"/>
            <wp:effectExtent l="0" t="0" r="8255" b="12065"/>
            <wp:docPr id="1" name="图片 5" descr="65566a8dac1ba70a5476ca97af564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65566a8dac1ba70a5476ca97af564c8"/>
                    <pic:cNvPicPr>
                      <a:picLocks noChangeAspect="1"/>
                    </pic:cNvPicPr>
                  </pic:nvPicPr>
                  <pic:blipFill>
                    <a:blip r:embed="rId8"/>
                    <a:stretch>
                      <a:fillRect/>
                    </a:stretch>
                  </pic:blipFill>
                  <pic:spPr>
                    <a:xfrm>
                      <a:off x="0" y="0"/>
                      <a:ext cx="4773295" cy="3721735"/>
                    </a:xfrm>
                    <a:prstGeom prst="rect">
                      <a:avLst/>
                    </a:prstGeom>
                    <a:noFill/>
                    <a:ln>
                      <a:noFill/>
                    </a:ln>
                  </pic:spPr>
                </pic:pic>
              </a:graphicData>
            </a:graphic>
          </wp:inline>
        </w:drawing>
      </w:r>
    </w:p>
    <w:p w14:paraId="585A0CBB">
      <w:pPr>
        <w:pStyle w:val="4"/>
        <w:autoSpaceDE w:val="0"/>
        <w:spacing w:line="360" w:lineRule="auto"/>
      </w:pPr>
    </w:p>
    <w:p w14:paraId="410E73CC">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说明</w:t>
      </w:r>
      <w:r>
        <w:rPr>
          <w:rFonts w:hint="default" w:ascii="Times New Roman" w:hAnsi="Times New Roman" w:eastAsia="宋体" w:cs="Times New Roman"/>
          <w:color w:val="0C0C0C"/>
          <w:kern w:val="2"/>
          <w:sz w:val="21"/>
          <w:szCs w:val="24"/>
          <w:lang w:val="en-US" w:eastAsia="zh-CN" w:bidi="ar-SA"/>
        </w:rPr>
        <w:t>：本附图仅为防雨检测试验布置参考示意图，不代表产品零部件图纸。防雨性能判定以</w:t>
      </w:r>
      <w:r>
        <w:rPr>
          <w:rFonts w:hint="eastAsia" w:ascii="Times New Roman" w:hAnsi="Times New Roman" w:eastAsia="宋体" w:cs="Times New Roman"/>
          <w:color w:val="0C0C0C"/>
          <w:kern w:val="2"/>
          <w:sz w:val="21"/>
          <w:szCs w:val="24"/>
          <w:lang w:val="en-US" w:eastAsia="zh-CN" w:bidi="ar-SA"/>
        </w:rPr>
        <w:t>本章本节</w:t>
      </w:r>
      <w:r>
        <w:rPr>
          <w:rFonts w:hint="default" w:ascii="Times New Roman" w:hAnsi="Times New Roman" w:eastAsia="宋体" w:cs="Times New Roman"/>
          <w:color w:val="0C0C0C"/>
          <w:kern w:val="2"/>
          <w:sz w:val="21"/>
          <w:szCs w:val="24"/>
          <w:lang w:val="en-US" w:eastAsia="zh-CN" w:bidi="ar-SA"/>
        </w:rPr>
        <w:t>中文字规定的成品性能指标为准。</w:t>
      </w:r>
    </w:p>
    <w:p w14:paraId="594A6C3C">
      <w:pPr>
        <w:pStyle w:val="4"/>
        <w:autoSpaceDE w:val="0"/>
        <w:spacing w:line="360" w:lineRule="auto"/>
      </w:pPr>
    </w:p>
    <w:p w14:paraId="03F2D068">
      <w:pPr>
        <w:pStyle w:val="4"/>
        <w:autoSpaceDE w:val="0"/>
        <w:spacing w:line="360" w:lineRule="auto"/>
      </w:pPr>
    </w:p>
    <w:p w14:paraId="4EA0E2CD">
      <w:pPr>
        <w:pStyle w:val="4"/>
        <w:autoSpaceDE w:val="0"/>
        <w:spacing w:line="360" w:lineRule="auto"/>
      </w:pPr>
    </w:p>
    <w:p w14:paraId="3F0403A7">
      <w:pPr>
        <w:pStyle w:val="4"/>
        <w:autoSpaceDE w:val="0"/>
        <w:spacing w:line="360" w:lineRule="auto"/>
      </w:pPr>
    </w:p>
    <w:p w14:paraId="230CCA6E">
      <w:pPr>
        <w:pStyle w:val="4"/>
        <w:autoSpaceDE w:val="0"/>
        <w:spacing w:line="360" w:lineRule="auto"/>
      </w:pPr>
    </w:p>
    <w:p w14:paraId="2315F98A">
      <w:pPr>
        <w:pStyle w:val="4"/>
        <w:autoSpaceDE w:val="0"/>
        <w:spacing w:line="360" w:lineRule="auto"/>
      </w:pPr>
    </w:p>
    <w:p w14:paraId="490FF1CA">
      <w:pPr>
        <w:pStyle w:val="4"/>
        <w:autoSpaceDE w:val="0"/>
        <w:spacing w:line="360" w:lineRule="auto"/>
      </w:pPr>
    </w:p>
    <w:p w14:paraId="031C41B8">
      <w:pPr>
        <w:pStyle w:val="4"/>
        <w:autoSpaceDE w:val="0"/>
        <w:spacing w:line="360" w:lineRule="auto"/>
      </w:pPr>
    </w:p>
    <w:p w14:paraId="3507BED8">
      <w:pPr>
        <w:pStyle w:val="4"/>
        <w:autoSpaceDE w:val="0"/>
        <w:spacing w:line="360" w:lineRule="auto"/>
      </w:pPr>
    </w:p>
    <w:p w14:paraId="0FDB4436">
      <w:pPr>
        <w:pStyle w:val="4"/>
        <w:autoSpaceDE w:val="0"/>
        <w:spacing w:line="360" w:lineRule="auto"/>
      </w:pPr>
    </w:p>
    <w:p w14:paraId="5310FCFD">
      <w:pPr>
        <w:pStyle w:val="4"/>
        <w:autoSpaceDE w:val="0"/>
        <w:spacing w:line="360" w:lineRule="auto"/>
      </w:pPr>
    </w:p>
    <w:p w14:paraId="19473AA4">
      <w:pPr>
        <w:pStyle w:val="4"/>
        <w:autoSpaceDE w:val="0"/>
        <w:spacing w:line="360" w:lineRule="auto"/>
      </w:pPr>
    </w:p>
    <w:p w14:paraId="4A5F227A">
      <w:pPr>
        <w:pStyle w:val="4"/>
        <w:autoSpaceDE w:val="0"/>
        <w:spacing w:line="360" w:lineRule="auto"/>
        <w:rPr>
          <w:rFonts w:hint="eastAsia"/>
          <w:lang w:val="en-US" w:eastAsia="zh-CN"/>
        </w:rPr>
      </w:pPr>
    </w:p>
    <w:p w14:paraId="65CD5790">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（二）三折叠床（1850mm×700mm×355mm）</w:t>
      </w:r>
    </w:p>
    <w:p w14:paraId="2B8A2B99">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（1）外形尺寸：</w:t>
      </w:r>
      <w:r>
        <w:rPr>
          <w:rFonts w:hint="eastAsia"/>
          <w:lang w:val="en-US" w:eastAsia="zh-CN"/>
        </w:rPr>
        <w:t>展开状态</w:t>
      </w:r>
      <w:r>
        <w:rPr>
          <w:rFonts w:hint="eastAsia" w:ascii="Times New Roman" w:hAnsi="Times New Roman" w:eastAsia="宋体" w:cs="Times New Roman"/>
          <w:color w:val="0C0C0C"/>
          <w:kern w:val="2"/>
          <w:sz w:val="21"/>
          <w:szCs w:val="24"/>
          <w:lang w:val="en-US" w:eastAsia="zh-CN" w:bidi="ar-SA"/>
        </w:rPr>
        <w:t>1850mm+10mm×700mm+5×355mm±10mm（长×宽×高）。</w:t>
      </w:r>
    </w:p>
    <w:p w14:paraId="26F6CB25">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（2</w:t>
      </w:r>
      <w:r>
        <w:rPr>
          <w:rFonts w:hint="eastAsia" w:ascii="Times New Roman" w:hAnsi="Times New Roman" w:eastAsia="宋体" w:cs="Times New Roman"/>
          <w:color w:val="0C0C0C"/>
          <w:kern w:val="2"/>
          <w:sz w:val="21"/>
          <w:szCs w:val="24"/>
          <w:highlight w:val="none"/>
          <w:lang w:val="en-US" w:eastAsia="zh-CN" w:bidi="ar-SA"/>
        </w:rPr>
        <w:t>）样式：三折叠救灾床，床架为可折叠式；由床面、床架、床腿及靠背组成；靠背角度可多档调节，分别为109°、132°、155°；折叠、撤收灵便，无卡滞</w:t>
      </w:r>
      <w:r>
        <w:rPr>
          <w:rFonts w:hint="eastAsia" w:ascii="Times New Roman" w:hAnsi="Times New Roman" w:eastAsia="宋体" w:cs="Times New Roman"/>
          <w:color w:val="0C0C0C"/>
          <w:kern w:val="2"/>
          <w:sz w:val="21"/>
          <w:szCs w:val="24"/>
          <w:lang w:val="en-US" w:eastAsia="zh-CN" w:bidi="ar-SA"/>
        </w:rPr>
        <w:t>；</w:t>
      </w:r>
    </w:p>
    <w:p w14:paraId="214407B2">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（3）床架材质：</w:t>
      </w:r>
    </w:p>
    <w:p w14:paraId="1C9010F4">
      <w:pPr>
        <w:pStyle w:val="4"/>
        <w:autoSpaceDE w:val="0"/>
        <w:spacing w:line="360" w:lineRule="auto"/>
        <w:ind w:firstLine="630" w:firstLineChars="3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1）床架、床腿：6063异形铝合金管材，截面尺寸22mm×19mm，壁厚≥2.2mm；</w:t>
      </w:r>
    </w:p>
    <w:p w14:paraId="77A42EC3">
      <w:pPr>
        <w:pStyle w:val="4"/>
        <w:autoSpaceDE w:val="0"/>
        <w:spacing w:line="360" w:lineRule="auto"/>
        <w:ind w:firstLine="630" w:firstLineChars="3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2）床腿支撑管：6063异形铝合金管材，截面尺寸19mm×16mm，壁厚≥2mm；</w:t>
      </w:r>
    </w:p>
    <w:p w14:paraId="150EA052">
      <w:pPr>
        <w:pStyle w:val="4"/>
        <w:autoSpaceDE w:val="0"/>
        <w:spacing w:line="360" w:lineRule="auto"/>
        <w:ind w:firstLine="630" w:firstLineChars="3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3）铝合金管材应符合GB/T 6892-2023《一般工业用铝及铝合金挤压型材》要求，其力学性能（6063-T5）为：抗拉强度Rm≥160MPa、规定塑性延伸强度Rp0.2≥110MPa、断后伸长率A≥8%（GB/T 228.1-2021）；</w:t>
      </w:r>
    </w:p>
    <w:p w14:paraId="367CC04A">
      <w:pPr>
        <w:pStyle w:val="4"/>
        <w:autoSpaceDE w:val="0"/>
        <w:spacing w:line="360" w:lineRule="auto"/>
        <w:ind w:firstLine="630" w:firstLineChars="3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4）床架连接件、靠背调节扣：钢板Q195～Q235，厚度t2.0mm；</w:t>
      </w:r>
    </w:p>
    <w:p w14:paraId="4AE1E06F">
      <w:pPr>
        <w:pStyle w:val="4"/>
        <w:autoSpaceDE w:val="0"/>
        <w:spacing w:line="360" w:lineRule="auto"/>
        <w:ind w:firstLine="630" w:firstLineChars="3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5）床架、床腿不进行喷塑处理；配件表面为灰色环氧树脂喷塑，喷塑漆膜厚度≥35μm，漆膜饱满光洁、无露底、无裂纹；</w:t>
      </w:r>
    </w:p>
    <w:p w14:paraId="66868A40">
      <w:pPr>
        <w:pStyle w:val="4"/>
        <w:autoSpaceDE w:val="0"/>
        <w:spacing w:line="360" w:lineRule="auto"/>
        <w:ind w:firstLine="630" w:firstLineChars="3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6）喷塑配件：中性盐雾试验96h，漆膜不起泡、不脱落、无锈斑（QB/T 3826）；电镀锌配件：中性盐雾试验48h，主要表面无锈斑（QB/T</w:t>
      </w:r>
      <w:r>
        <w:rPr>
          <w:rFonts w:hint="eastAsia" w:ascii="Times New Roman" w:hAnsi="Times New Roman" w:eastAsia="宋体" w:cs="Times New Roman"/>
          <w:color w:val="0C0C0C"/>
          <w:kern w:val="2"/>
          <w:sz w:val="21"/>
          <w:szCs w:val="24"/>
          <w:highlight w:val="none"/>
          <w:lang w:val="en-US" w:eastAsia="zh-CN" w:bidi="ar-SA"/>
        </w:rPr>
        <w:t xml:space="preserve"> 3826）；配件喷塑灰色（银灰色）。</w:t>
      </w:r>
    </w:p>
    <w:p w14:paraId="3BF76FE8">
      <w:pPr>
        <w:pStyle w:val="4"/>
        <w:autoSpaceDE w:val="0"/>
        <w:spacing w:line="360" w:lineRule="auto"/>
        <w:ind w:firstLine="630" w:firstLineChars="3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7）紧固件：螺钉 M6；螺母 M6；垫圈 M6；Φ6mm 铆钉，材质为304不锈钢；所有紧固件装配后不得存在尖锐毛刺。床架端口配置外径 22mm×19mm 塑料堵盖；靠背配置 30mm×24.5mm 塑料垫；床腿配置防滑垫；塑料堵盖、塑料垫、防滑垫装配牢固，仓储、使用过程不易脱落，防滑垫具备耐磨防滑性能。</w:t>
      </w:r>
    </w:p>
    <w:p w14:paraId="52EA3770">
      <w:pPr>
        <w:pStyle w:val="4"/>
        <w:autoSpaceDE w:val="0"/>
        <w:spacing w:line="360" w:lineRule="auto"/>
        <w:ind w:firstLine="420" w:firstLineChars="2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lang w:val="en-US" w:eastAsia="zh-CN" w:bidi="ar-SA"/>
        </w:rPr>
        <w:t>（4）床面材质：天蓝单面PU涂层布1111dtex×1111dtex涤纶丝</w:t>
      </w:r>
      <w:r>
        <w:rPr>
          <w:rFonts w:hint="eastAsia" w:ascii="Times New Roman" w:hAnsi="Times New Roman" w:eastAsia="宋体" w:cs="Times New Roman"/>
          <w:color w:val="0C0C0C"/>
          <w:kern w:val="2"/>
          <w:sz w:val="21"/>
          <w:szCs w:val="24"/>
          <w:highlight w:val="none"/>
          <w:lang w:val="en-US" w:eastAsia="zh-CN" w:bidi="ar-SA"/>
        </w:rPr>
        <w:t>；单位面积质量≥370g/m</w:t>
      </w:r>
      <w:r>
        <w:rPr>
          <w:rFonts w:hint="eastAsia" w:ascii="Times New Roman" w:hAnsi="Times New Roman" w:eastAsia="宋体" w:cs="Times New Roman"/>
          <w:color w:val="0C0C0C"/>
          <w:kern w:val="2"/>
          <w:sz w:val="21"/>
          <w:szCs w:val="24"/>
          <w:highlight w:val="none"/>
          <w:vertAlign w:val="superscript"/>
          <w:lang w:val="en-US" w:eastAsia="zh-CN" w:bidi="ar-SA"/>
        </w:rPr>
        <w:t>2</w:t>
      </w:r>
      <w:r>
        <w:rPr>
          <w:rFonts w:hint="eastAsia" w:ascii="Times New Roman" w:hAnsi="Times New Roman" w:eastAsia="宋体" w:cs="Times New Roman"/>
          <w:color w:val="0C0C0C"/>
          <w:kern w:val="2"/>
          <w:sz w:val="21"/>
          <w:szCs w:val="24"/>
          <w:highlight w:val="none"/>
          <w:lang w:val="en-US" w:eastAsia="zh-CN" w:bidi="ar-SA"/>
        </w:rPr>
        <w:t>，</w:t>
      </w:r>
      <w:r>
        <w:rPr>
          <w:rFonts w:hint="eastAsia" w:ascii="Times New Roman" w:hAnsi="Times New Roman" w:eastAsia="宋体" w:cs="Times New Roman"/>
          <w:color w:val="0C0C0C"/>
          <w:kern w:val="2"/>
          <w:sz w:val="21"/>
          <w:szCs w:val="24"/>
          <w:lang w:val="en-US" w:eastAsia="zh-CN" w:bidi="ar-SA"/>
        </w:rPr>
        <w:t>断裂强力：经向≥2600N/5cm、纬向≥180</w:t>
      </w:r>
      <w:r>
        <w:rPr>
          <w:rFonts w:hint="eastAsia" w:ascii="Times New Roman" w:hAnsi="Times New Roman" w:eastAsia="宋体" w:cs="Times New Roman"/>
          <w:color w:val="0C0C0C"/>
          <w:kern w:val="2"/>
          <w:sz w:val="21"/>
          <w:szCs w:val="24"/>
          <w:highlight w:val="none"/>
          <w:lang w:val="en-US" w:eastAsia="zh-CN" w:bidi="ar-SA"/>
        </w:rPr>
        <w:t>0N/5cm，撕破强力：</w:t>
      </w:r>
      <w:r>
        <w:rPr>
          <w:rFonts w:hint="eastAsia" w:ascii="Times New Roman" w:hAnsi="Times New Roman" w:eastAsia="宋体" w:cs="Times New Roman"/>
          <w:color w:val="0C0C0C"/>
          <w:kern w:val="2"/>
          <w:sz w:val="21"/>
          <w:szCs w:val="24"/>
          <w:lang w:val="en-US" w:eastAsia="zh-CN" w:bidi="ar-SA"/>
        </w:rPr>
        <w:t>经向≥200N、纬向≥20</w:t>
      </w:r>
      <w:r>
        <w:rPr>
          <w:rFonts w:hint="eastAsia" w:ascii="Times New Roman" w:hAnsi="Times New Roman" w:eastAsia="宋体" w:cs="Times New Roman"/>
          <w:color w:val="0C0C0C"/>
          <w:kern w:val="2"/>
          <w:sz w:val="21"/>
          <w:szCs w:val="24"/>
          <w:highlight w:val="none"/>
          <w:lang w:val="en-US" w:eastAsia="zh-CN" w:bidi="ar-SA"/>
        </w:rPr>
        <w:t>0N；静水压≥5kPa。</w:t>
      </w:r>
    </w:p>
    <w:p w14:paraId="4C95CFFC">
      <w:pPr>
        <w:pStyle w:val="4"/>
        <w:autoSpaceDE w:val="0"/>
        <w:spacing w:line="360" w:lineRule="auto"/>
        <w:ind w:firstLine="420" w:firstLineChars="2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（5）成品色差：同批次三折叠床成品面料相互之间色差不低于GB/T 250</w:t>
      </w:r>
      <w:r>
        <w:rPr>
          <w:rFonts w:hint="eastAsia" w:ascii="Times New Roman" w:hAnsi="Times New Roman" w:eastAsia="宋体" w:cs="Times New Roman"/>
          <w:color w:val="0C0C0C"/>
          <w:kern w:val="2"/>
          <w:sz w:val="21"/>
          <w:szCs w:val="24"/>
          <w:highlight w:val="none"/>
          <w:lang w:val="en-US" w:eastAsia="zh-CN" w:bidi="ar-SA"/>
        </w:rPr>
        <w:noBreakHyphen/>
      </w:r>
      <w:r>
        <w:rPr>
          <w:rFonts w:hint="eastAsia" w:ascii="Times New Roman" w:hAnsi="Times New Roman" w:eastAsia="宋体" w:cs="Times New Roman"/>
          <w:color w:val="0C0C0C"/>
          <w:kern w:val="2"/>
          <w:sz w:val="21"/>
          <w:szCs w:val="24"/>
          <w:highlight w:val="none"/>
          <w:lang w:val="en-US" w:eastAsia="zh-CN" w:bidi="ar-SA"/>
        </w:rPr>
        <w:t>2008《纺织品 色牢度试验 评定变色用灰色样卡》4 级；线带与床面面料主体之间色差不低于该标准3级。</w:t>
      </w:r>
    </w:p>
    <w:p w14:paraId="695DED34">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（6）标志印刷：床靠背布正面居中印制附图 6 应急救灾标识图样，图样严格按附图6等比例缩放，不得改动图案比例；标识中 “应急救灾” 白色字样采用平头黑体，字体高度 50mm，整套标识在 300mm 长度范围内居中排布；同步印制产品名称、承制单位、监制单位、生产年月信息。印刷位置端正、图文清晰、色度饱满、附着牢固，经水冲擦拭无褪色、脱落现象。附图仅作为图样参考，不限制印刷加工工艺。</w:t>
      </w:r>
    </w:p>
    <w:p w14:paraId="6C4DF2D2">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（7）承重性能：静载荷≥1500N（</w:t>
      </w:r>
      <w:r>
        <w:rPr>
          <w:rFonts w:hint="eastAsia" w:ascii="宋体" w:hAnsi="宋体" w:eastAsia="宋体" w:cs="宋体"/>
          <w:color w:val="0C0C0C"/>
          <w:kern w:val="2"/>
          <w:sz w:val="21"/>
          <w:szCs w:val="24"/>
          <w:lang w:val="en-US" w:eastAsia="zh-CN" w:bidi="ar-SA"/>
        </w:rPr>
        <w:t>≥</w:t>
      </w:r>
      <w:r>
        <w:rPr>
          <w:rFonts w:hint="eastAsia" w:ascii="Times New Roman" w:hAnsi="Times New Roman" w:eastAsia="宋体" w:cs="Times New Roman"/>
          <w:color w:val="0C0C0C"/>
          <w:kern w:val="2"/>
          <w:sz w:val="21"/>
          <w:szCs w:val="24"/>
          <w:lang w:val="en-US" w:eastAsia="zh-CN" w:bidi="ar-SA"/>
        </w:rPr>
        <w:t>150kg）集中力下无永久变形。</w:t>
      </w:r>
    </w:p>
    <w:p w14:paraId="6EAB501F">
      <w:pPr>
        <w:pStyle w:val="4"/>
        <w:autoSpaceDE w:val="0"/>
        <w:spacing w:line="360" w:lineRule="auto"/>
        <w:ind w:firstLine="420" w:firstLineChars="2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lang w:val="en-US" w:eastAsia="zh-CN" w:bidi="ar-SA"/>
        </w:rPr>
        <w:t>（8）安全设计：无锐角，所有边缘需倒圆角（R≥2mm），焊接点打磨光滑；折叠机构须有防夹手保护装置；螺栓需隐藏或采用单向紧固设计。</w:t>
      </w:r>
      <w:r>
        <w:rPr>
          <w:rFonts w:hint="eastAsia" w:ascii="Times New Roman" w:hAnsi="Times New Roman" w:eastAsia="宋体" w:cs="Times New Roman"/>
          <w:color w:val="0C0C0C"/>
          <w:kern w:val="2"/>
          <w:sz w:val="21"/>
          <w:szCs w:val="24"/>
          <w:highlight w:val="none"/>
          <w:lang w:val="en-US" w:eastAsia="zh-CN" w:bidi="ar-SA"/>
        </w:rPr>
        <w:t>床体完全支撑就位后，整体水平偏差≤5mm；各连接部位连接牢固，折叠、撤收操作灵便无卡滞。</w:t>
      </w:r>
    </w:p>
    <w:p w14:paraId="6F118F3A">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（9）产品符合中华人民共和国应急行业标准YJ/T 11.1-2010《救灾装具 第1部分：折叠床》【除本章另行规定的技术指标外，其余要求符合中华人民共和国应急行业标准YJ/T 11.1</w:t>
      </w:r>
      <w:r>
        <w:rPr>
          <w:rFonts w:hint="eastAsia" w:ascii="Times New Roman" w:hAnsi="Times New Roman" w:eastAsia="宋体" w:cs="Times New Roman"/>
          <w:color w:val="0C0C0C"/>
          <w:kern w:val="2"/>
          <w:sz w:val="21"/>
          <w:szCs w:val="24"/>
          <w:lang w:val="en-US" w:eastAsia="zh-CN" w:bidi="ar-SA"/>
        </w:rPr>
        <w:noBreakHyphen/>
      </w:r>
      <w:r>
        <w:rPr>
          <w:rFonts w:hint="eastAsia" w:ascii="Times New Roman" w:hAnsi="Times New Roman" w:eastAsia="宋体" w:cs="Times New Roman"/>
          <w:color w:val="0C0C0C"/>
          <w:kern w:val="2"/>
          <w:sz w:val="21"/>
          <w:szCs w:val="24"/>
          <w:lang w:val="en-US" w:eastAsia="zh-CN" w:bidi="ar-SA"/>
        </w:rPr>
        <w:t>2010《救灾装具 第 1 部分：折叠床》（原民政行业标准 MZ/T 015.1</w:t>
      </w:r>
      <w:r>
        <w:rPr>
          <w:rFonts w:hint="eastAsia" w:ascii="Times New Roman" w:hAnsi="Times New Roman" w:eastAsia="宋体" w:cs="Times New Roman"/>
          <w:color w:val="0C0C0C"/>
          <w:kern w:val="2"/>
          <w:sz w:val="21"/>
          <w:szCs w:val="24"/>
          <w:lang w:val="en-US" w:eastAsia="zh-CN" w:bidi="ar-SA"/>
        </w:rPr>
        <w:noBreakHyphen/>
      </w:r>
      <w:r>
        <w:rPr>
          <w:rFonts w:hint="eastAsia" w:ascii="Times New Roman" w:hAnsi="Times New Roman" w:eastAsia="宋体" w:cs="Times New Roman"/>
          <w:color w:val="0C0C0C"/>
          <w:kern w:val="2"/>
          <w:sz w:val="21"/>
          <w:szCs w:val="24"/>
          <w:lang w:val="en-US" w:eastAsia="zh-CN" w:bidi="ar-SA"/>
        </w:rPr>
        <w:t>2010）】。</w:t>
      </w:r>
    </w:p>
    <w:p w14:paraId="21F4F662">
      <w:pPr>
        <w:pStyle w:val="4"/>
        <w:autoSpaceDE w:val="0"/>
        <w:spacing w:line="360" w:lineRule="auto"/>
        <w:ind w:firstLine="420" w:firstLineChars="2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（10）包装要求：</w:t>
      </w:r>
    </w:p>
    <w:p w14:paraId="69B302D7">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1）单件内包装：采用厚度0.08～0.10mm聚乙烯塑料袋（QB/T 2461）；</w:t>
      </w:r>
    </w:p>
    <w:p w14:paraId="62276B24">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2）外包装瓦楞纸箱：外箱尺寸750mm×600mm×740mm，纸箱抗压力≥6500N、耐破强度≥1500kPa、戳穿强度≥10.0J；每箱装箱4张折叠床，床体之间采用单层瓦楞纸板进行隔离防护；</w:t>
      </w:r>
    </w:p>
    <w:p w14:paraId="71196F9A">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3）外箱印刷产品名称、标识、数量、质量、体积、生产日期、承制监制单位；塑料打包带执行 QB/T 3811《塑料打包带》标准，箱体捆扎紧固牢靠，运输过程不松动。</w:t>
      </w:r>
    </w:p>
    <w:p w14:paraId="385BE60A">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4）贮存条件：贮存环境温度</w:t>
      </w:r>
      <w:r>
        <w:rPr>
          <w:rFonts w:hint="eastAsia" w:ascii="Times New Roman" w:hAnsi="Times New Roman" w:eastAsia="宋体" w:cs="Times New Roman"/>
          <w:color w:val="0C0C0C"/>
          <w:kern w:val="2"/>
          <w:sz w:val="21"/>
          <w:szCs w:val="24"/>
          <w:highlight w:val="none"/>
          <w:lang w:val="en-US" w:eastAsia="zh-CN" w:bidi="ar-SA"/>
        </w:rPr>
        <w:noBreakHyphen/>
      </w:r>
      <w:r>
        <w:rPr>
          <w:rFonts w:hint="eastAsia" w:ascii="Times New Roman" w:hAnsi="Times New Roman" w:eastAsia="宋体" w:cs="Times New Roman"/>
          <w:color w:val="0C0C0C"/>
          <w:kern w:val="2"/>
          <w:sz w:val="21"/>
          <w:szCs w:val="24"/>
          <w:highlight w:val="none"/>
          <w:lang w:val="en-US" w:eastAsia="zh-CN" w:bidi="ar-SA"/>
        </w:rPr>
        <w:t>20℃～+30℃，相对湿度≤80%；包装箱堆码高度≤5m，禁止露天堆放，装卸过程严禁抛摔。</w:t>
      </w:r>
    </w:p>
    <w:p w14:paraId="6682D5D8">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5832465E">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297FBC4A">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295094A2">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1072A220">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6F517EC0">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462C7F93">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750D62A6">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738FE755">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3FF0DB2E">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1F839BED">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44415631">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277E50DB">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052D3A9F">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69443DE4">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75123D4A">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p>
    <w:p w14:paraId="70CA412F">
      <w:pPr>
        <w:pStyle w:val="4"/>
        <w:autoSpaceDE w:val="0"/>
        <w:spacing w:line="360" w:lineRule="auto"/>
        <w:rPr>
          <w:rFonts w:hint="eastAsia" w:ascii="Times New Roman" w:hAnsi="Times New Roman" w:eastAsia="宋体" w:cs="Times New Roman"/>
          <w:b/>
          <w:bCs/>
          <w:color w:val="0C0C0C"/>
          <w:kern w:val="2"/>
          <w:sz w:val="21"/>
          <w:szCs w:val="24"/>
          <w:highlight w:val="none"/>
          <w:lang w:val="en-US" w:eastAsia="zh-CN" w:bidi="ar-SA"/>
        </w:rPr>
      </w:pPr>
      <w:r>
        <w:rPr>
          <w:rFonts w:hint="eastAsia" w:ascii="Times New Roman" w:hAnsi="Times New Roman" w:eastAsia="宋体" w:cs="Times New Roman"/>
          <w:b/>
          <w:bCs/>
          <w:color w:val="0C0C0C"/>
          <w:kern w:val="2"/>
          <w:sz w:val="21"/>
          <w:szCs w:val="24"/>
          <w:highlight w:val="none"/>
          <w:lang w:val="en-US" w:eastAsia="zh-CN" w:bidi="ar-SA"/>
        </w:rPr>
        <w:t>附图 4    三折叠床样式结构图</w:t>
      </w:r>
    </w:p>
    <w:p w14:paraId="13CDDD52">
      <w:pPr>
        <w:pStyle w:val="4"/>
        <w:autoSpaceDE w:val="0"/>
        <w:spacing w:line="360" w:lineRule="auto"/>
        <w:jc w:val="center"/>
        <w:rPr>
          <w:rFonts w:hint="eastAsia" w:ascii="宋体" w:hAnsi="宋体"/>
        </w:rPr>
      </w:pPr>
      <w:r>
        <w:rPr>
          <w:rFonts w:hint="eastAsia" w:ascii="宋体" w:hAnsi="宋体"/>
        </w:rPr>
        <w:drawing>
          <wp:inline distT="0" distB="0" distL="114300" distR="114300">
            <wp:extent cx="4667250" cy="2966720"/>
            <wp:effectExtent l="0" t="0" r="0" b="508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9"/>
                    <a:stretch>
                      <a:fillRect/>
                    </a:stretch>
                  </pic:blipFill>
                  <pic:spPr>
                    <a:xfrm>
                      <a:off x="0" y="0"/>
                      <a:ext cx="4667250" cy="2966720"/>
                    </a:xfrm>
                    <a:prstGeom prst="rect">
                      <a:avLst/>
                    </a:prstGeom>
                    <a:noFill/>
                    <a:ln>
                      <a:noFill/>
                    </a:ln>
                  </pic:spPr>
                </pic:pic>
              </a:graphicData>
            </a:graphic>
          </wp:inline>
        </w:drawing>
      </w:r>
    </w:p>
    <w:p w14:paraId="4AD438C0">
      <w:pPr>
        <w:pStyle w:val="4"/>
        <w:autoSpaceDE w:val="0"/>
        <w:spacing w:line="360" w:lineRule="auto"/>
        <w:jc w:val="both"/>
        <w:rPr>
          <w:rFonts w:hint="eastAsia" w:ascii="宋体" w:hAnsi="宋体"/>
          <w:lang w:eastAsia="zh-CN"/>
        </w:rPr>
      </w:pPr>
    </w:p>
    <w:p w14:paraId="60D29DD0">
      <w:pPr>
        <w:pStyle w:val="4"/>
        <w:autoSpaceDE w:val="0"/>
        <w:spacing w:line="360" w:lineRule="auto"/>
        <w:jc w:val="both"/>
        <w:rPr>
          <w:rFonts w:hint="eastAsia" w:ascii="宋体" w:hAnsi="宋体"/>
          <w:lang w:eastAsia="zh-CN"/>
        </w:rPr>
      </w:pPr>
      <w:r>
        <w:rPr>
          <w:rFonts w:hint="eastAsia" w:ascii="宋体" w:hAnsi="宋体"/>
          <w:lang w:eastAsia="zh-CN"/>
        </w:rPr>
        <w:t>说明：本附图仅展示成品整体外观，仅作为参考。不约束连接件内部模具、圆角、开孔等内部结构，成品外部尺寸、性能指标满足本章本节文字要求即可。</w:t>
      </w:r>
    </w:p>
    <w:p w14:paraId="6E177429">
      <w:pPr>
        <w:pStyle w:val="4"/>
        <w:autoSpaceDE w:val="0"/>
        <w:spacing w:line="360" w:lineRule="auto"/>
        <w:jc w:val="both"/>
        <w:rPr>
          <w:rFonts w:hint="eastAsia" w:ascii="宋体" w:hAnsi="宋体"/>
          <w:lang w:val="en-US" w:eastAsia="zh-CN"/>
        </w:rPr>
      </w:pPr>
    </w:p>
    <w:p w14:paraId="61B586DA">
      <w:pPr>
        <w:pStyle w:val="4"/>
        <w:autoSpaceDE w:val="0"/>
        <w:spacing w:line="360" w:lineRule="auto"/>
        <w:jc w:val="both"/>
        <w:rPr>
          <w:rFonts w:hint="eastAsia" w:ascii="宋体" w:hAnsi="宋体"/>
          <w:lang w:val="en-US" w:eastAsia="zh-CN"/>
        </w:rPr>
      </w:pPr>
    </w:p>
    <w:p w14:paraId="7B0EF782">
      <w:pPr>
        <w:pStyle w:val="4"/>
        <w:autoSpaceDE w:val="0"/>
        <w:spacing w:line="360" w:lineRule="auto"/>
        <w:jc w:val="both"/>
        <w:rPr>
          <w:rFonts w:hint="eastAsia" w:ascii="宋体" w:hAnsi="宋体"/>
          <w:lang w:val="en-US" w:eastAsia="zh-CN"/>
        </w:rPr>
      </w:pPr>
    </w:p>
    <w:p w14:paraId="639F0175">
      <w:pPr>
        <w:pStyle w:val="4"/>
        <w:autoSpaceDE w:val="0"/>
        <w:spacing w:line="360" w:lineRule="auto"/>
        <w:jc w:val="both"/>
        <w:rPr>
          <w:rFonts w:hint="eastAsia" w:ascii="宋体" w:hAnsi="宋体"/>
          <w:lang w:val="en-US" w:eastAsia="zh-CN"/>
        </w:rPr>
      </w:pPr>
    </w:p>
    <w:p w14:paraId="393D824C">
      <w:pPr>
        <w:pStyle w:val="4"/>
        <w:autoSpaceDE w:val="0"/>
        <w:spacing w:line="360" w:lineRule="auto"/>
        <w:jc w:val="both"/>
        <w:rPr>
          <w:rFonts w:hint="eastAsia" w:ascii="宋体" w:hAnsi="宋体"/>
          <w:lang w:val="en-US" w:eastAsia="zh-CN"/>
        </w:rPr>
      </w:pPr>
    </w:p>
    <w:p w14:paraId="0E9CB694">
      <w:pPr>
        <w:pStyle w:val="4"/>
        <w:autoSpaceDE w:val="0"/>
        <w:spacing w:line="360" w:lineRule="auto"/>
        <w:jc w:val="both"/>
        <w:rPr>
          <w:rFonts w:hint="eastAsia" w:ascii="宋体" w:hAnsi="宋体"/>
          <w:lang w:val="en-US" w:eastAsia="zh-CN"/>
        </w:rPr>
      </w:pPr>
    </w:p>
    <w:p w14:paraId="0EF01990">
      <w:pPr>
        <w:pStyle w:val="4"/>
        <w:autoSpaceDE w:val="0"/>
        <w:spacing w:line="360" w:lineRule="auto"/>
        <w:jc w:val="both"/>
        <w:rPr>
          <w:rFonts w:hint="eastAsia" w:ascii="宋体" w:hAnsi="宋体"/>
          <w:lang w:val="en-US" w:eastAsia="zh-CN"/>
        </w:rPr>
      </w:pPr>
    </w:p>
    <w:p w14:paraId="21DC0839">
      <w:pPr>
        <w:pStyle w:val="4"/>
        <w:autoSpaceDE w:val="0"/>
        <w:spacing w:line="360" w:lineRule="auto"/>
        <w:jc w:val="both"/>
        <w:rPr>
          <w:rFonts w:hint="eastAsia" w:ascii="宋体" w:hAnsi="宋体"/>
          <w:lang w:val="en-US" w:eastAsia="zh-CN"/>
        </w:rPr>
      </w:pPr>
    </w:p>
    <w:p w14:paraId="513B9456">
      <w:pPr>
        <w:pStyle w:val="4"/>
        <w:autoSpaceDE w:val="0"/>
        <w:spacing w:line="360" w:lineRule="auto"/>
        <w:jc w:val="both"/>
        <w:rPr>
          <w:rFonts w:hint="eastAsia" w:ascii="宋体" w:hAnsi="宋体"/>
          <w:lang w:val="en-US" w:eastAsia="zh-CN"/>
        </w:rPr>
      </w:pPr>
    </w:p>
    <w:p w14:paraId="593C431C">
      <w:pPr>
        <w:pStyle w:val="4"/>
        <w:autoSpaceDE w:val="0"/>
        <w:spacing w:line="360" w:lineRule="auto"/>
        <w:jc w:val="both"/>
        <w:rPr>
          <w:rFonts w:hint="eastAsia" w:ascii="宋体" w:hAnsi="宋体"/>
          <w:lang w:val="en-US" w:eastAsia="zh-CN"/>
        </w:rPr>
      </w:pPr>
    </w:p>
    <w:p w14:paraId="75262BF0">
      <w:pPr>
        <w:pStyle w:val="4"/>
        <w:autoSpaceDE w:val="0"/>
        <w:spacing w:line="360" w:lineRule="auto"/>
        <w:jc w:val="both"/>
        <w:rPr>
          <w:rFonts w:hint="eastAsia" w:ascii="宋体" w:hAnsi="宋体"/>
          <w:lang w:val="en-US" w:eastAsia="zh-CN"/>
        </w:rPr>
      </w:pPr>
    </w:p>
    <w:p w14:paraId="158DA546">
      <w:pPr>
        <w:pStyle w:val="4"/>
        <w:autoSpaceDE w:val="0"/>
        <w:spacing w:line="360" w:lineRule="auto"/>
        <w:jc w:val="both"/>
        <w:rPr>
          <w:rFonts w:hint="eastAsia" w:ascii="宋体" w:hAnsi="宋体"/>
          <w:lang w:val="en-US" w:eastAsia="zh-CN"/>
        </w:rPr>
      </w:pPr>
    </w:p>
    <w:p w14:paraId="33CF7135">
      <w:pPr>
        <w:pStyle w:val="4"/>
        <w:autoSpaceDE w:val="0"/>
        <w:spacing w:line="360" w:lineRule="auto"/>
        <w:jc w:val="both"/>
        <w:rPr>
          <w:rFonts w:hint="eastAsia" w:ascii="宋体" w:hAnsi="宋体"/>
          <w:lang w:val="en-US" w:eastAsia="zh-CN"/>
        </w:rPr>
      </w:pPr>
    </w:p>
    <w:p w14:paraId="0F0A399C">
      <w:pPr>
        <w:pStyle w:val="4"/>
        <w:autoSpaceDE w:val="0"/>
        <w:spacing w:line="360" w:lineRule="auto"/>
        <w:jc w:val="both"/>
        <w:rPr>
          <w:rFonts w:hint="eastAsia" w:ascii="宋体" w:hAnsi="宋体"/>
          <w:lang w:val="en-US" w:eastAsia="zh-CN"/>
        </w:rPr>
      </w:pPr>
    </w:p>
    <w:p w14:paraId="0A68B33C">
      <w:pPr>
        <w:pStyle w:val="4"/>
        <w:autoSpaceDE w:val="0"/>
        <w:spacing w:line="360" w:lineRule="auto"/>
        <w:jc w:val="both"/>
        <w:rPr>
          <w:rFonts w:hint="eastAsia" w:ascii="宋体" w:hAnsi="宋体"/>
          <w:lang w:val="en-US" w:eastAsia="zh-CN"/>
        </w:rPr>
      </w:pPr>
    </w:p>
    <w:p w14:paraId="0B1D3233">
      <w:pPr>
        <w:pStyle w:val="4"/>
        <w:autoSpaceDE w:val="0"/>
        <w:spacing w:line="360" w:lineRule="auto"/>
        <w:jc w:val="both"/>
        <w:rPr>
          <w:rFonts w:hint="eastAsia" w:ascii="宋体" w:hAnsi="宋体"/>
          <w:lang w:val="en-US" w:eastAsia="zh-CN"/>
        </w:rPr>
      </w:pPr>
    </w:p>
    <w:p w14:paraId="306C74FD">
      <w:pPr>
        <w:pStyle w:val="4"/>
        <w:autoSpaceDE w:val="0"/>
        <w:spacing w:line="360" w:lineRule="auto"/>
        <w:jc w:val="both"/>
        <w:rPr>
          <w:rFonts w:hint="eastAsia" w:ascii="宋体" w:hAnsi="宋体"/>
          <w:b/>
          <w:bCs/>
          <w:lang w:val="en-US" w:eastAsia="zh-CN"/>
        </w:rPr>
      </w:pPr>
      <w:r>
        <w:rPr>
          <w:rFonts w:hint="eastAsia" w:ascii="宋体" w:hAnsi="宋体"/>
          <w:b/>
          <w:bCs/>
          <w:lang w:val="en-US" w:eastAsia="zh-CN"/>
        </w:rPr>
        <w:t>附图 5    靠背调节角度示意图</w:t>
      </w:r>
    </w:p>
    <w:p w14:paraId="4FB979DD">
      <w:pPr>
        <w:spacing w:line="360" w:lineRule="auto"/>
        <w:jc w:val="center"/>
        <w:rPr>
          <w:rFonts w:ascii="宋体" w:hAnsi="Times New Roman" w:cs="宋体"/>
          <w:kern w:val="0"/>
          <w:szCs w:val="21"/>
          <w:lang w:val="zh-CN"/>
        </w:rPr>
      </w:pPr>
      <w:r>
        <w:rPr>
          <w:rFonts w:ascii="宋体" w:hAnsi="Times New Roman" w:cs="宋体"/>
          <w:kern w:val="0"/>
          <w:szCs w:val="21"/>
        </w:rPr>
        <w:drawing>
          <wp:inline distT="0" distB="0" distL="114300" distR="114300">
            <wp:extent cx="5097145" cy="5429250"/>
            <wp:effectExtent l="0" t="0" r="8255" b="0"/>
            <wp:docPr id="10" name="图片 7" descr="C:\Users\yjm\Documents\三折床-靠背109.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C:\Users\yjm\Documents\三折床-靠背109.132.jpg"/>
                    <pic:cNvPicPr>
                      <a:picLocks noChangeAspect="1"/>
                    </pic:cNvPicPr>
                  </pic:nvPicPr>
                  <pic:blipFill>
                    <a:blip r:embed="rId10"/>
                    <a:stretch>
                      <a:fillRect/>
                    </a:stretch>
                  </pic:blipFill>
                  <pic:spPr>
                    <a:xfrm>
                      <a:off x="0" y="0"/>
                      <a:ext cx="5097145" cy="5429250"/>
                    </a:xfrm>
                    <a:prstGeom prst="rect">
                      <a:avLst/>
                    </a:prstGeom>
                    <a:noFill/>
                    <a:ln>
                      <a:noFill/>
                    </a:ln>
                  </pic:spPr>
                </pic:pic>
              </a:graphicData>
            </a:graphic>
          </wp:inline>
        </w:drawing>
      </w:r>
    </w:p>
    <w:p w14:paraId="4281DDAD">
      <w:pPr>
        <w:spacing w:line="360" w:lineRule="auto"/>
        <w:jc w:val="center"/>
        <w:rPr>
          <w:rFonts w:ascii="宋体" w:hAnsi="Times New Roman" w:cs="宋体"/>
          <w:kern w:val="0"/>
          <w:szCs w:val="21"/>
          <w:lang w:val="zh-CN"/>
        </w:rPr>
      </w:pPr>
      <w:r>
        <w:rPr>
          <w:rFonts w:ascii="宋体" w:hAnsi="Times New Roman" w:cs="宋体"/>
          <w:kern w:val="0"/>
          <w:szCs w:val="21"/>
        </w:rPr>
        <w:drawing>
          <wp:inline distT="0" distB="0" distL="114300" distR="114300">
            <wp:extent cx="5276850" cy="1866900"/>
            <wp:effectExtent l="0" t="0" r="0" b="0"/>
            <wp:docPr id="12" name="图片 8" descr="C:\Users\yjm\Documents\三折床-靠背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C:\Users\yjm\Documents\三折床-靠背155.jpg"/>
                    <pic:cNvPicPr>
                      <a:picLocks noChangeAspect="1"/>
                    </pic:cNvPicPr>
                  </pic:nvPicPr>
                  <pic:blipFill>
                    <a:blip r:embed="rId11"/>
                    <a:stretch>
                      <a:fillRect/>
                    </a:stretch>
                  </pic:blipFill>
                  <pic:spPr>
                    <a:xfrm>
                      <a:off x="0" y="0"/>
                      <a:ext cx="5276850" cy="1866900"/>
                    </a:xfrm>
                    <a:prstGeom prst="rect">
                      <a:avLst/>
                    </a:prstGeom>
                    <a:noFill/>
                    <a:ln>
                      <a:noFill/>
                    </a:ln>
                  </pic:spPr>
                </pic:pic>
              </a:graphicData>
            </a:graphic>
          </wp:inline>
        </w:drawing>
      </w:r>
    </w:p>
    <w:p w14:paraId="44007A25">
      <w:pPr>
        <w:pStyle w:val="4"/>
        <w:autoSpaceDE w:val="0"/>
        <w:spacing w:line="360" w:lineRule="auto"/>
        <w:jc w:val="both"/>
        <w:rPr>
          <w:rFonts w:hint="eastAsia" w:ascii="宋体" w:hAnsi="宋体"/>
          <w:lang w:eastAsia="zh-CN"/>
        </w:rPr>
      </w:pPr>
    </w:p>
    <w:p w14:paraId="15379168">
      <w:pPr>
        <w:pStyle w:val="4"/>
        <w:autoSpaceDE w:val="0"/>
        <w:spacing w:line="360" w:lineRule="auto"/>
        <w:jc w:val="both"/>
        <w:rPr>
          <w:rFonts w:hint="eastAsia" w:ascii="宋体" w:hAnsi="宋体"/>
          <w:lang w:eastAsia="zh-CN"/>
        </w:rPr>
      </w:pPr>
      <w:r>
        <w:rPr>
          <w:rFonts w:hint="eastAsia" w:ascii="宋体" w:hAnsi="宋体"/>
          <w:lang w:eastAsia="zh-CN"/>
        </w:rPr>
        <w:t>说明：本附图仅展示靠背可实现的角度档位，仅作外观参考。实现角度的内部机构、零件结构供应商可自主设计，只考核成品可实现对应档位角度。</w:t>
      </w:r>
    </w:p>
    <w:p w14:paraId="33FCDC6C">
      <w:pPr>
        <w:pStyle w:val="4"/>
        <w:autoSpaceDE w:val="0"/>
        <w:spacing w:line="360" w:lineRule="auto"/>
        <w:jc w:val="both"/>
        <w:rPr>
          <w:rFonts w:hint="eastAsia" w:ascii="宋体" w:hAnsi="宋体"/>
          <w:b/>
          <w:bCs/>
          <w:lang w:val="en-US" w:eastAsia="zh-CN"/>
        </w:rPr>
      </w:pPr>
    </w:p>
    <w:p w14:paraId="6D9C8C08">
      <w:pPr>
        <w:pStyle w:val="4"/>
        <w:autoSpaceDE w:val="0"/>
        <w:spacing w:line="360" w:lineRule="auto"/>
        <w:jc w:val="both"/>
        <w:rPr>
          <w:rFonts w:hint="eastAsia" w:ascii="宋体" w:hAnsi="宋体"/>
          <w:b/>
          <w:bCs/>
          <w:lang w:val="en-US" w:eastAsia="zh-CN"/>
        </w:rPr>
      </w:pPr>
      <w:r>
        <w:rPr>
          <w:rFonts w:hint="eastAsia" w:ascii="宋体" w:hAnsi="宋体"/>
          <w:b/>
          <w:bCs/>
          <w:lang w:val="en-US" w:eastAsia="zh-CN"/>
        </w:rPr>
        <w:t>附图 6    三折叠床应急救灾标识图样</w:t>
      </w:r>
    </w:p>
    <w:p w14:paraId="51E67071">
      <w:pPr>
        <w:pStyle w:val="5"/>
        <w:jc w:val="center"/>
      </w:pPr>
      <w:r>
        <w:rPr>
          <w:color w:val="000000"/>
        </w:rPr>
        <w:drawing>
          <wp:inline distT="0" distB="0" distL="114300" distR="114300">
            <wp:extent cx="1562100" cy="2019300"/>
            <wp:effectExtent l="0" t="0" r="0" b="0"/>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12"/>
                    <a:stretch>
                      <a:fillRect/>
                    </a:stretch>
                  </pic:blipFill>
                  <pic:spPr>
                    <a:xfrm>
                      <a:off x="0" y="0"/>
                      <a:ext cx="1562100" cy="2019300"/>
                    </a:xfrm>
                    <a:prstGeom prst="rect">
                      <a:avLst/>
                    </a:prstGeom>
                    <a:noFill/>
                    <a:ln>
                      <a:noFill/>
                    </a:ln>
                  </pic:spPr>
                </pic:pic>
              </a:graphicData>
            </a:graphic>
          </wp:inline>
        </w:drawing>
      </w:r>
      <w:r>
        <w:rPr>
          <w:rFonts w:hint="eastAsia"/>
          <w:color w:val="000000"/>
        </w:rPr>
        <w:t xml:space="preserve">    </w:t>
      </w:r>
      <w:r>
        <w:rPr>
          <w:color w:val="000000"/>
        </w:rPr>
        <w:drawing>
          <wp:inline distT="0" distB="0" distL="114300" distR="114300">
            <wp:extent cx="1816100" cy="2070100"/>
            <wp:effectExtent l="0" t="0" r="0" b="5715"/>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13"/>
                    <a:srcRect l="5249" t="8492" r="6578" b="14534"/>
                    <a:stretch>
                      <a:fillRect/>
                    </a:stretch>
                  </pic:blipFill>
                  <pic:spPr>
                    <a:xfrm>
                      <a:off x="0" y="0"/>
                      <a:ext cx="1816100" cy="2070100"/>
                    </a:xfrm>
                    <a:prstGeom prst="rect">
                      <a:avLst/>
                    </a:prstGeom>
                    <a:noFill/>
                    <a:ln>
                      <a:noFill/>
                    </a:ln>
                  </pic:spPr>
                </pic:pic>
              </a:graphicData>
            </a:graphic>
          </wp:inline>
        </w:drawing>
      </w:r>
    </w:p>
    <w:p w14:paraId="0315F058">
      <w:pPr>
        <w:pStyle w:val="4"/>
        <w:autoSpaceDE w:val="0"/>
        <w:spacing w:line="360" w:lineRule="auto"/>
        <w:jc w:val="both"/>
        <w:rPr>
          <w:rFonts w:hint="eastAsia" w:ascii="宋体" w:hAnsi="宋体"/>
          <w:lang w:eastAsia="zh-CN"/>
        </w:rPr>
      </w:pPr>
    </w:p>
    <w:p w14:paraId="162110C5">
      <w:pPr>
        <w:pStyle w:val="4"/>
        <w:autoSpaceDE w:val="0"/>
        <w:spacing w:line="360" w:lineRule="auto"/>
        <w:jc w:val="both"/>
        <w:rPr>
          <w:rFonts w:hint="eastAsia" w:ascii="宋体" w:hAnsi="宋体"/>
          <w:lang w:eastAsia="zh-CN"/>
        </w:rPr>
      </w:pPr>
      <w:r>
        <w:rPr>
          <w:rFonts w:hint="eastAsia" w:ascii="宋体" w:hAnsi="宋体"/>
          <w:lang w:eastAsia="zh-CN"/>
        </w:rPr>
        <w:t>说明：本附图仅展示标识图案与比例，仅作参考，不限定印刷工艺，成品图案、比例符合本章本节文字要求即可。</w:t>
      </w:r>
    </w:p>
    <w:p w14:paraId="56FF6AD0">
      <w:pPr>
        <w:pStyle w:val="4"/>
        <w:autoSpaceDE w:val="0"/>
        <w:spacing w:line="360" w:lineRule="auto"/>
        <w:jc w:val="both"/>
        <w:rPr>
          <w:rFonts w:hint="eastAsia" w:ascii="宋体" w:hAnsi="宋体"/>
          <w:b/>
          <w:bCs/>
          <w:lang w:val="en-US" w:eastAsia="zh-CN"/>
        </w:rPr>
      </w:pPr>
    </w:p>
    <w:p w14:paraId="16791225">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（三）防寒服（含大、中、小款）</w:t>
      </w:r>
    </w:p>
    <w:p w14:paraId="28E0C41B">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（1）面料要求：</w:t>
      </w:r>
    </w:p>
    <w:p w14:paraId="0D76BBF7">
      <w:pPr>
        <w:pStyle w:val="4"/>
        <w:autoSpaceDE w:val="0"/>
        <w:spacing w:line="360" w:lineRule="auto"/>
        <w:ind w:firstLine="630" w:firstLineChars="3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1）纤维成分：100%聚酯纤维；甲醛含量≤75mg/kg；pH值4.0-8.5；无异味；可分解致癌芳香胺染料不得检出（检出限≤20mg/kg）。</w:t>
      </w:r>
    </w:p>
    <w:p w14:paraId="4EB7F80E">
      <w:pPr>
        <w:pStyle w:val="4"/>
        <w:autoSpaceDE w:val="0"/>
        <w:spacing w:line="360" w:lineRule="auto"/>
        <w:ind w:firstLine="630" w:firstLineChars="3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2）色牢度要求：耐汗渍（酸、碱）变色、沾色≥3-4级；耐干摩擦≥3-4级、耐湿摩擦≥3级；耐水色牢度≥3-4级；耐光色牢度≥4级；耐洗</w:t>
      </w:r>
      <w:r>
        <w:rPr>
          <w:rFonts w:hint="eastAsia" w:ascii="Times New Roman" w:hAnsi="Times New Roman" w:eastAsia="宋体" w:cs="Times New Roman"/>
          <w:color w:val="0C0C0C"/>
          <w:kern w:val="2"/>
          <w:sz w:val="21"/>
          <w:szCs w:val="24"/>
          <w:highlight w:val="none"/>
          <w:lang w:val="en-US" w:eastAsia="zh-CN" w:bidi="ar-SA"/>
        </w:rPr>
        <w:t>色牢度≥4级。试验分别按照 GB/T 3920</w:t>
      </w:r>
      <w:r>
        <w:rPr>
          <w:rFonts w:hint="eastAsia" w:ascii="Times New Roman" w:hAnsi="Times New Roman" w:eastAsia="宋体" w:cs="Times New Roman"/>
          <w:color w:val="0C0C0C"/>
          <w:kern w:val="2"/>
          <w:sz w:val="21"/>
          <w:szCs w:val="24"/>
          <w:highlight w:val="none"/>
          <w:lang w:val="en-US" w:eastAsia="zh-CN" w:bidi="ar-SA"/>
        </w:rPr>
        <w:noBreakHyphen/>
      </w:r>
      <w:r>
        <w:rPr>
          <w:rFonts w:hint="eastAsia" w:ascii="Times New Roman" w:hAnsi="Times New Roman" w:eastAsia="宋体" w:cs="Times New Roman"/>
          <w:color w:val="0C0C0C"/>
          <w:kern w:val="2"/>
          <w:sz w:val="21"/>
          <w:szCs w:val="24"/>
          <w:highlight w:val="none"/>
          <w:lang w:val="en-US" w:eastAsia="zh-CN" w:bidi="ar-SA"/>
        </w:rPr>
        <w:t>2008、GB/T 3921</w:t>
      </w:r>
      <w:r>
        <w:rPr>
          <w:rFonts w:hint="eastAsia" w:ascii="Times New Roman" w:hAnsi="Times New Roman" w:eastAsia="宋体" w:cs="Times New Roman"/>
          <w:color w:val="0C0C0C"/>
          <w:kern w:val="2"/>
          <w:sz w:val="21"/>
          <w:szCs w:val="24"/>
          <w:highlight w:val="none"/>
          <w:lang w:val="en-US" w:eastAsia="zh-CN" w:bidi="ar-SA"/>
        </w:rPr>
        <w:noBreakHyphen/>
      </w:r>
      <w:r>
        <w:rPr>
          <w:rFonts w:hint="eastAsia" w:ascii="Times New Roman" w:hAnsi="Times New Roman" w:eastAsia="宋体" w:cs="Times New Roman"/>
          <w:color w:val="0C0C0C"/>
          <w:kern w:val="2"/>
          <w:sz w:val="21"/>
          <w:szCs w:val="24"/>
          <w:highlight w:val="none"/>
          <w:lang w:val="en-US" w:eastAsia="zh-CN" w:bidi="ar-SA"/>
        </w:rPr>
        <w:t>2008、GB/T 3922</w:t>
      </w:r>
      <w:r>
        <w:rPr>
          <w:rFonts w:hint="eastAsia" w:ascii="Times New Roman" w:hAnsi="Times New Roman" w:eastAsia="宋体" w:cs="Times New Roman"/>
          <w:color w:val="0C0C0C"/>
          <w:kern w:val="2"/>
          <w:sz w:val="21"/>
          <w:szCs w:val="24"/>
          <w:highlight w:val="none"/>
          <w:lang w:val="en-US" w:eastAsia="zh-CN" w:bidi="ar-SA"/>
        </w:rPr>
        <w:noBreakHyphen/>
      </w:r>
      <w:r>
        <w:rPr>
          <w:rFonts w:hint="eastAsia" w:ascii="Times New Roman" w:hAnsi="Times New Roman" w:eastAsia="宋体" w:cs="Times New Roman"/>
          <w:color w:val="0C0C0C"/>
          <w:kern w:val="2"/>
          <w:sz w:val="21"/>
          <w:szCs w:val="24"/>
          <w:highlight w:val="none"/>
          <w:lang w:val="en-US" w:eastAsia="zh-CN" w:bidi="ar-SA"/>
        </w:rPr>
        <w:t>2013、GB/T 5713</w:t>
      </w:r>
      <w:r>
        <w:rPr>
          <w:rFonts w:hint="eastAsia" w:ascii="Times New Roman" w:hAnsi="Times New Roman" w:eastAsia="宋体" w:cs="Times New Roman"/>
          <w:color w:val="0C0C0C"/>
          <w:kern w:val="2"/>
          <w:sz w:val="21"/>
          <w:szCs w:val="24"/>
          <w:highlight w:val="none"/>
          <w:lang w:val="en-US" w:eastAsia="zh-CN" w:bidi="ar-SA"/>
        </w:rPr>
        <w:noBreakHyphen/>
      </w:r>
      <w:r>
        <w:rPr>
          <w:rFonts w:hint="eastAsia" w:ascii="Times New Roman" w:hAnsi="Times New Roman" w:eastAsia="宋体" w:cs="Times New Roman"/>
          <w:color w:val="0C0C0C"/>
          <w:kern w:val="2"/>
          <w:sz w:val="21"/>
          <w:szCs w:val="24"/>
          <w:highlight w:val="none"/>
          <w:lang w:val="en-US" w:eastAsia="zh-CN" w:bidi="ar-SA"/>
        </w:rPr>
        <w:t>2013、GB/T 8427</w:t>
      </w:r>
      <w:r>
        <w:rPr>
          <w:rFonts w:hint="eastAsia" w:ascii="Times New Roman" w:hAnsi="Times New Roman" w:eastAsia="宋体" w:cs="Times New Roman"/>
          <w:color w:val="0C0C0C"/>
          <w:kern w:val="2"/>
          <w:sz w:val="21"/>
          <w:szCs w:val="24"/>
          <w:highlight w:val="none"/>
          <w:lang w:val="en-US" w:eastAsia="zh-CN" w:bidi="ar-SA"/>
        </w:rPr>
        <w:noBreakHyphen/>
      </w:r>
      <w:r>
        <w:rPr>
          <w:rFonts w:hint="eastAsia" w:ascii="Times New Roman" w:hAnsi="Times New Roman" w:eastAsia="宋体" w:cs="Times New Roman"/>
          <w:color w:val="0C0C0C"/>
          <w:kern w:val="2"/>
          <w:sz w:val="21"/>
          <w:szCs w:val="24"/>
          <w:highlight w:val="none"/>
          <w:lang w:val="en-US" w:eastAsia="zh-CN" w:bidi="ar-SA"/>
        </w:rPr>
        <w:t>2019 执行；色牢度等级评定采用 GB/T 250</w:t>
      </w:r>
      <w:r>
        <w:rPr>
          <w:rFonts w:hint="eastAsia" w:ascii="Times New Roman" w:hAnsi="Times New Roman" w:eastAsia="宋体" w:cs="Times New Roman"/>
          <w:color w:val="0C0C0C"/>
          <w:kern w:val="2"/>
          <w:sz w:val="21"/>
          <w:szCs w:val="24"/>
          <w:highlight w:val="none"/>
          <w:lang w:val="en-US" w:eastAsia="zh-CN" w:bidi="ar-SA"/>
        </w:rPr>
        <w:noBreakHyphen/>
      </w:r>
      <w:r>
        <w:rPr>
          <w:rFonts w:hint="eastAsia" w:ascii="Times New Roman" w:hAnsi="Times New Roman" w:eastAsia="宋体" w:cs="Times New Roman"/>
          <w:color w:val="0C0C0C"/>
          <w:kern w:val="2"/>
          <w:sz w:val="21"/>
          <w:szCs w:val="24"/>
          <w:highlight w:val="none"/>
          <w:lang w:val="en-US" w:eastAsia="zh-CN" w:bidi="ar-SA"/>
        </w:rPr>
        <w:t>2008《纺织品 色牢度试验 评定变色用灰色样卡》。</w:t>
      </w:r>
    </w:p>
    <w:p w14:paraId="6A9A1B6E">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（2）里布要求：</w:t>
      </w:r>
    </w:p>
    <w:p w14:paraId="492CFB79">
      <w:pPr>
        <w:pStyle w:val="4"/>
        <w:autoSpaceDE w:val="0"/>
        <w:spacing w:line="360" w:lineRule="auto"/>
        <w:ind w:firstLine="630" w:firstLineChars="3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1）安全指标：甲醛≤75mg/kg，可分解致癌芳香胺染料不得检出（检出限≤20mg/kg），无异味；耐水、耐汗渍、耐摩擦、耐洗色牢度均符合面料同等标准要求。</w:t>
      </w:r>
    </w:p>
    <w:p w14:paraId="30452694">
      <w:pPr>
        <w:pStyle w:val="4"/>
        <w:autoSpaceDE w:val="0"/>
        <w:spacing w:line="360" w:lineRule="auto"/>
        <w:ind w:firstLine="630" w:firstLineChars="3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2）力学性能：单位面积质量≤55g/㎡；断裂强力经向≥490N、纬向≥390N；撕破强力经、纬向均≥9N。</w:t>
      </w:r>
    </w:p>
    <w:p w14:paraId="3221A4C7">
      <w:pPr>
        <w:pStyle w:val="4"/>
        <w:autoSpaceDE w:val="0"/>
        <w:spacing w:line="360" w:lineRule="auto"/>
        <w:ind w:firstLine="420" w:firstLineChars="200"/>
        <w:rPr>
          <w:rFonts w:hint="eastAsia" w:ascii="Times New Roman" w:hAnsi="Times New Roman" w:eastAsia="宋体" w:cs="Times New Roman"/>
          <w:color w:val="0C0C0C"/>
          <w:kern w:val="2"/>
          <w:sz w:val="21"/>
          <w:szCs w:val="24"/>
          <w:highlight w:val="yellow"/>
          <w:lang w:val="en-US" w:eastAsia="zh-CN" w:bidi="ar-SA"/>
        </w:rPr>
      </w:pPr>
      <w:r>
        <w:rPr>
          <w:rFonts w:hint="eastAsia" w:ascii="Times New Roman" w:hAnsi="Times New Roman" w:eastAsia="宋体" w:cs="Times New Roman"/>
          <w:color w:val="0C0C0C"/>
          <w:kern w:val="2"/>
          <w:sz w:val="21"/>
          <w:szCs w:val="24"/>
          <w:lang w:val="en-US" w:eastAsia="zh-CN" w:bidi="ar-SA"/>
        </w:rPr>
        <w:t>（3）缝纫线采用 9.8tex×3×3 涤纶缝纫线；帽绳、卡扣及其他相关辅料装配在防寒服成品上开展力学考核，须满足成品整机力学性能要求，不对零部件拆解单独检测。</w:t>
      </w:r>
    </w:p>
    <w:p w14:paraId="5C86F769">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highlight w:val="none"/>
          <w:lang w:val="en-US" w:eastAsia="zh-CN" w:bidi="ar-SA"/>
        </w:rPr>
        <w:t>（4）防寒服为救灾防寒服样式；设置衣领隔层、内口袋及外口袋；面料下料纱向、缝制工艺应符合救灾防寒服成品技术要求；号型分为大号、中号、小号三种规格。供应商须在货物生产前上门对大号、中号、小号成品开展现场尺寸核验。防寒服为</w:t>
      </w:r>
      <w:r>
        <w:rPr>
          <w:rFonts w:hint="eastAsia" w:ascii="Times New Roman" w:hAnsi="Times New Roman" w:eastAsia="宋体" w:cs="Times New Roman"/>
          <w:color w:val="0C0C0C"/>
          <w:kern w:val="2"/>
          <w:sz w:val="21"/>
          <w:szCs w:val="24"/>
          <w:lang w:val="en-US" w:eastAsia="zh-CN" w:bidi="ar-SA"/>
        </w:rPr>
        <w:t>加厚防寒结构，填充优质保暖棉，填充克重均匀，保暖率高、蓬松度好，具备优良的低温防寒性能；成衣做工规整，拉链、袖口、下摆、口袋、帽体结构完整，防风锁温；成品水洗尺寸变化率符合国标要求，洗涤后不变形、不缩水、保暖性能不衰减。</w:t>
      </w:r>
    </w:p>
    <w:p w14:paraId="0A3A8785">
      <w:pPr>
        <w:pStyle w:val="4"/>
        <w:autoSpaceDE w:val="0"/>
        <w:spacing w:line="360" w:lineRule="auto"/>
        <w:ind w:firstLine="420" w:firstLineChars="2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lang w:val="en-US" w:eastAsia="zh-CN" w:bidi="ar-SA"/>
        </w:rPr>
        <w:t>（5</w:t>
      </w:r>
      <w:r>
        <w:rPr>
          <w:rFonts w:hint="eastAsia" w:ascii="Times New Roman" w:hAnsi="Times New Roman" w:eastAsia="宋体" w:cs="Times New Roman"/>
          <w:color w:val="0C0C0C"/>
          <w:kern w:val="2"/>
          <w:sz w:val="21"/>
          <w:szCs w:val="24"/>
          <w:highlight w:val="none"/>
          <w:lang w:val="en-US" w:eastAsia="zh-CN" w:bidi="ar-SA"/>
        </w:rPr>
        <w:t>）防寒服标识、外包装印刷要求：</w:t>
      </w:r>
    </w:p>
    <w:p w14:paraId="6AE74379">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1）在服装后领内侧缝制号型标识；</w:t>
      </w:r>
    </w:p>
    <w:p w14:paraId="58F213FE">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2）外包装正面印刷产品名称、彩色应急救灾标识图样、承制单位名称、监制单位名称；外包装反面印刷装箱数量、产品重量、服装号型、生产日期；外包装两端端面分别印刷“救灾专用”、“注意防潮”警示字样。印刷字体、字号、整体布局符合成品规范要求；救灾标识图样需严格等比例缩放印制，不得更改图案比例、造型及细节；本项目不限制印刷油墨材质与印刷加工工艺，所有印刷内容需字迹清晰、图案完整、附着牢固，无脱落、模糊、晕染、残缺现象。</w:t>
      </w:r>
    </w:p>
    <w:p w14:paraId="07B859FE">
      <w:pPr>
        <w:pStyle w:val="4"/>
        <w:autoSpaceDE w:val="0"/>
        <w:spacing w:line="360" w:lineRule="auto"/>
        <w:ind w:firstLine="420" w:firstLineChars="2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（6）整件防寒服符合GB 18401-2010 B类安全标准，亲肤无刺激、安全耐用；适配户外应急、救灾储备、低温环境作业使用；产品标识、外包装齐全，标注规格、生产信息、执行标准。</w:t>
      </w:r>
    </w:p>
    <w:p w14:paraId="4F1F4228">
      <w:pPr>
        <w:pStyle w:val="4"/>
        <w:autoSpaceDE w:val="0"/>
        <w:spacing w:line="360" w:lineRule="auto"/>
        <w:ind w:firstLine="420" w:firstLineChars="2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（7）防寒服包装成品性能要求：</w:t>
      </w:r>
    </w:p>
    <w:p w14:paraId="75F475F3">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1）单件：聚乙烯塑料袋厚度≥0.08mm，单件真空热合封口；</w:t>
      </w:r>
    </w:p>
    <w:p w14:paraId="05CD4B24">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2）中包装、外包装采用聚丙烯编织布：单面复膜，织密≥40 根 / 10cm，单位面积质量≥90g/m</w:t>
      </w:r>
      <w:r>
        <w:rPr>
          <w:rFonts w:hint="eastAsia" w:ascii="Times New Roman" w:hAnsi="Times New Roman" w:eastAsia="宋体" w:cs="Times New Roman"/>
          <w:color w:val="0C0C0C"/>
          <w:kern w:val="2"/>
          <w:sz w:val="21"/>
          <w:szCs w:val="24"/>
          <w:highlight w:val="none"/>
          <w:vertAlign w:val="superscript"/>
          <w:lang w:val="en-US" w:eastAsia="zh-CN" w:bidi="ar-SA"/>
        </w:rPr>
        <w:t>2</w:t>
      </w:r>
      <w:r>
        <w:rPr>
          <w:rFonts w:hint="eastAsia" w:ascii="Times New Roman" w:hAnsi="Times New Roman" w:eastAsia="宋体" w:cs="Times New Roman"/>
          <w:color w:val="0C0C0C"/>
          <w:kern w:val="2"/>
          <w:sz w:val="21"/>
          <w:szCs w:val="24"/>
          <w:highlight w:val="none"/>
          <w:lang w:val="en-US" w:eastAsia="zh-CN" w:bidi="ar-SA"/>
        </w:rPr>
        <w:t>；经纬向断裂强力≥700N；72h 紫外线辐照后强度下降≤40%；</w:t>
      </w:r>
    </w:p>
    <w:p w14:paraId="7BB06285">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3）捆包麻绳、缝包绳整体力学性能优良，成品断裂强力需满足救灾防寒服捆包、封包成品使用指标要求，保障货物仓储、装卸、运输过程中绳体不断裂、不松脱，捆包牢固稳定；</w:t>
      </w:r>
    </w:p>
    <w:p w14:paraId="47E73C24">
      <w:pPr>
        <w:pStyle w:val="4"/>
        <w:autoSpaceDE w:val="0"/>
        <w:spacing w:line="360" w:lineRule="auto"/>
        <w:ind w:firstLine="630" w:firstLineChars="3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4）装配比：每大包 10 件，配比大号 3 件、中号 4 件、小号 3 件；</w:t>
      </w:r>
    </w:p>
    <w:p w14:paraId="675B607E">
      <w:pPr>
        <w:pStyle w:val="4"/>
        <w:autoSpaceDE w:val="0"/>
        <w:spacing w:line="360" w:lineRule="auto"/>
        <w:ind w:firstLine="630" w:firstLineChars="300"/>
        <w:jc w:val="both"/>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highlight w:val="none"/>
          <w:lang w:val="en-US" w:eastAsia="zh-CN" w:bidi="ar-SA"/>
        </w:rPr>
        <w:t>5）每包产品内放置1张B5四分之一规格检验单，单据需清晰标注产品名称、装箱数量、号型配比、生产日期、检验人员、承制单位等完整信息，单据摆放规整，随货封装齐全。</w:t>
      </w:r>
    </w:p>
    <w:p w14:paraId="4272A82B">
      <w:pPr>
        <w:pStyle w:val="4"/>
        <w:autoSpaceDE w:val="0"/>
        <w:spacing w:line="360" w:lineRule="auto"/>
        <w:jc w:val="both"/>
        <w:rPr>
          <w:rFonts w:hint="eastAsia" w:ascii="宋体" w:hAnsi="宋体"/>
          <w:b/>
          <w:bCs/>
          <w:lang w:val="en-US" w:eastAsia="zh-CN"/>
        </w:rPr>
      </w:pPr>
    </w:p>
    <w:p w14:paraId="34A02280">
      <w:pPr>
        <w:pStyle w:val="4"/>
        <w:autoSpaceDE w:val="0"/>
        <w:spacing w:line="360" w:lineRule="auto"/>
        <w:jc w:val="both"/>
        <w:rPr>
          <w:rFonts w:hint="eastAsia" w:ascii="宋体" w:hAnsi="宋体"/>
          <w:b/>
          <w:bCs/>
          <w:lang w:val="en-US" w:eastAsia="zh-CN"/>
        </w:rPr>
      </w:pPr>
    </w:p>
    <w:p w14:paraId="62142FC4">
      <w:pPr>
        <w:pStyle w:val="4"/>
        <w:autoSpaceDE w:val="0"/>
        <w:spacing w:line="360" w:lineRule="auto"/>
        <w:jc w:val="both"/>
        <w:rPr>
          <w:rFonts w:hint="eastAsia" w:ascii="宋体" w:hAnsi="宋体"/>
          <w:b/>
          <w:bCs/>
          <w:lang w:val="en-US" w:eastAsia="zh-CN"/>
        </w:rPr>
      </w:pPr>
    </w:p>
    <w:p w14:paraId="46B7A6C4">
      <w:pPr>
        <w:pStyle w:val="4"/>
        <w:autoSpaceDE w:val="0"/>
        <w:spacing w:line="360" w:lineRule="auto"/>
        <w:jc w:val="both"/>
        <w:rPr>
          <w:rFonts w:hint="eastAsia" w:ascii="宋体" w:hAnsi="宋体"/>
          <w:b/>
          <w:bCs/>
          <w:lang w:val="en-US" w:eastAsia="zh-CN"/>
        </w:rPr>
      </w:pPr>
    </w:p>
    <w:p w14:paraId="57CD62EE">
      <w:pPr>
        <w:pStyle w:val="4"/>
        <w:autoSpaceDE w:val="0"/>
        <w:spacing w:line="360" w:lineRule="auto"/>
        <w:jc w:val="both"/>
        <w:rPr>
          <w:rFonts w:hint="eastAsia" w:ascii="宋体" w:hAnsi="宋体"/>
          <w:b/>
          <w:bCs/>
          <w:lang w:val="en-US" w:eastAsia="zh-CN"/>
        </w:rPr>
      </w:pPr>
    </w:p>
    <w:p w14:paraId="6E374FE5">
      <w:pPr>
        <w:pStyle w:val="4"/>
        <w:autoSpaceDE w:val="0"/>
        <w:spacing w:line="360" w:lineRule="auto"/>
        <w:jc w:val="both"/>
        <w:rPr>
          <w:rFonts w:hint="eastAsia" w:ascii="宋体" w:hAnsi="宋体"/>
          <w:b/>
          <w:bCs/>
          <w:lang w:val="en-US" w:eastAsia="zh-CN"/>
        </w:rPr>
      </w:pPr>
    </w:p>
    <w:p w14:paraId="3C297C65">
      <w:pPr>
        <w:pStyle w:val="4"/>
        <w:autoSpaceDE w:val="0"/>
        <w:spacing w:line="360" w:lineRule="auto"/>
        <w:jc w:val="both"/>
        <w:rPr>
          <w:rFonts w:hint="eastAsia" w:ascii="宋体" w:hAnsi="宋体"/>
          <w:b/>
          <w:bCs/>
          <w:lang w:val="en-US" w:eastAsia="zh-CN"/>
        </w:rPr>
      </w:pPr>
    </w:p>
    <w:p w14:paraId="03E0A7ED">
      <w:pPr>
        <w:pStyle w:val="4"/>
        <w:autoSpaceDE w:val="0"/>
        <w:spacing w:line="360" w:lineRule="auto"/>
        <w:jc w:val="both"/>
        <w:rPr>
          <w:rFonts w:hint="eastAsia" w:ascii="宋体" w:hAnsi="宋体"/>
          <w:b/>
          <w:bCs/>
          <w:lang w:val="en-US" w:eastAsia="zh-CN"/>
        </w:rPr>
      </w:pPr>
    </w:p>
    <w:p w14:paraId="12C8BA6C">
      <w:pPr>
        <w:pStyle w:val="4"/>
        <w:autoSpaceDE w:val="0"/>
        <w:spacing w:line="360" w:lineRule="auto"/>
        <w:jc w:val="both"/>
        <w:rPr>
          <w:rFonts w:hint="eastAsia" w:ascii="宋体" w:hAnsi="宋体"/>
          <w:b/>
          <w:bCs/>
          <w:lang w:val="en-US" w:eastAsia="zh-CN"/>
        </w:rPr>
      </w:pPr>
    </w:p>
    <w:p w14:paraId="2559D524">
      <w:pPr>
        <w:pStyle w:val="4"/>
        <w:autoSpaceDE w:val="0"/>
        <w:spacing w:line="360" w:lineRule="auto"/>
        <w:jc w:val="both"/>
        <w:rPr>
          <w:rFonts w:hint="eastAsia" w:ascii="宋体" w:hAnsi="宋体"/>
          <w:b/>
          <w:bCs/>
          <w:lang w:val="en-US" w:eastAsia="zh-CN"/>
        </w:rPr>
      </w:pPr>
      <w:r>
        <w:rPr>
          <w:rFonts w:hint="eastAsia" w:ascii="宋体" w:hAnsi="宋体"/>
          <w:b/>
          <w:bCs/>
          <w:lang w:val="en-US" w:eastAsia="zh-CN"/>
        </w:rPr>
        <w:t>附图 7    防寒服应急救灾 Logo 彩色版本</w:t>
      </w:r>
    </w:p>
    <w:p w14:paraId="5E18EF08">
      <w:pPr>
        <w:pStyle w:val="4"/>
        <w:autoSpaceDE w:val="0"/>
        <w:spacing w:line="360" w:lineRule="auto"/>
        <w:jc w:val="both"/>
        <w:rPr>
          <w:rFonts w:hint="eastAsia" w:ascii="宋体" w:hAnsi="宋体"/>
          <w:b/>
          <w:bCs/>
          <w:lang w:val="en-US" w:eastAsia="zh-CN"/>
        </w:rPr>
      </w:pPr>
    </w:p>
    <w:p w14:paraId="785F4C4F">
      <w:pPr>
        <w:pStyle w:val="4"/>
        <w:autoSpaceDE w:val="0"/>
        <w:spacing w:line="360" w:lineRule="auto"/>
        <w:jc w:val="center"/>
      </w:pPr>
      <w:r>
        <w:drawing>
          <wp:inline distT="0" distB="0" distL="114300" distR="114300">
            <wp:extent cx="2943225" cy="2143125"/>
            <wp:effectExtent l="0" t="0" r="9525" b="9525"/>
            <wp:docPr id="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pic:cNvPicPr>
                      <a:picLocks noChangeAspect="1"/>
                    </pic:cNvPicPr>
                  </pic:nvPicPr>
                  <pic:blipFill>
                    <a:blip r:embed="rId14"/>
                    <a:stretch>
                      <a:fillRect/>
                    </a:stretch>
                  </pic:blipFill>
                  <pic:spPr>
                    <a:xfrm>
                      <a:off x="0" y="0"/>
                      <a:ext cx="2943225" cy="2143125"/>
                    </a:xfrm>
                    <a:prstGeom prst="rect">
                      <a:avLst/>
                    </a:prstGeom>
                    <a:noFill/>
                    <a:ln>
                      <a:noFill/>
                    </a:ln>
                  </pic:spPr>
                </pic:pic>
              </a:graphicData>
            </a:graphic>
          </wp:inline>
        </w:drawing>
      </w:r>
    </w:p>
    <w:p w14:paraId="7DEB95B4">
      <w:pPr>
        <w:pStyle w:val="4"/>
        <w:autoSpaceDE w:val="0"/>
        <w:spacing w:line="360" w:lineRule="auto"/>
        <w:jc w:val="center"/>
        <w:rPr>
          <w:rFonts w:hint="eastAsia"/>
          <w:lang w:val="en-US" w:eastAsia="zh-CN"/>
        </w:rPr>
      </w:pPr>
    </w:p>
    <w:p w14:paraId="03F63B92">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说明：本附图仅展示标识图案色彩样式，仅作图样参考；印刷工艺供应商可自主选择，成品图案比例不能改动。</w:t>
      </w:r>
    </w:p>
    <w:p w14:paraId="7F1EAF28">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2FA3E334">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385D9F9E">
      <w:pPr>
        <w:pStyle w:val="4"/>
        <w:autoSpaceDE w:val="0"/>
        <w:spacing w:line="360" w:lineRule="auto"/>
        <w:rPr>
          <w:rFonts w:hint="eastAsia" w:ascii="Times New Roman" w:hAnsi="Times New Roman" w:eastAsia="宋体" w:cs="Times New Roman"/>
          <w:b/>
          <w:bCs/>
          <w:color w:val="0C0C0C"/>
          <w:kern w:val="2"/>
          <w:sz w:val="21"/>
          <w:szCs w:val="24"/>
          <w:lang w:val="en-US" w:eastAsia="zh-CN" w:bidi="ar-SA"/>
        </w:rPr>
      </w:pPr>
      <w:r>
        <w:rPr>
          <w:rFonts w:hint="eastAsia" w:ascii="Times New Roman" w:hAnsi="Times New Roman" w:eastAsia="宋体" w:cs="Times New Roman"/>
          <w:b/>
          <w:bCs/>
          <w:color w:val="0C0C0C"/>
          <w:kern w:val="2"/>
          <w:sz w:val="21"/>
          <w:szCs w:val="24"/>
          <w:lang w:val="en-US" w:eastAsia="zh-CN" w:bidi="ar-SA"/>
        </w:rPr>
        <w:t>附图 8    防寒服应急救灾 Logo 反白版本</w:t>
      </w:r>
    </w:p>
    <w:p w14:paraId="67398B9A">
      <w:pPr>
        <w:pStyle w:val="4"/>
        <w:autoSpaceDE w:val="0"/>
        <w:spacing w:line="360" w:lineRule="auto"/>
        <w:jc w:val="center"/>
        <w:rPr>
          <w:rFonts w:hint="eastAsia" w:ascii="Times New Roman" w:hAnsi="Times New Roman" w:eastAsia="宋体" w:cs="Times New Roman"/>
          <w:b/>
          <w:bCs/>
          <w:color w:val="0C0C0C"/>
          <w:kern w:val="2"/>
          <w:sz w:val="21"/>
          <w:szCs w:val="24"/>
          <w:lang w:val="en-US" w:eastAsia="zh-CN" w:bidi="ar-SA"/>
        </w:rPr>
      </w:pPr>
      <w:r>
        <w:drawing>
          <wp:inline distT="0" distB="0" distL="114300" distR="114300">
            <wp:extent cx="1447800" cy="923925"/>
            <wp:effectExtent l="0" t="0" r="0" b="9525"/>
            <wp:docPr id="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2"/>
                    <pic:cNvPicPr>
                      <a:picLocks noChangeAspect="1"/>
                    </pic:cNvPicPr>
                  </pic:nvPicPr>
                  <pic:blipFill>
                    <a:blip r:embed="rId15"/>
                    <a:stretch>
                      <a:fillRect/>
                    </a:stretch>
                  </pic:blipFill>
                  <pic:spPr>
                    <a:xfrm>
                      <a:off x="0" y="0"/>
                      <a:ext cx="1447800" cy="92392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143125" cy="2181225"/>
            <wp:effectExtent l="0" t="0" r="9525" b="9525"/>
            <wp:docPr id="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3"/>
                    <pic:cNvPicPr>
                      <a:picLocks noChangeAspect="1"/>
                    </pic:cNvPicPr>
                  </pic:nvPicPr>
                  <pic:blipFill>
                    <a:blip r:embed="rId16"/>
                    <a:stretch>
                      <a:fillRect/>
                    </a:stretch>
                  </pic:blipFill>
                  <pic:spPr>
                    <a:xfrm>
                      <a:off x="0" y="0"/>
                      <a:ext cx="2143125" cy="2181225"/>
                    </a:xfrm>
                    <a:prstGeom prst="rect">
                      <a:avLst/>
                    </a:prstGeom>
                    <a:noFill/>
                    <a:ln>
                      <a:noFill/>
                    </a:ln>
                  </pic:spPr>
                </pic:pic>
              </a:graphicData>
            </a:graphic>
          </wp:inline>
        </w:drawing>
      </w:r>
    </w:p>
    <w:p w14:paraId="3FAF7C99">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3D41BD82">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说明：本附图仅展示标识反白样式，仅作图样参考；印刷工艺供应商可自主选择，成品图案比例不能改动。</w:t>
      </w:r>
    </w:p>
    <w:p w14:paraId="7DF26766">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211708D2">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0219A183">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17B81271">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7DE885CD">
      <w:pPr>
        <w:pStyle w:val="4"/>
        <w:autoSpaceDE w:val="0"/>
        <w:spacing w:line="360" w:lineRule="auto"/>
        <w:rPr>
          <w:rFonts w:hint="eastAsia" w:ascii="Times New Roman" w:hAnsi="Times New Roman" w:eastAsia="宋体" w:cs="Times New Roman"/>
          <w:b/>
          <w:bCs/>
          <w:color w:val="0C0C0C"/>
          <w:kern w:val="2"/>
          <w:sz w:val="21"/>
          <w:szCs w:val="24"/>
          <w:lang w:val="en-US" w:eastAsia="zh-CN" w:bidi="ar-SA"/>
        </w:rPr>
      </w:pPr>
      <w:r>
        <w:rPr>
          <w:rFonts w:hint="eastAsia" w:ascii="Times New Roman" w:hAnsi="Times New Roman" w:eastAsia="宋体" w:cs="Times New Roman"/>
          <w:b/>
          <w:bCs/>
          <w:color w:val="0C0C0C"/>
          <w:kern w:val="2"/>
          <w:sz w:val="21"/>
          <w:szCs w:val="24"/>
          <w:lang w:val="en-US" w:eastAsia="zh-CN" w:bidi="ar-SA"/>
        </w:rPr>
        <w:t>附图 9    标识规范比例网格图</w:t>
      </w:r>
    </w:p>
    <w:p w14:paraId="31A4A3B2">
      <w:pPr>
        <w:pStyle w:val="4"/>
        <w:autoSpaceDE w:val="0"/>
        <w:spacing w:line="360" w:lineRule="auto"/>
        <w:rPr>
          <w:rFonts w:hint="eastAsia" w:ascii="Times New Roman" w:hAnsi="Times New Roman" w:eastAsia="宋体" w:cs="Times New Roman"/>
          <w:b/>
          <w:bCs/>
          <w:color w:val="0C0C0C"/>
          <w:kern w:val="2"/>
          <w:sz w:val="21"/>
          <w:szCs w:val="24"/>
          <w:lang w:val="en-US" w:eastAsia="zh-CN" w:bidi="ar-SA"/>
        </w:rPr>
      </w:pPr>
    </w:p>
    <w:p w14:paraId="1F1886E9">
      <w:pPr>
        <w:pStyle w:val="4"/>
        <w:autoSpaceDE w:val="0"/>
        <w:spacing w:line="360" w:lineRule="auto"/>
        <w:jc w:val="center"/>
        <w:rPr>
          <w:rFonts w:hint="eastAsia" w:ascii="Times New Roman" w:hAnsi="Times New Roman" w:eastAsia="宋体" w:cs="Times New Roman"/>
          <w:b/>
          <w:bCs/>
          <w:color w:val="0C0C0C"/>
          <w:kern w:val="2"/>
          <w:sz w:val="21"/>
          <w:szCs w:val="24"/>
          <w:lang w:val="en-US" w:eastAsia="zh-CN" w:bidi="ar-SA"/>
        </w:rPr>
      </w:pPr>
      <w:r>
        <w:drawing>
          <wp:inline distT="0" distB="0" distL="114300" distR="114300">
            <wp:extent cx="2867025" cy="2095500"/>
            <wp:effectExtent l="0" t="0" r="9525" b="0"/>
            <wp:docPr id="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4"/>
                    <pic:cNvPicPr>
                      <a:picLocks noChangeAspect="1"/>
                    </pic:cNvPicPr>
                  </pic:nvPicPr>
                  <pic:blipFill>
                    <a:blip r:embed="rId17"/>
                    <a:stretch>
                      <a:fillRect/>
                    </a:stretch>
                  </pic:blipFill>
                  <pic:spPr>
                    <a:xfrm>
                      <a:off x="0" y="0"/>
                      <a:ext cx="2867025" cy="2095500"/>
                    </a:xfrm>
                    <a:prstGeom prst="rect">
                      <a:avLst/>
                    </a:prstGeom>
                    <a:noFill/>
                    <a:ln>
                      <a:noFill/>
                    </a:ln>
                  </pic:spPr>
                </pic:pic>
              </a:graphicData>
            </a:graphic>
          </wp:inline>
        </w:drawing>
      </w:r>
    </w:p>
    <w:p w14:paraId="2CC2D1CF">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2D26AD16">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说明：本附图仅用于控制标识缩放比例，仅作图样参考，不约束印刷工艺，成品标识不得变形，等比例放大缩小。</w:t>
      </w:r>
    </w:p>
    <w:p w14:paraId="0F92921A">
      <w:pPr>
        <w:pStyle w:val="4"/>
        <w:autoSpaceDE w:val="0"/>
        <w:spacing w:line="360" w:lineRule="auto"/>
        <w:rPr>
          <w:rFonts w:hint="eastAsia" w:ascii="Times New Roman" w:hAnsi="Times New Roman" w:eastAsia="宋体" w:cs="Times New Roman"/>
          <w:color w:val="0C0C0C"/>
          <w:kern w:val="2"/>
          <w:sz w:val="21"/>
          <w:szCs w:val="24"/>
          <w:lang w:val="en-US" w:eastAsia="zh-CN" w:bidi="ar-SA"/>
        </w:rPr>
      </w:pPr>
    </w:p>
    <w:p w14:paraId="6A5A091D">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（四）夏装（含大、中、小款）</w:t>
      </w:r>
    </w:p>
    <w:p w14:paraId="19410C74">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（1）面料：采用涤棉混纺平纹或斜纹，成分为65%聚酯纤维、35%棉，面料单位面积质量为160-180g/㎡，允许偏差±5%；</w:t>
      </w:r>
    </w:p>
    <w:p w14:paraId="34E838FB">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（2）安全性能指标：产品安全类别符合GB 18401-2010《国家纺织产品基本安全技术规范》B类标准要求；甲醛含量≤75mg/kg；pH值控制在4.0-8.5区间；可分解致癌芳香胺染料不得检出（检测定量限20mg/kg）；成品无异味；</w:t>
      </w:r>
    </w:p>
    <w:p w14:paraId="56137781">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（3）色牢度：耐皂洗色牢度≥3级、耐酸汗渍色牢度≥3级、耐碱汗渍色牢度≥3级、耐干摩擦色牢度≥4级、耐湿摩擦色牢度≥2-3级、耐水色牢度≥3级；</w:t>
      </w:r>
    </w:p>
    <w:p w14:paraId="6944E839">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（4）力学性能：面料断裂强力：经向≥450N、纬向≥400N；面料撕破强力经向、纬向均≥25N，面料具备良好抗撕裂性能，适配救灾复杂环境使用，不易破损；</w:t>
      </w:r>
    </w:p>
    <w:p w14:paraId="020B3728">
      <w:pPr>
        <w:pStyle w:val="4"/>
        <w:autoSpaceDE w:val="0"/>
        <w:spacing w:line="360" w:lineRule="auto"/>
        <w:ind w:firstLine="420" w:firstLineChars="200"/>
        <w:rPr>
          <w:rFonts w:hint="eastAsia" w:ascii="Times New Roman" w:hAnsi="Times New Roman" w:eastAsia="宋体" w:cs="Times New Roman"/>
          <w:color w:val="0C0C0C"/>
          <w:kern w:val="2"/>
          <w:sz w:val="21"/>
          <w:szCs w:val="24"/>
          <w:highlight w:val="none"/>
          <w:lang w:val="en-US" w:eastAsia="zh-CN" w:bidi="ar-SA"/>
        </w:rPr>
      </w:pPr>
      <w:r>
        <w:rPr>
          <w:rFonts w:hint="eastAsia" w:ascii="Times New Roman" w:hAnsi="Times New Roman" w:eastAsia="宋体" w:cs="Times New Roman"/>
          <w:color w:val="0C0C0C"/>
          <w:kern w:val="2"/>
          <w:sz w:val="21"/>
          <w:szCs w:val="24"/>
          <w:lang w:val="en-US" w:eastAsia="zh-CN" w:bidi="ar-SA"/>
        </w:rPr>
        <w:t>（5）</w:t>
      </w:r>
      <w:r>
        <w:rPr>
          <w:rFonts w:hint="eastAsia" w:ascii="Times New Roman" w:hAnsi="Times New Roman" w:eastAsia="宋体" w:cs="Times New Roman"/>
          <w:color w:val="0C0C0C"/>
          <w:kern w:val="2"/>
          <w:sz w:val="21"/>
          <w:szCs w:val="24"/>
          <w:highlight w:val="none"/>
          <w:lang w:val="en-US" w:eastAsia="zh-CN" w:bidi="ar-SA"/>
        </w:rPr>
        <w:t>成衣接缝性能：成衣拼接接缝断裂强力≥300N，接缝牢固耐用，受力状态下不易开裂、脱线；</w:t>
      </w:r>
    </w:p>
    <w:p w14:paraId="7EAAEE70">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（6）水洗尺寸稳</w:t>
      </w:r>
      <w:r>
        <w:rPr>
          <w:rFonts w:hint="eastAsia" w:ascii="Times New Roman" w:hAnsi="Times New Roman" w:eastAsia="宋体" w:cs="Times New Roman"/>
          <w:color w:val="0C0C0C"/>
          <w:kern w:val="2"/>
          <w:sz w:val="21"/>
          <w:szCs w:val="24"/>
          <w:highlight w:val="none"/>
          <w:lang w:val="en-US" w:eastAsia="zh-CN" w:bidi="ar-SA"/>
        </w:rPr>
        <w:t>定性：成品水洗尺寸变化率≤±3%，多次洗涤后无明显缩水、变形现象，尺寸稳定性良好；</w:t>
      </w:r>
    </w:p>
    <w:p w14:paraId="1FBBFFA8">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（7）起毛起球性能：面料起毛起球等级≥3级，长期仓储、正常穿着使用过程中不易起毛、起球；</w:t>
      </w:r>
    </w:p>
    <w:p w14:paraId="0A239DDD">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（8）产品标识：成衣缝制水洗标，外包装印刷救灾物资字样、规格、生产单位、生产日期。</w:t>
      </w:r>
    </w:p>
    <w:p w14:paraId="02853540">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（9）夏装大号、中号、小号实际供货配比，待成交后由采购人核实确认各规格需求数量后执行供货；号型规格数量调整不改变夏装单品技术标准及合同单品单价。</w:t>
      </w:r>
    </w:p>
    <w:p w14:paraId="3C96389E">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供应商应确保所提供的全部物资为全新、合格产品，不得以旧充新、以次充好；产品的原材料、加工工艺、成品性能等均应符合本章要求及相应国家、行业标准的规定。</w:t>
      </w:r>
    </w:p>
    <w:p w14:paraId="662901A6">
      <w:pPr>
        <w:numPr>
          <w:ilvl w:val="0"/>
          <w:numId w:val="2"/>
        </w:numPr>
        <w:adjustRightInd w:val="0"/>
        <w:snapToGrid w:val="0"/>
        <w:spacing w:beforeLines="50" w:line="360" w:lineRule="auto"/>
        <w:ind w:left="0" w:leftChars="0" w:firstLine="0" w:firstLineChars="0"/>
        <w:rPr>
          <w:rFonts w:hint="eastAsia"/>
          <w:b/>
          <w:bCs/>
          <w:color w:val="0C0C0C"/>
          <w:lang w:eastAsia="zh-CN"/>
        </w:rPr>
      </w:pPr>
      <w:r>
        <w:rPr>
          <w:rFonts w:hint="eastAsia" w:ascii="宋体" w:hAnsi="宋体" w:cs="宋体"/>
          <w:b/>
          <w:bCs/>
          <w:color w:val="0C0C0C"/>
          <w:kern w:val="0"/>
          <w:szCs w:val="21"/>
        </w:rPr>
        <w:t>采购标的的数量、采购项目交付或者实施的时间和地点</w:t>
      </w:r>
    </w:p>
    <w:p w14:paraId="598EEEE0">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4.1采购标的数量：</w:t>
      </w:r>
    </w:p>
    <w:p w14:paraId="6E77A32F">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（1）帐篷：490顶；</w:t>
      </w:r>
    </w:p>
    <w:p w14:paraId="30515B98">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（2）三折叠床：1362张；</w:t>
      </w:r>
    </w:p>
    <w:p w14:paraId="71A92867">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（3）防寒服（含大、中、小款）：800件；（即大款240件、中款320件、小款240件）</w:t>
      </w:r>
    </w:p>
    <w:p w14:paraId="146A8D56">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（4）夏装（含大、中、小款）：299件。</w:t>
      </w:r>
    </w:p>
    <w:p w14:paraId="6CB008B7">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4.2交付或者实施的时间和地点：</w:t>
      </w:r>
    </w:p>
    <w:p w14:paraId="4237F58F">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（1）交付时间：供应商应于合同签订后7个日历日内完成全部采购物资的生产、检验并交付。</w:t>
      </w:r>
    </w:p>
    <w:p w14:paraId="77EFE657">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2）交付地点：岳阳市范围内采购人指定地点，配送范围包含岳阳市本级及部分区县物资储备场所，最终配送点位、分配数量，由采购人根据储备调拨实际需求在履约期间另行通知。成交供应商须按采购人通知，将物资分别配送至各指定地点，配送、卸货、就位等全部费用包含在合同总价内。</w:t>
      </w:r>
    </w:p>
    <w:p w14:paraId="230E2E49">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（3）配送要求：供应商负责将物资安全、完好地配送至采购人指定地点，运输及装卸费用由供应商承担；物资在运输过程中应做好防潮、防雨、防压、防损坏等保护措施。</w:t>
      </w:r>
    </w:p>
    <w:p w14:paraId="034CC7AE">
      <w:pPr>
        <w:adjustRightInd w:val="0"/>
        <w:snapToGrid w:val="0"/>
        <w:spacing w:beforeLines="50" w:line="360" w:lineRule="auto"/>
        <w:rPr>
          <w:rFonts w:hint="eastAsia"/>
          <w:color w:val="0C0C0C"/>
        </w:rPr>
      </w:pPr>
      <w:r>
        <w:rPr>
          <w:rFonts w:hint="eastAsia" w:ascii="宋体" w:hAnsi="宋体"/>
          <w:b/>
          <w:bCs/>
          <w:color w:val="0C0C0C"/>
          <w:szCs w:val="21"/>
        </w:rPr>
        <w:t>五、</w:t>
      </w:r>
      <w:r>
        <w:rPr>
          <w:rFonts w:hint="eastAsia" w:ascii="宋体" w:hAnsi="宋体" w:cs="宋体"/>
          <w:b/>
          <w:bCs/>
          <w:color w:val="0C0C0C"/>
          <w:kern w:val="0"/>
          <w:szCs w:val="21"/>
        </w:rPr>
        <w:t>采购标的的验收标准</w:t>
      </w:r>
    </w:p>
    <w:p w14:paraId="2D47CB8F">
      <w:pPr>
        <w:pStyle w:val="4"/>
        <w:autoSpaceDE w:val="0"/>
        <w:spacing w:line="360" w:lineRule="auto"/>
        <w:ind w:firstLine="420" w:firstLineChars="200"/>
        <w:rPr>
          <w:rFonts w:hint="eastAsia" w:ascii="宋体" w:hAnsi="宋体" w:eastAsia="宋体"/>
          <w:color w:val="0C0C0C"/>
          <w:szCs w:val="21"/>
          <w:lang w:eastAsia="zh-CN"/>
        </w:rPr>
      </w:pPr>
      <w:r>
        <w:rPr>
          <w:rFonts w:hint="eastAsia" w:ascii="Times New Roman" w:hAnsi="Times New Roman" w:eastAsia="宋体" w:cs="Times New Roman"/>
          <w:color w:val="0C0C0C"/>
          <w:kern w:val="2"/>
          <w:sz w:val="21"/>
          <w:szCs w:val="24"/>
          <w:lang w:val="en-US" w:eastAsia="zh-CN" w:bidi="ar-SA"/>
        </w:rPr>
        <w:t>5.1</w:t>
      </w:r>
      <w:r>
        <w:rPr>
          <w:rFonts w:hint="eastAsia" w:ascii="宋体" w:hAnsi="宋体" w:eastAsia="宋体"/>
          <w:color w:val="000000"/>
          <w:szCs w:val="21"/>
          <w:lang w:eastAsia="zh-CN"/>
        </w:rPr>
        <w:t>验收标准</w:t>
      </w:r>
      <w:r>
        <w:rPr>
          <w:rFonts w:hint="eastAsia" w:ascii="宋体" w:hAnsi="宋体" w:eastAsia="宋体"/>
          <w:color w:val="0C0C0C"/>
          <w:szCs w:val="21"/>
          <w:lang w:eastAsia="zh-CN"/>
        </w:rPr>
        <w:t>：</w:t>
      </w:r>
      <w:r>
        <w:rPr>
          <w:rFonts w:hint="eastAsia" w:ascii="宋体" w:hAnsi="宋体" w:eastAsia="宋体"/>
          <w:color w:val="0C0C0C"/>
          <w:szCs w:val="21"/>
          <w:lang w:val="en-US" w:eastAsia="zh-CN"/>
        </w:rPr>
        <w:t>本项目履约验收严格以本文件、供应商成交响应文件、政府采购合同约定内容为唯一法定验收依据，全面遵照国家及行业现行有效标准、规范执行。合同订立及履约全过程中，采购双方均不得擅自变更、删减、调低、豁免既定技术标准、质量要求及履约条款。所有交付货物及配套附件须为全新、完好、未使用过的合格正品，外观无瑕疵、资料齐全、工艺合规、质量可靠，完全满足合同约定及实际使用需求。货物整体质量、技术参数、工艺标准、配置功能、包装标识等全部指标验收合格后方可通过履约验收。凡出现质量不达标、参数不符、功能缺失、工艺缺陷、资料不齐、包装破损等不符合合同约定情形的，均视为履约不合格，采购人有权不予验收、不予支付款项，并有权要求供应商无条件免费整改、返工、更换货物，由此产生的一切费用、工期延误损失及全部违约责任均由成交供应商自行承担。供应商拒不整改、逾期未完成整改或整改后仍不达标的，采购人有权单方终止合同并依法追究其全部违约责任。</w:t>
      </w:r>
    </w:p>
    <w:p w14:paraId="1BB603E5">
      <w:pPr>
        <w:numPr>
          <w:ilvl w:val="0"/>
          <w:numId w:val="0"/>
        </w:numPr>
        <w:adjustRightInd w:val="0"/>
        <w:snapToGrid w:val="0"/>
        <w:spacing w:beforeLines="50" w:line="360" w:lineRule="auto"/>
        <w:ind w:leftChars="0"/>
        <w:rPr>
          <w:rFonts w:hint="eastAsia" w:ascii="宋体" w:hAnsi="宋体" w:cs="宋体"/>
          <w:color w:val="0C0C0C"/>
          <w:kern w:val="0"/>
          <w:szCs w:val="21"/>
        </w:rPr>
      </w:pPr>
      <w:r>
        <w:rPr>
          <w:rFonts w:hint="eastAsia" w:ascii="宋体" w:hAnsi="宋体" w:cs="宋体"/>
          <w:b/>
          <w:bCs/>
          <w:color w:val="0C0C0C"/>
          <w:kern w:val="0"/>
          <w:szCs w:val="21"/>
          <w:lang w:eastAsia="zh-CN"/>
        </w:rPr>
        <w:t>六、</w:t>
      </w:r>
      <w:r>
        <w:rPr>
          <w:rFonts w:hint="eastAsia" w:ascii="宋体" w:hAnsi="宋体" w:cs="宋体"/>
          <w:b/>
          <w:bCs/>
          <w:color w:val="0C0C0C"/>
          <w:kern w:val="0"/>
          <w:szCs w:val="21"/>
        </w:rPr>
        <w:t>采购标的需满足的服务标准、期限、效率等要求</w:t>
      </w:r>
      <w:r>
        <w:rPr>
          <w:rFonts w:hint="eastAsia" w:ascii="宋体" w:hAnsi="宋体" w:cs="宋体"/>
          <w:color w:val="0C0C0C"/>
          <w:kern w:val="0"/>
          <w:szCs w:val="21"/>
        </w:rPr>
        <w:t>；</w:t>
      </w:r>
    </w:p>
    <w:p w14:paraId="47CB33DB">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6.1质保期限：自验收合格之日起，本项目所有货物质保期不少于3年，质保期内出现非人为因素造成的质量问题，供应商应负责免费维修、更换。</w:t>
      </w:r>
    </w:p>
    <w:p w14:paraId="2E17AA23">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6.2售后服务：供应商应建立完善的售后服务体系，设立售后服务联系人和联系电话，对采购人提出的质量异议和问题应及时响应、妥善处理。</w:t>
      </w:r>
    </w:p>
    <w:p w14:paraId="64F3EC5D">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6.3应急响应：因救灾应急需要紧急调配物资时，供应商应配合采购人做好物资的快速补充、更换及技术支持，确保应急物资及时到位。</w:t>
      </w:r>
    </w:p>
    <w:p w14:paraId="4AC8BA9B">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6.4技术指导：供应商应根据采购人需要，提供物资的正确使用、存放、维护保养等方面的技术说明和指导。</w:t>
      </w:r>
    </w:p>
    <w:p w14:paraId="71FE0A9E">
      <w:pPr>
        <w:adjustRightInd w:val="0"/>
        <w:snapToGrid w:val="0"/>
        <w:spacing w:beforeLines="50" w:line="360" w:lineRule="auto"/>
        <w:rPr>
          <w:rFonts w:hint="eastAsia" w:ascii="宋体" w:hAnsi="宋体" w:cs="宋体"/>
          <w:b/>
          <w:bCs/>
          <w:color w:val="0C0C0C"/>
          <w:kern w:val="0"/>
          <w:szCs w:val="21"/>
        </w:rPr>
      </w:pPr>
      <w:r>
        <w:rPr>
          <w:rFonts w:hint="eastAsia" w:ascii="宋体" w:hAnsi="宋体"/>
          <w:b/>
          <w:bCs/>
          <w:color w:val="0C0C0C"/>
          <w:szCs w:val="21"/>
        </w:rPr>
        <w:t>七、</w:t>
      </w:r>
      <w:r>
        <w:rPr>
          <w:rFonts w:hint="eastAsia" w:ascii="宋体" w:hAnsi="宋体" w:cs="宋体"/>
          <w:b/>
          <w:bCs/>
          <w:color w:val="0C0C0C"/>
          <w:kern w:val="0"/>
          <w:szCs w:val="21"/>
        </w:rPr>
        <w:t>采购标的的其他技术、服务等要求</w:t>
      </w:r>
    </w:p>
    <w:p w14:paraId="2DF6C6B3">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7.1包装要求：物资外包装应牢固、密封、防潮、防压，标注清晰，包装标识应包括物资名称、规格、数量、生产单位、生产日期、执行标准等信息。</w:t>
      </w:r>
    </w:p>
    <w:p w14:paraId="66CB4439">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7.2储存要求：物资应适合长期仓储储备，仓储过程中性能稳定、不易老化、霉变、虫蛀，供应商应提供相应的储存保管建议。</w:t>
      </w:r>
    </w:p>
    <w:p w14:paraId="3FE8A3D3">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7.3资料要求：供应商应随货提供产品合格证、出厂检验报告、产品说明书、执行标准清单等完整技术资料，并确保资料真实、合法、有效。</w:t>
      </w:r>
    </w:p>
    <w:p w14:paraId="67978005">
      <w:pPr>
        <w:pStyle w:val="4"/>
        <w:autoSpaceDE w:val="0"/>
        <w:spacing w:line="360" w:lineRule="auto"/>
        <w:ind w:firstLine="420" w:firstLineChars="200"/>
        <w:rPr>
          <w:rFonts w:hint="eastAsia" w:ascii="Times New Roman" w:hAnsi="Times New Roman" w:eastAsia="宋体" w:cs="Times New Roman"/>
          <w:color w:val="0C0C0C"/>
          <w:kern w:val="2"/>
          <w:sz w:val="21"/>
          <w:szCs w:val="24"/>
          <w:lang w:val="en-US" w:eastAsia="zh-CN" w:bidi="ar-SA"/>
        </w:rPr>
      </w:pPr>
      <w:r>
        <w:rPr>
          <w:rFonts w:hint="eastAsia" w:ascii="Times New Roman" w:hAnsi="Times New Roman" w:eastAsia="宋体" w:cs="Times New Roman"/>
          <w:color w:val="0C0C0C"/>
          <w:kern w:val="2"/>
          <w:sz w:val="21"/>
          <w:szCs w:val="24"/>
          <w:lang w:val="en-US" w:eastAsia="zh-CN" w:bidi="ar-SA"/>
        </w:rPr>
        <w:t>7.4知识产权与合法性：供应商提供的产品不得侵犯任何第三方知识产权，产品生产、销售应符合国家相关法律法规要求。</w:t>
      </w:r>
    </w:p>
    <w:p w14:paraId="2BF34E20">
      <w:r>
        <w:rPr>
          <w:rFonts w:hint="eastAsia" w:ascii="Times New Roman" w:hAnsi="Times New Roman" w:eastAsia="宋体" w:cs="Times New Roman"/>
          <w:color w:val="0C0C0C"/>
          <w:kern w:val="2"/>
          <w:sz w:val="21"/>
          <w:szCs w:val="24"/>
          <w:lang w:val="en-US" w:eastAsia="zh-CN" w:bidi="ar-SA"/>
        </w:rPr>
        <w:t>7.5其他：本章未尽事宜，遵照国家现行法律法规、政府采购相关管理规定及本项目采购文件规定执行。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79E060"/>
    <w:multiLevelType w:val="singleLevel"/>
    <w:tmpl w:val="F579E060"/>
    <w:lvl w:ilvl="0" w:tentative="0">
      <w:start w:val="3"/>
      <w:numFmt w:val="chineseCounting"/>
      <w:suff w:val="nothing"/>
      <w:lvlText w:val="%1、"/>
      <w:lvlJc w:val="left"/>
      <w:rPr>
        <w:rFonts w:hint="eastAsia"/>
      </w:rPr>
    </w:lvl>
  </w:abstractNum>
  <w:abstractNum w:abstractNumId="1">
    <w:nsid w:val="FBB4D021"/>
    <w:multiLevelType w:val="singleLevel"/>
    <w:tmpl w:val="FBB4D02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FA44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正文_1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emf"/><Relationship Id="rId12" Type="http://schemas.openxmlformats.org/officeDocument/2006/relationships/image" Target="media/image9.emf"/><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2026-09-23T09:40:42Z</dcterms:created>
  <dc:creator>Administrator</dc:creator>
  <cp:lastModifiedBy>倩</cp:lastModifiedBy>
  <dcterms:modified xsi:type="dcterms:W3CDTF">2026-09-23T09:41:24Z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eyJoZGlkIjoiODM1MjhkMjBjOGE4ZTAwODE4MTc5NTNjN2FiZTFiZTUiLCJ1c2VySWQiOiIxMTc5NDY5MTA1In0=</vt:lpwstr>
  </property>
  <property fmtid="{D5CDD505-2E9C-101B-9397-08002B2CF9AE}" pid="4" name="ICV">
    <vt:lpwstr>3FAF5F1DD1ED49D995D0CAF3BED0A207_12</vt:lpwstr>
  </property>
</Properties>
</file>