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51FEF">
      <w:pPr>
        <w:pStyle w:val="25"/>
        <w:adjustRightInd w:val="0"/>
        <w:snapToGrid w:val="0"/>
        <w:spacing w:line="240" w:lineRule="atLeast"/>
        <w:rPr>
          <w:rFonts w:hint="eastAsia" w:hAnsi="宋体"/>
          <w:color w:val="000000"/>
          <w:sz w:val="44"/>
        </w:rPr>
      </w:pPr>
    </w:p>
    <w:p w14:paraId="59423FB7">
      <w:pPr>
        <w:pStyle w:val="25"/>
        <w:adjustRightInd w:val="0"/>
        <w:snapToGrid w:val="0"/>
        <w:spacing w:line="240" w:lineRule="atLeast"/>
        <w:rPr>
          <w:rFonts w:hint="eastAsia" w:hAnsi="宋体"/>
          <w:color w:val="000000"/>
          <w:sz w:val="44"/>
        </w:rPr>
      </w:pPr>
    </w:p>
    <w:p w14:paraId="758264AC">
      <w:pPr>
        <w:pStyle w:val="25"/>
        <w:adjustRightInd w:val="0"/>
        <w:snapToGrid w:val="0"/>
        <w:spacing w:line="240" w:lineRule="atLeast"/>
        <w:rPr>
          <w:rFonts w:hint="eastAsia" w:hAnsi="宋体"/>
          <w:color w:val="000000"/>
          <w:sz w:val="44"/>
        </w:rPr>
      </w:pPr>
    </w:p>
    <w:p w14:paraId="5B08DD11">
      <w:pPr>
        <w:pStyle w:val="25"/>
        <w:adjustRightInd w:val="0"/>
        <w:snapToGrid w:val="0"/>
        <w:spacing w:line="240" w:lineRule="atLeast"/>
        <w:jc w:val="center"/>
        <w:rPr>
          <w:rFonts w:hint="eastAsia" w:ascii="华文中宋" w:hAnsi="华文中宋" w:eastAsia="华文中宋"/>
          <w:b w:val="0"/>
          <w:bCs w:val="0"/>
          <w:color w:val="000000"/>
          <w:sz w:val="96"/>
          <w:szCs w:val="96"/>
        </w:rPr>
      </w:pPr>
      <w:r>
        <w:rPr>
          <w:rFonts w:hint="eastAsia" w:ascii="华文中宋" w:hAnsi="华文中宋" w:eastAsia="华文中宋"/>
          <w:b w:val="0"/>
          <w:bCs w:val="0"/>
          <w:color w:val="000000"/>
          <w:sz w:val="96"/>
          <w:szCs w:val="96"/>
        </w:rPr>
        <w:t>政府采购</w:t>
      </w:r>
    </w:p>
    <w:p w14:paraId="0EE0ABDF">
      <w:pPr>
        <w:pStyle w:val="25"/>
        <w:adjustRightInd w:val="0"/>
        <w:snapToGrid w:val="0"/>
        <w:spacing w:line="240" w:lineRule="atLeast"/>
        <w:jc w:val="center"/>
        <w:rPr>
          <w:rFonts w:hint="eastAsia" w:ascii="华文中宋" w:hAnsi="华文中宋" w:eastAsia="华文中宋"/>
          <w:b/>
          <w:bCs/>
          <w:color w:val="000000"/>
          <w:sz w:val="84"/>
          <w:szCs w:val="84"/>
        </w:rPr>
      </w:pPr>
      <w:r>
        <w:rPr>
          <w:rFonts w:hint="eastAsia" w:ascii="华文中宋" w:hAnsi="华文中宋" w:eastAsia="华文中宋"/>
          <w:b w:val="0"/>
          <w:bCs w:val="0"/>
          <w:color w:val="000000"/>
          <w:sz w:val="96"/>
          <w:szCs w:val="96"/>
        </w:rPr>
        <w:t>服务项目招标文件</w:t>
      </w:r>
    </w:p>
    <w:p w14:paraId="7275C738">
      <w:pPr>
        <w:pStyle w:val="25"/>
        <w:adjustRightInd w:val="0"/>
        <w:snapToGrid w:val="0"/>
        <w:spacing w:line="240" w:lineRule="atLeast"/>
        <w:jc w:val="center"/>
        <w:rPr>
          <w:rFonts w:hint="eastAsia" w:ascii="华文中宋" w:hAnsi="华文中宋" w:eastAsia="华文中宋"/>
          <w:b/>
          <w:bCs/>
          <w:color w:val="000000"/>
          <w:sz w:val="44"/>
          <w:szCs w:val="44"/>
        </w:rPr>
      </w:pPr>
    </w:p>
    <w:p w14:paraId="3B65D37B">
      <w:pPr>
        <w:pStyle w:val="25"/>
        <w:adjustRightInd w:val="0"/>
        <w:snapToGrid w:val="0"/>
        <w:spacing w:line="240" w:lineRule="atLeast"/>
        <w:jc w:val="center"/>
        <w:rPr>
          <w:rFonts w:hint="eastAsia" w:ascii="华文中宋" w:hAnsi="华文中宋" w:eastAsia="华文中宋"/>
          <w:b/>
          <w:bCs/>
          <w:color w:val="000000"/>
          <w:sz w:val="44"/>
          <w:szCs w:val="44"/>
        </w:rPr>
      </w:pPr>
    </w:p>
    <w:p w14:paraId="535AD6C4">
      <w:pPr>
        <w:pStyle w:val="25"/>
        <w:adjustRightInd w:val="0"/>
        <w:snapToGrid w:val="0"/>
        <w:spacing w:line="240" w:lineRule="atLeast"/>
        <w:jc w:val="center"/>
        <w:rPr>
          <w:rFonts w:hint="eastAsia" w:ascii="华文中宋" w:hAnsi="华文中宋" w:eastAsia="华文中宋"/>
          <w:b/>
          <w:bCs/>
          <w:color w:val="000000"/>
          <w:sz w:val="44"/>
          <w:szCs w:val="44"/>
        </w:rPr>
      </w:pPr>
    </w:p>
    <w:p w14:paraId="58BC261B">
      <w:pPr>
        <w:pStyle w:val="25"/>
        <w:adjustRightInd w:val="0"/>
        <w:snapToGrid w:val="0"/>
        <w:spacing w:line="240" w:lineRule="atLeast"/>
        <w:rPr>
          <w:rFonts w:hint="eastAsia" w:ascii="华文中宋" w:hAnsi="华文中宋" w:eastAsia="华文中宋"/>
          <w:b/>
          <w:bCs/>
          <w:color w:val="000000"/>
          <w:sz w:val="44"/>
          <w:szCs w:val="44"/>
        </w:rPr>
      </w:pPr>
    </w:p>
    <w:p w14:paraId="10DC4161">
      <w:pPr>
        <w:pStyle w:val="25"/>
        <w:adjustRightInd w:val="0"/>
        <w:snapToGrid w:val="0"/>
        <w:spacing w:line="240" w:lineRule="atLeast"/>
        <w:jc w:val="center"/>
        <w:rPr>
          <w:rFonts w:hint="eastAsia" w:ascii="华文中宋" w:hAnsi="华文中宋" w:eastAsia="华文中宋"/>
          <w:bCs/>
          <w:color w:val="000000"/>
        </w:rPr>
      </w:pPr>
    </w:p>
    <w:p w14:paraId="079F33C6">
      <w:pPr>
        <w:adjustRightInd w:val="0"/>
        <w:snapToGrid w:val="0"/>
        <w:spacing w:line="360" w:lineRule="auto"/>
        <w:ind w:firstLine="301" w:firstLineChars="100"/>
        <w:rPr>
          <w:rFonts w:hint="eastAsia" w:ascii="宋体" w:hAnsi="宋体" w:eastAsia="宋体" w:cs="宋体"/>
          <w:b/>
          <w:color w:val="000000"/>
          <w:sz w:val="30"/>
          <w:szCs w:val="30"/>
          <w:u w:val="thick"/>
          <w:lang w:eastAsia="zh-CN"/>
        </w:rPr>
      </w:pPr>
      <w:r>
        <w:rPr>
          <w:rFonts w:hint="eastAsia" w:ascii="宋体" w:hAnsi="宋体" w:cs="宋体"/>
          <w:b/>
          <w:color w:val="000000"/>
          <w:sz w:val="30"/>
          <w:szCs w:val="30"/>
        </w:rPr>
        <w:t>采购项目名称：</w:t>
      </w:r>
      <w:r>
        <w:rPr>
          <w:rFonts w:hint="eastAsia" w:ascii="宋体" w:hAnsi="宋体" w:cs="宋体"/>
          <w:b/>
          <w:color w:val="000000"/>
          <w:sz w:val="30"/>
          <w:szCs w:val="30"/>
          <w:u w:val="single"/>
          <w:lang w:eastAsia="zh-CN"/>
        </w:rPr>
        <w:t>涟源市不动产登记信息“一库一平台”建设项目</w:t>
      </w:r>
    </w:p>
    <w:p w14:paraId="605F47C5">
      <w:pPr>
        <w:adjustRightInd w:val="0"/>
        <w:snapToGrid w:val="0"/>
        <w:spacing w:line="360" w:lineRule="auto"/>
        <w:ind w:firstLine="301" w:firstLineChars="100"/>
        <w:rPr>
          <w:rFonts w:hint="default" w:ascii="宋体" w:hAnsi="宋体" w:eastAsia="宋体" w:cs="宋体"/>
          <w:b/>
          <w:color w:val="auto"/>
          <w:sz w:val="30"/>
          <w:szCs w:val="30"/>
          <w:u w:val="single"/>
          <w:lang w:val="en-US" w:eastAsia="zh-CN"/>
        </w:rPr>
      </w:pPr>
      <w:r>
        <w:rPr>
          <w:rFonts w:hint="eastAsia" w:ascii="宋体" w:hAnsi="宋体" w:cs="宋体"/>
          <w:b/>
          <w:color w:val="000000"/>
          <w:sz w:val="30"/>
          <w:szCs w:val="30"/>
          <w:lang w:eastAsia="zh-CN"/>
        </w:rPr>
        <w:t>政府采购计划编号</w:t>
      </w:r>
      <w:r>
        <w:rPr>
          <w:rFonts w:hint="eastAsia" w:ascii="宋体" w:hAnsi="宋体" w:cs="宋体"/>
          <w:b/>
          <w:color w:val="000000"/>
          <w:sz w:val="30"/>
          <w:szCs w:val="30"/>
        </w:rPr>
        <w:t>：</w:t>
      </w:r>
      <w:r>
        <w:rPr>
          <w:rFonts w:hint="eastAsia" w:ascii="宋体" w:hAnsi="宋体" w:cs="宋体"/>
          <w:b/>
          <w:color w:val="auto"/>
          <w:sz w:val="30"/>
          <w:szCs w:val="30"/>
          <w:highlight w:val="none"/>
          <w:u w:val="single"/>
          <w:lang w:eastAsia="zh-CN"/>
        </w:rPr>
        <w:t>(2026)431382000017-1</w:t>
      </w:r>
    </w:p>
    <w:p w14:paraId="68089715">
      <w:pPr>
        <w:adjustRightInd w:val="0"/>
        <w:snapToGrid w:val="0"/>
        <w:spacing w:line="360" w:lineRule="auto"/>
        <w:ind w:firstLine="301" w:firstLineChars="100"/>
        <w:rPr>
          <w:rFonts w:hint="eastAsia" w:ascii="宋体" w:hAnsi="宋体" w:eastAsia="宋体" w:cs="宋体"/>
          <w:b/>
          <w:sz w:val="30"/>
          <w:szCs w:val="30"/>
          <w:lang w:eastAsia="zh-CN"/>
        </w:rPr>
      </w:pPr>
      <w:r>
        <w:rPr>
          <w:rFonts w:hint="eastAsia" w:ascii="宋体" w:hAnsi="宋体" w:cs="宋体"/>
          <w:b/>
          <w:sz w:val="30"/>
          <w:szCs w:val="30"/>
          <w:lang w:eastAsia="zh-CN"/>
        </w:rPr>
        <w:t>委托代理编号</w:t>
      </w:r>
      <w:r>
        <w:rPr>
          <w:rFonts w:hint="eastAsia" w:ascii="宋体" w:hAnsi="宋体" w:cs="宋体"/>
          <w:b/>
          <w:sz w:val="30"/>
          <w:szCs w:val="30"/>
        </w:rPr>
        <w:t>：</w:t>
      </w:r>
      <w:r>
        <w:rPr>
          <w:rFonts w:hint="eastAsia" w:ascii="宋体" w:hAnsi="宋体" w:cs="宋体"/>
          <w:b/>
          <w:sz w:val="30"/>
          <w:szCs w:val="30"/>
          <w:u w:val="single"/>
          <w:lang w:eastAsia="zh-CN"/>
        </w:rPr>
        <w:t>TJGJLY2026-008</w:t>
      </w:r>
    </w:p>
    <w:p w14:paraId="5CE1B5E6">
      <w:pPr>
        <w:adjustRightInd w:val="0"/>
        <w:snapToGrid w:val="0"/>
        <w:spacing w:line="360" w:lineRule="auto"/>
        <w:ind w:firstLine="301" w:firstLineChars="100"/>
        <w:rPr>
          <w:rFonts w:hint="eastAsia" w:ascii="宋体" w:hAnsi="宋体" w:eastAsia="宋体" w:cs="宋体"/>
          <w:b/>
          <w:color w:val="000000"/>
          <w:sz w:val="30"/>
          <w:szCs w:val="30"/>
          <w:u w:val="single"/>
          <w:lang w:eastAsia="zh-CN"/>
        </w:rPr>
      </w:pPr>
      <w:r>
        <w:rPr>
          <w:rFonts w:hint="eastAsia" w:ascii="宋体" w:hAnsi="宋体" w:cs="宋体"/>
          <w:b/>
          <w:color w:val="000000"/>
          <w:sz w:val="30"/>
          <w:szCs w:val="30"/>
        </w:rPr>
        <w:t>采   购   人：</w:t>
      </w:r>
      <w:r>
        <w:rPr>
          <w:rFonts w:hint="eastAsia" w:ascii="宋体" w:hAnsi="宋体" w:cs="宋体"/>
          <w:b/>
          <w:sz w:val="30"/>
          <w:szCs w:val="30"/>
          <w:u w:val="single"/>
          <w:lang w:eastAsia="zh-CN"/>
        </w:rPr>
        <w:t>涟源市自然资源局</w:t>
      </w:r>
    </w:p>
    <w:p w14:paraId="6D81D855">
      <w:pPr>
        <w:adjustRightInd w:val="0"/>
        <w:snapToGrid w:val="0"/>
        <w:spacing w:line="360" w:lineRule="auto"/>
        <w:ind w:firstLine="301" w:firstLineChars="100"/>
        <w:rPr>
          <w:rFonts w:hint="eastAsia" w:hAnsi="宋体" w:eastAsia="宋体"/>
          <w:b/>
          <w:color w:val="000000"/>
          <w:sz w:val="32"/>
          <w:szCs w:val="32"/>
          <w:u w:val="single"/>
          <w:lang w:eastAsia="zh-CN"/>
        </w:rPr>
      </w:pPr>
      <w:r>
        <w:rPr>
          <w:rFonts w:hint="eastAsia" w:ascii="宋体" w:hAnsi="宋体" w:cs="宋体"/>
          <w:b/>
          <w:color w:val="000000"/>
          <w:sz w:val="30"/>
          <w:szCs w:val="30"/>
        </w:rPr>
        <w:t>采购代理机构：</w:t>
      </w:r>
      <w:r>
        <w:rPr>
          <w:rFonts w:hint="eastAsia" w:ascii="宋体" w:hAnsi="宋体" w:cs="宋体"/>
          <w:b/>
          <w:color w:val="000000"/>
          <w:sz w:val="30"/>
          <w:szCs w:val="30"/>
          <w:u w:val="single"/>
          <w:lang w:eastAsia="zh-CN"/>
        </w:rPr>
        <w:t>天鉴国际工程管理有限公司</w:t>
      </w:r>
    </w:p>
    <w:p w14:paraId="7DDDD834">
      <w:pPr>
        <w:pStyle w:val="25"/>
        <w:adjustRightInd w:val="0"/>
        <w:snapToGrid w:val="0"/>
        <w:spacing w:line="240" w:lineRule="atLeast"/>
        <w:rPr>
          <w:rFonts w:hint="eastAsia" w:hAnsi="宋体"/>
          <w:bCs/>
          <w:color w:val="000000"/>
          <w:sz w:val="32"/>
          <w:szCs w:val="32"/>
        </w:rPr>
      </w:pPr>
    </w:p>
    <w:p w14:paraId="1581A4C8">
      <w:pPr>
        <w:pStyle w:val="25"/>
        <w:adjustRightInd w:val="0"/>
        <w:snapToGrid w:val="0"/>
        <w:spacing w:line="240" w:lineRule="atLeast"/>
        <w:rPr>
          <w:rFonts w:hint="eastAsia" w:hAnsi="宋体"/>
          <w:bCs/>
          <w:color w:val="000000"/>
          <w:sz w:val="32"/>
          <w:szCs w:val="32"/>
        </w:rPr>
      </w:pPr>
    </w:p>
    <w:p w14:paraId="092543D5">
      <w:pPr>
        <w:pStyle w:val="25"/>
        <w:adjustRightInd w:val="0"/>
        <w:snapToGrid w:val="0"/>
        <w:spacing w:line="240" w:lineRule="atLeast"/>
        <w:rPr>
          <w:rFonts w:hint="eastAsia" w:hAnsi="宋体"/>
          <w:bCs/>
          <w:color w:val="000000"/>
          <w:sz w:val="32"/>
          <w:szCs w:val="32"/>
        </w:rPr>
      </w:pPr>
    </w:p>
    <w:p w14:paraId="5E70038E">
      <w:pPr>
        <w:pStyle w:val="25"/>
        <w:adjustRightInd w:val="0"/>
        <w:snapToGrid w:val="0"/>
        <w:spacing w:line="240" w:lineRule="atLeast"/>
        <w:rPr>
          <w:rFonts w:hint="eastAsia" w:hAnsi="宋体"/>
          <w:bCs/>
          <w:color w:val="000000"/>
          <w:sz w:val="32"/>
          <w:szCs w:val="32"/>
        </w:rPr>
      </w:pPr>
    </w:p>
    <w:p w14:paraId="466D3C12">
      <w:pPr>
        <w:pStyle w:val="25"/>
        <w:adjustRightInd w:val="0"/>
        <w:snapToGrid w:val="0"/>
        <w:spacing w:line="240" w:lineRule="atLeast"/>
        <w:jc w:val="center"/>
        <w:rPr>
          <w:rFonts w:hint="eastAsia" w:hAnsi="宋体"/>
          <w:b/>
          <w:bCs/>
          <w:color w:val="000000"/>
          <w:sz w:val="32"/>
          <w:szCs w:val="32"/>
        </w:rPr>
      </w:pPr>
      <w:r>
        <w:rPr>
          <w:rFonts w:hint="eastAsia" w:hAnsi="宋体"/>
          <w:b/>
          <w:color w:val="000000"/>
          <w:sz w:val="32"/>
          <w:szCs w:val="32"/>
        </w:rPr>
        <w:t>202</w:t>
      </w:r>
      <w:r>
        <w:rPr>
          <w:rFonts w:hint="eastAsia" w:hAnsi="宋体"/>
          <w:b/>
          <w:color w:val="000000"/>
          <w:sz w:val="32"/>
          <w:szCs w:val="32"/>
          <w:lang w:val="en-US" w:eastAsia="zh-CN"/>
        </w:rPr>
        <w:t>6</w:t>
      </w:r>
      <w:r>
        <w:rPr>
          <w:rFonts w:hint="eastAsia" w:hAnsi="宋体"/>
          <w:b/>
          <w:color w:val="000000"/>
          <w:sz w:val="32"/>
          <w:szCs w:val="32"/>
        </w:rPr>
        <w:t>年</w:t>
      </w:r>
      <w:r>
        <w:rPr>
          <w:rFonts w:hint="eastAsia" w:hAnsi="宋体"/>
          <w:b/>
          <w:color w:val="000000"/>
          <w:sz w:val="32"/>
          <w:szCs w:val="32"/>
          <w:lang w:val="en-US" w:eastAsia="zh-CN"/>
        </w:rPr>
        <w:t>8</w:t>
      </w:r>
      <w:r>
        <w:rPr>
          <w:rFonts w:hint="eastAsia" w:hAnsi="宋体"/>
          <w:b/>
          <w:color w:val="000000"/>
          <w:sz w:val="32"/>
          <w:szCs w:val="32"/>
        </w:rPr>
        <w:t>月</w:t>
      </w:r>
    </w:p>
    <w:p w14:paraId="0B46B6DE">
      <w:pPr>
        <w:pStyle w:val="25"/>
        <w:adjustRightInd w:val="0"/>
        <w:snapToGrid w:val="0"/>
        <w:spacing w:line="240" w:lineRule="atLeast"/>
        <w:jc w:val="center"/>
        <w:rPr>
          <w:rFonts w:hint="eastAsia" w:hAnsi="宋体"/>
          <w:b/>
          <w:bCs/>
          <w:color w:val="000000"/>
          <w:sz w:val="32"/>
          <w:szCs w:val="32"/>
        </w:rPr>
        <w:sectPr>
          <w:headerReference r:id="rId3" w:type="default"/>
          <w:pgSz w:w="11906" w:h="16838"/>
          <w:pgMar w:top="1440" w:right="1588" w:bottom="1440" w:left="1588" w:header="851" w:footer="992" w:gutter="0"/>
          <w:pgNumType w:start="1"/>
          <w:cols w:space="720" w:num="1"/>
          <w:docGrid w:type="lines" w:linePitch="312" w:charSpace="0"/>
        </w:sectPr>
      </w:pPr>
    </w:p>
    <w:p w14:paraId="05E695D4">
      <w:pPr>
        <w:ind w:firstLine="4088" w:firstLineChars="600"/>
        <w:rPr>
          <w:rFonts w:hint="default" w:ascii="Times New Roman" w:hAnsi="Times New Roman" w:eastAsia="华文中宋" w:cs="Times New Roman"/>
          <w:b/>
          <w:color w:val="000000"/>
          <w:spacing w:val="160"/>
          <w:sz w:val="36"/>
          <w:szCs w:val="36"/>
        </w:rPr>
      </w:pPr>
      <w:r>
        <w:rPr>
          <w:rFonts w:hint="default" w:ascii="Times New Roman" w:hAnsi="Times New Roman" w:eastAsia="华文中宋" w:cs="Times New Roman"/>
          <w:b/>
          <w:color w:val="000000"/>
          <w:spacing w:val="160"/>
          <w:sz w:val="36"/>
          <w:szCs w:val="36"/>
        </w:rPr>
        <w:t>目录</w:t>
      </w:r>
    </w:p>
    <w:p w14:paraId="41049593">
      <w:pPr>
        <w:pStyle w:val="33"/>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Style w:val="49"/>
          <w:rFonts w:hint="default" w:ascii="Times New Roman" w:hAnsi="Times New Roman" w:cs="Times New Roman"/>
          <w:b w:val="0"/>
        </w:rPr>
        <w:fldChar w:fldCharType="begin"/>
      </w:r>
      <w:r>
        <w:rPr>
          <w:rStyle w:val="49"/>
          <w:rFonts w:hint="default" w:ascii="Times New Roman" w:hAnsi="Times New Roman" w:cs="Times New Roman" w:eastAsiaTheme="minorEastAsia"/>
          <w:b/>
          <w:color w:val="000000"/>
          <w:sz w:val="21"/>
        </w:rPr>
        <w:instrText xml:space="preserve"> TOC \o "1-5" \h \z \u </w:instrText>
      </w:r>
      <w:r>
        <w:rPr>
          <w:rStyle w:val="49"/>
          <w:rFonts w:hint="default" w:ascii="Times New Roman" w:hAnsi="Times New Roman" w:cs="Times New Roman"/>
          <w:b w:val="0"/>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_Toc9909 </w:instrText>
      </w:r>
      <w:r>
        <w:rPr>
          <w:rFonts w:hint="default" w:ascii="Times New Roman" w:hAnsi="Times New Roman" w:cs="Times New Roman"/>
        </w:rPr>
        <w:fldChar w:fldCharType="separate"/>
      </w:r>
      <w:r>
        <w:rPr>
          <w:rFonts w:hint="eastAsia" w:ascii="黑体" w:hAnsi="华文中宋" w:eastAsia="黑体"/>
          <w:szCs w:val="32"/>
        </w:rPr>
        <w:t>第一章 投标邀请</w:t>
      </w:r>
      <w:r>
        <w:tab/>
      </w:r>
      <w:r>
        <w:fldChar w:fldCharType="begin"/>
      </w:r>
      <w:r>
        <w:instrText xml:space="preserve"> PAGEREF _Toc9909 \h </w:instrText>
      </w:r>
      <w:r>
        <w:fldChar w:fldCharType="separate"/>
      </w:r>
      <w:r>
        <w:t>4</w:t>
      </w:r>
      <w:r>
        <w:fldChar w:fldCharType="end"/>
      </w:r>
      <w:r>
        <w:rPr>
          <w:rFonts w:hint="default" w:ascii="Times New Roman" w:hAnsi="Times New Roman" w:cs="Times New Roman"/>
        </w:rPr>
        <w:fldChar w:fldCharType="end"/>
      </w:r>
    </w:p>
    <w:p w14:paraId="68FC47E5">
      <w:pPr>
        <w:pStyle w:val="33"/>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_Toc13369 </w:instrText>
      </w:r>
      <w:r>
        <w:rPr>
          <w:rFonts w:hint="default" w:ascii="Times New Roman" w:hAnsi="Times New Roman" w:cs="Times New Roman" w:eastAsiaTheme="minorEastAsia"/>
          <w:bCs/>
        </w:rPr>
        <w:fldChar w:fldCharType="separate"/>
      </w:r>
      <w:r>
        <w:rPr>
          <w:rFonts w:hint="eastAsia" w:ascii="黑体" w:hAnsi="华文中宋" w:eastAsia="黑体"/>
          <w:szCs w:val="32"/>
        </w:rPr>
        <w:t>第二章 投标须知</w:t>
      </w:r>
      <w:r>
        <w:tab/>
      </w:r>
      <w:r>
        <w:fldChar w:fldCharType="begin"/>
      </w:r>
      <w:r>
        <w:instrText xml:space="preserve"> PAGEREF _Toc13369 \h </w:instrText>
      </w:r>
      <w:r>
        <w:fldChar w:fldCharType="separate"/>
      </w:r>
      <w:r>
        <w:t>9</w:t>
      </w:r>
      <w:r>
        <w:fldChar w:fldCharType="end"/>
      </w:r>
      <w:r>
        <w:rPr>
          <w:rFonts w:hint="default" w:ascii="Times New Roman" w:hAnsi="Times New Roman" w:cs="Times New Roman" w:eastAsiaTheme="minorEastAsia"/>
          <w:bCs/>
          <w:color w:val="000000"/>
        </w:rPr>
        <w:fldChar w:fldCharType="end"/>
      </w:r>
    </w:p>
    <w:p w14:paraId="3CFAC092">
      <w:pPr>
        <w:pStyle w:val="37"/>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_Toc14849 </w:instrText>
      </w:r>
      <w:r>
        <w:rPr>
          <w:rFonts w:hint="default" w:ascii="Times New Roman" w:hAnsi="Times New Roman" w:cs="Times New Roman" w:eastAsiaTheme="minorEastAsia"/>
          <w:bCs/>
        </w:rPr>
        <w:fldChar w:fldCharType="separate"/>
      </w:r>
      <w:r>
        <w:rPr>
          <w:rFonts w:hint="eastAsia" w:ascii="黑体" w:hAnsi="华文中宋" w:eastAsia="黑体"/>
          <w:bCs/>
          <w:szCs w:val="28"/>
        </w:rPr>
        <w:t>第一节 投标须知前附表</w:t>
      </w:r>
      <w:r>
        <w:tab/>
      </w:r>
      <w:r>
        <w:fldChar w:fldCharType="begin"/>
      </w:r>
      <w:r>
        <w:instrText xml:space="preserve"> PAGEREF _Toc14849 \h </w:instrText>
      </w:r>
      <w:r>
        <w:fldChar w:fldCharType="separate"/>
      </w:r>
      <w:r>
        <w:t>9</w:t>
      </w:r>
      <w:r>
        <w:fldChar w:fldCharType="end"/>
      </w:r>
      <w:r>
        <w:rPr>
          <w:rFonts w:hint="default" w:ascii="Times New Roman" w:hAnsi="Times New Roman" w:cs="Times New Roman" w:eastAsiaTheme="minorEastAsia"/>
          <w:bCs/>
          <w:color w:val="000000"/>
        </w:rPr>
        <w:fldChar w:fldCharType="end"/>
      </w:r>
    </w:p>
    <w:p w14:paraId="35FBA599">
      <w:pPr>
        <w:pStyle w:val="37"/>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_Toc6156 </w:instrText>
      </w:r>
      <w:r>
        <w:rPr>
          <w:rFonts w:hint="default" w:ascii="Times New Roman" w:hAnsi="Times New Roman" w:cs="Times New Roman" w:eastAsiaTheme="minorEastAsia"/>
          <w:bCs/>
        </w:rPr>
        <w:fldChar w:fldCharType="separate"/>
      </w:r>
      <w:r>
        <w:rPr>
          <w:rFonts w:hint="eastAsia" w:ascii="黑体" w:hAnsi="黑体" w:eastAsia="黑体"/>
          <w:bCs/>
          <w:szCs w:val="28"/>
        </w:rPr>
        <w:t>第二节 投标须知</w:t>
      </w:r>
      <w:r>
        <w:tab/>
      </w:r>
      <w:r>
        <w:fldChar w:fldCharType="begin"/>
      </w:r>
      <w:r>
        <w:instrText xml:space="preserve"> PAGEREF _Toc6156 \h </w:instrText>
      </w:r>
      <w:r>
        <w:fldChar w:fldCharType="separate"/>
      </w:r>
      <w:r>
        <w:t>14</w:t>
      </w:r>
      <w:r>
        <w:fldChar w:fldCharType="end"/>
      </w:r>
      <w:r>
        <w:rPr>
          <w:rFonts w:hint="default" w:ascii="Times New Roman" w:hAnsi="Times New Roman" w:cs="Times New Roman" w:eastAsiaTheme="minorEastAsia"/>
          <w:bCs/>
          <w:color w:val="000000"/>
        </w:rPr>
        <w:fldChar w:fldCharType="end"/>
      </w:r>
    </w:p>
    <w:p w14:paraId="3D97581F">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_Toc9559 </w:instrText>
      </w:r>
      <w:r>
        <w:rPr>
          <w:rFonts w:hint="default" w:ascii="Times New Roman" w:hAnsi="Times New Roman" w:cs="Times New Roman" w:eastAsiaTheme="minorEastAsia"/>
          <w:bCs/>
        </w:rPr>
        <w:fldChar w:fldCharType="separate"/>
      </w:r>
      <w:r>
        <w:rPr>
          <w:rFonts w:hint="eastAsia" w:ascii="黑体" w:hAnsi="黑体" w:eastAsia="黑体"/>
          <w:bCs/>
          <w:szCs w:val="28"/>
        </w:rPr>
        <w:t>一、总则</w:t>
      </w:r>
      <w:r>
        <w:tab/>
      </w:r>
      <w:r>
        <w:fldChar w:fldCharType="begin"/>
      </w:r>
      <w:r>
        <w:instrText xml:space="preserve"> PAGEREF _Toc9559 \h </w:instrText>
      </w:r>
      <w:r>
        <w:fldChar w:fldCharType="separate"/>
      </w:r>
      <w:r>
        <w:t>14</w:t>
      </w:r>
      <w:r>
        <w:fldChar w:fldCharType="end"/>
      </w:r>
      <w:r>
        <w:rPr>
          <w:rFonts w:hint="default" w:ascii="Times New Roman" w:hAnsi="Times New Roman" w:cs="Times New Roman" w:eastAsiaTheme="minorEastAsia"/>
          <w:bCs/>
          <w:color w:val="000000"/>
        </w:rPr>
        <w:fldChar w:fldCharType="end"/>
      </w:r>
    </w:p>
    <w:p w14:paraId="7A3E9543">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_Toc642 </w:instrText>
      </w:r>
      <w:r>
        <w:rPr>
          <w:rFonts w:hint="default" w:ascii="Times New Roman" w:hAnsi="Times New Roman" w:cs="Times New Roman" w:eastAsiaTheme="minorEastAsia"/>
          <w:bCs/>
        </w:rPr>
        <w:fldChar w:fldCharType="separate"/>
      </w:r>
      <w:r>
        <w:rPr>
          <w:rFonts w:hint="eastAsia" w:ascii="黑体" w:hAnsi="黑体" w:eastAsia="黑体"/>
          <w:szCs w:val="28"/>
        </w:rPr>
        <w:t>二、招标文件</w:t>
      </w:r>
      <w:r>
        <w:tab/>
      </w:r>
      <w:r>
        <w:fldChar w:fldCharType="begin"/>
      </w:r>
      <w:r>
        <w:instrText xml:space="preserve"> PAGEREF _Toc642 \h </w:instrText>
      </w:r>
      <w:r>
        <w:fldChar w:fldCharType="separate"/>
      </w:r>
      <w:r>
        <w:t>15</w:t>
      </w:r>
      <w:r>
        <w:fldChar w:fldCharType="end"/>
      </w:r>
      <w:r>
        <w:rPr>
          <w:rFonts w:hint="default" w:ascii="Times New Roman" w:hAnsi="Times New Roman" w:cs="Times New Roman" w:eastAsiaTheme="minorEastAsia"/>
          <w:bCs/>
          <w:color w:val="000000"/>
        </w:rPr>
        <w:fldChar w:fldCharType="end"/>
      </w:r>
    </w:p>
    <w:p w14:paraId="7491C4DE">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_Toc5708 </w:instrText>
      </w:r>
      <w:r>
        <w:rPr>
          <w:rFonts w:hint="default" w:ascii="Times New Roman" w:hAnsi="Times New Roman" w:cs="Times New Roman" w:eastAsiaTheme="minorEastAsia"/>
          <w:bCs/>
        </w:rPr>
        <w:fldChar w:fldCharType="separate"/>
      </w:r>
      <w:r>
        <w:rPr>
          <w:rFonts w:hint="eastAsia" w:ascii="黑体" w:hAnsi="黑体" w:eastAsia="黑体"/>
          <w:szCs w:val="28"/>
        </w:rPr>
        <w:t>三、投标文件</w:t>
      </w:r>
      <w:r>
        <w:tab/>
      </w:r>
      <w:r>
        <w:fldChar w:fldCharType="begin"/>
      </w:r>
      <w:r>
        <w:instrText xml:space="preserve"> PAGEREF _Toc5708 \h </w:instrText>
      </w:r>
      <w:r>
        <w:fldChar w:fldCharType="separate"/>
      </w:r>
      <w:r>
        <w:t>16</w:t>
      </w:r>
      <w:r>
        <w:fldChar w:fldCharType="end"/>
      </w:r>
      <w:r>
        <w:rPr>
          <w:rFonts w:hint="default" w:ascii="Times New Roman" w:hAnsi="Times New Roman" w:cs="Times New Roman" w:eastAsiaTheme="minorEastAsia"/>
          <w:bCs/>
          <w:color w:val="000000"/>
        </w:rPr>
        <w:fldChar w:fldCharType="end"/>
      </w:r>
    </w:p>
    <w:p w14:paraId="2B69EB33">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_Toc27066 </w:instrText>
      </w:r>
      <w:r>
        <w:rPr>
          <w:rFonts w:hint="default" w:ascii="Times New Roman" w:hAnsi="Times New Roman" w:cs="Times New Roman" w:eastAsiaTheme="minorEastAsia"/>
          <w:bCs/>
        </w:rPr>
        <w:fldChar w:fldCharType="separate"/>
      </w:r>
      <w:r>
        <w:rPr>
          <w:rFonts w:hint="eastAsia" w:ascii="黑体" w:hAnsi="黑体" w:eastAsia="黑体"/>
          <w:szCs w:val="28"/>
        </w:rPr>
        <w:t>四、投标</w:t>
      </w:r>
      <w:r>
        <w:tab/>
      </w:r>
      <w:r>
        <w:fldChar w:fldCharType="begin"/>
      </w:r>
      <w:r>
        <w:instrText xml:space="preserve"> PAGEREF _Toc27066 \h </w:instrText>
      </w:r>
      <w:r>
        <w:fldChar w:fldCharType="separate"/>
      </w:r>
      <w:r>
        <w:t>20</w:t>
      </w:r>
      <w:r>
        <w:fldChar w:fldCharType="end"/>
      </w:r>
      <w:r>
        <w:rPr>
          <w:rFonts w:hint="default" w:ascii="Times New Roman" w:hAnsi="Times New Roman" w:cs="Times New Roman" w:eastAsiaTheme="minorEastAsia"/>
          <w:bCs/>
          <w:color w:val="000000"/>
        </w:rPr>
        <w:fldChar w:fldCharType="end"/>
      </w:r>
    </w:p>
    <w:p w14:paraId="3527DF3F">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_Toc20734 </w:instrText>
      </w:r>
      <w:r>
        <w:rPr>
          <w:rFonts w:hint="default" w:ascii="Times New Roman" w:hAnsi="Times New Roman" w:cs="Times New Roman" w:eastAsiaTheme="minorEastAsia"/>
          <w:bCs/>
        </w:rPr>
        <w:fldChar w:fldCharType="separate"/>
      </w:r>
      <w:r>
        <w:rPr>
          <w:rFonts w:hint="eastAsia" w:ascii="黑体" w:hAnsi="黑体" w:eastAsia="黑体"/>
          <w:szCs w:val="28"/>
        </w:rPr>
        <w:t>五、开标，资格审查和评标</w:t>
      </w:r>
      <w:r>
        <w:tab/>
      </w:r>
      <w:r>
        <w:fldChar w:fldCharType="begin"/>
      </w:r>
      <w:r>
        <w:instrText xml:space="preserve"> PAGEREF _Toc20734 \h </w:instrText>
      </w:r>
      <w:r>
        <w:fldChar w:fldCharType="separate"/>
      </w:r>
      <w:r>
        <w:t>21</w:t>
      </w:r>
      <w:r>
        <w:fldChar w:fldCharType="end"/>
      </w:r>
      <w:r>
        <w:rPr>
          <w:rFonts w:hint="default" w:ascii="Times New Roman" w:hAnsi="Times New Roman" w:cs="Times New Roman" w:eastAsiaTheme="minorEastAsia"/>
          <w:bCs/>
          <w:color w:val="000000"/>
        </w:rPr>
        <w:fldChar w:fldCharType="end"/>
      </w:r>
    </w:p>
    <w:p w14:paraId="775FDF67">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_Toc3251 </w:instrText>
      </w:r>
      <w:r>
        <w:rPr>
          <w:rFonts w:hint="default" w:ascii="Times New Roman" w:hAnsi="Times New Roman" w:cs="Times New Roman" w:eastAsiaTheme="minorEastAsia"/>
          <w:bCs/>
        </w:rPr>
        <w:fldChar w:fldCharType="separate"/>
      </w:r>
      <w:r>
        <w:rPr>
          <w:rFonts w:hint="eastAsia" w:ascii="黑体" w:hAnsi="黑体" w:eastAsia="黑体"/>
          <w:szCs w:val="28"/>
        </w:rPr>
        <w:t>六、中标信息公布</w:t>
      </w:r>
      <w:r>
        <w:tab/>
      </w:r>
      <w:r>
        <w:fldChar w:fldCharType="begin"/>
      </w:r>
      <w:r>
        <w:instrText xml:space="preserve"> PAGEREF _Toc3251 \h </w:instrText>
      </w:r>
      <w:r>
        <w:fldChar w:fldCharType="separate"/>
      </w:r>
      <w:r>
        <w:t>22</w:t>
      </w:r>
      <w:r>
        <w:fldChar w:fldCharType="end"/>
      </w:r>
      <w:r>
        <w:rPr>
          <w:rFonts w:hint="default" w:ascii="Times New Roman" w:hAnsi="Times New Roman" w:cs="Times New Roman" w:eastAsiaTheme="minorEastAsia"/>
          <w:bCs/>
          <w:color w:val="000000"/>
        </w:rPr>
        <w:fldChar w:fldCharType="end"/>
      </w:r>
    </w:p>
    <w:p w14:paraId="0F83BCEB">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_Toc28156 </w:instrText>
      </w:r>
      <w:r>
        <w:rPr>
          <w:rFonts w:hint="default" w:ascii="Times New Roman" w:hAnsi="Times New Roman" w:cs="Times New Roman" w:eastAsiaTheme="minorEastAsia"/>
          <w:bCs/>
        </w:rPr>
        <w:fldChar w:fldCharType="separate"/>
      </w:r>
      <w:r>
        <w:rPr>
          <w:rFonts w:hint="eastAsia" w:ascii="黑体" w:hAnsi="黑体" w:eastAsia="黑体"/>
          <w:szCs w:val="28"/>
        </w:rPr>
        <w:t>七、合同签订</w:t>
      </w:r>
      <w:r>
        <w:tab/>
      </w:r>
      <w:r>
        <w:fldChar w:fldCharType="begin"/>
      </w:r>
      <w:r>
        <w:instrText xml:space="preserve"> PAGEREF _Toc28156 \h </w:instrText>
      </w:r>
      <w:r>
        <w:fldChar w:fldCharType="separate"/>
      </w:r>
      <w:r>
        <w:t>23</w:t>
      </w:r>
      <w:r>
        <w:fldChar w:fldCharType="end"/>
      </w:r>
      <w:r>
        <w:rPr>
          <w:rFonts w:hint="default" w:ascii="Times New Roman" w:hAnsi="Times New Roman" w:cs="Times New Roman" w:eastAsiaTheme="minorEastAsia"/>
          <w:bCs/>
          <w:color w:val="000000"/>
        </w:rPr>
        <w:fldChar w:fldCharType="end"/>
      </w:r>
    </w:p>
    <w:p w14:paraId="745DFFAF">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_Toc11726 </w:instrText>
      </w:r>
      <w:r>
        <w:rPr>
          <w:rFonts w:hint="default" w:ascii="Times New Roman" w:hAnsi="Times New Roman" w:cs="Times New Roman" w:eastAsiaTheme="minorEastAsia"/>
          <w:bCs/>
        </w:rPr>
        <w:fldChar w:fldCharType="separate"/>
      </w:r>
      <w:r>
        <w:rPr>
          <w:rFonts w:hint="eastAsia" w:ascii="黑体" w:hAnsi="黑体" w:eastAsia="黑体"/>
          <w:szCs w:val="28"/>
        </w:rPr>
        <w:t>八、政府采购政策</w:t>
      </w:r>
      <w:r>
        <w:tab/>
      </w:r>
      <w:r>
        <w:fldChar w:fldCharType="begin"/>
      </w:r>
      <w:r>
        <w:instrText xml:space="preserve"> PAGEREF _Toc11726 \h </w:instrText>
      </w:r>
      <w:r>
        <w:fldChar w:fldCharType="separate"/>
      </w:r>
      <w:r>
        <w:t>24</w:t>
      </w:r>
      <w:r>
        <w:fldChar w:fldCharType="end"/>
      </w:r>
      <w:r>
        <w:rPr>
          <w:rFonts w:hint="default" w:ascii="Times New Roman" w:hAnsi="Times New Roman" w:cs="Times New Roman" w:eastAsiaTheme="minorEastAsia"/>
          <w:bCs/>
          <w:color w:val="000000"/>
        </w:rPr>
        <w:fldChar w:fldCharType="end"/>
      </w:r>
    </w:p>
    <w:p w14:paraId="1D70D048">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_Toc27847 </w:instrText>
      </w:r>
      <w:r>
        <w:rPr>
          <w:rFonts w:hint="default" w:ascii="Times New Roman" w:hAnsi="Times New Roman" w:cs="Times New Roman" w:eastAsiaTheme="minorEastAsia"/>
          <w:bCs/>
        </w:rPr>
        <w:fldChar w:fldCharType="separate"/>
      </w:r>
      <w:r>
        <w:rPr>
          <w:rFonts w:hint="eastAsia" w:ascii="黑体" w:hAnsi="黑体" w:eastAsia="黑体"/>
          <w:szCs w:val="28"/>
        </w:rPr>
        <w:t>九、其他规定</w:t>
      </w:r>
      <w:r>
        <w:tab/>
      </w:r>
      <w:r>
        <w:fldChar w:fldCharType="begin"/>
      </w:r>
      <w:r>
        <w:instrText xml:space="preserve"> PAGEREF _Toc27847 \h </w:instrText>
      </w:r>
      <w:r>
        <w:fldChar w:fldCharType="separate"/>
      </w:r>
      <w:r>
        <w:t>26</w:t>
      </w:r>
      <w:r>
        <w:fldChar w:fldCharType="end"/>
      </w:r>
      <w:r>
        <w:rPr>
          <w:rFonts w:hint="default" w:ascii="Times New Roman" w:hAnsi="Times New Roman" w:cs="Times New Roman" w:eastAsiaTheme="minorEastAsia"/>
          <w:bCs/>
          <w:color w:val="000000"/>
        </w:rPr>
        <w:fldChar w:fldCharType="end"/>
      </w:r>
    </w:p>
    <w:p w14:paraId="44B8A8C2">
      <w:pPr>
        <w:pStyle w:val="33"/>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_Toc25849 </w:instrText>
      </w:r>
      <w:r>
        <w:rPr>
          <w:rFonts w:hint="default" w:ascii="Times New Roman" w:hAnsi="Times New Roman" w:cs="Times New Roman" w:eastAsiaTheme="minorEastAsia"/>
          <w:bCs/>
        </w:rPr>
        <w:fldChar w:fldCharType="separate"/>
      </w:r>
      <w:r>
        <w:rPr>
          <w:rFonts w:hint="eastAsia" w:ascii="黑体" w:hAnsi="黑体" w:eastAsia="黑体"/>
          <w:bCs/>
          <w:szCs w:val="32"/>
        </w:rPr>
        <w:t>第三章 资格审查</w:t>
      </w:r>
      <w:r>
        <w:tab/>
      </w:r>
      <w:r>
        <w:fldChar w:fldCharType="begin"/>
      </w:r>
      <w:r>
        <w:instrText xml:space="preserve"> PAGEREF _Toc25849 \h </w:instrText>
      </w:r>
      <w:r>
        <w:fldChar w:fldCharType="separate"/>
      </w:r>
      <w:r>
        <w:t>28</w:t>
      </w:r>
      <w:r>
        <w:fldChar w:fldCharType="end"/>
      </w:r>
      <w:r>
        <w:rPr>
          <w:rFonts w:hint="default" w:ascii="Times New Roman" w:hAnsi="Times New Roman" w:cs="Times New Roman" w:eastAsiaTheme="minorEastAsia"/>
          <w:bCs/>
          <w:color w:val="000000"/>
        </w:rPr>
        <w:fldChar w:fldCharType="end"/>
      </w:r>
    </w:p>
    <w:p w14:paraId="7C057032">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_Toc3009 </w:instrText>
      </w:r>
      <w:r>
        <w:rPr>
          <w:rFonts w:hint="default" w:ascii="Times New Roman" w:hAnsi="Times New Roman" w:cs="Times New Roman" w:eastAsiaTheme="minorEastAsia"/>
          <w:bCs/>
        </w:rPr>
        <w:fldChar w:fldCharType="separate"/>
      </w:r>
      <w:r>
        <w:rPr>
          <w:rFonts w:hint="eastAsia" w:ascii="黑体" w:hAnsi="黑体" w:eastAsia="黑体"/>
          <w:szCs w:val="24"/>
        </w:rPr>
        <w:t>1．资格审查主体</w:t>
      </w:r>
      <w:r>
        <w:tab/>
      </w:r>
      <w:r>
        <w:fldChar w:fldCharType="begin"/>
      </w:r>
      <w:r>
        <w:instrText xml:space="preserve"> PAGEREF _Toc3009 \h </w:instrText>
      </w:r>
      <w:r>
        <w:fldChar w:fldCharType="separate"/>
      </w:r>
      <w:r>
        <w:t>28</w:t>
      </w:r>
      <w:r>
        <w:fldChar w:fldCharType="end"/>
      </w:r>
      <w:r>
        <w:rPr>
          <w:rFonts w:hint="default" w:ascii="Times New Roman" w:hAnsi="Times New Roman" w:cs="Times New Roman" w:eastAsiaTheme="minorEastAsia"/>
          <w:bCs/>
          <w:color w:val="000000"/>
        </w:rPr>
        <w:fldChar w:fldCharType="end"/>
      </w:r>
    </w:p>
    <w:p w14:paraId="2ECCC788">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_Toc7491 </w:instrText>
      </w:r>
      <w:r>
        <w:rPr>
          <w:rFonts w:hint="default" w:ascii="Times New Roman" w:hAnsi="Times New Roman" w:cs="Times New Roman" w:eastAsiaTheme="minorEastAsia"/>
          <w:bCs/>
        </w:rPr>
        <w:fldChar w:fldCharType="separate"/>
      </w:r>
      <w:r>
        <w:rPr>
          <w:rFonts w:hint="eastAsia" w:ascii="黑体" w:hAnsi="黑体" w:eastAsia="黑体"/>
          <w:szCs w:val="24"/>
        </w:rPr>
        <w:t>2．资格审查（未进行资格预审的）</w:t>
      </w:r>
      <w:r>
        <w:tab/>
      </w:r>
      <w:r>
        <w:fldChar w:fldCharType="begin"/>
      </w:r>
      <w:r>
        <w:instrText xml:space="preserve"> PAGEREF _Toc7491 \h </w:instrText>
      </w:r>
      <w:r>
        <w:fldChar w:fldCharType="separate"/>
      </w:r>
      <w:r>
        <w:t>28</w:t>
      </w:r>
      <w:r>
        <w:fldChar w:fldCharType="end"/>
      </w:r>
      <w:r>
        <w:rPr>
          <w:rFonts w:hint="default" w:ascii="Times New Roman" w:hAnsi="Times New Roman" w:cs="Times New Roman" w:eastAsiaTheme="minorEastAsia"/>
          <w:bCs/>
          <w:color w:val="000000"/>
        </w:rPr>
        <w:fldChar w:fldCharType="end"/>
      </w:r>
    </w:p>
    <w:p w14:paraId="2794B374">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_Toc31578 </w:instrText>
      </w:r>
      <w:r>
        <w:rPr>
          <w:rFonts w:hint="default" w:ascii="Times New Roman" w:hAnsi="Times New Roman" w:cs="Times New Roman" w:eastAsiaTheme="minorEastAsia"/>
          <w:bCs/>
        </w:rPr>
        <w:fldChar w:fldCharType="separate"/>
      </w:r>
      <w:r>
        <w:rPr>
          <w:rFonts w:hint="eastAsia" w:ascii="黑体" w:hAnsi="黑体" w:eastAsia="黑体"/>
          <w:szCs w:val="24"/>
        </w:rPr>
        <w:t>2．资格审查（已进行资格预审的）</w:t>
      </w:r>
      <w:r>
        <w:tab/>
      </w:r>
      <w:r>
        <w:fldChar w:fldCharType="begin"/>
      </w:r>
      <w:r>
        <w:instrText xml:space="preserve"> PAGEREF _Toc31578 \h </w:instrText>
      </w:r>
      <w:r>
        <w:fldChar w:fldCharType="separate"/>
      </w:r>
      <w:r>
        <w:t>29</w:t>
      </w:r>
      <w:r>
        <w:fldChar w:fldCharType="end"/>
      </w:r>
      <w:r>
        <w:rPr>
          <w:rFonts w:hint="default" w:ascii="Times New Roman" w:hAnsi="Times New Roman" w:cs="Times New Roman" w:eastAsiaTheme="minorEastAsia"/>
          <w:bCs/>
          <w:color w:val="000000"/>
        </w:rPr>
        <w:fldChar w:fldCharType="end"/>
      </w:r>
    </w:p>
    <w:p w14:paraId="39E951AA">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_Toc31916 </w:instrText>
      </w:r>
      <w:r>
        <w:rPr>
          <w:rFonts w:hint="default" w:ascii="Times New Roman" w:hAnsi="Times New Roman" w:cs="Times New Roman" w:eastAsiaTheme="minorEastAsia"/>
          <w:bCs/>
        </w:rPr>
        <w:fldChar w:fldCharType="separate"/>
      </w:r>
      <w:r>
        <w:rPr>
          <w:rFonts w:hint="eastAsia" w:ascii="黑体" w:hAnsi="黑体" w:eastAsia="黑体"/>
          <w:szCs w:val="24"/>
        </w:rPr>
        <w:t>3．资格审查结果</w:t>
      </w:r>
      <w:r>
        <w:tab/>
      </w:r>
      <w:r>
        <w:fldChar w:fldCharType="begin"/>
      </w:r>
      <w:r>
        <w:instrText xml:space="preserve"> PAGEREF _Toc31916 \h </w:instrText>
      </w:r>
      <w:r>
        <w:fldChar w:fldCharType="separate"/>
      </w:r>
      <w:r>
        <w:t>29</w:t>
      </w:r>
      <w:r>
        <w:fldChar w:fldCharType="end"/>
      </w:r>
      <w:r>
        <w:rPr>
          <w:rFonts w:hint="default" w:ascii="Times New Roman" w:hAnsi="Times New Roman" w:cs="Times New Roman" w:eastAsiaTheme="minorEastAsia"/>
          <w:bCs/>
          <w:color w:val="000000"/>
        </w:rPr>
        <w:fldChar w:fldCharType="end"/>
      </w:r>
    </w:p>
    <w:p w14:paraId="60D9284A">
      <w:pPr>
        <w:pStyle w:val="3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_Toc27558 </w:instrText>
      </w:r>
      <w:r>
        <w:rPr>
          <w:rFonts w:hint="default" w:ascii="Times New Roman" w:hAnsi="Times New Roman" w:cs="Times New Roman" w:eastAsiaTheme="minorEastAsia"/>
          <w:bCs/>
        </w:rPr>
        <w:fldChar w:fldCharType="separate"/>
      </w:r>
      <w:r>
        <w:rPr>
          <w:rFonts w:hint="eastAsia" w:ascii="宋体" w:hAnsi="宋体"/>
          <w:bCs/>
          <w:szCs w:val="21"/>
        </w:rPr>
        <w:t>附表1</w:t>
      </w:r>
      <w:r>
        <w:rPr>
          <w:rFonts w:ascii="宋体" w:hAnsi="宋体"/>
          <w:bCs/>
          <w:szCs w:val="21"/>
        </w:rPr>
        <w:t>资格审查表</w:t>
      </w:r>
      <w:r>
        <w:tab/>
      </w:r>
      <w:r>
        <w:fldChar w:fldCharType="begin"/>
      </w:r>
      <w:r>
        <w:instrText xml:space="preserve"> PAGEREF _Toc27558 \h </w:instrText>
      </w:r>
      <w:r>
        <w:fldChar w:fldCharType="separate"/>
      </w:r>
      <w:r>
        <w:t>30</w:t>
      </w:r>
      <w:r>
        <w:fldChar w:fldCharType="end"/>
      </w:r>
      <w:r>
        <w:rPr>
          <w:rFonts w:hint="default" w:ascii="Times New Roman" w:hAnsi="Times New Roman" w:cs="Times New Roman" w:eastAsiaTheme="minorEastAsia"/>
          <w:bCs/>
          <w:color w:val="000000"/>
        </w:rPr>
        <w:fldChar w:fldCharType="end"/>
      </w:r>
    </w:p>
    <w:p w14:paraId="03744EC7">
      <w:pPr>
        <w:pStyle w:val="3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_Toc13530 </w:instrText>
      </w:r>
      <w:r>
        <w:rPr>
          <w:rFonts w:hint="default" w:ascii="Times New Roman" w:hAnsi="Times New Roman" w:cs="Times New Roman" w:eastAsiaTheme="minorEastAsia"/>
          <w:bCs/>
        </w:rPr>
        <w:fldChar w:fldCharType="separate"/>
      </w:r>
      <w:r>
        <w:rPr>
          <w:rFonts w:hint="eastAsia" w:ascii="黑体" w:hAnsi="黑体"/>
          <w:szCs w:val="21"/>
        </w:rPr>
        <w:t>附表2 资格审查结果一览表</w:t>
      </w:r>
      <w:r>
        <w:tab/>
      </w:r>
      <w:r>
        <w:fldChar w:fldCharType="begin"/>
      </w:r>
      <w:r>
        <w:instrText xml:space="preserve"> PAGEREF _Toc13530 \h </w:instrText>
      </w:r>
      <w:r>
        <w:fldChar w:fldCharType="separate"/>
      </w:r>
      <w:r>
        <w:t>31</w:t>
      </w:r>
      <w:r>
        <w:fldChar w:fldCharType="end"/>
      </w:r>
      <w:r>
        <w:rPr>
          <w:rFonts w:hint="default" w:ascii="Times New Roman" w:hAnsi="Times New Roman" w:cs="Times New Roman" w:eastAsiaTheme="minorEastAsia"/>
          <w:bCs/>
          <w:color w:val="000000"/>
        </w:rPr>
        <w:fldChar w:fldCharType="end"/>
      </w:r>
    </w:p>
    <w:p w14:paraId="0943F0E5">
      <w:pPr>
        <w:pStyle w:val="3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_Toc2564 </w:instrText>
      </w:r>
      <w:r>
        <w:rPr>
          <w:rFonts w:hint="default" w:ascii="Times New Roman" w:hAnsi="Times New Roman" w:cs="Times New Roman" w:eastAsiaTheme="minorEastAsia"/>
          <w:bCs/>
        </w:rPr>
        <w:fldChar w:fldCharType="separate"/>
      </w:r>
      <w:r>
        <w:rPr>
          <w:rFonts w:hint="eastAsia" w:ascii="黑体" w:hAnsi="黑体"/>
          <w:szCs w:val="21"/>
        </w:rPr>
        <w:t>附表3 资格审查合格投标人名单</w:t>
      </w:r>
      <w:r>
        <w:tab/>
      </w:r>
      <w:r>
        <w:fldChar w:fldCharType="begin"/>
      </w:r>
      <w:r>
        <w:instrText xml:space="preserve"> PAGEREF _Toc2564 \h </w:instrText>
      </w:r>
      <w:r>
        <w:fldChar w:fldCharType="separate"/>
      </w:r>
      <w:r>
        <w:t>32</w:t>
      </w:r>
      <w:r>
        <w:fldChar w:fldCharType="end"/>
      </w:r>
      <w:r>
        <w:rPr>
          <w:rFonts w:hint="default" w:ascii="Times New Roman" w:hAnsi="Times New Roman" w:cs="Times New Roman" w:eastAsiaTheme="minorEastAsia"/>
          <w:bCs/>
          <w:color w:val="000000"/>
        </w:rPr>
        <w:fldChar w:fldCharType="end"/>
      </w:r>
    </w:p>
    <w:p w14:paraId="130EF914">
      <w:pPr>
        <w:pStyle w:val="33"/>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_Toc24227 </w:instrText>
      </w:r>
      <w:r>
        <w:rPr>
          <w:rFonts w:hint="default" w:ascii="Times New Roman" w:hAnsi="Times New Roman" w:cs="Times New Roman" w:eastAsiaTheme="minorEastAsia"/>
          <w:bCs/>
        </w:rPr>
        <w:fldChar w:fldCharType="separate"/>
      </w:r>
      <w:r>
        <w:rPr>
          <w:rFonts w:hint="eastAsia" w:ascii="黑体" w:hAnsi="华文中宋" w:eastAsia="黑体"/>
          <w:szCs w:val="32"/>
        </w:rPr>
        <w:t>第四章 评标方法及标准</w:t>
      </w:r>
      <w:r>
        <w:tab/>
      </w:r>
      <w:r>
        <w:fldChar w:fldCharType="begin"/>
      </w:r>
      <w:r>
        <w:instrText xml:space="preserve"> PAGEREF _Toc24227 \h </w:instrText>
      </w:r>
      <w:r>
        <w:fldChar w:fldCharType="separate"/>
      </w:r>
      <w:r>
        <w:t>33</w:t>
      </w:r>
      <w:r>
        <w:fldChar w:fldCharType="end"/>
      </w:r>
      <w:r>
        <w:rPr>
          <w:rFonts w:hint="default" w:ascii="Times New Roman" w:hAnsi="Times New Roman" w:cs="Times New Roman" w:eastAsiaTheme="minorEastAsia"/>
          <w:bCs/>
          <w:color w:val="000000"/>
        </w:rPr>
        <w:fldChar w:fldCharType="end"/>
      </w:r>
    </w:p>
    <w:p w14:paraId="17248EA4">
      <w:pPr>
        <w:pStyle w:val="37"/>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_Toc28964 </w:instrText>
      </w:r>
      <w:r>
        <w:rPr>
          <w:rFonts w:hint="default" w:ascii="Times New Roman" w:hAnsi="Times New Roman" w:cs="Times New Roman" w:eastAsiaTheme="minorEastAsia"/>
          <w:bCs/>
        </w:rPr>
        <w:fldChar w:fldCharType="separate"/>
      </w:r>
      <w:r>
        <w:rPr>
          <w:rFonts w:hint="eastAsia" w:ascii="黑体" w:hAnsi="华文中宋" w:eastAsia="黑体"/>
          <w:bCs/>
          <w:szCs w:val="28"/>
        </w:rPr>
        <w:t>第一节 评标方法及标准前附表</w:t>
      </w:r>
      <w:r>
        <w:tab/>
      </w:r>
      <w:r>
        <w:fldChar w:fldCharType="begin"/>
      </w:r>
      <w:r>
        <w:instrText xml:space="preserve"> PAGEREF _Toc28964 \h </w:instrText>
      </w:r>
      <w:r>
        <w:fldChar w:fldCharType="separate"/>
      </w:r>
      <w:r>
        <w:t>33</w:t>
      </w:r>
      <w:r>
        <w:fldChar w:fldCharType="end"/>
      </w:r>
      <w:r>
        <w:rPr>
          <w:rFonts w:hint="default" w:ascii="Times New Roman" w:hAnsi="Times New Roman" w:cs="Times New Roman" w:eastAsiaTheme="minorEastAsia"/>
          <w:bCs/>
          <w:color w:val="000000"/>
        </w:rPr>
        <w:fldChar w:fldCharType="end"/>
      </w:r>
    </w:p>
    <w:p w14:paraId="72CDE4ED">
      <w:pPr>
        <w:pStyle w:val="37"/>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_Toc8822 </w:instrText>
      </w:r>
      <w:r>
        <w:rPr>
          <w:rFonts w:hint="default" w:ascii="Times New Roman" w:hAnsi="Times New Roman" w:cs="Times New Roman" w:eastAsiaTheme="minorEastAsia"/>
          <w:bCs/>
        </w:rPr>
        <w:fldChar w:fldCharType="separate"/>
      </w:r>
      <w:r>
        <w:rPr>
          <w:rFonts w:hint="eastAsia" w:ascii="黑体" w:hAnsi="华文中宋" w:eastAsia="黑体"/>
          <w:bCs/>
          <w:szCs w:val="28"/>
        </w:rPr>
        <w:t>第二节 评标方法及标准</w:t>
      </w:r>
      <w:r>
        <w:tab/>
      </w:r>
      <w:r>
        <w:fldChar w:fldCharType="begin"/>
      </w:r>
      <w:r>
        <w:instrText xml:space="preserve"> PAGEREF _Toc8822 \h </w:instrText>
      </w:r>
      <w:r>
        <w:fldChar w:fldCharType="separate"/>
      </w:r>
      <w:r>
        <w:t>35</w:t>
      </w:r>
      <w:r>
        <w:fldChar w:fldCharType="end"/>
      </w:r>
      <w:r>
        <w:rPr>
          <w:rFonts w:hint="default" w:ascii="Times New Roman" w:hAnsi="Times New Roman" w:cs="Times New Roman" w:eastAsiaTheme="minorEastAsia"/>
          <w:bCs/>
          <w:color w:val="000000"/>
        </w:rPr>
        <w:fldChar w:fldCharType="end"/>
      </w:r>
    </w:p>
    <w:p w14:paraId="721C9086">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_Toc17965 </w:instrText>
      </w:r>
      <w:r>
        <w:rPr>
          <w:rFonts w:hint="default" w:ascii="Times New Roman" w:hAnsi="Times New Roman" w:cs="Times New Roman" w:eastAsiaTheme="minorEastAsia"/>
          <w:bCs/>
        </w:rPr>
        <w:fldChar w:fldCharType="separate"/>
      </w:r>
      <w:r>
        <w:rPr>
          <w:rFonts w:hint="eastAsia" w:ascii="黑体" w:hAnsi="黑体" w:eastAsia="黑体"/>
          <w:bCs/>
        </w:rPr>
        <w:t>1．评标方法</w:t>
      </w:r>
      <w:r>
        <w:tab/>
      </w:r>
      <w:r>
        <w:fldChar w:fldCharType="begin"/>
      </w:r>
      <w:r>
        <w:instrText xml:space="preserve"> PAGEREF _Toc17965 \h </w:instrText>
      </w:r>
      <w:r>
        <w:fldChar w:fldCharType="separate"/>
      </w:r>
      <w:r>
        <w:t>35</w:t>
      </w:r>
      <w:r>
        <w:fldChar w:fldCharType="end"/>
      </w:r>
      <w:r>
        <w:rPr>
          <w:rFonts w:hint="default" w:ascii="Times New Roman" w:hAnsi="Times New Roman" w:cs="Times New Roman" w:eastAsiaTheme="minorEastAsia"/>
          <w:bCs/>
          <w:color w:val="000000"/>
        </w:rPr>
        <w:fldChar w:fldCharType="end"/>
      </w:r>
    </w:p>
    <w:p w14:paraId="33455998">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_Toc7540 </w:instrText>
      </w:r>
      <w:r>
        <w:rPr>
          <w:rFonts w:hint="default" w:ascii="Times New Roman" w:hAnsi="Times New Roman" w:cs="Times New Roman" w:eastAsiaTheme="minorEastAsia"/>
          <w:bCs/>
        </w:rPr>
        <w:fldChar w:fldCharType="separate"/>
      </w:r>
      <w:r>
        <w:rPr>
          <w:rFonts w:hint="eastAsia" w:ascii="黑体" w:hAnsi="黑体" w:eastAsia="黑体"/>
        </w:rPr>
        <w:t>2．评标程序</w:t>
      </w:r>
      <w:r>
        <w:tab/>
      </w:r>
      <w:r>
        <w:fldChar w:fldCharType="begin"/>
      </w:r>
      <w:r>
        <w:instrText xml:space="preserve"> PAGEREF _Toc7540 \h </w:instrText>
      </w:r>
      <w:r>
        <w:fldChar w:fldCharType="separate"/>
      </w:r>
      <w:r>
        <w:t>35</w:t>
      </w:r>
      <w:r>
        <w:fldChar w:fldCharType="end"/>
      </w:r>
      <w:r>
        <w:rPr>
          <w:rFonts w:hint="default" w:ascii="Times New Roman" w:hAnsi="Times New Roman" w:cs="Times New Roman" w:eastAsiaTheme="minorEastAsia"/>
          <w:bCs/>
          <w:color w:val="000000"/>
        </w:rPr>
        <w:fldChar w:fldCharType="end"/>
      </w:r>
    </w:p>
    <w:p w14:paraId="4183BEEC">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_Toc21512 </w:instrText>
      </w:r>
      <w:r>
        <w:rPr>
          <w:rFonts w:hint="default" w:ascii="Times New Roman" w:hAnsi="Times New Roman" w:cs="Times New Roman" w:eastAsiaTheme="minorEastAsia"/>
          <w:bCs/>
        </w:rPr>
        <w:fldChar w:fldCharType="separate"/>
      </w:r>
      <w:r>
        <w:rPr>
          <w:rFonts w:hint="eastAsia" w:ascii="黑体" w:hAnsi="黑体" w:eastAsia="黑体"/>
        </w:rPr>
        <w:t>3．投标文件的符合性审查</w:t>
      </w:r>
      <w:r>
        <w:tab/>
      </w:r>
      <w:r>
        <w:fldChar w:fldCharType="begin"/>
      </w:r>
      <w:r>
        <w:instrText xml:space="preserve"> PAGEREF _Toc21512 \h </w:instrText>
      </w:r>
      <w:r>
        <w:fldChar w:fldCharType="separate"/>
      </w:r>
      <w:r>
        <w:t>35</w:t>
      </w:r>
      <w:r>
        <w:fldChar w:fldCharType="end"/>
      </w:r>
      <w:r>
        <w:rPr>
          <w:rFonts w:hint="default" w:ascii="Times New Roman" w:hAnsi="Times New Roman" w:cs="Times New Roman" w:eastAsiaTheme="minorEastAsia"/>
          <w:bCs/>
          <w:color w:val="000000"/>
        </w:rPr>
        <w:fldChar w:fldCharType="end"/>
      </w:r>
    </w:p>
    <w:p w14:paraId="4368D24B">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_Toc12289 </w:instrText>
      </w:r>
      <w:r>
        <w:rPr>
          <w:rFonts w:hint="default" w:ascii="Times New Roman" w:hAnsi="Times New Roman" w:cs="Times New Roman" w:eastAsiaTheme="minorEastAsia"/>
          <w:bCs/>
        </w:rPr>
        <w:fldChar w:fldCharType="separate"/>
      </w:r>
      <w:r>
        <w:rPr>
          <w:rFonts w:hint="eastAsia" w:ascii="黑体" w:hAnsi="黑体" w:eastAsia="黑体"/>
        </w:rPr>
        <w:t>4．投标文件的澄清</w:t>
      </w:r>
      <w:r>
        <w:tab/>
      </w:r>
      <w:r>
        <w:fldChar w:fldCharType="begin"/>
      </w:r>
      <w:r>
        <w:instrText xml:space="preserve"> PAGEREF _Toc12289 \h </w:instrText>
      </w:r>
      <w:r>
        <w:fldChar w:fldCharType="separate"/>
      </w:r>
      <w:r>
        <w:t>35</w:t>
      </w:r>
      <w:r>
        <w:fldChar w:fldCharType="end"/>
      </w:r>
      <w:r>
        <w:rPr>
          <w:rFonts w:hint="default" w:ascii="Times New Roman" w:hAnsi="Times New Roman" w:cs="Times New Roman" w:eastAsiaTheme="minorEastAsia"/>
          <w:bCs/>
          <w:color w:val="000000"/>
        </w:rPr>
        <w:fldChar w:fldCharType="end"/>
      </w:r>
    </w:p>
    <w:p w14:paraId="642755D7">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_Toc15907 </w:instrText>
      </w:r>
      <w:r>
        <w:rPr>
          <w:rFonts w:hint="default" w:ascii="Times New Roman" w:hAnsi="Times New Roman" w:cs="Times New Roman" w:eastAsiaTheme="minorEastAsia"/>
          <w:bCs/>
        </w:rPr>
        <w:fldChar w:fldCharType="separate"/>
      </w:r>
      <w:r>
        <w:rPr>
          <w:rFonts w:hint="eastAsia" w:ascii="黑体" w:hAnsi="黑体" w:eastAsia="黑体"/>
        </w:rPr>
        <w:t>5．投标文件的比较与评价</w:t>
      </w:r>
      <w:r>
        <w:tab/>
      </w:r>
      <w:r>
        <w:fldChar w:fldCharType="begin"/>
      </w:r>
      <w:r>
        <w:instrText xml:space="preserve"> PAGEREF _Toc15907 \h </w:instrText>
      </w:r>
      <w:r>
        <w:fldChar w:fldCharType="separate"/>
      </w:r>
      <w:r>
        <w:t>36</w:t>
      </w:r>
      <w:r>
        <w:fldChar w:fldCharType="end"/>
      </w:r>
      <w:r>
        <w:rPr>
          <w:rFonts w:hint="default" w:ascii="Times New Roman" w:hAnsi="Times New Roman" w:cs="Times New Roman" w:eastAsiaTheme="minorEastAsia"/>
          <w:bCs/>
          <w:color w:val="000000"/>
        </w:rPr>
        <w:fldChar w:fldCharType="end"/>
      </w:r>
    </w:p>
    <w:p w14:paraId="5AFF2AE1">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_Toc2570 </w:instrText>
      </w:r>
      <w:r>
        <w:rPr>
          <w:rFonts w:hint="default" w:ascii="Times New Roman" w:hAnsi="Times New Roman" w:cs="Times New Roman" w:eastAsiaTheme="minorEastAsia"/>
          <w:bCs/>
        </w:rPr>
        <w:fldChar w:fldCharType="separate"/>
      </w:r>
      <w:r>
        <w:rPr>
          <w:rFonts w:hint="eastAsia" w:ascii="黑体" w:hAnsi="黑体" w:eastAsia="黑体"/>
        </w:rPr>
        <w:t>6．</w:t>
      </w:r>
      <w:r>
        <w:rPr>
          <w:rFonts w:hint="eastAsia" w:ascii="黑体" w:hAnsi="黑体" w:eastAsia="黑体"/>
          <w:bCs/>
        </w:rPr>
        <w:t>推荐中标候选人</w:t>
      </w:r>
      <w:r>
        <w:tab/>
      </w:r>
      <w:r>
        <w:fldChar w:fldCharType="begin"/>
      </w:r>
      <w:r>
        <w:instrText xml:space="preserve"> PAGEREF _Toc2570 \h </w:instrText>
      </w:r>
      <w:r>
        <w:fldChar w:fldCharType="separate"/>
      </w:r>
      <w:r>
        <w:t>36</w:t>
      </w:r>
      <w:r>
        <w:fldChar w:fldCharType="end"/>
      </w:r>
      <w:r>
        <w:rPr>
          <w:rFonts w:hint="default" w:ascii="Times New Roman" w:hAnsi="Times New Roman" w:cs="Times New Roman" w:eastAsiaTheme="minorEastAsia"/>
          <w:bCs/>
          <w:color w:val="000000"/>
        </w:rPr>
        <w:fldChar w:fldCharType="end"/>
      </w:r>
    </w:p>
    <w:p w14:paraId="4C12E5AF">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_Toc28196 </w:instrText>
      </w:r>
      <w:r>
        <w:rPr>
          <w:rFonts w:hint="default" w:ascii="Times New Roman" w:hAnsi="Times New Roman" w:cs="Times New Roman" w:eastAsiaTheme="minorEastAsia"/>
          <w:bCs/>
        </w:rPr>
        <w:fldChar w:fldCharType="separate"/>
      </w:r>
      <w:r>
        <w:rPr>
          <w:rFonts w:hint="eastAsia" w:ascii="黑体" w:hAnsi="黑体" w:eastAsia="黑体"/>
        </w:rPr>
        <w:t>7．</w:t>
      </w:r>
      <w:r>
        <w:rPr>
          <w:rFonts w:hint="eastAsia" w:ascii="黑体" w:hAnsi="黑体" w:eastAsia="黑体"/>
          <w:bCs/>
        </w:rPr>
        <w:t>编写评标报告</w:t>
      </w:r>
      <w:r>
        <w:tab/>
      </w:r>
      <w:r>
        <w:fldChar w:fldCharType="begin"/>
      </w:r>
      <w:r>
        <w:instrText xml:space="preserve"> PAGEREF _Toc28196 \h </w:instrText>
      </w:r>
      <w:r>
        <w:fldChar w:fldCharType="separate"/>
      </w:r>
      <w:r>
        <w:t>37</w:t>
      </w:r>
      <w:r>
        <w:fldChar w:fldCharType="end"/>
      </w:r>
      <w:r>
        <w:rPr>
          <w:rFonts w:hint="default" w:ascii="Times New Roman" w:hAnsi="Times New Roman" w:cs="Times New Roman" w:eastAsiaTheme="minorEastAsia"/>
          <w:bCs/>
          <w:color w:val="000000"/>
        </w:rPr>
        <w:fldChar w:fldCharType="end"/>
      </w:r>
    </w:p>
    <w:p w14:paraId="694FF63D">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rPr>
          <w:rFonts w:hint="default" w:ascii="Times New Roman" w:hAnsi="Times New Roman" w:cs="Times New Roman" w:eastAsiaTheme="minorEastAsia"/>
          <w:bCs/>
          <w:color w:val="000000"/>
        </w:rPr>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_Toc10838 </w:instrText>
      </w:r>
      <w:r>
        <w:rPr>
          <w:rFonts w:hint="default" w:ascii="Times New Roman" w:hAnsi="Times New Roman" w:cs="Times New Roman" w:eastAsiaTheme="minorEastAsia"/>
          <w:bCs/>
        </w:rPr>
        <w:fldChar w:fldCharType="separate"/>
      </w:r>
      <w:r>
        <w:rPr>
          <w:rFonts w:hint="eastAsia" w:ascii="黑体" w:hAnsi="黑体" w:eastAsia="黑体"/>
        </w:rPr>
        <w:t>8．</w:t>
      </w:r>
      <w:r>
        <w:rPr>
          <w:rFonts w:hint="eastAsia" w:ascii="黑体" w:hAnsi="黑体" w:eastAsia="黑体"/>
          <w:bCs/>
        </w:rPr>
        <w:t>评标报告</w:t>
      </w:r>
      <w:r>
        <w:rPr>
          <w:rFonts w:hint="eastAsia" w:ascii="黑体" w:hAnsi="黑体" w:eastAsia="黑体"/>
        </w:rPr>
        <w:t>复核</w:t>
      </w:r>
      <w:r>
        <w:tab/>
      </w:r>
      <w:r>
        <w:fldChar w:fldCharType="begin"/>
      </w:r>
      <w:r>
        <w:instrText xml:space="preserve"> PAGEREF _Toc10838 \h </w:instrText>
      </w:r>
      <w:r>
        <w:fldChar w:fldCharType="separate"/>
      </w:r>
      <w:r>
        <w:t>37</w:t>
      </w:r>
      <w:r>
        <w:fldChar w:fldCharType="end"/>
      </w:r>
      <w:r>
        <w:rPr>
          <w:rFonts w:hint="default" w:ascii="Times New Roman" w:hAnsi="Times New Roman" w:cs="Times New Roman" w:eastAsiaTheme="minorEastAsia"/>
          <w:bCs/>
          <w:color w:val="000000"/>
        </w:rPr>
        <w:fldChar w:fldCharType="end"/>
      </w:r>
    </w:p>
    <w:p w14:paraId="4391A5B2">
      <w:pPr>
        <w:pStyle w:val="24"/>
        <w:keepNext w:val="0"/>
        <w:keepLines w:val="0"/>
        <w:pageBreakBefore w:val="0"/>
        <w:widowControl w:val="0"/>
        <w:tabs>
          <w:tab w:val="right" w:leader="dot" w:pos="8504"/>
        </w:tabs>
        <w:kinsoku/>
        <w:wordWrap/>
        <w:overflowPunct/>
        <w:topLinePunct w:val="0"/>
        <w:autoSpaceDE/>
        <w:autoSpaceDN/>
        <w:bidi w:val="0"/>
        <w:spacing w:line="348" w:lineRule="auto"/>
        <w:textAlignment w:val="auto"/>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_Toc15465 </w:instrText>
      </w:r>
      <w:r>
        <w:rPr>
          <w:rFonts w:hint="default" w:ascii="Times New Roman" w:hAnsi="Times New Roman" w:cs="Times New Roman" w:eastAsiaTheme="minorEastAsia"/>
          <w:bCs/>
        </w:rPr>
        <w:fldChar w:fldCharType="separate"/>
      </w:r>
      <w:r>
        <w:rPr>
          <w:rFonts w:hint="eastAsia" w:ascii="黑体" w:hAnsi="黑体" w:eastAsia="黑体"/>
          <w:bCs/>
        </w:rPr>
        <w:t>9．</w:t>
      </w:r>
      <w:r>
        <w:rPr>
          <w:rFonts w:hint="eastAsia" w:ascii="黑体" w:hAnsi="黑体" w:eastAsia="黑体"/>
        </w:rPr>
        <w:t>停止评标</w:t>
      </w:r>
      <w:r>
        <w:tab/>
      </w:r>
      <w:r>
        <w:fldChar w:fldCharType="begin"/>
      </w:r>
      <w:r>
        <w:instrText xml:space="preserve"> PAGEREF _Toc15465 \h </w:instrText>
      </w:r>
      <w:r>
        <w:fldChar w:fldCharType="separate"/>
      </w:r>
      <w:r>
        <w:t>37</w:t>
      </w:r>
      <w:r>
        <w:fldChar w:fldCharType="end"/>
      </w:r>
      <w:r>
        <w:rPr>
          <w:rFonts w:hint="default" w:ascii="Times New Roman" w:hAnsi="Times New Roman" w:cs="Times New Roman" w:eastAsiaTheme="minorEastAsia"/>
          <w:bCs/>
          <w:color w:val="000000"/>
        </w:rPr>
        <w:fldChar w:fldCharType="end"/>
      </w:r>
    </w:p>
    <w:p w14:paraId="5A3ECBAF">
      <w:pPr>
        <w:pStyle w:val="24"/>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_Toc29093 </w:instrText>
      </w:r>
      <w:r>
        <w:rPr>
          <w:rFonts w:hint="default" w:ascii="Times New Roman" w:hAnsi="Times New Roman" w:cs="Times New Roman" w:eastAsiaTheme="minorEastAsia"/>
          <w:bCs/>
        </w:rPr>
        <w:fldChar w:fldCharType="separate"/>
      </w:r>
      <w:r>
        <w:rPr>
          <w:rFonts w:hint="eastAsia" w:ascii="黑体" w:hAnsi="黑体" w:eastAsia="黑体" w:cs="宋体"/>
          <w:bCs/>
          <w:kern w:val="0"/>
        </w:rPr>
        <w:t>10.废标</w:t>
      </w:r>
      <w:r>
        <w:tab/>
      </w:r>
      <w:r>
        <w:fldChar w:fldCharType="begin"/>
      </w:r>
      <w:r>
        <w:instrText xml:space="preserve"> PAGEREF _Toc29093 \h </w:instrText>
      </w:r>
      <w:r>
        <w:fldChar w:fldCharType="separate"/>
      </w:r>
      <w:r>
        <w:t>37</w:t>
      </w:r>
      <w:r>
        <w:fldChar w:fldCharType="end"/>
      </w:r>
      <w:r>
        <w:rPr>
          <w:rFonts w:hint="default" w:ascii="Times New Roman" w:hAnsi="Times New Roman" w:cs="Times New Roman" w:eastAsiaTheme="minorEastAsia"/>
          <w:bCs/>
          <w:color w:val="000000"/>
        </w:rPr>
        <w:fldChar w:fldCharType="end"/>
      </w:r>
    </w:p>
    <w:p w14:paraId="5BDC2115">
      <w:pPr>
        <w:pStyle w:val="24"/>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_Toc4421 </w:instrText>
      </w:r>
      <w:r>
        <w:rPr>
          <w:rFonts w:hint="default" w:ascii="Times New Roman" w:hAnsi="Times New Roman" w:cs="Times New Roman" w:eastAsiaTheme="minorEastAsia"/>
          <w:bCs/>
        </w:rPr>
        <w:fldChar w:fldCharType="separate"/>
      </w:r>
      <w:r>
        <w:rPr>
          <w:rFonts w:hint="eastAsia" w:ascii="黑体" w:hAnsi="黑体" w:eastAsia="黑体" w:cs="宋体"/>
          <w:bCs/>
          <w:kern w:val="0"/>
        </w:rPr>
        <w:t>11．重新组建评标委员会进行评标</w:t>
      </w:r>
      <w:r>
        <w:tab/>
      </w:r>
      <w:r>
        <w:fldChar w:fldCharType="begin"/>
      </w:r>
      <w:r>
        <w:instrText xml:space="preserve"> PAGEREF _Toc4421 \h </w:instrText>
      </w:r>
      <w:r>
        <w:fldChar w:fldCharType="separate"/>
      </w:r>
      <w:r>
        <w:t>38</w:t>
      </w:r>
      <w:r>
        <w:fldChar w:fldCharType="end"/>
      </w:r>
      <w:r>
        <w:rPr>
          <w:rFonts w:hint="default" w:ascii="Times New Roman" w:hAnsi="Times New Roman" w:cs="Times New Roman" w:eastAsiaTheme="minorEastAsia"/>
          <w:bCs/>
          <w:color w:val="000000"/>
        </w:rPr>
        <w:fldChar w:fldCharType="end"/>
      </w:r>
    </w:p>
    <w:p w14:paraId="2E38816F">
      <w:pPr>
        <w:pStyle w:val="37"/>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_Toc12127 </w:instrText>
      </w:r>
      <w:r>
        <w:rPr>
          <w:rFonts w:hint="default" w:ascii="Times New Roman" w:hAnsi="Times New Roman" w:cs="Times New Roman" w:eastAsiaTheme="minorEastAsia"/>
          <w:bCs/>
        </w:rPr>
        <w:fldChar w:fldCharType="separate"/>
      </w:r>
      <w:r>
        <w:rPr>
          <w:rFonts w:hint="eastAsia" w:ascii="黑体" w:hAnsi="华文中宋" w:eastAsia="黑体"/>
          <w:bCs/>
          <w:szCs w:val="28"/>
        </w:rPr>
        <w:t>第三节 投标文件的符合性审查</w:t>
      </w:r>
      <w:r>
        <w:tab/>
      </w:r>
      <w:r>
        <w:fldChar w:fldCharType="begin"/>
      </w:r>
      <w:r>
        <w:instrText xml:space="preserve"> PAGEREF _Toc12127 \h </w:instrText>
      </w:r>
      <w:r>
        <w:fldChar w:fldCharType="separate"/>
      </w:r>
      <w:r>
        <w:t>39</w:t>
      </w:r>
      <w:r>
        <w:fldChar w:fldCharType="end"/>
      </w:r>
      <w:r>
        <w:rPr>
          <w:rFonts w:hint="default" w:ascii="Times New Roman" w:hAnsi="Times New Roman" w:cs="Times New Roman" w:eastAsiaTheme="minorEastAsia"/>
          <w:bCs/>
          <w:color w:val="000000"/>
        </w:rPr>
        <w:fldChar w:fldCharType="end"/>
      </w:r>
    </w:p>
    <w:p w14:paraId="2E262389">
      <w:pPr>
        <w:pStyle w:val="37"/>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_Toc10106 </w:instrText>
      </w:r>
      <w:r>
        <w:rPr>
          <w:rFonts w:hint="default" w:ascii="Times New Roman" w:hAnsi="Times New Roman" w:cs="Times New Roman" w:eastAsiaTheme="minorEastAsia"/>
          <w:bCs/>
        </w:rPr>
        <w:fldChar w:fldCharType="separate"/>
      </w:r>
      <w:r>
        <w:rPr>
          <w:rFonts w:hint="eastAsia" w:ascii="黑体" w:hAnsi="华文中宋" w:eastAsia="黑体"/>
          <w:bCs/>
          <w:szCs w:val="28"/>
        </w:rPr>
        <w:t>第四节 投标文件的比较与评价（综合评分法）</w:t>
      </w:r>
      <w:r>
        <w:tab/>
      </w:r>
      <w:r>
        <w:fldChar w:fldCharType="begin"/>
      </w:r>
      <w:r>
        <w:instrText xml:space="preserve"> PAGEREF _Toc10106 \h </w:instrText>
      </w:r>
      <w:r>
        <w:fldChar w:fldCharType="separate"/>
      </w:r>
      <w:r>
        <w:t>43</w:t>
      </w:r>
      <w:r>
        <w:fldChar w:fldCharType="end"/>
      </w:r>
      <w:r>
        <w:rPr>
          <w:rFonts w:hint="default" w:ascii="Times New Roman" w:hAnsi="Times New Roman" w:cs="Times New Roman" w:eastAsiaTheme="minorEastAsia"/>
          <w:bCs/>
          <w:color w:val="000000"/>
        </w:rPr>
        <w:fldChar w:fldCharType="end"/>
      </w:r>
    </w:p>
    <w:p w14:paraId="6ED83C08">
      <w:pPr>
        <w:pStyle w:val="33"/>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_Toc5501 </w:instrText>
      </w:r>
      <w:r>
        <w:rPr>
          <w:rFonts w:hint="default" w:ascii="Times New Roman" w:hAnsi="Times New Roman" w:cs="Times New Roman" w:eastAsiaTheme="minorEastAsia"/>
          <w:bCs/>
        </w:rPr>
        <w:fldChar w:fldCharType="separate"/>
      </w:r>
      <w:r>
        <w:rPr>
          <w:rFonts w:hint="eastAsia" w:ascii="黑体" w:hAnsi="黑体" w:eastAsia="黑体" w:cs="黑体"/>
          <w:szCs w:val="32"/>
        </w:rPr>
        <w:t>第五章 采购需求</w:t>
      </w:r>
      <w:r>
        <w:tab/>
      </w:r>
      <w:r>
        <w:fldChar w:fldCharType="begin"/>
      </w:r>
      <w:r>
        <w:instrText xml:space="preserve"> PAGEREF _Toc5501 \h </w:instrText>
      </w:r>
      <w:r>
        <w:fldChar w:fldCharType="separate"/>
      </w:r>
      <w:r>
        <w:t>46</w:t>
      </w:r>
      <w:r>
        <w:fldChar w:fldCharType="end"/>
      </w:r>
      <w:r>
        <w:rPr>
          <w:rFonts w:hint="default" w:ascii="Times New Roman" w:hAnsi="Times New Roman" w:cs="Times New Roman" w:eastAsiaTheme="minorEastAsia"/>
          <w:bCs/>
          <w:color w:val="000000"/>
        </w:rPr>
        <w:fldChar w:fldCharType="end"/>
      </w:r>
    </w:p>
    <w:p w14:paraId="45584142">
      <w:pPr>
        <w:pStyle w:val="33"/>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_Toc12065 </w:instrText>
      </w:r>
      <w:r>
        <w:rPr>
          <w:rFonts w:hint="default" w:ascii="Times New Roman" w:hAnsi="Times New Roman" w:cs="Times New Roman" w:eastAsiaTheme="minorEastAsia"/>
          <w:bCs/>
        </w:rPr>
        <w:fldChar w:fldCharType="separate"/>
      </w:r>
      <w:r>
        <w:rPr>
          <w:rFonts w:hint="eastAsia" w:ascii="黑体" w:hAnsi="黑体" w:eastAsia="黑体" w:cs="黑体"/>
          <w:szCs w:val="32"/>
        </w:rPr>
        <w:t>第六章 政府采购合同</w:t>
      </w:r>
      <w:r>
        <w:tab/>
      </w:r>
      <w:r>
        <w:fldChar w:fldCharType="begin"/>
      </w:r>
      <w:r>
        <w:instrText xml:space="preserve"> PAGEREF _Toc12065 \h </w:instrText>
      </w:r>
      <w:r>
        <w:fldChar w:fldCharType="separate"/>
      </w:r>
      <w:r>
        <w:t>61</w:t>
      </w:r>
      <w:r>
        <w:fldChar w:fldCharType="end"/>
      </w:r>
      <w:r>
        <w:rPr>
          <w:rFonts w:hint="default" w:ascii="Times New Roman" w:hAnsi="Times New Roman" w:cs="Times New Roman" w:eastAsiaTheme="minorEastAsia"/>
          <w:bCs/>
          <w:color w:val="000000"/>
        </w:rPr>
        <w:fldChar w:fldCharType="end"/>
      </w:r>
    </w:p>
    <w:p w14:paraId="669DCF2F">
      <w:pPr>
        <w:pStyle w:val="37"/>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_Toc28194 </w:instrText>
      </w:r>
      <w:r>
        <w:rPr>
          <w:rFonts w:hint="default" w:ascii="Times New Roman" w:hAnsi="Times New Roman" w:cs="Times New Roman" w:eastAsiaTheme="minorEastAsia"/>
          <w:bCs/>
        </w:rPr>
        <w:fldChar w:fldCharType="separate"/>
      </w:r>
      <w:r>
        <w:rPr>
          <w:rFonts w:hint="eastAsia" w:ascii="黑体" w:hAnsi="华文中宋" w:eastAsia="黑体"/>
          <w:szCs w:val="28"/>
        </w:rPr>
        <w:t>第一节 政府采购合同协议书</w:t>
      </w:r>
      <w:r>
        <w:tab/>
      </w:r>
      <w:r>
        <w:fldChar w:fldCharType="begin"/>
      </w:r>
      <w:r>
        <w:instrText xml:space="preserve"> PAGEREF _Toc28194 \h </w:instrText>
      </w:r>
      <w:r>
        <w:fldChar w:fldCharType="separate"/>
      </w:r>
      <w:r>
        <w:t>61</w:t>
      </w:r>
      <w:r>
        <w:fldChar w:fldCharType="end"/>
      </w:r>
      <w:r>
        <w:rPr>
          <w:rFonts w:hint="default" w:ascii="Times New Roman" w:hAnsi="Times New Roman" w:cs="Times New Roman" w:eastAsiaTheme="minorEastAsia"/>
          <w:bCs/>
          <w:color w:val="000000"/>
        </w:rPr>
        <w:fldChar w:fldCharType="end"/>
      </w:r>
    </w:p>
    <w:p w14:paraId="7FEA5582">
      <w:pPr>
        <w:pStyle w:val="37"/>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_Toc19078 </w:instrText>
      </w:r>
      <w:r>
        <w:rPr>
          <w:rFonts w:hint="default" w:ascii="Times New Roman" w:hAnsi="Times New Roman" w:cs="Times New Roman" w:eastAsiaTheme="minorEastAsia"/>
          <w:bCs/>
        </w:rPr>
        <w:fldChar w:fldCharType="separate"/>
      </w:r>
      <w:r>
        <w:rPr>
          <w:rFonts w:hint="eastAsia" w:ascii="黑体" w:hAnsi="黑体" w:eastAsia="黑体" w:cs="Times New Roman"/>
          <w:bCs/>
          <w:kern w:val="2"/>
          <w:szCs w:val="28"/>
          <w:lang w:val="en-US" w:eastAsia="zh-CN" w:bidi="ar-SA"/>
        </w:rPr>
        <w:t>第二节 政府采购合同通用条款</w:t>
      </w:r>
      <w:r>
        <w:tab/>
      </w:r>
      <w:r>
        <w:fldChar w:fldCharType="begin"/>
      </w:r>
      <w:r>
        <w:instrText xml:space="preserve"> PAGEREF _Toc19078 \h </w:instrText>
      </w:r>
      <w:r>
        <w:fldChar w:fldCharType="separate"/>
      </w:r>
      <w:r>
        <w:t>63</w:t>
      </w:r>
      <w:r>
        <w:fldChar w:fldCharType="end"/>
      </w:r>
      <w:r>
        <w:rPr>
          <w:rFonts w:hint="default" w:ascii="Times New Roman" w:hAnsi="Times New Roman" w:cs="Times New Roman" w:eastAsiaTheme="minorEastAsia"/>
          <w:bCs/>
          <w:color w:val="000000"/>
        </w:rPr>
        <w:fldChar w:fldCharType="end"/>
      </w:r>
    </w:p>
    <w:p w14:paraId="27B6B9E9">
      <w:pPr>
        <w:pStyle w:val="37"/>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_Toc29076 </w:instrText>
      </w:r>
      <w:r>
        <w:rPr>
          <w:rFonts w:hint="default" w:ascii="Times New Roman" w:hAnsi="Times New Roman" w:cs="Times New Roman" w:eastAsiaTheme="minorEastAsia"/>
          <w:bCs/>
        </w:rPr>
        <w:fldChar w:fldCharType="separate"/>
      </w:r>
      <w:r>
        <w:rPr>
          <w:rFonts w:hint="eastAsia" w:ascii="黑体" w:hAnsi="华文中宋" w:eastAsia="黑体" w:cs="Times New Roman"/>
          <w:bCs/>
          <w:kern w:val="2"/>
          <w:szCs w:val="28"/>
          <w:lang w:val="en-US" w:eastAsia="zh-CN" w:bidi="ar-SA"/>
        </w:rPr>
        <w:t>第三节 政府采购合同专用条款</w:t>
      </w:r>
      <w:r>
        <w:tab/>
      </w:r>
      <w:r>
        <w:fldChar w:fldCharType="begin"/>
      </w:r>
      <w:r>
        <w:instrText xml:space="preserve"> PAGEREF _Toc29076 \h </w:instrText>
      </w:r>
      <w:r>
        <w:fldChar w:fldCharType="separate"/>
      </w:r>
      <w:r>
        <w:t>67</w:t>
      </w:r>
      <w:r>
        <w:fldChar w:fldCharType="end"/>
      </w:r>
      <w:r>
        <w:rPr>
          <w:rFonts w:hint="default" w:ascii="Times New Roman" w:hAnsi="Times New Roman" w:cs="Times New Roman" w:eastAsiaTheme="minorEastAsia"/>
          <w:bCs/>
          <w:color w:val="000000"/>
        </w:rPr>
        <w:fldChar w:fldCharType="end"/>
      </w:r>
    </w:p>
    <w:p w14:paraId="3E6700AB">
      <w:pPr>
        <w:pStyle w:val="33"/>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_Toc28269 </w:instrText>
      </w:r>
      <w:r>
        <w:rPr>
          <w:rFonts w:hint="default" w:ascii="Times New Roman" w:hAnsi="Times New Roman" w:cs="Times New Roman" w:eastAsiaTheme="minorEastAsia"/>
          <w:bCs/>
        </w:rPr>
        <w:fldChar w:fldCharType="separate"/>
      </w:r>
      <w:r>
        <w:rPr>
          <w:rFonts w:hint="eastAsia" w:ascii="黑体" w:hAnsi="黑体" w:eastAsia="黑体" w:cs="黑体"/>
          <w:szCs w:val="32"/>
        </w:rPr>
        <w:t>第七章 投标文件的组成</w:t>
      </w:r>
      <w:r>
        <w:tab/>
      </w:r>
      <w:r>
        <w:fldChar w:fldCharType="begin"/>
      </w:r>
      <w:r>
        <w:instrText xml:space="preserve"> PAGEREF _Toc28269 \h </w:instrText>
      </w:r>
      <w:r>
        <w:fldChar w:fldCharType="separate"/>
      </w:r>
      <w:r>
        <w:t>68</w:t>
      </w:r>
      <w:r>
        <w:fldChar w:fldCharType="end"/>
      </w:r>
      <w:r>
        <w:rPr>
          <w:rFonts w:hint="default" w:ascii="Times New Roman" w:hAnsi="Times New Roman" w:cs="Times New Roman" w:eastAsiaTheme="minorEastAsia"/>
          <w:bCs/>
          <w:color w:val="000000"/>
        </w:rPr>
        <w:fldChar w:fldCharType="end"/>
      </w:r>
    </w:p>
    <w:p w14:paraId="10649B15">
      <w:pPr>
        <w:pStyle w:val="37"/>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_Toc28107 </w:instrText>
      </w:r>
      <w:r>
        <w:rPr>
          <w:rFonts w:hint="default" w:ascii="Times New Roman" w:hAnsi="Times New Roman" w:cs="Times New Roman" w:eastAsiaTheme="minorEastAsia"/>
          <w:bCs/>
        </w:rPr>
        <w:fldChar w:fldCharType="separate"/>
      </w:r>
      <w:r>
        <w:rPr>
          <w:rFonts w:hint="eastAsia" w:ascii="黑体" w:hAnsi="黑体" w:eastAsia="黑体"/>
          <w:szCs w:val="44"/>
        </w:rPr>
        <w:t>第一部分 资格证明文件</w:t>
      </w:r>
      <w:r>
        <w:tab/>
      </w:r>
      <w:r>
        <w:fldChar w:fldCharType="begin"/>
      </w:r>
      <w:r>
        <w:instrText xml:space="preserve"> PAGEREF _Toc28107 \h </w:instrText>
      </w:r>
      <w:r>
        <w:fldChar w:fldCharType="separate"/>
      </w:r>
      <w:r>
        <w:t>69</w:t>
      </w:r>
      <w:r>
        <w:fldChar w:fldCharType="end"/>
      </w:r>
      <w:r>
        <w:rPr>
          <w:rFonts w:hint="default" w:ascii="Times New Roman" w:hAnsi="Times New Roman" w:cs="Times New Roman" w:eastAsiaTheme="minorEastAsia"/>
          <w:bCs/>
          <w:color w:val="000000"/>
        </w:rPr>
        <w:fldChar w:fldCharType="end"/>
      </w:r>
    </w:p>
    <w:p w14:paraId="4C1B6AF2">
      <w:pPr>
        <w:pStyle w:val="37"/>
        <w:tabs>
          <w:tab w:val="right" w:leader="dot" w:pos="8504"/>
        </w:tabs>
      </w:pPr>
      <w:r>
        <w:rPr>
          <w:rFonts w:hint="default" w:ascii="Times New Roman" w:hAnsi="Times New Roman" w:cs="Times New Roman" w:eastAsiaTheme="minorEastAsia"/>
          <w:bCs/>
          <w:color w:val="000000"/>
        </w:rPr>
        <w:fldChar w:fldCharType="begin"/>
      </w:r>
      <w:r>
        <w:rPr>
          <w:rFonts w:hint="default" w:ascii="Times New Roman" w:hAnsi="Times New Roman" w:cs="Times New Roman" w:eastAsiaTheme="minorEastAsia"/>
          <w:bCs/>
        </w:rPr>
        <w:instrText xml:space="preserve"> HYPERLINK \l _Toc13058 </w:instrText>
      </w:r>
      <w:r>
        <w:rPr>
          <w:rFonts w:hint="default" w:ascii="Times New Roman" w:hAnsi="Times New Roman" w:cs="Times New Roman" w:eastAsiaTheme="minorEastAsia"/>
          <w:bCs/>
        </w:rPr>
        <w:fldChar w:fldCharType="separate"/>
      </w:r>
      <w:r>
        <w:rPr>
          <w:rFonts w:hint="eastAsia" w:ascii="黑体" w:hAnsi="黑体" w:eastAsia="黑体"/>
          <w:szCs w:val="44"/>
        </w:rPr>
        <w:t>第二部分 商务技术文件</w:t>
      </w:r>
      <w:r>
        <w:tab/>
      </w:r>
      <w:r>
        <w:fldChar w:fldCharType="begin"/>
      </w:r>
      <w:r>
        <w:instrText xml:space="preserve"> PAGEREF _Toc13058 \h </w:instrText>
      </w:r>
      <w:r>
        <w:fldChar w:fldCharType="separate"/>
      </w:r>
      <w:r>
        <w:t>82</w:t>
      </w:r>
      <w:r>
        <w:fldChar w:fldCharType="end"/>
      </w:r>
      <w:r>
        <w:rPr>
          <w:rFonts w:hint="default" w:ascii="Times New Roman" w:hAnsi="Times New Roman" w:cs="Times New Roman" w:eastAsiaTheme="minorEastAsia"/>
          <w:bCs/>
          <w:color w:val="000000"/>
        </w:rPr>
        <w:fldChar w:fldCharType="end"/>
      </w:r>
    </w:p>
    <w:p w14:paraId="04F60438">
      <w:pPr>
        <w:pStyle w:val="25"/>
        <w:adjustRightInd w:val="0"/>
        <w:snapToGrid w:val="0"/>
        <w:spacing w:line="360" w:lineRule="auto"/>
        <w:outlineLvl w:val="0"/>
        <w:rPr>
          <w:rFonts w:hint="eastAsia" w:asciiTheme="minorEastAsia" w:hAnsiTheme="minorEastAsia" w:eastAsiaTheme="minorEastAsia" w:cstheme="minorEastAsia"/>
          <w:b/>
          <w:bCs/>
          <w:color w:val="000000"/>
        </w:rPr>
      </w:pPr>
      <w:r>
        <w:rPr>
          <w:rFonts w:hint="default" w:ascii="Times New Roman" w:hAnsi="Times New Roman" w:cs="Times New Roman" w:eastAsiaTheme="minorEastAsia"/>
          <w:bCs/>
          <w:color w:val="000000"/>
        </w:rPr>
        <w:fldChar w:fldCharType="end"/>
      </w:r>
    </w:p>
    <w:p w14:paraId="72349EC1">
      <w:pPr>
        <w:widowControl/>
        <w:jc w:val="left"/>
        <w:rPr>
          <w:rFonts w:hint="eastAsia" w:ascii="黑体" w:hAnsi="华文中宋" w:eastAsia="黑体"/>
          <w:color w:val="000000"/>
          <w:sz w:val="32"/>
          <w:szCs w:val="32"/>
        </w:rPr>
        <w:sectPr>
          <w:headerReference r:id="rId5" w:type="first"/>
          <w:footerReference r:id="rId7" w:type="first"/>
          <w:headerReference r:id="rId4" w:type="default"/>
          <w:footerReference r:id="rId6" w:type="default"/>
          <w:pgSz w:w="11906" w:h="16838"/>
          <w:pgMar w:top="851" w:right="1701" w:bottom="397" w:left="1701" w:header="851" w:footer="992" w:gutter="0"/>
          <w:cols w:space="425" w:num="1"/>
          <w:titlePg/>
          <w:docGrid w:type="lines" w:linePitch="312" w:charSpace="0"/>
        </w:sectPr>
      </w:pPr>
      <w:bookmarkStart w:id="0" w:name="_Toc34720698"/>
      <w:bookmarkStart w:id="1" w:name="_Toc21000471"/>
      <w:bookmarkStart w:id="2" w:name="_Toc35421027"/>
      <w:bookmarkStart w:id="3" w:name="_Toc21001314"/>
      <w:bookmarkStart w:id="4" w:name="_Toc53472201"/>
      <w:bookmarkStart w:id="5" w:name="_Toc20816073"/>
      <w:bookmarkStart w:id="6" w:name="_Toc20642243"/>
      <w:bookmarkStart w:id="7" w:name="_Toc20988241"/>
    </w:p>
    <w:p w14:paraId="41E4BE1E">
      <w:pPr>
        <w:pStyle w:val="2"/>
        <w:numPr>
          <w:ilvl w:val="0"/>
          <w:numId w:val="4"/>
        </w:numPr>
        <w:ind w:firstLine="2891" w:firstLineChars="900"/>
        <w:jc w:val="both"/>
        <w:rPr>
          <w:rFonts w:hint="eastAsia" w:ascii="黑体" w:hAnsi="华文中宋" w:eastAsia="黑体"/>
          <w:color w:val="000000"/>
          <w:sz w:val="32"/>
          <w:szCs w:val="32"/>
        </w:rPr>
      </w:pPr>
      <w:bookmarkStart w:id="8" w:name="_Toc9909"/>
      <w:r>
        <w:rPr>
          <w:rFonts w:hint="eastAsia" w:ascii="黑体" w:hAnsi="华文中宋" w:eastAsia="黑体"/>
          <w:color w:val="000000"/>
          <w:sz w:val="32"/>
          <w:szCs w:val="32"/>
        </w:rPr>
        <w:t>投标邀请</w:t>
      </w:r>
      <w:bookmarkEnd w:id="8"/>
    </w:p>
    <w:p w14:paraId="49A4541A">
      <w:pPr>
        <w:numPr>
          <w:ilvl w:val="0"/>
          <w:numId w:val="0"/>
        </w:numPr>
      </w:pPr>
    </w:p>
    <w:p w14:paraId="3ECF3694">
      <w:pPr>
        <w:adjustRightInd w:val="0"/>
        <w:snapToGrid w:val="0"/>
        <w:spacing w:line="360" w:lineRule="auto"/>
        <w:ind w:firstLine="420" w:firstLineChars="200"/>
        <w:rPr>
          <w:rFonts w:hint="eastAsia" w:ascii="宋体" w:hAnsi="宋体"/>
          <w:szCs w:val="21"/>
        </w:rPr>
      </w:pPr>
      <w:r>
        <w:rPr>
          <w:rFonts w:hint="eastAsia" w:ascii="宋体" w:hAnsi="宋体"/>
          <w:szCs w:val="21"/>
          <w:u w:val="single"/>
          <w:lang w:eastAsia="zh-CN"/>
        </w:rPr>
        <w:t>涟源市自然资源局</w:t>
      </w:r>
      <w:r>
        <w:rPr>
          <w:rFonts w:hint="eastAsia" w:ascii="宋体" w:hAnsi="宋体"/>
          <w:szCs w:val="21"/>
        </w:rPr>
        <w:t>（采购人名称）的</w:t>
      </w:r>
      <w:r>
        <w:rPr>
          <w:rFonts w:hint="eastAsia" w:ascii="宋体" w:hAnsi="宋体"/>
          <w:szCs w:val="21"/>
          <w:u w:val="single"/>
          <w:lang w:eastAsia="zh-CN"/>
        </w:rPr>
        <w:t>涟源市不动产登记信息“一库一平台”建设项目</w:t>
      </w:r>
      <w:r>
        <w:rPr>
          <w:rFonts w:hint="eastAsia" w:ascii="宋体" w:hAnsi="宋体"/>
          <w:szCs w:val="21"/>
        </w:rPr>
        <w:t xml:space="preserve"> (项目名称)进行公开招标采购，现邀请合格投标人参加投标。</w:t>
      </w:r>
    </w:p>
    <w:p w14:paraId="69C805C1">
      <w:pPr>
        <w:adjustRightInd w:val="0"/>
        <w:snapToGrid w:val="0"/>
        <w:spacing w:line="360" w:lineRule="auto"/>
        <w:ind w:firstLine="422" w:firstLineChars="200"/>
        <w:rPr>
          <w:rFonts w:hint="eastAsia" w:ascii="宋体" w:hAnsi="宋体"/>
          <w:b/>
          <w:szCs w:val="21"/>
        </w:rPr>
      </w:pPr>
      <w:r>
        <w:rPr>
          <w:rFonts w:hint="eastAsia" w:ascii="宋体" w:hAnsi="宋体"/>
          <w:b/>
          <w:szCs w:val="21"/>
        </w:rPr>
        <w:t>一、采购项目基本信息</w:t>
      </w:r>
    </w:p>
    <w:p w14:paraId="22DB7653">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1、采购项目名称：</w:t>
      </w:r>
      <w:r>
        <w:rPr>
          <w:rFonts w:hint="eastAsia" w:ascii="宋体" w:hAnsi="宋体"/>
          <w:szCs w:val="21"/>
          <w:u w:val="single"/>
          <w:lang w:eastAsia="zh-CN"/>
        </w:rPr>
        <w:t>涟源市不动产登记信息“一库一平台”建设项目</w:t>
      </w:r>
    </w:p>
    <w:p w14:paraId="3F8FAFB9">
      <w:pPr>
        <w:adjustRightInd w:val="0"/>
        <w:snapToGrid w:val="0"/>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szCs w:val="21"/>
        </w:rPr>
        <w:t>2、</w:t>
      </w:r>
      <w:r>
        <w:rPr>
          <w:rFonts w:hint="eastAsia" w:ascii="宋体" w:hAnsi="宋体"/>
          <w:szCs w:val="21"/>
          <w:lang w:eastAsia="zh-CN"/>
        </w:rPr>
        <w:t>政府采购计划编号</w:t>
      </w:r>
      <w:r>
        <w:rPr>
          <w:rFonts w:hint="eastAsia" w:ascii="宋体" w:hAnsi="宋体"/>
          <w:szCs w:val="21"/>
        </w:rPr>
        <w:t>：</w:t>
      </w:r>
      <w:r>
        <w:rPr>
          <w:rFonts w:hint="eastAsia" w:ascii="宋体" w:hAnsi="宋体"/>
          <w:szCs w:val="21"/>
          <w:highlight w:val="none"/>
          <w:u w:val="single"/>
          <w:lang w:eastAsia="zh-CN"/>
        </w:rPr>
        <w:t>(2026)431382000017-1</w:t>
      </w:r>
    </w:p>
    <w:p w14:paraId="3AF889F7">
      <w:pPr>
        <w:adjustRightInd w:val="0"/>
        <w:snapToGrid w:val="0"/>
        <w:spacing w:line="360" w:lineRule="auto"/>
        <w:ind w:firstLine="420" w:firstLineChars="200"/>
        <w:rPr>
          <w:rFonts w:hint="eastAsia" w:ascii="宋体" w:hAnsi="宋体" w:eastAsia="宋体"/>
          <w:szCs w:val="21"/>
          <w:highlight w:val="none"/>
          <w:u w:val="single"/>
          <w:lang w:eastAsia="zh-CN"/>
        </w:rPr>
      </w:pPr>
      <w:r>
        <w:rPr>
          <w:rFonts w:hint="eastAsia" w:ascii="宋体" w:hAnsi="宋体"/>
          <w:szCs w:val="21"/>
          <w:highlight w:val="none"/>
        </w:rPr>
        <w:t>3、</w:t>
      </w:r>
      <w:r>
        <w:rPr>
          <w:rFonts w:hint="eastAsia" w:ascii="宋体" w:hAnsi="宋体"/>
          <w:szCs w:val="21"/>
          <w:highlight w:val="none"/>
          <w:lang w:eastAsia="zh-CN"/>
        </w:rPr>
        <w:t>委托代理编号</w:t>
      </w:r>
      <w:r>
        <w:rPr>
          <w:rFonts w:hint="eastAsia" w:ascii="宋体" w:hAnsi="宋体"/>
          <w:szCs w:val="21"/>
          <w:highlight w:val="none"/>
        </w:rPr>
        <w:t>：</w:t>
      </w:r>
      <w:r>
        <w:rPr>
          <w:rFonts w:hint="eastAsia" w:ascii="宋体" w:hAnsi="宋体"/>
          <w:szCs w:val="21"/>
          <w:highlight w:val="none"/>
          <w:u w:val="single"/>
          <w:lang w:eastAsia="zh-CN"/>
        </w:rPr>
        <w:t>TJGJLY2026-008</w:t>
      </w:r>
    </w:p>
    <w:p w14:paraId="2D738E4E">
      <w:pPr>
        <w:adjustRightInd w:val="0"/>
        <w:snapToGrid w:val="0"/>
        <w:spacing w:line="360" w:lineRule="auto"/>
        <w:ind w:firstLine="420" w:firstLineChars="200"/>
        <w:rPr>
          <w:rFonts w:hint="eastAsia" w:ascii="宋体" w:hAnsi="宋体"/>
          <w:bCs/>
          <w:szCs w:val="21"/>
          <w:highlight w:val="none"/>
          <w:lang w:val="en-US" w:eastAsia="zh-CN"/>
        </w:rPr>
      </w:pPr>
      <w:r>
        <w:rPr>
          <w:rFonts w:hint="eastAsia" w:ascii="宋体" w:hAnsi="宋体"/>
          <w:bCs/>
          <w:szCs w:val="21"/>
          <w:highlight w:val="none"/>
        </w:rPr>
        <w:t>4、采购项目预算：</w:t>
      </w:r>
      <w:r>
        <w:rPr>
          <w:rFonts w:hint="eastAsia" w:ascii="宋体" w:hAnsi="宋体"/>
          <w:bCs/>
          <w:szCs w:val="21"/>
          <w:highlight w:val="none"/>
          <w:lang w:val="en-US" w:eastAsia="zh-CN"/>
        </w:rPr>
        <w:t>1800000元</w:t>
      </w:r>
    </w:p>
    <w:p w14:paraId="1E0312DB">
      <w:pPr>
        <w:adjustRightInd w:val="0"/>
        <w:snapToGrid w:val="0"/>
        <w:spacing w:line="360" w:lineRule="auto"/>
        <w:ind w:firstLine="630" w:firstLineChars="300"/>
        <w:rPr>
          <w:rFonts w:hint="eastAsia" w:ascii="宋体" w:hAnsi="宋体"/>
          <w:bCs/>
          <w:szCs w:val="21"/>
          <w:highlight w:val="none"/>
          <w:u w:val="single"/>
        </w:rPr>
      </w:pPr>
      <w:r>
        <w:rPr>
          <w:rFonts w:hint="eastAsia" w:ascii="宋体" w:hAnsi="宋体"/>
          <w:iCs/>
          <w:szCs w:val="21"/>
          <w:highlight w:val="none"/>
        </w:rPr>
        <w:sym w:font="Wingdings" w:char="00A8"/>
      </w:r>
      <w:r>
        <w:rPr>
          <w:rFonts w:hint="eastAsia" w:ascii="宋体" w:hAnsi="宋体"/>
          <w:iCs/>
          <w:szCs w:val="21"/>
          <w:highlight w:val="none"/>
        </w:rPr>
        <w:t>支持</w:t>
      </w:r>
      <w:r>
        <w:rPr>
          <w:rFonts w:hint="eastAsia" w:ascii="宋体" w:hAnsi="宋体"/>
          <w:bCs/>
          <w:szCs w:val="21"/>
          <w:highlight w:val="none"/>
        </w:rPr>
        <w:t>预付款，预付比例：</w:t>
      </w:r>
      <w:r>
        <w:rPr>
          <w:rFonts w:hint="eastAsia" w:ascii="宋体" w:hAnsi="宋体"/>
          <w:bCs/>
          <w:szCs w:val="21"/>
          <w:highlight w:val="none"/>
          <w:u w:val="single"/>
        </w:rPr>
        <w:t xml:space="preserve">   </w:t>
      </w:r>
      <w:r>
        <w:rPr>
          <w:rFonts w:ascii="宋体" w:hAnsi="宋体"/>
          <w:bCs/>
          <w:szCs w:val="21"/>
          <w:highlight w:val="none"/>
          <w:u w:val="single"/>
        </w:rPr>
        <w:t>/</w:t>
      </w:r>
      <w:r>
        <w:rPr>
          <w:rFonts w:hint="eastAsia" w:ascii="宋体" w:hAnsi="宋体"/>
          <w:bCs/>
          <w:szCs w:val="21"/>
          <w:highlight w:val="none"/>
          <w:u w:val="single"/>
        </w:rPr>
        <w:t xml:space="preserve">   </w:t>
      </w:r>
    </w:p>
    <w:p w14:paraId="74111577">
      <w:pPr>
        <w:adjustRightInd w:val="0"/>
        <w:snapToGrid w:val="0"/>
        <w:spacing w:line="360" w:lineRule="auto"/>
        <w:ind w:firstLine="420" w:firstLineChars="200"/>
        <w:rPr>
          <w:rFonts w:hint="eastAsia" w:ascii="宋体" w:hAnsi="宋体" w:eastAsia="宋体"/>
          <w:color w:val="0000FF"/>
          <w:szCs w:val="21"/>
          <w:highlight w:val="none"/>
          <w:u w:val="single"/>
          <w:lang w:eastAsia="zh-CN"/>
        </w:rPr>
      </w:pPr>
      <w:r>
        <w:rPr>
          <w:rFonts w:hint="eastAsia" w:ascii="宋体" w:hAnsi="宋体"/>
          <w:bCs/>
          <w:szCs w:val="21"/>
          <w:highlight w:val="none"/>
        </w:rPr>
        <w:t>5、本项目</w:t>
      </w:r>
      <w:r>
        <w:rPr>
          <w:rFonts w:hint="eastAsia" w:ascii="宋体" w:hAnsi="宋体"/>
          <w:szCs w:val="21"/>
          <w:highlight w:val="none"/>
        </w:rPr>
        <w:t>对应的中小企业划分标准所属行业：</w:t>
      </w:r>
      <w:r>
        <w:rPr>
          <w:rFonts w:hint="eastAsia" w:ascii="宋体" w:hAnsi="宋体" w:cs="宋体"/>
          <w:color w:val="auto"/>
          <w:szCs w:val="21"/>
          <w:u w:val="single"/>
          <w:lang w:val="en-US" w:eastAsia="zh-CN"/>
        </w:rPr>
        <w:t>软件和信息技术服务业</w:t>
      </w:r>
    </w:p>
    <w:p w14:paraId="63B9737C">
      <w:pPr>
        <w:adjustRightInd w:val="0"/>
        <w:snapToGrid w:val="0"/>
        <w:spacing w:line="360" w:lineRule="auto"/>
        <w:ind w:firstLine="420" w:firstLineChars="200"/>
        <w:rPr>
          <w:rFonts w:hint="eastAsia" w:ascii="宋体" w:hAnsi="宋体"/>
          <w:bCs/>
          <w:szCs w:val="21"/>
          <w:highlight w:val="none"/>
        </w:rPr>
      </w:pPr>
      <w:r>
        <w:rPr>
          <w:rFonts w:hint="eastAsia" w:ascii="宋体" w:hAnsi="宋体"/>
          <w:bCs/>
          <w:szCs w:val="21"/>
          <w:highlight w:val="none"/>
        </w:rPr>
        <w:t>6、资格审查方式：资格后审；评标方法：</w:t>
      </w:r>
      <w:r>
        <w:rPr>
          <w:rFonts w:hint="eastAsia" w:ascii="宋体" w:hAnsi="宋体" w:cs="宋体"/>
          <w:bCs/>
          <w:szCs w:val="21"/>
        </w:rPr>
        <w:t>√</w:t>
      </w:r>
      <w:r>
        <w:rPr>
          <w:rFonts w:hint="eastAsia" w:ascii="宋体" w:hAnsi="宋体"/>
          <w:iCs/>
          <w:szCs w:val="21"/>
          <w:highlight w:val="none"/>
        </w:rPr>
        <w:t xml:space="preserve">综合评分法 </w:t>
      </w:r>
      <w:r>
        <w:rPr>
          <w:rFonts w:hint="eastAsia" w:ascii="宋体" w:hAnsi="宋体"/>
          <w:iCs/>
          <w:szCs w:val="21"/>
          <w:highlight w:val="none"/>
        </w:rPr>
        <w:sym w:font="Wingdings 2" w:char="00A3"/>
      </w:r>
      <w:r>
        <w:rPr>
          <w:rFonts w:hint="eastAsia" w:ascii="宋体" w:hAnsi="宋体"/>
          <w:iCs/>
          <w:szCs w:val="21"/>
          <w:highlight w:val="none"/>
        </w:rPr>
        <w:t>最低评标价法</w:t>
      </w:r>
    </w:p>
    <w:p w14:paraId="0D10D3F0">
      <w:pPr>
        <w:adjustRightInd w:val="0"/>
        <w:snapToGrid w:val="0"/>
        <w:spacing w:line="360" w:lineRule="auto"/>
        <w:ind w:firstLine="420" w:firstLineChars="200"/>
        <w:rPr>
          <w:rFonts w:hint="eastAsia" w:ascii="宋体" w:hAnsi="宋体"/>
          <w:bCs/>
          <w:szCs w:val="21"/>
          <w:highlight w:val="none"/>
          <w:u w:val="single"/>
        </w:rPr>
      </w:pPr>
      <w:r>
        <w:rPr>
          <w:rFonts w:hint="eastAsia" w:ascii="宋体" w:hAnsi="宋体"/>
          <w:bCs/>
          <w:szCs w:val="21"/>
          <w:highlight w:val="none"/>
        </w:rPr>
        <w:t>7、合同定价方式：</w:t>
      </w:r>
      <w:r>
        <w:rPr>
          <w:rFonts w:hint="eastAsia" w:ascii="宋体" w:hAnsi="宋体" w:cs="宋体"/>
          <w:bCs/>
          <w:szCs w:val="21"/>
        </w:rPr>
        <w:t>√</w:t>
      </w:r>
      <w:r>
        <w:rPr>
          <w:rFonts w:hint="eastAsia" w:ascii="宋体" w:hAnsi="宋体"/>
          <w:iCs/>
          <w:szCs w:val="21"/>
          <w:highlight w:val="none"/>
        </w:rPr>
        <w:t xml:space="preserve">固定总价 </w:t>
      </w:r>
      <w:r>
        <w:rPr>
          <w:rFonts w:hint="eastAsia" w:ascii="宋体" w:hAnsi="宋体"/>
          <w:iCs/>
          <w:szCs w:val="21"/>
          <w:highlight w:val="none"/>
        </w:rPr>
        <w:sym w:font="Wingdings 2" w:char="00A3"/>
      </w:r>
      <w:r>
        <w:rPr>
          <w:rFonts w:hint="eastAsia" w:ascii="宋体" w:hAnsi="宋体"/>
          <w:iCs/>
          <w:szCs w:val="21"/>
          <w:highlight w:val="none"/>
        </w:rPr>
        <w:t xml:space="preserve">固定单价 </w:t>
      </w:r>
      <w:r>
        <w:rPr>
          <w:rFonts w:hint="eastAsia" w:ascii="宋体" w:hAnsi="宋体"/>
          <w:iCs/>
          <w:szCs w:val="21"/>
          <w:highlight w:val="none"/>
        </w:rPr>
        <w:sym w:font="Wingdings" w:char="00A8"/>
      </w:r>
      <w:r>
        <w:rPr>
          <w:rFonts w:hint="eastAsia" w:ascii="宋体" w:hAnsi="宋体"/>
          <w:iCs/>
          <w:szCs w:val="21"/>
          <w:highlight w:val="none"/>
        </w:rPr>
        <w:t xml:space="preserve">成本补偿 </w:t>
      </w:r>
      <w:r>
        <w:rPr>
          <w:rFonts w:hint="eastAsia" w:ascii="宋体" w:hAnsi="宋体"/>
          <w:iCs/>
          <w:szCs w:val="21"/>
          <w:highlight w:val="none"/>
        </w:rPr>
        <w:sym w:font="Wingdings" w:char="00A8"/>
      </w:r>
      <w:r>
        <w:rPr>
          <w:rFonts w:hint="eastAsia" w:ascii="宋体" w:hAnsi="宋体"/>
          <w:iCs/>
          <w:szCs w:val="21"/>
          <w:highlight w:val="none"/>
        </w:rPr>
        <w:t>绩效激励</w:t>
      </w:r>
    </w:p>
    <w:p w14:paraId="2BCC63FA">
      <w:pPr>
        <w:adjustRightInd w:val="0"/>
        <w:snapToGrid w:val="0"/>
        <w:spacing w:line="360" w:lineRule="auto"/>
        <w:ind w:firstLine="420" w:firstLineChars="200"/>
        <w:rPr>
          <w:rFonts w:hint="eastAsia" w:ascii="宋体" w:hAnsi="宋体"/>
          <w:bCs/>
          <w:color w:val="auto"/>
          <w:szCs w:val="21"/>
          <w:highlight w:val="none"/>
          <w:u w:val="single"/>
        </w:rPr>
      </w:pPr>
      <w:r>
        <w:rPr>
          <w:rFonts w:hint="eastAsia" w:ascii="宋体" w:hAnsi="宋体"/>
          <w:bCs/>
          <w:szCs w:val="21"/>
          <w:highlight w:val="none"/>
        </w:rPr>
        <w:t>8、合同履行期限：</w:t>
      </w:r>
      <w:r>
        <w:rPr>
          <w:rFonts w:hint="eastAsia" w:ascii="宋体" w:hAnsi="宋体"/>
          <w:color w:val="auto"/>
          <w:szCs w:val="21"/>
          <w:lang w:val="en-US" w:eastAsia="zh-CN"/>
        </w:rPr>
        <w:t>6个月</w:t>
      </w:r>
    </w:p>
    <w:p w14:paraId="70EA85EC">
      <w:pPr>
        <w:pStyle w:val="64"/>
        <w:rPr>
          <w:highlight w:val="none"/>
        </w:rPr>
      </w:pPr>
      <w:r>
        <w:rPr>
          <w:rFonts w:hint="eastAsia" w:ascii="宋体" w:hAnsi="宋体"/>
          <w:bCs/>
          <w:highlight w:val="none"/>
        </w:rPr>
        <w:t>9、</w:t>
      </w:r>
      <w:r>
        <w:rPr>
          <w:rFonts w:hint="eastAsia"/>
          <w:highlight w:val="none"/>
        </w:rPr>
        <w:t>本项目分阶段要求投标人提供以下保证：</w:t>
      </w:r>
    </w:p>
    <w:p w14:paraId="347ADF22">
      <w:pPr>
        <w:pStyle w:val="64"/>
        <w:spacing w:line="360" w:lineRule="auto"/>
        <w:rPr>
          <w:rFonts w:hint="eastAsia" w:ascii="宋体" w:hAnsi="宋体"/>
          <w:iCs/>
          <w:highlight w:val="none"/>
        </w:rPr>
      </w:pPr>
      <w:r>
        <w:rPr>
          <w:rFonts w:hint="eastAsia" w:ascii="宋体" w:hAnsi="宋体"/>
          <w:iCs/>
          <w:highlight w:val="none"/>
        </w:rPr>
        <w:sym w:font="Wingdings" w:char="00A8"/>
      </w:r>
      <w:r>
        <w:rPr>
          <w:rFonts w:hint="eastAsia" w:ascii="宋体" w:hAnsi="宋体"/>
          <w:highlight w:val="none"/>
        </w:rPr>
        <w:t>投标保证金：</w:t>
      </w:r>
      <w:r>
        <w:rPr>
          <w:rFonts w:hint="eastAsia" w:ascii="宋体" w:hAnsi="宋体"/>
          <w:iCs/>
          <w:highlight w:val="none"/>
        </w:rPr>
        <w:t>采购项目预算的</w:t>
      </w:r>
      <w:r>
        <w:rPr>
          <w:rFonts w:hint="eastAsia" w:ascii="宋体" w:hAnsi="宋体"/>
          <w:iCs/>
          <w:highlight w:val="none"/>
          <w:u w:val="single"/>
        </w:rPr>
        <w:t xml:space="preserve"> </w:t>
      </w:r>
      <w:r>
        <w:rPr>
          <w:rFonts w:ascii="宋体" w:hAnsi="宋体"/>
          <w:iCs/>
          <w:highlight w:val="none"/>
          <w:u w:val="single"/>
        </w:rPr>
        <w:t>/</w:t>
      </w:r>
      <w:r>
        <w:rPr>
          <w:rFonts w:hint="eastAsia" w:ascii="宋体" w:hAnsi="宋体"/>
          <w:iCs/>
          <w:highlight w:val="none"/>
          <w:u w:val="single"/>
        </w:rPr>
        <w:t xml:space="preserve"> </w:t>
      </w:r>
      <w:r>
        <w:rPr>
          <w:rFonts w:hint="eastAsia" w:ascii="宋体" w:hAnsi="宋体"/>
          <w:iCs/>
          <w:highlight w:val="none"/>
        </w:rPr>
        <w:t>%</w:t>
      </w:r>
      <w:r>
        <w:rPr>
          <w:rFonts w:hint="eastAsia" w:ascii="宋体" w:hAnsi="宋体"/>
          <w:highlight w:val="none"/>
        </w:rPr>
        <w:t>；（根据娄财购函【2</w:t>
      </w:r>
      <w:r>
        <w:rPr>
          <w:rFonts w:ascii="宋体" w:hAnsi="宋体"/>
          <w:highlight w:val="none"/>
        </w:rPr>
        <w:t>022</w:t>
      </w:r>
      <w:r>
        <w:rPr>
          <w:rFonts w:hint="eastAsia" w:ascii="宋体" w:hAnsi="宋体"/>
          <w:highlight w:val="none"/>
        </w:rPr>
        <w:t>】2</w:t>
      </w:r>
      <w:r>
        <w:rPr>
          <w:rFonts w:ascii="宋体" w:hAnsi="宋体"/>
          <w:highlight w:val="none"/>
        </w:rPr>
        <w:t>0号文件精神</w:t>
      </w:r>
      <w:r>
        <w:rPr>
          <w:rFonts w:hint="eastAsia" w:ascii="宋体" w:hAnsi="宋体"/>
          <w:highlight w:val="none"/>
        </w:rPr>
        <w:t>，不要求提供）</w:t>
      </w:r>
    </w:p>
    <w:p w14:paraId="574081D0">
      <w:pPr>
        <w:pStyle w:val="64"/>
        <w:spacing w:line="360" w:lineRule="auto"/>
        <w:rPr>
          <w:rFonts w:hint="eastAsia" w:ascii="宋体" w:hAnsi="宋体"/>
          <w:highlight w:val="none"/>
        </w:rPr>
      </w:pPr>
      <w:r>
        <w:rPr>
          <w:rFonts w:hint="eastAsia" w:ascii="宋体" w:hAnsi="宋体"/>
          <w:iCs/>
          <w:highlight w:val="none"/>
        </w:rPr>
        <w:sym w:font="Wingdings" w:char="00A8"/>
      </w:r>
      <w:r>
        <w:rPr>
          <w:rFonts w:hint="eastAsia" w:ascii="宋体" w:hAnsi="宋体"/>
          <w:highlight w:val="none"/>
        </w:rPr>
        <w:t>履约保证金：</w:t>
      </w:r>
      <w:r>
        <w:rPr>
          <w:rFonts w:hint="eastAsia" w:ascii="宋体" w:hAnsi="宋体"/>
          <w:iCs/>
          <w:color w:val="auto"/>
          <w:highlight w:val="none"/>
        </w:rPr>
        <w:t>中标金额的</w:t>
      </w:r>
      <w:r>
        <w:rPr>
          <w:rFonts w:hint="eastAsia" w:ascii="宋体" w:hAnsi="宋体"/>
          <w:iCs/>
          <w:color w:val="auto"/>
          <w:highlight w:val="none"/>
          <w:u w:val="single"/>
        </w:rPr>
        <w:t xml:space="preserve"> </w:t>
      </w:r>
      <w:r>
        <w:rPr>
          <w:rFonts w:hint="eastAsia" w:ascii="宋体" w:hAnsi="宋体"/>
          <w:iCs/>
          <w:color w:val="auto"/>
          <w:highlight w:val="none"/>
          <w:u w:val="single"/>
          <w:lang w:val="en-US" w:eastAsia="zh-CN"/>
        </w:rPr>
        <w:t xml:space="preserve"> /</w:t>
      </w:r>
      <w:r>
        <w:rPr>
          <w:rFonts w:hint="eastAsia" w:ascii="宋体" w:hAnsi="宋体"/>
          <w:iCs/>
          <w:color w:val="auto"/>
          <w:highlight w:val="none"/>
          <w:u w:val="single"/>
        </w:rPr>
        <w:t xml:space="preserve"> </w:t>
      </w:r>
      <w:r>
        <w:rPr>
          <w:rFonts w:hint="eastAsia" w:ascii="宋体" w:hAnsi="宋体"/>
          <w:iCs/>
          <w:color w:val="auto"/>
          <w:highlight w:val="none"/>
          <w:u w:val="single"/>
          <w:lang w:val="en-US" w:eastAsia="zh-CN"/>
        </w:rPr>
        <w:t xml:space="preserve"> </w:t>
      </w:r>
      <w:r>
        <w:rPr>
          <w:rFonts w:hint="eastAsia" w:ascii="宋体" w:hAnsi="宋体"/>
          <w:iCs/>
          <w:color w:val="auto"/>
          <w:highlight w:val="none"/>
        </w:rPr>
        <w:t>%</w:t>
      </w:r>
      <w:r>
        <w:rPr>
          <w:rFonts w:hint="eastAsia" w:ascii="宋体" w:hAnsi="宋体"/>
          <w:color w:val="auto"/>
          <w:highlight w:val="none"/>
        </w:rPr>
        <w:t>；</w:t>
      </w:r>
    </w:p>
    <w:p w14:paraId="3BFE3A19">
      <w:pPr>
        <w:pStyle w:val="64"/>
        <w:spacing w:line="360" w:lineRule="auto"/>
        <w:rPr>
          <w:rFonts w:hint="eastAsia" w:ascii="宋体" w:hAnsi="宋体"/>
          <w:iCs/>
          <w:highlight w:val="none"/>
        </w:rPr>
      </w:pPr>
      <w:r>
        <w:rPr>
          <w:rFonts w:hint="eastAsia" w:ascii="宋体" w:hAnsi="宋体"/>
          <w:iCs/>
          <w:highlight w:val="none"/>
        </w:rPr>
        <w:sym w:font="Wingdings" w:char="00A8"/>
      </w:r>
      <w:r>
        <w:rPr>
          <w:rFonts w:hint="eastAsia" w:ascii="宋体" w:hAnsi="宋体"/>
          <w:iCs/>
          <w:highlight w:val="none"/>
        </w:rPr>
        <w:t>预付款保证金：预付款的</w:t>
      </w:r>
      <w:r>
        <w:rPr>
          <w:rFonts w:hint="eastAsia" w:ascii="宋体" w:hAnsi="宋体"/>
          <w:iCs/>
          <w:highlight w:val="none"/>
          <w:u w:val="single"/>
        </w:rPr>
        <w:t xml:space="preserve">  </w:t>
      </w:r>
      <w:r>
        <w:rPr>
          <w:rFonts w:ascii="宋体" w:hAnsi="宋体"/>
          <w:iCs/>
          <w:highlight w:val="none"/>
          <w:u w:val="single"/>
        </w:rPr>
        <w:t>/</w:t>
      </w:r>
      <w:r>
        <w:rPr>
          <w:rFonts w:hint="eastAsia" w:ascii="宋体" w:hAnsi="宋体"/>
          <w:iCs/>
          <w:highlight w:val="none"/>
          <w:u w:val="single"/>
        </w:rPr>
        <w:t xml:space="preserve">  </w:t>
      </w:r>
      <w:r>
        <w:rPr>
          <w:rFonts w:hint="eastAsia" w:ascii="宋体" w:hAnsi="宋体"/>
          <w:iCs/>
          <w:highlight w:val="none"/>
        </w:rPr>
        <w:t>%；</w:t>
      </w:r>
    </w:p>
    <w:p w14:paraId="6A516659">
      <w:pPr>
        <w:pStyle w:val="64"/>
        <w:spacing w:line="360" w:lineRule="auto"/>
        <w:rPr>
          <w:rFonts w:hint="eastAsia" w:ascii="宋体" w:hAnsi="宋体"/>
          <w:iCs/>
          <w:highlight w:val="none"/>
        </w:rPr>
      </w:pPr>
      <w:r>
        <w:rPr>
          <w:rFonts w:hint="eastAsia" w:ascii="宋体" w:hAnsi="宋体"/>
          <w:iCs/>
          <w:highlight w:val="none"/>
        </w:rPr>
        <w:sym w:font="Wingdings" w:char="00A8"/>
      </w:r>
      <w:r>
        <w:rPr>
          <w:rFonts w:hint="eastAsia" w:ascii="宋体" w:hAnsi="宋体"/>
          <w:iCs/>
          <w:highlight w:val="none"/>
        </w:rPr>
        <w:t>质量保证金：合同金额的</w:t>
      </w:r>
      <w:r>
        <w:rPr>
          <w:rFonts w:hint="eastAsia" w:ascii="宋体" w:hAnsi="宋体"/>
          <w:iCs/>
          <w:highlight w:val="none"/>
          <w:u w:val="single"/>
        </w:rPr>
        <w:t xml:space="preserve">  </w:t>
      </w:r>
      <w:r>
        <w:rPr>
          <w:rFonts w:ascii="宋体" w:hAnsi="宋体"/>
          <w:iCs/>
          <w:highlight w:val="none"/>
          <w:u w:val="single"/>
        </w:rPr>
        <w:t>/</w:t>
      </w:r>
      <w:r>
        <w:rPr>
          <w:rFonts w:hint="eastAsia" w:ascii="宋体" w:hAnsi="宋体"/>
          <w:iCs/>
          <w:highlight w:val="none"/>
          <w:u w:val="single"/>
        </w:rPr>
        <w:t xml:space="preserve">  </w:t>
      </w:r>
      <w:r>
        <w:rPr>
          <w:rFonts w:hint="eastAsia" w:ascii="宋体" w:hAnsi="宋体"/>
          <w:iCs/>
          <w:highlight w:val="none"/>
        </w:rPr>
        <w:t>%。</w:t>
      </w:r>
    </w:p>
    <w:p w14:paraId="236B191F">
      <w:pPr>
        <w:adjustRightInd w:val="0"/>
        <w:snapToGrid w:val="0"/>
        <w:spacing w:line="360" w:lineRule="auto"/>
        <w:ind w:firstLine="422" w:firstLineChars="200"/>
        <w:rPr>
          <w:rFonts w:hint="eastAsia" w:ascii="宋体" w:hAnsi="宋体" w:eastAsia="宋体"/>
          <w:b/>
          <w:szCs w:val="21"/>
          <w:highlight w:val="none"/>
          <w:lang w:eastAsia="zh-CN"/>
        </w:rPr>
      </w:pPr>
      <w:r>
        <w:rPr>
          <w:rFonts w:hint="eastAsia" w:ascii="宋体" w:hAnsi="宋体"/>
          <w:b/>
          <w:szCs w:val="21"/>
          <w:highlight w:val="none"/>
        </w:rPr>
        <w:t>二、采购人的采购需求</w:t>
      </w:r>
    </w:p>
    <w:tbl>
      <w:tblPr>
        <w:tblStyle w:val="46"/>
        <w:tblpPr w:leftFromText="180" w:rightFromText="180" w:vertAnchor="text" w:horzAnchor="page" w:tblpXSpec="center" w:tblpY="283"/>
        <w:tblOverlap w:val="never"/>
        <w:tblW w:w="9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70"/>
        <w:gridCol w:w="2627"/>
        <w:gridCol w:w="2563"/>
        <w:gridCol w:w="1562"/>
        <w:gridCol w:w="1998"/>
      </w:tblGrid>
      <w:tr w14:paraId="0C57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69" w:hRule="atLeast"/>
          <w:jc w:val="center"/>
        </w:trPr>
        <w:tc>
          <w:tcPr>
            <w:tcW w:w="770" w:type="dxa"/>
            <w:tcBorders>
              <w:top w:val="single" w:color="000000" w:sz="6" w:space="0"/>
              <w:left w:val="single" w:color="000000" w:sz="6" w:space="0"/>
              <w:bottom w:val="single" w:color="auto" w:sz="4" w:space="0"/>
              <w:right w:val="single" w:color="000000" w:sz="6" w:space="0"/>
            </w:tcBorders>
            <w:shd w:val="clear" w:color="auto" w:fill="FFFFFF"/>
            <w:noWrap w:val="0"/>
            <w:tcMar>
              <w:left w:w="105" w:type="dxa"/>
              <w:right w:w="105" w:type="dxa"/>
            </w:tcMar>
            <w:vAlign w:val="center"/>
          </w:tcPr>
          <w:p w14:paraId="01E054D3">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包号</w:t>
            </w:r>
          </w:p>
        </w:tc>
        <w:tc>
          <w:tcPr>
            <w:tcW w:w="2627" w:type="dxa"/>
            <w:tcBorders>
              <w:top w:val="single" w:color="000000" w:sz="6" w:space="0"/>
              <w:left w:val="nil"/>
              <w:bottom w:val="single" w:color="auto" w:sz="4" w:space="0"/>
              <w:right w:val="single" w:color="000000" w:sz="6" w:space="0"/>
            </w:tcBorders>
            <w:shd w:val="clear" w:color="auto" w:fill="FFFFFF"/>
            <w:noWrap w:val="0"/>
            <w:tcMar>
              <w:left w:w="105" w:type="dxa"/>
              <w:right w:w="105" w:type="dxa"/>
            </w:tcMar>
            <w:vAlign w:val="center"/>
          </w:tcPr>
          <w:p w14:paraId="47E57A64">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eastAsia" w:ascii="宋体" w:hAnsi="宋体" w:eastAsia="宋体" w:cs="宋体"/>
                <w:sz w:val="21"/>
                <w:szCs w:val="21"/>
              </w:rPr>
            </w:pPr>
            <w:r>
              <w:rPr>
                <w:rFonts w:hint="eastAsia" w:hAnsi="宋体" w:eastAsia="宋体" w:cs="宋体"/>
                <w:i w:val="0"/>
                <w:iCs w:val="0"/>
                <w:caps w:val="0"/>
                <w:color w:val="000000"/>
                <w:spacing w:val="0"/>
                <w:sz w:val="21"/>
                <w:szCs w:val="21"/>
                <w:lang w:val="en-US" w:eastAsia="zh-CN"/>
              </w:rPr>
              <w:t>包名称/标的</w:t>
            </w:r>
            <w:r>
              <w:rPr>
                <w:rFonts w:hint="eastAsia" w:ascii="宋体" w:hAnsi="宋体" w:eastAsia="宋体" w:cs="宋体"/>
                <w:i w:val="0"/>
                <w:iCs w:val="0"/>
                <w:caps w:val="0"/>
                <w:color w:val="000000"/>
                <w:spacing w:val="0"/>
                <w:sz w:val="21"/>
                <w:szCs w:val="21"/>
              </w:rPr>
              <w:t>名称</w:t>
            </w:r>
          </w:p>
        </w:tc>
        <w:tc>
          <w:tcPr>
            <w:tcW w:w="2563" w:type="dxa"/>
            <w:tcBorders>
              <w:top w:val="single" w:color="000000" w:sz="6" w:space="0"/>
              <w:left w:val="nil"/>
              <w:bottom w:val="single" w:color="auto" w:sz="4" w:space="0"/>
              <w:right w:val="single" w:color="000000" w:sz="6" w:space="0"/>
            </w:tcBorders>
            <w:shd w:val="clear" w:color="auto" w:fill="FFFFFF"/>
            <w:noWrap w:val="0"/>
            <w:tcMar>
              <w:left w:w="105" w:type="dxa"/>
              <w:right w:w="105" w:type="dxa"/>
            </w:tcMar>
            <w:vAlign w:val="center"/>
          </w:tcPr>
          <w:p w14:paraId="6501925F">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lang w:val="en-US" w:eastAsia="zh-CN"/>
              </w:rPr>
              <w:t>简要技术要求</w:t>
            </w:r>
          </w:p>
        </w:tc>
        <w:tc>
          <w:tcPr>
            <w:tcW w:w="1562" w:type="dxa"/>
            <w:tcBorders>
              <w:top w:val="single" w:color="000000" w:sz="6" w:space="0"/>
              <w:left w:val="nil"/>
              <w:bottom w:val="single" w:color="auto" w:sz="4" w:space="0"/>
              <w:right w:val="single" w:color="000000" w:sz="6" w:space="0"/>
            </w:tcBorders>
            <w:shd w:val="clear" w:color="auto" w:fill="FFFFFF"/>
            <w:noWrap w:val="0"/>
            <w:tcMar>
              <w:left w:w="105" w:type="dxa"/>
              <w:right w:w="105" w:type="dxa"/>
            </w:tcMar>
            <w:vAlign w:val="center"/>
          </w:tcPr>
          <w:p w14:paraId="297F5C18">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default" w:ascii="宋体" w:hAnsi="宋体" w:eastAsia="宋体" w:cs="宋体"/>
                <w:i w:val="0"/>
                <w:iCs w:val="0"/>
                <w:caps w:val="0"/>
                <w:color w:val="auto"/>
                <w:spacing w:val="0"/>
                <w:sz w:val="21"/>
                <w:szCs w:val="21"/>
                <w:lang w:val="en-US" w:eastAsia="zh-CN"/>
              </w:rPr>
            </w:pPr>
            <w:r>
              <w:rPr>
                <w:rFonts w:hint="eastAsia" w:hAnsi="宋体" w:cs="宋体"/>
                <w:i w:val="0"/>
                <w:iCs w:val="0"/>
                <w:caps w:val="0"/>
                <w:color w:val="auto"/>
                <w:spacing w:val="0"/>
                <w:sz w:val="21"/>
                <w:szCs w:val="21"/>
                <w:lang w:val="en-US" w:eastAsia="zh-CN"/>
              </w:rPr>
              <w:t>服务期限</w:t>
            </w:r>
          </w:p>
        </w:tc>
        <w:tc>
          <w:tcPr>
            <w:tcW w:w="1998" w:type="dxa"/>
            <w:tcBorders>
              <w:top w:val="single" w:color="000000" w:sz="6" w:space="0"/>
              <w:left w:val="nil"/>
              <w:bottom w:val="single" w:color="auto" w:sz="4" w:space="0"/>
              <w:right w:val="single" w:color="000000" w:sz="6" w:space="0"/>
            </w:tcBorders>
            <w:shd w:val="clear" w:color="auto" w:fill="FFFFFF"/>
            <w:noWrap w:val="0"/>
            <w:tcMar>
              <w:left w:w="105" w:type="dxa"/>
              <w:right w:w="105" w:type="dxa"/>
            </w:tcMar>
            <w:vAlign w:val="center"/>
          </w:tcPr>
          <w:p w14:paraId="32FC44FD">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eastAsia" w:ascii="宋体" w:hAnsi="宋体" w:eastAsia="宋体" w:cs="宋体"/>
                <w:sz w:val="21"/>
                <w:szCs w:val="21"/>
              </w:rPr>
            </w:pPr>
            <w:r>
              <w:rPr>
                <w:rFonts w:hint="eastAsia" w:hAnsi="宋体" w:cs="宋体"/>
                <w:i w:val="0"/>
                <w:iCs w:val="0"/>
                <w:caps w:val="0"/>
                <w:color w:val="000000"/>
                <w:spacing w:val="0"/>
                <w:sz w:val="21"/>
                <w:szCs w:val="21"/>
                <w:lang w:val="en-US" w:eastAsia="zh-CN"/>
              </w:rPr>
              <w:t>标的</w:t>
            </w:r>
            <w:r>
              <w:rPr>
                <w:rFonts w:hint="eastAsia" w:ascii="宋体" w:hAnsi="宋体" w:eastAsia="宋体" w:cs="宋体"/>
                <w:i w:val="0"/>
                <w:iCs w:val="0"/>
                <w:caps w:val="0"/>
                <w:color w:val="000000"/>
                <w:spacing w:val="0"/>
                <w:sz w:val="21"/>
                <w:szCs w:val="21"/>
              </w:rPr>
              <w:t>预算</w:t>
            </w:r>
          </w:p>
        </w:tc>
      </w:tr>
      <w:tr w14:paraId="4EF52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8" w:hRule="atLeast"/>
          <w:jc w:val="center"/>
        </w:trPr>
        <w:tc>
          <w:tcPr>
            <w:tcW w:w="770" w:type="dxa"/>
            <w:tcBorders>
              <w:top w:val="single" w:color="auto" w:sz="4" w:space="0"/>
              <w:left w:val="single" w:color="auto" w:sz="4" w:space="0"/>
              <w:bottom w:val="single" w:color="auto" w:sz="4" w:space="0"/>
              <w:right w:val="single" w:color="000000" w:sz="6" w:space="0"/>
            </w:tcBorders>
            <w:shd w:val="clear" w:color="auto" w:fill="FFFFFF"/>
            <w:noWrap w:val="0"/>
            <w:tcMar>
              <w:left w:w="105" w:type="dxa"/>
              <w:right w:w="105" w:type="dxa"/>
            </w:tcMar>
            <w:vAlign w:val="center"/>
          </w:tcPr>
          <w:p w14:paraId="7EE17332">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1</w:t>
            </w:r>
          </w:p>
        </w:tc>
        <w:tc>
          <w:tcPr>
            <w:tcW w:w="2627" w:type="dxa"/>
            <w:tcBorders>
              <w:top w:val="single" w:color="auto" w:sz="4" w:space="0"/>
              <w:left w:val="nil"/>
              <w:bottom w:val="single" w:color="auto" w:sz="4" w:space="0"/>
              <w:right w:val="single" w:color="000000" w:sz="6" w:space="0"/>
            </w:tcBorders>
            <w:shd w:val="clear" w:color="auto" w:fill="FFFFFF"/>
            <w:noWrap w:val="0"/>
            <w:tcMar>
              <w:left w:w="105" w:type="dxa"/>
              <w:right w:w="105" w:type="dxa"/>
            </w:tcMar>
            <w:vAlign w:val="center"/>
          </w:tcPr>
          <w:p w14:paraId="4778D7EF">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both"/>
              <w:textAlignment w:val="auto"/>
              <w:rPr>
                <w:rFonts w:hint="eastAsia" w:ascii="宋体" w:hAnsi="宋体" w:eastAsia="宋体" w:cs="宋体"/>
                <w:sz w:val="21"/>
                <w:szCs w:val="21"/>
                <w:lang w:val="en-US" w:eastAsia="zh-CN"/>
              </w:rPr>
            </w:pPr>
            <w:r>
              <w:rPr>
                <w:rFonts w:hint="eastAsia" w:hAnsi="宋体" w:cs="宋体"/>
                <w:i w:val="0"/>
                <w:iCs w:val="0"/>
                <w:caps w:val="0"/>
                <w:color w:val="000000"/>
                <w:spacing w:val="0"/>
                <w:sz w:val="21"/>
                <w:szCs w:val="21"/>
                <w:lang w:eastAsia="zh-CN"/>
              </w:rPr>
              <w:t>涟源市不动产登记信息“一库一平台”建设项目</w:t>
            </w:r>
          </w:p>
        </w:tc>
        <w:tc>
          <w:tcPr>
            <w:tcW w:w="2563" w:type="dxa"/>
            <w:tcBorders>
              <w:top w:val="single" w:color="auto" w:sz="4" w:space="0"/>
              <w:left w:val="nil"/>
              <w:bottom w:val="single" w:color="auto" w:sz="4" w:space="0"/>
              <w:right w:val="single" w:color="000000" w:sz="6" w:space="0"/>
            </w:tcBorders>
            <w:shd w:val="clear" w:color="auto" w:fill="FFFFFF"/>
            <w:noWrap w:val="0"/>
            <w:tcMar>
              <w:left w:w="105" w:type="dxa"/>
              <w:right w:w="105" w:type="dxa"/>
            </w:tcMar>
            <w:vAlign w:val="center"/>
          </w:tcPr>
          <w:p w14:paraId="3D6F0A11">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rightChars="0"/>
              <w:jc w:val="both"/>
              <w:textAlignment w:val="auto"/>
              <w:rPr>
                <w:rFonts w:hint="eastAsia" w:ascii="宋体" w:hAnsi="宋体" w:eastAsia="宋体" w:cs="宋体"/>
                <w:kern w:val="0"/>
                <w:sz w:val="21"/>
                <w:szCs w:val="21"/>
                <w:lang w:val="en-US" w:eastAsia="zh-CN" w:bidi="ar"/>
              </w:rPr>
            </w:pPr>
            <w:r>
              <w:rPr>
                <w:rFonts w:hint="default" w:ascii="宋体" w:hAnsi="宋体" w:cs="宋体"/>
                <w:b w:val="0"/>
                <w:bCs w:val="0"/>
                <w:color w:val="auto"/>
                <w:sz w:val="21"/>
                <w:szCs w:val="21"/>
                <w:lang w:val="en-US"/>
              </w:rPr>
              <w:t>详见</w:t>
            </w:r>
            <w:r>
              <w:rPr>
                <w:rFonts w:hint="eastAsia" w:ascii="宋体" w:hAnsi="宋体" w:cs="宋体"/>
                <w:b w:val="0"/>
                <w:bCs w:val="0"/>
                <w:color w:val="auto"/>
                <w:sz w:val="21"/>
                <w:szCs w:val="21"/>
                <w:lang w:val="en-US" w:eastAsia="zh-CN"/>
              </w:rPr>
              <w:t>招标文件</w:t>
            </w:r>
            <w:r>
              <w:rPr>
                <w:rFonts w:hint="default" w:ascii="宋体" w:hAnsi="宋体" w:cs="宋体"/>
                <w:b w:val="0"/>
                <w:bCs w:val="0"/>
                <w:color w:val="auto"/>
                <w:sz w:val="21"/>
                <w:szCs w:val="21"/>
                <w:lang w:val="en-US" w:eastAsia="zh-CN"/>
              </w:rPr>
              <w:t>第五章</w:t>
            </w:r>
            <w:r>
              <w:rPr>
                <w:rFonts w:hint="eastAsia" w:ascii="宋体" w:hAnsi="宋体" w:cs="宋体"/>
                <w:b w:val="0"/>
                <w:bCs w:val="0"/>
                <w:color w:val="auto"/>
                <w:sz w:val="21"/>
                <w:szCs w:val="21"/>
                <w:lang w:val="en-US" w:eastAsia="zh-CN"/>
              </w:rPr>
              <w:t>采购需求</w:t>
            </w:r>
          </w:p>
        </w:tc>
        <w:tc>
          <w:tcPr>
            <w:tcW w:w="1562" w:type="dxa"/>
            <w:tcBorders>
              <w:top w:val="single" w:color="auto" w:sz="4" w:space="0"/>
              <w:left w:val="nil"/>
              <w:bottom w:val="single" w:color="auto" w:sz="4" w:space="0"/>
              <w:right w:val="single" w:color="auto" w:sz="4" w:space="0"/>
            </w:tcBorders>
            <w:shd w:val="clear" w:color="auto" w:fill="FFFFFF"/>
            <w:noWrap w:val="0"/>
            <w:tcMar>
              <w:left w:w="105" w:type="dxa"/>
              <w:right w:w="105" w:type="dxa"/>
            </w:tcMar>
            <w:vAlign w:val="center"/>
          </w:tcPr>
          <w:p w14:paraId="2B72C9BE">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default" w:ascii="宋体" w:hAnsi="宋体" w:eastAsia="宋体" w:cs="宋体"/>
                <w:i w:val="0"/>
                <w:iCs w:val="0"/>
                <w:caps w:val="0"/>
                <w:color w:val="auto"/>
                <w:spacing w:val="0"/>
                <w:sz w:val="21"/>
                <w:szCs w:val="21"/>
                <w:lang w:val="en-US" w:eastAsia="zh-CN"/>
              </w:rPr>
            </w:pPr>
            <w:r>
              <w:rPr>
                <w:rFonts w:hint="eastAsia" w:hAnsi="宋体" w:cs="宋体"/>
                <w:i w:val="0"/>
                <w:iCs w:val="0"/>
                <w:caps w:val="0"/>
                <w:color w:val="auto"/>
                <w:spacing w:val="0"/>
                <w:sz w:val="21"/>
                <w:szCs w:val="21"/>
                <w:lang w:val="en-US" w:eastAsia="zh-CN"/>
              </w:rPr>
              <w:t>6个月</w:t>
            </w:r>
          </w:p>
        </w:tc>
        <w:tc>
          <w:tcPr>
            <w:tcW w:w="1998" w:type="dxa"/>
            <w:tcBorders>
              <w:top w:val="single" w:color="auto" w:sz="4" w:space="0"/>
              <w:left w:val="nil"/>
              <w:bottom w:val="single" w:color="auto" w:sz="4" w:space="0"/>
              <w:right w:val="single" w:color="auto" w:sz="4" w:space="0"/>
            </w:tcBorders>
            <w:shd w:val="clear" w:color="auto" w:fill="FFFFFF"/>
            <w:noWrap w:val="0"/>
            <w:tcMar>
              <w:left w:w="105" w:type="dxa"/>
              <w:right w:w="105" w:type="dxa"/>
            </w:tcMar>
            <w:vAlign w:val="center"/>
          </w:tcPr>
          <w:p w14:paraId="08181358">
            <w:pPr>
              <w:pStyle w:val="4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Lines="0" w:beforeAutospacing="0" w:after="0" w:afterLines="0" w:afterAutospacing="0" w:line="360" w:lineRule="auto"/>
              <w:ind w:right="0"/>
              <w:jc w:val="center"/>
              <w:textAlignment w:val="auto"/>
              <w:rPr>
                <w:rFonts w:hint="eastAsia" w:ascii="宋体" w:hAnsi="宋体" w:eastAsia="宋体" w:cs="宋体"/>
                <w:sz w:val="21"/>
                <w:szCs w:val="21"/>
                <w:lang w:val="en-US" w:eastAsia="zh-CN"/>
              </w:rPr>
            </w:pPr>
            <w:r>
              <w:rPr>
                <w:rFonts w:hint="eastAsia" w:hAnsi="宋体" w:cs="宋体"/>
                <w:bCs/>
                <w:color w:val="auto"/>
                <w:sz w:val="21"/>
                <w:szCs w:val="21"/>
                <w:u w:val="none"/>
                <w:lang w:val="en-US" w:eastAsia="zh-CN"/>
              </w:rPr>
              <w:t>1800000元</w:t>
            </w:r>
          </w:p>
        </w:tc>
      </w:tr>
    </w:tbl>
    <w:p w14:paraId="4A651F84">
      <w:pPr>
        <w:adjustRightInd w:val="0"/>
        <w:snapToGrid w:val="0"/>
        <w:spacing w:line="360" w:lineRule="auto"/>
        <w:ind w:firstLine="422" w:firstLineChars="200"/>
        <w:rPr>
          <w:rFonts w:hint="eastAsia" w:ascii="宋体" w:hAnsi="宋体"/>
          <w:b/>
          <w:szCs w:val="21"/>
        </w:rPr>
      </w:pPr>
    </w:p>
    <w:p w14:paraId="4EB2E9A5">
      <w:pPr>
        <w:adjustRightInd w:val="0"/>
        <w:snapToGrid w:val="0"/>
        <w:spacing w:line="360" w:lineRule="auto"/>
        <w:ind w:firstLine="422" w:firstLineChars="200"/>
        <w:rPr>
          <w:rFonts w:hint="eastAsia" w:ascii="宋体" w:hAnsi="宋体"/>
          <w:b/>
          <w:szCs w:val="21"/>
        </w:rPr>
      </w:pPr>
      <w:r>
        <w:rPr>
          <w:rFonts w:hint="eastAsia" w:ascii="宋体" w:hAnsi="宋体"/>
          <w:b/>
          <w:szCs w:val="21"/>
        </w:rPr>
        <w:t>三、采购项目需落实的政府采购政策</w:t>
      </w:r>
      <w:r>
        <w:rPr>
          <w:rFonts w:hint="eastAsia" w:ascii="宋体" w:hAnsi="宋体"/>
          <w:szCs w:val="21"/>
        </w:rPr>
        <w:t>：</w:t>
      </w:r>
    </w:p>
    <w:p w14:paraId="0CFCD997">
      <w:pPr>
        <w:keepNext w:val="0"/>
        <w:keepLines w:val="0"/>
        <w:pageBreakBefore w:val="0"/>
        <w:kinsoku/>
        <w:wordWrap/>
        <w:overflowPunct/>
        <w:topLinePunct w:val="0"/>
        <w:autoSpaceDE/>
        <w:autoSpaceDN/>
        <w:bidi w:val="0"/>
        <w:spacing w:line="360" w:lineRule="auto"/>
        <w:ind w:firstLine="420" w:firstLineChars="200"/>
        <w:jc w:val="left"/>
        <w:textAlignment w:val="auto"/>
        <w:rPr>
          <w:rFonts w:ascii="宋体" w:hAnsi="宋体"/>
          <w:color w:val="000000"/>
          <w:szCs w:val="21"/>
        </w:rPr>
      </w:pPr>
      <w:r>
        <w:rPr>
          <w:rFonts w:hint="eastAsia" w:ascii="宋体" w:hAnsi="宋体"/>
          <w:color w:val="000000"/>
          <w:szCs w:val="21"/>
        </w:rPr>
        <w:t>1、优先采购：</w:t>
      </w:r>
      <w:r>
        <w:rPr>
          <w:rFonts w:hint="eastAsia" w:ascii="宋体" w:hAnsi="宋体"/>
          <w:color w:val="000000"/>
          <w:szCs w:val="21"/>
          <w:lang w:val="en-US" w:eastAsia="zh-CN"/>
        </w:rPr>
        <w:t>/</w:t>
      </w:r>
      <w:r>
        <w:rPr>
          <w:rFonts w:hint="eastAsia" w:ascii="宋体" w:hAnsi="宋体"/>
          <w:color w:val="000000"/>
          <w:szCs w:val="21"/>
        </w:rPr>
        <w:t>。</w:t>
      </w:r>
    </w:p>
    <w:p w14:paraId="4665F6AE">
      <w:pPr>
        <w:adjustRightInd w:val="0"/>
        <w:snapToGrid w:val="0"/>
        <w:spacing w:line="360" w:lineRule="auto"/>
        <w:ind w:firstLine="420" w:firstLineChars="200"/>
        <w:rPr>
          <w:rFonts w:hint="eastAsia" w:ascii="宋体" w:hAnsi="宋体"/>
          <w:color w:val="auto"/>
          <w:szCs w:val="21"/>
        </w:rPr>
      </w:pPr>
      <w:r>
        <w:rPr>
          <w:rFonts w:hint="eastAsia" w:ascii="宋体" w:hAnsi="宋体"/>
          <w:color w:val="000000"/>
          <w:szCs w:val="21"/>
        </w:rPr>
        <w:t>2、支持中小企业：本项目为专门面向中小微企业采购，不对价格评审进行政策优惠。</w:t>
      </w:r>
    </w:p>
    <w:p w14:paraId="2B932C4F">
      <w:pPr>
        <w:adjustRightInd w:val="0"/>
        <w:snapToGrid w:val="0"/>
        <w:spacing w:line="360" w:lineRule="auto"/>
        <w:ind w:firstLine="422" w:firstLineChars="200"/>
        <w:rPr>
          <w:rFonts w:hint="eastAsia" w:ascii="宋体" w:hAnsi="宋体"/>
          <w:szCs w:val="21"/>
        </w:rPr>
      </w:pPr>
      <w:r>
        <w:rPr>
          <w:rFonts w:hint="eastAsia" w:ascii="宋体" w:hAnsi="宋体"/>
          <w:b/>
          <w:szCs w:val="21"/>
        </w:rPr>
        <w:t>四、投标人的资格要求</w:t>
      </w:r>
      <w:r>
        <w:rPr>
          <w:rFonts w:hint="eastAsia" w:ascii="宋体" w:hAnsi="宋体"/>
          <w:szCs w:val="21"/>
        </w:rPr>
        <w:t>：</w:t>
      </w:r>
    </w:p>
    <w:p w14:paraId="6DCA2999">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kern w:val="1"/>
        </w:rPr>
      </w:pPr>
      <w:r>
        <w:rPr>
          <w:rFonts w:hint="eastAsia" w:ascii="宋体" w:hAnsi="宋体"/>
          <w:kern w:val="1"/>
        </w:rPr>
        <w:t>1、</w:t>
      </w:r>
      <w:r>
        <w:rPr>
          <w:rFonts w:hint="eastAsia" w:ascii="宋体" w:hAnsi="宋体"/>
          <w:kern w:val="1"/>
          <w:lang w:val="en-US" w:eastAsia="zh-CN"/>
        </w:rPr>
        <w:t>投标人</w:t>
      </w:r>
      <w:r>
        <w:rPr>
          <w:rFonts w:hint="eastAsia" w:ascii="宋体" w:hAnsi="宋体"/>
          <w:kern w:val="1"/>
        </w:rPr>
        <w:t>的基本资格条件：</w:t>
      </w:r>
      <w:r>
        <w:rPr>
          <w:rFonts w:hint="eastAsia" w:ascii="宋体" w:hAnsi="宋体"/>
          <w:kern w:val="1"/>
          <w:lang w:val="en-US" w:eastAsia="zh-CN"/>
        </w:rPr>
        <w:t>投标人</w:t>
      </w:r>
      <w:r>
        <w:rPr>
          <w:rFonts w:hint="eastAsia" w:ascii="宋体" w:hAnsi="宋体"/>
          <w:kern w:val="1"/>
        </w:rPr>
        <w:t>必须是在中华人民共和国境内注册登记的法人、其他组织或者自然人，且应当符合《政府采购法》第二十二条第一款的规定，即：</w:t>
      </w:r>
    </w:p>
    <w:p w14:paraId="4E10E7AE">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kern w:val="1"/>
        </w:rPr>
      </w:pPr>
      <w:r>
        <w:rPr>
          <w:rFonts w:hint="eastAsia" w:ascii="宋体" w:hAnsi="宋体"/>
          <w:kern w:val="1"/>
        </w:rPr>
        <w:t>（1）提供法人或者其他组织的营业执照等主体资格证明文件，自然人的身份证明；</w:t>
      </w:r>
    </w:p>
    <w:p w14:paraId="75F81B16">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kern w:val="1"/>
        </w:rPr>
      </w:pPr>
      <w:r>
        <w:rPr>
          <w:rFonts w:hint="eastAsia" w:ascii="宋体" w:hAnsi="宋体"/>
          <w:kern w:val="1"/>
        </w:rPr>
        <w:t>（2）提供湖南省政府采购供应商资格承诺函。</w:t>
      </w:r>
    </w:p>
    <w:p w14:paraId="154DAD60">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cs="宋体"/>
          <w:kern w:val="0"/>
          <w:szCs w:val="21"/>
        </w:rPr>
      </w:pPr>
      <w:r>
        <w:rPr>
          <w:rFonts w:hint="eastAsia" w:ascii="宋体" w:hAnsi="宋体"/>
          <w:color w:val="auto"/>
          <w:szCs w:val="21"/>
        </w:rPr>
        <w:t>2、落实政府采购政策需满足的资格要求：</w:t>
      </w:r>
      <w:r>
        <w:rPr>
          <w:rFonts w:hint="eastAsia" w:ascii="宋体" w:hAnsi="宋体" w:cs="宋体"/>
          <w:szCs w:val="21"/>
          <w:shd w:val="clear" w:color="auto" w:fill="FFFFFF"/>
        </w:rPr>
        <w:t>（如属于专门面向中小企业采购的项目，</w:t>
      </w:r>
      <w:r>
        <w:rPr>
          <w:rFonts w:hint="eastAsia" w:ascii="宋体" w:hAnsi="宋体" w:cs="宋体"/>
          <w:szCs w:val="21"/>
          <w:shd w:val="clear" w:color="auto" w:fill="FFFFFF"/>
          <w:lang w:val="en-US" w:eastAsia="zh-CN"/>
        </w:rPr>
        <w:t>投标人</w:t>
      </w:r>
      <w:r>
        <w:rPr>
          <w:rFonts w:hint="eastAsia" w:ascii="宋体" w:hAnsi="宋体" w:cs="宋体"/>
          <w:szCs w:val="21"/>
          <w:shd w:val="clear" w:color="auto" w:fill="FFFFFF"/>
        </w:rPr>
        <w:t>应为中小微企业、监狱企业、残疾人福利性单位）：根据《政府采购促进中小企业发展管理办法》（财库﹝2020﹞46 号）文件规定，本项目为专门面向中小企业采购项目，各</w:t>
      </w:r>
      <w:r>
        <w:rPr>
          <w:rFonts w:hint="eastAsia" w:ascii="宋体" w:hAnsi="宋体" w:cs="宋体"/>
          <w:szCs w:val="21"/>
          <w:shd w:val="clear" w:color="auto" w:fill="FFFFFF"/>
          <w:lang w:val="en-US" w:eastAsia="zh-CN"/>
        </w:rPr>
        <w:t>投标人</w:t>
      </w:r>
      <w:r>
        <w:rPr>
          <w:rFonts w:hint="eastAsia" w:ascii="宋体" w:hAnsi="宋体" w:cs="宋体"/>
          <w:szCs w:val="21"/>
          <w:shd w:val="clear" w:color="auto" w:fill="FFFFFF"/>
        </w:rPr>
        <w:t>应按政府采购促进中小企业发展相关规定及</w:t>
      </w:r>
      <w:r>
        <w:rPr>
          <w:rFonts w:hint="eastAsia" w:ascii="宋体" w:hAnsi="宋体" w:cs="宋体"/>
          <w:szCs w:val="21"/>
          <w:shd w:val="clear" w:color="auto" w:fill="FFFFFF"/>
          <w:lang w:val="en-US" w:eastAsia="zh-CN"/>
        </w:rPr>
        <w:t>招标</w:t>
      </w:r>
      <w:r>
        <w:rPr>
          <w:rFonts w:hint="eastAsia" w:ascii="宋体" w:hAnsi="宋体" w:cs="宋体"/>
          <w:szCs w:val="21"/>
          <w:shd w:val="clear" w:color="auto" w:fill="FFFFFF"/>
        </w:rPr>
        <w:t>文件的</w:t>
      </w:r>
      <w:r>
        <w:rPr>
          <w:rFonts w:hint="eastAsia" w:ascii="宋体" w:hAnsi="宋体" w:cs="宋体"/>
          <w:szCs w:val="21"/>
          <w:shd w:val="clear" w:color="auto" w:fill="FFFFFF"/>
          <w:lang w:val="en-US" w:eastAsia="zh-CN"/>
        </w:rPr>
        <w:t>投标</w:t>
      </w:r>
      <w:r>
        <w:rPr>
          <w:rFonts w:hint="eastAsia" w:ascii="宋体" w:hAnsi="宋体" w:cs="宋体"/>
          <w:szCs w:val="21"/>
          <w:shd w:val="clear" w:color="auto" w:fill="FFFFFF"/>
        </w:rPr>
        <w:t>文件组成中的“《中小企业声明函》、《湖南省政府采购供应商资格承诺函》”格式填写，并在</w:t>
      </w:r>
      <w:r>
        <w:rPr>
          <w:rFonts w:hint="eastAsia" w:ascii="宋体" w:hAnsi="宋体" w:cs="宋体"/>
          <w:szCs w:val="21"/>
          <w:shd w:val="clear" w:color="auto" w:fill="FFFFFF"/>
          <w:lang w:val="en-US" w:eastAsia="zh-CN"/>
        </w:rPr>
        <w:t>投标</w:t>
      </w:r>
      <w:r>
        <w:rPr>
          <w:rFonts w:hint="eastAsia" w:ascii="宋体" w:hAnsi="宋体" w:cs="宋体"/>
          <w:szCs w:val="21"/>
          <w:shd w:val="clear" w:color="auto" w:fill="FFFFFF"/>
        </w:rPr>
        <w:t>文件中提供“《中小企业声明函》、《湖南省政府采购供应商资格承诺函》”，否则视为无效响应。</w:t>
      </w:r>
    </w:p>
    <w:p w14:paraId="0773F20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szCs w:val="21"/>
          <w:lang w:eastAsia="zh-CN"/>
        </w:rPr>
      </w:pPr>
      <w:r>
        <w:rPr>
          <w:rFonts w:hint="eastAsia" w:ascii="宋体" w:hAnsi="宋体"/>
          <w:bCs/>
          <w:kern w:val="1"/>
        </w:rPr>
        <w:t>3、</w:t>
      </w:r>
      <w:r>
        <w:rPr>
          <w:rFonts w:hint="eastAsia" w:ascii="宋体" w:hAnsi="宋体"/>
          <w:szCs w:val="21"/>
        </w:rPr>
        <w:t>采购项目的特定资格条件：</w:t>
      </w:r>
      <w:r>
        <w:rPr>
          <w:rFonts w:hint="eastAsia" w:ascii="宋体" w:hAnsi="宋体"/>
          <w:color w:val="auto"/>
          <w:szCs w:val="21"/>
          <w:u w:val="none"/>
          <w:lang w:eastAsia="zh-CN"/>
        </w:rPr>
        <w:t>无</w:t>
      </w:r>
    </w:p>
    <w:p w14:paraId="5344D805">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bCs/>
          <w:kern w:val="1"/>
        </w:rPr>
      </w:pPr>
      <w:r>
        <w:rPr>
          <w:rFonts w:hint="eastAsia" w:ascii="宋体" w:hAnsi="宋体"/>
          <w:bCs/>
          <w:kern w:val="1"/>
        </w:rPr>
        <w:t>4、单位负责人为同一人或者存在直接控股、管理关系的不同供应商，不得参加同一合同项下的政府采购活动。</w:t>
      </w:r>
    </w:p>
    <w:p w14:paraId="626AC354">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bCs/>
          <w:kern w:val="1"/>
        </w:rPr>
      </w:pPr>
      <w:r>
        <w:rPr>
          <w:rFonts w:hint="eastAsia" w:ascii="宋体" w:hAnsi="宋体"/>
          <w:bCs/>
          <w:kern w:val="1"/>
        </w:rPr>
        <w:t>5、为本采购项目提供整体设计、规范编制或者项目管理、监理、检测等服务的，不得再参加此项目的其他采购活动。</w:t>
      </w:r>
    </w:p>
    <w:p w14:paraId="0F49B6C7">
      <w:pPr>
        <w:keepNext w:val="0"/>
        <w:keepLines w:val="0"/>
        <w:pageBreakBefore w:val="0"/>
        <w:kinsoku/>
        <w:wordWrap/>
        <w:overflowPunct/>
        <w:topLinePunct w:val="0"/>
        <w:autoSpaceDE/>
        <w:autoSpaceDN/>
        <w:bidi w:val="0"/>
        <w:spacing w:line="360" w:lineRule="auto"/>
        <w:ind w:firstLine="420" w:firstLineChars="200"/>
        <w:textAlignment w:val="auto"/>
        <w:rPr>
          <w:rFonts w:ascii="宋体" w:hAnsi="宋体"/>
          <w:bCs/>
          <w:kern w:val="1"/>
        </w:rPr>
      </w:pPr>
      <w:r>
        <w:rPr>
          <w:rFonts w:hint="eastAsia" w:ascii="宋体" w:hAnsi="宋体"/>
          <w:bCs/>
          <w:kern w:val="1"/>
        </w:rPr>
        <w:t>6、列入失信被执行人、重大税收违法案件当事人名单，列入政府采购严重违法失信行为记录名单的，拒绝其参与政府采购活动。</w:t>
      </w:r>
    </w:p>
    <w:p w14:paraId="48ADCE9C">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7、联合体投标。本次招标</w:t>
      </w:r>
      <w:r>
        <w:rPr>
          <w:rFonts w:hint="eastAsia" w:ascii="宋体" w:hAnsi="宋体"/>
          <w:szCs w:val="21"/>
          <w:u w:val="single"/>
        </w:rPr>
        <w:t>不接受</w:t>
      </w:r>
      <w:r>
        <w:rPr>
          <w:rFonts w:hint="eastAsia" w:ascii="宋体" w:hAnsi="宋体"/>
          <w:szCs w:val="21"/>
        </w:rPr>
        <w:t>联合体投标。</w:t>
      </w:r>
    </w:p>
    <w:p w14:paraId="13621766">
      <w:pPr>
        <w:adjustRightInd w:val="0"/>
        <w:snapToGrid w:val="0"/>
        <w:spacing w:line="360" w:lineRule="auto"/>
        <w:ind w:firstLine="422" w:firstLineChars="200"/>
        <w:rPr>
          <w:rFonts w:hint="eastAsia" w:ascii="宋体" w:hAnsi="宋体"/>
          <w:b/>
          <w:szCs w:val="21"/>
        </w:rPr>
      </w:pPr>
      <w:r>
        <w:rPr>
          <w:rFonts w:hint="eastAsia" w:ascii="宋体" w:hAnsi="宋体"/>
          <w:b/>
          <w:szCs w:val="21"/>
        </w:rPr>
        <w:t>五、获取招标文件的时间、期限、地点及方式</w:t>
      </w:r>
    </w:p>
    <w:p w14:paraId="2FEFCBE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有意参加投标者，招标公告发布之日起至投标文件递交的截止时间前，可全天候在娄底市公共资源交易网（http://ldggzy.hnloudi.gov.cn/）获取招标文件。</w:t>
      </w:r>
    </w:p>
    <w:p w14:paraId="743703F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val="0"/>
          <w:bCs/>
          <w:color w:val="auto"/>
          <w:sz w:val="21"/>
          <w:szCs w:val="21"/>
          <w:lang w:val="en-US" w:eastAsia="zh-CN"/>
        </w:rPr>
        <w:t>√</w:t>
      </w:r>
      <w:r>
        <w:rPr>
          <w:rFonts w:hint="eastAsia" w:ascii="宋体" w:hAnsi="宋体" w:eastAsia="宋体" w:cs="宋体"/>
          <w:sz w:val="21"/>
          <w:szCs w:val="21"/>
          <w:lang w:val="en-US" w:eastAsia="zh-CN"/>
        </w:rPr>
        <w:t>本项目实行电子交易，有意参加投标者，在http://ldggzy.hnloudi.gov.cn/获取电子版招标文件。</w:t>
      </w:r>
    </w:p>
    <w:p w14:paraId="27704F92">
      <w:pPr>
        <w:adjustRightInd w:val="0"/>
        <w:snapToGrid w:val="0"/>
        <w:spacing w:line="360" w:lineRule="auto"/>
        <w:ind w:firstLine="420" w:firstLineChars="200"/>
        <w:rPr>
          <w:rFonts w:hint="eastAsia" w:ascii="宋体" w:hAnsi="宋体"/>
          <w:szCs w:val="21"/>
        </w:rPr>
      </w:pPr>
      <w:r>
        <w:rPr>
          <w:rFonts w:hint="eastAsia" w:ascii="宋体" w:hAnsi="宋体" w:eastAsia="宋体" w:cs="宋体"/>
          <w:sz w:val="21"/>
          <w:szCs w:val="21"/>
          <w:lang w:val="en-US" w:eastAsia="zh-CN"/>
        </w:rPr>
        <w:t>□本项目进行资格预审，招标文件将向所有通过资格预审的供应商提供。</w:t>
      </w:r>
    </w:p>
    <w:p w14:paraId="4E359252">
      <w:pPr>
        <w:adjustRightInd w:val="0"/>
        <w:snapToGrid w:val="0"/>
        <w:spacing w:line="360" w:lineRule="auto"/>
        <w:ind w:firstLine="422" w:firstLineChars="200"/>
        <w:rPr>
          <w:rFonts w:hint="eastAsia" w:ascii="宋体" w:hAnsi="宋体" w:cs="宋体"/>
          <w:b/>
          <w:szCs w:val="21"/>
        </w:rPr>
      </w:pPr>
      <w:r>
        <w:rPr>
          <w:rFonts w:hint="eastAsia" w:ascii="宋体" w:hAnsi="宋体" w:cs="宋体"/>
          <w:b/>
          <w:szCs w:val="21"/>
        </w:rPr>
        <w:t>六、投标截止时间、开标时间、解密截止时间及地点</w:t>
      </w:r>
    </w:p>
    <w:p w14:paraId="7B263D3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1、提交投标文件的截止时间：</w:t>
      </w:r>
      <w:r>
        <w:rPr>
          <w:rFonts w:hint="eastAsia" w:ascii="宋体" w:hAnsi="宋体"/>
          <w:szCs w:val="21"/>
          <w:u w:val="single"/>
        </w:rPr>
        <w:t>详见外网公告</w:t>
      </w:r>
      <w:r>
        <w:rPr>
          <w:rFonts w:hint="eastAsia" w:ascii="宋体" w:hAnsi="宋体"/>
          <w:szCs w:val="21"/>
        </w:rPr>
        <w:t>（北京时间）</w:t>
      </w:r>
      <w:r>
        <w:rPr>
          <w:rFonts w:hint="eastAsia" w:ascii="宋体" w:hAnsi="宋体" w:eastAsia="宋体" w:cs="宋体"/>
          <w:sz w:val="21"/>
          <w:szCs w:val="21"/>
        </w:rPr>
        <w:t>；</w:t>
      </w:r>
    </w:p>
    <w:p w14:paraId="2B083D1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2、</w:t>
      </w:r>
      <w:r>
        <w:rPr>
          <w:rFonts w:hint="eastAsia" w:ascii="宋体" w:hAnsi="宋体" w:eastAsia="宋体" w:cs="宋体"/>
          <w:sz w:val="21"/>
          <w:szCs w:val="21"/>
          <w:lang w:eastAsia="zh-CN"/>
        </w:rPr>
        <w:t>提交</w:t>
      </w:r>
      <w:r>
        <w:rPr>
          <w:rFonts w:hint="eastAsia" w:ascii="宋体" w:hAnsi="宋体" w:eastAsia="宋体" w:cs="宋体"/>
          <w:sz w:val="21"/>
          <w:szCs w:val="21"/>
        </w:rPr>
        <w:t>投标</w:t>
      </w:r>
      <w:r>
        <w:rPr>
          <w:rFonts w:hint="eastAsia" w:ascii="宋体" w:hAnsi="宋体" w:eastAsia="宋体" w:cs="宋体"/>
          <w:sz w:val="21"/>
          <w:szCs w:val="21"/>
          <w:lang w:eastAsia="zh-CN"/>
        </w:rPr>
        <w:t>文件</w:t>
      </w:r>
      <w:r>
        <w:rPr>
          <w:rFonts w:hint="eastAsia" w:ascii="宋体" w:hAnsi="宋体" w:eastAsia="宋体" w:cs="宋体"/>
          <w:sz w:val="21"/>
          <w:szCs w:val="21"/>
        </w:rPr>
        <w:t>地点：</w:t>
      </w:r>
      <w:r>
        <w:rPr>
          <w:rFonts w:hint="eastAsia" w:ascii="宋体" w:hAnsi="宋体" w:eastAsia="宋体" w:cs="宋体"/>
          <w:sz w:val="21"/>
          <w:szCs w:val="21"/>
          <w:u w:val="single"/>
        </w:rPr>
        <w:t>娄底市公共资源交易网</w:t>
      </w:r>
      <w:r>
        <w:rPr>
          <w:rFonts w:hint="eastAsia" w:ascii="宋体" w:hAnsi="宋体" w:eastAsia="宋体" w:cs="宋体"/>
          <w:color w:val="auto"/>
          <w:sz w:val="21"/>
          <w:szCs w:val="21"/>
          <w:u w:val="single"/>
        </w:rPr>
        <w:fldChar w:fldCharType="begin"/>
      </w:r>
      <w:r>
        <w:rPr>
          <w:rFonts w:hint="eastAsia" w:ascii="宋体" w:hAnsi="宋体" w:eastAsia="宋体" w:cs="宋体"/>
          <w:color w:val="auto"/>
          <w:sz w:val="21"/>
          <w:szCs w:val="21"/>
          <w:u w:val="single"/>
        </w:rPr>
        <w:instrText xml:space="preserve"> HYPERLINK "http://ldggzy.hnloudi.gov.cn/" </w:instrText>
      </w:r>
      <w:r>
        <w:rPr>
          <w:rFonts w:hint="eastAsia" w:ascii="宋体" w:hAnsi="宋体" w:eastAsia="宋体" w:cs="宋体"/>
          <w:color w:val="auto"/>
          <w:sz w:val="21"/>
          <w:szCs w:val="21"/>
          <w:u w:val="single"/>
        </w:rPr>
        <w:fldChar w:fldCharType="separate"/>
      </w:r>
      <w:r>
        <w:rPr>
          <w:rStyle w:val="55"/>
          <w:rFonts w:hint="eastAsia" w:ascii="宋体" w:hAnsi="宋体" w:eastAsia="宋体" w:cs="宋体"/>
          <w:color w:val="auto"/>
          <w:sz w:val="21"/>
          <w:szCs w:val="21"/>
          <w:u w:val="single"/>
        </w:rPr>
        <w:t>http://ldggzy.hnloudi.gov.cn/</w:t>
      </w:r>
      <w:r>
        <w:rPr>
          <w:rFonts w:hint="eastAsia" w:ascii="宋体" w:hAnsi="宋体" w:eastAsia="宋体" w:cs="宋体"/>
          <w:color w:val="auto"/>
          <w:sz w:val="21"/>
          <w:szCs w:val="21"/>
          <w:u w:val="single"/>
        </w:rPr>
        <w:fldChar w:fldCharType="end"/>
      </w:r>
      <w:r>
        <w:rPr>
          <w:rFonts w:hint="eastAsia" w:ascii="宋体" w:hAnsi="宋体" w:eastAsia="宋体" w:cs="宋体"/>
          <w:color w:val="auto"/>
          <w:sz w:val="21"/>
          <w:szCs w:val="21"/>
          <w:u w:val="single"/>
        </w:rPr>
        <w:t>；</w:t>
      </w:r>
    </w:p>
    <w:p w14:paraId="53F428A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3、开标时间：</w:t>
      </w:r>
      <w:r>
        <w:rPr>
          <w:rFonts w:hint="eastAsia" w:ascii="宋体" w:hAnsi="宋体"/>
          <w:szCs w:val="21"/>
          <w:u w:val="single"/>
        </w:rPr>
        <w:t>详见外网公告</w:t>
      </w:r>
      <w:r>
        <w:rPr>
          <w:rFonts w:hint="eastAsia" w:ascii="宋体" w:hAnsi="宋体"/>
          <w:szCs w:val="21"/>
        </w:rPr>
        <w:t>（北京时间）</w:t>
      </w:r>
      <w:r>
        <w:rPr>
          <w:rFonts w:hint="eastAsia" w:ascii="宋体" w:hAnsi="宋体" w:eastAsia="宋体" w:cs="宋体"/>
          <w:sz w:val="21"/>
          <w:szCs w:val="21"/>
        </w:rPr>
        <w:t xml:space="preserve">。 </w:t>
      </w:r>
    </w:p>
    <w:p w14:paraId="5671D20B">
      <w:pPr>
        <w:pStyle w:val="64"/>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4、解密截止时间：</w:t>
      </w:r>
      <w:r>
        <w:rPr>
          <w:rFonts w:hint="eastAsia" w:ascii="宋体" w:hAnsi="宋体"/>
          <w:szCs w:val="21"/>
          <w:u w:val="single"/>
        </w:rPr>
        <w:t>详见外网公告</w:t>
      </w:r>
      <w:r>
        <w:rPr>
          <w:rFonts w:hint="eastAsia" w:ascii="宋体" w:hAnsi="宋体"/>
          <w:szCs w:val="21"/>
        </w:rPr>
        <w:t>（北京时间）（投标截止时间后30分钟）</w:t>
      </w:r>
      <w:r>
        <w:rPr>
          <w:rFonts w:hint="eastAsia" w:ascii="宋体" w:hAnsi="宋体" w:eastAsia="宋体" w:cs="宋体"/>
          <w:sz w:val="21"/>
          <w:szCs w:val="21"/>
        </w:rPr>
        <w:t>。</w:t>
      </w:r>
    </w:p>
    <w:p w14:paraId="482B8532">
      <w:pPr>
        <w:pStyle w:val="41"/>
        <w:spacing w:before="0" w:beforeAutospacing="0" w:after="0" w:afterAutospacing="0" w:line="360" w:lineRule="auto"/>
        <w:ind w:firstLine="420" w:firstLineChars="200"/>
        <w:jc w:val="both"/>
        <w:rPr>
          <w:rFonts w:hint="eastAsia"/>
          <w:color w:val="000000"/>
          <w:sz w:val="21"/>
          <w:szCs w:val="21"/>
        </w:rPr>
      </w:pPr>
      <w:r>
        <w:rPr>
          <w:rFonts w:hint="eastAsia" w:ascii="宋体" w:hAnsi="宋体" w:eastAsia="宋体" w:cs="宋体"/>
          <w:sz w:val="21"/>
          <w:szCs w:val="21"/>
        </w:rPr>
        <w:t>5、开标地点：本项目在</w:t>
      </w:r>
      <w:r>
        <w:rPr>
          <w:rFonts w:hint="eastAsia" w:ascii="宋体" w:hAnsi="宋体" w:eastAsia="宋体" w:cs="宋体"/>
          <w:sz w:val="21"/>
          <w:szCs w:val="21"/>
          <w:u w:val="single"/>
        </w:rPr>
        <w:t>娄底市公共资源交易中心四楼（详见当天电子显示屏的安排）</w:t>
      </w:r>
      <w:r>
        <w:rPr>
          <w:rFonts w:hint="eastAsia" w:ascii="宋体" w:hAnsi="宋体" w:eastAsia="宋体" w:cs="宋体"/>
          <w:sz w:val="21"/>
          <w:szCs w:val="21"/>
        </w:rPr>
        <w:t>设开标场地，投标人及其投标人代表关于项目的投标均为线上操作（娄底市公共资源交易网）</w:t>
      </w:r>
    </w:p>
    <w:p w14:paraId="19905033">
      <w:pPr>
        <w:adjustRightInd w:val="0"/>
        <w:snapToGrid w:val="0"/>
        <w:spacing w:line="360" w:lineRule="auto"/>
        <w:ind w:firstLine="422" w:firstLineChars="200"/>
        <w:rPr>
          <w:rFonts w:hint="eastAsia" w:ascii="宋体" w:hAnsi="宋体" w:cs="宋体"/>
          <w:szCs w:val="21"/>
        </w:rPr>
      </w:pPr>
      <w:r>
        <w:rPr>
          <w:rFonts w:hint="eastAsia" w:ascii="宋体" w:hAnsi="宋体" w:cs="宋体"/>
          <w:b/>
          <w:szCs w:val="21"/>
        </w:rPr>
        <w:t>七、公告期限</w:t>
      </w:r>
      <w:r>
        <w:rPr>
          <w:rFonts w:hint="eastAsia" w:ascii="宋体" w:hAnsi="宋体" w:cs="宋体"/>
          <w:szCs w:val="21"/>
        </w:rPr>
        <w:t>：</w:t>
      </w:r>
    </w:p>
    <w:p w14:paraId="7ABEF06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1、本招标公告在中国湖南政府采购网（www.ccgp-hunan.gov.cn）、娄底市公共资源交易网（http://ldggzy.hnloudi.gov.cn/）发布。公告期限从本招标公告发布之日起5个工作日。</w:t>
      </w:r>
    </w:p>
    <w:p w14:paraId="388CDC8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2、在其他媒体发布的招标公告，公告内容以本招标公告指定媒体发布的公告为准；公告期限自本招标公告指定媒体最先发布公告之日起算。</w:t>
      </w:r>
    </w:p>
    <w:p w14:paraId="6D34052D">
      <w:pPr>
        <w:adjustRightInd w:val="0"/>
        <w:snapToGrid w:val="0"/>
        <w:spacing w:line="360" w:lineRule="auto"/>
        <w:ind w:firstLine="422" w:firstLineChars="200"/>
        <w:rPr>
          <w:rFonts w:hint="eastAsia" w:ascii="宋体" w:hAnsi="宋体" w:cs="宋体"/>
          <w:szCs w:val="21"/>
        </w:rPr>
      </w:pPr>
      <w:r>
        <w:rPr>
          <w:rFonts w:hint="eastAsia" w:ascii="宋体" w:hAnsi="宋体" w:cs="宋体"/>
          <w:b/>
          <w:szCs w:val="21"/>
        </w:rPr>
        <w:t>八、询问及质疑</w:t>
      </w:r>
      <w:r>
        <w:rPr>
          <w:rFonts w:hint="eastAsia" w:ascii="宋体" w:hAnsi="宋体" w:cs="宋体"/>
          <w:szCs w:val="21"/>
        </w:rPr>
        <w:t>：</w:t>
      </w:r>
    </w:p>
    <w:p w14:paraId="2A1E2440">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1、投标人对政府采购活动事项如有疑问的，可以向采购人、采购代理机构提出询问。采购人、采购代理机构将在3个工作日内作出答复。</w:t>
      </w:r>
    </w:p>
    <w:p w14:paraId="513077D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2、投标人对电子交易平台办理CA证书、操作等如有疑问，请咨询电子交易平台服务机构。</w:t>
      </w:r>
    </w:p>
    <w:p w14:paraId="470EDCF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20</w:t>
      </w:r>
      <w:r>
        <w:rPr>
          <w:rFonts w:hint="eastAsia" w:ascii="宋体" w:hAnsi="宋体" w:eastAsia="宋体" w:cs="宋体"/>
          <w:szCs w:val="21"/>
          <w:lang w:val="en-US" w:eastAsia="zh-CN"/>
        </w:rPr>
        <w:t>24</w:t>
      </w:r>
      <w:r>
        <w:rPr>
          <w:rFonts w:hint="eastAsia" w:ascii="宋体" w:hAnsi="宋体" w:eastAsia="宋体" w:cs="宋体"/>
          <w:szCs w:val="21"/>
        </w:rPr>
        <w:t>〕</w:t>
      </w:r>
      <w:r>
        <w:rPr>
          <w:rFonts w:hint="eastAsia" w:ascii="宋体" w:hAnsi="宋体" w:eastAsia="宋体" w:cs="宋体"/>
          <w:szCs w:val="21"/>
          <w:lang w:val="en-US" w:eastAsia="zh-CN"/>
        </w:rPr>
        <w:t>67</w:t>
      </w:r>
      <w:r>
        <w:rPr>
          <w:rFonts w:hint="eastAsia" w:ascii="宋体" w:hAnsi="宋体" w:eastAsia="宋体" w:cs="宋体"/>
          <w:szCs w:val="21"/>
        </w:rPr>
        <w:t>号))规定，以纸质书面形式向采购人、采购代理机构提出质疑</w:t>
      </w:r>
      <w:r>
        <w:rPr>
          <w:rFonts w:hint="eastAsia" w:ascii="宋体" w:hAnsi="宋体" w:eastAsia="宋体" w:cs="宋体"/>
          <w:szCs w:val="21"/>
          <w:lang w:val="en-US" w:eastAsia="zh-CN"/>
        </w:rPr>
        <w:t>,投标人应当在法定质疑期内一次性提出针对同一采购程序环节的质疑，否则不予以受理</w:t>
      </w:r>
      <w:r>
        <w:rPr>
          <w:rFonts w:hint="eastAsia" w:ascii="宋体" w:hAnsi="宋体" w:eastAsia="宋体" w:cs="宋体"/>
          <w:szCs w:val="21"/>
        </w:rPr>
        <w:t>。</w:t>
      </w:r>
    </w:p>
    <w:p w14:paraId="0B856D0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 w:val="21"/>
          <w:szCs w:val="21"/>
          <w:lang w:val="en-US" w:eastAsia="zh-CN"/>
        </w:rPr>
        <w:t>注：电子响应（投标）文件制作工具（金润投标人工具箱V6.7.0）和操作说明书请在娄底市公共资源交易中心网自行下载。（注：</w:t>
      </w:r>
      <w:r>
        <w:rPr>
          <w:rFonts w:hint="eastAsia" w:ascii="宋体" w:hAnsi="宋体" w:cs="宋体"/>
          <w:sz w:val="21"/>
          <w:szCs w:val="21"/>
          <w:lang w:val="en-US" w:eastAsia="zh-CN"/>
        </w:rPr>
        <w:t>投标人</w:t>
      </w:r>
      <w:r>
        <w:rPr>
          <w:rFonts w:hint="eastAsia" w:ascii="宋体" w:hAnsi="宋体" w:eastAsia="宋体" w:cs="宋体"/>
          <w:sz w:val="21"/>
          <w:szCs w:val="21"/>
          <w:lang w:val="en-US" w:eastAsia="zh-CN"/>
        </w:rPr>
        <w:t>必须使用新版本的金润电子投标人工具箱（娄底V6.7.0）制作投标文件，否则投标无效）请各</w:t>
      </w:r>
      <w:r>
        <w:rPr>
          <w:rFonts w:hint="eastAsia" w:ascii="宋体" w:hAnsi="宋体" w:cs="宋体"/>
          <w:sz w:val="21"/>
          <w:szCs w:val="21"/>
          <w:lang w:val="en-US" w:eastAsia="zh-CN"/>
        </w:rPr>
        <w:t>投标人</w:t>
      </w:r>
      <w:r>
        <w:rPr>
          <w:rFonts w:hint="eastAsia" w:ascii="宋体" w:hAnsi="宋体" w:eastAsia="宋体" w:cs="宋体"/>
          <w:sz w:val="21"/>
          <w:szCs w:val="21"/>
          <w:lang w:val="en-US" w:eastAsia="zh-CN"/>
        </w:rPr>
        <w:t>一定要提前熟悉系统操作和软件操作，电子投标文件为gef格式。投标过程中如遇问题可联系金润技术客服：客服电话：4008199995，客服QQ：2159511823，如因不会操作所造成的投标失败或损失由供应商自行负责。由于对网上招投标操作不熟悉或自身电脑、个人网络等原因导致不能在提交投标文件截止时间之前完成投标文件上传的，相应责任由供应商自行承担。在使用系统过程中有疑问或困难请及时进行咨询。</w:t>
      </w:r>
    </w:p>
    <w:p w14:paraId="2EB073EF">
      <w:pPr>
        <w:adjustRightInd w:val="0"/>
        <w:snapToGrid w:val="0"/>
        <w:spacing w:line="360" w:lineRule="auto"/>
        <w:ind w:firstLine="422" w:firstLineChars="200"/>
        <w:rPr>
          <w:rFonts w:hint="eastAsia" w:ascii="宋体" w:hAnsi="宋体" w:cs="宋体"/>
          <w:b/>
          <w:szCs w:val="21"/>
        </w:rPr>
      </w:pPr>
      <w:r>
        <w:rPr>
          <w:rFonts w:hint="eastAsia" w:ascii="宋体" w:hAnsi="宋体" w:cs="宋体"/>
          <w:b/>
          <w:szCs w:val="21"/>
        </w:rPr>
        <w:t>九、投标说明</w:t>
      </w:r>
    </w:p>
    <w:p w14:paraId="41AB4ABE">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1、本公告选项：√表示选择，□表示未选择。</w:t>
      </w:r>
    </w:p>
    <w:p w14:paraId="466645BC">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2、投标人参与政府采购活动，无需向采购人、代理机构、交易平台缴纳任何费用。</w:t>
      </w:r>
    </w:p>
    <w:p w14:paraId="7761A47E">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lang w:val="en-US" w:eastAsia="zh-CN"/>
        </w:rPr>
        <w:t>3</w:t>
      </w:r>
      <w:r>
        <w:rPr>
          <w:rFonts w:hint="eastAsia" w:ascii="宋体" w:hAnsi="宋体" w:cs="宋体"/>
          <w:bCs/>
          <w:szCs w:val="21"/>
        </w:rPr>
        <w:t>、澄清说明：专家在评标室对需要进行澄清说明的单位进行提问，投标单位收到短信后在规定时间内在交易平台进行澄清说明（快捷导航-澄清说明-选择进行澄清说明的项目），查看问题并上传附件（澄清说明附件以PDF格式上传至交易系统）。</w:t>
      </w:r>
    </w:p>
    <w:p w14:paraId="62B14623">
      <w:pPr>
        <w:adjustRightInd w:val="0"/>
        <w:snapToGrid w:val="0"/>
        <w:spacing w:line="360" w:lineRule="auto"/>
        <w:ind w:firstLine="422" w:firstLineChars="200"/>
        <w:rPr>
          <w:rFonts w:hint="eastAsia" w:ascii="宋体" w:hAnsi="宋体" w:cs="宋体"/>
          <w:bCs/>
          <w:szCs w:val="21"/>
        </w:rPr>
      </w:pPr>
      <w:r>
        <w:rPr>
          <w:rFonts w:hint="eastAsia" w:ascii="宋体" w:hAnsi="宋体" w:cs="宋体"/>
          <w:b/>
          <w:szCs w:val="21"/>
        </w:rPr>
        <w:t>十、采购项目联系人姓名和电话</w:t>
      </w:r>
    </w:p>
    <w:p w14:paraId="010EF6F7">
      <w:pPr>
        <w:adjustRightInd w:val="0"/>
        <w:snapToGrid w:val="0"/>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rPr>
        <w:t>1、联系人姓名：</w:t>
      </w:r>
      <w:r>
        <w:rPr>
          <w:rFonts w:hint="eastAsia" w:ascii="宋体" w:hAnsi="宋体" w:cs="宋体"/>
          <w:bCs/>
          <w:szCs w:val="21"/>
          <w:lang w:eastAsia="zh-CN"/>
        </w:rPr>
        <w:t>李先生</w:t>
      </w:r>
    </w:p>
    <w:p w14:paraId="1B6915BC">
      <w:pPr>
        <w:adjustRightInd w:val="0"/>
        <w:snapToGrid w:val="0"/>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rPr>
        <w:t>2、电话：</w:t>
      </w:r>
      <w:r>
        <w:rPr>
          <w:rFonts w:hint="eastAsia" w:ascii="宋体" w:hAnsi="宋体" w:cs="宋体"/>
          <w:bCs/>
          <w:szCs w:val="21"/>
          <w:lang w:eastAsia="zh-CN"/>
        </w:rPr>
        <w:t>13973856570</w:t>
      </w:r>
    </w:p>
    <w:p w14:paraId="3BEB8002">
      <w:pPr>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十一、采购人、采购代理机构的名称、地址和联系方法</w:t>
      </w:r>
    </w:p>
    <w:p w14:paraId="26B33BA6">
      <w:pPr>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1</w:t>
      </w:r>
      <w:r>
        <w:rPr>
          <w:rFonts w:hint="eastAsia" w:ascii="宋体" w:hAnsi="宋体" w:cs="宋体"/>
          <w:szCs w:val="21"/>
        </w:rPr>
        <w:t>、</w:t>
      </w:r>
      <w:r>
        <w:rPr>
          <w:rFonts w:hint="eastAsia" w:ascii="宋体" w:hAnsi="宋体" w:cs="宋体"/>
          <w:b/>
          <w:bCs/>
          <w:szCs w:val="21"/>
        </w:rPr>
        <w:t>采购人信息</w:t>
      </w:r>
    </w:p>
    <w:p w14:paraId="79248662">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bCs/>
          <w:szCs w:val="21"/>
        </w:rPr>
        <w:t>名  称：</w:t>
      </w:r>
      <w:r>
        <w:rPr>
          <w:rFonts w:hint="eastAsia" w:ascii="宋体" w:hAnsi="宋体" w:cs="宋体"/>
          <w:bCs/>
          <w:szCs w:val="21"/>
          <w:lang w:eastAsia="zh-CN"/>
        </w:rPr>
        <w:t>涟源市自然资源局</w:t>
      </w:r>
    </w:p>
    <w:p w14:paraId="13B5BC2C">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szCs w:val="21"/>
        </w:rPr>
        <w:t>（2）地  址：</w:t>
      </w:r>
      <w:r>
        <w:rPr>
          <w:rFonts w:hint="eastAsia" w:ascii="宋体" w:hAnsi="宋体" w:cs="宋体"/>
          <w:bCs/>
          <w:szCs w:val="21"/>
          <w:lang w:eastAsia="zh-CN"/>
        </w:rPr>
        <w:t>涟源市福源路</w:t>
      </w:r>
    </w:p>
    <w:p w14:paraId="25F2B870">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szCs w:val="21"/>
        </w:rPr>
        <w:t>（3）联系人：</w:t>
      </w:r>
      <w:r>
        <w:rPr>
          <w:rFonts w:hint="eastAsia" w:ascii="宋体" w:hAnsi="宋体" w:cs="宋体"/>
          <w:bCs/>
          <w:szCs w:val="21"/>
          <w:lang w:eastAsia="zh-CN"/>
        </w:rPr>
        <w:t>李先生</w:t>
      </w:r>
    </w:p>
    <w:p w14:paraId="7EA9D0A0">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szCs w:val="21"/>
        </w:rPr>
        <w:t>（4）邮  编：</w:t>
      </w:r>
      <w:r>
        <w:rPr>
          <w:rFonts w:hint="eastAsia" w:ascii="宋体" w:hAnsi="宋体" w:cs="宋体"/>
          <w:szCs w:val="21"/>
          <w:lang w:eastAsia="zh-CN"/>
        </w:rPr>
        <w:t>417</w:t>
      </w:r>
      <w:r>
        <w:rPr>
          <w:rFonts w:hint="eastAsia" w:ascii="宋体" w:hAnsi="宋体" w:cs="宋体"/>
          <w:szCs w:val="21"/>
          <w:lang w:val="en-US" w:eastAsia="zh-CN"/>
        </w:rPr>
        <w:t>1</w:t>
      </w:r>
      <w:r>
        <w:rPr>
          <w:rFonts w:hint="eastAsia" w:ascii="宋体" w:hAnsi="宋体" w:cs="宋体"/>
          <w:szCs w:val="21"/>
          <w:lang w:eastAsia="zh-CN"/>
        </w:rPr>
        <w:t>00</w:t>
      </w:r>
    </w:p>
    <w:p w14:paraId="3C304E83">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szCs w:val="21"/>
        </w:rPr>
        <w:t>（5）电  话：</w:t>
      </w:r>
      <w:r>
        <w:rPr>
          <w:rFonts w:hint="eastAsia" w:ascii="宋体" w:hAnsi="宋体" w:cs="宋体"/>
          <w:bCs/>
          <w:szCs w:val="21"/>
          <w:lang w:eastAsia="zh-CN"/>
        </w:rPr>
        <w:t>13973856570</w:t>
      </w:r>
    </w:p>
    <w:p w14:paraId="0878014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 xml:space="preserve">（6）电子邮箱：/ </w:t>
      </w:r>
    </w:p>
    <w:p w14:paraId="07EAEF45">
      <w:pPr>
        <w:adjustRightInd w:val="0"/>
        <w:snapToGrid w:val="0"/>
        <w:spacing w:line="360" w:lineRule="auto"/>
        <w:ind w:firstLine="422" w:firstLineChars="200"/>
        <w:rPr>
          <w:rFonts w:hint="eastAsia" w:ascii="宋体" w:hAnsi="宋体" w:cs="宋体"/>
          <w:b/>
          <w:bCs/>
          <w:szCs w:val="21"/>
        </w:rPr>
      </w:pPr>
      <w:r>
        <w:rPr>
          <w:rFonts w:hint="eastAsia" w:ascii="宋体" w:hAnsi="宋体" w:cs="宋体"/>
          <w:b/>
          <w:bCs/>
          <w:szCs w:val="21"/>
        </w:rPr>
        <w:t>2</w:t>
      </w:r>
      <w:r>
        <w:rPr>
          <w:rFonts w:hint="eastAsia" w:ascii="宋体" w:hAnsi="宋体" w:cs="宋体"/>
          <w:szCs w:val="21"/>
        </w:rPr>
        <w:t>、</w:t>
      </w:r>
      <w:r>
        <w:rPr>
          <w:rFonts w:hint="eastAsia" w:ascii="宋体" w:hAnsi="宋体" w:cs="宋体"/>
          <w:b/>
          <w:bCs/>
          <w:szCs w:val="21"/>
        </w:rPr>
        <w:t>采购代理机构信息</w:t>
      </w:r>
    </w:p>
    <w:p w14:paraId="4B27AB50">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（1）采购代理机构名称：</w:t>
      </w:r>
      <w:r>
        <w:rPr>
          <w:rFonts w:hint="eastAsia" w:ascii="宋体" w:hAnsi="宋体" w:cs="宋体"/>
          <w:bCs/>
          <w:szCs w:val="21"/>
          <w:lang w:eastAsia="zh-CN"/>
        </w:rPr>
        <w:t>天鉴国际工程管理有限公司</w:t>
      </w:r>
      <w:r>
        <w:rPr>
          <w:rFonts w:hint="eastAsia" w:ascii="宋体" w:hAnsi="宋体" w:cs="宋体"/>
          <w:bCs/>
          <w:szCs w:val="21"/>
        </w:rPr>
        <w:t xml:space="preserve">         </w:t>
      </w:r>
    </w:p>
    <w:p w14:paraId="04F933C0">
      <w:pPr>
        <w:adjustRightInd w:val="0"/>
        <w:snapToGrid w:val="0"/>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rPr>
        <w:t>（2）地址：</w:t>
      </w:r>
      <w:r>
        <w:rPr>
          <w:rFonts w:hint="eastAsia" w:ascii="宋体" w:hAnsi="宋体"/>
          <w:szCs w:val="21"/>
          <w:u w:val="none"/>
          <w:lang w:eastAsia="zh-CN"/>
        </w:rPr>
        <w:t>涟源市人民中路职业培训学校二楼</w:t>
      </w:r>
    </w:p>
    <w:p w14:paraId="3CD56604">
      <w:pPr>
        <w:adjustRightInd w:val="0"/>
        <w:snapToGrid w:val="0"/>
        <w:spacing w:line="360" w:lineRule="auto"/>
        <w:ind w:firstLine="420" w:firstLineChars="200"/>
        <w:rPr>
          <w:rFonts w:hint="eastAsia" w:ascii="宋体" w:hAnsi="宋体" w:eastAsia="宋体" w:cs="宋体"/>
          <w:bCs/>
          <w:szCs w:val="21"/>
          <w:lang w:eastAsia="zh-CN"/>
        </w:rPr>
      </w:pPr>
      <w:r>
        <w:rPr>
          <w:rFonts w:hint="eastAsia" w:ascii="宋体" w:hAnsi="宋体" w:cs="宋体"/>
          <w:szCs w:val="21"/>
        </w:rPr>
        <w:t>（3）</w:t>
      </w:r>
      <w:r>
        <w:rPr>
          <w:rFonts w:hint="eastAsia" w:ascii="宋体" w:hAnsi="宋体" w:cs="宋体"/>
          <w:bCs/>
          <w:szCs w:val="21"/>
        </w:rPr>
        <w:t>联系人：</w:t>
      </w:r>
      <w:r>
        <w:rPr>
          <w:rFonts w:hint="eastAsia" w:ascii="宋体" w:hAnsi="宋体"/>
          <w:szCs w:val="21"/>
          <w:u w:val="none"/>
          <w:lang w:eastAsia="zh-CN"/>
        </w:rPr>
        <w:t>李女士</w:t>
      </w:r>
      <w:r>
        <w:rPr>
          <w:rFonts w:hint="eastAsia" w:ascii="宋体" w:hAnsi="宋体"/>
          <w:szCs w:val="21"/>
          <w:u w:val="none"/>
          <w:lang w:val="en-US" w:eastAsia="zh-CN"/>
        </w:rPr>
        <w:t xml:space="preserve">  罗先生</w:t>
      </w:r>
      <w:r>
        <w:rPr>
          <w:rFonts w:hint="eastAsia" w:ascii="宋体" w:hAnsi="宋体" w:cs="宋体"/>
          <w:bCs/>
          <w:szCs w:val="21"/>
          <w:lang w:eastAsia="zh-CN"/>
        </w:rPr>
        <w:t xml:space="preserve"> </w:t>
      </w:r>
    </w:p>
    <w:p w14:paraId="6CB06990">
      <w:pPr>
        <w:adjustRightInd w:val="0"/>
        <w:snapToGrid w:val="0"/>
        <w:spacing w:line="360" w:lineRule="auto"/>
        <w:ind w:firstLine="420" w:firstLineChars="200"/>
        <w:rPr>
          <w:rFonts w:hint="eastAsia" w:ascii="宋体" w:hAnsi="宋体" w:cs="宋体"/>
          <w:color w:val="000000"/>
          <w:kern w:val="0"/>
          <w:sz w:val="24"/>
        </w:rPr>
      </w:pPr>
      <w:r>
        <w:rPr>
          <w:rFonts w:hint="eastAsia" w:ascii="宋体" w:hAnsi="宋体" w:cs="宋体"/>
          <w:szCs w:val="21"/>
        </w:rPr>
        <w:t>（4）</w:t>
      </w:r>
      <w:r>
        <w:rPr>
          <w:rFonts w:hint="eastAsia" w:ascii="宋体" w:hAnsi="宋体" w:cs="宋体"/>
          <w:bCs/>
          <w:szCs w:val="21"/>
        </w:rPr>
        <w:t>电话：</w:t>
      </w:r>
      <w:r>
        <w:rPr>
          <w:rFonts w:hint="eastAsia" w:ascii="宋体" w:hAnsi="宋体"/>
          <w:szCs w:val="21"/>
          <w:u w:val="none"/>
          <w:lang w:val="en-US" w:eastAsia="zh-CN"/>
        </w:rPr>
        <w:t xml:space="preserve">18207380199  </w:t>
      </w:r>
      <w:r>
        <w:rPr>
          <w:rFonts w:hint="eastAsia" w:ascii="宋体" w:hAnsi="宋体"/>
          <w:szCs w:val="21"/>
          <w:u w:val="none"/>
        </w:rPr>
        <w:t>15897380101</w:t>
      </w:r>
      <w:r>
        <w:rPr>
          <w:rFonts w:hint="eastAsia" w:ascii="宋体" w:hAnsi="宋体" w:cs="宋体"/>
          <w:color w:val="000000"/>
          <w:kern w:val="0"/>
          <w:sz w:val="24"/>
        </w:rPr>
        <w:fldChar w:fldCharType="begin"/>
      </w:r>
      <w:r>
        <w:rPr>
          <w:rFonts w:hint="eastAsia" w:ascii="宋体" w:hAnsi="宋体" w:cs="宋体"/>
          <w:color w:val="000000"/>
          <w:kern w:val="0"/>
          <w:sz w:val="24"/>
        </w:rPr>
        <w:instrText xml:space="preserve"> HYPERLINK "https://mail.qq.com/cgi-bin/javascript:;" </w:instrText>
      </w:r>
      <w:r>
        <w:rPr>
          <w:rFonts w:hint="eastAsia" w:ascii="宋体" w:hAnsi="宋体" w:cs="宋体"/>
          <w:color w:val="000000"/>
          <w:kern w:val="0"/>
          <w:sz w:val="24"/>
        </w:rPr>
        <w:fldChar w:fldCharType="separate"/>
      </w:r>
    </w:p>
    <w:p w14:paraId="5D6281E2">
      <w:pPr>
        <w:pStyle w:val="64"/>
        <w:spacing w:line="360" w:lineRule="auto"/>
        <w:ind w:firstLine="480"/>
        <w:rPr>
          <w:rFonts w:hint="eastAsia" w:ascii="宋体" w:hAnsi="宋体" w:cs="宋体"/>
          <w:b/>
          <w:bCs/>
          <w:position w:val="-1"/>
          <w:szCs w:val="21"/>
        </w:rPr>
      </w:pPr>
      <w:r>
        <w:rPr>
          <w:rFonts w:hint="eastAsia" w:ascii="宋体" w:hAnsi="宋体" w:cs="宋体"/>
          <w:color w:val="000000"/>
          <w:sz w:val="24"/>
        </w:rPr>
        <w:fldChar w:fldCharType="end"/>
      </w:r>
      <w:r>
        <w:rPr>
          <w:rFonts w:hint="eastAsia" w:ascii="宋体" w:hAnsi="宋体" w:cs="宋体"/>
          <w:b/>
          <w:bCs/>
          <w:position w:val="-1"/>
          <w:szCs w:val="21"/>
        </w:rPr>
        <w:t>3、电子交易平台服务机构信息</w:t>
      </w:r>
    </w:p>
    <w:p w14:paraId="4A0375D3">
      <w:pPr>
        <w:adjustRightInd w:val="0"/>
        <w:snapToGrid w:val="0"/>
        <w:spacing w:line="360" w:lineRule="auto"/>
        <w:ind w:firstLine="420" w:firstLineChars="200"/>
        <w:rPr>
          <w:rFonts w:hint="eastAsia" w:ascii="宋体" w:hAnsi="宋体" w:cs="宋体"/>
          <w:bCs/>
          <w:szCs w:val="21"/>
        </w:rPr>
      </w:pPr>
      <w:r>
        <w:rPr>
          <w:rFonts w:hint="eastAsia" w:ascii="宋体" w:hAnsi="宋体" w:cs="宋体"/>
          <w:szCs w:val="21"/>
        </w:rPr>
        <w:t>（1）</w:t>
      </w:r>
      <w:r>
        <w:rPr>
          <w:rFonts w:hint="eastAsia" w:ascii="宋体" w:hAnsi="宋体" w:cs="宋体"/>
          <w:bCs/>
          <w:szCs w:val="21"/>
        </w:rPr>
        <w:t>名  称：娄底市公共资源交易平台</w:t>
      </w:r>
    </w:p>
    <w:p w14:paraId="5BF0AB94">
      <w:pPr>
        <w:adjustRightInd w:val="0"/>
        <w:snapToGrid w:val="0"/>
        <w:spacing w:line="360" w:lineRule="auto"/>
        <w:ind w:firstLine="420" w:firstLineChars="200"/>
        <w:rPr>
          <w:rFonts w:hint="eastAsia" w:ascii="宋体" w:hAnsi="宋体" w:cs="宋体"/>
          <w:bCs/>
          <w:iCs/>
          <w:szCs w:val="21"/>
        </w:rPr>
      </w:pPr>
      <w:r>
        <w:rPr>
          <w:rFonts w:hint="eastAsia" w:ascii="宋体" w:hAnsi="宋体" w:cs="宋体"/>
          <w:bCs/>
          <w:iCs/>
          <w:szCs w:val="21"/>
        </w:rPr>
        <w:t>（2）联系人：金润软件</w:t>
      </w:r>
    </w:p>
    <w:p w14:paraId="66385E1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电话</w:t>
      </w:r>
      <w:r>
        <w:rPr>
          <w:rFonts w:hint="eastAsia" w:ascii="宋体" w:hAnsi="宋体" w:cs="宋体"/>
          <w:szCs w:val="21"/>
        </w:rPr>
        <w:t>：4008199995</w:t>
      </w:r>
    </w:p>
    <w:p w14:paraId="6C67B1DE">
      <w:pPr>
        <w:widowControl/>
        <w:ind w:firstLine="420" w:firstLineChars="200"/>
        <w:jc w:val="left"/>
        <w:rPr>
          <w:rFonts w:hint="eastAsia" w:ascii="宋体" w:hAnsi="宋体" w:cs="宋体"/>
          <w:szCs w:val="21"/>
        </w:rPr>
      </w:pPr>
      <w:r>
        <w:rPr>
          <w:rFonts w:hint="eastAsia" w:ascii="宋体" w:hAnsi="宋体" w:cs="宋体"/>
          <w:szCs w:val="21"/>
        </w:rPr>
        <w:t>（4）电子邮箱：2159511823@qq.com</w:t>
      </w:r>
    </w:p>
    <w:p w14:paraId="6F4B5CB2">
      <w:pPr>
        <w:widowControl/>
        <w:ind w:firstLine="420" w:firstLineChars="200"/>
        <w:jc w:val="left"/>
        <w:rPr>
          <w:rFonts w:hint="eastAsia" w:ascii="宋体" w:hAnsi="宋体"/>
          <w:color w:val="000000"/>
          <w:szCs w:val="21"/>
        </w:rPr>
      </w:pPr>
    </w:p>
    <w:p w14:paraId="2F3FC60D">
      <w:pPr>
        <w:widowControl/>
        <w:ind w:firstLine="630" w:firstLineChars="300"/>
        <w:jc w:val="left"/>
        <w:rPr>
          <w:rFonts w:hint="eastAsia" w:ascii="宋体" w:hAnsi="宋体"/>
          <w:color w:val="000000"/>
          <w:szCs w:val="21"/>
        </w:rPr>
      </w:pPr>
    </w:p>
    <w:p w14:paraId="764A240D">
      <w:pPr>
        <w:pStyle w:val="25"/>
        <w:adjustRightInd w:val="0"/>
        <w:snapToGrid w:val="0"/>
        <w:spacing w:line="360" w:lineRule="auto"/>
        <w:jc w:val="center"/>
        <w:outlineLvl w:val="0"/>
        <w:rPr>
          <w:rFonts w:hint="eastAsia" w:ascii="黑体" w:hAnsi="华文中宋" w:eastAsia="黑体"/>
          <w:b/>
          <w:color w:val="000000"/>
          <w:sz w:val="32"/>
          <w:szCs w:val="32"/>
        </w:rPr>
      </w:pPr>
    </w:p>
    <w:p w14:paraId="669354AA">
      <w:pPr>
        <w:pStyle w:val="25"/>
        <w:adjustRightInd w:val="0"/>
        <w:snapToGrid w:val="0"/>
        <w:spacing w:line="360" w:lineRule="auto"/>
        <w:jc w:val="center"/>
        <w:outlineLvl w:val="0"/>
        <w:rPr>
          <w:rFonts w:hint="eastAsia" w:ascii="黑体" w:hAnsi="华文中宋" w:eastAsia="黑体"/>
          <w:b/>
          <w:color w:val="000000"/>
          <w:sz w:val="32"/>
          <w:szCs w:val="32"/>
        </w:rPr>
      </w:pPr>
    </w:p>
    <w:p w14:paraId="0F61D2C3">
      <w:pPr>
        <w:pStyle w:val="25"/>
        <w:adjustRightInd w:val="0"/>
        <w:snapToGrid w:val="0"/>
        <w:spacing w:line="360" w:lineRule="auto"/>
        <w:jc w:val="center"/>
        <w:outlineLvl w:val="0"/>
        <w:rPr>
          <w:rFonts w:hint="eastAsia" w:ascii="黑体" w:hAnsi="华文中宋" w:eastAsia="黑体"/>
          <w:b/>
          <w:color w:val="000000"/>
          <w:sz w:val="32"/>
          <w:szCs w:val="32"/>
        </w:rPr>
      </w:pPr>
    </w:p>
    <w:p w14:paraId="5944CAA7">
      <w:pPr>
        <w:pStyle w:val="25"/>
        <w:adjustRightInd w:val="0"/>
        <w:snapToGrid w:val="0"/>
        <w:spacing w:line="360" w:lineRule="auto"/>
        <w:outlineLvl w:val="0"/>
        <w:rPr>
          <w:rFonts w:hint="eastAsia" w:ascii="黑体" w:hAnsi="华文中宋" w:eastAsia="黑体"/>
          <w:b/>
          <w:color w:val="000000"/>
          <w:sz w:val="32"/>
          <w:szCs w:val="32"/>
        </w:rPr>
      </w:pPr>
    </w:p>
    <w:p w14:paraId="1C60770F">
      <w:pPr>
        <w:rPr>
          <w:rFonts w:hint="eastAsia" w:ascii="黑体" w:hAnsi="华文中宋" w:eastAsia="黑体"/>
          <w:b/>
          <w:color w:val="000000"/>
          <w:sz w:val="32"/>
          <w:szCs w:val="32"/>
        </w:rPr>
      </w:pPr>
      <w:r>
        <w:rPr>
          <w:rFonts w:hint="eastAsia" w:ascii="黑体" w:hAnsi="华文中宋" w:eastAsia="黑体"/>
          <w:b/>
          <w:color w:val="000000"/>
          <w:sz w:val="32"/>
          <w:szCs w:val="32"/>
        </w:rPr>
        <w:br w:type="page"/>
      </w:r>
    </w:p>
    <w:p w14:paraId="0F071739">
      <w:pPr>
        <w:pStyle w:val="25"/>
        <w:adjustRightInd w:val="0"/>
        <w:snapToGrid w:val="0"/>
        <w:spacing w:line="360" w:lineRule="auto"/>
        <w:jc w:val="center"/>
        <w:outlineLvl w:val="0"/>
        <w:rPr>
          <w:rFonts w:hint="eastAsia" w:ascii="黑体" w:hAnsi="华文中宋" w:eastAsia="黑体"/>
          <w:b/>
          <w:color w:val="000000"/>
          <w:spacing w:val="100"/>
          <w:sz w:val="32"/>
          <w:szCs w:val="32"/>
        </w:rPr>
      </w:pPr>
      <w:bookmarkStart w:id="9" w:name="_Toc13369"/>
      <w:r>
        <w:rPr>
          <w:rFonts w:hint="eastAsia" w:ascii="黑体" w:hAnsi="华文中宋" w:eastAsia="黑体"/>
          <w:b/>
          <w:color w:val="000000"/>
          <w:sz w:val="32"/>
          <w:szCs w:val="32"/>
        </w:rPr>
        <w:t>第二章 投标须知</w:t>
      </w:r>
      <w:bookmarkEnd w:id="0"/>
      <w:bookmarkEnd w:id="1"/>
      <w:bookmarkEnd w:id="2"/>
      <w:bookmarkEnd w:id="3"/>
      <w:bookmarkEnd w:id="4"/>
      <w:bookmarkEnd w:id="5"/>
      <w:bookmarkEnd w:id="6"/>
      <w:bookmarkEnd w:id="7"/>
      <w:bookmarkEnd w:id="9"/>
    </w:p>
    <w:p w14:paraId="3222E6C2">
      <w:pPr>
        <w:keepNext/>
        <w:keepLines/>
        <w:adjustRightInd w:val="0"/>
        <w:snapToGrid w:val="0"/>
        <w:spacing w:line="360" w:lineRule="auto"/>
        <w:jc w:val="center"/>
        <w:outlineLvl w:val="1"/>
        <w:rPr>
          <w:rFonts w:hint="eastAsia" w:ascii="黑体" w:hAnsi="华文中宋" w:eastAsia="黑体"/>
          <w:b/>
          <w:bCs/>
          <w:spacing w:val="100"/>
          <w:sz w:val="28"/>
          <w:szCs w:val="28"/>
        </w:rPr>
      </w:pPr>
      <w:bookmarkStart w:id="10" w:name="_Toc20651194"/>
      <w:bookmarkStart w:id="11" w:name="_Toc14849"/>
      <w:r>
        <w:rPr>
          <w:rFonts w:hint="eastAsia" w:ascii="黑体" w:hAnsi="华文中宋" w:eastAsia="黑体"/>
          <w:b/>
          <w:bCs/>
          <w:sz w:val="28"/>
          <w:szCs w:val="28"/>
        </w:rPr>
        <w:t>第一节 投标须知前附表</w:t>
      </w:r>
      <w:bookmarkEnd w:id="10"/>
      <w:bookmarkEnd w:id="11"/>
    </w:p>
    <w:p w14:paraId="06A0EF9C">
      <w:pPr>
        <w:adjustRightInd w:val="0"/>
        <w:snapToGrid w:val="0"/>
        <w:spacing w:line="360" w:lineRule="auto"/>
        <w:ind w:right="31" w:rightChars="15"/>
        <w:jc w:val="left"/>
        <w:rPr>
          <w:rFonts w:hint="eastAsia" w:ascii="宋体" w:hAnsi="宋体"/>
          <w:i/>
          <w:szCs w:val="21"/>
        </w:rPr>
      </w:pPr>
      <w:r>
        <w:rPr>
          <w:rFonts w:hint="eastAsia" w:ascii="宋体" w:hAnsi="宋体"/>
          <w:i/>
          <w:szCs w:val="21"/>
        </w:rPr>
        <w:t>注：本项目启用的条款在“编列内容规定”栏内以“</w:t>
      </w:r>
      <w:r>
        <w:rPr>
          <w:rFonts w:hint="eastAsia" w:ascii="宋体" w:hAnsi="宋体"/>
          <w:iCs/>
          <w:szCs w:val="21"/>
        </w:rPr>
        <w:sym w:font="Wingdings" w:char="00FE"/>
      </w:r>
      <w:r>
        <w:rPr>
          <w:rFonts w:hint="eastAsia" w:ascii="宋体" w:hAnsi="宋体"/>
          <w:i/>
          <w:szCs w:val="21"/>
        </w:rPr>
        <w:t>”标注。</w:t>
      </w:r>
    </w:p>
    <w:tbl>
      <w:tblPr>
        <w:tblStyle w:val="46"/>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409"/>
        <w:gridCol w:w="4962"/>
      </w:tblGrid>
      <w:tr w14:paraId="6C0CEA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391" w:hRule="atLeast"/>
          <w:tblHeader/>
        </w:trPr>
        <w:tc>
          <w:tcPr>
            <w:tcW w:w="1560" w:type="dxa"/>
            <w:vAlign w:val="center"/>
          </w:tcPr>
          <w:p w14:paraId="082301F2">
            <w:pPr>
              <w:adjustRightInd w:val="0"/>
              <w:snapToGrid w:val="0"/>
              <w:spacing w:line="360" w:lineRule="auto"/>
              <w:jc w:val="center"/>
              <w:rPr>
                <w:rFonts w:hint="eastAsia" w:ascii="宋体" w:hAnsi="宋体"/>
                <w:b/>
                <w:szCs w:val="21"/>
              </w:rPr>
            </w:pPr>
            <w:r>
              <w:rPr>
                <w:rFonts w:hint="eastAsia" w:ascii="宋体" w:hAnsi="宋体"/>
                <w:b/>
                <w:szCs w:val="21"/>
              </w:rPr>
              <w:t>条款号</w:t>
            </w:r>
          </w:p>
        </w:tc>
        <w:tc>
          <w:tcPr>
            <w:tcW w:w="2409" w:type="dxa"/>
            <w:vAlign w:val="center"/>
          </w:tcPr>
          <w:p w14:paraId="24A21503">
            <w:pPr>
              <w:adjustRightInd w:val="0"/>
              <w:snapToGrid w:val="0"/>
              <w:spacing w:line="360" w:lineRule="auto"/>
              <w:jc w:val="center"/>
              <w:rPr>
                <w:rFonts w:hint="eastAsia" w:ascii="宋体" w:hAnsi="宋体"/>
                <w:b/>
                <w:szCs w:val="21"/>
              </w:rPr>
            </w:pPr>
            <w:r>
              <w:rPr>
                <w:rFonts w:hint="eastAsia" w:ascii="宋体" w:hAnsi="宋体"/>
                <w:b/>
                <w:szCs w:val="21"/>
              </w:rPr>
              <w:t>条款名称</w:t>
            </w:r>
          </w:p>
        </w:tc>
        <w:tc>
          <w:tcPr>
            <w:tcW w:w="4962" w:type="dxa"/>
            <w:vAlign w:val="center"/>
          </w:tcPr>
          <w:p w14:paraId="756D5EC1">
            <w:pPr>
              <w:adjustRightInd w:val="0"/>
              <w:snapToGrid w:val="0"/>
              <w:spacing w:line="360" w:lineRule="auto"/>
              <w:jc w:val="center"/>
              <w:rPr>
                <w:rFonts w:hint="eastAsia" w:ascii="宋体" w:hAnsi="宋体"/>
                <w:b/>
                <w:szCs w:val="21"/>
              </w:rPr>
            </w:pPr>
            <w:r>
              <w:rPr>
                <w:rFonts w:hint="eastAsia" w:ascii="宋体" w:hAnsi="宋体"/>
                <w:b/>
                <w:szCs w:val="21"/>
              </w:rPr>
              <w:t>编列内容规定</w:t>
            </w:r>
          </w:p>
        </w:tc>
      </w:tr>
      <w:tr w14:paraId="16C0E9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8931" w:type="dxa"/>
            <w:gridSpan w:val="3"/>
            <w:vAlign w:val="center"/>
          </w:tcPr>
          <w:p w14:paraId="3032C88E">
            <w:pPr>
              <w:adjustRightInd w:val="0"/>
              <w:snapToGrid w:val="0"/>
              <w:spacing w:line="360" w:lineRule="auto"/>
              <w:rPr>
                <w:rFonts w:hint="eastAsia" w:ascii="宋体" w:hAnsi="宋体"/>
                <w:szCs w:val="21"/>
              </w:rPr>
            </w:pPr>
            <w:r>
              <w:rPr>
                <w:rFonts w:hint="eastAsia" w:ascii="宋体" w:hAnsi="宋体"/>
                <w:b/>
                <w:szCs w:val="21"/>
              </w:rPr>
              <w:t>一、说明</w:t>
            </w:r>
          </w:p>
        </w:tc>
      </w:tr>
      <w:tr w14:paraId="1F432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trPr>
        <w:tc>
          <w:tcPr>
            <w:tcW w:w="1560" w:type="dxa"/>
            <w:vAlign w:val="center"/>
          </w:tcPr>
          <w:p w14:paraId="239B346F">
            <w:pPr>
              <w:adjustRightInd w:val="0"/>
              <w:snapToGrid w:val="0"/>
              <w:spacing w:line="360" w:lineRule="auto"/>
              <w:jc w:val="center"/>
              <w:rPr>
                <w:rFonts w:hint="eastAsia" w:ascii="宋体" w:hAnsi="宋体"/>
                <w:szCs w:val="21"/>
              </w:rPr>
            </w:pPr>
            <w:r>
              <w:rPr>
                <w:rFonts w:hint="eastAsia" w:ascii="宋体" w:hAnsi="宋体"/>
                <w:szCs w:val="21"/>
              </w:rPr>
              <w:t>第1.1款</w:t>
            </w:r>
          </w:p>
        </w:tc>
        <w:tc>
          <w:tcPr>
            <w:tcW w:w="2409" w:type="dxa"/>
            <w:vAlign w:val="center"/>
          </w:tcPr>
          <w:p w14:paraId="3700594F">
            <w:pPr>
              <w:adjustRightInd w:val="0"/>
              <w:snapToGrid w:val="0"/>
              <w:spacing w:line="360" w:lineRule="auto"/>
              <w:rPr>
                <w:rFonts w:hint="eastAsia" w:hAnsi="宋体"/>
                <w:szCs w:val="21"/>
              </w:rPr>
            </w:pPr>
            <w:r>
              <w:rPr>
                <w:rFonts w:hint="eastAsia" w:hAnsi="宋体"/>
                <w:szCs w:val="21"/>
              </w:rPr>
              <w:t>采购项目</w:t>
            </w:r>
          </w:p>
        </w:tc>
        <w:tc>
          <w:tcPr>
            <w:tcW w:w="4962" w:type="dxa"/>
            <w:vAlign w:val="center"/>
          </w:tcPr>
          <w:p w14:paraId="6BC0C2CA">
            <w:pPr>
              <w:adjustRightInd w:val="0"/>
              <w:snapToGrid w:val="0"/>
              <w:spacing w:line="420" w:lineRule="exact"/>
              <w:rPr>
                <w:rFonts w:hint="eastAsia" w:hAnsi="宋体" w:eastAsia="宋体"/>
                <w:szCs w:val="21"/>
                <w:lang w:eastAsia="zh-CN"/>
              </w:rPr>
            </w:pPr>
            <w:r>
              <w:rPr>
                <w:rFonts w:hint="eastAsia" w:ascii="宋体" w:hAnsi="宋体"/>
                <w:szCs w:val="21"/>
                <w:lang w:eastAsia="zh-CN"/>
              </w:rPr>
              <w:t>涟源市不动产登记信息“一库一平台”建设项目</w:t>
            </w:r>
          </w:p>
        </w:tc>
      </w:tr>
      <w:tr w14:paraId="10A248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1560" w:type="dxa"/>
            <w:vAlign w:val="center"/>
          </w:tcPr>
          <w:p w14:paraId="562E3705">
            <w:pPr>
              <w:adjustRightInd w:val="0"/>
              <w:snapToGrid w:val="0"/>
              <w:spacing w:line="360" w:lineRule="auto"/>
              <w:jc w:val="center"/>
              <w:rPr>
                <w:rFonts w:hint="eastAsia" w:ascii="宋体" w:hAnsi="宋体"/>
                <w:szCs w:val="21"/>
              </w:rPr>
            </w:pPr>
            <w:r>
              <w:rPr>
                <w:rFonts w:hint="eastAsia" w:ascii="宋体" w:hAnsi="宋体"/>
                <w:szCs w:val="21"/>
              </w:rPr>
              <w:t>第1.2款</w:t>
            </w:r>
          </w:p>
        </w:tc>
        <w:tc>
          <w:tcPr>
            <w:tcW w:w="2409" w:type="dxa"/>
            <w:vAlign w:val="center"/>
          </w:tcPr>
          <w:p w14:paraId="253CDA8C">
            <w:pPr>
              <w:adjustRightInd w:val="0"/>
              <w:snapToGrid w:val="0"/>
              <w:spacing w:line="360" w:lineRule="auto"/>
              <w:rPr>
                <w:rFonts w:hint="eastAsia" w:hAnsi="宋体"/>
                <w:szCs w:val="21"/>
              </w:rPr>
            </w:pPr>
            <w:r>
              <w:rPr>
                <w:rFonts w:hint="eastAsia" w:ascii="宋体" w:hAnsi="宋体"/>
                <w:szCs w:val="21"/>
              </w:rPr>
              <w:t>是否预留采购份额</w:t>
            </w:r>
          </w:p>
        </w:tc>
        <w:tc>
          <w:tcPr>
            <w:tcW w:w="4962" w:type="dxa"/>
            <w:vAlign w:val="center"/>
          </w:tcPr>
          <w:p w14:paraId="11B6C496">
            <w:pPr>
              <w:adjustRightInd w:val="0"/>
              <w:snapToGrid w:val="0"/>
              <w:spacing w:before="50"/>
              <w:rPr>
                <w:rFonts w:hint="eastAsia" w:ascii="宋体" w:hAnsi="宋体"/>
                <w:szCs w:val="21"/>
              </w:rPr>
            </w:pPr>
            <w:r>
              <w:rPr>
                <w:rFonts w:hint="eastAsia" w:ascii="宋体" w:hAnsi="宋体"/>
                <w:iCs/>
                <w:szCs w:val="21"/>
              </w:rPr>
              <w:sym w:font="Wingdings" w:char="00A8"/>
            </w:r>
            <w:r>
              <w:rPr>
                <w:rFonts w:hint="eastAsia" w:ascii="宋体" w:hAnsi="宋体"/>
                <w:szCs w:val="21"/>
              </w:rPr>
              <w:t xml:space="preserve"> 预留采购份额：</w:t>
            </w:r>
            <w:r>
              <w:rPr>
                <w:rFonts w:hint="eastAsia" w:ascii="宋体" w:hAnsi="宋体"/>
                <w:bCs/>
                <w:szCs w:val="21"/>
              </w:rPr>
              <w:t>大型企业应将采购份额的</w:t>
            </w:r>
            <w:r>
              <w:rPr>
                <w:rFonts w:hint="eastAsia" w:ascii="宋体" w:hAnsi="宋体"/>
                <w:bCs/>
                <w:szCs w:val="21"/>
                <w:u w:val="single"/>
              </w:rPr>
              <w:t xml:space="preserve">    </w:t>
            </w:r>
            <w:r>
              <w:rPr>
                <w:rFonts w:hint="eastAsia" w:ascii="宋体" w:hAnsi="宋体"/>
                <w:bCs/>
                <w:szCs w:val="21"/>
              </w:rPr>
              <w:t>%分包给中小企业。</w:t>
            </w:r>
          </w:p>
          <w:p w14:paraId="36E06857">
            <w:pPr>
              <w:adjustRightInd w:val="0"/>
              <w:snapToGrid w:val="0"/>
              <w:rPr>
                <w:rFonts w:hint="eastAsia" w:hAnsi="宋体"/>
                <w:szCs w:val="21"/>
              </w:rPr>
            </w:pPr>
            <w:r>
              <w:rPr>
                <w:rFonts w:hint="eastAsia" w:ascii="宋体" w:hAnsi="宋体"/>
                <w:iCs/>
                <w:szCs w:val="21"/>
              </w:rPr>
              <w:sym w:font="Wingdings" w:char="00A8"/>
            </w:r>
            <w:r>
              <w:rPr>
                <w:rFonts w:hint="eastAsia" w:ascii="宋体" w:hAnsi="宋体"/>
                <w:szCs w:val="21"/>
              </w:rPr>
              <w:t xml:space="preserve"> 非预留采购份额</w:t>
            </w:r>
          </w:p>
        </w:tc>
      </w:tr>
      <w:tr w14:paraId="46A9DA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4" w:hRule="atLeast"/>
        </w:trPr>
        <w:tc>
          <w:tcPr>
            <w:tcW w:w="1560" w:type="dxa"/>
            <w:vAlign w:val="center"/>
          </w:tcPr>
          <w:p w14:paraId="2C84801C">
            <w:pPr>
              <w:adjustRightInd w:val="0"/>
              <w:snapToGrid w:val="0"/>
              <w:spacing w:line="360" w:lineRule="auto"/>
              <w:jc w:val="center"/>
              <w:rPr>
                <w:rFonts w:hint="eastAsia" w:ascii="宋体" w:hAnsi="宋体"/>
                <w:szCs w:val="21"/>
              </w:rPr>
            </w:pPr>
            <w:r>
              <w:rPr>
                <w:rFonts w:hint="eastAsia" w:ascii="宋体" w:hAnsi="宋体"/>
                <w:szCs w:val="21"/>
              </w:rPr>
              <w:t>第2.1</w:t>
            </w:r>
            <w:r>
              <w:rPr>
                <w:rFonts w:hint="eastAsia" w:ascii="宋体" w:hAnsi="宋体" w:cs="宋体"/>
                <w:kern w:val="0"/>
                <w:szCs w:val="21"/>
                <w:lang w:val="zh-CN"/>
              </w:rPr>
              <w:t>款</w:t>
            </w:r>
          </w:p>
        </w:tc>
        <w:tc>
          <w:tcPr>
            <w:tcW w:w="2409" w:type="dxa"/>
          </w:tcPr>
          <w:p w14:paraId="6AE86C84">
            <w:pPr>
              <w:adjustRightInd w:val="0"/>
              <w:snapToGrid w:val="0"/>
              <w:spacing w:line="360" w:lineRule="auto"/>
              <w:rPr>
                <w:rFonts w:hint="eastAsia" w:ascii="宋体" w:hAnsi="宋体"/>
                <w:szCs w:val="21"/>
              </w:rPr>
            </w:pPr>
            <w:r>
              <w:rPr>
                <w:rFonts w:hint="eastAsia" w:hAnsi="宋体"/>
                <w:szCs w:val="21"/>
              </w:rPr>
              <w:t>采购项目联系人姓名和电话</w:t>
            </w:r>
          </w:p>
        </w:tc>
        <w:tc>
          <w:tcPr>
            <w:tcW w:w="4962" w:type="dxa"/>
            <w:vAlign w:val="center"/>
          </w:tcPr>
          <w:p w14:paraId="5855FC10">
            <w:pPr>
              <w:pStyle w:val="64"/>
              <w:ind w:firstLine="0" w:firstLineChars="0"/>
            </w:pPr>
            <w:r>
              <w:rPr>
                <w:rFonts w:hint="eastAsia" w:ascii="宋体" w:hAnsi="宋体" w:cs="Arial"/>
                <w:szCs w:val="21"/>
              </w:rPr>
              <w:t>详见第一章【投标邀请】</w:t>
            </w:r>
          </w:p>
        </w:tc>
      </w:tr>
      <w:tr w14:paraId="7955AF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415DED3">
            <w:pPr>
              <w:adjustRightInd w:val="0"/>
              <w:snapToGrid w:val="0"/>
              <w:spacing w:line="360" w:lineRule="auto"/>
              <w:jc w:val="center"/>
              <w:rPr>
                <w:rFonts w:hint="eastAsia" w:ascii="宋体" w:hAnsi="宋体"/>
                <w:szCs w:val="21"/>
              </w:rPr>
            </w:pPr>
            <w:r>
              <w:rPr>
                <w:rFonts w:hint="eastAsia" w:ascii="宋体" w:hAnsi="宋体"/>
                <w:szCs w:val="21"/>
              </w:rPr>
              <w:t>第2.2</w:t>
            </w:r>
            <w:r>
              <w:rPr>
                <w:rFonts w:hint="eastAsia" w:ascii="宋体" w:hAnsi="宋体" w:cs="宋体"/>
                <w:kern w:val="0"/>
                <w:szCs w:val="21"/>
                <w:lang w:val="zh-CN"/>
              </w:rPr>
              <w:t>款</w:t>
            </w:r>
          </w:p>
        </w:tc>
        <w:tc>
          <w:tcPr>
            <w:tcW w:w="2409" w:type="dxa"/>
            <w:vAlign w:val="center"/>
          </w:tcPr>
          <w:p w14:paraId="4906BF23">
            <w:pPr>
              <w:adjustRightInd w:val="0"/>
              <w:snapToGrid w:val="0"/>
              <w:spacing w:line="360" w:lineRule="auto"/>
              <w:jc w:val="left"/>
              <w:rPr>
                <w:rFonts w:hint="eastAsia" w:ascii="宋体" w:hAnsi="宋体"/>
                <w:szCs w:val="21"/>
              </w:rPr>
            </w:pPr>
            <w:r>
              <w:rPr>
                <w:rFonts w:hint="eastAsia" w:hAnsi="宋体"/>
                <w:szCs w:val="21"/>
              </w:rPr>
              <w:t>采购人名称、地址、电话、联系人</w:t>
            </w:r>
          </w:p>
        </w:tc>
        <w:tc>
          <w:tcPr>
            <w:tcW w:w="4962" w:type="dxa"/>
            <w:vAlign w:val="center"/>
          </w:tcPr>
          <w:p w14:paraId="4D220522">
            <w:pPr>
              <w:adjustRightInd w:val="0"/>
              <w:snapToGrid w:val="0"/>
              <w:spacing w:line="420" w:lineRule="exact"/>
            </w:pPr>
            <w:r>
              <w:rPr>
                <w:rFonts w:hint="eastAsia" w:ascii="宋体" w:hAnsi="宋体" w:cs="Arial"/>
                <w:kern w:val="0"/>
                <w:szCs w:val="21"/>
              </w:rPr>
              <w:t>详见第一章【投标邀请】</w:t>
            </w:r>
          </w:p>
        </w:tc>
      </w:tr>
      <w:tr w14:paraId="765D29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C6A9375">
            <w:pPr>
              <w:adjustRightInd w:val="0"/>
              <w:snapToGrid w:val="0"/>
              <w:spacing w:line="360" w:lineRule="auto"/>
              <w:jc w:val="center"/>
              <w:rPr>
                <w:rFonts w:hint="eastAsia" w:ascii="宋体" w:hAnsi="宋体"/>
                <w:szCs w:val="21"/>
              </w:rPr>
            </w:pPr>
            <w:r>
              <w:rPr>
                <w:rFonts w:hint="eastAsia" w:ascii="宋体" w:hAnsi="宋体"/>
                <w:szCs w:val="21"/>
              </w:rPr>
              <w:t>第2.3</w:t>
            </w:r>
            <w:r>
              <w:rPr>
                <w:rFonts w:hint="eastAsia" w:ascii="宋体" w:hAnsi="宋体" w:cs="宋体"/>
                <w:kern w:val="0"/>
                <w:szCs w:val="21"/>
                <w:lang w:val="zh-CN"/>
              </w:rPr>
              <w:t>款</w:t>
            </w:r>
          </w:p>
        </w:tc>
        <w:tc>
          <w:tcPr>
            <w:tcW w:w="2409" w:type="dxa"/>
            <w:vAlign w:val="center"/>
          </w:tcPr>
          <w:p w14:paraId="1F47D37E">
            <w:pPr>
              <w:adjustRightInd w:val="0"/>
              <w:snapToGrid w:val="0"/>
              <w:spacing w:line="360" w:lineRule="auto"/>
              <w:jc w:val="left"/>
              <w:rPr>
                <w:rFonts w:hint="eastAsia" w:ascii="宋体" w:hAnsi="宋体"/>
                <w:szCs w:val="21"/>
              </w:rPr>
            </w:pPr>
            <w:r>
              <w:rPr>
                <w:rFonts w:hint="eastAsia" w:hAnsi="宋体"/>
                <w:szCs w:val="21"/>
              </w:rPr>
              <w:t>采购代理机构名称、地址、电话、联系人</w:t>
            </w:r>
          </w:p>
        </w:tc>
        <w:tc>
          <w:tcPr>
            <w:tcW w:w="4962" w:type="dxa"/>
            <w:vAlign w:val="center"/>
          </w:tcPr>
          <w:p w14:paraId="7580AF43">
            <w:pPr>
              <w:adjustRightInd w:val="0"/>
              <w:snapToGrid w:val="0"/>
              <w:spacing w:line="420" w:lineRule="exact"/>
              <w:rPr>
                <w:rFonts w:hint="eastAsia" w:hAnsi="宋体"/>
                <w:szCs w:val="21"/>
              </w:rPr>
            </w:pPr>
            <w:r>
              <w:rPr>
                <w:rFonts w:hint="eastAsia" w:ascii="宋体" w:hAnsi="宋体" w:cs="Arial"/>
                <w:kern w:val="0"/>
                <w:szCs w:val="21"/>
              </w:rPr>
              <w:t>详见第一章【投标邀请】</w:t>
            </w:r>
          </w:p>
        </w:tc>
      </w:tr>
      <w:tr w14:paraId="2B7DA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7DC2A1E">
            <w:pPr>
              <w:adjustRightInd w:val="0"/>
              <w:snapToGrid w:val="0"/>
              <w:spacing w:line="360" w:lineRule="auto"/>
              <w:jc w:val="center"/>
              <w:rPr>
                <w:rFonts w:hint="eastAsia" w:ascii="宋体" w:hAnsi="宋体"/>
                <w:szCs w:val="21"/>
              </w:rPr>
            </w:pPr>
            <w:r>
              <w:rPr>
                <w:rFonts w:hint="eastAsia" w:ascii="宋体" w:hAnsi="宋体"/>
                <w:szCs w:val="21"/>
              </w:rPr>
              <w:t>第3.1</w:t>
            </w:r>
            <w:r>
              <w:rPr>
                <w:rFonts w:hint="eastAsia" w:ascii="宋体" w:hAnsi="宋体" w:cs="宋体"/>
                <w:kern w:val="0"/>
                <w:szCs w:val="21"/>
                <w:lang w:val="zh-CN"/>
              </w:rPr>
              <w:t>款</w:t>
            </w:r>
          </w:p>
        </w:tc>
        <w:tc>
          <w:tcPr>
            <w:tcW w:w="2409" w:type="dxa"/>
            <w:vAlign w:val="center"/>
          </w:tcPr>
          <w:p w14:paraId="7E3BAA95">
            <w:pPr>
              <w:adjustRightInd w:val="0"/>
              <w:snapToGrid w:val="0"/>
              <w:spacing w:line="360" w:lineRule="auto"/>
              <w:jc w:val="left"/>
              <w:rPr>
                <w:rFonts w:hint="eastAsia" w:hAnsi="宋体"/>
                <w:szCs w:val="21"/>
                <w:highlight w:val="none"/>
              </w:rPr>
            </w:pPr>
            <w:r>
              <w:rPr>
                <w:rFonts w:ascii="宋体" w:hAnsi="宋体"/>
                <w:szCs w:val="21"/>
                <w:highlight w:val="none"/>
              </w:rPr>
              <w:t>★</w:t>
            </w:r>
            <w:r>
              <w:rPr>
                <w:rFonts w:hint="eastAsia" w:ascii="宋体" w:hAnsi="宋体"/>
                <w:szCs w:val="21"/>
                <w:highlight w:val="none"/>
              </w:rPr>
              <w:t>投标人资格条件</w:t>
            </w:r>
          </w:p>
        </w:tc>
        <w:tc>
          <w:tcPr>
            <w:tcW w:w="4962" w:type="dxa"/>
            <w:vAlign w:val="center"/>
          </w:tcPr>
          <w:p w14:paraId="1320F7A6">
            <w:pPr>
              <w:numPr>
                <w:ilvl w:val="0"/>
                <w:numId w:val="5"/>
              </w:numPr>
              <w:adjustRightInd w:val="0"/>
              <w:snapToGrid w:val="0"/>
              <w:spacing w:line="360" w:lineRule="auto"/>
              <w:ind w:firstLine="420" w:firstLineChars="200"/>
              <w:rPr>
                <w:rFonts w:hint="eastAsia" w:ascii="宋体" w:hAnsi="宋体"/>
                <w:szCs w:val="21"/>
                <w:lang w:val="en-US" w:eastAsia="zh-CN"/>
              </w:rPr>
            </w:pPr>
            <w:r>
              <w:rPr>
                <w:rFonts w:hint="eastAsia" w:ascii="宋体" w:hAnsi="宋体"/>
                <w:szCs w:val="21"/>
              </w:rPr>
              <w:t>投标人的基本资格条件：投标人必须是在中华人民共和国境内注册登记的法人、其他组织，且应当符合《政府采购法》第二十二条第一款的规定</w:t>
            </w:r>
            <w:r>
              <w:rPr>
                <w:rFonts w:hint="eastAsia" w:ascii="宋体" w:hAnsi="宋体"/>
                <w:szCs w:val="21"/>
                <w:lang w:eastAsia="zh-CN"/>
              </w:rPr>
              <w:t>，</w:t>
            </w:r>
            <w:r>
              <w:rPr>
                <w:rFonts w:hint="eastAsia" w:ascii="宋体" w:hAnsi="宋体"/>
                <w:szCs w:val="21"/>
                <w:lang w:val="en-US" w:eastAsia="zh-CN"/>
              </w:rPr>
              <w:t>即：</w:t>
            </w:r>
          </w:p>
          <w:p w14:paraId="53D33BAA">
            <w:pPr>
              <w:adjustRightInd w:val="0"/>
              <w:snapToGrid w:val="0"/>
              <w:spacing w:line="360" w:lineRule="auto"/>
              <w:rPr>
                <w:rFonts w:hint="default"/>
                <w:lang w:val="en-US" w:eastAsia="zh-CN"/>
              </w:rPr>
            </w:pPr>
            <w:r>
              <w:rPr>
                <w:rFonts w:hint="default"/>
                <w:lang w:val="en-US" w:eastAsia="zh-CN"/>
              </w:rPr>
              <w:t>（1）提供法人或者其他组织的营业执照等主体资格证明文件，自然人的身份证明；</w:t>
            </w:r>
          </w:p>
          <w:p w14:paraId="2A748DEA">
            <w:pPr>
              <w:adjustRightInd w:val="0"/>
              <w:snapToGrid w:val="0"/>
              <w:spacing w:line="360" w:lineRule="auto"/>
              <w:rPr>
                <w:rFonts w:hint="default"/>
                <w:lang w:val="en-US" w:eastAsia="zh-CN"/>
              </w:rPr>
            </w:pPr>
            <w:r>
              <w:rPr>
                <w:rFonts w:hint="default"/>
                <w:lang w:val="en-US" w:eastAsia="zh-CN"/>
              </w:rPr>
              <w:t>（2）提供湖南省政府采购供应商资格承诺函。</w:t>
            </w:r>
          </w:p>
          <w:p w14:paraId="0EF2C966">
            <w:pPr>
              <w:adjustRightInd w:val="0"/>
              <w:snapToGrid w:val="0"/>
              <w:spacing w:line="360" w:lineRule="auto"/>
              <w:ind w:firstLine="420" w:firstLineChars="200"/>
              <w:rPr>
                <w:rFonts w:hint="eastAsia" w:ascii="宋体" w:hAnsi="宋体"/>
                <w:szCs w:val="21"/>
              </w:rPr>
            </w:pPr>
            <w:r>
              <w:rPr>
                <w:rFonts w:hint="eastAsia" w:ascii="宋体" w:hAnsi="宋体"/>
                <w:szCs w:val="21"/>
              </w:rPr>
              <w:t>2、落实政府采购政策需满足的资格要求：</w:t>
            </w:r>
          </w:p>
          <w:p w14:paraId="14A093A3">
            <w:pPr>
              <w:adjustRightInd w:val="0"/>
              <w:snapToGrid w:val="0"/>
              <w:spacing w:line="360" w:lineRule="auto"/>
              <w:ind w:firstLine="420" w:firstLineChars="200"/>
            </w:pPr>
            <w:r>
              <w:rPr>
                <w:rFonts w:hint="eastAsia" w:ascii="宋体" w:hAnsi="宋体" w:cs="宋体"/>
                <w:szCs w:val="21"/>
                <w:shd w:val="clear" w:color="auto" w:fill="FFFFFF"/>
              </w:rPr>
              <w:t>（如属于专门面向中小企业采购的项目，</w:t>
            </w:r>
            <w:r>
              <w:rPr>
                <w:rFonts w:hint="eastAsia" w:ascii="宋体" w:hAnsi="宋体" w:cs="宋体"/>
                <w:szCs w:val="21"/>
                <w:shd w:val="clear" w:color="auto" w:fill="FFFFFF"/>
                <w:lang w:val="en-US" w:eastAsia="zh-CN"/>
              </w:rPr>
              <w:t>投标人</w:t>
            </w:r>
            <w:r>
              <w:rPr>
                <w:rFonts w:hint="eastAsia" w:ascii="宋体" w:hAnsi="宋体" w:cs="宋体"/>
                <w:szCs w:val="21"/>
                <w:shd w:val="clear" w:color="auto" w:fill="FFFFFF"/>
              </w:rPr>
              <w:t>应为中小微企业、监狱企业、残疾人福利性单位）：根据《政府采购促进中小企业发展管理办法》（财库﹝2020﹞46 号）文件规定，本项目为专门面向中小企业采购项目，各</w:t>
            </w:r>
            <w:r>
              <w:rPr>
                <w:rFonts w:hint="eastAsia" w:ascii="宋体" w:hAnsi="宋体" w:cs="宋体"/>
                <w:szCs w:val="21"/>
                <w:shd w:val="clear" w:color="auto" w:fill="FFFFFF"/>
                <w:lang w:val="en-US" w:eastAsia="zh-CN"/>
              </w:rPr>
              <w:t>投标人</w:t>
            </w:r>
            <w:r>
              <w:rPr>
                <w:rFonts w:hint="eastAsia" w:ascii="宋体" w:hAnsi="宋体" w:cs="宋体"/>
                <w:szCs w:val="21"/>
                <w:shd w:val="clear" w:color="auto" w:fill="FFFFFF"/>
              </w:rPr>
              <w:t>应按政府采购促进中小企业发展相关规定及</w:t>
            </w:r>
            <w:r>
              <w:rPr>
                <w:rFonts w:hint="eastAsia" w:ascii="宋体" w:hAnsi="宋体" w:cs="宋体"/>
                <w:szCs w:val="21"/>
                <w:shd w:val="clear" w:color="auto" w:fill="FFFFFF"/>
                <w:lang w:val="en-US" w:eastAsia="zh-CN"/>
              </w:rPr>
              <w:t>招标</w:t>
            </w:r>
            <w:r>
              <w:rPr>
                <w:rFonts w:hint="eastAsia" w:ascii="宋体" w:hAnsi="宋体" w:cs="宋体"/>
                <w:szCs w:val="21"/>
                <w:shd w:val="clear" w:color="auto" w:fill="FFFFFF"/>
              </w:rPr>
              <w:t>文件的</w:t>
            </w:r>
            <w:r>
              <w:rPr>
                <w:rFonts w:hint="eastAsia" w:ascii="宋体" w:hAnsi="宋体" w:cs="宋体"/>
                <w:szCs w:val="21"/>
                <w:shd w:val="clear" w:color="auto" w:fill="FFFFFF"/>
                <w:lang w:val="en-US" w:eastAsia="zh-CN"/>
              </w:rPr>
              <w:t>投标</w:t>
            </w:r>
            <w:r>
              <w:rPr>
                <w:rFonts w:hint="eastAsia" w:ascii="宋体" w:hAnsi="宋体" w:cs="宋体"/>
                <w:szCs w:val="21"/>
                <w:shd w:val="clear" w:color="auto" w:fill="FFFFFF"/>
              </w:rPr>
              <w:t>文件组成中的“《中小企业声明函》、《湖南省政府采购供应商资格承诺函》”格式填写，并在</w:t>
            </w:r>
            <w:r>
              <w:rPr>
                <w:rFonts w:hint="eastAsia" w:ascii="宋体" w:hAnsi="宋体" w:cs="宋体"/>
                <w:szCs w:val="21"/>
                <w:shd w:val="clear" w:color="auto" w:fill="FFFFFF"/>
                <w:lang w:val="en-US" w:eastAsia="zh-CN"/>
              </w:rPr>
              <w:t>投标</w:t>
            </w:r>
            <w:r>
              <w:rPr>
                <w:rFonts w:hint="eastAsia" w:ascii="宋体" w:hAnsi="宋体" w:cs="宋体"/>
                <w:szCs w:val="21"/>
                <w:shd w:val="clear" w:color="auto" w:fill="FFFFFF"/>
              </w:rPr>
              <w:t>文件中提供“《中小企业声明函》、《湖南省政府采购供应商资格承诺函》”，否则视为无效响应。</w:t>
            </w:r>
          </w:p>
          <w:p w14:paraId="7AFB9A56">
            <w:pPr>
              <w:adjustRightInd w:val="0"/>
              <w:snapToGrid w:val="0"/>
              <w:spacing w:line="360" w:lineRule="auto"/>
              <w:ind w:firstLine="420" w:firstLineChars="200"/>
              <w:rPr>
                <w:rFonts w:hint="eastAsia" w:ascii="宋体" w:hAnsi="宋体" w:cs="宋体"/>
                <w:szCs w:val="21"/>
                <w:highlight w:val="none"/>
                <w:lang w:eastAsia="zh-CN"/>
              </w:rPr>
            </w:pPr>
            <w:r>
              <w:rPr>
                <w:rFonts w:hint="eastAsia" w:ascii="宋体" w:hAnsi="宋体" w:cs="宋体"/>
                <w:szCs w:val="21"/>
                <w:highlight w:val="none"/>
              </w:rPr>
              <w:t>3、采购项目的特定资格条件：</w:t>
            </w:r>
            <w:r>
              <w:rPr>
                <w:rFonts w:hint="eastAsia" w:ascii="宋体" w:hAnsi="宋体" w:cs="宋体"/>
                <w:szCs w:val="21"/>
                <w:highlight w:val="none"/>
                <w:lang w:eastAsia="zh-CN"/>
              </w:rPr>
              <w:t>无</w:t>
            </w:r>
          </w:p>
          <w:p w14:paraId="68CB2D41">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4、单位负责人为同一人或者存在直接控股、管理关系的不同供应商，不得参加同一合同项下的政府采购活动。</w:t>
            </w:r>
          </w:p>
          <w:p w14:paraId="057D246C">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5、为本采购项目提供整体设计、规范编制或者项目管理、监理、检测等服务的，不得再参加此项目的其他采购活动。</w:t>
            </w:r>
          </w:p>
          <w:p w14:paraId="0127212B">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6、列入失信被执行人、重大税收违法案件当事人名单，列入政府采购严重违法失信行为记录名单的，拒绝其参与政府采购活动。</w:t>
            </w:r>
          </w:p>
          <w:p w14:paraId="3B483028">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7、联合体投标。本次招标不接受联合体投标。</w:t>
            </w:r>
          </w:p>
        </w:tc>
      </w:tr>
      <w:tr w14:paraId="4EEC29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1560" w:type="dxa"/>
            <w:vAlign w:val="center"/>
          </w:tcPr>
          <w:p w14:paraId="5730AE00">
            <w:pPr>
              <w:adjustRightInd w:val="0"/>
              <w:snapToGrid w:val="0"/>
              <w:spacing w:line="360" w:lineRule="auto"/>
              <w:jc w:val="center"/>
              <w:rPr>
                <w:rFonts w:hint="eastAsia" w:ascii="宋体" w:hAnsi="宋体"/>
                <w:szCs w:val="21"/>
              </w:rPr>
            </w:pPr>
            <w:r>
              <w:rPr>
                <w:rFonts w:hint="eastAsia" w:ascii="宋体" w:hAnsi="宋体"/>
                <w:szCs w:val="21"/>
              </w:rPr>
              <w:t>第3.2</w:t>
            </w:r>
            <w:r>
              <w:rPr>
                <w:rFonts w:hint="eastAsia" w:ascii="宋体" w:hAnsi="宋体" w:cs="宋体"/>
                <w:kern w:val="0"/>
                <w:szCs w:val="21"/>
                <w:lang w:val="zh-CN"/>
              </w:rPr>
              <w:t>款</w:t>
            </w:r>
          </w:p>
        </w:tc>
        <w:tc>
          <w:tcPr>
            <w:tcW w:w="2409" w:type="dxa"/>
            <w:vAlign w:val="center"/>
          </w:tcPr>
          <w:p w14:paraId="0E802BE7">
            <w:pPr>
              <w:adjustRightInd w:val="0"/>
              <w:snapToGrid w:val="0"/>
              <w:spacing w:line="360" w:lineRule="auto"/>
              <w:jc w:val="center"/>
              <w:rPr>
                <w:rFonts w:hint="eastAsia" w:hAnsi="宋体"/>
                <w:szCs w:val="21"/>
              </w:rPr>
            </w:pPr>
            <w:r>
              <w:rPr>
                <w:rFonts w:hint="eastAsia" w:hAnsi="宋体"/>
                <w:szCs w:val="21"/>
              </w:rPr>
              <w:t>接受联合体形式投标</w:t>
            </w:r>
          </w:p>
        </w:tc>
        <w:tc>
          <w:tcPr>
            <w:tcW w:w="4962" w:type="dxa"/>
            <w:vAlign w:val="center"/>
          </w:tcPr>
          <w:p w14:paraId="21DD542A">
            <w:pPr>
              <w:adjustRightInd w:val="0"/>
              <w:snapToGrid w:val="0"/>
              <w:spacing w:line="420" w:lineRule="exact"/>
              <w:jc w:val="left"/>
              <w:rPr>
                <w:rFonts w:hint="eastAsia" w:hAnsi="宋体"/>
                <w:szCs w:val="21"/>
              </w:rPr>
            </w:pPr>
            <w:r>
              <w:rPr>
                <w:rFonts w:hAnsi="宋体"/>
                <w:szCs w:val="21"/>
              </w:rPr>
              <w:t>本项目</w:t>
            </w:r>
            <w:r>
              <w:rPr>
                <w:rFonts w:hint="eastAsia" w:hAnsi="宋体"/>
                <w:szCs w:val="21"/>
                <w:lang w:val="en-US" w:eastAsia="zh-CN"/>
              </w:rPr>
              <w:t>不</w:t>
            </w:r>
            <w:r>
              <w:rPr>
                <w:rFonts w:hAnsi="宋体"/>
                <w:szCs w:val="21"/>
              </w:rPr>
              <w:t>接受联合体投标</w:t>
            </w:r>
          </w:p>
        </w:tc>
      </w:tr>
      <w:tr w14:paraId="7FFC3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1560" w:type="dxa"/>
            <w:vAlign w:val="center"/>
          </w:tcPr>
          <w:p w14:paraId="35FD6868">
            <w:pPr>
              <w:adjustRightInd w:val="0"/>
              <w:snapToGrid w:val="0"/>
              <w:spacing w:line="360" w:lineRule="auto"/>
              <w:jc w:val="center"/>
              <w:rPr>
                <w:rFonts w:hint="eastAsia" w:ascii="宋体" w:hAnsi="宋体"/>
                <w:szCs w:val="21"/>
              </w:rPr>
            </w:pPr>
            <w:r>
              <w:rPr>
                <w:rFonts w:hint="eastAsia" w:ascii="宋体" w:hAnsi="宋体"/>
                <w:szCs w:val="21"/>
              </w:rPr>
              <w:t>第5.1</w:t>
            </w:r>
            <w:r>
              <w:rPr>
                <w:rFonts w:hint="eastAsia" w:ascii="宋体" w:hAnsi="宋体" w:cs="宋体"/>
                <w:kern w:val="0"/>
                <w:szCs w:val="21"/>
                <w:lang w:val="zh-CN"/>
              </w:rPr>
              <w:t>款</w:t>
            </w:r>
          </w:p>
        </w:tc>
        <w:tc>
          <w:tcPr>
            <w:tcW w:w="2409" w:type="dxa"/>
            <w:vAlign w:val="center"/>
          </w:tcPr>
          <w:p w14:paraId="2062D4A3">
            <w:pPr>
              <w:adjustRightInd w:val="0"/>
              <w:snapToGrid w:val="0"/>
              <w:spacing w:line="360" w:lineRule="auto"/>
              <w:jc w:val="center"/>
              <w:rPr>
                <w:rFonts w:hint="eastAsia" w:hAnsi="宋体"/>
                <w:szCs w:val="21"/>
              </w:rPr>
            </w:pPr>
            <w:r>
              <w:rPr>
                <w:rFonts w:hint="eastAsia" w:ascii="宋体" w:hAnsi="宋体"/>
                <w:szCs w:val="21"/>
              </w:rPr>
              <w:t>招标文件提供期限</w:t>
            </w:r>
          </w:p>
        </w:tc>
        <w:tc>
          <w:tcPr>
            <w:tcW w:w="4962" w:type="dxa"/>
            <w:vAlign w:val="center"/>
          </w:tcPr>
          <w:p w14:paraId="5C848F0E">
            <w:pPr>
              <w:adjustRightInd w:val="0"/>
              <w:snapToGrid w:val="0"/>
              <w:spacing w:line="420" w:lineRule="exact"/>
              <w:jc w:val="left"/>
              <w:rPr>
                <w:rFonts w:hint="eastAsia" w:hAnsi="宋体"/>
                <w:szCs w:val="21"/>
              </w:rPr>
            </w:pPr>
            <w:r>
              <w:rPr>
                <w:rFonts w:hint="eastAsia" w:hAnsi="宋体"/>
                <w:szCs w:val="21"/>
              </w:rPr>
              <w:t>详见外网公告</w:t>
            </w:r>
          </w:p>
        </w:tc>
      </w:tr>
      <w:tr w14:paraId="1A2C59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trPr>
        <w:tc>
          <w:tcPr>
            <w:tcW w:w="1560" w:type="dxa"/>
            <w:vAlign w:val="center"/>
          </w:tcPr>
          <w:p w14:paraId="243F39A2">
            <w:pPr>
              <w:adjustRightInd w:val="0"/>
              <w:snapToGrid w:val="0"/>
              <w:spacing w:line="360" w:lineRule="auto"/>
              <w:jc w:val="center"/>
              <w:rPr>
                <w:rFonts w:hint="eastAsia" w:ascii="宋体" w:hAnsi="宋体"/>
                <w:szCs w:val="21"/>
              </w:rPr>
            </w:pPr>
            <w:r>
              <w:rPr>
                <w:rFonts w:hint="eastAsia" w:ascii="宋体" w:hAnsi="宋体"/>
                <w:szCs w:val="21"/>
              </w:rPr>
              <w:t>第5.2</w:t>
            </w:r>
            <w:r>
              <w:rPr>
                <w:rFonts w:hint="eastAsia" w:ascii="宋体" w:hAnsi="宋体" w:cs="宋体"/>
                <w:kern w:val="0"/>
                <w:szCs w:val="21"/>
                <w:lang w:val="zh-CN"/>
              </w:rPr>
              <w:t>款</w:t>
            </w:r>
          </w:p>
        </w:tc>
        <w:tc>
          <w:tcPr>
            <w:tcW w:w="2409" w:type="dxa"/>
            <w:vAlign w:val="center"/>
          </w:tcPr>
          <w:p w14:paraId="72F7472B">
            <w:pPr>
              <w:adjustRightInd w:val="0"/>
              <w:snapToGrid w:val="0"/>
              <w:spacing w:line="360" w:lineRule="auto"/>
              <w:jc w:val="center"/>
              <w:rPr>
                <w:rFonts w:hint="eastAsia" w:ascii="宋体" w:hAnsi="宋体"/>
                <w:szCs w:val="21"/>
              </w:rPr>
            </w:pPr>
            <w:r>
              <w:rPr>
                <w:rFonts w:hint="eastAsia" w:ascii="宋体" w:hAnsi="宋体"/>
                <w:szCs w:val="21"/>
              </w:rPr>
              <w:t>组织现场考察或者召开答疑会</w:t>
            </w:r>
          </w:p>
        </w:tc>
        <w:tc>
          <w:tcPr>
            <w:tcW w:w="4962" w:type="dxa"/>
            <w:vAlign w:val="center"/>
          </w:tcPr>
          <w:p w14:paraId="0FA1DE71">
            <w:pPr>
              <w:adjustRightInd w:val="0"/>
              <w:snapToGrid w:val="0"/>
              <w:spacing w:line="360" w:lineRule="auto"/>
              <w:jc w:val="left"/>
              <w:rPr>
                <w:rFonts w:hint="eastAsia" w:ascii="宋体" w:hAnsi="宋体"/>
                <w:szCs w:val="21"/>
              </w:rPr>
            </w:pPr>
            <w:r>
              <w:rPr>
                <w:rFonts w:ascii="宋体" w:hAnsi="宋体"/>
                <w:szCs w:val="21"/>
              </w:rPr>
              <w:t>本项目不组织现场考察或召开答疑会</w:t>
            </w:r>
          </w:p>
        </w:tc>
      </w:tr>
      <w:tr w14:paraId="7F3675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3E56B965">
            <w:pPr>
              <w:adjustRightInd w:val="0"/>
              <w:snapToGrid w:val="0"/>
              <w:spacing w:line="360" w:lineRule="auto"/>
              <w:rPr>
                <w:rFonts w:hint="eastAsia" w:ascii="宋体" w:hAnsi="宋体"/>
                <w:b/>
                <w:szCs w:val="21"/>
              </w:rPr>
            </w:pPr>
            <w:r>
              <w:rPr>
                <w:rFonts w:hint="eastAsia" w:ascii="宋体" w:hAnsi="宋体"/>
                <w:b/>
                <w:szCs w:val="21"/>
              </w:rPr>
              <w:t>二、招标文件</w:t>
            </w:r>
          </w:p>
        </w:tc>
      </w:tr>
      <w:tr w14:paraId="3A59B3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4C1EFBD">
            <w:pPr>
              <w:adjustRightInd w:val="0"/>
              <w:snapToGrid w:val="0"/>
              <w:spacing w:line="360" w:lineRule="auto"/>
              <w:jc w:val="center"/>
              <w:rPr>
                <w:rFonts w:hint="eastAsia" w:ascii="宋体" w:hAnsi="宋体"/>
                <w:szCs w:val="21"/>
              </w:rPr>
            </w:pPr>
            <w:r>
              <w:rPr>
                <w:rFonts w:hint="eastAsia" w:ascii="宋体" w:hAnsi="宋体"/>
                <w:szCs w:val="21"/>
              </w:rPr>
              <w:t>第7.4</w:t>
            </w:r>
            <w:r>
              <w:rPr>
                <w:rFonts w:hint="eastAsia" w:ascii="宋体" w:hAnsi="宋体" w:cs="宋体"/>
                <w:kern w:val="0"/>
                <w:szCs w:val="21"/>
                <w:lang w:val="zh-CN"/>
              </w:rPr>
              <w:t>款</w:t>
            </w:r>
          </w:p>
        </w:tc>
        <w:tc>
          <w:tcPr>
            <w:tcW w:w="2409" w:type="dxa"/>
            <w:vAlign w:val="center"/>
          </w:tcPr>
          <w:p w14:paraId="6D54828C">
            <w:pPr>
              <w:adjustRightInd w:val="0"/>
              <w:snapToGrid w:val="0"/>
              <w:spacing w:line="360" w:lineRule="auto"/>
              <w:jc w:val="left"/>
              <w:rPr>
                <w:rFonts w:hint="eastAsia" w:ascii="宋体" w:hAnsi="宋体"/>
                <w:szCs w:val="21"/>
              </w:rPr>
            </w:pPr>
            <w:r>
              <w:rPr>
                <w:rFonts w:hint="eastAsia" w:ascii="宋体" w:hAnsi="宋体"/>
                <w:szCs w:val="21"/>
              </w:rPr>
              <w:t>非实质性偏离的范围和幅度</w:t>
            </w:r>
          </w:p>
        </w:tc>
        <w:tc>
          <w:tcPr>
            <w:tcW w:w="4962" w:type="dxa"/>
            <w:vAlign w:val="center"/>
          </w:tcPr>
          <w:p w14:paraId="3FA14892">
            <w:pPr>
              <w:numPr>
                <w:ilvl w:val="0"/>
                <w:numId w:val="6"/>
              </w:numPr>
              <w:rPr>
                <w:rFonts w:hint="eastAsia" w:ascii="宋体" w:hAnsi="宋体"/>
              </w:rPr>
            </w:pPr>
            <w:r>
              <w:rPr>
                <w:rFonts w:hint="eastAsia" w:ascii="宋体" w:hAnsi="宋体"/>
              </w:rPr>
              <w:t>非实质性偏离项数之和</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5</w:t>
            </w:r>
            <w:r>
              <w:rPr>
                <w:rFonts w:hint="eastAsia" w:ascii="宋体" w:hAnsi="宋体"/>
                <w:color w:val="auto"/>
                <w:highlight w:val="none"/>
              </w:rPr>
              <w:t>项将</w:t>
            </w:r>
            <w:r>
              <w:rPr>
                <w:rFonts w:hint="eastAsia" w:ascii="宋体" w:hAnsi="宋体"/>
              </w:rPr>
              <w:t>导致无效投标</w:t>
            </w:r>
          </w:p>
          <w:p w14:paraId="3C22044A">
            <w:pPr>
              <w:numPr>
                <w:ilvl w:val="0"/>
                <w:numId w:val="6"/>
              </w:numPr>
              <w:rPr>
                <w:rFonts w:hint="eastAsia" w:ascii="宋体" w:hAnsi="宋体"/>
              </w:rPr>
            </w:pPr>
            <w:r>
              <w:rPr>
                <w:rFonts w:hint="eastAsia" w:ascii="宋体" w:hAnsi="宋体" w:eastAsia="宋体" w:cs="宋体"/>
                <w:color w:val="auto"/>
                <w:szCs w:val="21"/>
              </w:rPr>
              <w:t>条款数（最高项数）的统计方法：招标文件中，凡编排有单独的中文序数或阿拉伯数字或英文字母序列号等字符的条款算一项商务或技术要求项数，相同内容的条款不重复计算项数。</w:t>
            </w:r>
          </w:p>
        </w:tc>
      </w:tr>
      <w:tr w14:paraId="6E3E9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4" w:hRule="atLeast"/>
        </w:trPr>
        <w:tc>
          <w:tcPr>
            <w:tcW w:w="1560" w:type="dxa"/>
            <w:vAlign w:val="center"/>
          </w:tcPr>
          <w:p w14:paraId="38DB3B82">
            <w:pPr>
              <w:adjustRightInd w:val="0"/>
              <w:snapToGrid w:val="0"/>
              <w:spacing w:line="360" w:lineRule="auto"/>
              <w:jc w:val="center"/>
              <w:rPr>
                <w:rFonts w:hint="eastAsia" w:ascii="宋体" w:hAnsi="宋体"/>
                <w:szCs w:val="21"/>
              </w:rPr>
            </w:pPr>
            <w:r>
              <w:rPr>
                <w:rFonts w:hint="eastAsia" w:ascii="宋体" w:hAnsi="宋体"/>
                <w:szCs w:val="21"/>
              </w:rPr>
              <w:t>第9.1</w:t>
            </w:r>
            <w:r>
              <w:rPr>
                <w:rFonts w:hint="eastAsia" w:ascii="宋体" w:hAnsi="宋体" w:cs="宋体"/>
                <w:kern w:val="0"/>
                <w:szCs w:val="21"/>
                <w:lang w:val="zh-CN"/>
              </w:rPr>
              <w:t>款</w:t>
            </w:r>
          </w:p>
        </w:tc>
        <w:tc>
          <w:tcPr>
            <w:tcW w:w="2409" w:type="dxa"/>
            <w:vAlign w:val="center"/>
          </w:tcPr>
          <w:p w14:paraId="1D479E6B">
            <w:pPr>
              <w:adjustRightInd w:val="0"/>
              <w:snapToGrid w:val="0"/>
              <w:spacing w:line="360" w:lineRule="auto"/>
              <w:jc w:val="left"/>
              <w:rPr>
                <w:rFonts w:hint="eastAsia" w:ascii="宋体" w:hAnsi="宋体"/>
                <w:szCs w:val="21"/>
              </w:rPr>
            </w:pPr>
            <w:r>
              <w:rPr>
                <w:rFonts w:hint="eastAsia" w:ascii="宋体" w:hAnsi="宋体"/>
                <w:szCs w:val="21"/>
              </w:rPr>
              <w:t>招标公告指定媒体</w:t>
            </w:r>
          </w:p>
        </w:tc>
        <w:tc>
          <w:tcPr>
            <w:tcW w:w="4962" w:type="dxa"/>
            <w:vAlign w:val="center"/>
          </w:tcPr>
          <w:p w14:paraId="6CF23809">
            <w:pPr>
              <w:wordWrap w:val="0"/>
              <w:adjustRightInd w:val="0"/>
              <w:snapToGrid w:val="0"/>
              <w:jc w:val="left"/>
              <w:rPr>
                <w:szCs w:val="21"/>
              </w:rPr>
            </w:pPr>
            <w:r>
              <w:rPr>
                <w:rFonts w:hAnsi="宋体"/>
                <w:szCs w:val="21"/>
              </w:rPr>
              <w:t>湖南省政府</w:t>
            </w:r>
            <w:r>
              <w:rPr>
                <w:rFonts w:hint="eastAsia" w:ascii="宋体" w:hAnsi="宋体"/>
                <w:szCs w:val="21"/>
              </w:rPr>
              <w:t>采购网(</w:t>
            </w:r>
            <w:r>
              <w:fldChar w:fldCharType="begin"/>
            </w:r>
            <w:r>
              <w:instrText xml:space="preserve"> HYPERLINK "http://www.ccgp-hunan.gov.cn" </w:instrText>
            </w:r>
            <w:r>
              <w:fldChar w:fldCharType="separate"/>
            </w:r>
            <w:r>
              <w:rPr>
                <w:rFonts w:hint="eastAsia" w:ascii="宋体" w:hAnsi="宋体"/>
                <w:szCs w:val="21"/>
              </w:rPr>
              <w:t>WWW.ccgp-hunan.gov.cn</w:t>
            </w:r>
            <w:r>
              <w:rPr>
                <w:rFonts w:hint="eastAsia" w:ascii="宋体" w:hAnsi="宋体"/>
                <w:szCs w:val="21"/>
              </w:rPr>
              <w:fldChar w:fldCharType="end"/>
            </w:r>
            <w:r>
              <w:rPr>
                <w:rFonts w:hint="eastAsia"/>
              </w:rPr>
              <w:t>)</w:t>
            </w:r>
          </w:p>
          <w:p w14:paraId="01AFF703">
            <w:pPr>
              <w:rPr>
                <w:szCs w:val="21"/>
              </w:rPr>
            </w:pPr>
            <w:r>
              <w:t>娄底市公共资源交易网</w:t>
            </w:r>
            <w:r>
              <w:rPr>
                <w:rFonts w:hint="eastAsia" w:ascii="宋体" w:hAnsi="宋体"/>
              </w:rPr>
              <w:t>（</w:t>
            </w:r>
            <w:r>
              <w:t>http://ldggzy.hnloudi.gov.cn/</w:t>
            </w:r>
            <w:r>
              <w:rPr>
                <w:rFonts w:hint="eastAsia" w:ascii="宋体" w:hAnsi="宋体"/>
              </w:rPr>
              <w:t>）</w:t>
            </w:r>
          </w:p>
        </w:tc>
      </w:tr>
      <w:tr w14:paraId="104CA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4C4053C1">
            <w:pPr>
              <w:adjustRightInd w:val="0"/>
              <w:snapToGrid w:val="0"/>
              <w:spacing w:line="360" w:lineRule="auto"/>
              <w:rPr>
                <w:rFonts w:hint="eastAsia" w:ascii="宋体" w:hAnsi="宋体"/>
                <w:szCs w:val="21"/>
              </w:rPr>
            </w:pPr>
            <w:r>
              <w:rPr>
                <w:rFonts w:hint="eastAsia" w:ascii="宋体" w:hAnsi="宋体"/>
                <w:b/>
                <w:szCs w:val="21"/>
              </w:rPr>
              <w:t>三、投标文件</w:t>
            </w:r>
          </w:p>
        </w:tc>
      </w:tr>
      <w:tr w14:paraId="08F0B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720019E">
            <w:pPr>
              <w:adjustRightInd w:val="0"/>
              <w:snapToGrid w:val="0"/>
              <w:spacing w:line="360" w:lineRule="auto"/>
              <w:jc w:val="center"/>
              <w:rPr>
                <w:rFonts w:hint="eastAsia" w:ascii="宋体" w:hAnsi="宋体"/>
                <w:szCs w:val="21"/>
              </w:rPr>
            </w:pPr>
            <w:r>
              <w:rPr>
                <w:rFonts w:hint="eastAsia" w:ascii="宋体" w:hAnsi="宋体"/>
                <w:szCs w:val="21"/>
              </w:rPr>
              <w:t>第13.2</w:t>
            </w:r>
            <w:r>
              <w:rPr>
                <w:rFonts w:hint="eastAsia" w:ascii="宋体" w:hAnsi="宋体" w:cs="宋体"/>
                <w:kern w:val="0"/>
                <w:szCs w:val="21"/>
                <w:lang w:val="zh-CN"/>
              </w:rPr>
              <w:t>款</w:t>
            </w:r>
          </w:p>
        </w:tc>
        <w:tc>
          <w:tcPr>
            <w:tcW w:w="2409" w:type="dxa"/>
            <w:vAlign w:val="center"/>
          </w:tcPr>
          <w:p w14:paraId="5E082B78">
            <w:pPr>
              <w:adjustRightInd w:val="0"/>
              <w:snapToGrid w:val="0"/>
              <w:spacing w:line="360" w:lineRule="auto"/>
              <w:rPr>
                <w:rFonts w:hint="eastAsia" w:ascii="宋体" w:hAnsi="宋体"/>
                <w:szCs w:val="21"/>
              </w:rPr>
            </w:pPr>
            <w:r>
              <w:rPr>
                <w:rFonts w:ascii="宋体" w:hAnsi="宋体"/>
                <w:szCs w:val="21"/>
              </w:rPr>
              <w:t>★</w:t>
            </w:r>
            <w:r>
              <w:rPr>
                <w:rFonts w:hint="eastAsia" w:ascii="宋体" w:hAnsi="宋体"/>
                <w:szCs w:val="21"/>
              </w:rPr>
              <w:t>采购项目预算、最高限价（如有）</w:t>
            </w:r>
          </w:p>
        </w:tc>
        <w:tc>
          <w:tcPr>
            <w:tcW w:w="4962" w:type="dxa"/>
            <w:vAlign w:val="center"/>
          </w:tcPr>
          <w:p w14:paraId="39DE47C7">
            <w:pPr>
              <w:pStyle w:val="12"/>
              <w:ind w:firstLine="0"/>
            </w:pPr>
            <w:r>
              <w:rPr>
                <w:rFonts w:hint="eastAsia" w:ascii="宋体" w:hAnsi="宋体"/>
              </w:rPr>
              <w:t>采购项目预算：</w:t>
            </w:r>
            <w:r>
              <w:rPr>
                <w:rFonts w:hint="eastAsia" w:ascii="宋体" w:hAnsi="宋体"/>
                <w:lang w:val="en-US" w:eastAsia="zh-CN"/>
              </w:rPr>
              <w:t xml:space="preserve"> </w:t>
            </w:r>
            <w:r>
              <w:rPr>
                <w:rFonts w:hint="eastAsia" w:ascii="宋体" w:hAnsi="宋体" w:cs="宋体"/>
                <w:bCs/>
                <w:color w:val="auto"/>
                <w:sz w:val="21"/>
                <w:szCs w:val="21"/>
                <w:u w:val="none"/>
                <w:lang w:val="en-US" w:eastAsia="zh-CN"/>
              </w:rPr>
              <w:t>1800000元</w:t>
            </w:r>
          </w:p>
        </w:tc>
      </w:tr>
      <w:tr w14:paraId="7AC4B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560" w:type="dxa"/>
            <w:vAlign w:val="center"/>
          </w:tcPr>
          <w:p w14:paraId="4F23128F">
            <w:pPr>
              <w:adjustRightInd w:val="0"/>
              <w:snapToGrid w:val="0"/>
              <w:spacing w:line="360" w:lineRule="auto"/>
              <w:jc w:val="center"/>
              <w:rPr>
                <w:rFonts w:hint="eastAsia" w:ascii="宋体" w:hAnsi="宋体"/>
                <w:szCs w:val="21"/>
              </w:rPr>
            </w:pPr>
            <w:r>
              <w:rPr>
                <w:rFonts w:hint="eastAsia" w:ascii="宋体" w:hAnsi="宋体"/>
                <w:szCs w:val="21"/>
              </w:rPr>
              <w:t>第13.8款</w:t>
            </w:r>
          </w:p>
        </w:tc>
        <w:tc>
          <w:tcPr>
            <w:tcW w:w="2409" w:type="dxa"/>
            <w:vAlign w:val="center"/>
          </w:tcPr>
          <w:p w14:paraId="53516854">
            <w:pPr>
              <w:adjustRightInd w:val="0"/>
              <w:snapToGrid w:val="0"/>
              <w:spacing w:line="360" w:lineRule="auto"/>
              <w:rPr>
                <w:rFonts w:hint="eastAsia" w:ascii="宋体" w:hAnsi="宋体"/>
                <w:szCs w:val="21"/>
              </w:rPr>
            </w:pPr>
            <w:r>
              <w:rPr>
                <w:rFonts w:hint="eastAsia" w:ascii="宋体" w:hAnsi="宋体"/>
                <w:szCs w:val="21"/>
              </w:rPr>
              <w:t>投标报价的其他要求</w:t>
            </w:r>
          </w:p>
        </w:tc>
        <w:tc>
          <w:tcPr>
            <w:tcW w:w="4962" w:type="dxa"/>
            <w:vAlign w:val="center"/>
          </w:tcPr>
          <w:p w14:paraId="7B5F142E">
            <w:pPr>
              <w:adjustRightInd w:val="0"/>
              <w:snapToGrid w:val="0"/>
              <w:spacing w:line="360" w:lineRule="auto"/>
              <w:ind w:left="105" w:hanging="105" w:hangingChars="50"/>
              <w:jc w:val="left"/>
              <w:rPr>
                <w:rFonts w:hint="eastAsia" w:ascii="宋体" w:hAnsi="宋体"/>
                <w:szCs w:val="21"/>
              </w:rPr>
            </w:pPr>
            <w:r>
              <w:rPr>
                <w:rFonts w:hint="eastAsia" w:ascii="宋体" w:hAnsi="宋体"/>
              </w:rPr>
              <w:t>1、以人民币进行报价，按招标文件规定格式报价，不得随意修改，否则投标无效。</w:t>
            </w:r>
          </w:p>
          <w:p w14:paraId="612E8316">
            <w:pPr>
              <w:adjustRightInd w:val="0"/>
              <w:snapToGrid w:val="0"/>
              <w:spacing w:line="360" w:lineRule="auto"/>
              <w:rPr>
                <w:rFonts w:hint="eastAsia" w:ascii="宋体" w:hAnsi="宋体"/>
              </w:rPr>
            </w:pPr>
            <w:r>
              <w:rPr>
                <w:rFonts w:hint="eastAsia" w:ascii="宋体" w:hAnsi="宋体"/>
              </w:rPr>
              <w:t>2、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023D338A">
            <w:pPr>
              <w:rPr>
                <w:rFonts w:hint="eastAsia" w:ascii="宋体" w:hAnsi="宋体"/>
              </w:rPr>
            </w:pPr>
            <w:r>
              <w:rPr>
                <w:rFonts w:hint="eastAsia" w:ascii="宋体" w:hAnsi="宋体"/>
              </w:rPr>
              <w:t>3、投标报价不得超过采购预算，也不得超过最高限价（如有），否则其投标无效。</w:t>
            </w:r>
          </w:p>
          <w:p w14:paraId="6DEBD0DC">
            <w:pPr>
              <w:pStyle w:val="64"/>
              <w:ind w:firstLine="0" w:firstLineChars="0"/>
            </w:pPr>
            <w:r>
              <w:rPr>
                <w:rFonts w:hint="eastAsia"/>
              </w:rPr>
              <w:t>4、保留小数点后两位有效数字，四舍五入。</w:t>
            </w:r>
          </w:p>
        </w:tc>
      </w:tr>
      <w:tr w14:paraId="43A7A1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7566CA2">
            <w:pPr>
              <w:adjustRightInd w:val="0"/>
              <w:snapToGrid w:val="0"/>
              <w:spacing w:line="360" w:lineRule="auto"/>
              <w:jc w:val="center"/>
              <w:rPr>
                <w:rFonts w:hint="eastAsia" w:ascii="宋体" w:hAnsi="宋体"/>
                <w:szCs w:val="21"/>
              </w:rPr>
            </w:pPr>
            <w:r>
              <w:rPr>
                <w:rFonts w:hint="eastAsia" w:ascii="宋体" w:hAnsi="宋体"/>
                <w:szCs w:val="21"/>
              </w:rPr>
              <w:t>第14.1款</w:t>
            </w:r>
          </w:p>
        </w:tc>
        <w:tc>
          <w:tcPr>
            <w:tcW w:w="2409" w:type="dxa"/>
            <w:vAlign w:val="center"/>
          </w:tcPr>
          <w:p w14:paraId="4E7A0F09">
            <w:pPr>
              <w:adjustRightInd w:val="0"/>
              <w:snapToGrid w:val="0"/>
              <w:spacing w:line="360" w:lineRule="auto"/>
              <w:rPr>
                <w:rFonts w:hint="eastAsia" w:ascii="宋体" w:hAnsi="宋体"/>
                <w:bCs/>
                <w:szCs w:val="21"/>
              </w:rPr>
            </w:pPr>
            <w:r>
              <w:rPr>
                <w:rFonts w:ascii="宋体" w:hAnsi="宋体"/>
                <w:szCs w:val="21"/>
              </w:rPr>
              <w:t>★</w:t>
            </w:r>
            <w:r>
              <w:rPr>
                <w:rFonts w:hint="eastAsia" w:ascii="宋体" w:hAnsi="宋体"/>
                <w:szCs w:val="21"/>
              </w:rPr>
              <w:t>投标人应提供资格审查资料</w:t>
            </w:r>
          </w:p>
        </w:tc>
        <w:tc>
          <w:tcPr>
            <w:tcW w:w="4962" w:type="dxa"/>
            <w:vAlign w:val="center"/>
          </w:tcPr>
          <w:p w14:paraId="73892C73">
            <w:pPr>
              <w:pStyle w:val="5"/>
              <w:adjustRightInd w:val="0"/>
              <w:snapToGrid w:val="0"/>
              <w:spacing w:before="0" w:after="0" w:line="360" w:lineRule="auto"/>
              <w:rPr>
                <w:rFonts w:hint="eastAsia" w:ascii="宋体" w:hAnsi="宋体"/>
                <w:b w:val="0"/>
                <w:bCs w:val="0"/>
                <w:sz w:val="21"/>
                <w:szCs w:val="24"/>
              </w:rPr>
            </w:pPr>
            <w:bookmarkStart w:id="12" w:name="_Toc3844"/>
            <w:bookmarkStart w:id="13" w:name="_Toc17704"/>
            <w:bookmarkStart w:id="14" w:name="_Toc6482"/>
            <w:bookmarkStart w:id="15" w:name="_Toc8471"/>
            <w:bookmarkStart w:id="16" w:name="_Toc31100"/>
            <w:bookmarkStart w:id="17" w:name="_Toc1313"/>
            <w:r>
              <w:rPr>
                <w:rFonts w:ascii="宋体" w:hAnsi="宋体"/>
                <w:b w:val="0"/>
                <w:bCs w:val="0"/>
                <w:sz w:val="21"/>
                <w:szCs w:val="24"/>
              </w:rPr>
              <w:t>详见招标文件</w:t>
            </w:r>
            <w:r>
              <w:rPr>
                <w:rFonts w:hint="eastAsia" w:ascii="宋体" w:hAnsi="宋体"/>
                <w:b w:val="0"/>
                <w:bCs w:val="0"/>
                <w:sz w:val="21"/>
                <w:szCs w:val="24"/>
              </w:rPr>
              <w:t xml:space="preserve"> ：附表1 资格审查表</w:t>
            </w:r>
            <w:bookmarkEnd w:id="12"/>
            <w:bookmarkEnd w:id="13"/>
            <w:bookmarkEnd w:id="14"/>
            <w:bookmarkEnd w:id="15"/>
            <w:bookmarkEnd w:id="16"/>
            <w:bookmarkEnd w:id="17"/>
          </w:p>
        </w:tc>
      </w:tr>
      <w:tr w14:paraId="0B94BF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548C8EC">
            <w:pPr>
              <w:adjustRightInd w:val="0"/>
              <w:snapToGrid w:val="0"/>
              <w:spacing w:line="360" w:lineRule="auto"/>
              <w:jc w:val="center"/>
              <w:rPr>
                <w:rFonts w:hint="eastAsia" w:ascii="宋体" w:hAnsi="宋体"/>
                <w:szCs w:val="21"/>
              </w:rPr>
            </w:pPr>
            <w:r>
              <w:rPr>
                <w:rFonts w:hint="eastAsia" w:ascii="宋体" w:hAnsi="宋体"/>
                <w:szCs w:val="21"/>
              </w:rPr>
              <w:t>第16.1</w:t>
            </w:r>
            <w:r>
              <w:rPr>
                <w:rFonts w:hint="eastAsia" w:ascii="宋体" w:hAnsi="宋体" w:cs="宋体"/>
                <w:kern w:val="0"/>
                <w:szCs w:val="21"/>
                <w:lang w:val="zh-CN"/>
              </w:rPr>
              <w:t>款</w:t>
            </w:r>
          </w:p>
        </w:tc>
        <w:tc>
          <w:tcPr>
            <w:tcW w:w="2409" w:type="dxa"/>
            <w:vAlign w:val="center"/>
          </w:tcPr>
          <w:p w14:paraId="6B40FD01">
            <w:pPr>
              <w:adjustRightInd w:val="0"/>
              <w:snapToGrid w:val="0"/>
              <w:spacing w:line="360" w:lineRule="auto"/>
              <w:jc w:val="left"/>
              <w:rPr>
                <w:rFonts w:hint="eastAsia" w:ascii="宋体" w:hAnsi="宋体"/>
                <w:bCs/>
                <w:szCs w:val="21"/>
              </w:rPr>
            </w:pPr>
            <w:r>
              <w:rPr>
                <w:rFonts w:ascii="宋体" w:hAnsi="宋体"/>
                <w:szCs w:val="21"/>
              </w:rPr>
              <w:t>★</w:t>
            </w:r>
            <w:r>
              <w:rPr>
                <w:rFonts w:hint="eastAsia" w:ascii="宋体" w:hAnsi="宋体"/>
                <w:bCs/>
                <w:szCs w:val="21"/>
              </w:rPr>
              <w:t>投标有效期</w:t>
            </w:r>
          </w:p>
        </w:tc>
        <w:tc>
          <w:tcPr>
            <w:tcW w:w="4962" w:type="dxa"/>
            <w:vAlign w:val="center"/>
          </w:tcPr>
          <w:p w14:paraId="741BC6E4">
            <w:pPr>
              <w:adjustRightInd w:val="0"/>
              <w:snapToGrid w:val="0"/>
              <w:spacing w:line="360" w:lineRule="auto"/>
              <w:rPr>
                <w:rFonts w:hint="eastAsia" w:ascii="宋体" w:hAnsi="宋体"/>
                <w:bCs/>
                <w:szCs w:val="21"/>
              </w:rPr>
            </w:pPr>
            <w:r>
              <w:rPr>
                <w:rFonts w:hint="eastAsia" w:ascii="宋体" w:hAnsi="宋体"/>
                <w:bCs/>
                <w:szCs w:val="21"/>
              </w:rPr>
              <w:t>9</w:t>
            </w:r>
            <w:r>
              <w:rPr>
                <w:rFonts w:ascii="宋体" w:hAnsi="宋体"/>
                <w:bCs/>
                <w:szCs w:val="21"/>
              </w:rPr>
              <w:t>0日历天</w:t>
            </w:r>
          </w:p>
        </w:tc>
      </w:tr>
      <w:tr w14:paraId="565378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9282A12">
            <w:pPr>
              <w:adjustRightInd w:val="0"/>
              <w:snapToGrid w:val="0"/>
              <w:spacing w:line="360" w:lineRule="auto"/>
              <w:jc w:val="center"/>
              <w:rPr>
                <w:rFonts w:hint="eastAsia" w:ascii="宋体" w:hAnsi="宋体"/>
                <w:szCs w:val="21"/>
              </w:rPr>
            </w:pPr>
            <w:r>
              <w:rPr>
                <w:rFonts w:hint="eastAsia" w:ascii="宋体" w:hAnsi="宋体"/>
                <w:szCs w:val="21"/>
              </w:rPr>
              <w:t>第17.1</w:t>
            </w:r>
            <w:r>
              <w:rPr>
                <w:rFonts w:hint="eastAsia" w:ascii="宋体" w:hAnsi="宋体" w:cs="宋体"/>
                <w:kern w:val="0"/>
                <w:szCs w:val="21"/>
                <w:lang w:val="zh-CN"/>
              </w:rPr>
              <w:t>款</w:t>
            </w:r>
          </w:p>
        </w:tc>
        <w:tc>
          <w:tcPr>
            <w:tcW w:w="2409" w:type="dxa"/>
            <w:vAlign w:val="center"/>
          </w:tcPr>
          <w:p w14:paraId="1F7193D0">
            <w:pPr>
              <w:adjustRightInd w:val="0"/>
              <w:snapToGrid w:val="0"/>
              <w:spacing w:line="360" w:lineRule="auto"/>
              <w:ind w:left="-533" w:leftChars="-254" w:firstLine="533" w:firstLineChars="254"/>
              <w:jc w:val="left"/>
              <w:rPr>
                <w:rFonts w:hint="eastAsia" w:ascii="宋体" w:hAnsi="宋体"/>
                <w:szCs w:val="21"/>
              </w:rPr>
            </w:pPr>
            <w:r>
              <w:rPr>
                <w:rFonts w:hint="eastAsia" w:ascii="宋体" w:hAnsi="宋体"/>
                <w:szCs w:val="21"/>
              </w:rPr>
              <w:t>投标保证金</w:t>
            </w:r>
          </w:p>
        </w:tc>
        <w:tc>
          <w:tcPr>
            <w:tcW w:w="4962" w:type="dxa"/>
            <w:vAlign w:val="center"/>
          </w:tcPr>
          <w:p w14:paraId="3BDD6A35">
            <w:pPr>
              <w:adjustRightInd w:val="0"/>
              <w:snapToGrid w:val="0"/>
              <w:rPr>
                <w:rFonts w:hint="eastAsia" w:ascii="宋体" w:hAnsi="宋体"/>
                <w:szCs w:val="21"/>
              </w:rPr>
            </w:pPr>
            <w:r>
              <w:rPr>
                <w:rFonts w:ascii="宋体" w:hAnsi="宋体"/>
                <w:szCs w:val="21"/>
              </w:rPr>
              <w:t>不要求提供</w:t>
            </w:r>
            <w:r>
              <w:rPr>
                <w:rFonts w:hint="eastAsia" w:ascii="宋体" w:hAnsi="宋体"/>
                <w:szCs w:val="21"/>
              </w:rPr>
              <w:t>。</w:t>
            </w:r>
          </w:p>
          <w:p w14:paraId="450313C3">
            <w:pPr>
              <w:adjustRightInd w:val="0"/>
              <w:snapToGrid w:val="0"/>
              <w:rPr>
                <w:rFonts w:hint="eastAsia" w:ascii="宋体" w:hAnsi="宋体"/>
                <w:szCs w:val="21"/>
              </w:rPr>
            </w:pPr>
            <w:r>
              <w:rPr>
                <w:rFonts w:ascii="宋体" w:hAnsi="宋体"/>
                <w:szCs w:val="21"/>
              </w:rPr>
              <w:t>按照娄财购函</w:t>
            </w:r>
            <w:r>
              <w:rPr>
                <w:rFonts w:hint="eastAsia" w:ascii="宋体" w:hAnsi="宋体"/>
                <w:szCs w:val="21"/>
              </w:rPr>
              <w:t>【2</w:t>
            </w:r>
            <w:r>
              <w:rPr>
                <w:rFonts w:ascii="宋体" w:hAnsi="宋体"/>
                <w:szCs w:val="21"/>
              </w:rPr>
              <w:t>022</w:t>
            </w:r>
            <w:r>
              <w:rPr>
                <w:rFonts w:hint="eastAsia" w:ascii="宋体" w:hAnsi="宋体"/>
                <w:szCs w:val="21"/>
              </w:rPr>
              <w:t>】2</w:t>
            </w:r>
            <w:r>
              <w:rPr>
                <w:rFonts w:ascii="宋体" w:hAnsi="宋体"/>
                <w:szCs w:val="21"/>
              </w:rPr>
              <w:t>0号文件精神</w:t>
            </w:r>
            <w:r>
              <w:rPr>
                <w:rFonts w:hint="eastAsia" w:ascii="宋体" w:hAnsi="宋体"/>
                <w:szCs w:val="21"/>
              </w:rPr>
              <w:t>，</w:t>
            </w:r>
            <w:r>
              <w:rPr>
                <w:rFonts w:ascii="宋体" w:hAnsi="宋体"/>
                <w:szCs w:val="21"/>
              </w:rPr>
              <w:t>不收取投标保证金</w:t>
            </w:r>
            <w:r>
              <w:rPr>
                <w:rFonts w:hint="eastAsia" w:ascii="宋体" w:hAnsi="宋体"/>
                <w:szCs w:val="21"/>
              </w:rPr>
              <w:t>。</w:t>
            </w:r>
          </w:p>
        </w:tc>
      </w:tr>
      <w:tr w14:paraId="3EBFD3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6" w:hRule="atLeast"/>
        </w:trPr>
        <w:tc>
          <w:tcPr>
            <w:tcW w:w="1560" w:type="dxa"/>
            <w:vAlign w:val="center"/>
          </w:tcPr>
          <w:p w14:paraId="4E23FFF9">
            <w:pPr>
              <w:adjustRightInd w:val="0"/>
              <w:snapToGrid w:val="0"/>
              <w:spacing w:line="360" w:lineRule="auto"/>
              <w:jc w:val="center"/>
              <w:rPr>
                <w:rFonts w:hint="eastAsia" w:ascii="宋体" w:hAnsi="宋体"/>
                <w:szCs w:val="21"/>
              </w:rPr>
            </w:pPr>
            <w:r>
              <w:rPr>
                <w:rFonts w:hint="eastAsia" w:ascii="宋体" w:hAnsi="宋体"/>
                <w:szCs w:val="21"/>
              </w:rPr>
              <w:t>第18.1</w:t>
            </w:r>
            <w:r>
              <w:rPr>
                <w:rFonts w:hint="eastAsia" w:ascii="宋体" w:hAnsi="宋体" w:cs="宋体"/>
                <w:kern w:val="0"/>
                <w:szCs w:val="21"/>
                <w:lang w:val="zh-CN"/>
              </w:rPr>
              <w:t>款</w:t>
            </w:r>
          </w:p>
        </w:tc>
        <w:tc>
          <w:tcPr>
            <w:tcW w:w="2409" w:type="dxa"/>
            <w:vAlign w:val="center"/>
          </w:tcPr>
          <w:p w14:paraId="2613A68A">
            <w:pPr>
              <w:adjustRightInd w:val="0"/>
              <w:snapToGrid w:val="0"/>
              <w:spacing w:line="360" w:lineRule="auto"/>
              <w:jc w:val="left"/>
              <w:rPr>
                <w:rFonts w:hint="eastAsia" w:ascii="宋体" w:hAnsi="宋体"/>
                <w:szCs w:val="21"/>
              </w:rPr>
            </w:pPr>
            <w:r>
              <w:rPr>
                <w:rFonts w:hint="eastAsia" w:ascii="宋体" w:hAnsi="宋体"/>
                <w:bCs/>
                <w:szCs w:val="21"/>
              </w:rPr>
              <w:t>分包</w:t>
            </w:r>
          </w:p>
        </w:tc>
        <w:tc>
          <w:tcPr>
            <w:tcW w:w="4962" w:type="dxa"/>
            <w:vAlign w:val="center"/>
          </w:tcPr>
          <w:p w14:paraId="6CBCD673">
            <w:pPr>
              <w:rPr>
                <w:rFonts w:hint="eastAsia" w:ascii="宋体" w:hAnsi="宋体"/>
              </w:rPr>
            </w:pPr>
            <w:r>
              <w:rPr>
                <w:rFonts w:hint="eastAsia" w:ascii="宋体" w:hAnsi="宋体"/>
              </w:rPr>
              <w:t>□允许分包。</w:t>
            </w:r>
            <w:r>
              <w:rPr>
                <w:rFonts w:hint="eastAsia" w:ascii="宋体" w:hAnsi="宋体"/>
                <w:szCs w:val="21"/>
              </w:rPr>
              <w:t>分包内容：</w:t>
            </w:r>
            <w:r>
              <w:rPr>
                <w:rFonts w:hint="eastAsia" w:ascii="宋体" w:hAnsi="宋体"/>
                <w:bCs/>
                <w:szCs w:val="21"/>
              </w:rPr>
              <w:t>大型企业应将采购份额的</w:t>
            </w:r>
            <w:r>
              <w:rPr>
                <w:rFonts w:hint="eastAsia" w:ascii="宋体" w:hAnsi="宋体"/>
                <w:bCs/>
                <w:szCs w:val="21"/>
                <w:u w:val="single"/>
              </w:rPr>
              <w:t xml:space="preserve">   </w:t>
            </w:r>
            <w:r>
              <w:rPr>
                <w:rFonts w:hint="eastAsia" w:ascii="宋体" w:hAnsi="宋体"/>
                <w:bCs/>
                <w:szCs w:val="21"/>
              </w:rPr>
              <w:t>%分包给中小企业</w:t>
            </w:r>
            <w:r>
              <w:rPr>
                <w:rFonts w:hint="eastAsia" w:ascii="宋体" w:hAnsi="宋体"/>
                <w:szCs w:val="21"/>
              </w:rPr>
              <w:t>。</w:t>
            </w:r>
          </w:p>
          <w:p w14:paraId="01DDAE61">
            <w:pPr>
              <w:pStyle w:val="64"/>
              <w:ind w:firstLine="0" w:firstLineChars="0"/>
            </w:pPr>
            <w:r>
              <w:rPr>
                <w:rFonts w:ascii="Segoe UI Symbol" w:hAnsi="Segoe UI Symbol" w:cs="Segoe UI Symbol"/>
              </w:rPr>
              <w:t>☑</w:t>
            </w:r>
            <w:r>
              <w:t>不允许分包</w:t>
            </w:r>
            <w:r>
              <w:rPr>
                <w:rFonts w:hint="eastAsia"/>
              </w:rPr>
              <w:t>。</w:t>
            </w:r>
          </w:p>
        </w:tc>
      </w:tr>
      <w:tr w14:paraId="0D2A83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F21FA99">
            <w:pPr>
              <w:adjustRightInd w:val="0"/>
              <w:snapToGrid w:val="0"/>
              <w:spacing w:line="360" w:lineRule="auto"/>
              <w:jc w:val="center"/>
              <w:rPr>
                <w:rFonts w:hint="eastAsia" w:ascii="宋体" w:hAnsi="宋体"/>
                <w:szCs w:val="21"/>
              </w:rPr>
            </w:pPr>
            <w:r>
              <w:rPr>
                <w:rFonts w:hint="eastAsia" w:ascii="宋体" w:hAnsi="宋体"/>
                <w:szCs w:val="21"/>
              </w:rPr>
              <w:t>第19.1</w:t>
            </w:r>
            <w:r>
              <w:rPr>
                <w:rFonts w:hint="eastAsia" w:ascii="宋体" w:hAnsi="宋体" w:cs="宋体"/>
                <w:kern w:val="0"/>
                <w:szCs w:val="21"/>
                <w:lang w:val="zh-CN"/>
              </w:rPr>
              <w:t>款</w:t>
            </w:r>
          </w:p>
        </w:tc>
        <w:tc>
          <w:tcPr>
            <w:tcW w:w="2409" w:type="dxa"/>
            <w:vAlign w:val="center"/>
          </w:tcPr>
          <w:p w14:paraId="4E2D08BC">
            <w:pPr>
              <w:adjustRightInd w:val="0"/>
              <w:snapToGrid w:val="0"/>
              <w:spacing w:line="360" w:lineRule="auto"/>
              <w:jc w:val="left"/>
              <w:rPr>
                <w:rFonts w:hint="eastAsia" w:ascii="宋体" w:hAnsi="宋体"/>
                <w:bCs/>
                <w:szCs w:val="21"/>
              </w:rPr>
            </w:pPr>
            <w:r>
              <w:rPr>
                <w:rFonts w:hint="eastAsia" w:ascii="宋体" w:hAnsi="宋体"/>
                <w:bCs/>
                <w:szCs w:val="21"/>
              </w:rPr>
              <w:t>投标文件正本</w:t>
            </w:r>
          </w:p>
        </w:tc>
        <w:tc>
          <w:tcPr>
            <w:tcW w:w="4962" w:type="dxa"/>
            <w:vAlign w:val="center"/>
          </w:tcPr>
          <w:p w14:paraId="5C78AC2F">
            <w:pPr>
              <w:rPr>
                <w:rFonts w:hint="eastAsia" w:ascii="宋体" w:hAnsi="宋体"/>
              </w:rPr>
            </w:pPr>
            <w:r>
              <w:rPr>
                <w:rFonts w:ascii="宋体" w:hAnsi="宋体"/>
                <w:b/>
                <w:bCs/>
                <w:szCs w:val="21"/>
              </w:rPr>
              <w:t>本项目为全流程电子标</w:t>
            </w:r>
            <w:r>
              <w:rPr>
                <w:rFonts w:hint="eastAsia" w:ascii="宋体" w:hAnsi="宋体"/>
                <w:b/>
                <w:bCs/>
                <w:szCs w:val="21"/>
              </w:rPr>
              <w:t>。</w:t>
            </w:r>
            <w:r>
              <w:rPr>
                <w:rFonts w:hint="eastAsia" w:ascii="宋体" w:hAnsi="宋体"/>
                <w:szCs w:val="21"/>
              </w:rPr>
              <w:t>按要求</w:t>
            </w:r>
            <w:r>
              <w:rPr>
                <w:rFonts w:hint="eastAsia" w:ascii="宋体" w:hAnsi="宋体"/>
              </w:rPr>
              <w:t>提交电子投标文件正本：投标文件第一部分资格证明文件；投标文件第二部分商务和技术文件。</w:t>
            </w:r>
          </w:p>
          <w:p w14:paraId="6601EFEA">
            <w:pPr>
              <w:pStyle w:val="64"/>
              <w:ind w:firstLine="0" w:firstLineChars="0"/>
            </w:pPr>
            <w:r>
              <w:t>注</w:t>
            </w:r>
            <w:r>
              <w:rPr>
                <w:rFonts w:hint="eastAsia"/>
              </w:rPr>
              <w:t>：a.投标人</w:t>
            </w:r>
            <w:r>
              <w:rPr>
                <w:rFonts w:hint="eastAsia" w:ascii="宋体" w:hAnsi="宋体"/>
              </w:rPr>
              <w:t>按照平台要求上传对应内容，上传错误的，导致无法正常查阅或出错的，自行承担后果。</w:t>
            </w:r>
          </w:p>
          <w:p w14:paraId="293EE266">
            <w:pPr>
              <w:pStyle w:val="64"/>
              <w:ind w:firstLine="0" w:firstLineChars="0"/>
            </w:pPr>
            <w:r>
              <w:rPr>
                <w:rFonts w:hint="eastAsia"/>
              </w:rPr>
              <w:t>b.</w:t>
            </w:r>
            <w:r>
              <w:t>投标人中标后需提供纸质版投标文件一份移送至</w:t>
            </w:r>
            <w:r>
              <w:rPr>
                <w:rFonts w:hint="eastAsia"/>
              </w:rPr>
              <w:t>代理机构（</w:t>
            </w:r>
            <w:r>
              <w:t>与电子投标文件一致</w:t>
            </w:r>
            <w:r>
              <w:rPr>
                <w:rFonts w:hint="eastAsia"/>
              </w:rPr>
              <w:t>，</w:t>
            </w:r>
            <w:r>
              <w:t>如有异处</w:t>
            </w:r>
            <w:r>
              <w:rPr>
                <w:rFonts w:hint="eastAsia"/>
              </w:rPr>
              <w:t>，</w:t>
            </w:r>
            <w:r>
              <w:t>以电子投标文件为准</w:t>
            </w:r>
            <w:r>
              <w:rPr>
                <w:rFonts w:hint="eastAsia"/>
              </w:rPr>
              <w:t>）。</w:t>
            </w:r>
          </w:p>
        </w:tc>
      </w:tr>
      <w:tr w14:paraId="6F1C9B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5DDE2084">
            <w:pPr>
              <w:adjustRightInd w:val="0"/>
              <w:snapToGrid w:val="0"/>
              <w:spacing w:line="360" w:lineRule="auto"/>
              <w:rPr>
                <w:rFonts w:hint="eastAsia" w:ascii="宋体" w:hAnsi="宋体"/>
                <w:b/>
                <w:bCs/>
                <w:szCs w:val="21"/>
              </w:rPr>
            </w:pPr>
            <w:r>
              <w:rPr>
                <w:rFonts w:hint="eastAsia" w:ascii="宋体" w:hAnsi="宋体"/>
                <w:b/>
                <w:szCs w:val="21"/>
              </w:rPr>
              <w:t>四、投标</w:t>
            </w:r>
          </w:p>
        </w:tc>
      </w:tr>
      <w:tr w14:paraId="0EE969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18" w:hRule="atLeast"/>
        </w:trPr>
        <w:tc>
          <w:tcPr>
            <w:tcW w:w="1560" w:type="dxa"/>
            <w:vAlign w:val="center"/>
          </w:tcPr>
          <w:p w14:paraId="1048300F">
            <w:pPr>
              <w:adjustRightInd w:val="0"/>
              <w:snapToGrid w:val="0"/>
              <w:spacing w:line="360" w:lineRule="auto"/>
              <w:jc w:val="center"/>
              <w:rPr>
                <w:rFonts w:hint="eastAsia" w:ascii="宋体" w:hAnsi="宋体"/>
                <w:szCs w:val="21"/>
              </w:rPr>
            </w:pPr>
            <w:r>
              <w:rPr>
                <w:rFonts w:hint="eastAsia" w:ascii="宋体" w:hAnsi="宋体"/>
                <w:szCs w:val="21"/>
              </w:rPr>
              <w:t>第21.1</w:t>
            </w:r>
            <w:r>
              <w:rPr>
                <w:rFonts w:hint="eastAsia" w:ascii="宋体" w:hAnsi="宋体" w:cs="宋体"/>
                <w:kern w:val="0"/>
                <w:szCs w:val="21"/>
                <w:lang w:val="zh-CN"/>
              </w:rPr>
              <w:t>款</w:t>
            </w:r>
          </w:p>
        </w:tc>
        <w:tc>
          <w:tcPr>
            <w:tcW w:w="2409" w:type="dxa"/>
            <w:vAlign w:val="center"/>
          </w:tcPr>
          <w:p w14:paraId="48CB6C2D">
            <w:pPr>
              <w:adjustRightInd w:val="0"/>
              <w:snapToGrid w:val="0"/>
              <w:spacing w:line="360" w:lineRule="auto"/>
              <w:jc w:val="left"/>
              <w:rPr>
                <w:rFonts w:hint="eastAsia" w:ascii="宋体" w:hAnsi="宋体"/>
                <w:szCs w:val="21"/>
              </w:rPr>
            </w:pPr>
            <w:r>
              <w:rPr>
                <w:rFonts w:ascii="宋体" w:hAnsi="宋体"/>
                <w:szCs w:val="21"/>
              </w:rPr>
              <w:t>★</w:t>
            </w:r>
            <w:r>
              <w:rPr>
                <w:rFonts w:hint="eastAsia" w:ascii="宋体" w:hAnsi="宋体"/>
                <w:szCs w:val="21"/>
              </w:rPr>
              <w:t>投标截止时间及投标地点</w:t>
            </w:r>
          </w:p>
        </w:tc>
        <w:tc>
          <w:tcPr>
            <w:tcW w:w="4962" w:type="dxa"/>
            <w:vAlign w:val="center"/>
          </w:tcPr>
          <w:p w14:paraId="350DF112">
            <w:pPr>
              <w:pStyle w:val="64"/>
              <w:spacing w:line="300" w:lineRule="exact"/>
              <w:ind w:firstLine="0" w:firstLineChars="0"/>
            </w:pPr>
            <w:r>
              <w:rPr>
                <w:rFonts w:hint="eastAsia" w:hAnsi="宋体"/>
                <w:szCs w:val="21"/>
              </w:rPr>
              <w:t>详见外网公告</w:t>
            </w:r>
          </w:p>
        </w:tc>
      </w:tr>
      <w:tr w14:paraId="309927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4CF3189A">
            <w:pPr>
              <w:adjustRightInd w:val="0"/>
              <w:snapToGrid w:val="0"/>
              <w:spacing w:line="360" w:lineRule="auto"/>
              <w:rPr>
                <w:rFonts w:hint="eastAsia" w:ascii="宋体" w:hAnsi="宋体"/>
                <w:szCs w:val="21"/>
              </w:rPr>
            </w:pPr>
            <w:r>
              <w:rPr>
                <w:rFonts w:hint="eastAsia" w:ascii="宋体" w:hAnsi="宋体"/>
                <w:b/>
                <w:bCs/>
                <w:szCs w:val="21"/>
              </w:rPr>
              <w:t>五、开标、资格审查和评标</w:t>
            </w:r>
          </w:p>
        </w:tc>
      </w:tr>
      <w:tr w14:paraId="790422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1560" w:type="dxa"/>
            <w:vAlign w:val="center"/>
          </w:tcPr>
          <w:p w14:paraId="616E14D3">
            <w:pPr>
              <w:adjustRightInd w:val="0"/>
              <w:snapToGrid w:val="0"/>
              <w:spacing w:line="360" w:lineRule="auto"/>
              <w:jc w:val="center"/>
              <w:rPr>
                <w:rFonts w:hint="eastAsia" w:ascii="宋体" w:hAnsi="宋体"/>
                <w:szCs w:val="21"/>
              </w:rPr>
            </w:pPr>
            <w:r>
              <w:rPr>
                <w:rFonts w:hint="eastAsia" w:ascii="宋体" w:hAnsi="宋体"/>
                <w:szCs w:val="21"/>
              </w:rPr>
              <w:t>第24.1</w:t>
            </w:r>
            <w:r>
              <w:rPr>
                <w:rFonts w:hint="eastAsia" w:ascii="宋体" w:hAnsi="宋体" w:cs="宋体"/>
                <w:kern w:val="0"/>
                <w:szCs w:val="21"/>
                <w:lang w:val="zh-CN"/>
              </w:rPr>
              <w:t>款</w:t>
            </w:r>
          </w:p>
        </w:tc>
        <w:tc>
          <w:tcPr>
            <w:tcW w:w="2409" w:type="dxa"/>
            <w:vAlign w:val="center"/>
          </w:tcPr>
          <w:p w14:paraId="249C4D42">
            <w:pPr>
              <w:adjustRightInd w:val="0"/>
              <w:snapToGrid w:val="0"/>
              <w:spacing w:line="360" w:lineRule="auto"/>
              <w:jc w:val="left"/>
              <w:rPr>
                <w:rFonts w:hint="eastAsia" w:ascii="宋体" w:hAnsi="宋体"/>
                <w:szCs w:val="21"/>
              </w:rPr>
            </w:pPr>
            <w:r>
              <w:rPr>
                <w:rFonts w:hint="eastAsia" w:ascii="宋体" w:hAnsi="宋体"/>
                <w:bCs/>
                <w:szCs w:val="21"/>
              </w:rPr>
              <w:t>开标地点</w:t>
            </w:r>
            <w:r>
              <w:rPr>
                <w:rFonts w:hint="eastAsia" w:ascii="宋体" w:hAnsi="宋体"/>
                <w:szCs w:val="21"/>
              </w:rPr>
              <w:t xml:space="preserve"> </w:t>
            </w:r>
          </w:p>
        </w:tc>
        <w:tc>
          <w:tcPr>
            <w:tcW w:w="4962" w:type="dxa"/>
            <w:vAlign w:val="center"/>
          </w:tcPr>
          <w:p w14:paraId="3D870CCE">
            <w:pPr>
              <w:adjustRightInd w:val="0"/>
              <w:snapToGrid w:val="0"/>
              <w:spacing w:line="360" w:lineRule="auto"/>
              <w:rPr>
                <w:rFonts w:hint="eastAsia" w:ascii="宋体" w:hAnsi="宋体"/>
                <w:szCs w:val="21"/>
              </w:rPr>
            </w:pPr>
            <w:r>
              <w:rPr>
                <w:rFonts w:ascii="宋体" w:hAnsi="宋体"/>
                <w:szCs w:val="21"/>
              </w:rPr>
              <w:t>详见外网公告</w:t>
            </w:r>
            <w:r>
              <w:rPr>
                <w:rFonts w:hint="eastAsia" w:ascii="宋体" w:hAnsi="宋体"/>
                <w:szCs w:val="21"/>
              </w:rPr>
              <w:t>。</w:t>
            </w:r>
          </w:p>
        </w:tc>
      </w:tr>
      <w:tr w14:paraId="658A2C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1560" w:type="dxa"/>
            <w:vAlign w:val="center"/>
          </w:tcPr>
          <w:p w14:paraId="7BA16E53">
            <w:pPr>
              <w:adjustRightInd w:val="0"/>
              <w:snapToGrid w:val="0"/>
              <w:spacing w:line="360" w:lineRule="auto"/>
              <w:jc w:val="center"/>
              <w:rPr>
                <w:rFonts w:hint="eastAsia" w:ascii="宋体" w:hAnsi="宋体"/>
                <w:szCs w:val="21"/>
              </w:rPr>
            </w:pPr>
            <w:r>
              <w:rPr>
                <w:rFonts w:hint="eastAsia" w:ascii="宋体" w:hAnsi="宋体"/>
                <w:szCs w:val="21"/>
              </w:rPr>
              <w:t>第24.2</w:t>
            </w:r>
            <w:r>
              <w:rPr>
                <w:rFonts w:hint="eastAsia" w:ascii="宋体" w:hAnsi="宋体" w:cs="宋体"/>
                <w:kern w:val="0"/>
                <w:szCs w:val="21"/>
                <w:lang w:val="zh-CN"/>
              </w:rPr>
              <w:t>款</w:t>
            </w:r>
          </w:p>
        </w:tc>
        <w:tc>
          <w:tcPr>
            <w:tcW w:w="2409" w:type="dxa"/>
            <w:vAlign w:val="center"/>
          </w:tcPr>
          <w:p w14:paraId="2F4B996A">
            <w:pPr>
              <w:adjustRightInd w:val="0"/>
              <w:snapToGrid w:val="0"/>
              <w:spacing w:line="360" w:lineRule="auto"/>
              <w:jc w:val="left"/>
              <w:rPr>
                <w:rFonts w:hint="eastAsia" w:ascii="宋体" w:hAnsi="宋体"/>
                <w:szCs w:val="21"/>
              </w:rPr>
            </w:pPr>
            <w:r>
              <w:rPr>
                <w:rFonts w:hint="eastAsia" w:ascii="宋体" w:hAnsi="宋体"/>
                <w:szCs w:val="21"/>
              </w:rPr>
              <w:t>需要宣布的其他内容</w:t>
            </w:r>
          </w:p>
        </w:tc>
        <w:tc>
          <w:tcPr>
            <w:tcW w:w="4962" w:type="dxa"/>
            <w:vAlign w:val="center"/>
          </w:tcPr>
          <w:p w14:paraId="61A1AD7E">
            <w:pPr>
              <w:adjustRightInd w:val="0"/>
              <w:snapToGrid w:val="0"/>
              <w:spacing w:line="360" w:lineRule="auto"/>
              <w:rPr>
                <w:rFonts w:hint="eastAsia" w:ascii="宋体" w:hAnsi="宋体"/>
                <w:szCs w:val="21"/>
              </w:rPr>
            </w:pPr>
            <w:r>
              <w:rPr>
                <w:rFonts w:ascii="宋体" w:hAnsi="宋体"/>
                <w:szCs w:val="21"/>
              </w:rPr>
              <w:t>投标报价</w:t>
            </w:r>
            <w:r>
              <w:rPr>
                <w:rFonts w:hint="eastAsia" w:ascii="宋体" w:hAnsi="宋体"/>
                <w:szCs w:val="21"/>
              </w:rPr>
              <w:t>、</w:t>
            </w:r>
            <w:r>
              <w:rPr>
                <w:rFonts w:ascii="宋体" w:hAnsi="宋体"/>
                <w:szCs w:val="21"/>
              </w:rPr>
              <w:t>项目联系人</w:t>
            </w:r>
            <w:r>
              <w:rPr>
                <w:rFonts w:hint="eastAsia" w:ascii="宋体" w:hAnsi="宋体"/>
                <w:szCs w:val="21"/>
              </w:rPr>
              <w:t>。</w:t>
            </w:r>
          </w:p>
        </w:tc>
      </w:tr>
      <w:tr w14:paraId="7BB8CE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8931" w:type="dxa"/>
            <w:gridSpan w:val="3"/>
            <w:vAlign w:val="center"/>
          </w:tcPr>
          <w:p w14:paraId="32FC3E3C">
            <w:pPr>
              <w:adjustRightInd w:val="0"/>
              <w:snapToGrid w:val="0"/>
              <w:spacing w:line="360" w:lineRule="auto"/>
              <w:rPr>
                <w:rFonts w:hint="eastAsia" w:ascii="宋体" w:hAnsi="宋体"/>
                <w:b/>
                <w:szCs w:val="21"/>
              </w:rPr>
            </w:pPr>
            <w:r>
              <w:rPr>
                <w:rFonts w:hint="eastAsia" w:ascii="宋体" w:hAnsi="宋体"/>
                <w:b/>
                <w:szCs w:val="21"/>
              </w:rPr>
              <w:t>六、中标信息公布</w:t>
            </w:r>
          </w:p>
        </w:tc>
      </w:tr>
      <w:tr w14:paraId="3A682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C627D20">
            <w:pPr>
              <w:adjustRightInd w:val="0"/>
              <w:snapToGrid w:val="0"/>
              <w:spacing w:line="360" w:lineRule="auto"/>
              <w:jc w:val="center"/>
              <w:rPr>
                <w:rFonts w:hint="eastAsia" w:ascii="宋体" w:hAnsi="宋体"/>
                <w:szCs w:val="21"/>
              </w:rPr>
            </w:pPr>
            <w:r>
              <w:rPr>
                <w:rFonts w:hint="eastAsia" w:ascii="宋体" w:hAnsi="宋体"/>
                <w:szCs w:val="21"/>
              </w:rPr>
              <w:t>第28.2</w:t>
            </w:r>
            <w:r>
              <w:rPr>
                <w:rFonts w:hint="eastAsia" w:ascii="宋体" w:hAnsi="宋体" w:cs="宋体"/>
                <w:kern w:val="0"/>
                <w:szCs w:val="21"/>
                <w:lang w:val="zh-CN"/>
              </w:rPr>
              <w:t>款</w:t>
            </w:r>
          </w:p>
        </w:tc>
        <w:tc>
          <w:tcPr>
            <w:tcW w:w="2409" w:type="dxa"/>
            <w:vAlign w:val="center"/>
          </w:tcPr>
          <w:p w14:paraId="130A712B">
            <w:pPr>
              <w:adjustRightInd w:val="0"/>
              <w:snapToGrid w:val="0"/>
              <w:spacing w:line="360" w:lineRule="auto"/>
              <w:jc w:val="left"/>
              <w:rPr>
                <w:rFonts w:hint="eastAsia" w:ascii="宋体" w:hAnsi="宋体"/>
                <w:szCs w:val="21"/>
              </w:rPr>
            </w:pPr>
            <w:r>
              <w:rPr>
                <w:rFonts w:hint="eastAsia" w:ascii="宋体" w:hAnsi="宋体"/>
                <w:szCs w:val="21"/>
              </w:rPr>
              <w:t>中标候选人并列时确定中标人的方式</w:t>
            </w:r>
          </w:p>
        </w:tc>
        <w:tc>
          <w:tcPr>
            <w:tcW w:w="4962" w:type="dxa"/>
            <w:vAlign w:val="center"/>
          </w:tcPr>
          <w:p w14:paraId="4DBA047D">
            <w:pPr>
              <w:adjustRightInd w:val="0"/>
              <w:snapToGrid w:val="0"/>
              <w:spacing w:line="360" w:lineRule="auto"/>
              <w:rPr>
                <w:rFonts w:hint="eastAsia" w:ascii="宋体" w:hAnsi="宋体"/>
                <w:color w:val="000000"/>
              </w:rPr>
            </w:pPr>
            <w:r>
              <w:rPr>
                <w:rFonts w:hint="eastAsia" w:ascii="宋体" w:hAnsi="宋体"/>
                <w:color w:val="000000"/>
              </w:rPr>
              <w:t>完全满足采购文件实质性需求且综合得分最高的单位为中标单位，得分相同的，按投标报价由低到高顺序排列；</w:t>
            </w:r>
          </w:p>
          <w:p w14:paraId="242C48C2">
            <w:pPr>
              <w:adjustRightInd w:val="0"/>
              <w:snapToGrid w:val="0"/>
              <w:spacing w:line="360" w:lineRule="auto"/>
              <w:rPr>
                <w:rFonts w:hint="eastAsia" w:ascii="宋体" w:hAnsi="宋体"/>
                <w:szCs w:val="21"/>
              </w:rPr>
            </w:pPr>
            <w:r>
              <w:rPr>
                <w:rFonts w:hint="eastAsia" w:ascii="宋体" w:hAnsi="宋体"/>
                <w:color w:val="000000"/>
              </w:rPr>
              <w:t>得分且投标报价相同的，按技术指标优劣顺序排列。</w:t>
            </w:r>
            <w:r>
              <w:rPr>
                <w:rFonts w:hint="eastAsia" w:ascii="宋体" w:hAnsi="宋体"/>
                <w:bCs/>
              </w:rPr>
              <w:t>若总分相同、报价相同且技术也相同时则按现场抽签决定排名顺序。</w:t>
            </w:r>
          </w:p>
        </w:tc>
      </w:tr>
      <w:tr w14:paraId="25932F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789A3C2">
            <w:pPr>
              <w:adjustRightInd w:val="0"/>
              <w:snapToGrid w:val="0"/>
              <w:spacing w:line="360" w:lineRule="auto"/>
              <w:jc w:val="center"/>
              <w:rPr>
                <w:rFonts w:hint="eastAsia" w:ascii="宋体" w:hAnsi="宋体"/>
                <w:szCs w:val="21"/>
              </w:rPr>
            </w:pPr>
            <w:r>
              <w:rPr>
                <w:rFonts w:hint="eastAsia" w:ascii="宋体" w:hAnsi="宋体"/>
                <w:szCs w:val="21"/>
              </w:rPr>
              <w:t>第29.3</w:t>
            </w:r>
            <w:r>
              <w:rPr>
                <w:rFonts w:hint="eastAsia" w:ascii="宋体" w:hAnsi="宋体" w:cs="宋体"/>
                <w:kern w:val="0"/>
                <w:szCs w:val="21"/>
                <w:lang w:val="zh-CN"/>
              </w:rPr>
              <w:t>款</w:t>
            </w:r>
          </w:p>
        </w:tc>
        <w:tc>
          <w:tcPr>
            <w:tcW w:w="2409" w:type="dxa"/>
            <w:vAlign w:val="center"/>
          </w:tcPr>
          <w:p w14:paraId="019D9660">
            <w:pPr>
              <w:adjustRightInd w:val="0"/>
              <w:snapToGrid w:val="0"/>
              <w:spacing w:line="360" w:lineRule="auto"/>
              <w:jc w:val="left"/>
              <w:rPr>
                <w:rFonts w:hint="eastAsia" w:ascii="宋体" w:hAnsi="宋体"/>
                <w:szCs w:val="21"/>
              </w:rPr>
            </w:pPr>
            <w:r>
              <w:rPr>
                <w:rFonts w:hint="eastAsia" w:ascii="宋体" w:hAnsi="宋体"/>
                <w:szCs w:val="21"/>
              </w:rPr>
              <w:t>接收质疑函的联系部门、联系电话和通讯地址</w:t>
            </w:r>
          </w:p>
        </w:tc>
        <w:tc>
          <w:tcPr>
            <w:tcW w:w="4962" w:type="dxa"/>
            <w:vAlign w:val="center"/>
          </w:tcPr>
          <w:p w14:paraId="1DC7E3DC">
            <w:pPr>
              <w:rPr>
                <w:rFonts w:hint="eastAsia" w:ascii="宋体" w:hAnsi="宋体" w:eastAsia="宋体"/>
                <w:lang w:eastAsia="zh-CN"/>
              </w:rPr>
            </w:pPr>
            <w:r>
              <w:rPr>
                <w:rFonts w:hint="eastAsia" w:ascii="宋体" w:hAnsi="宋体"/>
              </w:rPr>
              <w:t>名  称：</w:t>
            </w:r>
            <w:r>
              <w:rPr>
                <w:rFonts w:hint="eastAsia" w:ascii="宋体" w:hAnsi="宋体"/>
                <w:lang w:eastAsia="zh-CN"/>
              </w:rPr>
              <w:t>涟源市自然资源局</w:t>
            </w:r>
          </w:p>
          <w:p w14:paraId="5320E66B">
            <w:pPr>
              <w:rPr>
                <w:rFonts w:hint="eastAsia" w:ascii="宋体" w:hAnsi="宋体" w:eastAsia="宋体"/>
                <w:lang w:eastAsia="zh-CN"/>
              </w:rPr>
            </w:pPr>
            <w:r>
              <w:rPr>
                <w:rFonts w:hint="eastAsia" w:ascii="宋体" w:hAnsi="宋体"/>
              </w:rPr>
              <w:t>地  址：</w:t>
            </w:r>
            <w:r>
              <w:rPr>
                <w:rFonts w:hint="eastAsia" w:ascii="宋体" w:hAnsi="宋体"/>
                <w:lang w:eastAsia="zh-CN"/>
              </w:rPr>
              <w:t>涟源市福源路</w:t>
            </w:r>
          </w:p>
          <w:p w14:paraId="53EC8511">
            <w:pPr>
              <w:rPr>
                <w:rFonts w:hint="eastAsia" w:ascii="宋体" w:hAnsi="宋体"/>
                <w:color w:val="auto"/>
                <w:szCs w:val="21"/>
                <w:highlight w:val="none"/>
                <w:lang w:eastAsia="zh-CN"/>
              </w:rPr>
            </w:pPr>
            <w:r>
              <w:rPr>
                <w:rFonts w:hint="eastAsia" w:ascii="宋体" w:hAnsi="宋体"/>
              </w:rPr>
              <w:t>联系人：</w:t>
            </w:r>
            <w:r>
              <w:rPr>
                <w:rFonts w:hint="eastAsia" w:ascii="宋体" w:hAnsi="宋体"/>
                <w:color w:val="auto"/>
                <w:szCs w:val="21"/>
                <w:highlight w:val="none"/>
                <w:lang w:eastAsia="zh-CN"/>
              </w:rPr>
              <w:t>李先生</w:t>
            </w:r>
          </w:p>
          <w:p w14:paraId="2637805B">
            <w:pPr>
              <w:rPr>
                <w:rFonts w:hint="eastAsia" w:ascii="宋体" w:hAnsi="宋体" w:eastAsia="宋体"/>
                <w:lang w:eastAsia="zh-CN"/>
              </w:rPr>
            </w:pPr>
            <w:r>
              <w:rPr>
                <w:rFonts w:hint="eastAsia" w:ascii="宋体" w:hAnsi="宋体"/>
              </w:rPr>
              <w:t>电  话：</w:t>
            </w:r>
            <w:r>
              <w:rPr>
                <w:rFonts w:hint="eastAsia" w:ascii="宋体" w:hAnsi="宋体"/>
                <w:lang w:eastAsia="zh-CN"/>
              </w:rPr>
              <w:t>13973856570</w:t>
            </w:r>
          </w:p>
          <w:p w14:paraId="0236185B">
            <w:pPr>
              <w:rPr>
                <w:rFonts w:hint="eastAsia" w:ascii="宋体" w:hAnsi="宋体"/>
              </w:rPr>
            </w:pPr>
            <w:r>
              <w:rPr>
                <w:rFonts w:hint="eastAsia" w:ascii="宋体" w:hAnsi="宋体"/>
              </w:rPr>
              <w:t>采购代理机构：</w:t>
            </w:r>
            <w:r>
              <w:rPr>
                <w:rFonts w:hint="eastAsia" w:ascii="宋体" w:hAnsi="宋体"/>
                <w:lang w:eastAsia="zh-CN"/>
              </w:rPr>
              <w:t>天鉴国际工程管理有限公司</w:t>
            </w:r>
            <w:r>
              <w:rPr>
                <w:rFonts w:hint="eastAsia" w:ascii="宋体" w:hAnsi="宋体"/>
              </w:rPr>
              <w:t xml:space="preserve">         </w:t>
            </w:r>
          </w:p>
          <w:p w14:paraId="5A36F103">
            <w:pPr>
              <w:rPr>
                <w:rFonts w:hint="eastAsia" w:ascii="宋体" w:hAnsi="宋体" w:eastAsia="宋体"/>
                <w:lang w:eastAsia="zh-CN"/>
              </w:rPr>
            </w:pPr>
            <w:r>
              <w:rPr>
                <w:rFonts w:hint="eastAsia" w:ascii="宋体" w:hAnsi="宋体"/>
              </w:rPr>
              <w:t>地址：</w:t>
            </w:r>
            <w:r>
              <w:rPr>
                <w:rFonts w:hint="eastAsia" w:ascii="宋体" w:hAnsi="宋体"/>
                <w:szCs w:val="21"/>
                <w:u w:val="none"/>
                <w:lang w:eastAsia="zh-CN"/>
              </w:rPr>
              <w:t>涟源市人民中路职业培训学校二楼</w:t>
            </w:r>
          </w:p>
          <w:p w14:paraId="51D1AE9E">
            <w:pPr>
              <w:rPr>
                <w:rFonts w:hint="eastAsia" w:ascii="宋体" w:hAnsi="宋体" w:eastAsia="宋体"/>
                <w:lang w:eastAsia="zh-CN"/>
              </w:rPr>
            </w:pPr>
            <w:r>
              <w:rPr>
                <w:rFonts w:hint="eastAsia" w:ascii="宋体" w:hAnsi="宋体"/>
              </w:rPr>
              <w:t>联系人：</w:t>
            </w:r>
            <w:r>
              <w:rPr>
                <w:rFonts w:hint="eastAsia" w:ascii="宋体" w:hAnsi="宋体"/>
                <w:szCs w:val="21"/>
                <w:u w:val="none"/>
                <w:lang w:eastAsia="zh-CN"/>
              </w:rPr>
              <w:t>李女士</w:t>
            </w:r>
            <w:r>
              <w:rPr>
                <w:rFonts w:hint="eastAsia" w:ascii="宋体" w:hAnsi="宋体"/>
                <w:szCs w:val="21"/>
                <w:u w:val="none"/>
                <w:lang w:val="en-US" w:eastAsia="zh-CN"/>
              </w:rPr>
              <w:t xml:space="preserve">  罗先生</w:t>
            </w:r>
            <w:r>
              <w:rPr>
                <w:rFonts w:hint="eastAsia" w:ascii="宋体" w:hAnsi="宋体"/>
                <w:lang w:eastAsia="zh-CN"/>
              </w:rPr>
              <w:t xml:space="preserve"> </w:t>
            </w:r>
          </w:p>
          <w:p w14:paraId="0B6F6B64">
            <w:pPr>
              <w:rPr>
                <w:rFonts w:hint="eastAsia" w:eastAsia="宋体"/>
                <w:lang w:eastAsia="zh-CN"/>
              </w:rPr>
            </w:pPr>
            <w:r>
              <w:rPr>
                <w:rFonts w:hint="eastAsia" w:ascii="宋体" w:hAnsi="宋体"/>
              </w:rPr>
              <w:t>电话：</w:t>
            </w:r>
            <w:r>
              <w:rPr>
                <w:rFonts w:hint="eastAsia" w:ascii="宋体" w:hAnsi="宋体"/>
                <w:lang w:eastAsia="zh-CN"/>
              </w:rPr>
              <w:t>18207380199  15897380101</w:t>
            </w:r>
          </w:p>
        </w:tc>
      </w:tr>
      <w:tr w14:paraId="33911F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790BE86F">
            <w:pPr>
              <w:adjustRightInd w:val="0"/>
              <w:snapToGrid w:val="0"/>
              <w:spacing w:line="360" w:lineRule="auto"/>
              <w:rPr>
                <w:rFonts w:hint="eastAsia" w:ascii="宋体" w:hAnsi="宋体"/>
                <w:szCs w:val="21"/>
              </w:rPr>
            </w:pPr>
            <w:r>
              <w:rPr>
                <w:rFonts w:hint="eastAsia" w:ascii="宋体" w:hAnsi="宋体"/>
                <w:b/>
                <w:szCs w:val="21"/>
              </w:rPr>
              <w:t>七、合同签订</w:t>
            </w:r>
          </w:p>
        </w:tc>
      </w:tr>
      <w:tr w14:paraId="2E473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80BCAF3">
            <w:pPr>
              <w:adjustRightInd w:val="0"/>
              <w:snapToGrid w:val="0"/>
              <w:spacing w:line="360" w:lineRule="auto"/>
              <w:jc w:val="center"/>
              <w:rPr>
                <w:rFonts w:hint="eastAsia" w:ascii="宋体" w:hAnsi="宋体"/>
                <w:szCs w:val="21"/>
              </w:rPr>
            </w:pPr>
            <w:r>
              <w:rPr>
                <w:rFonts w:hint="eastAsia" w:ascii="宋体" w:hAnsi="宋体"/>
                <w:szCs w:val="21"/>
              </w:rPr>
              <w:t>第31.1</w:t>
            </w:r>
            <w:r>
              <w:rPr>
                <w:rFonts w:hint="eastAsia" w:ascii="宋体" w:hAnsi="宋体" w:cs="宋体"/>
                <w:kern w:val="0"/>
                <w:szCs w:val="21"/>
                <w:lang w:val="zh-CN"/>
              </w:rPr>
              <w:t>款</w:t>
            </w:r>
          </w:p>
        </w:tc>
        <w:tc>
          <w:tcPr>
            <w:tcW w:w="2409" w:type="dxa"/>
            <w:vAlign w:val="center"/>
          </w:tcPr>
          <w:p w14:paraId="6CC52030">
            <w:pPr>
              <w:adjustRightInd w:val="0"/>
              <w:snapToGrid w:val="0"/>
              <w:spacing w:line="360" w:lineRule="auto"/>
              <w:jc w:val="left"/>
              <w:rPr>
                <w:rFonts w:hint="eastAsia" w:ascii="宋体" w:hAnsi="宋体"/>
                <w:szCs w:val="21"/>
              </w:rPr>
            </w:pPr>
            <w:r>
              <w:rPr>
                <w:rFonts w:hint="eastAsia" w:ascii="宋体" w:hAnsi="宋体"/>
                <w:szCs w:val="21"/>
              </w:rPr>
              <w:t>履约担保</w:t>
            </w:r>
          </w:p>
        </w:tc>
        <w:tc>
          <w:tcPr>
            <w:tcW w:w="4962" w:type="dxa"/>
            <w:vAlign w:val="center"/>
          </w:tcPr>
          <w:p w14:paraId="5DB6D07A">
            <w:pPr>
              <w:adjustRightInd w:val="0"/>
              <w:snapToGrid w:val="0"/>
              <w:spacing w:line="360" w:lineRule="auto"/>
            </w:pPr>
            <w:r>
              <w:rPr>
                <w:rFonts w:hint="eastAsia" w:ascii="宋体" w:hAnsi="宋体"/>
                <w:lang w:eastAsia="zh-CN"/>
              </w:rPr>
              <w:t>□</w:t>
            </w:r>
            <w:r>
              <w:rPr>
                <w:rFonts w:hint="eastAsia"/>
              </w:rPr>
              <w:t>要求提供履约担保：</w:t>
            </w:r>
          </w:p>
          <w:p w14:paraId="0A921FFB">
            <w:pPr>
              <w:pStyle w:val="64"/>
              <w:spacing w:line="360" w:lineRule="auto"/>
              <w:ind w:firstLine="0" w:firstLineChars="0"/>
            </w:pPr>
            <w:r>
              <w:rPr>
                <w:rFonts w:hint="eastAsia" w:ascii="宋体" w:hAnsi="宋体"/>
                <w:lang w:eastAsia="zh-CN"/>
              </w:rPr>
              <w:t>☑</w:t>
            </w:r>
            <w:r>
              <w:rPr>
                <w:rFonts w:hint="eastAsia"/>
              </w:rPr>
              <w:t>不要求提供履约担保。</w:t>
            </w:r>
          </w:p>
        </w:tc>
      </w:tr>
      <w:tr w14:paraId="4F3925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38957D8A">
            <w:pPr>
              <w:adjustRightInd w:val="0"/>
              <w:snapToGrid w:val="0"/>
              <w:spacing w:line="360" w:lineRule="auto"/>
              <w:rPr>
                <w:rFonts w:hint="eastAsia" w:ascii="宋体" w:hAnsi="宋体"/>
                <w:szCs w:val="21"/>
              </w:rPr>
            </w:pPr>
            <w:r>
              <w:rPr>
                <w:rFonts w:hint="eastAsia" w:ascii="宋体" w:hAnsi="宋体"/>
                <w:b/>
                <w:bCs/>
                <w:szCs w:val="21"/>
              </w:rPr>
              <w:t>八、政府采购政策</w:t>
            </w:r>
          </w:p>
        </w:tc>
      </w:tr>
      <w:tr w14:paraId="371E3B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CD01BB7">
            <w:pPr>
              <w:adjustRightInd w:val="0"/>
              <w:snapToGrid w:val="0"/>
              <w:spacing w:line="360" w:lineRule="auto"/>
              <w:jc w:val="center"/>
              <w:rPr>
                <w:rFonts w:hint="eastAsia" w:ascii="宋体" w:hAnsi="宋体"/>
                <w:szCs w:val="21"/>
              </w:rPr>
            </w:pPr>
            <w:r>
              <w:rPr>
                <w:rFonts w:hint="eastAsia" w:ascii="宋体" w:hAnsi="宋体"/>
                <w:szCs w:val="21"/>
              </w:rPr>
              <w:t>第33.8款</w:t>
            </w:r>
          </w:p>
        </w:tc>
        <w:tc>
          <w:tcPr>
            <w:tcW w:w="2409" w:type="dxa"/>
            <w:vAlign w:val="center"/>
          </w:tcPr>
          <w:p w14:paraId="7580305E">
            <w:pPr>
              <w:adjustRightInd w:val="0"/>
              <w:snapToGrid w:val="0"/>
              <w:spacing w:line="360" w:lineRule="auto"/>
              <w:jc w:val="left"/>
              <w:rPr>
                <w:rFonts w:hint="eastAsia" w:ascii="宋体" w:hAnsi="宋体"/>
                <w:szCs w:val="21"/>
              </w:rPr>
            </w:pPr>
            <w:r>
              <w:rPr>
                <w:rFonts w:hint="eastAsia" w:ascii="宋体" w:hAnsi="宋体"/>
                <w:szCs w:val="21"/>
              </w:rPr>
              <w:t>采购进口产品</w:t>
            </w:r>
          </w:p>
        </w:tc>
        <w:tc>
          <w:tcPr>
            <w:tcW w:w="4962" w:type="dxa"/>
            <w:vAlign w:val="center"/>
          </w:tcPr>
          <w:p w14:paraId="60EDC09D">
            <w:pPr>
              <w:adjustRightInd w:val="0"/>
              <w:snapToGrid w:val="0"/>
              <w:spacing w:line="360" w:lineRule="auto"/>
              <w:rPr>
                <w:rFonts w:hint="eastAsia" w:ascii="宋体" w:hAnsi="宋体"/>
                <w:szCs w:val="21"/>
              </w:rPr>
            </w:pPr>
            <w:r>
              <w:rPr>
                <w:rFonts w:hint="eastAsia" w:ascii="宋体" w:hAnsi="宋体"/>
                <w:szCs w:val="21"/>
              </w:rPr>
              <w:t>本项目不适用。</w:t>
            </w:r>
          </w:p>
        </w:tc>
      </w:tr>
      <w:tr w14:paraId="3FA4A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1D4749AB">
            <w:pPr>
              <w:adjustRightInd w:val="0"/>
              <w:snapToGrid w:val="0"/>
              <w:spacing w:line="360" w:lineRule="auto"/>
              <w:rPr>
                <w:rFonts w:hint="eastAsia" w:ascii="宋体" w:hAnsi="宋体"/>
                <w:szCs w:val="21"/>
              </w:rPr>
            </w:pPr>
            <w:r>
              <w:rPr>
                <w:rFonts w:hint="eastAsia" w:ascii="宋体" w:hAnsi="宋体"/>
                <w:b/>
                <w:szCs w:val="21"/>
              </w:rPr>
              <w:t>九、其他规定</w:t>
            </w:r>
          </w:p>
        </w:tc>
      </w:tr>
      <w:tr w14:paraId="4A88B9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7307C00">
            <w:pPr>
              <w:adjustRightInd w:val="0"/>
              <w:snapToGrid w:val="0"/>
              <w:spacing w:line="360" w:lineRule="auto"/>
              <w:jc w:val="center"/>
              <w:rPr>
                <w:rFonts w:hint="eastAsia" w:ascii="宋体" w:hAnsi="宋体"/>
                <w:szCs w:val="21"/>
              </w:rPr>
            </w:pPr>
            <w:r>
              <w:rPr>
                <w:rFonts w:hint="eastAsia" w:ascii="宋体" w:hAnsi="宋体"/>
                <w:szCs w:val="21"/>
              </w:rPr>
              <w:t>第35.1</w:t>
            </w:r>
            <w:r>
              <w:rPr>
                <w:rFonts w:hint="eastAsia" w:ascii="宋体" w:hAnsi="宋体" w:cs="宋体"/>
                <w:kern w:val="0"/>
                <w:szCs w:val="21"/>
                <w:lang w:val="zh-CN"/>
              </w:rPr>
              <w:t>（</w:t>
            </w:r>
            <w:r>
              <w:rPr>
                <w:rFonts w:hint="eastAsia" w:ascii="宋体" w:hAnsi="宋体" w:cs="宋体"/>
                <w:kern w:val="0"/>
                <w:szCs w:val="21"/>
              </w:rPr>
              <w:t>1</w:t>
            </w:r>
            <w:r>
              <w:rPr>
                <w:rFonts w:hint="eastAsia" w:ascii="宋体" w:hAnsi="宋体" w:cs="宋体"/>
                <w:kern w:val="0"/>
                <w:szCs w:val="21"/>
                <w:lang w:val="zh-CN"/>
              </w:rPr>
              <w:t>）</w:t>
            </w:r>
            <w:r>
              <w:rPr>
                <w:rFonts w:hint="eastAsia" w:ascii="宋体" w:hAnsi="宋体" w:cs="宋体"/>
                <w:kern w:val="0"/>
                <w:szCs w:val="21"/>
              </w:rPr>
              <w:t>项</w:t>
            </w:r>
          </w:p>
        </w:tc>
        <w:tc>
          <w:tcPr>
            <w:tcW w:w="2409" w:type="dxa"/>
            <w:vAlign w:val="center"/>
          </w:tcPr>
          <w:p w14:paraId="1A384FC1">
            <w:pPr>
              <w:adjustRightInd w:val="0"/>
              <w:snapToGrid w:val="0"/>
              <w:spacing w:line="360" w:lineRule="auto"/>
              <w:jc w:val="left"/>
              <w:rPr>
                <w:rFonts w:hint="eastAsia" w:ascii="宋体" w:hAnsi="宋体"/>
                <w:szCs w:val="21"/>
              </w:rPr>
            </w:pPr>
            <w:r>
              <w:rPr>
                <w:rFonts w:hint="eastAsia" w:ascii="宋体" w:hAnsi="宋体"/>
                <w:szCs w:val="21"/>
              </w:rPr>
              <w:t>合同预付款的支付比例和支付条件</w:t>
            </w:r>
          </w:p>
        </w:tc>
        <w:tc>
          <w:tcPr>
            <w:tcW w:w="4962" w:type="dxa"/>
            <w:vAlign w:val="center"/>
          </w:tcPr>
          <w:p w14:paraId="71A74830">
            <w:pPr>
              <w:keepNext w:val="0"/>
              <w:keepLines w:val="0"/>
              <w:pageBreakBefore w:val="0"/>
              <w:widowControl w:val="0"/>
              <w:kinsoku/>
              <w:wordWrap/>
              <w:overflowPunct/>
              <w:topLinePunct w:val="0"/>
              <w:autoSpaceDE/>
              <w:autoSpaceDN/>
              <w:bidi w:val="0"/>
              <w:spacing w:line="240" w:lineRule="auto"/>
              <w:ind w:right="21" w:rightChars="10"/>
              <w:jc w:val="left"/>
              <w:textAlignment w:val="auto"/>
              <w:rPr>
                <w:rFonts w:hint="eastAsia" w:eastAsia="宋体"/>
                <w:lang w:val="en-US" w:eastAsia="zh-CN"/>
              </w:rPr>
            </w:pPr>
            <w:r>
              <w:rPr>
                <w:rFonts w:hint="eastAsia" w:ascii="宋体" w:hAnsi="宋体"/>
                <w:szCs w:val="21"/>
              </w:rPr>
              <w:t>/</w:t>
            </w:r>
          </w:p>
        </w:tc>
      </w:tr>
      <w:tr w14:paraId="2D2058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8" w:hRule="atLeast"/>
        </w:trPr>
        <w:tc>
          <w:tcPr>
            <w:tcW w:w="1560" w:type="dxa"/>
            <w:vAlign w:val="center"/>
          </w:tcPr>
          <w:p w14:paraId="06E43EA8">
            <w:pPr>
              <w:adjustRightInd w:val="0"/>
              <w:snapToGrid w:val="0"/>
              <w:spacing w:line="360" w:lineRule="auto"/>
              <w:jc w:val="center"/>
              <w:rPr>
                <w:rFonts w:hint="eastAsia" w:ascii="宋体" w:hAnsi="宋体"/>
                <w:szCs w:val="21"/>
              </w:rPr>
            </w:pPr>
            <w:r>
              <w:rPr>
                <w:rFonts w:hint="eastAsia" w:ascii="宋体" w:hAnsi="宋体"/>
                <w:szCs w:val="21"/>
              </w:rPr>
              <w:t>第35.1</w:t>
            </w:r>
            <w:r>
              <w:rPr>
                <w:rFonts w:hint="eastAsia" w:ascii="宋体" w:hAnsi="宋体" w:cs="宋体"/>
                <w:kern w:val="0"/>
                <w:szCs w:val="21"/>
                <w:lang w:val="zh-CN"/>
              </w:rPr>
              <w:t>（</w:t>
            </w:r>
            <w:r>
              <w:rPr>
                <w:rFonts w:hint="eastAsia" w:ascii="宋体" w:hAnsi="宋体" w:cs="宋体"/>
                <w:kern w:val="0"/>
                <w:szCs w:val="21"/>
              </w:rPr>
              <w:t>2</w:t>
            </w:r>
            <w:r>
              <w:rPr>
                <w:rFonts w:hint="eastAsia" w:ascii="宋体" w:hAnsi="宋体" w:cs="宋体"/>
                <w:kern w:val="0"/>
                <w:szCs w:val="21"/>
                <w:lang w:val="zh-CN"/>
              </w:rPr>
              <w:t>）</w:t>
            </w:r>
            <w:r>
              <w:rPr>
                <w:rFonts w:hint="eastAsia" w:ascii="宋体" w:hAnsi="宋体" w:cs="宋体"/>
                <w:kern w:val="0"/>
                <w:szCs w:val="21"/>
              </w:rPr>
              <w:t>项</w:t>
            </w:r>
          </w:p>
        </w:tc>
        <w:tc>
          <w:tcPr>
            <w:tcW w:w="2409" w:type="dxa"/>
            <w:vAlign w:val="center"/>
          </w:tcPr>
          <w:p w14:paraId="4E102095">
            <w:pPr>
              <w:adjustRightInd w:val="0"/>
              <w:snapToGrid w:val="0"/>
              <w:spacing w:line="360" w:lineRule="auto"/>
              <w:jc w:val="left"/>
              <w:rPr>
                <w:rFonts w:hint="eastAsia" w:ascii="宋体" w:hAnsi="宋体"/>
                <w:szCs w:val="21"/>
              </w:rPr>
            </w:pPr>
            <w:r>
              <w:rPr>
                <w:rFonts w:hint="eastAsia" w:ascii="宋体" w:hAnsi="宋体"/>
                <w:szCs w:val="21"/>
              </w:rPr>
              <w:t>质量保证金</w:t>
            </w:r>
          </w:p>
        </w:tc>
        <w:tc>
          <w:tcPr>
            <w:tcW w:w="4962" w:type="dxa"/>
            <w:vAlign w:val="center"/>
          </w:tcPr>
          <w:p w14:paraId="66A4C7C8">
            <w:pPr>
              <w:adjustRightInd w:val="0"/>
              <w:snapToGrid w:val="0"/>
              <w:spacing w:line="360" w:lineRule="auto"/>
              <w:rPr>
                <w:rFonts w:hint="eastAsia" w:ascii="宋体" w:hAnsi="宋体"/>
                <w:szCs w:val="21"/>
              </w:rPr>
            </w:pPr>
            <w:r>
              <w:rPr>
                <w:rFonts w:hint="eastAsia" w:ascii="宋体" w:hAnsi="宋体"/>
                <w:szCs w:val="21"/>
              </w:rPr>
              <w:t>/</w:t>
            </w:r>
          </w:p>
        </w:tc>
      </w:tr>
      <w:tr w14:paraId="41EC9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7" w:hRule="atLeast"/>
        </w:trPr>
        <w:tc>
          <w:tcPr>
            <w:tcW w:w="1560" w:type="dxa"/>
            <w:vAlign w:val="center"/>
          </w:tcPr>
          <w:p w14:paraId="27BE8326">
            <w:pPr>
              <w:adjustRightInd w:val="0"/>
              <w:snapToGrid w:val="0"/>
              <w:spacing w:line="400" w:lineRule="exact"/>
              <w:jc w:val="center"/>
              <w:rPr>
                <w:rFonts w:hint="eastAsia" w:ascii="宋体" w:hAnsi="宋体"/>
              </w:rPr>
            </w:pPr>
            <w:r>
              <w:rPr>
                <w:rFonts w:hint="eastAsia" w:ascii="宋体" w:hAnsi="宋体"/>
              </w:rPr>
              <w:t>第35.</w:t>
            </w:r>
            <w:r>
              <w:rPr>
                <w:rFonts w:hint="eastAsia" w:ascii="宋体" w:hAnsi="宋体"/>
                <w:lang w:val="en-US" w:eastAsia="zh-CN"/>
              </w:rPr>
              <w:t>2</w:t>
            </w:r>
            <w:r>
              <w:rPr>
                <w:rFonts w:hint="eastAsia" w:ascii="宋体" w:hAnsi="宋体"/>
                <w:kern w:val="0"/>
                <w:lang w:val="zh-CN"/>
              </w:rPr>
              <w:t>款</w:t>
            </w:r>
          </w:p>
        </w:tc>
        <w:tc>
          <w:tcPr>
            <w:tcW w:w="2409" w:type="dxa"/>
            <w:vAlign w:val="center"/>
          </w:tcPr>
          <w:p w14:paraId="72DCC0EF">
            <w:pPr>
              <w:rPr>
                <w:rFonts w:hint="eastAsia" w:ascii="宋体" w:hAnsi="宋体"/>
                <w:color w:val="auto"/>
              </w:rPr>
            </w:pPr>
            <w:r>
              <w:rPr>
                <w:rFonts w:hint="eastAsia" w:ascii="宋体" w:hAnsi="宋体"/>
                <w:color w:val="auto"/>
              </w:rPr>
              <w:t>招标代理服务费</w:t>
            </w:r>
          </w:p>
        </w:tc>
        <w:tc>
          <w:tcPr>
            <w:tcW w:w="4962" w:type="dxa"/>
            <w:vAlign w:val="center"/>
          </w:tcPr>
          <w:p w14:paraId="46DC819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olor w:val="auto"/>
              </w:rPr>
            </w:pPr>
            <w:r>
              <w:rPr>
                <w:rFonts w:hint="eastAsia" w:ascii="宋体" w:hAnsi="宋体"/>
                <w:szCs w:val="21"/>
              </w:rPr>
              <w:t>参照原国计价格【2002】1980号文件</w:t>
            </w:r>
            <w:r>
              <w:rPr>
                <w:rFonts w:hint="eastAsia" w:ascii="宋体" w:hAnsi="宋体"/>
                <w:szCs w:val="21"/>
                <w:lang w:eastAsia="zh-CN"/>
              </w:rPr>
              <w:t>标准的</w:t>
            </w:r>
            <w:r>
              <w:rPr>
                <w:rFonts w:hint="eastAsia" w:ascii="宋体" w:hAnsi="宋体"/>
                <w:szCs w:val="21"/>
                <w:lang w:val="en-US" w:eastAsia="zh-CN"/>
              </w:rPr>
              <w:t>49.5%收</w:t>
            </w:r>
            <w:r>
              <w:rPr>
                <w:rFonts w:hint="eastAsia" w:ascii="宋体" w:hAnsi="宋体"/>
                <w:szCs w:val="21"/>
              </w:rPr>
              <w:t>取</w:t>
            </w:r>
            <w:r>
              <w:rPr>
                <w:rFonts w:hint="eastAsia" w:ascii="宋体" w:hAnsi="宋体"/>
                <w:szCs w:val="21"/>
                <w:lang w:val="en-US" w:eastAsia="zh-CN"/>
              </w:rPr>
              <w:t>10590元</w:t>
            </w:r>
            <w:r>
              <w:rPr>
                <w:rFonts w:hint="eastAsia" w:ascii="宋体" w:hAnsi="宋体"/>
                <w:szCs w:val="21"/>
              </w:rPr>
              <w:t>，</w:t>
            </w:r>
            <w:r>
              <w:rPr>
                <w:rFonts w:hint="eastAsia" w:ascii="宋体" w:hAnsi="宋体"/>
                <w:szCs w:val="21"/>
                <w:lang w:eastAsia="zh-CN"/>
              </w:rPr>
              <w:t>由采购人支付。</w:t>
            </w:r>
            <w:bookmarkStart w:id="158" w:name="_GoBack"/>
            <w:bookmarkEnd w:id="158"/>
          </w:p>
        </w:tc>
      </w:tr>
      <w:tr w14:paraId="2B5182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679A019">
            <w:pPr>
              <w:adjustRightInd w:val="0"/>
              <w:snapToGrid w:val="0"/>
              <w:spacing w:line="360" w:lineRule="auto"/>
              <w:jc w:val="center"/>
              <w:rPr>
                <w:rFonts w:hint="eastAsia" w:ascii="宋体" w:hAnsi="宋体"/>
                <w:szCs w:val="21"/>
              </w:rPr>
            </w:pPr>
            <w:r>
              <w:rPr>
                <w:rFonts w:hint="eastAsia" w:ascii="宋体" w:hAnsi="宋体"/>
                <w:szCs w:val="21"/>
              </w:rPr>
              <w:t>第35.2</w:t>
            </w:r>
            <w:r>
              <w:rPr>
                <w:rFonts w:hint="eastAsia" w:ascii="宋体" w:hAnsi="宋体" w:cs="宋体"/>
                <w:kern w:val="0"/>
                <w:szCs w:val="21"/>
                <w:lang w:val="zh-CN"/>
              </w:rPr>
              <w:t>款</w:t>
            </w:r>
          </w:p>
        </w:tc>
        <w:tc>
          <w:tcPr>
            <w:tcW w:w="2409" w:type="dxa"/>
            <w:vAlign w:val="center"/>
          </w:tcPr>
          <w:p w14:paraId="0DC9B5FB">
            <w:pPr>
              <w:adjustRightInd w:val="0"/>
              <w:snapToGrid w:val="0"/>
              <w:spacing w:line="360" w:lineRule="auto"/>
              <w:jc w:val="left"/>
              <w:rPr>
                <w:rFonts w:hint="eastAsia" w:ascii="宋体" w:hAnsi="宋体"/>
                <w:szCs w:val="21"/>
              </w:rPr>
            </w:pPr>
            <w:r>
              <w:rPr>
                <w:rFonts w:hint="eastAsia" w:ascii="宋体" w:hAnsi="宋体"/>
                <w:szCs w:val="21"/>
              </w:rPr>
              <w:t>其他说明</w:t>
            </w:r>
          </w:p>
        </w:tc>
        <w:tc>
          <w:tcPr>
            <w:tcW w:w="4962" w:type="dxa"/>
            <w:vAlign w:val="center"/>
          </w:tcPr>
          <w:p w14:paraId="2A5E5008">
            <w:pPr>
              <w:widowControl/>
              <w:tabs>
                <w:tab w:val="left" w:pos="828"/>
                <w:tab w:val="left" w:pos="1571"/>
                <w:tab w:val="left" w:pos="2291"/>
              </w:tabs>
              <w:spacing w:before="156" w:beforeLines="50"/>
              <w:jc w:val="left"/>
            </w:pPr>
            <w:r>
              <w:rPr>
                <w:rFonts w:hint="eastAsia"/>
              </w:rPr>
              <w:t>（</w:t>
            </w:r>
            <w:r>
              <w:rPr>
                <w:rFonts w:hint="eastAsia"/>
                <w:lang w:val="en-US" w:eastAsia="zh-CN"/>
              </w:rPr>
              <w:t>1</w:t>
            </w:r>
            <w:r>
              <w:rPr>
                <w:rFonts w:hint="eastAsia"/>
              </w:rPr>
              <w:t>）投标文件中必须提供招标公告中所要求的资质证件的复印件并加盖投标单位公章（合法电子公章具有同等效力）。</w:t>
            </w:r>
          </w:p>
          <w:p w14:paraId="76B1C616">
            <w:pPr>
              <w:widowControl/>
              <w:tabs>
                <w:tab w:val="left" w:pos="828"/>
                <w:tab w:val="left" w:pos="1571"/>
                <w:tab w:val="left" w:pos="2291"/>
              </w:tabs>
              <w:spacing w:before="156" w:beforeLines="50"/>
              <w:jc w:val="left"/>
            </w:pPr>
            <w:r>
              <w:rPr>
                <w:rFonts w:hint="eastAsia"/>
              </w:rPr>
              <w:t>（</w:t>
            </w:r>
            <w:r>
              <w:rPr>
                <w:rFonts w:hint="eastAsia"/>
                <w:lang w:val="en-US" w:eastAsia="zh-CN"/>
              </w:rPr>
              <w:t>2</w:t>
            </w:r>
            <w:r>
              <w:rPr>
                <w:rFonts w:hint="eastAsia"/>
              </w:rPr>
              <w:t>）本文规定按日计算期间的，开始当天不计入，从次日开始计算，期限最后一日是国家法定节假日的，顺延到节假日后的次日为期限的最后一日。</w:t>
            </w:r>
          </w:p>
          <w:p w14:paraId="35A34EBE">
            <w:pPr>
              <w:keepNext w:val="0"/>
              <w:keepLines w:val="0"/>
              <w:pageBreakBefore w:val="0"/>
              <w:widowControl w:val="0"/>
              <w:kinsoku/>
              <w:wordWrap/>
              <w:overflowPunct/>
              <w:topLinePunct w:val="0"/>
              <w:autoSpaceDE/>
              <w:autoSpaceDN/>
              <w:bidi w:val="0"/>
              <w:adjustRightInd/>
              <w:snapToGrid/>
              <w:textAlignment w:val="auto"/>
            </w:pPr>
            <w:r>
              <w:rPr>
                <w:rFonts w:hint="eastAsia"/>
              </w:rPr>
              <w:t>（</w:t>
            </w:r>
            <w:r>
              <w:rPr>
                <w:rFonts w:hint="eastAsia"/>
                <w:lang w:val="en-US" w:eastAsia="zh-CN"/>
              </w:rPr>
              <w:t>3</w:t>
            </w:r>
            <w:r>
              <w:rPr>
                <w:rFonts w:hint="eastAsia"/>
              </w:rPr>
              <w:t>）本文件所称的“以上”、“以下”、“内”、“以内”，包括本数（或本级）；所称的“不足”、“超过”，不包括本数。</w:t>
            </w:r>
          </w:p>
        </w:tc>
      </w:tr>
    </w:tbl>
    <w:p w14:paraId="0637B8E1">
      <w:pPr>
        <w:adjustRightInd w:val="0"/>
        <w:snapToGrid w:val="0"/>
        <w:spacing w:line="360" w:lineRule="auto"/>
        <w:rPr>
          <w:rFonts w:hint="eastAsia" w:ascii="宋体" w:hAnsi="宋体"/>
          <w:b/>
          <w:color w:val="000000"/>
          <w:szCs w:val="21"/>
        </w:rPr>
      </w:pPr>
    </w:p>
    <w:p w14:paraId="7BFFCCB9">
      <w:pPr>
        <w:pStyle w:val="13"/>
      </w:pPr>
      <w:bookmarkStart w:id="18" w:name="_Toc20651195"/>
    </w:p>
    <w:p w14:paraId="462EF314">
      <w:pPr>
        <w:pStyle w:val="13"/>
      </w:pPr>
    </w:p>
    <w:p w14:paraId="378D5891">
      <w:pPr>
        <w:pStyle w:val="13"/>
      </w:pPr>
    </w:p>
    <w:p w14:paraId="784CCFBB">
      <w:pPr>
        <w:rPr>
          <w:rFonts w:hint="eastAsia" w:ascii="黑体" w:hAnsi="黑体" w:eastAsia="黑体"/>
          <w:b/>
          <w:bCs/>
          <w:sz w:val="28"/>
          <w:szCs w:val="28"/>
        </w:rPr>
      </w:pPr>
      <w:r>
        <w:rPr>
          <w:rFonts w:hint="eastAsia" w:ascii="黑体" w:hAnsi="黑体" w:eastAsia="黑体"/>
          <w:b/>
          <w:bCs/>
          <w:sz w:val="28"/>
          <w:szCs w:val="28"/>
        </w:rPr>
        <w:br w:type="page"/>
      </w:r>
    </w:p>
    <w:p w14:paraId="4EC353F1">
      <w:pPr>
        <w:keepNext/>
        <w:keepLines/>
        <w:adjustRightInd w:val="0"/>
        <w:snapToGrid w:val="0"/>
        <w:spacing w:before="156" w:beforeLines="50" w:line="360" w:lineRule="auto"/>
        <w:jc w:val="center"/>
        <w:outlineLvl w:val="1"/>
        <w:rPr>
          <w:rFonts w:hint="eastAsia" w:ascii="黑体" w:hAnsi="黑体" w:eastAsia="黑体"/>
          <w:b/>
          <w:bCs/>
          <w:sz w:val="28"/>
          <w:szCs w:val="28"/>
        </w:rPr>
      </w:pPr>
      <w:bookmarkStart w:id="19" w:name="_Toc6156"/>
      <w:r>
        <w:rPr>
          <w:rFonts w:hint="eastAsia" w:ascii="黑体" w:hAnsi="黑体" w:eastAsia="黑体"/>
          <w:b/>
          <w:bCs/>
          <w:sz w:val="28"/>
          <w:szCs w:val="28"/>
        </w:rPr>
        <w:t>第二节 投标须知</w:t>
      </w:r>
      <w:bookmarkEnd w:id="18"/>
      <w:bookmarkEnd w:id="19"/>
    </w:p>
    <w:p w14:paraId="1159502D">
      <w:pPr>
        <w:keepNext/>
        <w:keepLines/>
        <w:adjustRightInd w:val="0"/>
        <w:snapToGrid w:val="0"/>
        <w:spacing w:before="156" w:beforeLines="50" w:line="360" w:lineRule="auto"/>
        <w:jc w:val="center"/>
        <w:outlineLvl w:val="2"/>
        <w:rPr>
          <w:rFonts w:hint="eastAsia" w:ascii="黑体" w:hAnsi="黑体" w:eastAsia="黑体"/>
          <w:bCs/>
          <w:sz w:val="28"/>
          <w:szCs w:val="28"/>
        </w:rPr>
      </w:pPr>
      <w:bookmarkStart w:id="20" w:name="_Toc9559"/>
      <w:bookmarkStart w:id="21" w:name="_Toc22299"/>
      <w:bookmarkStart w:id="22" w:name="_Toc20651196"/>
      <w:r>
        <w:rPr>
          <w:rFonts w:hint="eastAsia" w:ascii="黑体" w:hAnsi="黑体" w:eastAsia="黑体"/>
          <w:b/>
          <w:bCs/>
          <w:sz w:val="28"/>
          <w:szCs w:val="28"/>
        </w:rPr>
        <w:t>一、总则</w:t>
      </w:r>
      <w:bookmarkEnd w:id="20"/>
      <w:bookmarkEnd w:id="21"/>
      <w:bookmarkEnd w:id="22"/>
    </w:p>
    <w:p w14:paraId="5628E7B3">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 适用范围</w:t>
      </w:r>
    </w:p>
    <w:p w14:paraId="756FBAC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1.1本招标文件仅适用于本章第一节</w:t>
      </w:r>
      <w:r>
        <w:rPr>
          <w:rFonts w:hint="eastAsia" w:ascii="宋体" w:hAnsi="宋体"/>
          <w:b/>
          <w:bCs/>
          <w:szCs w:val="21"/>
        </w:rPr>
        <w:t>【投标须知前附表】</w:t>
      </w:r>
      <w:r>
        <w:rPr>
          <w:rFonts w:hint="eastAsia" w:ascii="宋体" w:hAnsi="宋体"/>
          <w:szCs w:val="21"/>
        </w:rPr>
        <w:t>中所叙述的采购项目。</w:t>
      </w:r>
    </w:p>
    <w:p w14:paraId="3C0F0D7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规定采购项目或者采购包属于“预留采购份额”的，投标人应当符合本章第33.7款规定，否则，其</w:t>
      </w:r>
      <w:r>
        <w:rPr>
          <w:rFonts w:hint="eastAsia" w:ascii="宋体" w:hAnsi="宋体"/>
          <w:b/>
          <w:szCs w:val="21"/>
        </w:rPr>
        <w:t>投标无效</w:t>
      </w:r>
      <w:r>
        <w:rPr>
          <w:rFonts w:hint="eastAsia" w:ascii="宋体" w:hAnsi="宋体"/>
          <w:szCs w:val="21"/>
        </w:rPr>
        <w:t>。</w:t>
      </w:r>
    </w:p>
    <w:p w14:paraId="49BF2286">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2. 定义</w:t>
      </w:r>
    </w:p>
    <w:p w14:paraId="2DADCFC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78C5D3E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6F9B5D4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1F9F883D">
      <w:pPr>
        <w:adjustRightInd w:val="0"/>
        <w:snapToGrid w:val="0"/>
        <w:spacing w:before="156" w:beforeLines="50" w:line="360" w:lineRule="auto"/>
        <w:ind w:firstLine="420" w:firstLineChars="200"/>
        <w:jc w:val="left"/>
        <w:rPr>
          <w:rFonts w:hint="eastAsia" w:ascii="宋体" w:hAnsi="宋体"/>
          <w:b/>
          <w:szCs w:val="21"/>
        </w:rPr>
      </w:pPr>
      <w:r>
        <w:rPr>
          <w:rFonts w:hint="eastAsia" w:ascii="宋体" w:hAnsi="宋体"/>
          <w:szCs w:val="21"/>
        </w:rPr>
        <w:t>2.4投标人系指响应招标、参加投标竞争的法人、其他组织。</w:t>
      </w:r>
    </w:p>
    <w:p w14:paraId="5F704117">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3. 投标人的资格要求</w:t>
      </w:r>
    </w:p>
    <w:p w14:paraId="5057852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0541AF7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 xml:space="preserve">规定的资格条件外，还应遵守以下规定： </w:t>
      </w:r>
    </w:p>
    <w:p w14:paraId="7254E14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5247AF4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43A9B031">
      <w:pPr>
        <w:adjustRightInd w:val="0"/>
        <w:snapToGrid w:val="0"/>
        <w:spacing w:before="156" w:beforeLines="50" w:line="360" w:lineRule="auto"/>
        <w:ind w:firstLine="420" w:firstLineChars="200"/>
        <w:jc w:val="left"/>
        <w:rPr>
          <w:rFonts w:hint="eastAsia"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5E92F03F">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 xml:space="preserve">4. 投标费用 </w:t>
      </w:r>
    </w:p>
    <w:p w14:paraId="5760791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71112942">
      <w:pPr>
        <w:adjustRightInd w:val="0"/>
        <w:snapToGrid w:val="0"/>
        <w:spacing w:before="156" w:beforeLines="50" w:line="360" w:lineRule="auto"/>
        <w:jc w:val="left"/>
        <w:rPr>
          <w:rFonts w:hint="eastAsia" w:ascii="宋体" w:hAnsi="宋体"/>
          <w:b/>
          <w:sz w:val="24"/>
        </w:rPr>
      </w:pPr>
      <w:r>
        <w:rPr>
          <w:rFonts w:hint="eastAsia" w:ascii="宋体" w:hAnsi="宋体"/>
          <w:b/>
          <w:sz w:val="24"/>
        </w:rPr>
        <w:t>5．组织现场考察或者召开答疑会</w:t>
      </w:r>
    </w:p>
    <w:p w14:paraId="5EA86CE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rPr>
        <w:t>5.1采购人、采购代理机构可以在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7D9250F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31AAB9B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5.3潜在投标人现场考察或者参加答疑会的费用由自己承担，现场考察期间所发生的人身伤害及财产损失由自己负责。</w:t>
      </w:r>
    </w:p>
    <w:p w14:paraId="5F4DDD86">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5.4采购人、采购代理机构不对投标人据此而做出的推论、理解和结论负责。投标人一旦中标，不得以任何借口，提出额外补偿，或延长合同期限的要求。</w:t>
      </w:r>
    </w:p>
    <w:p w14:paraId="4D3165CF">
      <w:pPr>
        <w:pStyle w:val="4"/>
        <w:adjustRightInd w:val="0"/>
        <w:snapToGrid w:val="0"/>
        <w:spacing w:before="156" w:beforeLines="50" w:after="0" w:line="360" w:lineRule="auto"/>
        <w:jc w:val="center"/>
        <w:rPr>
          <w:rFonts w:hint="eastAsia" w:ascii="黑体" w:hAnsi="黑体" w:eastAsia="黑体"/>
          <w:sz w:val="28"/>
          <w:szCs w:val="28"/>
        </w:rPr>
      </w:pPr>
      <w:bookmarkStart w:id="23" w:name="_Toc16177"/>
      <w:bookmarkStart w:id="24" w:name="_Toc642"/>
      <w:r>
        <w:rPr>
          <w:rFonts w:hint="eastAsia" w:ascii="黑体" w:hAnsi="黑体" w:eastAsia="黑体"/>
          <w:sz w:val="28"/>
          <w:szCs w:val="28"/>
        </w:rPr>
        <w:t>二、招标文件</w:t>
      </w:r>
      <w:bookmarkEnd w:id="23"/>
      <w:bookmarkEnd w:id="24"/>
    </w:p>
    <w:p w14:paraId="1511F054">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6. 招标文件的构成</w:t>
      </w:r>
    </w:p>
    <w:p w14:paraId="2110321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6.1 招标文件共七章，各章内容如下：</w:t>
      </w:r>
    </w:p>
    <w:p w14:paraId="21FBC6D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第一章 投标邀请</w:t>
      </w:r>
    </w:p>
    <w:p w14:paraId="1FD3360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第二章 投标须知</w:t>
      </w:r>
    </w:p>
    <w:p w14:paraId="3042509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第三章 资格审查</w:t>
      </w:r>
    </w:p>
    <w:p w14:paraId="6DBF74D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第四章 评标方法及标准</w:t>
      </w:r>
    </w:p>
    <w:p w14:paraId="6477ACE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第五章 采购需求</w:t>
      </w:r>
    </w:p>
    <w:p w14:paraId="03E09D7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第六章 政府采购合同</w:t>
      </w:r>
    </w:p>
    <w:p w14:paraId="5C3A506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第七章 投标文件的组成</w:t>
      </w:r>
    </w:p>
    <w:p w14:paraId="6DA16BA6">
      <w:pPr>
        <w:adjustRightInd w:val="0"/>
        <w:snapToGrid w:val="0"/>
        <w:spacing w:before="156" w:beforeLines="50" w:line="360" w:lineRule="auto"/>
        <w:ind w:firstLine="420" w:firstLineChars="200"/>
        <w:jc w:val="left"/>
        <w:rPr>
          <w:rFonts w:hint="eastAsia" w:ascii="宋体" w:hAnsi="宋体" w:cs="宋体"/>
          <w:b/>
          <w:szCs w:val="21"/>
        </w:rPr>
      </w:pPr>
      <w:r>
        <w:rPr>
          <w:rFonts w:hint="eastAsia" w:ascii="宋体" w:hAnsi="宋体"/>
          <w:szCs w:val="21"/>
        </w:rPr>
        <w:t>6.2采购人、采购代理机构在提交投标文件截止时间前</w:t>
      </w:r>
      <w:r>
        <w:rPr>
          <w:rFonts w:hint="eastAsia" w:ascii="宋体" w:hAnsi="宋体" w:cs="宋体"/>
          <w:szCs w:val="21"/>
        </w:rPr>
        <w:t>对招标文件所作的澄清或者修改，构成招标文件的组成部分。</w:t>
      </w:r>
    </w:p>
    <w:p w14:paraId="199A9764">
      <w:pPr>
        <w:adjustRightInd w:val="0"/>
        <w:snapToGrid w:val="0"/>
        <w:spacing w:before="156" w:beforeLines="50" w:line="360" w:lineRule="auto"/>
        <w:jc w:val="left"/>
        <w:rPr>
          <w:rFonts w:hint="eastAsia" w:ascii="宋体" w:hAnsi="宋体"/>
          <w:b/>
          <w:sz w:val="24"/>
        </w:rPr>
      </w:pPr>
      <w:r>
        <w:rPr>
          <w:rFonts w:hint="eastAsia" w:ascii="宋体" w:hAnsi="宋体"/>
          <w:b/>
          <w:sz w:val="24"/>
        </w:rPr>
        <w:t>7．偏离与实质性响应</w:t>
      </w:r>
    </w:p>
    <w:p w14:paraId="4DE0467C">
      <w:pPr>
        <w:adjustRightInd w:val="0"/>
        <w:snapToGrid w:val="0"/>
        <w:spacing w:before="156" w:beforeLines="50" w:line="360" w:lineRule="auto"/>
        <w:ind w:firstLine="420" w:firstLineChars="200"/>
        <w:rPr>
          <w:rFonts w:hint="eastAsia" w:ascii="宋体" w:hAnsi="宋体"/>
        </w:rPr>
      </w:pPr>
      <w:r>
        <w:rPr>
          <w:rFonts w:hint="eastAsia" w:ascii="宋体" w:hAnsi="宋体"/>
        </w:rPr>
        <w:t>7.1投标人应当按照招标文件的要求编制投标文件。投标文件应当对招标文件提出的要求和条件作出明确响应。</w:t>
      </w:r>
    </w:p>
    <w:p w14:paraId="6D4E96F7">
      <w:pPr>
        <w:adjustRightInd w:val="0"/>
        <w:snapToGrid w:val="0"/>
        <w:spacing w:before="156" w:beforeLines="50" w:line="360" w:lineRule="auto"/>
        <w:ind w:firstLine="420" w:firstLineChars="200"/>
        <w:rPr>
          <w:rFonts w:hint="eastAsia" w:ascii="宋体" w:hAnsi="宋体"/>
        </w:rPr>
      </w:pPr>
      <w:r>
        <w:rPr>
          <w:rFonts w:hint="eastAsia" w:ascii="宋体" w:hAnsi="宋体"/>
        </w:rPr>
        <w:t>7.2偏离是指投标文件不响应或者不满足招标文件提出的要求和条件，分为实质性偏离和非实质性偏离。</w:t>
      </w:r>
    </w:p>
    <w:p w14:paraId="42694C8E">
      <w:pPr>
        <w:adjustRightInd w:val="0"/>
        <w:snapToGrid w:val="0"/>
        <w:spacing w:before="156" w:beforeLines="50" w:line="360" w:lineRule="auto"/>
        <w:ind w:firstLine="420" w:firstLineChars="200"/>
        <w:rPr>
          <w:rFonts w:hint="eastAsia" w:ascii="宋体" w:hAnsi="宋体"/>
        </w:rPr>
      </w:pPr>
      <w:r>
        <w:rPr>
          <w:rFonts w:hint="eastAsia" w:ascii="宋体" w:hAnsi="宋体"/>
        </w:rPr>
        <w:t>7.3除法律、法规和招标文件规定的其他投标无效情形外，招标文件中用“★”符号标明的条款为实质性要求和条件，对其中任何一条的偏离，为实质性偏离，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02C02D61">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7.4投标</w:t>
      </w:r>
      <w:r>
        <w:rPr>
          <w:rFonts w:hint="eastAsia" w:ascii="宋体" w:hAnsi="宋体"/>
          <w:szCs w:val="21"/>
        </w:rPr>
        <w:t>文件偏离招标文件的非实质性要求和条件，为非实质性偏离。非实质性偏离的范围和幅度应当符合</w:t>
      </w:r>
      <w:r>
        <w:rPr>
          <w:rFonts w:hint="eastAsia" w:ascii="宋体" w:hAnsi="宋体"/>
          <w:b/>
          <w:szCs w:val="21"/>
        </w:rPr>
        <w:t>【投标须知前附表】</w:t>
      </w:r>
      <w:r>
        <w:rPr>
          <w:rFonts w:hint="eastAsia" w:ascii="宋体" w:hAnsi="宋体"/>
          <w:szCs w:val="21"/>
        </w:rPr>
        <w:t>的规定，</w:t>
      </w:r>
      <w:r>
        <w:rPr>
          <w:rFonts w:hint="eastAsia" w:ascii="宋体" w:hAnsi="宋体"/>
          <w:b/>
          <w:szCs w:val="21"/>
        </w:rPr>
        <w:t>否</w:t>
      </w:r>
      <w:r>
        <w:rPr>
          <w:rFonts w:hint="eastAsia" w:ascii="宋体" w:hAnsi="宋体"/>
          <w:b/>
        </w:rPr>
        <w:t>则投标无效</w:t>
      </w:r>
      <w:r>
        <w:rPr>
          <w:rFonts w:hint="eastAsia" w:ascii="宋体" w:hAnsi="宋体"/>
        </w:rPr>
        <w:t>。</w:t>
      </w:r>
    </w:p>
    <w:p w14:paraId="14A56215">
      <w:pPr>
        <w:adjustRightInd w:val="0"/>
        <w:snapToGrid w:val="0"/>
        <w:spacing w:before="156" w:beforeLines="50" w:line="360" w:lineRule="auto"/>
        <w:jc w:val="left"/>
        <w:rPr>
          <w:rFonts w:hint="eastAsia" w:ascii="宋体" w:hAnsi="宋体"/>
          <w:b/>
          <w:bCs/>
          <w:sz w:val="24"/>
        </w:rPr>
      </w:pPr>
      <w:r>
        <w:rPr>
          <w:rFonts w:hint="eastAsia" w:ascii="宋体" w:hAnsi="宋体"/>
          <w:b/>
          <w:sz w:val="24"/>
        </w:rPr>
        <w:t>8. 询问</w:t>
      </w:r>
    </w:p>
    <w:p w14:paraId="786B22D8">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8.1潜在投标人应仔细阅读和检查招标文件的全部内容。如有疑问，可以向采购人或者采购代理机构提出询问。</w:t>
      </w:r>
    </w:p>
    <w:p w14:paraId="50715E3B">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9. 招标文件的澄清或者修改</w:t>
      </w:r>
    </w:p>
    <w:p w14:paraId="0EE57F4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6F5F6E6E">
      <w:pPr>
        <w:adjustRightInd w:val="0"/>
        <w:snapToGrid w:val="0"/>
        <w:spacing w:before="156" w:beforeLines="50" w:line="360" w:lineRule="auto"/>
        <w:ind w:firstLine="420" w:firstLineChars="200"/>
        <w:jc w:val="left"/>
        <w:rPr>
          <w:rFonts w:hint="eastAsia" w:ascii="宋体" w:hAnsi="宋体"/>
        </w:rPr>
      </w:pPr>
      <w:r>
        <w:rPr>
          <w:rFonts w:hint="eastAsia" w:ascii="宋体" w:hAnsi="宋体" w:cs="宋体"/>
          <w:kern w:val="0"/>
          <w:szCs w:val="21"/>
        </w:rPr>
        <w:t>9.2澄清或者修改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2698CF82">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276DE98C">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9.4 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2DD201E7">
      <w:pPr>
        <w:pStyle w:val="4"/>
        <w:adjustRightInd w:val="0"/>
        <w:snapToGrid w:val="0"/>
        <w:spacing w:before="156" w:beforeLines="50" w:after="0" w:line="360" w:lineRule="auto"/>
        <w:jc w:val="center"/>
        <w:rPr>
          <w:rFonts w:hint="eastAsia" w:ascii="黑体" w:hAnsi="黑体" w:eastAsia="黑体"/>
          <w:sz w:val="28"/>
          <w:szCs w:val="28"/>
        </w:rPr>
      </w:pPr>
      <w:bookmarkStart w:id="25" w:name="_Toc20717"/>
      <w:bookmarkStart w:id="26" w:name="_Toc5708"/>
      <w:r>
        <w:rPr>
          <w:rFonts w:hint="eastAsia" w:ascii="黑体" w:hAnsi="黑体" w:eastAsia="黑体"/>
          <w:sz w:val="28"/>
          <w:szCs w:val="28"/>
        </w:rPr>
        <w:t>三、投标文件</w:t>
      </w:r>
      <w:bookmarkEnd w:id="25"/>
      <w:bookmarkEnd w:id="26"/>
    </w:p>
    <w:p w14:paraId="7FDD22F6">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10. 投标语言</w:t>
      </w:r>
    </w:p>
    <w:p w14:paraId="68A6C01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10.1除专用术语外，投标人提交的投标文件及投标人与采购人、采购代理机构就有关投标的所有来往函电均使用中文。投标人可以提交其它语言的资料，但应附有中文注释，有差异时以中文为准。</w:t>
      </w:r>
    </w:p>
    <w:p w14:paraId="1F17862B">
      <w:pPr>
        <w:adjustRightInd w:val="0"/>
        <w:snapToGrid w:val="0"/>
        <w:spacing w:before="156" w:beforeLines="50" w:line="360" w:lineRule="auto"/>
        <w:jc w:val="left"/>
        <w:rPr>
          <w:rFonts w:hint="eastAsia" w:ascii="宋体" w:hAnsi="宋体"/>
          <w:b/>
          <w:sz w:val="24"/>
        </w:rPr>
      </w:pPr>
      <w:r>
        <w:rPr>
          <w:rFonts w:hint="eastAsia" w:ascii="宋体" w:hAnsi="宋体"/>
          <w:b/>
          <w:bCs/>
          <w:sz w:val="24"/>
        </w:rPr>
        <w:t xml:space="preserve">11. </w:t>
      </w:r>
      <w:r>
        <w:rPr>
          <w:rFonts w:hint="eastAsia" w:ascii="宋体" w:hAnsi="宋体"/>
          <w:b/>
          <w:sz w:val="24"/>
        </w:rPr>
        <w:t>计量单位</w:t>
      </w:r>
    </w:p>
    <w:p w14:paraId="2708EB2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11.1所有计量均采用中华人民共和国法定计量单位。</w:t>
      </w:r>
    </w:p>
    <w:p w14:paraId="7F905EAF">
      <w:pPr>
        <w:adjustRightInd w:val="0"/>
        <w:snapToGrid w:val="0"/>
        <w:spacing w:before="156" w:beforeLines="50" w:line="360" w:lineRule="auto"/>
        <w:jc w:val="left"/>
        <w:rPr>
          <w:rFonts w:hint="eastAsia" w:ascii="宋体" w:hAnsi="宋体"/>
          <w:b/>
          <w:bCs/>
          <w:sz w:val="24"/>
        </w:rPr>
      </w:pPr>
      <w:r>
        <w:rPr>
          <w:rFonts w:hint="eastAsia" w:ascii="宋体" w:hAnsi="宋体"/>
          <w:b/>
          <w:sz w:val="24"/>
        </w:rPr>
        <w:t xml:space="preserve">12. </w:t>
      </w:r>
      <w:r>
        <w:rPr>
          <w:rFonts w:hint="eastAsia" w:ascii="宋体" w:hAnsi="宋体"/>
          <w:b/>
          <w:bCs/>
          <w:sz w:val="24"/>
        </w:rPr>
        <w:t>投标文件的组成</w:t>
      </w:r>
    </w:p>
    <w:p w14:paraId="666ED38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12.1投标文件由如下内容组成：</w:t>
      </w:r>
    </w:p>
    <w:p w14:paraId="052AF9BF">
      <w:pPr>
        <w:adjustRightInd w:val="0"/>
        <w:snapToGrid w:val="0"/>
        <w:spacing w:before="156" w:beforeLines="50" w:line="360" w:lineRule="auto"/>
        <w:ind w:firstLine="422" w:firstLineChars="200"/>
        <w:jc w:val="left"/>
        <w:rPr>
          <w:rFonts w:hint="eastAsia" w:ascii="宋体" w:hAnsi="宋体"/>
          <w:b/>
          <w:szCs w:val="21"/>
        </w:rPr>
      </w:pPr>
      <w:r>
        <w:rPr>
          <w:rFonts w:hint="eastAsia" w:ascii="宋体" w:hAnsi="宋体"/>
          <w:b/>
          <w:szCs w:val="21"/>
        </w:rPr>
        <w:t>第一部分 资格证明文件</w:t>
      </w:r>
    </w:p>
    <w:p w14:paraId="6A39353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（1）开标一览表</w:t>
      </w:r>
    </w:p>
    <w:p w14:paraId="2D37DE4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（2）投标保</w:t>
      </w:r>
      <w:r>
        <w:rPr>
          <w:rFonts w:hint="eastAsia" w:ascii="宋体" w:hAnsi="宋体"/>
          <w:bCs/>
          <w:szCs w:val="21"/>
        </w:rPr>
        <w:t>证金（不要求提供保证金）</w:t>
      </w:r>
    </w:p>
    <w:p w14:paraId="210BA48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（3）法定代表人（单位负责人）身份证明或授权委托书</w:t>
      </w:r>
    </w:p>
    <w:p w14:paraId="1A26579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（4）投标人提供的资格证明文件</w:t>
      </w:r>
    </w:p>
    <w:p w14:paraId="2D0798A7">
      <w:pPr>
        <w:adjustRightInd w:val="0"/>
        <w:snapToGrid w:val="0"/>
        <w:spacing w:before="156" w:beforeLines="50" w:line="360" w:lineRule="auto"/>
        <w:ind w:firstLine="422" w:firstLineChars="200"/>
        <w:jc w:val="left"/>
        <w:rPr>
          <w:rFonts w:hint="eastAsia" w:ascii="宋体" w:hAnsi="宋体"/>
          <w:b/>
          <w:szCs w:val="21"/>
        </w:rPr>
      </w:pPr>
      <w:r>
        <w:rPr>
          <w:rFonts w:hint="eastAsia" w:ascii="宋体" w:hAnsi="宋体"/>
          <w:b/>
          <w:szCs w:val="21"/>
        </w:rPr>
        <w:t>第二部分 商务和技术文件</w:t>
      </w:r>
    </w:p>
    <w:p w14:paraId="6BE3B68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（5）投标函</w:t>
      </w:r>
    </w:p>
    <w:p w14:paraId="1255DED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（6）分项报价</w:t>
      </w:r>
    </w:p>
    <w:p w14:paraId="00B032E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（7）采购需求响应</w:t>
      </w:r>
    </w:p>
    <w:p w14:paraId="0244764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（8）合同条款偏离表</w:t>
      </w:r>
    </w:p>
    <w:p w14:paraId="29FFC18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（9）采购需求偏离表</w:t>
      </w:r>
    </w:p>
    <w:p w14:paraId="2B9B248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0</w:t>
      </w:r>
      <w:r>
        <w:rPr>
          <w:rFonts w:hint="eastAsia" w:ascii="宋体" w:hAnsi="宋体"/>
          <w:szCs w:val="21"/>
        </w:rPr>
        <w:t>）投标服务符合招标文件规定的证明文件</w:t>
      </w:r>
    </w:p>
    <w:p w14:paraId="348B487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11</w:t>
      </w:r>
      <w:r>
        <w:rPr>
          <w:rFonts w:hint="eastAsia" w:ascii="宋体" w:hAnsi="宋体"/>
          <w:szCs w:val="21"/>
        </w:rPr>
        <w:t>）投标人认为需提供的其他资料</w:t>
      </w:r>
    </w:p>
    <w:p w14:paraId="7351D5D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12.2投标人可以编制资格审查索引表、符合性审查索引表、评审索引表，以方便采购人、采购代理机构、评标委员会在资格审查及评审时查阅。</w:t>
      </w:r>
    </w:p>
    <w:p w14:paraId="584BC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12.3根据《政府采购法》第四十二条的规定，投标人无论中标与否，其投标文件不予退还。</w:t>
      </w:r>
    </w:p>
    <w:p w14:paraId="5A7A12D5">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13. 投标报价</w:t>
      </w:r>
    </w:p>
    <w:p w14:paraId="5C6CD7A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06D830D7">
      <w:pPr>
        <w:adjustRightInd w:val="0"/>
        <w:snapToGrid w:val="0"/>
        <w:spacing w:before="156" w:beforeLines="50" w:line="360" w:lineRule="auto"/>
        <w:ind w:firstLine="420" w:firstLineChars="200"/>
        <w:jc w:val="left"/>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2投标人的投标报价不得超过采购项目预算，也不得超过最高限价(如果设定)，否则其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490662AA">
      <w:pPr>
        <w:adjustRightInd w:val="0"/>
        <w:snapToGrid w:val="0"/>
        <w:spacing w:before="156" w:beforeLines="50" w:line="360" w:lineRule="auto"/>
        <w:ind w:firstLine="420" w:firstLineChars="200"/>
        <w:jc w:val="left"/>
        <w:rPr>
          <w:rFonts w:hint="eastAsia" w:ascii="宋体" w:hAnsi="宋体"/>
        </w:rPr>
      </w:pPr>
      <w:r>
        <w:rPr>
          <w:rFonts w:hint="eastAsia" w:ascii="宋体" w:hAnsi="宋体"/>
          <w:szCs w:val="21"/>
        </w:rPr>
        <w:t>13.3 投标人应在分项报价明细表中对每项内容给予详细分项</w:t>
      </w:r>
      <w:r>
        <w:rPr>
          <w:rFonts w:hint="eastAsia" w:ascii="宋体" w:hAnsi="宋体"/>
        </w:rPr>
        <w:t>报价。</w:t>
      </w:r>
    </w:p>
    <w:p w14:paraId="1AD3CC62">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13.4投标人对采购项目内容只允许有一个投标报价，否则其</w:t>
      </w:r>
      <w:r>
        <w:rPr>
          <w:rFonts w:hint="eastAsia" w:ascii="宋体" w:hAnsi="宋体"/>
          <w:b/>
        </w:rPr>
        <w:t>投标无效</w:t>
      </w:r>
      <w:r>
        <w:rPr>
          <w:rFonts w:hint="eastAsia" w:ascii="宋体" w:hAnsi="宋体"/>
        </w:rPr>
        <w:t>。</w:t>
      </w:r>
    </w:p>
    <w:p w14:paraId="512714C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3FE71B2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13.6采用固定价格定价方式的采购项目，</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3F82931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396AA2FC">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13.8投标报价的其他要求见</w:t>
      </w:r>
      <w:r>
        <w:rPr>
          <w:rFonts w:hint="eastAsia" w:ascii="宋体" w:hAnsi="宋体"/>
          <w:b/>
          <w:szCs w:val="21"/>
        </w:rPr>
        <w:t>【投标须知前附表】</w:t>
      </w:r>
      <w:r>
        <w:rPr>
          <w:rFonts w:hint="eastAsia" w:ascii="宋体" w:hAnsi="宋体"/>
        </w:rPr>
        <w:t xml:space="preserve">。 </w:t>
      </w:r>
    </w:p>
    <w:p w14:paraId="2A88593C">
      <w:pPr>
        <w:adjustRightInd w:val="0"/>
        <w:snapToGrid w:val="0"/>
        <w:spacing w:before="156" w:beforeLines="50" w:line="360" w:lineRule="auto"/>
        <w:jc w:val="left"/>
        <w:rPr>
          <w:rFonts w:hint="eastAsia" w:ascii="宋体" w:hAnsi="宋体"/>
          <w:b/>
          <w:bCs/>
          <w:sz w:val="24"/>
        </w:rPr>
      </w:pPr>
      <w:r>
        <w:rPr>
          <w:rFonts w:hint="eastAsia" w:ascii="宋体" w:hAnsi="宋体"/>
          <w:b/>
          <w:sz w:val="24"/>
        </w:rPr>
        <w:t xml:space="preserve">14. </w:t>
      </w:r>
      <w:r>
        <w:rPr>
          <w:rFonts w:hint="eastAsia" w:ascii="宋体" w:hAnsi="宋体"/>
          <w:b/>
          <w:bCs/>
          <w:sz w:val="24"/>
        </w:rPr>
        <w:t>投标人的资格证明文件（未进行资格预审的）</w:t>
      </w:r>
    </w:p>
    <w:p w14:paraId="0CF24633">
      <w:pPr>
        <w:adjustRightInd w:val="0"/>
        <w:snapToGrid w:val="0"/>
        <w:spacing w:before="156" w:beforeLines="50" w:line="360" w:lineRule="auto"/>
        <w:ind w:firstLine="420" w:firstLineChars="200"/>
        <w:rPr>
          <w:rFonts w:hint="eastAsia" w:ascii="宋体" w:hAnsi="宋体"/>
        </w:rPr>
      </w:pPr>
      <w:r>
        <w:rPr>
          <w:rFonts w:hint="eastAsia" w:ascii="宋体" w:hAnsi="宋体"/>
        </w:rPr>
        <w:t>14.1</w:t>
      </w:r>
      <w:r>
        <w:rPr>
          <w:rFonts w:hint="eastAsia" w:ascii="宋体" w:hAnsi="宋体"/>
          <w:szCs w:val="21"/>
        </w:rPr>
        <w:t>除</w:t>
      </w:r>
      <w:r>
        <w:rPr>
          <w:rFonts w:hint="eastAsia" w:ascii="宋体" w:hAnsi="宋体"/>
          <w:b/>
          <w:szCs w:val="21"/>
        </w:rPr>
        <w:t>【投标须知前附表】</w:t>
      </w:r>
      <w:r>
        <w:rPr>
          <w:rFonts w:hint="eastAsia" w:ascii="宋体" w:hAnsi="宋体"/>
          <w:szCs w:val="21"/>
        </w:rPr>
        <w:t>另有规</w:t>
      </w:r>
      <w:r>
        <w:rPr>
          <w:rFonts w:hint="eastAsia" w:ascii="宋体" w:hAnsi="宋体"/>
        </w:rPr>
        <w:t>定外，投标人应按下列规定提供资格证明文件。</w:t>
      </w:r>
    </w:p>
    <w:p w14:paraId="7D3C9018">
      <w:pPr>
        <w:adjustRightInd w:val="0"/>
        <w:snapToGrid w:val="0"/>
        <w:spacing w:before="156" w:beforeLines="50" w:line="360" w:lineRule="auto"/>
        <w:ind w:firstLine="420" w:firstLineChars="200"/>
        <w:rPr>
          <w:rFonts w:hint="eastAsia" w:ascii="宋体" w:hAnsi="宋体"/>
        </w:rPr>
      </w:pPr>
      <w:r>
        <w:rPr>
          <w:rFonts w:hint="eastAsia" w:ascii="宋体" w:hAnsi="宋体"/>
        </w:rPr>
        <w:t>（1）</w:t>
      </w:r>
      <w:r>
        <w:rPr>
          <w:rFonts w:hint="eastAsia" w:ascii="宋体" w:hAnsi="宋体"/>
          <w:b/>
        </w:rPr>
        <w:t>法人或者其他组织的营业执照等主体资格证明文件</w:t>
      </w:r>
      <w:r>
        <w:rPr>
          <w:rFonts w:hint="eastAsia" w:ascii="宋体" w:hAnsi="宋体"/>
        </w:rPr>
        <w:t>：投标人为法人的，应提交营业执照或法人登记证书的复印件；投标人为非法人组织的，应提交依法登记证书复印件；投标人为个体工商户的，应提交个体工商户营业执照复印件。</w:t>
      </w:r>
    </w:p>
    <w:p w14:paraId="71E7B928">
      <w:pPr>
        <w:adjustRightInd w:val="0"/>
        <w:snapToGrid w:val="0"/>
        <w:spacing w:before="156" w:beforeLines="50" w:line="360" w:lineRule="auto"/>
        <w:ind w:firstLine="422" w:firstLineChars="200"/>
        <w:rPr>
          <w:rFonts w:hint="eastAsia" w:ascii="宋体" w:hAnsi="宋体"/>
          <w:b/>
        </w:rPr>
      </w:pPr>
      <w:r>
        <w:rPr>
          <w:rFonts w:hint="eastAsia" w:ascii="宋体" w:hAnsi="宋体"/>
          <w:b/>
        </w:rPr>
        <w:t>（2）湖南省政府采购供应商资格承诺函(格式)、投标人资格声明（格式）</w:t>
      </w:r>
    </w:p>
    <w:p w14:paraId="56B7C6E2">
      <w:pPr>
        <w:adjustRightInd w:val="0"/>
        <w:snapToGrid w:val="0"/>
        <w:spacing w:before="156" w:beforeLines="50" w:line="360" w:lineRule="auto"/>
        <w:ind w:firstLine="422" w:firstLineChars="200"/>
        <w:rPr>
          <w:rFonts w:hint="eastAsia" w:ascii="宋体" w:hAnsi="宋体"/>
          <w:b/>
        </w:rPr>
      </w:pPr>
      <w:r>
        <w:rPr>
          <w:rFonts w:hint="eastAsia" w:ascii="宋体" w:hAnsi="宋体"/>
          <w:b/>
        </w:rPr>
        <w:t>（3）符合特定资格条件证明材料或者情况说明。</w:t>
      </w:r>
    </w:p>
    <w:p w14:paraId="5824BEF0">
      <w:pPr>
        <w:adjustRightInd w:val="0"/>
        <w:snapToGrid w:val="0"/>
        <w:spacing w:before="156" w:beforeLines="50" w:line="360" w:lineRule="auto"/>
        <w:ind w:firstLine="420" w:firstLineChars="200"/>
        <w:rPr>
          <w:rFonts w:hint="eastAsia" w:ascii="宋体" w:hAnsi="宋体"/>
        </w:rPr>
      </w:pPr>
      <w:r>
        <w:rPr>
          <w:rFonts w:hint="eastAsia" w:ascii="宋体" w:hAnsi="宋体"/>
        </w:rPr>
        <w:t>14.2投标人以联合体形式投标的，除应提交联合协议(格式)外，参加联合体的各方均应提交上款资格证明材料。</w:t>
      </w:r>
    </w:p>
    <w:p w14:paraId="466224B5">
      <w:pPr>
        <w:adjustRightInd w:val="0"/>
        <w:snapToGrid w:val="0"/>
        <w:spacing w:before="156" w:beforeLines="50" w:line="360" w:lineRule="auto"/>
        <w:ind w:firstLine="420" w:firstLineChars="200"/>
        <w:rPr>
          <w:rFonts w:hint="eastAsia" w:ascii="宋体" w:hAnsi="宋体"/>
        </w:rPr>
      </w:pPr>
      <w:r>
        <w:rPr>
          <w:rFonts w:hint="eastAsia" w:ascii="宋体" w:hAnsi="宋体"/>
        </w:rPr>
        <w:t>14.3投标人的资格证明文件均应为有效文件并加盖投标人单位章，并按招标文件规定签署。</w:t>
      </w:r>
    </w:p>
    <w:p w14:paraId="2577DA0A">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15. 投标货物及服务符合招标文件规定的证明文件</w:t>
      </w:r>
    </w:p>
    <w:p w14:paraId="57DC193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15.1投标人应当提交其拟供的合同项下货物及其服务符合招标文件规定的证明文件,该证明文件作为投标文件的一部分。</w:t>
      </w:r>
    </w:p>
    <w:p w14:paraId="7591B83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15.2上述证明文件可以是文字资料、图表、数据、证书等资料，包括但不限于：</w:t>
      </w:r>
    </w:p>
    <w:p w14:paraId="392B414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（1）货物主要技术指标和性能的详细说明。对有具体参数要求的指标，投标人应提供具体参数值；</w:t>
      </w:r>
    </w:p>
    <w:p w14:paraId="555EC53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（2）货物的品牌型号、制造商及原产地等说明；</w:t>
      </w:r>
    </w:p>
    <w:p w14:paraId="5C026A6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（3）招标文件第五章“采购需求”要求的其它文件。</w:t>
      </w:r>
    </w:p>
    <w:p w14:paraId="207C31E9">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16. 投标有效期</w:t>
      </w:r>
    </w:p>
    <w:p w14:paraId="7A758D7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16.1投标有效期从提交投标文件的截止之日起算。投标文件中承诺的投标有效期应当不少于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39DBF84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16.2投标有效期内投标人撤销投标文件的，投标人应承担招标文件和法律规定的责任。</w:t>
      </w:r>
    </w:p>
    <w:p w14:paraId="0972D013">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17. 投标保证金</w:t>
      </w:r>
    </w:p>
    <w:p w14:paraId="60D3A23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r>
        <w:rPr>
          <w:rFonts w:hint="eastAsia" w:ascii="宋体" w:hAnsi="宋体"/>
          <w:bCs/>
          <w:szCs w:val="21"/>
        </w:rPr>
        <w:t>投标人可以保函、电子增信替代投标保证金。</w:t>
      </w:r>
    </w:p>
    <w:p w14:paraId="7C4EF42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17.2联合体投标的，可以由联合体中的一方或者共同提交投标保证金。以一方名义提交投标保证金的，对联合体各方均具有约束力。</w:t>
      </w:r>
    </w:p>
    <w:p w14:paraId="6BBF2FB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17.3投标保证金的退还按以下规定办理：</w:t>
      </w:r>
    </w:p>
    <w:p w14:paraId="54595F9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（1）中标投标人的投标保证金，将在政府采购合同签订后5个工作日内退还。</w:t>
      </w:r>
    </w:p>
    <w:p w14:paraId="08A1157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（2）未中标的投标人的投标保证金，将在中标通知书发出后5个工作日内退还。</w:t>
      </w:r>
    </w:p>
    <w:p w14:paraId="0D09BA8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（3）终止招标的。对于已递交投标保证金的，采购人、采购代理机构在终止招标公告发布后5个工作日内退还。</w:t>
      </w:r>
    </w:p>
    <w:p w14:paraId="7B07261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20FD392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17.4有以下情形之一的，投标保证金将不予退还，上缴国库：</w:t>
      </w:r>
      <w:r>
        <w:rPr>
          <w:rFonts w:ascii="宋体" w:hAnsi="宋体"/>
          <w:szCs w:val="21"/>
        </w:rPr>
        <w:t xml:space="preserve"> </w:t>
      </w:r>
    </w:p>
    <w:p w14:paraId="3B13460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（1）投标人在招标文件中规定的投标有效期内撤销其投标；</w:t>
      </w:r>
    </w:p>
    <w:p w14:paraId="2177464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（2）中标人无正当理由不与采购人订立合同，在签订合同时向采购人提出附加条件，或者不按照招标文件要求提交履约保证金。</w:t>
      </w:r>
    </w:p>
    <w:p w14:paraId="35BA5AFB">
      <w:pPr>
        <w:adjustRightInd w:val="0"/>
        <w:snapToGrid w:val="0"/>
        <w:spacing w:before="156" w:beforeLines="50" w:line="360" w:lineRule="auto"/>
        <w:jc w:val="left"/>
        <w:rPr>
          <w:rFonts w:hint="eastAsia" w:ascii="宋体" w:hAnsi="宋体"/>
          <w:b/>
          <w:sz w:val="24"/>
        </w:rPr>
      </w:pPr>
      <w:r>
        <w:rPr>
          <w:rFonts w:hint="eastAsia" w:ascii="宋体" w:hAnsi="宋体"/>
          <w:b/>
          <w:sz w:val="24"/>
        </w:rPr>
        <w:t>18.分包</w:t>
      </w:r>
    </w:p>
    <w:p w14:paraId="243F963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18.1</w:t>
      </w:r>
      <w:r>
        <w:rPr>
          <w:rFonts w:hint="eastAsia" w:hAnsi="宋体"/>
          <w:b/>
          <w:bCs/>
        </w:rPr>
        <w:t>【投标须知前附表】</w:t>
      </w:r>
      <w:r>
        <w:rPr>
          <w:rFonts w:hint="eastAsia" w:ascii="宋体" w:hAnsi="宋体"/>
        </w:rPr>
        <w:t>规定投标人分包的，投标人分包承诺不符合招标文件中有关分包规定的，其</w:t>
      </w:r>
      <w:r>
        <w:rPr>
          <w:rFonts w:hint="eastAsia" w:ascii="宋体" w:hAnsi="宋体"/>
          <w:b/>
          <w:bCs/>
        </w:rPr>
        <w:t>投标无效</w:t>
      </w:r>
      <w:r>
        <w:rPr>
          <w:rFonts w:hint="eastAsia" w:ascii="宋体" w:hAnsi="宋体"/>
        </w:rPr>
        <w:t>。</w:t>
      </w:r>
    </w:p>
    <w:p w14:paraId="531BF6B1">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18.2投标人应在签订政府采购合同前向采购人提供分包合同，否则，采购人有权拒绝签订采购合同。</w:t>
      </w:r>
    </w:p>
    <w:p w14:paraId="13CC2BE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18.3享受中小企业扶持政策获得政府采购合同的，小微企业不得将合同分包给大中型企业，中型企业不得将合同分包给大型企业。</w:t>
      </w:r>
    </w:p>
    <w:p w14:paraId="318E164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18.4分包供应商不得再次分包。</w:t>
      </w:r>
    </w:p>
    <w:p w14:paraId="61CF7AB5">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19. 投标文件的签署</w:t>
      </w:r>
    </w:p>
    <w:p w14:paraId="517D16DB">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19.1</w:t>
      </w:r>
      <w:r>
        <w:rPr>
          <w:rFonts w:ascii="宋体" w:hAnsi="宋体"/>
          <w:b/>
          <w:bCs/>
          <w:szCs w:val="21"/>
        </w:rPr>
        <w:t>本项目为全流程电子标</w:t>
      </w:r>
      <w:r>
        <w:rPr>
          <w:rFonts w:hint="eastAsia" w:ascii="宋体" w:hAnsi="宋体"/>
          <w:b/>
          <w:bCs/>
          <w:szCs w:val="21"/>
        </w:rPr>
        <w:t>。</w:t>
      </w:r>
      <w:r>
        <w:rPr>
          <w:rFonts w:hint="eastAsia" w:ascii="宋体" w:hAnsi="宋体"/>
          <w:szCs w:val="21"/>
        </w:rPr>
        <w:t>投标文件正本按照</w:t>
      </w:r>
      <w:r>
        <w:rPr>
          <w:rFonts w:hint="eastAsia" w:ascii="宋体" w:hAnsi="宋体"/>
          <w:b/>
          <w:szCs w:val="21"/>
        </w:rPr>
        <w:t>【投标须知前附表】</w:t>
      </w:r>
      <w:r>
        <w:rPr>
          <w:rFonts w:hint="eastAsia" w:ascii="宋体" w:hAnsi="宋体"/>
          <w:bCs/>
          <w:szCs w:val="21"/>
        </w:rPr>
        <w:t>要求提供。</w:t>
      </w:r>
    </w:p>
    <w:p w14:paraId="4F4746B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19.2投标文件正本应打印或用不褪色的材料书写，并由投标人和投标人代表按照招标文件规定在投标文件需要签署的位置签署、盖章。投标人代表可为投标人法定代表人(非法人组织为负责人、个体工商户为负责人，以下统称单位负责人)；投标人代表不是投标人的法定代表人（单位负责人）的，应提供授权委托书。</w:t>
      </w:r>
    </w:p>
    <w:p w14:paraId="48CC760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19.3投标文件中的任何行间插字、涂改和增删，改动的地方应加盖单位章或由投标人代表签字确认。不按上述要求签署的，</w:t>
      </w:r>
      <w:r>
        <w:rPr>
          <w:rFonts w:hint="eastAsia" w:ascii="宋体" w:hAnsi="宋体"/>
          <w:b/>
          <w:szCs w:val="21"/>
        </w:rPr>
        <w:t>其投标无效</w:t>
      </w:r>
      <w:r>
        <w:rPr>
          <w:rFonts w:hint="eastAsia" w:ascii="宋体" w:hAnsi="宋体"/>
          <w:szCs w:val="21"/>
        </w:rPr>
        <w:t>。</w:t>
      </w:r>
    </w:p>
    <w:p w14:paraId="38E64A7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19.4为便于采购文件保存，投标文件电子文档建议为PDF格式，内容应与上传至平台的投标文件正本一致。</w:t>
      </w:r>
    </w:p>
    <w:p w14:paraId="4C4AA765">
      <w:pPr>
        <w:pStyle w:val="4"/>
        <w:keepNext w:val="0"/>
        <w:keepLines w:val="0"/>
        <w:adjustRightInd w:val="0"/>
        <w:snapToGrid w:val="0"/>
        <w:spacing w:before="156" w:beforeLines="50" w:after="0" w:line="360" w:lineRule="auto"/>
        <w:jc w:val="center"/>
        <w:rPr>
          <w:rFonts w:hint="eastAsia" w:ascii="黑体" w:hAnsi="黑体" w:eastAsia="黑体"/>
          <w:sz w:val="28"/>
          <w:szCs w:val="28"/>
        </w:rPr>
      </w:pPr>
      <w:bookmarkStart w:id="27" w:name="_Toc12813"/>
      <w:bookmarkStart w:id="28" w:name="_Toc27066"/>
      <w:r>
        <w:rPr>
          <w:rFonts w:hint="eastAsia" w:ascii="黑体" w:hAnsi="黑体" w:eastAsia="黑体"/>
          <w:sz w:val="28"/>
          <w:szCs w:val="28"/>
        </w:rPr>
        <w:t>四、投标</w:t>
      </w:r>
      <w:bookmarkEnd w:id="27"/>
      <w:bookmarkEnd w:id="28"/>
    </w:p>
    <w:p w14:paraId="74B04068">
      <w:pPr>
        <w:adjustRightInd w:val="0"/>
        <w:snapToGrid w:val="0"/>
        <w:spacing w:before="156" w:beforeLines="50" w:line="360" w:lineRule="auto"/>
        <w:jc w:val="left"/>
        <w:rPr>
          <w:rFonts w:hint="eastAsia" w:ascii="宋体" w:hAnsi="宋体"/>
          <w:b/>
          <w:bCs/>
          <w:sz w:val="24"/>
        </w:rPr>
      </w:pPr>
      <w:r>
        <w:rPr>
          <w:rFonts w:hint="eastAsia" w:ascii="宋体" w:hAnsi="宋体"/>
          <w:b/>
          <w:sz w:val="24"/>
        </w:rPr>
        <w:t>20.</w:t>
      </w:r>
      <w:r>
        <w:rPr>
          <w:rFonts w:hint="eastAsia" w:ascii="宋体" w:hAnsi="宋体"/>
          <w:b/>
          <w:bCs/>
          <w:sz w:val="24"/>
        </w:rPr>
        <w:t xml:space="preserve"> 投标文件的密封和标记</w:t>
      </w:r>
    </w:p>
    <w:p w14:paraId="63360A6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20.1投标人应按照交易平台要求将投标文件密封上传以保证自己的投标信息在开标前不被透露。</w:t>
      </w:r>
    </w:p>
    <w:p w14:paraId="198C498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20</w:t>
      </w:r>
      <w:r>
        <w:rPr>
          <w:rFonts w:ascii="宋体" w:hAnsi="宋体"/>
          <w:szCs w:val="21"/>
        </w:rPr>
        <w:t>.2</w:t>
      </w:r>
      <w:r>
        <w:rPr>
          <w:rFonts w:hint="eastAsia" w:ascii="宋体" w:hAnsi="宋体"/>
          <w:szCs w:val="21"/>
        </w:rPr>
        <w:t>投标文件应按照招标文件第七章 投标文件组成 封面格式进行编制，如果采购项目分包招标的，还应注明投标的包号。</w:t>
      </w:r>
    </w:p>
    <w:p w14:paraId="68F02CA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20</w:t>
      </w:r>
      <w:r>
        <w:rPr>
          <w:rFonts w:ascii="宋体" w:hAnsi="宋体"/>
          <w:szCs w:val="21"/>
        </w:rPr>
        <w:t>.</w:t>
      </w:r>
      <w:r>
        <w:rPr>
          <w:rFonts w:hint="eastAsia" w:ascii="宋体" w:hAnsi="宋体"/>
          <w:szCs w:val="21"/>
        </w:rPr>
        <w:t>3为方便开标及进行资格审查，投标人应将第一部分资格证明文件单独密封并上传。</w:t>
      </w:r>
    </w:p>
    <w:p w14:paraId="1393378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20</w:t>
      </w:r>
      <w:r>
        <w:rPr>
          <w:rFonts w:ascii="宋体" w:hAnsi="宋体"/>
          <w:szCs w:val="21"/>
        </w:rPr>
        <w:t>.</w:t>
      </w:r>
      <w:r>
        <w:rPr>
          <w:rFonts w:hint="eastAsia" w:ascii="宋体" w:hAnsi="宋体"/>
          <w:szCs w:val="21"/>
        </w:rPr>
        <w:t>4未按本章第 20.1 款要求密封的投标文件，采购人、采购代理机构</w:t>
      </w:r>
      <w:r>
        <w:rPr>
          <w:rFonts w:hint="eastAsia" w:ascii="宋体" w:hAnsi="宋体"/>
          <w:b/>
          <w:szCs w:val="21"/>
        </w:rPr>
        <w:t>应当拒收</w:t>
      </w:r>
      <w:r>
        <w:rPr>
          <w:rFonts w:hint="eastAsia" w:ascii="宋体" w:hAnsi="宋体"/>
          <w:szCs w:val="21"/>
        </w:rPr>
        <w:t>。</w:t>
      </w:r>
    </w:p>
    <w:p w14:paraId="5A28D71E">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21.投标截止期</w:t>
      </w:r>
    </w:p>
    <w:p w14:paraId="56F4309C">
      <w:pPr>
        <w:adjustRightInd w:val="0"/>
        <w:snapToGrid w:val="0"/>
        <w:spacing w:before="156" w:beforeLines="50" w:line="360" w:lineRule="auto"/>
        <w:ind w:left="420" w:leftChars="200"/>
        <w:jc w:val="left"/>
        <w:rPr>
          <w:rFonts w:hint="eastAsia" w:ascii="宋体" w:hAnsi="宋体"/>
          <w:szCs w:val="21"/>
        </w:rPr>
      </w:pPr>
      <w:r>
        <w:rPr>
          <w:rFonts w:hint="eastAsia" w:ascii="宋体" w:hAnsi="宋体"/>
          <w:szCs w:val="21"/>
        </w:rPr>
        <w:t>21.1投标人应在</w:t>
      </w:r>
      <w:r>
        <w:rPr>
          <w:rFonts w:hint="eastAsia" w:ascii="宋体" w:hAnsi="宋体"/>
          <w:b/>
          <w:szCs w:val="21"/>
        </w:rPr>
        <w:t>【投标须知前附表】</w:t>
      </w:r>
      <w:r>
        <w:rPr>
          <w:rFonts w:hint="eastAsia" w:ascii="宋体" w:hAnsi="宋体"/>
          <w:szCs w:val="21"/>
        </w:rPr>
        <w:t>规定的投标截止时间前将电子投标文件上传投标系统。</w:t>
      </w:r>
    </w:p>
    <w:p w14:paraId="2C75EC1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21.2逾期上传的投标文件或未上传至指定平台的投标文件，</w:t>
      </w:r>
      <w:r>
        <w:rPr>
          <w:rFonts w:hint="eastAsia" w:ascii="宋体" w:hAnsi="宋体"/>
          <w:b/>
          <w:bCs/>
          <w:szCs w:val="21"/>
        </w:rPr>
        <w:t>投标无效</w:t>
      </w:r>
      <w:r>
        <w:rPr>
          <w:rFonts w:hint="eastAsia" w:ascii="宋体" w:hAnsi="宋体"/>
          <w:szCs w:val="21"/>
        </w:rPr>
        <w:t>。</w:t>
      </w:r>
    </w:p>
    <w:p w14:paraId="4DA4E5C6">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22. 投标文件的修改和撤回</w:t>
      </w:r>
    </w:p>
    <w:p w14:paraId="3236975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22.1投标人在投标截止时间前，可以对所提交的投标文件进行修改或者撤回，并书面通知采购人或者采购代理机构。修改或撤回通知应当按招标文件规定编制、签署、密封和标记（在密封袋上注明“修改”字样，以及修改的时间），作为投标文件的组成部分，且只需提供一份，并在提交投标文件的截止时间前（上传）递交。</w:t>
      </w:r>
    </w:p>
    <w:p w14:paraId="4BF1FD0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22.2采购人、采购代理机构对投标人提交的投标文件修改或者撤回的书面通知，如实记载、签收保存，并向投标人出具签收回执。</w:t>
      </w:r>
    </w:p>
    <w:p w14:paraId="66CEE78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（1）项目名称、政府采购计划编号；</w:t>
      </w:r>
    </w:p>
    <w:p w14:paraId="0C31DCE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（2）投标人名称；</w:t>
      </w:r>
    </w:p>
    <w:p w14:paraId="022B5DC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（3）投标文件修改或者撤回时间、地址；</w:t>
      </w:r>
    </w:p>
    <w:p w14:paraId="6C7ED3A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（4）投标文件密封上传情况；</w:t>
      </w:r>
    </w:p>
    <w:p w14:paraId="759AF90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（5）采购代理机构名称；</w:t>
      </w:r>
    </w:p>
    <w:p w14:paraId="365BE2F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（6）采购代理机构接收人签字。</w:t>
      </w:r>
    </w:p>
    <w:p w14:paraId="6AB2AA0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22.3投标人在提交投标文件的截止时间前撤回已提交的投标文件的，采购人、采购代理机构应当自收到投标人书面撤回通知之日</w:t>
      </w:r>
      <w:r>
        <w:rPr>
          <w:rFonts w:hint="eastAsia" w:ascii="宋体" w:hAnsi="宋体"/>
          <w:bCs/>
          <w:szCs w:val="21"/>
        </w:rPr>
        <w:t>起</w:t>
      </w:r>
      <w:r>
        <w:rPr>
          <w:rFonts w:hint="eastAsia"/>
        </w:rPr>
        <w:t>5</w:t>
      </w:r>
      <w:r>
        <w:rPr>
          <w:rFonts w:hint="eastAsia" w:ascii="宋体" w:hAnsi="宋体"/>
          <w:bCs/>
          <w:szCs w:val="21"/>
        </w:rPr>
        <w:t>个</w:t>
      </w:r>
      <w:r>
        <w:rPr>
          <w:rFonts w:hint="eastAsia" w:ascii="宋体" w:hAnsi="宋体"/>
          <w:szCs w:val="21"/>
        </w:rPr>
        <w:t>工作日内，退还已收取的投标保证金，但因投标人自身原因导致无法及时退还的除外。</w:t>
      </w:r>
    </w:p>
    <w:p w14:paraId="1D79DDBB">
      <w:pPr>
        <w:adjustRightInd w:val="0"/>
        <w:snapToGrid w:val="0"/>
        <w:spacing w:before="156" w:beforeLines="50" w:line="360" w:lineRule="auto"/>
        <w:jc w:val="left"/>
        <w:rPr>
          <w:rFonts w:hint="eastAsia" w:ascii="宋体" w:hAnsi="宋体" w:cs="Arial"/>
          <w:b/>
          <w:sz w:val="24"/>
        </w:rPr>
      </w:pPr>
      <w:r>
        <w:rPr>
          <w:rFonts w:hint="eastAsia" w:ascii="宋体" w:hAnsi="宋体"/>
          <w:b/>
          <w:bCs/>
          <w:sz w:val="24"/>
        </w:rPr>
        <w:t>23.</w:t>
      </w:r>
      <w:r>
        <w:rPr>
          <w:rFonts w:hint="eastAsia" w:ascii="宋体" w:hAnsi="宋体" w:cs="Arial"/>
          <w:b/>
          <w:sz w:val="24"/>
        </w:rPr>
        <w:t xml:space="preserve"> 串通</w:t>
      </w:r>
      <w:r>
        <w:rPr>
          <w:rFonts w:hint="eastAsia" w:ascii="宋体" w:hAnsi="宋体"/>
          <w:b/>
          <w:sz w:val="24"/>
        </w:rPr>
        <w:t>投标行为</w:t>
      </w:r>
    </w:p>
    <w:p w14:paraId="15C4F676">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23.1有下列情形之一的，属于恶意串通，对投标人依照政府采购法第七十七条第一款的规定追究法律责任：</w:t>
      </w:r>
    </w:p>
    <w:p w14:paraId="3B99473E">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ED9D2FA">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（2）投标人按照采购人或者采购代理机构的授意撤换、修改投标文件；</w:t>
      </w:r>
    </w:p>
    <w:p w14:paraId="01D131E1">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（3）投标人之间协商报价、技术方案等投标文件的实质性内容；</w:t>
      </w:r>
    </w:p>
    <w:p w14:paraId="43AC51BF">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9BFED6C">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（5）投标人之间事先约定由某一特定投标人中标；</w:t>
      </w:r>
    </w:p>
    <w:p w14:paraId="56354617">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（6）投标人之间商定部分投标人放弃参加政府采购活动或者放弃中标；</w:t>
      </w:r>
    </w:p>
    <w:p w14:paraId="13A7F34E">
      <w:pPr>
        <w:adjustRightInd w:val="0"/>
        <w:snapToGrid w:val="0"/>
        <w:spacing w:before="156" w:beforeLines="50" w:line="360" w:lineRule="auto"/>
        <w:ind w:firstLine="396" w:firstLineChars="200"/>
        <w:jc w:val="left"/>
        <w:rPr>
          <w:rFonts w:hint="eastAsia"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052BF2B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23.2有下列情形之一的，视为投标人串通投标，其</w:t>
      </w:r>
      <w:r>
        <w:rPr>
          <w:rFonts w:hint="eastAsia" w:ascii="宋体" w:hAnsi="宋体"/>
          <w:b/>
          <w:szCs w:val="21"/>
        </w:rPr>
        <w:t>投标无效</w:t>
      </w:r>
      <w:r>
        <w:rPr>
          <w:rFonts w:hint="eastAsia" w:ascii="宋体" w:hAnsi="宋体"/>
          <w:szCs w:val="21"/>
        </w:rPr>
        <w:t>：</w:t>
      </w:r>
    </w:p>
    <w:p w14:paraId="0D1C455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（1）不同投标人的投标文件由同一单位或者个人编制；</w:t>
      </w:r>
    </w:p>
    <w:p w14:paraId="5733408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（2）不同投标人委托同一单位或者个人办理投标事宜；</w:t>
      </w:r>
    </w:p>
    <w:p w14:paraId="0B757EF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（3）不同投标人的投标文件载明的项目管理成员或者联系人员为同一人；</w:t>
      </w:r>
    </w:p>
    <w:p w14:paraId="4359212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（4）不同投标人的投标文件异常一致或者投标报价呈规律性差异；</w:t>
      </w:r>
    </w:p>
    <w:p w14:paraId="6DF8B73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（5）不同投标人的投标文件相互混装；</w:t>
      </w:r>
    </w:p>
    <w:p w14:paraId="6A06460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（6）不同投标人的投标保证金从同一单位或者个人的账户转出。</w:t>
      </w:r>
    </w:p>
    <w:p w14:paraId="792D1991">
      <w:pPr>
        <w:pStyle w:val="4"/>
        <w:adjustRightInd w:val="0"/>
        <w:snapToGrid w:val="0"/>
        <w:spacing w:before="156" w:beforeLines="50" w:after="0" w:line="360" w:lineRule="auto"/>
        <w:jc w:val="center"/>
        <w:rPr>
          <w:rFonts w:hint="eastAsia" w:ascii="黑体" w:hAnsi="黑体" w:eastAsia="黑体"/>
          <w:sz w:val="28"/>
          <w:szCs w:val="28"/>
        </w:rPr>
      </w:pPr>
      <w:bookmarkStart w:id="29" w:name="_Toc20734"/>
      <w:bookmarkStart w:id="30" w:name="_Toc12448"/>
      <w:r>
        <w:rPr>
          <w:rFonts w:hint="eastAsia" w:ascii="黑体" w:hAnsi="黑体" w:eastAsia="黑体"/>
          <w:sz w:val="28"/>
          <w:szCs w:val="28"/>
        </w:rPr>
        <w:t>五、开标，资格审查和评标</w:t>
      </w:r>
      <w:bookmarkEnd w:id="29"/>
      <w:bookmarkEnd w:id="30"/>
    </w:p>
    <w:p w14:paraId="1EED27BD">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24. 开标</w:t>
      </w:r>
    </w:p>
    <w:p w14:paraId="25799BA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24.1采购人、采购代理机构在</w:t>
      </w:r>
      <w:r>
        <w:rPr>
          <w:rFonts w:hint="eastAsia" w:ascii="宋体" w:hAnsi="宋体"/>
          <w:b/>
          <w:szCs w:val="21"/>
        </w:rPr>
        <w:t>【投标须知前附表】</w:t>
      </w:r>
      <w:r>
        <w:rPr>
          <w:rFonts w:hint="eastAsia" w:ascii="宋体" w:hAnsi="宋体"/>
          <w:szCs w:val="21"/>
        </w:rPr>
        <w:t>规定的开标地点组织开标，并邀请投标人参加。投标人未参加开标的，视同认可开标结果。</w:t>
      </w:r>
    </w:p>
    <w:p w14:paraId="2A18F78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24.2采购人、采购代理机构公布投标人名称、投标价格和</w:t>
      </w:r>
      <w:r>
        <w:rPr>
          <w:rFonts w:hint="eastAsia" w:ascii="宋体" w:hAnsi="宋体"/>
          <w:b/>
          <w:szCs w:val="21"/>
        </w:rPr>
        <w:t>【投标须知前附表】</w:t>
      </w:r>
      <w:r>
        <w:rPr>
          <w:rFonts w:hint="eastAsia" w:ascii="宋体" w:hAnsi="宋体"/>
          <w:szCs w:val="21"/>
        </w:rPr>
        <w:t>规定需要宣布的其他内容。投标人不足3家的，不得开标。</w:t>
      </w:r>
    </w:p>
    <w:p w14:paraId="4A7998B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24.3开标记录由参加开标的各投标人代表和相关工作人员确认后随采购文件一并存档。</w:t>
      </w:r>
    </w:p>
    <w:p w14:paraId="0593163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24.4投标人代表对开标过程和开标记录有疑义，以及认为采购人、采购代理机构相关工作人员有《政府采购法实施条例》第九条第一款需要回避的情形的，应当场提出询问或者回避申请。</w:t>
      </w:r>
    </w:p>
    <w:p w14:paraId="003B957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24.5采购人、采购代理机构对投标人代表当场提出的询问或者回避申请，按《政府采购法实施条例》有关规定及时处理。</w:t>
      </w:r>
    </w:p>
    <w:p w14:paraId="2747B698">
      <w:pPr>
        <w:adjustRightInd w:val="0"/>
        <w:snapToGrid w:val="0"/>
        <w:spacing w:before="156" w:beforeLines="50" w:line="360" w:lineRule="auto"/>
        <w:jc w:val="left"/>
        <w:rPr>
          <w:rFonts w:hint="eastAsia" w:ascii="宋体" w:hAnsi="宋体"/>
          <w:b/>
          <w:sz w:val="24"/>
        </w:rPr>
      </w:pPr>
      <w:r>
        <w:rPr>
          <w:rStyle w:val="49"/>
          <w:rFonts w:hint="eastAsia" w:ascii="宋体" w:hAnsi="宋体" w:cs="Arial"/>
          <w:sz w:val="24"/>
        </w:rPr>
        <w:t>25.</w:t>
      </w:r>
      <w:r>
        <w:rPr>
          <w:rFonts w:hint="eastAsia" w:ascii="宋体" w:hAnsi="宋体"/>
          <w:b/>
          <w:sz w:val="24"/>
        </w:rPr>
        <w:t xml:space="preserve"> 资格审查</w:t>
      </w:r>
    </w:p>
    <w:p w14:paraId="44D009C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25.1开标结束后，采购人、采购代理机构依法按照第三章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32A1B3A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25.2资格审查结束后，采购人、采购代理机构应将资格审查结果告知评标委员会。资格审查不合格投标人不进入评标；资格审查合格投标人少于3家的，不得评标。</w:t>
      </w:r>
    </w:p>
    <w:p w14:paraId="2E94E64E">
      <w:pPr>
        <w:adjustRightInd w:val="0"/>
        <w:snapToGrid w:val="0"/>
        <w:spacing w:before="156" w:beforeLines="50" w:line="360" w:lineRule="auto"/>
        <w:jc w:val="left"/>
        <w:rPr>
          <w:rFonts w:hint="eastAsia" w:ascii="宋体" w:hAnsi="宋体"/>
          <w:b/>
          <w:sz w:val="24"/>
        </w:rPr>
      </w:pPr>
      <w:r>
        <w:rPr>
          <w:rFonts w:hint="eastAsia" w:ascii="宋体" w:hAnsi="宋体"/>
          <w:b/>
          <w:bCs/>
          <w:sz w:val="24"/>
        </w:rPr>
        <w:t>26.</w:t>
      </w:r>
      <w:r>
        <w:rPr>
          <w:rFonts w:hint="eastAsia" w:ascii="宋体" w:hAnsi="宋体"/>
          <w:b/>
          <w:sz w:val="24"/>
        </w:rPr>
        <w:t xml:space="preserve"> 评标委员会</w:t>
      </w:r>
    </w:p>
    <w:p w14:paraId="373AB415">
      <w:pPr>
        <w:adjustRightInd w:val="0"/>
        <w:snapToGrid w:val="0"/>
        <w:spacing w:before="156" w:beforeLines="50" w:line="360" w:lineRule="auto"/>
        <w:ind w:firstLine="420" w:firstLineChars="200"/>
        <w:jc w:val="left"/>
        <w:rPr>
          <w:rFonts w:hint="eastAsia" w:ascii="宋体" w:hAnsi="宋体"/>
          <w:szCs w:val="21"/>
          <w:highlight w:val="none"/>
        </w:rPr>
      </w:pPr>
      <w:r>
        <w:rPr>
          <w:rFonts w:hint="eastAsia" w:ascii="宋体" w:hAnsi="宋体"/>
          <w:szCs w:val="21"/>
          <w:highlight w:val="none"/>
          <w:lang w:val="en-US" w:eastAsia="zh-CN"/>
        </w:rPr>
        <w:t>26.1</w:t>
      </w:r>
      <w:r>
        <w:rPr>
          <w:rFonts w:hint="eastAsia" w:ascii="宋体" w:hAnsi="宋体"/>
          <w:szCs w:val="21"/>
          <w:highlight w:val="none"/>
        </w:rPr>
        <w:t>评标委员会由</w:t>
      </w:r>
      <w:r>
        <w:rPr>
          <w:rFonts w:hint="eastAsia" w:ascii="宋体" w:hAnsi="宋体"/>
          <w:szCs w:val="21"/>
          <w:highlight w:val="none"/>
          <w:lang w:val="en-US" w:eastAsia="zh-CN"/>
        </w:rPr>
        <w:t>7</w:t>
      </w:r>
      <w:r>
        <w:rPr>
          <w:rFonts w:hint="eastAsia" w:ascii="宋体" w:hAnsi="宋体"/>
          <w:szCs w:val="21"/>
          <w:highlight w:val="none"/>
        </w:rPr>
        <w:t>人组成，从</w:t>
      </w:r>
      <w:r>
        <w:rPr>
          <w:rFonts w:hint="eastAsia" w:ascii="宋体" w:hAnsi="宋体"/>
          <w:szCs w:val="21"/>
          <w:highlight w:val="none"/>
          <w:lang w:eastAsia="zh-CN"/>
        </w:rPr>
        <w:t>湖南省政府采购评标专家</w:t>
      </w:r>
      <w:r>
        <w:rPr>
          <w:rFonts w:hint="eastAsia" w:ascii="宋体" w:hAnsi="宋体"/>
          <w:szCs w:val="21"/>
          <w:highlight w:val="none"/>
        </w:rPr>
        <w:t>库中随机抽取产生。</w:t>
      </w:r>
    </w:p>
    <w:p w14:paraId="224A7EA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26.2评标委员会成员有下列情形之一的，应当回避：</w:t>
      </w:r>
    </w:p>
    <w:p w14:paraId="131D50E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6787BA1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（2）与投标人的法定代表人或者负责人有夫妻、直系血亲、三代以内旁系血亲或者近姻亲关系；</w:t>
      </w:r>
    </w:p>
    <w:p w14:paraId="61322D6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（3）与投标人有其他可能影响政府采购活动公平、公正进行的关系。</w:t>
      </w:r>
    </w:p>
    <w:p w14:paraId="1705826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26.3评标委员会负责具体评标事务，并独立履行下列职责：</w:t>
      </w:r>
    </w:p>
    <w:p w14:paraId="30AAD63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（1）审查、评价投标文件是否符合招标文件的商务、技术等实质性要求；</w:t>
      </w:r>
    </w:p>
    <w:p w14:paraId="229435E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（2）要求投标人对投标文件有关事项作出澄清或者说明；</w:t>
      </w:r>
    </w:p>
    <w:p w14:paraId="442827D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（3）对投标文件进行比较和评价；</w:t>
      </w:r>
    </w:p>
    <w:p w14:paraId="532D313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（4）确定中标候选人名单，以及根据采购人委托直接确定中标人。</w:t>
      </w:r>
    </w:p>
    <w:p w14:paraId="7A46BCF4">
      <w:pPr>
        <w:adjustRightInd w:val="0"/>
        <w:snapToGrid w:val="0"/>
        <w:spacing w:before="156" w:beforeLines="50" w:line="360" w:lineRule="auto"/>
        <w:jc w:val="left"/>
        <w:rPr>
          <w:rFonts w:hint="eastAsia" w:ascii="宋体" w:hAnsi="宋体"/>
          <w:b/>
          <w:bCs/>
          <w:sz w:val="24"/>
        </w:rPr>
      </w:pPr>
      <w:r>
        <w:rPr>
          <w:rFonts w:hint="eastAsia" w:ascii="宋体" w:hAnsi="宋体"/>
          <w:b/>
          <w:sz w:val="24"/>
        </w:rPr>
        <w:t>27.</w:t>
      </w:r>
      <w:r>
        <w:rPr>
          <w:rFonts w:hint="eastAsia" w:ascii="宋体" w:hAnsi="宋体"/>
          <w:b/>
          <w:bCs/>
          <w:sz w:val="24"/>
        </w:rPr>
        <w:t xml:space="preserve"> 评标</w:t>
      </w:r>
    </w:p>
    <w:p w14:paraId="34A2394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27.1评标委员会按照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48CA109C">
      <w:pPr>
        <w:pStyle w:val="4"/>
        <w:adjustRightInd w:val="0"/>
        <w:snapToGrid w:val="0"/>
        <w:spacing w:before="156" w:beforeLines="50" w:after="0" w:line="360" w:lineRule="auto"/>
        <w:jc w:val="center"/>
        <w:rPr>
          <w:rFonts w:hint="eastAsia" w:ascii="黑体" w:hAnsi="黑体" w:eastAsia="黑体"/>
          <w:sz w:val="28"/>
          <w:szCs w:val="28"/>
        </w:rPr>
      </w:pPr>
      <w:bookmarkStart w:id="31" w:name="_Toc24640"/>
      <w:bookmarkStart w:id="32" w:name="_Toc3251"/>
      <w:r>
        <w:rPr>
          <w:rFonts w:hint="eastAsia" w:ascii="黑体" w:hAnsi="黑体" w:eastAsia="黑体"/>
          <w:sz w:val="28"/>
          <w:szCs w:val="28"/>
        </w:rPr>
        <w:t>六、中标信息公布</w:t>
      </w:r>
      <w:bookmarkEnd w:id="31"/>
      <w:bookmarkEnd w:id="32"/>
    </w:p>
    <w:p w14:paraId="653499AB">
      <w:pPr>
        <w:adjustRightInd w:val="0"/>
        <w:snapToGrid w:val="0"/>
        <w:spacing w:before="156" w:beforeLines="50" w:line="360" w:lineRule="auto"/>
        <w:jc w:val="left"/>
        <w:rPr>
          <w:rFonts w:hint="eastAsia" w:ascii="宋体" w:hAnsi="宋体"/>
          <w:b/>
          <w:bCs/>
          <w:sz w:val="24"/>
        </w:rPr>
      </w:pPr>
      <w:r>
        <w:rPr>
          <w:rFonts w:hint="eastAsia" w:ascii="宋体" w:hAnsi="宋体"/>
          <w:b/>
          <w:sz w:val="24"/>
        </w:rPr>
        <w:t>28.</w:t>
      </w:r>
      <w:r>
        <w:rPr>
          <w:rFonts w:hint="eastAsia" w:ascii="宋体" w:hAnsi="宋体"/>
          <w:sz w:val="24"/>
        </w:rPr>
        <w:t xml:space="preserve"> </w:t>
      </w:r>
      <w:r>
        <w:rPr>
          <w:rFonts w:hint="eastAsia" w:ascii="宋体" w:hAnsi="宋体"/>
          <w:b/>
          <w:bCs/>
          <w:sz w:val="24"/>
        </w:rPr>
        <w:t>中标通知书与中标信息公布</w:t>
      </w:r>
    </w:p>
    <w:p w14:paraId="5D1BB28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28.1采购代理机构应当在评标结束后2个工作日内将评标报告送采购人。</w:t>
      </w:r>
    </w:p>
    <w:p w14:paraId="114760C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28.2采购人应当自收到评标报告之日起5个工作日内，在评标报告确定的中标候选人名单中按顺序确定中标人。中标候选人并列的，按照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617B778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28.3采购人、采购代理机构应当自采购人确定中标供应商之日起2个工作日内，发出中标通知书，并在招标公告指定媒体上公告中标结果，招标文件随中标结果同时公告，中标结果公告期限为1个工作日。</w:t>
      </w:r>
    </w:p>
    <w:p w14:paraId="2877BB2F">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29.</w:t>
      </w:r>
      <w:r>
        <w:rPr>
          <w:rFonts w:hint="eastAsia" w:ascii="宋体" w:hAnsi="宋体"/>
          <w:b/>
          <w:sz w:val="24"/>
        </w:rPr>
        <w:t xml:space="preserve"> 投标人询问及</w:t>
      </w:r>
      <w:r>
        <w:rPr>
          <w:rFonts w:hint="eastAsia" w:ascii="宋体" w:hAnsi="宋体"/>
          <w:b/>
          <w:bCs/>
          <w:sz w:val="24"/>
        </w:rPr>
        <w:t>质疑</w:t>
      </w:r>
    </w:p>
    <w:p w14:paraId="66C4A86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29.1投标人对政府采购活动事项有疑问的，可以向采购人、采购代理机构提出询问。采购人或采购代理机构将在3个工作日内作出答复。</w:t>
      </w:r>
    </w:p>
    <w:p w14:paraId="3C57268B">
      <w:pPr>
        <w:adjustRightInd w:val="0"/>
        <w:snapToGrid w:val="0"/>
        <w:spacing w:line="400" w:lineRule="exact"/>
        <w:ind w:firstLine="420" w:firstLineChars="200"/>
        <w:rPr>
          <w:rFonts w:hint="eastAsia" w:ascii="宋体" w:hAnsi="宋体" w:eastAsia="宋体"/>
          <w:szCs w:val="21"/>
          <w:lang w:eastAsia="zh-CN"/>
        </w:rPr>
      </w:pPr>
      <w:r>
        <w:rPr>
          <w:rFonts w:hint="eastAsia" w:ascii="宋体" w:hAnsi="宋体"/>
          <w:szCs w:val="21"/>
        </w:rPr>
        <w:t>29.2</w:t>
      </w:r>
      <w:r>
        <w:rPr>
          <w:rFonts w:hint="eastAsia" w:ascii="宋体" w:hAnsi="宋体" w:eastAsia="宋体"/>
          <w:szCs w:val="21"/>
        </w:rPr>
        <w:t>投标人认为招标文件、采购过程和中标结果使自己的权益受到损害的，可以在知道或者应知其权益受到损害之日起7个工作日内，按《湖南省财政厅关于印发＜政府采购质疑答复和投诉处理操作规程＞的通知》〔20</w:t>
      </w:r>
      <w:r>
        <w:rPr>
          <w:rFonts w:hint="eastAsia" w:ascii="宋体" w:hAnsi="宋体" w:eastAsia="宋体"/>
          <w:szCs w:val="21"/>
          <w:lang w:val="en-US" w:eastAsia="zh-CN"/>
        </w:rPr>
        <w:t>24</w:t>
      </w:r>
      <w:r>
        <w:rPr>
          <w:rFonts w:hint="eastAsia" w:ascii="宋体" w:hAnsi="宋体" w:eastAsia="宋体"/>
          <w:szCs w:val="21"/>
        </w:rPr>
        <w:t>〕</w:t>
      </w:r>
      <w:r>
        <w:rPr>
          <w:rFonts w:hint="eastAsia" w:ascii="宋体" w:hAnsi="宋体" w:eastAsia="宋体"/>
          <w:szCs w:val="21"/>
          <w:lang w:val="en-US" w:eastAsia="zh-CN"/>
        </w:rPr>
        <w:t>67</w:t>
      </w:r>
      <w:r>
        <w:rPr>
          <w:rFonts w:hint="eastAsia" w:ascii="宋体" w:hAnsi="宋体" w:eastAsia="宋体"/>
          <w:szCs w:val="21"/>
        </w:rPr>
        <w:t>号))规定，以纸质书面形式向采购人、采购代理机构提出质疑</w:t>
      </w:r>
      <w:r>
        <w:rPr>
          <w:rFonts w:hint="eastAsia" w:ascii="宋体" w:hAnsi="宋体" w:eastAsia="宋体"/>
          <w:szCs w:val="21"/>
          <w:lang w:val="en-US" w:eastAsia="zh-CN"/>
        </w:rPr>
        <w:t>,投标人应当在法定质疑期内一次性提出针对同一采购程序环节的质疑，否则不予以受理</w:t>
      </w:r>
      <w:r>
        <w:rPr>
          <w:rFonts w:hint="eastAsia" w:ascii="宋体" w:hAnsi="宋体" w:eastAsia="宋体"/>
          <w:szCs w:val="21"/>
        </w:rPr>
        <w:t>。</w:t>
      </w:r>
    </w:p>
    <w:p w14:paraId="69205C9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 xml:space="preserve">。  </w:t>
      </w:r>
    </w:p>
    <w:p w14:paraId="0D029A0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29.4采购人、采购代理机构按照《湖南省财政厅关于印发＜政府采购质疑答复和投诉处理操作规程＞的通知》规定进行质疑答复。</w:t>
      </w:r>
    </w:p>
    <w:p w14:paraId="2E1192FE">
      <w:pPr>
        <w:adjustRightInd w:val="0"/>
        <w:snapToGrid w:val="0"/>
        <w:spacing w:before="156" w:beforeLines="50" w:line="360" w:lineRule="auto"/>
        <w:ind w:firstLine="420" w:firstLineChars="200"/>
        <w:jc w:val="left"/>
        <w:rPr>
          <w:rFonts w:hint="eastAsia" w:ascii="宋体" w:hAnsi="宋体"/>
          <w:b/>
          <w:bCs/>
        </w:rPr>
      </w:pPr>
      <w:r>
        <w:rPr>
          <w:rFonts w:hint="eastAsia" w:ascii="宋体" w:hAnsi="宋体"/>
          <w:szCs w:val="21"/>
        </w:rPr>
        <w:t>29</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18BF1968">
      <w:pPr>
        <w:pStyle w:val="4"/>
        <w:adjustRightInd w:val="0"/>
        <w:snapToGrid w:val="0"/>
        <w:spacing w:before="156" w:beforeLines="50" w:after="0" w:line="360" w:lineRule="auto"/>
        <w:jc w:val="center"/>
        <w:rPr>
          <w:rFonts w:hint="eastAsia" w:ascii="黑体" w:hAnsi="黑体" w:eastAsia="黑体"/>
          <w:sz w:val="28"/>
          <w:szCs w:val="28"/>
        </w:rPr>
      </w:pPr>
      <w:bookmarkStart w:id="33" w:name="_Toc28156"/>
      <w:bookmarkStart w:id="34" w:name="_Toc23496"/>
      <w:r>
        <w:rPr>
          <w:rFonts w:hint="eastAsia" w:ascii="黑体" w:hAnsi="黑体" w:eastAsia="黑体"/>
          <w:sz w:val="28"/>
          <w:szCs w:val="28"/>
        </w:rPr>
        <w:t>七、合同签订</w:t>
      </w:r>
      <w:bookmarkEnd w:id="33"/>
      <w:bookmarkEnd w:id="34"/>
    </w:p>
    <w:p w14:paraId="767FC357">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30. 签订合同</w:t>
      </w:r>
    </w:p>
    <w:p w14:paraId="1A6FBBA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30.1采购人应自中标通知书发出之日起30日内，按中标通知书指定的时间、地点与中标人签订政府采购合同。所签订的合同不得对招标文件确定的事项和中标人投标文件作实质性修改。</w:t>
      </w:r>
    </w:p>
    <w:p w14:paraId="5058622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30.2招标文件、中标人的投标文件均为签订合同的依据。</w:t>
      </w:r>
    </w:p>
    <w:p w14:paraId="60198201">
      <w:pPr>
        <w:adjustRightInd w:val="0"/>
        <w:snapToGrid w:val="0"/>
        <w:spacing w:before="156" w:beforeLines="50" w:line="360" w:lineRule="auto"/>
        <w:ind w:firstLine="420" w:firstLineChars="200"/>
        <w:jc w:val="left"/>
        <w:rPr>
          <w:rFonts w:hint="eastAsia" w:ascii="宋体" w:hAnsi="宋体" w:cs="微软雅黑"/>
          <w:kern w:val="0"/>
          <w:szCs w:val="21"/>
        </w:rPr>
      </w:pPr>
      <w:r>
        <w:rPr>
          <w:rFonts w:hint="eastAsia" w:ascii="宋体" w:hAnsi="宋体" w:cs="微软雅黑"/>
          <w:kern w:val="0"/>
          <w:szCs w:val="21"/>
        </w:rPr>
        <w:t>30.3联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150DF35F">
      <w:pPr>
        <w:adjustRightInd w:val="0"/>
        <w:snapToGrid w:val="0"/>
        <w:spacing w:before="156" w:beforeLines="50" w:line="360" w:lineRule="auto"/>
        <w:ind w:firstLine="420" w:firstLineChars="200"/>
        <w:jc w:val="left"/>
        <w:rPr>
          <w:rFonts w:hint="eastAsia" w:ascii="宋体" w:hAnsi="宋体"/>
          <w:szCs w:val="21"/>
        </w:rPr>
      </w:pPr>
      <w:r>
        <w:rPr>
          <w:rFonts w:ascii="宋体" w:hAnsi="宋体"/>
          <w:szCs w:val="21"/>
        </w:rPr>
        <w:t>3</w:t>
      </w:r>
      <w:r>
        <w:rPr>
          <w:rFonts w:hint="eastAsia" w:ascii="宋体" w:hAnsi="宋体"/>
          <w:szCs w:val="21"/>
        </w:rPr>
        <w:t>0</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00815575">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30.5中标人</w:t>
      </w:r>
      <w:r>
        <w:rPr>
          <w:rFonts w:hint="eastAsia" w:ascii="宋体" w:hAnsi="宋体"/>
          <w:bCs/>
          <w:szCs w:val="21"/>
        </w:rPr>
        <w:t>应当按照合同约定依法履行合同义务。政府采购合同的履行、违约责任和解决争议的方法等适用《中华人民共和国民法典》。</w:t>
      </w:r>
    </w:p>
    <w:p w14:paraId="56F620CE">
      <w:pPr>
        <w:adjustRightInd w:val="0"/>
        <w:snapToGrid w:val="0"/>
        <w:spacing w:before="156" w:beforeLines="50" w:line="360" w:lineRule="auto"/>
        <w:jc w:val="left"/>
        <w:rPr>
          <w:rFonts w:hint="eastAsia" w:ascii="宋体" w:hAnsi="宋体" w:cs="宋体"/>
          <w:b/>
          <w:kern w:val="0"/>
          <w:sz w:val="24"/>
        </w:rPr>
      </w:pPr>
      <w:r>
        <w:rPr>
          <w:rFonts w:hint="eastAsia" w:ascii="宋体" w:hAnsi="宋体"/>
          <w:b/>
          <w:bCs/>
          <w:sz w:val="24"/>
        </w:rPr>
        <w:t>31.</w:t>
      </w:r>
      <w:r>
        <w:rPr>
          <w:rFonts w:hint="eastAsia" w:ascii="宋体" w:hAnsi="宋体" w:cs="宋体"/>
          <w:b/>
          <w:kern w:val="0"/>
          <w:sz w:val="24"/>
        </w:rPr>
        <w:t xml:space="preserve"> 履约担保</w:t>
      </w:r>
    </w:p>
    <w:p w14:paraId="2BEA6AE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cs="宋体"/>
          <w:kern w:val="0"/>
          <w:szCs w:val="21"/>
        </w:rPr>
        <w:t>31.1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w:t>
      </w:r>
      <w:r>
        <w:rPr>
          <w:rFonts w:hint="eastAsia" w:ascii="宋体" w:hAnsi="宋体"/>
          <w:bCs/>
          <w:szCs w:val="21"/>
        </w:rPr>
        <w:t>投标人可以保函、电子增信替代履约担保。</w:t>
      </w:r>
      <w:r>
        <w:rPr>
          <w:rFonts w:hint="eastAsia" w:ascii="宋体" w:hAnsi="宋体"/>
          <w:szCs w:val="21"/>
        </w:rPr>
        <w:t>联合体中标的，履约担保由联合体各方或联合体中牵头人的名义提交。</w:t>
      </w:r>
    </w:p>
    <w:p w14:paraId="27C5C73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49F2EEAA">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32.</w:t>
      </w:r>
      <w:r>
        <w:rPr>
          <w:rFonts w:hint="eastAsia" w:ascii="宋体" w:hAnsi="宋体"/>
          <w:b/>
          <w:sz w:val="24"/>
        </w:rPr>
        <w:t xml:space="preserve"> 政府采购合同履行中</w:t>
      </w:r>
      <w:r>
        <w:rPr>
          <w:rFonts w:hint="eastAsia" w:ascii="宋体" w:hAnsi="宋体"/>
          <w:b/>
          <w:bCs/>
          <w:sz w:val="24"/>
        </w:rPr>
        <w:t>数量的变更</w:t>
      </w:r>
    </w:p>
    <w:p w14:paraId="73C98890">
      <w:pPr>
        <w:adjustRightInd w:val="0"/>
        <w:snapToGrid w:val="0"/>
        <w:spacing w:before="156" w:beforeLines="50" w:line="360" w:lineRule="auto"/>
        <w:ind w:firstLine="420" w:firstLineChars="200"/>
        <w:jc w:val="left"/>
        <w:rPr>
          <w:rFonts w:hint="eastAsia" w:ascii="宋体" w:hAnsi="宋体"/>
          <w:sz w:val="28"/>
          <w:szCs w:val="28"/>
        </w:rPr>
      </w:pPr>
      <w:r>
        <w:rPr>
          <w:rFonts w:hint="eastAsia" w:ascii="宋体" w:hAnsi="宋体"/>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21DAC9D2">
      <w:pPr>
        <w:pStyle w:val="4"/>
        <w:adjustRightInd w:val="0"/>
        <w:snapToGrid w:val="0"/>
        <w:spacing w:before="156" w:beforeLines="50" w:after="0" w:line="360" w:lineRule="auto"/>
        <w:jc w:val="center"/>
        <w:rPr>
          <w:rFonts w:hint="eastAsia" w:ascii="黑体" w:hAnsi="黑体" w:eastAsia="黑体"/>
          <w:sz w:val="28"/>
          <w:szCs w:val="28"/>
        </w:rPr>
      </w:pPr>
      <w:bookmarkStart w:id="35" w:name="_Toc11726"/>
      <w:bookmarkStart w:id="36" w:name="_Toc25771"/>
      <w:r>
        <w:rPr>
          <w:rFonts w:hint="eastAsia" w:ascii="黑体" w:hAnsi="黑体" w:eastAsia="黑体"/>
          <w:sz w:val="28"/>
          <w:szCs w:val="28"/>
        </w:rPr>
        <w:t>八、政府采购政策</w:t>
      </w:r>
      <w:bookmarkEnd w:id="35"/>
      <w:bookmarkEnd w:id="36"/>
    </w:p>
    <w:p w14:paraId="0A3F9F2F">
      <w:pPr>
        <w:adjustRightInd w:val="0"/>
        <w:snapToGrid w:val="0"/>
        <w:spacing w:before="156" w:beforeLines="50" w:line="360" w:lineRule="auto"/>
        <w:jc w:val="left"/>
        <w:rPr>
          <w:rFonts w:hint="eastAsia" w:ascii="宋体" w:hAnsi="宋体"/>
          <w:b/>
          <w:sz w:val="24"/>
        </w:rPr>
      </w:pPr>
      <w:r>
        <w:rPr>
          <w:rFonts w:hint="eastAsia" w:ascii="宋体" w:hAnsi="宋体"/>
          <w:b/>
          <w:bCs/>
          <w:sz w:val="24"/>
        </w:rPr>
        <w:t>33.</w:t>
      </w:r>
      <w:r>
        <w:rPr>
          <w:rFonts w:hint="eastAsia" w:ascii="宋体" w:hAnsi="宋体"/>
          <w:sz w:val="24"/>
        </w:rPr>
        <w:t xml:space="preserve"> </w:t>
      </w:r>
      <w:r>
        <w:rPr>
          <w:rFonts w:hint="eastAsia" w:ascii="宋体" w:hAnsi="宋体"/>
          <w:b/>
          <w:sz w:val="24"/>
        </w:rPr>
        <w:t>政府采购政策</w:t>
      </w:r>
    </w:p>
    <w:p w14:paraId="56A86154">
      <w:pPr>
        <w:adjustRightInd w:val="0"/>
        <w:snapToGrid w:val="0"/>
        <w:spacing w:before="156" w:beforeLines="50" w:line="360" w:lineRule="auto"/>
        <w:ind w:firstLine="420" w:firstLineChars="200"/>
        <w:jc w:val="left"/>
        <w:rPr>
          <w:rFonts w:hint="eastAsia" w:ascii="宋体" w:hAnsi="宋体" w:cs="宋体"/>
          <w:kern w:val="0"/>
        </w:rPr>
      </w:pPr>
      <w:r>
        <w:rPr>
          <w:rFonts w:hint="eastAsia" w:ascii="宋体" w:hAnsi="宋体" w:cs="宋体"/>
          <w:kern w:val="0"/>
        </w:rPr>
        <w:t>33.1优先采购：</w:t>
      </w:r>
    </w:p>
    <w:p w14:paraId="5A4C2A6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w:t>
      </w:r>
      <w:r>
        <w:rPr>
          <w:rFonts w:hint="eastAsia" w:ascii="宋体" w:hAnsi="宋体"/>
          <w:szCs w:val="21"/>
        </w:rPr>
        <w:t>纳入财政部会同国务院有关部门发布的节能产品、环境标志产品政府采购品目清单，实施政府优先采购的，评审时按招标文件第四章第一节有关规定对该部分产品给予一定比例的价格折扣或者加分；</w:t>
      </w:r>
      <w:r>
        <w:rPr>
          <w:rFonts w:ascii="宋体" w:hAnsi="宋体"/>
        </w:rPr>
        <w:t xml:space="preserve"> </w:t>
      </w:r>
    </w:p>
    <w:p w14:paraId="2B19858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（2）纳入湖南省财政厅等有关部门发布的湖南省两型产品政府采购目录的，实施政府优先采购，评审时按</w:t>
      </w:r>
      <w:r>
        <w:rPr>
          <w:rFonts w:hint="eastAsia" w:ascii="宋体" w:hAnsi="宋体"/>
          <w:szCs w:val="21"/>
        </w:rPr>
        <w:t>招标文件第四章第一节有关规定对该部分产品</w:t>
      </w:r>
      <w:r>
        <w:rPr>
          <w:rFonts w:hint="eastAsia" w:ascii="宋体" w:hAnsi="宋体"/>
        </w:rPr>
        <w:t>给予一定比例的价格折扣或者加分。</w:t>
      </w:r>
    </w:p>
    <w:p w14:paraId="642FB2D3">
      <w:pPr>
        <w:adjustRightInd w:val="0"/>
        <w:snapToGrid w:val="0"/>
        <w:spacing w:before="156" w:beforeLines="50" w:line="360" w:lineRule="auto"/>
        <w:ind w:firstLine="420" w:firstLineChars="200"/>
        <w:jc w:val="left"/>
        <w:rPr>
          <w:rFonts w:hint="eastAsia" w:ascii="宋体" w:hAnsi="宋体" w:cs="宋体"/>
          <w:kern w:val="0"/>
        </w:rPr>
      </w:pPr>
      <w:r>
        <w:rPr>
          <w:rFonts w:hint="eastAsia" w:ascii="宋体" w:hAnsi="宋体" w:cs="宋体"/>
          <w:kern w:val="0"/>
        </w:rPr>
        <w:t>33.2强制采购：</w:t>
      </w:r>
    </w:p>
    <w:p w14:paraId="250DC187">
      <w:pPr>
        <w:adjustRightInd w:val="0"/>
        <w:snapToGrid w:val="0"/>
        <w:spacing w:before="156" w:beforeLines="50" w:line="360" w:lineRule="auto"/>
        <w:ind w:firstLine="420" w:firstLineChars="200"/>
        <w:jc w:val="left"/>
        <w:rPr>
          <w:rFonts w:hint="eastAsia" w:ascii="宋体" w:hAnsi="宋体" w:cs="宋体"/>
          <w:kern w:val="0"/>
        </w:rPr>
      </w:pPr>
      <w:r>
        <w:rPr>
          <w:rFonts w:hint="eastAsia" w:ascii="宋体" w:hAnsi="宋体" w:cs="宋体"/>
          <w:kern w:val="0"/>
        </w:rPr>
        <w:t>（1）纳入财政部会同国务院有关部门发布的节能产品政府采购品目清单，实施政府强制采购的（品目清单标注</w:t>
      </w:r>
      <w:r>
        <w:rPr>
          <w:rFonts w:hint="eastAsia" w:ascii="宋体" w:hAnsi="宋体" w:cs="宋体"/>
          <w:kern w:val="0"/>
        </w:rPr>
        <w:sym w:font="Wingdings" w:char="F0AB"/>
      </w:r>
      <w:r>
        <w:rPr>
          <w:rFonts w:hint="eastAsia" w:ascii="宋体" w:hAnsi="宋体" w:cs="宋体"/>
          <w:kern w:val="0"/>
        </w:rPr>
        <w:t>符号产品），投标人投标产品应当取得国家确定的认证机构出具的、处于有效期之内的节能产品认证证书，否则其</w:t>
      </w:r>
      <w:r>
        <w:rPr>
          <w:rFonts w:hint="eastAsia" w:ascii="宋体" w:hAnsi="宋体" w:cs="宋体"/>
          <w:b/>
          <w:kern w:val="0"/>
          <w:szCs w:val="21"/>
        </w:rPr>
        <w:t>投标无效</w:t>
      </w:r>
      <w:r>
        <w:rPr>
          <w:rFonts w:hint="eastAsia" w:ascii="宋体" w:hAnsi="宋体" w:cs="宋体"/>
          <w:kern w:val="0"/>
        </w:rPr>
        <w:t>。</w:t>
      </w:r>
    </w:p>
    <w:p w14:paraId="78A27E19">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33.3价格评审优惠：</w:t>
      </w:r>
    </w:p>
    <w:p w14:paraId="740C6F7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w:t>
      </w:r>
      <w:r>
        <w:rPr>
          <w:rFonts w:hint="eastAsia" w:ascii="宋体" w:hAnsi="宋体"/>
          <w:bCs/>
          <w:szCs w:val="21"/>
        </w:rPr>
        <w:t>《中华人民共和国民法典》</w:t>
      </w:r>
      <w:r>
        <w:rPr>
          <w:rFonts w:hint="eastAsia" w:ascii="宋体" w:hAnsi="宋体"/>
        </w:rPr>
        <w:t>订立劳动合同的从业人员；给予一定比例的价格折扣，用扣除后的价格参与评审；</w:t>
      </w:r>
    </w:p>
    <w:p w14:paraId="1DF2FA9E">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43E5ACBC">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0A66F453">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（3）符合中小企业划分标准的个体工商户视同中小企业，享受评审中价格扣除等促进中小企业发展的政府采购政策。</w:t>
      </w:r>
    </w:p>
    <w:p w14:paraId="2C2DB152">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（4）监狱企业、残疾人福利性单位视同小型、微型企业，享受评审中价格扣除等促进中小企业发展的政府采购政策。</w:t>
      </w:r>
    </w:p>
    <w:p w14:paraId="6AFEE6D4">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 xml:space="preserve">（5）与大企业的负责人为同一人，或者与大企业存在直接控股、管理关系的中小企业，不享受评审中价格扣除等促进中小企业发展的政府采购政策。 </w:t>
      </w:r>
    </w:p>
    <w:p w14:paraId="4E55AA33">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（6）本章第1.2款规定采购项目或者采购包属于“预留采购份额”的，预留部分不再享受本款“价格评审优惠”的小微企业扶持政策。</w:t>
      </w:r>
    </w:p>
    <w:p w14:paraId="4E1A032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33.4政府采购政策交叉与叠加</w:t>
      </w:r>
    </w:p>
    <w:p w14:paraId="71BC8DAA">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（1）投标产品取得两个及以上优先采购产品认证的，评审时只有其中一项产品能享受优先采购优惠（投标人自行选择，并在投标文件中并填报相关信息及数据，填写有误或无法对应的则不享受优先采购优惠）</w:t>
      </w:r>
    </w:p>
    <w:p w14:paraId="170EA04A">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（2）投标人同时符合小型、微型企业及监狱企业、残疾人福利性单位要求的，评审时只有一种类型享受价格评审优惠政策；</w:t>
      </w:r>
    </w:p>
    <w:p w14:paraId="56BD5F13">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（3）小型和微型企业的价格评审优惠可以与同时属于“节能产品”、“环境标志产品”及“两型产品”中的一项优先采购优惠累加计算。</w:t>
      </w:r>
    </w:p>
    <w:p w14:paraId="0F12C097">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33.5在货物采购项目中，供应商提供的货物既有中小企业制造货物，也有大型企业制造货物的，不享受政府采购中小企业扶持政策。</w:t>
      </w:r>
    </w:p>
    <w:p w14:paraId="6F3761C4">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33.6投标人符合本章第33.1款、第33.2款、第33.3款规定的，应提供相关证明资料。</w:t>
      </w:r>
    </w:p>
    <w:p w14:paraId="651C5252">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（1）节能产品、环境标志产品：提供国家确定的认证机构出具的、处于有效期之内的节能产品、环境标志产品认证证书。</w:t>
      </w:r>
    </w:p>
    <w:p w14:paraId="50C8DA33">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（2）两型产品：提供《湖南省两型产品政府采购目录》（最新一期）文件首页和投标产品所在页（截图）。</w:t>
      </w:r>
    </w:p>
    <w:p w14:paraId="2C58DE8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r>
        <w:rPr>
          <w:rFonts w:hint="eastAsia" w:ascii="宋体" w:hAnsi="宋体"/>
          <w:szCs w:val="21"/>
        </w:rPr>
        <w:t>。</w:t>
      </w:r>
    </w:p>
    <w:p w14:paraId="6C740AF6">
      <w:pPr>
        <w:pStyle w:val="64"/>
        <w:spacing w:line="360" w:lineRule="auto"/>
        <w:rPr>
          <w:rFonts w:hint="eastAsia" w:ascii="宋体" w:hAnsi="宋体"/>
        </w:rPr>
      </w:pPr>
      <w:r>
        <w:rPr>
          <w:rFonts w:hint="eastAsia" w:ascii="宋体" w:hAnsi="宋体"/>
        </w:rPr>
        <w:t>（4）监狱企业：按《关于政府采购支持监狱企业发展有关问题的通知》(财库〔2014〕68号)文件规定提供证明文件。</w:t>
      </w:r>
    </w:p>
    <w:p w14:paraId="2DE5C9C3">
      <w:pPr>
        <w:pStyle w:val="64"/>
        <w:spacing w:line="360" w:lineRule="auto"/>
        <w:rPr>
          <w:rFonts w:hint="eastAsia" w:ascii="宋体" w:hAnsi="宋体"/>
        </w:rPr>
      </w:pPr>
      <w:r>
        <w:rPr>
          <w:rFonts w:hint="eastAsia" w:ascii="宋体" w:hAnsi="宋体"/>
        </w:rPr>
        <w:t>（5）残疾人福利性单位：按《关于促进残疾人就业政府采购政策的通知》(财库〔2017〕141号)文件规定提供《残疾人福利性单位声明函》（格式）。</w:t>
      </w:r>
    </w:p>
    <w:p w14:paraId="78647F06">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33.7执行中小企业预留采购份额政策的规定：</w:t>
      </w:r>
    </w:p>
    <w:p w14:paraId="18BABA6F">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（1）预留份额的采购项目或者采购包，应明确该项目或相关采购包专门面向中小企业采购，并作为供应商资格条件。</w:t>
      </w:r>
    </w:p>
    <w:p w14:paraId="29DC6CBE">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（2）要求以联合体形式参加或者合同分包的，应明确联合协议或者分包意向协议中中小企业合同金额应当达到的比例，并作为供应商资格条件。</w:t>
      </w:r>
    </w:p>
    <w:p w14:paraId="0C2937CF">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（3）组成联合体或者接受分包合同的中小企业与联合体内其他企业(成员)、分包企业(投标人)之间不得存在直接控股、管理关系。</w:t>
      </w:r>
    </w:p>
    <w:p w14:paraId="09257AD7">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33.8采购进口产品</w:t>
      </w:r>
    </w:p>
    <w:p w14:paraId="3D190A04">
      <w:pPr>
        <w:adjustRightInd w:val="0"/>
        <w:snapToGrid w:val="0"/>
        <w:spacing w:before="156" w:beforeLines="50" w:line="360" w:lineRule="auto"/>
        <w:ind w:firstLine="420" w:firstLineChars="200"/>
        <w:jc w:val="left"/>
        <w:rPr>
          <w:rFonts w:hint="eastAsia" w:ascii="宋体" w:hAnsi="宋体"/>
        </w:rPr>
      </w:pPr>
      <w:r>
        <w:rPr>
          <w:rFonts w:hint="eastAsia" w:ascii="宋体" w:hAnsi="宋体" w:cs="宋体"/>
          <w:kern w:val="0"/>
          <w:szCs w:val="21"/>
        </w:rPr>
        <w:t>进口产品是指符合《政府采购进口产品管理办法》（财库〔2007〕119号）和《关于政府采购进口产品管理有关问题的通知》（财办库〔2008〕248号）文件规定的产品。除</w:t>
      </w:r>
      <w:r>
        <w:rPr>
          <w:rFonts w:hint="eastAsia" w:ascii="宋体" w:hAnsi="宋体"/>
          <w:b/>
          <w:szCs w:val="21"/>
        </w:rPr>
        <w:t>【投标须知前附表】</w:t>
      </w:r>
      <w:r>
        <w:rPr>
          <w:rFonts w:hint="eastAsia" w:ascii="宋体" w:hAnsi="宋体" w:cs="宋体"/>
          <w:kern w:val="0"/>
          <w:szCs w:val="21"/>
        </w:rPr>
        <w:t>另有规定外，采购项目</w:t>
      </w:r>
      <w:r>
        <w:rPr>
          <w:rFonts w:hint="eastAsia" w:ascii="宋体" w:hAnsi="宋体" w:cs="宋体"/>
          <w:b/>
          <w:kern w:val="0"/>
          <w:szCs w:val="21"/>
        </w:rPr>
        <w:t>拒绝进口产品参加投标</w:t>
      </w:r>
      <w:r>
        <w:rPr>
          <w:rFonts w:hint="eastAsia" w:ascii="宋体" w:hAnsi="宋体" w:cs="宋体"/>
          <w:kern w:val="0"/>
          <w:szCs w:val="21"/>
        </w:rPr>
        <w:t>。本款规定同意购买进口产品的，不限制满足招标文件要求的国内产品参与投标竞争。</w:t>
      </w:r>
    </w:p>
    <w:p w14:paraId="45AAEEAB">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33.9投标人有融资、担保需求的，可登陆中国湖南政府采购网查询相关银行、担保机构业务。</w:t>
      </w:r>
    </w:p>
    <w:p w14:paraId="4105B0BF">
      <w:pPr>
        <w:pStyle w:val="4"/>
        <w:adjustRightInd w:val="0"/>
        <w:snapToGrid w:val="0"/>
        <w:spacing w:before="156" w:beforeLines="50" w:after="0" w:line="360" w:lineRule="auto"/>
        <w:jc w:val="center"/>
        <w:rPr>
          <w:rFonts w:hint="eastAsia" w:ascii="黑体" w:hAnsi="黑体" w:eastAsia="黑体"/>
          <w:sz w:val="28"/>
          <w:szCs w:val="28"/>
        </w:rPr>
      </w:pPr>
      <w:bookmarkStart w:id="37" w:name="_Toc18302"/>
      <w:bookmarkStart w:id="38" w:name="_Toc27847"/>
      <w:r>
        <w:rPr>
          <w:rFonts w:hint="eastAsia" w:ascii="黑体" w:hAnsi="黑体" w:eastAsia="黑体"/>
          <w:sz w:val="28"/>
          <w:szCs w:val="28"/>
        </w:rPr>
        <w:t>九、其他规定</w:t>
      </w:r>
      <w:bookmarkEnd w:id="37"/>
      <w:bookmarkEnd w:id="38"/>
    </w:p>
    <w:p w14:paraId="6AA1864C">
      <w:pPr>
        <w:adjustRightInd w:val="0"/>
        <w:snapToGrid w:val="0"/>
        <w:spacing w:before="156" w:beforeLines="50" w:line="360" w:lineRule="auto"/>
        <w:jc w:val="left"/>
        <w:rPr>
          <w:rFonts w:hint="eastAsia" w:ascii="宋体" w:hAnsi="宋体"/>
          <w:b/>
          <w:sz w:val="24"/>
        </w:rPr>
      </w:pPr>
      <w:r>
        <w:rPr>
          <w:rFonts w:hint="eastAsia" w:ascii="宋体" w:hAnsi="宋体"/>
          <w:b/>
          <w:bCs/>
          <w:sz w:val="24"/>
        </w:rPr>
        <w:t>34.</w:t>
      </w:r>
      <w:r>
        <w:rPr>
          <w:rFonts w:hint="eastAsia" w:ascii="宋体" w:hAnsi="宋体"/>
          <w:sz w:val="24"/>
        </w:rPr>
        <w:t xml:space="preserve"> </w:t>
      </w:r>
      <w:r>
        <w:rPr>
          <w:rFonts w:hint="eastAsia" w:ascii="宋体" w:hAnsi="宋体"/>
          <w:b/>
          <w:sz w:val="24"/>
        </w:rPr>
        <w:t>招标不足三家处理</w:t>
      </w:r>
    </w:p>
    <w:p w14:paraId="65947EC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34.1公开招标数额标准以上的采购项目，投标截止后投标人不足3家或者通过资格审查或符合性审查的投标人不足3家的，除采购任务取消情形外，按照以下方式处理：</w:t>
      </w:r>
    </w:p>
    <w:p w14:paraId="01B5894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（1）招标文件存在不合理条款或者招标程序不符合规定的，采购人、采购代理机构改正后依法重新招标；</w:t>
      </w:r>
    </w:p>
    <w:p w14:paraId="7C1C117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（2）招标文件没有不合理条款、招标程序符合规定，需要采用其他采购方式采购的，采购人应当依法报财政部门批准。</w:t>
      </w:r>
    </w:p>
    <w:p w14:paraId="3972B7F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34.2属上款第（2）项情形的，评标委员会应出具的招标文件没有不合理条款的论证意见。</w:t>
      </w:r>
    </w:p>
    <w:p w14:paraId="6FDEF254">
      <w:pPr>
        <w:adjustRightInd w:val="0"/>
        <w:snapToGrid w:val="0"/>
        <w:spacing w:before="156" w:beforeLines="50" w:line="360" w:lineRule="auto"/>
        <w:jc w:val="left"/>
        <w:rPr>
          <w:rFonts w:hint="eastAsia" w:ascii="宋体" w:hAnsi="宋体"/>
          <w:b/>
          <w:sz w:val="24"/>
        </w:rPr>
      </w:pPr>
      <w:r>
        <w:rPr>
          <w:rFonts w:hint="eastAsia" w:ascii="宋体" w:hAnsi="宋体"/>
          <w:b/>
          <w:bCs/>
          <w:sz w:val="24"/>
        </w:rPr>
        <w:t>35.</w:t>
      </w:r>
      <w:r>
        <w:rPr>
          <w:rFonts w:hint="eastAsia" w:ascii="宋体" w:hAnsi="宋体"/>
          <w:b/>
          <w:sz w:val="24"/>
        </w:rPr>
        <w:t xml:space="preserve"> 需要补充的其他内容</w:t>
      </w:r>
    </w:p>
    <w:p w14:paraId="13A4B44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35.1合同价款支付</w:t>
      </w:r>
    </w:p>
    <w:p w14:paraId="50FE33EB">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（1）招标文件</w:t>
      </w:r>
      <w:r>
        <w:rPr>
          <w:rFonts w:hint="eastAsia" w:ascii="宋体" w:hAnsi="宋体"/>
          <w:bCs/>
          <w:szCs w:val="21"/>
        </w:rPr>
        <w:t>规定支付合同预付款的，采购人应按</w:t>
      </w:r>
      <w:r>
        <w:rPr>
          <w:rFonts w:hint="eastAsia" w:ascii="宋体" w:hAnsi="宋体"/>
          <w:b/>
          <w:szCs w:val="21"/>
        </w:rPr>
        <w:t>【投标须知前附表】</w:t>
      </w:r>
      <w:r>
        <w:rPr>
          <w:rFonts w:hint="eastAsia" w:ascii="宋体" w:hAnsi="宋体"/>
          <w:bCs/>
          <w:szCs w:val="21"/>
        </w:rPr>
        <w:t>规定的支付比例和支付条件向符合要求的中标供应商及时支付相应款项，并在政府采购合同中进行明确。</w:t>
      </w:r>
    </w:p>
    <w:p w14:paraId="529F68F7">
      <w:pPr>
        <w:pStyle w:val="64"/>
        <w:spacing w:line="360" w:lineRule="auto"/>
        <w:rPr>
          <w:rFonts w:hint="eastAsia" w:ascii="宋体" w:hAnsi="宋体"/>
          <w:bCs/>
        </w:rPr>
      </w:pPr>
      <w:r>
        <w:rPr>
          <w:rFonts w:hint="eastAsia" w:ascii="宋体" w:hAnsi="宋体"/>
        </w:rPr>
        <w:t>（2）招标文件</w:t>
      </w:r>
      <w:r>
        <w:rPr>
          <w:rFonts w:hint="eastAsia" w:ascii="宋体" w:hAnsi="宋体"/>
          <w:bCs/>
        </w:rPr>
        <w:t>规定需提交质量保证金的，采购人可以按</w:t>
      </w:r>
      <w:r>
        <w:rPr>
          <w:rFonts w:hint="eastAsia" w:ascii="宋体" w:hAnsi="宋体"/>
          <w:b/>
        </w:rPr>
        <w:t>【投标须知前附表】</w:t>
      </w:r>
      <w:r>
        <w:rPr>
          <w:rFonts w:hint="eastAsia" w:ascii="宋体" w:hAnsi="宋体"/>
          <w:bCs/>
        </w:rPr>
        <w:t>规定要求中标供应商提交质量保证金，并在政府采购合同中进行明确。</w:t>
      </w:r>
    </w:p>
    <w:p w14:paraId="01C385FB">
      <w:pPr>
        <w:pStyle w:val="64"/>
        <w:spacing w:line="360" w:lineRule="auto"/>
        <w:rPr>
          <w:rFonts w:hint="eastAsia" w:ascii="宋体" w:hAnsi="宋体"/>
          <w:bCs/>
        </w:rPr>
      </w:pPr>
      <w:r>
        <w:rPr>
          <w:rFonts w:hint="eastAsia" w:ascii="宋体" w:hAnsi="宋体"/>
          <w:bCs/>
        </w:rPr>
        <w:t>（3）投标人可以保函、电子增信替代预付款担保、质量保证金。</w:t>
      </w:r>
    </w:p>
    <w:p w14:paraId="52939A0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rPr>
        <w:t>35.2招标文件需要补充的其</w:t>
      </w:r>
      <w:r>
        <w:rPr>
          <w:rFonts w:hint="eastAsia" w:ascii="宋体" w:hAnsi="宋体"/>
          <w:szCs w:val="21"/>
        </w:rPr>
        <w:t>他内容见</w:t>
      </w:r>
      <w:r>
        <w:rPr>
          <w:rFonts w:hint="eastAsia" w:ascii="宋体" w:hAnsi="宋体"/>
          <w:b/>
          <w:szCs w:val="21"/>
        </w:rPr>
        <w:t>【投标须知前附表】</w:t>
      </w:r>
      <w:r>
        <w:rPr>
          <w:rFonts w:hint="eastAsia" w:ascii="宋体" w:hAnsi="宋体"/>
          <w:szCs w:val="21"/>
        </w:rPr>
        <w:t>。</w:t>
      </w:r>
    </w:p>
    <w:p w14:paraId="477AA2C9">
      <w:r>
        <w:br w:type="page"/>
      </w:r>
    </w:p>
    <w:p w14:paraId="150C2A08">
      <w:pPr>
        <w:keepNext/>
        <w:jc w:val="center"/>
        <w:outlineLvl w:val="0"/>
        <w:rPr>
          <w:rFonts w:hint="eastAsia" w:ascii="黑体" w:hAnsi="黑体" w:eastAsia="黑体"/>
          <w:b/>
          <w:bCs/>
          <w:sz w:val="32"/>
          <w:szCs w:val="32"/>
        </w:rPr>
      </w:pPr>
      <w:bookmarkStart w:id="39" w:name="_Toc25849"/>
      <w:bookmarkStart w:id="40" w:name="_Toc20651205"/>
      <w:r>
        <w:rPr>
          <w:rFonts w:hint="eastAsia" w:ascii="黑体" w:hAnsi="黑体" w:eastAsia="黑体"/>
          <w:b/>
          <w:bCs/>
          <w:sz w:val="32"/>
          <w:szCs w:val="32"/>
        </w:rPr>
        <w:t>第三章 资格审查</w:t>
      </w:r>
      <w:bookmarkEnd w:id="39"/>
      <w:bookmarkEnd w:id="40"/>
    </w:p>
    <w:p w14:paraId="040133C9">
      <w:pPr>
        <w:pStyle w:val="4"/>
        <w:adjustRightInd w:val="0"/>
        <w:snapToGrid w:val="0"/>
        <w:spacing w:before="156" w:beforeLines="50" w:after="0" w:line="360" w:lineRule="auto"/>
        <w:rPr>
          <w:rFonts w:hint="eastAsia" w:ascii="黑体" w:hAnsi="黑体" w:eastAsia="黑体"/>
          <w:sz w:val="24"/>
          <w:szCs w:val="24"/>
        </w:rPr>
      </w:pPr>
      <w:bookmarkStart w:id="41" w:name="_Toc12630"/>
      <w:bookmarkStart w:id="42" w:name="_Toc3009"/>
      <w:r>
        <w:rPr>
          <w:rFonts w:hint="eastAsia" w:ascii="黑体" w:hAnsi="黑体" w:eastAsia="黑体"/>
          <w:sz w:val="24"/>
          <w:szCs w:val="24"/>
        </w:rPr>
        <w:t>1．资格审查主体</w:t>
      </w:r>
      <w:bookmarkEnd w:id="41"/>
      <w:bookmarkEnd w:id="42"/>
    </w:p>
    <w:p w14:paraId="33B67DD0">
      <w:pPr>
        <w:adjustRightInd w:val="0"/>
        <w:snapToGrid w:val="0"/>
        <w:spacing w:before="156" w:beforeLines="50" w:line="360" w:lineRule="auto"/>
        <w:ind w:firstLine="417" w:firstLineChars="199"/>
        <w:jc w:val="left"/>
        <w:rPr>
          <w:rFonts w:hint="eastAsia" w:ascii="宋体" w:hAnsi="宋体"/>
          <w:szCs w:val="21"/>
        </w:rPr>
      </w:pPr>
      <w:r>
        <w:rPr>
          <w:rFonts w:hint="eastAsia" w:ascii="宋体" w:hAnsi="宋体"/>
          <w:szCs w:val="21"/>
        </w:rPr>
        <w:t>1.1资格审查主体：采购人、采购代理机构负责资格审查。</w:t>
      </w:r>
    </w:p>
    <w:p w14:paraId="75C9C529">
      <w:pPr>
        <w:pStyle w:val="4"/>
        <w:adjustRightInd w:val="0"/>
        <w:snapToGrid w:val="0"/>
        <w:spacing w:before="156" w:beforeLines="50" w:after="0" w:line="360" w:lineRule="auto"/>
        <w:rPr>
          <w:rFonts w:hint="eastAsia" w:ascii="黑体" w:hAnsi="黑体" w:eastAsia="黑体"/>
          <w:sz w:val="24"/>
          <w:szCs w:val="24"/>
        </w:rPr>
      </w:pPr>
      <w:bookmarkStart w:id="43" w:name="_Toc7491"/>
      <w:bookmarkStart w:id="44" w:name="_Toc14915"/>
      <w:r>
        <w:rPr>
          <w:rFonts w:hint="eastAsia" w:ascii="黑体" w:hAnsi="黑体" w:eastAsia="黑体"/>
          <w:sz w:val="24"/>
          <w:szCs w:val="24"/>
        </w:rPr>
        <w:t>2．资格审查（未进行资格预审的）</w:t>
      </w:r>
      <w:bookmarkEnd w:id="43"/>
      <w:bookmarkEnd w:id="44"/>
    </w:p>
    <w:p w14:paraId="18598AE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2.1资格审查依据法律法规和招标文件的规定，对投标文件中的资格证明文件、投标保证金、投标报价等进行审查，以确定投标供应商是否具备投标资格。</w:t>
      </w:r>
    </w:p>
    <w:p w14:paraId="791F6D5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2.2采购人、采购代理机构按本章附表1“资格审查表”所列审查项目及审查标准，对投标人资格进行审查。</w:t>
      </w:r>
    </w:p>
    <w:p w14:paraId="25926F7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2.3在资格审查时，投标人存在下列情况之一的，资格审查不合格，其投标无效：</w:t>
      </w:r>
    </w:p>
    <w:p w14:paraId="6E454D6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（1）不具备招标文件中规定的资格要求的，或提交的资格证明文件不符合招标文件要求的；</w:t>
      </w:r>
    </w:p>
    <w:p w14:paraId="1D40676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（2）联合体投标未提交联合体协议书，或未提交联合体各方资格证明文件的；</w:t>
      </w:r>
    </w:p>
    <w:p w14:paraId="3EE9FB5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（3）投标文件的资格证明文件未按照招标文件要求签署、盖章的；</w:t>
      </w:r>
    </w:p>
    <w:p w14:paraId="53805FB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（4）未按照招标文件的规定提交投标保证金的。</w:t>
      </w:r>
    </w:p>
    <w:p w14:paraId="1696FAC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（5）投标报价超过招标文件中规定的预算金额或者最高限价的；</w:t>
      </w:r>
    </w:p>
    <w:p w14:paraId="444D4D9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（6）法律、法规和招标文件规定的其他投标无效情形的。</w:t>
      </w:r>
    </w:p>
    <w:p w14:paraId="05292041">
      <w:pPr>
        <w:adjustRightInd w:val="0"/>
        <w:snapToGrid w:val="0"/>
        <w:spacing w:before="156" w:beforeLines="50" w:line="360" w:lineRule="auto"/>
        <w:ind w:firstLine="420" w:firstLineChars="200"/>
        <w:jc w:val="left"/>
        <w:rPr>
          <w:rFonts w:hint="eastAsia" w:ascii="宋体" w:hAnsi="宋体"/>
          <w:b/>
          <w:sz w:val="32"/>
          <w:szCs w:val="32"/>
        </w:rPr>
      </w:pPr>
      <w:r>
        <w:rPr>
          <w:rFonts w:hint="eastAsia" w:ascii="宋体" w:hAnsi="宋体"/>
        </w:rPr>
        <w:t>2.4信用记录。开标结束后</w:t>
      </w:r>
      <w:r>
        <w:rPr>
          <w:rFonts w:hint="eastAsia" w:ascii="宋体" w:hAnsi="宋体"/>
          <w:szCs w:val="21"/>
        </w:rPr>
        <w:t>资格审查时，采购人、采购代理机构将对投标人信用记录进行甄别。</w:t>
      </w:r>
    </w:p>
    <w:p w14:paraId="68AA436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（1）信用信息查询的查询渠道：信用中国网（www.creditchina.gov.cn）、中国政府采购网（www.ccgp.gov.cn）；</w:t>
      </w:r>
    </w:p>
    <w:p w14:paraId="09F3CA1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53283A8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（3）联合体形式投标的，联合体成员存在不良信用记录的，视同联合体存在不良信用记录。</w:t>
      </w:r>
    </w:p>
    <w:p w14:paraId="7F91DF6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（4）信用信息查询记录和证据留存具体方式：采购人、采购代理机构</w:t>
      </w:r>
      <w:r>
        <w:rPr>
          <w:rFonts w:ascii="宋体" w:hAnsi="宋体"/>
          <w:szCs w:val="21"/>
        </w:rPr>
        <w:t>经办人将查询网页</w:t>
      </w:r>
      <w:r>
        <w:rPr>
          <w:rFonts w:hint="eastAsia" w:ascii="宋体" w:hAnsi="宋体"/>
          <w:szCs w:val="21"/>
        </w:rPr>
        <w:t>截图、</w:t>
      </w:r>
      <w:r>
        <w:rPr>
          <w:rFonts w:ascii="宋体" w:hAnsi="宋体"/>
          <w:szCs w:val="21"/>
        </w:rPr>
        <w:t>打印、签字</w:t>
      </w:r>
      <w:r>
        <w:rPr>
          <w:rFonts w:hint="eastAsia" w:ascii="宋体" w:hAnsi="宋体"/>
          <w:szCs w:val="21"/>
        </w:rPr>
        <w:t>，作为查询记录和证据，与其他采购文件一并保存。</w:t>
      </w:r>
      <w:r>
        <w:rPr>
          <w:rFonts w:ascii="宋体" w:hAnsi="宋体"/>
          <w:szCs w:val="21"/>
        </w:rPr>
        <w:t>投标人不良信用记录以</w:t>
      </w:r>
      <w:r>
        <w:rPr>
          <w:rFonts w:hint="eastAsia" w:ascii="宋体" w:hAnsi="宋体"/>
          <w:szCs w:val="21"/>
        </w:rPr>
        <w:t>采购人、采购代理机构</w:t>
      </w:r>
      <w:r>
        <w:rPr>
          <w:rFonts w:ascii="宋体" w:hAnsi="宋体"/>
          <w:szCs w:val="21"/>
        </w:rPr>
        <w:t>查询结果为准</w:t>
      </w:r>
      <w:r>
        <w:rPr>
          <w:rFonts w:hint="eastAsia" w:ascii="宋体" w:hAnsi="宋体"/>
          <w:szCs w:val="21"/>
        </w:rPr>
        <w:t>。</w:t>
      </w:r>
    </w:p>
    <w:p w14:paraId="0FC5324F">
      <w:pPr>
        <w:pStyle w:val="4"/>
        <w:spacing w:before="156" w:after="156"/>
        <w:rPr>
          <w:rFonts w:hint="eastAsia" w:ascii="黑体" w:hAnsi="黑体" w:eastAsia="黑体"/>
          <w:sz w:val="24"/>
          <w:szCs w:val="24"/>
        </w:rPr>
      </w:pPr>
      <w:bookmarkStart w:id="45" w:name="_Toc31578"/>
      <w:bookmarkStart w:id="46" w:name="_Toc48"/>
      <w:bookmarkStart w:id="47" w:name="_Toc62206176"/>
      <w:bookmarkStart w:id="48" w:name="_Toc82155400"/>
      <w:r>
        <w:rPr>
          <w:rFonts w:hint="eastAsia" w:ascii="黑体" w:hAnsi="黑体" w:eastAsia="黑体"/>
          <w:sz w:val="24"/>
          <w:szCs w:val="24"/>
        </w:rPr>
        <w:t>2．资格审查（已进行资格预审的）</w:t>
      </w:r>
      <w:bookmarkEnd w:id="45"/>
      <w:bookmarkEnd w:id="46"/>
      <w:bookmarkEnd w:id="47"/>
      <w:bookmarkEnd w:id="48"/>
    </w:p>
    <w:p w14:paraId="555CA5AE">
      <w:pPr>
        <w:adjustRightInd w:val="0"/>
        <w:snapToGrid w:val="0"/>
        <w:spacing w:line="360" w:lineRule="auto"/>
        <w:ind w:firstLine="420" w:firstLineChars="200"/>
        <w:rPr>
          <w:rFonts w:hint="eastAsia" w:ascii="宋体" w:hAnsi="宋体" w:cs="宋体"/>
          <w:kern w:val="0"/>
          <w:lang w:val="zh-CN"/>
        </w:rPr>
      </w:pPr>
      <w:r>
        <w:rPr>
          <w:rFonts w:hint="eastAsia" w:ascii="宋体" w:hAnsi="宋体"/>
        </w:rPr>
        <w:t>2.1供应商若有第二章第</w:t>
      </w:r>
      <w:r>
        <w:rPr>
          <w:rFonts w:ascii="宋体" w:hAnsi="宋体"/>
        </w:rPr>
        <w:t>1</w:t>
      </w:r>
      <w:r>
        <w:rPr>
          <w:rFonts w:hint="eastAsia" w:ascii="宋体" w:hAnsi="宋体"/>
        </w:rPr>
        <w:t>4</w:t>
      </w:r>
      <w:r>
        <w:rPr>
          <w:rFonts w:ascii="宋体" w:hAnsi="宋体"/>
        </w:rPr>
        <w:t>.1</w:t>
      </w:r>
      <w:r>
        <w:rPr>
          <w:rFonts w:hint="eastAsia" w:ascii="宋体" w:hAnsi="宋体"/>
        </w:rPr>
        <w:t>款规定情形，采购人、采购代理机构按该款规定进行审查。</w:t>
      </w:r>
      <w:r>
        <w:rPr>
          <w:rFonts w:hint="eastAsia" w:ascii="宋体" w:hAnsi="宋体"/>
          <w:szCs w:val="21"/>
        </w:rPr>
        <w:t>除本</w:t>
      </w:r>
      <w:r>
        <w:rPr>
          <w:rFonts w:hint="eastAsia" w:ascii="宋体" w:hAnsi="宋体" w:cs="宋体"/>
          <w:kern w:val="0"/>
          <w:szCs w:val="21"/>
          <w:lang w:val="zh-CN"/>
        </w:rPr>
        <w:t>款规定的</w:t>
      </w:r>
      <w:r>
        <w:rPr>
          <w:rFonts w:hint="eastAsia" w:ascii="宋体" w:hAnsi="宋体"/>
        </w:rPr>
        <w:t>情形外，采购人、采购代理机构</w:t>
      </w:r>
      <w:r>
        <w:rPr>
          <w:rFonts w:hint="eastAsia" w:hAnsi="宋体"/>
        </w:rPr>
        <w:t>不再对供应商进行资格审查。</w:t>
      </w:r>
    </w:p>
    <w:p w14:paraId="1E29A141">
      <w:pPr>
        <w:pStyle w:val="4"/>
        <w:adjustRightInd w:val="0"/>
        <w:snapToGrid w:val="0"/>
        <w:spacing w:before="156" w:beforeLines="50" w:after="0" w:line="360" w:lineRule="auto"/>
        <w:rPr>
          <w:rFonts w:hint="eastAsia" w:ascii="黑体" w:hAnsi="黑体" w:eastAsia="黑体"/>
          <w:sz w:val="24"/>
          <w:szCs w:val="24"/>
        </w:rPr>
      </w:pPr>
      <w:bookmarkStart w:id="49" w:name="_Toc2936"/>
      <w:bookmarkStart w:id="50" w:name="_Toc31916"/>
      <w:r>
        <w:rPr>
          <w:rFonts w:hint="eastAsia" w:ascii="黑体" w:hAnsi="黑体" w:eastAsia="黑体"/>
          <w:sz w:val="24"/>
          <w:szCs w:val="24"/>
        </w:rPr>
        <w:t>3．资格审查结果</w:t>
      </w:r>
      <w:bookmarkEnd w:id="49"/>
      <w:bookmarkEnd w:id="50"/>
    </w:p>
    <w:p w14:paraId="0B45E42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3.1未通过资格审查的投标人，采购人、采购代理机构应当告知其未通过的原因。</w:t>
      </w:r>
    </w:p>
    <w:p w14:paraId="2869ECCF">
      <w:pPr>
        <w:adjustRightInd w:val="0"/>
        <w:snapToGrid w:val="0"/>
        <w:spacing w:before="156" w:beforeLines="50" w:line="360" w:lineRule="auto"/>
        <w:ind w:firstLine="420" w:firstLineChars="200"/>
        <w:jc w:val="left"/>
        <w:rPr>
          <w:rFonts w:hint="eastAsia" w:ascii="华文中宋" w:hAnsi="华文中宋" w:eastAsia="华文中宋"/>
          <w:b/>
          <w:bCs/>
          <w:sz w:val="32"/>
        </w:rPr>
      </w:pPr>
      <w:r>
        <w:rPr>
          <w:rFonts w:hint="eastAsia" w:ascii="宋体" w:hAnsi="宋体"/>
          <w:szCs w:val="21"/>
        </w:rPr>
        <w:t>3.2资格审查结束后，采购人、采购代理机构应将资格审查结果告知评标委员会。</w:t>
      </w:r>
      <w:r>
        <w:rPr>
          <w:rFonts w:ascii="华文中宋" w:hAnsi="华文中宋" w:eastAsia="华文中宋"/>
        </w:rPr>
        <w:br w:type="page"/>
      </w:r>
    </w:p>
    <w:p w14:paraId="1E6B83A9">
      <w:pPr>
        <w:keepNext/>
        <w:keepLines/>
        <w:adjustRightInd w:val="0"/>
        <w:snapToGrid w:val="0"/>
        <w:spacing w:line="360" w:lineRule="auto"/>
        <w:outlineLvl w:val="3"/>
        <w:rPr>
          <w:rFonts w:hint="eastAsia" w:ascii="宋体" w:hAnsi="宋体"/>
          <w:b/>
          <w:bCs/>
          <w:szCs w:val="21"/>
        </w:rPr>
      </w:pPr>
      <w:bookmarkStart w:id="51" w:name="_Toc20651210"/>
      <w:bookmarkStart w:id="52" w:name="_Toc12352"/>
      <w:bookmarkStart w:id="53" w:name="_Toc27558"/>
      <w:r>
        <w:rPr>
          <w:rFonts w:hint="eastAsia" w:ascii="宋体" w:hAnsi="宋体"/>
          <w:b/>
          <w:bCs/>
          <w:szCs w:val="21"/>
        </w:rPr>
        <w:t>附表1</w:t>
      </w:r>
      <w:r>
        <w:rPr>
          <w:rFonts w:ascii="宋体" w:hAnsi="宋体"/>
          <w:b/>
          <w:bCs/>
          <w:szCs w:val="21"/>
        </w:rPr>
        <w:t>资格审查表</w:t>
      </w:r>
      <w:bookmarkEnd w:id="51"/>
      <w:bookmarkEnd w:id="52"/>
      <w:bookmarkEnd w:id="53"/>
    </w:p>
    <w:p w14:paraId="2C11C462">
      <w:pPr>
        <w:adjustRightInd w:val="0"/>
        <w:snapToGrid w:val="0"/>
        <w:spacing w:line="360" w:lineRule="auto"/>
        <w:jc w:val="center"/>
        <w:rPr>
          <w:rFonts w:hint="eastAsia" w:ascii="黑体" w:hAnsi="黑体" w:eastAsia="黑体"/>
          <w:b/>
          <w:color w:val="000000"/>
          <w:sz w:val="28"/>
          <w:szCs w:val="28"/>
        </w:rPr>
      </w:pPr>
      <w:r>
        <w:rPr>
          <w:rFonts w:ascii="黑体" w:hAnsi="黑体" w:eastAsia="黑体"/>
          <w:b/>
          <w:color w:val="000000"/>
          <w:sz w:val="28"/>
          <w:szCs w:val="28"/>
        </w:rPr>
        <w:t>资格审查表</w:t>
      </w:r>
    </w:p>
    <w:p w14:paraId="1B05C493">
      <w:pPr>
        <w:pStyle w:val="45"/>
      </w:pPr>
    </w:p>
    <w:p w14:paraId="1D9D9536">
      <w:pPr>
        <w:adjustRightInd w:val="0"/>
        <w:snapToGrid w:val="0"/>
        <w:spacing w:line="360" w:lineRule="auto"/>
        <w:rPr>
          <w:rFonts w:hint="eastAsia" w:ascii="宋体" w:hAnsi="宋体"/>
          <w:szCs w:val="21"/>
        </w:rPr>
      </w:pPr>
      <w:bookmarkStart w:id="54" w:name="_Toc280"/>
      <w:r>
        <w:rPr>
          <w:rFonts w:hint="eastAsia" w:ascii="宋体" w:hAnsi="宋体"/>
          <w:szCs w:val="21"/>
        </w:rPr>
        <w:t xml:space="preserve">项目名称：            </w:t>
      </w:r>
    </w:p>
    <w:p w14:paraId="45E1C70C">
      <w:pPr>
        <w:adjustRightInd w:val="0"/>
        <w:snapToGrid w:val="0"/>
        <w:spacing w:line="360" w:lineRule="auto"/>
        <w:rPr>
          <w:rFonts w:hint="eastAsia" w:ascii="宋体" w:hAnsi="宋体"/>
          <w:szCs w:val="21"/>
        </w:rPr>
      </w:pPr>
      <w:r>
        <w:rPr>
          <w:rFonts w:hint="eastAsia" w:ascii="宋体" w:hAnsi="宋体"/>
          <w:szCs w:val="21"/>
          <w:lang w:eastAsia="zh-CN"/>
        </w:rPr>
        <w:t>政府采购计划编号</w:t>
      </w:r>
      <w:r>
        <w:rPr>
          <w:rFonts w:hint="eastAsia" w:ascii="宋体" w:hAnsi="宋体"/>
          <w:szCs w:val="21"/>
        </w:rPr>
        <w:t xml:space="preserve">： </w:t>
      </w:r>
    </w:p>
    <w:tbl>
      <w:tblPr>
        <w:tblStyle w:val="46"/>
        <w:tblW w:w="893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0"/>
        <w:gridCol w:w="2118"/>
        <w:gridCol w:w="6009"/>
      </w:tblGrid>
      <w:tr w14:paraId="688684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810" w:type="dxa"/>
            <w:noWrap w:val="0"/>
            <w:vAlign w:val="center"/>
          </w:tcPr>
          <w:p w14:paraId="510B8B5D">
            <w:pPr>
              <w:adjustRightInd w:val="0"/>
              <w:snapToGrid w:val="0"/>
              <w:jc w:val="center"/>
              <w:rPr>
                <w:rFonts w:ascii="宋体" w:hAnsi="宋体"/>
                <w:b/>
                <w:kern w:val="0"/>
                <w:szCs w:val="21"/>
              </w:rPr>
            </w:pPr>
            <w:r>
              <w:rPr>
                <w:rFonts w:hint="eastAsia" w:ascii="宋体" w:hAnsi="宋体"/>
                <w:b/>
                <w:kern w:val="0"/>
                <w:szCs w:val="21"/>
              </w:rPr>
              <w:t>序号</w:t>
            </w:r>
          </w:p>
        </w:tc>
        <w:tc>
          <w:tcPr>
            <w:tcW w:w="2118" w:type="dxa"/>
            <w:noWrap w:val="0"/>
            <w:vAlign w:val="center"/>
          </w:tcPr>
          <w:p w14:paraId="34B9FEA2">
            <w:pPr>
              <w:adjustRightInd w:val="0"/>
              <w:snapToGrid w:val="0"/>
              <w:jc w:val="center"/>
              <w:rPr>
                <w:rFonts w:ascii="宋体" w:hAnsi="宋体"/>
                <w:b/>
                <w:kern w:val="0"/>
                <w:szCs w:val="21"/>
              </w:rPr>
            </w:pPr>
            <w:r>
              <w:rPr>
                <w:rFonts w:hint="eastAsia" w:ascii="宋体" w:hAnsi="宋体"/>
                <w:b/>
                <w:kern w:val="0"/>
                <w:szCs w:val="21"/>
              </w:rPr>
              <w:t>审查项目</w:t>
            </w:r>
          </w:p>
        </w:tc>
        <w:tc>
          <w:tcPr>
            <w:tcW w:w="6009" w:type="dxa"/>
            <w:noWrap w:val="0"/>
            <w:vAlign w:val="center"/>
          </w:tcPr>
          <w:p w14:paraId="2F0C9F7B">
            <w:pPr>
              <w:adjustRightInd w:val="0"/>
              <w:snapToGrid w:val="0"/>
              <w:jc w:val="center"/>
              <w:rPr>
                <w:rFonts w:ascii="宋体" w:hAnsi="宋体"/>
                <w:b/>
                <w:kern w:val="0"/>
                <w:szCs w:val="21"/>
              </w:rPr>
            </w:pPr>
            <w:r>
              <w:rPr>
                <w:rFonts w:hint="eastAsia" w:ascii="宋体" w:hAnsi="宋体"/>
                <w:b/>
                <w:kern w:val="0"/>
                <w:szCs w:val="21"/>
              </w:rPr>
              <w:t>审查标准</w:t>
            </w:r>
          </w:p>
        </w:tc>
      </w:tr>
      <w:tr w14:paraId="66007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810" w:type="dxa"/>
            <w:noWrap w:val="0"/>
            <w:vAlign w:val="center"/>
          </w:tcPr>
          <w:p w14:paraId="351BC27C">
            <w:pPr>
              <w:adjustRightInd w:val="0"/>
              <w:snapToGrid w:val="0"/>
              <w:jc w:val="center"/>
              <w:rPr>
                <w:rFonts w:ascii="宋体" w:hAnsi="宋体"/>
                <w:kern w:val="0"/>
                <w:sz w:val="18"/>
                <w:szCs w:val="18"/>
              </w:rPr>
            </w:pPr>
            <w:r>
              <w:rPr>
                <w:rFonts w:hint="eastAsia" w:ascii="宋体" w:hAnsi="宋体"/>
                <w:kern w:val="0"/>
                <w:sz w:val="18"/>
                <w:szCs w:val="18"/>
              </w:rPr>
              <w:t>1</w:t>
            </w:r>
          </w:p>
        </w:tc>
        <w:tc>
          <w:tcPr>
            <w:tcW w:w="2118" w:type="dxa"/>
            <w:noWrap w:val="0"/>
            <w:vAlign w:val="center"/>
          </w:tcPr>
          <w:p w14:paraId="329A4BD0">
            <w:pPr>
              <w:adjustRightInd w:val="0"/>
              <w:snapToGrid w:val="0"/>
              <w:jc w:val="center"/>
              <w:rPr>
                <w:rFonts w:ascii="宋体" w:hAnsi="宋体" w:eastAsia="宋体"/>
                <w:szCs w:val="21"/>
              </w:rPr>
            </w:pPr>
            <w:r>
              <w:rPr>
                <w:rFonts w:hint="eastAsia" w:ascii="宋体" w:hAnsi="宋体" w:eastAsia="宋体"/>
                <w:szCs w:val="21"/>
              </w:rPr>
              <w:t>营业执照</w:t>
            </w:r>
          </w:p>
        </w:tc>
        <w:tc>
          <w:tcPr>
            <w:tcW w:w="6009" w:type="dxa"/>
            <w:noWrap w:val="0"/>
            <w:vAlign w:val="center"/>
          </w:tcPr>
          <w:p w14:paraId="4EBE0E21">
            <w:pPr>
              <w:adjustRightInd w:val="0"/>
              <w:snapToGrid w:val="0"/>
              <w:rPr>
                <w:rFonts w:ascii="宋体" w:hAnsi="宋体" w:eastAsia="宋体"/>
                <w:szCs w:val="21"/>
              </w:rPr>
            </w:pPr>
            <w:r>
              <w:rPr>
                <w:rFonts w:hint="eastAsia" w:ascii="宋体" w:hAnsi="宋体" w:eastAsia="宋体" w:cs="宋体"/>
              </w:rPr>
              <w:t>法人或者其他组织的营业执照等主体资格证明文件，自然人的身份证明</w:t>
            </w:r>
          </w:p>
        </w:tc>
      </w:tr>
      <w:tr w14:paraId="7DABA0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7" w:hRule="atLeast"/>
          <w:jc w:val="center"/>
        </w:trPr>
        <w:tc>
          <w:tcPr>
            <w:tcW w:w="810" w:type="dxa"/>
            <w:noWrap w:val="0"/>
            <w:vAlign w:val="center"/>
          </w:tcPr>
          <w:p w14:paraId="027CC73E">
            <w:pPr>
              <w:adjustRightInd w:val="0"/>
              <w:snapToGrid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2</w:t>
            </w:r>
          </w:p>
        </w:tc>
        <w:tc>
          <w:tcPr>
            <w:tcW w:w="2118" w:type="dxa"/>
            <w:noWrap w:val="0"/>
            <w:vAlign w:val="center"/>
          </w:tcPr>
          <w:p w14:paraId="4686D5FD">
            <w:pPr>
              <w:adjustRightInd w:val="0"/>
              <w:snapToGrid w:val="0"/>
              <w:jc w:val="center"/>
              <w:rPr>
                <w:rFonts w:hint="eastAsia" w:ascii="宋体" w:hAnsi="宋体" w:eastAsia="宋体"/>
                <w:szCs w:val="21"/>
              </w:rPr>
            </w:pPr>
            <w:r>
              <w:rPr>
                <w:rStyle w:val="131"/>
              </w:rPr>
              <w:t>法定代表人</w:t>
            </w:r>
            <w:r>
              <w:rPr>
                <w:rFonts w:hint="eastAsia"/>
              </w:rPr>
              <w:t>（单位负责人）</w:t>
            </w:r>
            <w:r>
              <w:rPr>
                <w:rStyle w:val="131"/>
              </w:rPr>
              <w:t>身份证明或授权委托书</w:t>
            </w:r>
          </w:p>
        </w:tc>
        <w:tc>
          <w:tcPr>
            <w:tcW w:w="6009" w:type="dxa"/>
            <w:noWrap w:val="0"/>
            <w:vAlign w:val="center"/>
          </w:tcPr>
          <w:p w14:paraId="4B678D9F">
            <w:pPr>
              <w:adjustRightInd w:val="0"/>
              <w:snapToGrid w:val="0"/>
              <w:rPr>
                <w:rFonts w:hint="eastAsia" w:ascii="宋体" w:hAnsi="宋体" w:eastAsia="宋体"/>
                <w:szCs w:val="21"/>
              </w:rPr>
            </w:pPr>
            <w:r>
              <w:rPr>
                <w:rFonts w:hint="eastAsia" w:ascii="宋体" w:hAnsi="宋体" w:eastAsia="宋体" w:cs="宋体"/>
              </w:rPr>
              <w:t>提交法定代表人（单位负责人）身份证明原件</w:t>
            </w:r>
            <w:r>
              <w:rPr>
                <w:rFonts w:hint="eastAsia" w:ascii="宋体" w:hAnsi="宋体" w:eastAsia="宋体" w:cs="宋体"/>
                <w:lang w:eastAsia="zh-CN"/>
              </w:rPr>
              <w:t>扫描件</w:t>
            </w:r>
            <w:r>
              <w:rPr>
                <w:rFonts w:hint="eastAsia" w:ascii="宋体" w:hAnsi="宋体" w:eastAsia="宋体" w:cs="宋体"/>
              </w:rPr>
              <w:t>或者法定代表人（单位负责人）授权委托书原件</w:t>
            </w:r>
            <w:r>
              <w:rPr>
                <w:rFonts w:hint="eastAsia" w:ascii="宋体" w:hAnsi="宋体" w:eastAsia="宋体" w:cs="宋体"/>
                <w:lang w:eastAsia="zh-CN"/>
              </w:rPr>
              <w:t>扫描件</w:t>
            </w:r>
            <w:r>
              <w:rPr>
                <w:rFonts w:hint="eastAsia" w:ascii="宋体" w:hAnsi="宋体" w:eastAsia="宋体" w:cs="宋体"/>
              </w:rPr>
              <w:t>并附法定代表人身份证明原件</w:t>
            </w:r>
            <w:r>
              <w:rPr>
                <w:rFonts w:hint="eastAsia" w:ascii="宋体" w:hAnsi="宋体" w:eastAsia="宋体" w:cs="宋体"/>
                <w:lang w:eastAsia="zh-CN"/>
              </w:rPr>
              <w:t>扫描件</w:t>
            </w:r>
            <w:r>
              <w:rPr>
                <w:rFonts w:hint="eastAsia" w:ascii="宋体" w:hAnsi="宋体" w:eastAsia="宋体" w:cs="宋体"/>
              </w:rPr>
              <w:t>，自然人提交身份证复印件</w:t>
            </w:r>
          </w:p>
        </w:tc>
      </w:tr>
      <w:tr w14:paraId="570298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810" w:type="dxa"/>
            <w:noWrap w:val="0"/>
            <w:vAlign w:val="center"/>
          </w:tcPr>
          <w:p w14:paraId="61A23B69">
            <w:pPr>
              <w:adjustRightInd w:val="0"/>
              <w:snapToGrid w:val="0"/>
              <w:jc w:val="center"/>
              <w:rPr>
                <w:rFonts w:ascii="宋体" w:hAnsi="宋体" w:eastAsia="宋体" w:cs="Times New Roman"/>
                <w:kern w:val="0"/>
                <w:sz w:val="18"/>
                <w:szCs w:val="18"/>
                <w:lang w:val="en-US" w:eastAsia="zh-CN" w:bidi="ar-SA"/>
              </w:rPr>
            </w:pPr>
            <w:r>
              <w:rPr>
                <w:rFonts w:hint="eastAsia" w:ascii="宋体" w:hAnsi="宋体"/>
                <w:kern w:val="0"/>
                <w:sz w:val="18"/>
                <w:szCs w:val="18"/>
              </w:rPr>
              <w:t>3</w:t>
            </w:r>
          </w:p>
        </w:tc>
        <w:tc>
          <w:tcPr>
            <w:tcW w:w="2118" w:type="dxa"/>
            <w:noWrap w:val="0"/>
            <w:vAlign w:val="center"/>
          </w:tcPr>
          <w:p w14:paraId="6830CD18">
            <w:pPr>
              <w:adjustRightInd w:val="0"/>
              <w:snapToGrid w:val="0"/>
              <w:jc w:val="center"/>
              <w:rPr>
                <w:rFonts w:ascii="宋体" w:hAnsi="宋体" w:eastAsia="宋体"/>
                <w:szCs w:val="21"/>
              </w:rPr>
            </w:pPr>
            <w:r>
              <w:rPr>
                <w:rFonts w:hint="eastAsia"/>
                <w:lang w:val="en-US" w:eastAsia="zh-CN"/>
              </w:rPr>
              <w:t>供应商资格承诺函</w:t>
            </w:r>
          </w:p>
        </w:tc>
        <w:tc>
          <w:tcPr>
            <w:tcW w:w="6009" w:type="dxa"/>
            <w:noWrap w:val="0"/>
            <w:vAlign w:val="center"/>
          </w:tcPr>
          <w:p w14:paraId="0CD4D4D0">
            <w:pPr>
              <w:adjustRightInd w:val="0"/>
              <w:snapToGrid w:val="0"/>
              <w:rPr>
                <w:rFonts w:ascii="宋体" w:hAnsi="宋体" w:eastAsia="宋体"/>
                <w:szCs w:val="21"/>
              </w:rPr>
            </w:pPr>
            <w:r>
              <w:rPr>
                <w:rFonts w:hint="eastAsia"/>
                <w:lang w:val="en-US" w:eastAsia="zh-CN"/>
              </w:rPr>
              <w:t>湖南省政府采购供应商资格承诺函</w:t>
            </w:r>
          </w:p>
        </w:tc>
      </w:tr>
      <w:tr w14:paraId="7B1850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810" w:type="dxa"/>
            <w:noWrap w:val="0"/>
            <w:vAlign w:val="center"/>
          </w:tcPr>
          <w:p w14:paraId="4A704020">
            <w:pPr>
              <w:adjustRightInd w:val="0"/>
              <w:snapToGrid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lang w:val="en-US" w:eastAsia="zh-CN"/>
              </w:rPr>
              <w:t>4</w:t>
            </w:r>
          </w:p>
        </w:tc>
        <w:tc>
          <w:tcPr>
            <w:tcW w:w="2118" w:type="dxa"/>
            <w:noWrap w:val="0"/>
            <w:vAlign w:val="center"/>
          </w:tcPr>
          <w:p w14:paraId="255831C8">
            <w:pPr>
              <w:adjustRightInd w:val="0"/>
              <w:snapToGrid w:val="0"/>
              <w:jc w:val="center"/>
              <w:rPr>
                <w:rFonts w:hint="eastAsia"/>
                <w:lang w:val="en-US" w:eastAsia="zh-CN"/>
              </w:rPr>
            </w:pPr>
            <w:r>
              <w:rPr>
                <w:rFonts w:hint="eastAsia"/>
                <w:lang w:val="en-US" w:eastAsia="zh-CN"/>
              </w:rPr>
              <w:t>投标人资格声明</w:t>
            </w:r>
          </w:p>
        </w:tc>
        <w:tc>
          <w:tcPr>
            <w:tcW w:w="6009" w:type="dxa"/>
            <w:noWrap w:val="0"/>
            <w:vAlign w:val="center"/>
          </w:tcPr>
          <w:p w14:paraId="2E240EF2">
            <w:pPr>
              <w:adjustRightInd w:val="0"/>
              <w:snapToGrid w:val="0"/>
              <w:rPr>
                <w:rFonts w:hint="eastAsia"/>
                <w:lang w:val="en-US" w:eastAsia="zh-CN"/>
              </w:rPr>
            </w:pPr>
            <w:r>
              <w:rPr>
                <w:rFonts w:hint="eastAsia"/>
                <w:lang w:val="en-US" w:eastAsia="zh-CN"/>
              </w:rPr>
              <w:t>投标人资格声明</w:t>
            </w:r>
          </w:p>
        </w:tc>
      </w:tr>
      <w:tr w14:paraId="0805A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810" w:type="dxa"/>
            <w:shd w:val="clear" w:color="auto" w:fill="auto"/>
            <w:noWrap w:val="0"/>
            <w:vAlign w:val="center"/>
          </w:tcPr>
          <w:p w14:paraId="13C9386C">
            <w:pPr>
              <w:adjustRightInd w:val="0"/>
              <w:snapToGrid w:val="0"/>
              <w:jc w:val="center"/>
              <w:rPr>
                <w:rFonts w:hint="eastAsia" w:ascii="宋体" w:hAnsi="宋体" w:eastAsia="宋体" w:cs="Times New Roman"/>
                <w:kern w:val="0"/>
                <w:sz w:val="18"/>
                <w:szCs w:val="18"/>
                <w:lang w:val="en-US" w:eastAsia="zh-CN" w:bidi="ar-SA"/>
              </w:rPr>
            </w:pPr>
            <w:r>
              <w:rPr>
                <w:rFonts w:hint="eastAsia" w:ascii="宋体" w:hAnsi="宋体" w:eastAsia="宋体" w:cs="Times New Roman"/>
                <w:kern w:val="0"/>
                <w:sz w:val="18"/>
                <w:szCs w:val="18"/>
                <w:lang w:val="en-US" w:eastAsia="zh-CN" w:bidi="ar-SA"/>
              </w:rPr>
              <w:t>5</w:t>
            </w:r>
          </w:p>
        </w:tc>
        <w:tc>
          <w:tcPr>
            <w:tcW w:w="2118" w:type="dxa"/>
            <w:noWrap w:val="0"/>
            <w:vAlign w:val="center"/>
          </w:tcPr>
          <w:p w14:paraId="31C0F4D1">
            <w:pPr>
              <w:adjustRightInd w:val="0"/>
              <w:snapToGrid w:val="0"/>
              <w:jc w:val="center"/>
              <w:rPr>
                <w:rFonts w:hint="eastAsia"/>
                <w:lang w:val="en-US" w:eastAsia="zh-CN"/>
              </w:rPr>
            </w:pPr>
            <w:r>
              <w:rPr>
                <w:rFonts w:hint="eastAsia" w:ascii="宋体" w:hAnsi="宋体" w:cs="宋体"/>
                <w:szCs w:val="21"/>
              </w:rPr>
              <w:t>落实政府采购政策需满足的资格要求</w:t>
            </w:r>
          </w:p>
        </w:tc>
        <w:tc>
          <w:tcPr>
            <w:tcW w:w="6009" w:type="dxa"/>
            <w:noWrap w:val="0"/>
            <w:vAlign w:val="center"/>
          </w:tcPr>
          <w:p w14:paraId="35125A72">
            <w:pPr>
              <w:adjustRightInd w:val="0"/>
              <w:snapToGrid w:val="0"/>
              <w:rPr>
                <w:rFonts w:hint="eastAsia"/>
                <w:lang w:val="en-US" w:eastAsia="zh-CN"/>
              </w:rPr>
            </w:pPr>
            <w:r>
              <w:rPr>
                <w:rFonts w:hint="eastAsia" w:ascii="宋体" w:hAnsi="宋体" w:cs="宋体"/>
                <w:lang w:val="en-US" w:eastAsia="zh-CN"/>
              </w:rPr>
              <w:t>投标人</w:t>
            </w:r>
            <w:r>
              <w:rPr>
                <w:rFonts w:hint="eastAsia" w:ascii="宋体" w:hAnsi="宋体" w:cs="宋体"/>
              </w:rPr>
              <w:t>是否为中小企业，是否</w:t>
            </w:r>
            <w:r>
              <w:rPr>
                <w:rFonts w:hint="eastAsia" w:ascii="宋体" w:hAnsi="宋体" w:cs="宋体"/>
                <w:szCs w:val="21"/>
              </w:rPr>
              <w:t>提供中小企业声明函</w:t>
            </w:r>
          </w:p>
        </w:tc>
      </w:tr>
      <w:tr w14:paraId="233274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6" w:hRule="atLeast"/>
          <w:jc w:val="center"/>
        </w:trPr>
        <w:tc>
          <w:tcPr>
            <w:tcW w:w="810" w:type="dxa"/>
            <w:shd w:val="clear" w:color="auto" w:fill="auto"/>
            <w:noWrap w:val="0"/>
            <w:vAlign w:val="center"/>
          </w:tcPr>
          <w:p w14:paraId="0918775B">
            <w:pPr>
              <w:adjustRightInd w:val="0"/>
              <w:snapToGrid w:val="0"/>
              <w:jc w:val="center"/>
              <w:rPr>
                <w:rFonts w:hint="default" w:ascii="宋体" w:hAnsi="宋体" w:eastAsia="宋体" w:cs="Times New Roman"/>
                <w:kern w:val="0"/>
                <w:sz w:val="18"/>
                <w:szCs w:val="18"/>
                <w:lang w:val="en-US" w:eastAsia="zh-CN" w:bidi="ar-SA"/>
              </w:rPr>
            </w:pPr>
            <w:r>
              <w:rPr>
                <w:rFonts w:hint="eastAsia" w:ascii="宋体" w:hAnsi="宋体"/>
                <w:kern w:val="0"/>
                <w:sz w:val="18"/>
                <w:szCs w:val="18"/>
              </w:rPr>
              <w:t>6</w:t>
            </w:r>
          </w:p>
        </w:tc>
        <w:tc>
          <w:tcPr>
            <w:tcW w:w="2118" w:type="dxa"/>
            <w:noWrap w:val="0"/>
            <w:vAlign w:val="center"/>
          </w:tcPr>
          <w:p w14:paraId="7FB08E68">
            <w:pPr>
              <w:adjustRightInd w:val="0"/>
              <w:snapToGrid w:val="0"/>
              <w:jc w:val="center"/>
              <w:rPr>
                <w:rFonts w:hint="eastAsia" w:ascii="宋体" w:hAnsi="宋体" w:eastAsia="宋体" w:cs="Times New Roman"/>
                <w:kern w:val="2"/>
                <w:sz w:val="21"/>
                <w:szCs w:val="21"/>
                <w:lang w:val="en-US" w:eastAsia="zh-CN" w:bidi="ar-SA"/>
              </w:rPr>
            </w:pPr>
            <w:r>
              <w:rPr>
                <w:rStyle w:val="131"/>
                <w:rFonts w:hint="eastAsia"/>
              </w:rPr>
              <w:t>信用信息记录</w:t>
            </w:r>
          </w:p>
        </w:tc>
        <w:tc>
          <w:tcPr>
            <w:tcW w:w="6009" w:type="dxa"/>
            <w:noWrap w:val="0"/>
            <w:vAlign w:val="center"/>
          </w:tcPr>
          <w:p w14:paraId="0324EDD2">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cs="宋体"/>
              </w:rPr>
              <w:t>列入失信被执行人、重大税收违法失信主体名单</w:t>
            </w:r>
            <w:r>
              <w:rPr>
                <w:rFonts w:hint="eastAsia" w:ascii="宋体" w:hAnsi="宋体" w:eastAsia="宋体" w:cs="宋体"/>
                <w:lang w:eastAsia="zh-CN"/>
              </w:rPr>
              <w:t>、</w:t>
            </w:r>
            <w:r>
              <w:rPr>
                <w:rFonts w:hint="eastAsia" w:ascii="宋体" w:hAnsi="宋体" w:eastAsia="宋体" w:cs="宋体"/>
              </w:rPr>
              <w:t>政府采购严重违法失信行为记录名单的，拒绝其参与政府采购活动（提供“信用中国”网站（www.creditchina.gov.cn）、中国政府采购网（www.ccgp.gov.cn）网上查询</w:t>
            </w:r>
            <w:r>
              <w:rPr>
                <w:rFonts w:hint="eastAsia" w:ascii="宋体" w:hAnsi="宋体" w:eastAsia="宋体" w:cs="宋体"/>
                <w:bCs/>
                <w:iCs/>
              </w:rPr>
              <w:t>结果截图打印件</w:t>
            </w:r>
            <w:r>
              <w:rPr>
                <w:rFonts w:hint="eastAsia" w:ascii="宋体" w:hAnsi="宋体" w:eastAsia="宋体" w:cs="宋体"/>
              </w:rPr>
              <w:t>加盖公章）。</w:t>
            </w:r>
          </w:p>
        </w:tc>
      </w:tr>
      <w:tr w14:paraId="594736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6" w:hRule="atLeast"/>
          <w:jc w:val="center"/>
        </w:trPr>
        <w:tc>
          <w:tcPr>
            <w:tcW w:w="810" w:type="dxa"/>
            <w:shd w:val="clear" w:color="auto" w:fill="auto"/>
            <w:noWrap w:val="0"/>
            <w:vAlign w:val="center"/>
          </w:tcPr>
          <w:p w14:paraId="043C39DE">
            <w:pPr>
              <w:adjustRightInd w:val="0"/>
              <w:snapToGrid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7</w:t>
            </w:r>
          </w:p>
        </w:tc>
        <w:tc>
          <w:tcPr>
            <w:tcW w:w="2118" w:type="dxa"/>
            <w:noWrap w:val="0"/>
            <w:vAlign w:val="center"/>
          </w:tcPr>
          <w:p w14:paraId="6746C3D7">
            <w:pPr>
              <w:adjustRightInd w:val="0"/>
              <w:snapToGrid w:val="0"/>
              <w:jc w:val="center"/>
              <w:rPr>
                <w:rStyle w:val="131"/>
                <w:rFonts w:hint="eastAsia"/>
              </w:rPr>
            </w:pPr>
            <w:r>
              <w:rPr>
                <w:rStyle w:val="131"/>
              </w:rPr>
              <w:t>特定资格条件</w:t>
            </w:r>
          </w:p>
        </w:tc>
        <w:tc>
          <w:tcPr>
            <w:tcW w:w="6009" w:type="dxa"/>
            <w:noWrap w:val="0"/>
            <w:vAlign w:val="center"/>
          </w:tcPr>
          <w:p w14:paraId="697891B1">
            <w:pPr>
              <w:adjustRightInd w:val="0"/>
              <w:snapToGrid w:val="0"/>
              <w:jc w:val="left"/>
              <w:rPr>
                <w:rFonts w:hint="eastAsia" w:eastAsia="宋体"/>
                <w:lang w:eastAsia="zh-CN"/>
              </w:rPr>
            </w:pPr>
            <w:r>
              <w:rPr>
                <w:rFonts w:hint="eastAsia" w:ascii="宋体" w:hAnsi="宋体"/>
                <w:color w:val="auto"/>
                <w:szCs w:val="21"/>
                <w:lang w:eastAsia="zh-CN"/>
              </w:rPr>
              <w:t>是否满足招标文件规定的特定资格条件。</w:t>
            </w:r>
            <w:r>
              <w:rPr>
                <w:rFonts w:hint="eastAsia" w:ascii="宋体" w:hAnsi="宋体"/>
                <w:color w:val="auto"/>
                <w:szCs w:val="21"/>
                <w:lang w:val="en-US" w:eastAsia="zh-CN"/>
              </w:rPr>
              <w:t>本</w:t>
            </w:r>
            <w:r>
              <w:rPr>
                <w:rFonts w:hint="eastAsia" w:ascii="宋体" w:hAnsi="宋体"/>
                <w:szCs w:val="21"/>
              </w:rPr>
              <w:t>采购项目的特定资格条件：</w:t>
            </w:r>
            <w:r>
              <w:rPr>
                <w:rFonts w:hint="eastAsia" w:ascii="宋体" w:hAnsi="宋体" w:cs="宋体"/>
                <w:b w:val="0"/>
                <w:bCs w:val="0"/>
                <w:color w:val="auto"/>
                <w:szCs w:val="21"/>
                <w:u w:val="none"/>
                <w:lang w:eastAsia="zh-CN"/>
              </w:rPr>
              <w:t>无</w:t>
            </w:r>
            <w:r>
              <w:rPr>
                <w:rFonts w:hint="eastAsia" w:ascii="宋体" w:hAnsi="宋体" w:cs="宋体"/>
                <w:b w:val="0"/>
                <w:bCs w:val="0"/>
                <w:szCs w:val="21"/>
              </w:rPr>
              <w:t>。</w:t>
            </w:r>
          </w:p>
        </w:tc>
      </w:tr>
      <w:tr w14:paraId="42092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810" w:type="dxa"/>
            <w:shd w:val="clear" w:color="auto" w:fill="auto"/>
            <w:noWrap w:val="0"/>
            <w:vAlign w:val="center"/>
          </w:tcPr>
          <w:p w14:paraId="68C101DC">
            <w:pPr>
              <w:adjustRightInd w:val="0"/>
              <w:snapToGrid w:val="0"/>
              <w:jc w:val="center"/>
              <w:rPr>
                <w:rFonts w:hint="default" w:ascii="宋体" w:hAnsi="宋体" w:eastAsia="宋体" w:cs="Times New Roman"/>
                <w:kern w:val="0"/>
                <w:sz w:val="18"/>
                <w:szCs w:val="18"/>
                <w:lang w:val="en-US" w:eastAsia="zh-CN" w:bidi="ar-SA"/>
              </w:rPr>
            </w:pPr>
            <w:r>
              <w:rPr>
                <w:rFonts w:hint="eastAsia" w:ascii="宋体" w:hAnsi="宋体" w:eastAsia="宋体" w:cs="Times New Roman"/>
                <w:kern w:val="0"/>
                <w:sz w:val="18"/>
                <w:szCs w:val="18"/>
                <w:lang w:val="en-US" w:eastAsia="zh-CN" w:bidi="ar-SA"/>
              </w:rPr>
              <w:t>8</w:t>
            </w:r>
          </w:p>
        </w:tc>
        <w:tc>
          <w:tcPr>
            <w:tcW w:w="2118" w:type="dxa"/>
            <w:noWrap w:val="0"/>
            <w:vAlign w:val="center"/>
          </w:tcPr>
          <w:p w14:paraId="723A61C8">
            <w:pPr>
              <w:adjustRightInd w:val="0"/>
              <w:snapToGrid w:val="0"/>
              <w:jc w:val="center"/>
              <w:rPr>
                <w:rFonts w:ascii="宋体" w:hAnsi="宋体" w:eastAsia="宋体" w:cs="Times New Roman"/>
                <w:kern w:val="2"/>
                <w:sz w:val="21"/>
                <w:szCs w:val="21"/>
                <w:lang w:val="en-US" w:eastAsia="zh-CN" w:bidi="ar-SA"/>
              </w:rPr>
            </w:pPr>
            <w:r>
              <w:rPr>
                <w:rFonts w:hint="eastAsia" w:ascii="宋体" w:hAnsi="宋体" w:eastAsia="宋体"/>
                <w:szCs w:val="21"/>
              </w:rPr>
              <w:t>投标报价</w:t>
            </w:r>
          </w:p>
        </w:tc>
        <w:tc>
          <w:tcPr>
            <w:tcW w:w="6009" w:type="dxa"/>
            <w:noWrap w:val="0"/>
            <w:vAlign w:val="center"/>
          </w:tcPr>
          <w:p w14:paraId="408650FB">
            <w:pPr>
              <w:adjustRightInd w:val="0"/>
              <w:snapToGrid w:val="0"/>
              <w:rPr>
                <w:rFonts w:ascii="宋体" w:hAnsi="宋体" w:eastAsia="宋体" w:cs="Times New Roman"/>
                <w:kern w:val="2"/>
                <w:sz w:val="21"/>
                <w:szCs w:val="21"/>
                <w:lang w:val="en-US" w:eastAsia="zh-CN" w:bidi="ar-SA"/>
              </w:rPr>
            </w:pPr>
            <w:r>
              <w:rPr>
                <w:rFonts w:hint="eastAsia" w:ascii="Times New Roman" w:hAnsi="Times New Roman" w:eastAsia="宋体" w:cs="Times New Roman"/>
                <w:color w:val="auto"/>
                <w:kern w:val="2"/>
                <w:sz w:val="21"/>
                <w:szCs w:val="24"/>
                <w:lang w:val="en-US" w:eastAsia="zh-CN" w:bidi="ar-SA"/>
              </w:rPr>
              <w:t>投标报价是否超过采购项目预算</w:t>
            </w:r>
          </w:p>
        </w:tc>
      </w:tr>
      <w:tr w14:paraId="79A93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2" w:hRule="atLeast"/>
          <w:jc w:val="center"/>
        </w:trPr>
        <w:tc>
          <w:tcPr>
            <w:tcW w:w="810" w:type="dxa"/>
            <w:shd w:val="clear" w:color="auto" w:fill="auto"/>
            <w:noWrap w:val="0"/>
            <w:vAlign w:val="center"/>
          </w:tcPr>
          <w:p w14:paraId="5197053E">
            <w:pPr>
              <w:adjustRightInd w:val="0"/>
              <w:snapToGrid w:val="0"/>
              <w:jc w:val="center"/>
              <w:rPr>
                <w:rFonts w:hint="eastAsia" w:ascii="宋体" w:hAnsi="宋体" w:eastAsia="宋体" w:cs="Times New Roman"/>
                <w:kern w:val="0"/>
                <w:sz w:val="18"/>
                <w:szCs w:val="18"/>
                <w:lang w:val="en-US" w:eastAsia="zh-CN" w:bidi="ar-SA"/>
              </w:rPr>
            </w:pPr>
            <w:r>
              <w:rPr>
                <w:rFonts w:hint="eastAsia" w:ascii="宋体" w:hAnsi="宋体" w:eastAsia="宋体" w:cs="Times New Roman"/>
                <w:kern w:val="0"/>
                <w:sz w:val="18"/>
                <w:szCs w:val="18"/>
                <w:lang w:val="en-US" w:eastAsia="zh-CN" w:bidi="ar-SA"/>
              </w:rPr>
              <w:t>9</w:t>
            </w:r>
          </w:p>
        </w:tc>
        <w:tc>
          <w:tcPr>
            <w:tcW w:w="2118" w:type="dxa"/>
            <w:noWrap w:val="0"/>
            <w:vAlign w:val="center"/>
          </w:tcPr>
          <w:p w14:paraId="49F624A9">
            <w:pPr>
              <w:adjustRightInd w:val="0"/>
              <w:snapToGrid w:val="0"/>
              <w:jc w:val="center"/>
              <w:rPr>
                <w:rFonts w:ascii="宋体" w:hAnsi="宋体" w:eastAsia="宋体" w:cs="Times New Roman"/>
                <w:kern w:val="2"/>
                <w:sz w:val="21"/>
                <w:szCs w:val="21"/>
                <w:lang w:val="en-US" w:eastAsia="zh-CN" w:bidi="ar-SA"/>
              </w:rPr>
            </w:pPr>
            <w:r>
              <w:rPr>
                <w:rFonts w:hint="eastAsia" w:ascii="宋体" w:hAnsi="宋体" w:eastAsia="宋体"/>
                <w:szCs w:val="21"/>
              </w:rPr>
              <w:t>资格证明文件的签署、盖章</w:t>
            </w:r>
          </w:p>
        </w:tc>
        <w:tc>
          <w:tcPr>
            <w:tcW w:w="6009" w:type="dxa"/>
            <w:noWrap w:val="0"/>
            <w:vAlign w:val="center"/>
          </w:tcPr>
          <w:p w14:paraId="4F0F38E0">
            <w:pPr>
              <w:adjustRightInd w:val="0"/>
              <w:snapToGrid w:val="0"/>
              <w:rPr>
                <w:rFonts w:ascii="宋体" w:hAnsi="宋体" w:eastAsia="宋体" w:cs="Times New Roman"/>
                <w:kern w:val="2"/>
                <w:sz w:val="21"/>
                <w:szCs w:val="21"/>
                <w:lang w:val="en-US" w:eastAsia="zh-CN" w:bidi="ar-SA"/>
              </w:rPr>
            </w:pPr>
            <w:r>
              <w:rPr>
                <w:rFonts w:hint="eastAsia" w:ascii="宋体" w:hAnsi="宋体" w:eastAsia="宋体"/>
                <w:szCs w:val="21"/>
              </w:rPr>
              <w:t>投标文件的资格证明文件是否按照招标文件要求签署、盖章的</w:t>
            </w:r>
          </w:p>
        </w:tc>
      </w:tr>
      <w:tr w14:paraId="69E2D8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810" w:type="dxa"/>
            <w:noWrap w:val="0"/>
            <w:vAlign w:val="center"/>
          </w:tcPr>
          <w:p w14:paraId="3B40C7B0">
            <w:pPr>
              <w:adjustRightInd w:val="0"/>
              <w:snapToGrid w:val="0"/>
              <w:jc w:val="center"/>
              <w:rPr>
                <w:rFonts w:hint="default" w:ascii="宋体" w:hAnsi="宋体" w:eastAsia="宋体" w:cs="Times New Roman"/>
                <w:kern w:val="0"/>
                <w:sz w:val="18"/>
                <w:szCs w:val="18"/>
                <w:lang w:val="en-US" w:eastAsia="zh-CN" w:bidi="ar-SA"/>
              </w:rPr>
            </w:pPr>
            <w:r>
              <w:rPr>
                <w:rFonts w:hint="eastAsia" w:ascii="宋体" w:hAnsi="宋体" w:cs="Times New Roman"/>
                <w:kern w:val="0"/>
                <w:sz w:val="18"/>
                <w:szCs w:val="18"/>
                <w:lang w:val="en-US" w:eastAsia="zh-CN" w:bidi="ar-SA"/>
              </w:rPr>
              <w:t>10</w:t>
            </w:r>
          </w:p>
        </w:tc>
        <w:tc>
          <w:tcPr>
            <w:tcW w:w="2118" w:type="dxa"/>
            <w:noWrap w:val="0"/>
            <w:vAlign w:val="center"/>
          </w:tcPr>
          <w:p w14:paraId="25F89CC5">
            <w:pPr>
              <w:adjustRightInd w:val="0"/>
              <w:snapToGrid w:val="0"/>
              <w:jc w:val="center"/>
              <w:rPr>
                <w:rFonts w:ascii="宋体" w:hAnsi="宋体" w:eastAsia="宋体" w:cs="Times New Roman"/>
                <w:kern w:val="2"/>
                <w:sz w:val="21"/>
                <w:szCs w:val="21"/>
                <w:lang w:val="en-US" w:eastAsia="zh-CN" w:bidi="ar-SA"/>
              </w:rPr>
            </w:pPr>
            <w:r>
              <w:rPr>
                <w:rFonts w:hint="eastAsia" w:ascii="宋体" w:hAnsi="宋体" w:eastAsia="宋体"/>
                <w:szCs w:val="21"/>
              </w:rPr>
              <w:t>其他</w:t>
            </w:r>
          </w:p>
        </w:tc>
        <w:tc>
          <w:tcPr>
            <w:tcW w:w="6009" w:type="dxa"/>
            <w:noWrap w:val="0"/>
            <w:vAlign w:val="center"/>
          </w:tcPr>
          <w:p w14:paraId="62FE93CA">
            <w:pPr>
              <w:adjustRightInd w:val="0"/>
              <w:snapToGrid w:val="0"/>
              <w:rPr>
                <w:rFonts w:ascii="宋体" w:hAnsi="宋体" w:eastAsia="宋体" w:cs="Times New Roman"/>
                <w:kern w:val="2"/>
                <w:sz w:val="21"/>
                <w:szCs w:val="21"/>
                <w:lang w:val="en-US" w:eastAsia="zh-CN" w:bidi="ar-SA"/>
              </w:rPr>
            </w:pPr>
            <w:r>
              <w:rPr>
                <w:rFonts w:hint="eastAsia" w:ascii="宋体" w:hAnsi="宋体" w:eastAsia="宋体"/>
                <w:szCs w:val="21"/>
              </w:rPr>
              <w:t>法律、法规和招标文件规定的其他投标无效情形的</w:t>
            </w:r>
          </w:p>
        </w:tc>
      </w:tr>
      <w:tr w14:paraId="499407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810" w:type="dxa"/>
            <w:noWrap w:val="0"/>
            <w:vAlign w:val="center"/>
          </w:tcPr>
          <w:p w14:paraId="201D342B">
            <w:pPr>
              <w:adjustRightInd w:val="0"/>
              <w:snapToGrid w:val="0"/>
              <w:jc w:val="center"/>
              <w:rPr>
                <w:rFonts w:ascii="宋体" w:hAnsi="宋体"/>
                <w:kern w:val="0"/>
                <w:sz w:val="18"/>
                <w:szCs w:val="18"/>
              </w:rPr>
            </w:pPr>
            <w:r>
              <w:rPr>
                <w:rFonts w:hint="eastAsia" w:ascii="宋体" w:hAnsi="宋体"/>
                <w:kern w:val="0"/>
                <w:sz w:val="18"/>
                <w:szCs w:val="18"/>
              </w:rPr>
              <w:t>结论</w:t>
            </w:r>
          </w:p>
        </w:tc>
        <w:tc>
          <w:tcPr>
            <w:tcW w:w="8127" w:type="dxa"/>
            <w:gridSpan w:val="2"/>
            <w:noWrap w:val="0"/>
            <w:vAlign w:val="center"/>
          </w:tcPr>
          <w:p w14:paraId="46CCA0A4">
            <w:pPr>
              <w:adjustRightInd w:val="0"/>
              <w:snapToGrid w:val="0"/>
              <w:jc w:val="center"/>
              <w:rPr>
                <w:rFonts w:ascii="宋体" w:hAnsi="宋体"/>
                <w:kern w:val="0"/>
                <w:sz w:val="18"/>
                <w:szCs w:val="18"/>
              </w:rPr>
            </w:pPr>
          </w:p>
        </w:tc>
      </w:tr>
    </w:tbl>
    <w:p w14:paraId="6CA99655">
      <w:pPr>
        <w:pStyle w:val="5"/>
        <w:adjustRightInd w:val="0"/>
        <w:snapToGrid w:val="0"/>
        <w:spacing w:before="0" w:after="0" w:line="360" w:lineRule="auto"/>
        <w:rPr>
          <w:rFonts w:hint="eastAsia" w:ascii="黑体" w:hAnsi="黑体"/>
          <w:b w:val="0"/>
          <w:color w:val="000000"/>
          <w:sz w:val="21"/>
          <w:szCs w:val="21"/>
        </w:rPr>
      </w:pPr>
    </w:p>
    <w:p w14:paraId="49953DE7">
      <w:pPr>
        <w:pStyle w:val="5"/>
        <w:adjustRightInd w:val="0"/>
        <w:snapToGrid w:val="0"/>
        <w:spacing w:before="0" w:after="0" w:line="360" w:lineRule="auto"/>
        <w:rPr>
          <w:rFonts w:hint="eastAsia" w:ascii="黑体" w:hAnsi="黑体"/>
          <w:b w:val="0"/>
          <w:color w:val="000000"/>
          <w:sz w:val="21"/>
          <w:szCs w:val="21"/>
        </w:rPr>
      </w:pPr>
    </w:p>
    <w:p w14:paraId="7847C84E">
      <w:pPr>
        <w:pStyle w:val="5"/>
        <w:adjustRightInd w:val="0"/>
        <w:snapToGrid w:val="0"/>
        <w:spacing w:before="0" w:after="0" w:line="360" w:lineRule="auto"/>
        <w:rPr>
          <w:rFonts w:hint="eastAsia" w:ascii="黑体" w:hAnsi="黑体"/>
          <w:b w:val="0"/>
          <w:color w:val="000000"/>
          <w:sz w:val="21"/>
          <w:szCs w:val="21"/>
        </w:rPr>
      </w:pPr>
    </w:p>
    <w:p w14:paraId="782232F5">
      <w:pPr>
        <w:rPr>
          <w:rFonts w:hint="eastAsia" w:ascii="黑体" w:hAnsi="黑体"/>
          <w:color w:val="000000"/>
          <w:szCs w:val="21"/>
        </w:rPr>
      </w:pPr>
    </w:p>
    <w:p w14:paraId="70E2996C">
      <w:pPr>
        <w:rPr>
          <w:rFonts w:hint="eastAsia" w:ascii="黑体" w:hAnsi="黑体"/>
          <w:color w:val="000000"/>
          <w:szCs w:val="21"/>
        </w:rPr>
      </w:pPr>
    </w:p>
    <w:p w14:paraId="4BA838A5">
      <w:pPr>
        <w:pStyle w:val="5"/>
        <w:adjustRightInd w:val="0"/>
        <w:snapToGrid w:val="0"/>
        <w:spacing w:before="0" w:after="0" w:line="360" w:lineRule="auto"/>
        <w:rPr>
          <w:rFonts w:hint="eastAsia" w:ascii="黑体" w:hAnsi="黑体"/>
          <w:b w:val="0"/>
          <w:color w:val="000000"/>
          <w:sz w:val="21"/>
          <w:szCs w:val="21"/>
        </w:rPr>
      </w:pPr>
      <w:bookmarkStart w:id="55" w:name="_Toc13530"/>
      <w:r>
        <w:rPr>
          <w:rFonts w:hint="eastAsia" w:ascii="黑体" w:hAnsi="黑体"/>
          <w:b w:val="0"/>
          <w:color w:val="000000"/>
          <w:sz w:val="21"/>
          <w:szCs w:val="21"/>
        </w:rPr>
        <w:t>附表2 资格审查结果一览表</w:t>
      </w:r>
      <w:bookmarkEnd w:id="54"/>
      <w:bookmarkEnd w:id="55"/>
    </w:p>
    <w:p w14:paraId="219D2FC2">
      <w:pPr>
        <w:adjustRightInd w:val="0"/>
        <w:snapToGrid w:val="0"/>
        <w:spacing w:line="360" w:lineRule="auto"/>
        <w:jc w:val="center"/>
        <w:rPr>
          <w:rFonts w:hint="eastAsia" w:ascii="黑体" w:hAnsi="黑体" w:eastAsia="黑体"/>
          <w:b/>
          <w:color w:val="000000"/>
          <w:sz w:val="28"/>
          <w:szCs w:val="28"/>
        </w:rPr>
      </w:pPr>
      <w:r>
        <w:rPr>
          <w:rFonts w:hint="eastAsia" w:ascii="黑体" w:hAnsi="黑体" w:eastAsia="黑体"/>
          <w:b/>
          <w:color w:val="000000"/>
          <w:sz w:val="28"/>
          <w:szCs w:val="28"/>
        </w:rPr>
        <w:t>资格审查结果一览表</w:t>
      </w:r>
    </w:p>
    <w:p w14:paraId="10A58C11">
      <w:pPr>
        <w:pStyle w:val="45"/>
      </w:pPr>
    </w:p>
    <w:p w14:paraId="55F55834">
      <w:pPr>
        <w:adjustRightInd w:val="0"/>
        <w:snapToGrid w:val="0"/>
        <w:spacing w:line="360" w:lineRule="auto"/>
        <w:rPr>
          <w:rFonts w:hint="eastAsia" w:ascii="宋体" w:hAnsi="宋体"/>
          <w:szCs w:val="21"/>
        </w:rPr>
      </w:pPr>
      <w:r>
        <w:rPr>
          <w:rFonts w:hint="eastAsia" w:ascii="宋体" w:hAnsi="宋体"/>
          <w:szCs w:val="21"/>
        </w:rPr>
        <w:t xml:space="preserve">项目名称：            </w:t>
      </w:r>
    </w:p>
    <w:p w14:paraId="684BD3F3">
      <w:pPr>
        <w:adjustRightInd w:val="0"/>
        <w:snapToGrid w:val="0"/>
        <w:spacing w:line="360" w:lineRule="auto"/>
        <w:rPr>
          <w:rFonts w:hint="eastAsia" w:ascii="黑体" w:hAnsi="黑体"/>
          <w:sz w:val="28"/>
          <w:szCs w:val="28"/>
        </w:rPr>
      </w:pPr>
      <w:r>
        <w:rPr>
          <w:rFonts w:hint="eastAsia" w:ascii="宋体" w:hAnsi="宋体"/>
          <w:szCs w:val="21"/>
          <w:lang w:eastAsia="zh-CN"/>
        </w:rPr>
        <w:t>政府采购计划编号</w:t>
      </w:r>
      <w:r>
        <w:rPr>
          <w:rFonts w:hint="eastAsia" w:ascii="宋体" w:hAnsi="宋体"/>
          <w:szCs w:val="21"/>
        </w:rPr>
        <w:t xml:space="preserve">：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B13F4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66DD48B6">
            <w:pPr>
              <w:jc w:val="center"/>
              <w:rPr>
                <w:rFonts w:hint="eastAsia" w:ascii="宋体" w:hAnsi="宋体"/>
                <w:b/>
                <w:kern w:val="0"/>
                <w:szCs w:val="21"/>
              </w:rPr>
            </w:pPr>
            <w:r>
              <w:rPr>
                <w:rFonts w:hint="eastAsia" w:ascii="宋体" w:hAnsi="宋体"/>
                <w:b/>
                <w:kern w:val="0"/>
                <w:szCs w:val="21"/>
              </w:rPr>
              <w:t>序号</w:t>
            </w:r>
          </w:p>
        </w:tc>
        <w:tc>
          <w:tcPr>
            <w:tcW w:w="2963" w:type="dxa"/>
            <w:vAlign w:val="center"/>
          </w:tcPr>
          <w:p w14:paraId="69082445">
            <w:pPr>
              <w:jc w:val="center"/>
              <w:rPr>
                <w:rFonts w:hint="eastAsia" w:ascii="宋体" w:hAnsi="宋体"/>
                <w:b/>
                <w:kern w:val="0"/>
                <w:szCs w:val="21"/>
              </w:rPr>
            </w:pPr>
            <w:r>
              <w:rPr>
                <w:rFonts w:hint="eastAsia" w:ascii="宋体" w:hAnsi="宋体"/>
                <w:b/>
                <w:kern w:val="0"/>
                <w:szCs w:val="21"/>
              </w:rPr>
              <w:t>投标人名称</w:t>
            </w:r>
          </w:p>
        </w:tc>
        <w:tc>
          <w:tcPr>
            <w:tcW w:w="2439" w:type="dxa"/>
            <w:vAlign w:val="center"/>
          </w:tcPr>
          <w:p w14:paraId="6BFC1B86">
            <w:pPr>
              <w:jc w:val="center"/>
              <w:rPr>
                <w:rFonts w:hint="eastAsia" w:ascii="宋体" w:hAnsi="宋体"/>
                <w:b/>
                <w:kern w:val="0"/>
                <w:szCs w:val="21"/>
              </w:rPr>
            </w:pPr>
            <w:r>
              <w:rPr>
                <w:rFonts w:hint="eastAsia" w:ascii="宋体" w:hAnsi="宋体"/>
                <w:b/>
                <w:kern w:val="0"/>
                <w:szCs w:val="21"/>
              </w:rPr>
              <w:t>资格审查结果</w:t>
            </w:r>
          </w:p>
          <w:p w14:paraId="42C679FA">
            <w:pPr>
              <w:jc w:val="center"/>
              <w:rPr>
                <w:rFonts w:hint="eastAsia" w:ascii="宋体" w:hAnsi="宋体"/>
                <w:b/>
                <w:kern w:val="0"/>
                <w:szCs w:val="21"/>
              </w:rPr>
            </w:pPr>
            <w:r>
              <w:rPr>
                <w:rFonts w:hint="eastAsia" w:ascii="宋体" w:hAnsi="宋体"/>
                <w:b/>
                <w:kern w:val="0"/>
                <w:szCs w:val="21"/>
              </w:rPr>
              <w:t>（合格/不合格）</w:t>
            </w:r>
          </w:p>
        </w:tc>
        <w:tc>
          <w:tcPr>
            <w:tcW w:w="2961" w:type="dxa"/>
            <w:vAlign w:val="center"/>
          </w:tcPr>
          <w:p w14:paraId="2DDF0ACB">
            <w:pPr>
              <w:jc w:val="center"/>
              <w:rPr>
                <w:rFonts w:hint="eastAsia" w:ascii="宋体" w:hAnsi="宋体"/>
                <w:b/>
                <w:kern w:val="0"/>
                <w:szCs w:val="21"/>
              </w:rPr>
            </w:pPr>
            <w:r>
              <w:rPr>
                <w:rFonts w:hint="eastAsia" w:ascii="宋体" w:hAnsi="宋体"/>
                <w:b/>
                <w:kern w:val="0"/>
                <w:szCs w:val="21"/>
              </w:rPr>
              <w:t>资格审查不合格原因</w:t>
            </w:r>
          </w:p>
        </w:tc>
      </w:tr>
      <w:tr w14:paraId="3231DE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8692A51">
            <w:pPr>
              <w:adjustRightInd w:val="0"/>
              <w:snapToGrid w:val="0"/>
              <w:spacing w:line="360" w:lineRule="auto"/>
              <w:rPr>
                <w:rFonts w:hint="eastAsia" w:ascii="宋体" w:hAnsi="宋体"/>
                <w:kern w:val="0"/>
                <w:sz w:val="24"/>
              </w:rPr>
            </w:pPr>
          </w:p>
        </w:tc>
        <w:tc>
          <w:tcPr>
            <w:tcW w:w="2963" w:type="dxa"/>
          </w:tcPr>
          <w:p w14:paraId="05DEC032">
            <w:pPr>
              <w:adjustRightInd w:val="0"/>
              <w:snapToGrid w:val="0"/>
              <w:spacing w:line="360" w:lineRule="auto"/>
              <w:rPr>
                <w:rFonts w:hint="eastAsia" w:ascii="宋体" w:hAnsi="宋体"/>
                <w:kern w:val="0"/>
                <w:sz w:val="24"/>
              </w:rPr>
            </w:pPr>
          </w:p>
        </w:tc>
        <w:tc>
          <w:tcPr>
            <w:tcW w:w="2439" w:type="dxa"/>
          </w:tcPr>
          <w:p w14:paraId="15D9052E">
            <w:pPr>
              <w:adjustRightInd w:val="0"/>
              <w:snapToGrid w:val="0"/>
              <w:spacing w:line="360" w:lineRule="auto"/>
              <w:rPr>
                <w:rFonts w:hint="eastAsia" w:ascii="宋体" w:hAnsi="宋体"/>
                <w:kern w:val="0"/>
                <w:sz w:val="24"/>
              </w:rPr>
            </w:pPr>
          </w:p>
        </w:tc>
        <w:tc>
          <w:tcPr>
            <w:tcW w:w="2961" w:type="dxa"/>
          </w:tcPr>
          <w:p w14:paraId="0CBA54BA">
            <w:pPr>
              <w:adjustRightInd w:val="0"/>
              <w:snapToGrid w:val="0"/>
              <w:spacing w:line="360" w:lineRule="auto"/>
              <w:rPr>
                <w:rFonts w:hint="eastAsia" w:ascii="宋体" w:hAnsi="宋体"/>
                <w:kern w:val="0"/>
                <w:sz w:val="24"/>
              </w:rPr>
            </w:pPr>
          </w:p>
        </w:tc>
      </w:tr>
      <w:tr w14:paraId="5CDA30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78BCA3B">
            <w:pPr>
              <w:adjustRightInd w:val="0"/>
              <w:snapToGrid w:val="0"/>
              <w:spacing w:line="360" w:lineRule="auto"/>
              <w:rPr>
                <w:rFonts w:hint="eastAsia" w:ascii="宋体" w:hAnsi="宋体"/>
                <w:kern w:val="0"/>
                <w:sz w:val="24"/>
              </w:rPr>
            </w:pPr>
          </w:p>
        </w:tc>
        <w:tc>
          <w:tcPr>
            <w:tcW w:w="2963" w:type="dxa"/>
          </w:tcPr>
          <w:p w14:paraId="1F55136B">
            <w:pPr>
              <w:adjustRightInd w:val="0"/>
              <w:snapToGrid w:val="0"/>
              <w:spacing w:line="360" w:lineRule="auto"/>
              <w:rPr>
                <w:rFonts w:hint="eastAsia" w:ascii="宋体" w:hAnsi="宋体"/>
                <w:kern w:val="0"/>
                <w:sz w:val="24"/>
              </w:rPr>
            </w:pPr>
          </w:p>
        </w:tc>
        <w:tc>
          <w:tcPr>
            <w:tcW w:w="2439" w:type="dxa"/>
          </w:tcPr>
          <w:p w14:paraId="4CC3FCC1">
            <w:pPr>
              <w:adjustRightInd w:val="0"/>
              <w:snapToGrid w:val="0"/>
              <w:spacing w:line="360" w:lineRule="auto"/>
              <w:rPr>
                <w:rFonts w:hint="eastAsia" w:ascii="宋体" w:hAnsi="宋体"/>
                <w:kern w:val="0"/>
                <w:sz w:val="24"/>
              </w:rPr>
            </w:pPr>
          </w:p>
        </w:tc>
        <w:tc>
          <w:tcPr>
            <w:tcW w:w="2961" w:type="dxa"/>
          </w:tcPr>
          <w:p w14:paraId="5C04359D">
            <w:pPr>
              <w:adjustRightInd w:val="0"/>
              <w:snapToGrid w:val="0"/>
              <w:spacing w:line="360" w:lineRule="auto"/>
              <w:rPr>
                <w:rFonts w:hint="eastAsia" w:ascii="宋体" w:hAnsi="宋体"/>
                <w:kern w:val="0"/>
                <w:sz w:val="24"/>
              </w:rPr>
            </w:pPr>
          </w:p>
        </w:tc>
      </w:tr>
      <w:tr w14:paraId="2AF8FF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2258837">
            <w:pPr>
              <w:adjustRightInd w:val="0"/>
              <w:snapToGrid w:val="0"/>
              <w:spacing w:line="360" w:lineRule="auto"/>
              <w:rPr>
                <w:rFonts w:hint="eastAsia" w:ascii="宋体" w:hAnsi="宋体"/>
                <w:kern w:val="0"/>
                <w:sz w:val="24"/>
              </w:rPr>
            </w:pPr>
          </w:p>
        </w:tc>
        <w:tc>
          <w:tcPr>
            <w:tcW w:w="2963" w:type="dxa"/>
          </w:tcPr>
          <w:p w14:paraId="613D8B1F">
            <w:pPr>
              <w:adjustRightInd w:val="0"/>
              <w:snapToGrid w:val="0"/>
              <w:spacing w:line="360" w:lineRule="auto"/>
              <w:rPr>
                <w:rFonts w:hint="eastAsia" w:ascii="宋体" w:hAnsi="宋体"/>
                <w:kern w:val="0"/>
                <w:sz w:val="24"/>
              </w:rPr>
            </w:pPr>
          </w:p>
        </w:tc>
        <w:tc>
          <w:tcPr>
            <w:tcW w:w="2439" w:type="dxa"/>
          </w:tcPr>
          <w:p w14:paraId="52F3223B">
            <w:pPr>
              <w:adjustRightInd w:val="0"/>
              <w:snapToGrid w:val="0"/>
              <w:spacing w:line="360" w:lineRule="auto"/>
              <w:rPr>
                <w:rFonts w:hint="eastAsia" w:ascii="宋体" w:hAnsi="宋体"/>
                <w:kern w:val="0"/>
                <w:sz w:val="24"/>
              </w:rPr>
            </w:pPr>
          </w:p>
        </w:tc>
        <w:tc>
          <w:tcPr>
            <w:tcW w:w="2961" w:type="dxa"/>
          </w:tcPr>
          <w:p w14:paraId="3D6FD6C7">
            <w:pPr>
              <w:adjustRightInd w:val="0"/>
              <w:snapToGrid w:val="0"/>
              <w:spacing w:line="360" w:lineRule="auto"/>
              <w:rPr>
                <w:rFonts w:hint="eastAsia" w:ascii="宋体" w:hAnsi="宋体"/>
                <w:kern w:val="0"/>
                <w:sz w:val="24"/>
              </w:rPr>
            </w:pPr>
          </w:p>
        </w:tc>
      </w:tr>
      <w:tr w14:paraId="12F59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B072DEF">
            <w:pPr>
              <w:adjustRightInd w:val="0"/>
              <w:snapToGrid w:val="0"/>
              <w:spacing w:line="360" w:lineRule="auto"/>
              <w:rPr>
                <w:rFonts w:hint="eastAsia" w:ascii="宋体" w:hAnsi="宋体"/>
                <w:kern w:val="0"/>
                <w:sz w:val="24"/>
              </w:rPr>
            </w:pPr>
          </w:p>
        </w:tc>
        <w:tc>
          <w:tcPr>
            <w:tcW w:w="2963" w:type="dxa"/>
          </w:tcPr>
          <w:p w14:paraId="00F1AE42">
            <w:pPr>
              <w:adjustRightInd w:val="0"/>
              <w:snapToGrid w:val="0"/>
              <w:spacing w:line="360" w:lineRule="auto"/>
              <w:rPr>
                <w:rFonts w:hint="eastAsia" w:ascii="宋体" w:hAnsi="宋体"/>
                <w:kern w:val="0"/>
                <w:sz w:val="24"/>
              </w:rPr>
            </w:pPr>
          </w:p>
        </w:tc>
        <w:tc>
          <w:tcPr>
            <w:tcW w:w="2439" w:type="dxa"/>
          </w:tcPr>
          <w:p w14:paraId="5C48EBCD">
            <w:pPr>
              <w:adjustRightInd w:val="0"/>
              <w:snapToGrid w:val="0"/>
              <w:spacing w:line="360" w:lineRule="auto"/>
              <w:rPr>
                <w:rFonts w:hint="eastAsia" w:ascii="宋体" w:hAnsi="宋体"/>
                <w:kern w:val="0"/>
                <w:sz w:val="24"/>
              </w:rPr>
            </w:pPr>
          </w:p>
        </w:tc>
        <w:tc>
          <w:tcPr>
            <w:tcW w:w="2961" w:type="dxa"/>
          </w:tcPr>
          <w:p w14:paraId="1F671BC7">
            <w:pPr>
              <w:adjustRightInd w:val="0"/>
              <w:snapToGrid w:val="0"/>
              <w:spacing w:line="360" w:lineRule="auto"/>
              <w:rPr>
                <w:rFonts w:hint="eastAsia" w:ascii="宋体" w:hAnsi="宋体"/>
                <w:kern w:val="0"/>
                <w:sz w:val="24"/>
              </w:rPr>
            </w:pPr>
          </w:p>
        </w:tc>
      </w:tr>
      <w:tr w14:paraId="5A320D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5A2D1C7">
            <w:pPr>
              <w:adjustRightInd w:val="0"/>
              <w:snapToGrid w:val="0"/>
              <w:spacing w:line="360" w:lineRule="auto"/>
              <w:rPr>
                <w:rFonts w:hint="eastAsia" w:ascii="宋体" w:hAnsi="宋体"/>
                <w:kern w:val="0"/>
                <w:sz w:val="24"/>
              </w:rPr>
            </w:pPr>
          </w:p>
        </w:tc>
        <w:tc>
          <w:tcPr>
            <w:tcW w:w="2963" w:type="dxa"/>
          </w:tcPr>
          <w:p w14:paraId="51F1586A">
            <w:pPr>
              <w:adjustRightInd w:val="0"/>
              <w:snapToGrid w:val="0"/>
              <w:spacing w:line="360" w:lineRule="auto"/>
              <w:rPr>
                <w:rFonts w:hint="eastAsia" w:ascii="宋体" w:hAnsi="宋体"/>
                <w:kern w:val="0"/>
                <w:sz w:val="24"/>
              </w:rPr>
            </w:pPr>
          </w:p>
        </w:tc>
        <w:tc>
          <w:tcPr>
            <w:tcW w:w="2439" w:type="dxa"/>
          </w:tcPr>
          <w:p w14:paraId="5E59709D">
            <w:pPr>
              <w:adjustRightInd w:val="0"/>
              <w:snapToGrid w:val="0"/>
              <w:spacing w:line="360" w:lineRule="auto"/>
              <w:rPr>
                <w:rFonts w:hint="eastAsia" w:ascii="宋体" w:hAnsi="宋体"/>
                <w:kern w:val="0"/>
                <w:sz w:val="24"/>
              </w:rPr>
            </w:pPr>
          </w:p>
        </w:tc>
        <w:tc>
          <w:tcPr>
            <w:tcW w:w="2961" w:type="dxa"/>
          </w:tcPr>
          <w:p w14:paraId="001C950F">
            <w:pPr>
              <w:adjustRightInd w:val="0"/>
              <w:snapToGrid w:val="0"/>
              <w:spacing w:line="360" w:lineRule="auto"/>
              <w:rPr>
                <w:rFonts w:hint="eastAsia" w:ascii="宋体" w:hAnsi="宋体"/>
                <w:kern w:val="0"/>
                <w:sz w:val="24"/>
              </w:rPr>
            </w:pPr>
          </w:p>
        </w:tc>
      </w:tr>
      <w:tr w14:paraId="6B20FA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80128E">
            <w:pPr>
              <w:adjustRightInd w:val="0"/>
              <w:snapToGrid w:val="0"/>
              <w:spacing w:line="360" w:lineRule="auto"/>
              <w:rPr>
                <w:rFonts w:hint="eastAsia" w:ascii="宋体" w:hAnsi="宋体"/>
                <w:kern w:val="0"/>
                <w:sz w:val="24"/>
              </w:rPr>
            </w:pPr>
          </w:p>
        </w:tc>
        <w:tc>
          <w:tcPr>
            <w:tcW w:w="2963" w:type="dxa"/>
          </w:tcPr>
          <w:p w14:paraId="10619C2F">
            <w:pPr>
              <w:adjustRightInd w:val="0"/>
              <w:snapToGrid w:val="0"/>
              <w:spacing w:line="360" w:lineRule="auto"/>
              <w:rPr>
                <w:rFonts w:hint="eastAsia" w:ascii="宋体" w:hAnsi="宋体"/>
                <w:kern w:val="0"/>
                <w:sz w:val="24"/>
              </w:rPr>
            </w:pPr>
          </w:p>
        </w:tc>
        <w:tc>
          <w:tcPr>
            <w:tcW w:w="2439" w:type="dxa"/>
          </w:tcPr>
          <w:p w14:paraId="6742FBF0">
            <w:pPr>
              <w:adjustRightInd w:val="0"/>
              <w:snapToGrid w:val="0"/>
              <w:spacing w:line="360" w:lineRule="auto"/>
              <w:rPr>
                <w:rFonts w:hint="eastAsia" w:ascii="宋体" w:hAnsi="宋体"/>
                <w:kern w:val="0"/>
                <w:sz w:val="24"/>
              </w:rPr>
            </w:pPr>
          </w:p>
        </w:tc>
        <w:tc>
          <w:tcPr>
            <w:tcW w:w="2961" w:type="dxa"/>
          </w:tcPr>
          <w:p w14:paraId="2CD3324F">
            <w:pPr>
              <w:adjustRightInd w:val="0"/>
              <w:snapToGrid w:val="0"/>
              <w:spacing w:line="360" w:lineRule="auto"/>
              <w:rPr>
                <w:rFonts w:hint="eastAsia" w:ascii="宋体" w:hAnsi="宋体"/>
                <w:kern w:val="0"/>
                <w:sz w:val="24"/>
              </w:rPr>
            </w:pPr>
          </w:p>
        </w:tc>
      </w:tr>
      <w:tr w14:paraId="70D94D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FFA4B15">
            <w:pPr>
              <w:adjustRightInd w:val="0"/>
              <w:snapToGrid w:val="0"/>
              <w:spacing w:line="360" w:lineRule="auto"/>
              <w:rPr>
                <w:rFonts w:hint="eastAsia" w:ascii="宋体" w:hAnsi="宋体"/>
                <w:kern w:val="0"/>
                <w:sz w:val="24"/>
              </w:rPr>
            </w:pPr>
          </w:p>
        </w:tc>
        <w:tc>
          <w:tcPr>
            <w:tcW w:w="2963" w:type="dxa"/>
          </w:tcPr>
          <w:p w14:paraId="7D7E0792">
            <w:pPr>
              <w:adjustRightInd w:val="0"/>
              <w:snapToGrid w:val="0"/>
              <w:spacing w:line="360" w:lineRule="auto"/>
              <w:rPr>
                <w:rFonts w:hint="eastAsia" w:ascii="宋体" w:hAnsi="宋体"/>
                <w:kern w:val="0"/>
                <w:sz w:val="24"/>
              </w:rPr>
            </w:pPr>
          </w:p>
        </w:tc>
        <w:tc>
          <w:tcPr>
            <w:tcW w:w="2439" w:type="dxa"/>
          </w:tcPr>
          <w:p w14:paraId="68D073F0">
            <w:pPr>
              <w:adjustRightInd w:val="0"/>
              <w:snapToGrid w:val="0"/>
              <w:spacing w:line="360" w:lineRule="auto"/>
              <w:rPr>
                <w:rFonts w:hint="eastAsia" w:ascii="宋体" w:hAnsi="宋体"/>
                <w:kern w:val="0"/>
                <w:sz w:val="24"/>
              </w:rPr>
            </w:pPr>
          </w:p>
        </w:tc>
        <w:tc>
          <w:tcPr>
            <w:tcW w:w="2961" w:type="dxa"/>
          </w:tcPr>
          <w:p w14:paraId="1AAB07FC">
            <w:pPr>
              <w:adjustRightInd w:val="0"/>
              <w:snapToGrid w:val="0"/>
              <w:spacing w:line="360" w:lineRule="auto"/>
              <w:rPr>
                <w:rFonts w:hint="eastAsia" w:ascii="宋体" w:hAnsi="宋体"/>
                <w:kern w:val="0"/>
                <w:sz w:val="24"/>
              </w:rPr>
            </w:pPr>
          </w:p>
        </w:tc>
      </w:tr>
      <w:tr w14:paraId="080357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60963C9">
            <w:pPr>
              <w:adjustRightInd w:val="0"/>
              <w:snapToGrid w:val="0"/>
              <w:spacing w:line="360" w:lineRule="auto"/>
              <w:rPr>
                <w:rFonts w:hint="eastAsia" w:ascii="宋体" w:hAnsi="宋体"/>
                <w:kern w:val="0"/>
                <w:sz w:val="24"/>
              </w:rPr>
            </w:pPr>
          </w:p>
        </w:tc>
        <w:tc>
          <w:tcPr>
            <w:tcW w:w="2963" w:type="dxa"/>
          </w:tcPr>
          <w:p w14:paraId="3A8174FD">
            <w:pPr>
              <w:adjustRightInd w:val="0"/>
              <w:snapToGrid w:val="0"/>
              <w:spacing w:line="360" w:lineRule="auto"/>
              <w:rPr>
                <w:rFonts w:hint="eastAsia" w:ascii="宋体" w:hAnsi="宋体"/>
                <w:kern w:val="0"/>
                <w:sz w:val="24"/>
              </w:rPr>
            </w:pPr>
          </w:p>
        </w:tc>
        <w:tc>
          <w:tcPr>
            <w:tcW w:w="2439" w:type="dxa"/>
          </w:tcPr>
          <w:p w14:paraId="253312E9">
            <w:pPr>
              <w:adjustRightInd w:val="0"/>
              <w:snapToGrid w:val="0"/>
              <w:spacing w:line="360" w:lineRule="auto"/>
              <w:rPr>
                <w:rFonts w:hint="eastAsia" w:ascii="宋体" w:hAnsi="宋体"/>
                <w:kern w:val="0"/>
                <w:sz w:val="24"/>
              </w:rPr>
            </w:pPr>
          </w:p>
        </w:tc>
        <w:tc>
          <w:tcPr>
            <w:tcW w:w="2961" w:type="dxa"/>
          </w:tcPr>
          <w:p w14:paraId="5CA2EBBA">
            <w:pPr>
              <w:adjustRightInd w:val="0"/>
              <w:snapToGrid w:val="0"/>
              <w:spacing w:line="360" w:lineRule="auto"/>
              <w:rPr>
                <w:rFonts w:hint="eastAsia" w:ascii="宋体" w:hAnsi="宋体"/>
                <w:kern w:val="0"/>
                <w:sz w:val="24"/>
              </w:rPr>
            </w:pPr>
          </w:p>
        </w:tc>
      </w:tr>
      <w:tr w14:paraId="6F48C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F910341">
            <w:pPr>
              <w:adjustRightInd w:val="0"/>
              <w:snapToGrid w:val="0"/>
              <w:spacing w:line="360" w:lineRule="auto"/>
              <w:rPr>
                <w:rFonts w:hint="eastAsia" w:ascii="宋体" w:hAnsi="宋体"/>
                <w:kern w:val="0"/>
                <w:sz w:val="24"/>
              </w:rPr>
            </w:pPr>
          </w:p>
        </w:tc>
        <w:tc>
          <w:tcPr>
            <w:tcW w:w="2963" w:type="dxa"/>
          </w:tcPr>
          <w:p w14:paraId="4F5D45D9">
            <w:pPr>
              <w:adjustRightInd w:val="0"/>
              <w:snapToGrid w:val="0"/>
              <w:spacing w:line="360" w:lineRule="auto"/>
              <w:rPr>
                <w:rFonts w:hint="eastAsia" w:ascii="宋体" w:hAnsi="宋体"/>
                <w:kern w:val="0"/>
                <w:sz w:val="24"/>
              </w:rPr>
            </w:pPr>
          </w:p>
        </w:tc>
        <w:tc>
          <w:tcPr>
            <w:tcW w:w="2439" w:type="dxa"/>
          </w:tcPr>
          <w:p w14:paraId="1A864E03">
            <w:pPr>
              <w:adjustRightInd w:val="0"/>
              <w:snapToGrid w:val="0"/>
              <w:spacing w:line="360" w:lineRule="auto"/>
              <w:rPr>
                <w:rFonts w:hint="eastAsia" w:ascii="宋体" w:hAnsi="宋体"/>
                <w:kern w:val="0"/>
                <w:sz w:val="24"/>
              </w:rPr>
            </w:pPr>
          </w:p>
        </w:tc>
        <w:tc>
          <w:tcPr>
            <w:tcW w:w="2961" w:type="dxa"/>
          </w:tcPr>
          <w:p w14:paraId="78C2396B">
            <w:pPr>
              <w:adjustRightInd w:val="0"/>
              <w:snapToGrid w:val="0"/>
              <w:spacing w:line="360" w:lineRule="auto"/>
              <w:rPr>
                <w:rFonts w:hint="eastAsia" w:ascii="宋体" w:hAnsi="宋体"/>
                <w:kern w:val="0"/>
                <w:sz w:val="24"/>
              </w:rPr>
            </w:pPr>
          </w:p>
        </w:tc>
      </w:tr>
    </w:tbl>
    <w:p w14:paraId="74283C95">
      <w:pPr>
        <w:adjustRightInd w:val="0"/>
        <w:snapToGrid w:val="0"/>
        <w:spacing w:line="360" w:lineRule="auto"/>
        <w:rPr>
          <w:rFonts w:hint="eastAsia" w:ascii="宋体" w:hAnsi="宋体"/>
          <w:szCs w:val="21"/>
        </w:rPr>
      </w:pPr>
    </w:p>
    <w:p w14:paraId="0CCD8163">
      <w:pPr>
        <w:adjustRightInd w:val="0"/>
        <w:snapToGrid w:val="0"/>
        <w:spacing w:line="360" w:lineRule="auto"/>
        <w:rPr>
          <w:rFonts w:hint="eastAsia" w:ascii="宋体" w:hAnsi="宋体"/>
          <w:szCs w:val="21"/>
        </w:rPr>
      </w:pPr>
      <w:r>
        <w:rPr>
          <w:rFonts w:hint="eastAsia" w:ascii="宋体" w:hAnsi="宋体"/>
          <w:szCs w:val="21"/>
        </w:rPr>
        <w:t>采购人（签字）：</w:t>
      </w:r>
      <w:r>
        <w:rPr>
          <w:rFonts w:hint="eastAsia" w:ascii="宋体" w:hAnsi="宋体"/>
          <w:szCs w:val="21"/>
          <w:u w:val="single"/>
        </w:rPr>
        <w:t xml:space="preserve">       </w:t>
      </w:r>
      <w:r>
        <w:rPr>
          <w:rFonts w:hint="eastAsia" w:ascii="宋体" w:hAnsi="宋体"/>
          <w:szCs w:val="21"/>
        </w:rPr>
        <w:t xml:space="preserve">                       </w:t>
      </w:r>
    </w:p>
    <w:p w14:paraId="1412C31B">
      <w:pPr>
        <w:adjustRightInd w:val="0"/>
        <w:snapToGrid w:val="0"/>
        <w:spacing w:line="360" w:lineRule="auto"/>
        <w:rPr>
          <w:rFonts w:hint="eastAsia" w:ascii="宋体" w:hAnsi="宋体"/>
          <w:szCs w:val="21"/>
        </w:rPr>
      </w:pPr>
      <w:r>
        <w:rPr>
          <w:rFonts w:hint="eastAsia" w:ascii="宋体" w:hAnsi="宋体"/>
          <w:szCs w:val="21"/>
        </w:rPr>
        <w:t>采购代理机构（签字）：</w:t>
      </w:r>
      <w:r>
        <w:rPr>
          <w:rFonts w:hint="eastAsia" w:ascii="宋体" w:hAnsi="宋体"/>
          <w:szCs w:val="21"/>
          <w:u w:val="single"/>
        </w:rPr>
        <w:t xml:space="preserve">       </w:t>
      </w:r>
      <w:r>
        <w:rPr>
          <w:rFonts w:hint="eastAsia" w:ascii="宋体" w:hAnsi="宋体"/>
          <w:szCs w:val="21"/>
        </w:rPr>
        <w:t xml:space="preserve">                               </w:t>
      </w:r>
    </w:p>
    <w:p w14:paraId="7A84B475">
      <w:pPr>
        <w:adjustRightInd w:val="0"/>
        <w:snapToGrid w:val="0"/>
        <w:spacing w:line="360" w:lineRule="auto"/>
        <w:rPr>
          <w:rFonts w:hint="eastAsia" w:ascii="宋体" w:hAnsi="宋体"/>
          <w:color w:val="000000"/>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626E9D7">
      <w:pPr>
        <w:widowControl/>
        <w:jc w:val="left"/>
        <w:rPr>
          <w:rFonts w:hint="eastAsia" w:ascii="宋体" w:hAnsi="宋体"/>
          <w:color w:val="000000"/>
          <w:sz w:val="24"/>
        </w:rPr>
      </w:pPr>
      <w:r>
        <w:rPr>
          <w:rFonts w:ascii="宋体" w:hAnsi="宋体"/>
          <w:color w:val="000000"/>
          <w:sz w:val="24"/>
        </w:rPr>
        <w:br w:type="page"/>
      </w:r>
    </w:p>
    <w:p w14:paraId="4FA8BF90">
      <w:pPr>
        <w:pStyle w:val="5"/>
        <w:adjustRightInd w:val="0"/>
        <w:snapToGrid w:val="0"/>
        <w:spacing w:before="0" w:after="0" w:line="360" w:lineRule="auto"/>
        <w:rPr>
          <w:rFonts w:hint="eastAsia" w:ascii="黑体" w:hAnsi="黑体"/>
          <w:b w:val="0"/>
          <w:color w:val="000000"/>
          <w:sz w:val="21"/>
          <w:szCs w:val="21"/>
        </w:rPr>
      </w:pPr>
      <w:bookmarkStart w:id="56" w:name="_Toc2564"/>
      <w:bookmarkStart w:id="57" w:name="_Toc25252"/>
      <w:r>
        <w:rPr>
          <w:rFonts w:hint="eastAsia" w:ascii="黑体" w:hAnsi="黑体"/>
          <w:b w:val="0"/>
          <w:color w:val="000000"/>
          <w:sz w:val="21"/>
          <w:szCs w:val="21"/>
        </w:rPr>
        <w:t>附表3 资格审查合格投标人名单</w:t>
      </w:r>
      <w:bookmarkEnd w:id="56"/>
      <w:bookmarkEnd w:id="57"/>
    </w:p>
    <w:p w14:paraId="44FB6EA2">
      <w:pPr>
        <w:adjustRightInd w:val="0"/>
        <w:snapToGrid w:val="0"/>
        <w:spacing w:line="360" w:lineRule="auto"/>
        <w:jc w:val="center"/>
        <w:rPr>
          <w:rFonts w:hint="eastAsia" w:ascii="黑体" w:hAnsi="黑体" w:eastAsia="黑体"/>
          <w:b/>
          <w:color w:val="000000"/>
          <w:sz w:val="28"/>
          <w:szCs w:val="28"/>
        </w:rPr>
      </w:pPr>
      <w:r>
        <w:rPr>
          <w:rFonts w:hint="eastAsia" w:ascii="黑体" w:hAnsi="黑体" w:eastAsia="黑体"/>
          <w:b/>
          <w:color w:val="000000"/>
          <w:sz w:val="28"/>
          <w:szCs w:val="28"/>
        </w:rPr>
        <w:t>资格审查合格投标人名单</w:t>
      </w:r>
    </w:p>
    <w:p w14:paraId="46948658">
      <w:pPr>
        <w:adjustRightInd w:val="0"/>
        <w:snapToGrid w:val="0"/>
        <w:spacing w:line="360" w:lineRule="auto"/>
        <w:rPr>
          <w:rFonts w:hint="eastAsia" w:ascii="宋体" w:hAnsi="宋体"/>
          <w:szCs w:val="21"/>
        </w:rPr>
      </w:pPr>
      <w:r>
        <w:rPr>
          <w:rFonts w:hint="eastAsia" w:ascii="宋体" w:hAnsi="宋体"/>
          <w:szCs w:val="21"/>
        </w:rPr>
        <w:t xml:space="preserve">项目名称：            </w:t>
      </w:r>
    </w:p>
    <w:p w14:paraId="21D0223C">
      <w:pPr>
        <w:adjustRightInd w:val="0"/>
        <w:snapToGrid w:val="0"/>
        <w:spacing w:line="360" w:lineRule="auto"/>
        <w:rPr>
          <w:rFonts w:hint="eastAsia" w:ascii="华文中宋" w:hAnsi="华文中宋" w:eastAsia="华文中宋"/>
          <w:sz w:val="32"/>
          <w:szCs w:val="32"/>
        </w:rPr>
      </w:pPr>
      <w:r>
        <w:rPr>
          <w:rFonts w:hint="eastAsia" w:ascii="宋体" w:hAnsi="宋体"/>
          <w:szCs w:val="21"/>
          <w:lang w:eastAsia="zh-CN"/>
        </w:rPr>
        <w:t>政府采购计划编号</w:t>
      </w:r>
      <w:r>
        <w:rPr>
          <w:rFonts w:hint="eastAsia" w:ascii="宋体" w:hAnsi="宋体"/>
          <w:szCs w:val="21"/>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0DA16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0A811B82">
            <w:pPr>
              <w:jc w:val="center"/>
              <w:rPr>
                <w:b/>
                <w:kern w:val="0"/>
                <w:szCs w:val="21"/>
              </w:rPr>
            </w:pPr>
            <w:r>
              <w:rPr>
                <w:rFonts w:hint="eastAsia"/>
                <w:b/>
                <w:kern w:val="0"/>
                <w:szCs w:val="21"/>
              </w:rPr>
              <w:t>序号</w:t>
            </w:r>
          </w:p>
        </w:tc>
        <w:tc>
          <w:tcPr>
            <w:tcW w:w="7796" w:type="dxa"/>
            <w:vAlign w:val="center"/>
          </w:tcPr>
          <w:p w14:paraId="586FDD65">
            <w:pPr>
              <w:jc w:val="center"/>
              <w:rPr>
                <w:b/>
                <w:kern w:val="0"/>
                <w:szCs w:val="21"/>
              </w:rPr>
            </w:pPr>
            <w:r>
              <w:rPr>
                <w:rFonts w:hint="eastAsia"/>
                <w:b/>
                <w:kern w:val="0"/>
                <w:szCs w:val="21"/>
              </w:rPr>
              <w:t>合格投标人名称</w:t>
            </w:r>
          </w:p>
        </w:tc>
      </w:tr>
      <w:tr w14:paraId="3F9D00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E4CF755">
            <w:pPr>
              <w:adjustRightInd w:val="0"/>
              <w:snapToGrid w:val="0"/>
              <w:spacing w:line="360" w:lineRule="auto"/>
              <w:rPr>
                <w:rFonts w:hint="eastAsia" w:ascii="宋体" w:hAnsi="宋体"/>
                <w:kern w:val="0"/>
                <w:szCs w:val="21"/>
              </w:rPr>
            </w:pPr>
          </w:p>
        </w:tc>
        <w:tc>
          <w:tcPr>
            <w:tcW w:w="7796" w:type="dxa"/>
          </w:tcPr>
          <w:p w14:paraId="0C86DBE3">
            <w:pPr>
              <w:adjustRightInd w:val="0"/>
              <w:snapToGrid w:val="0"/>
              <w:spacing w:line="360" w:lineRule="auto"/>
              <w:rPr>
                <w:rFonts w:hint="eastAsia" w:ascii="宋体" w:hAnsi="宋体"/>
                <w:kern w:val="0"/>
                <w:szCs w:val="21"/>
              </w:rPr>
            </w:pPr>
          </w:p>
        </w:tc>
      </w:tr>
      <w:tr w14:paraId="6B3824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3E6F8F4">
            <w:pPr>
              <w:adjustRightInd w:val="0"/>
              <w:snapToGrid w:val="0"/>
              <w:spacing w:line="360" w:lineRule="auto"/>
              <w:rPr>
                <w:rFonts w:hint="eastAsia" w:ascii="宋体" w:hAnsi="宋体"/>
                <w:kern w:val="0"/>
                <w:sz w:val="24"/>
              </w:rPr>
            </w:pPr>
          </w:p>
        </w:tc>
        <w:tc>
          <w:tcPr>
            <w:tcW w:w="7796" w:type="dxa"/>
          </w:tcPr>
          <w:p w14:paraId="1780A355">
            <w:pPr>
              <w:adjustRightInd w:val="0"/>
              <w:snapToGrid w:val="0"/>
              <w:spacing w:line="360" w:lineRule="auto"/>
              <w:rPr>
                <w:rFonts w:hint="eastAsia" w:ascii="宋体" w:hAnsi="宋体"/>
                <w:kern w:val="0"/>
                <w:sz w:val="24"/>
              </w:rPr>
            </w:pPr>
          </w:p>
        </w:tc>
      </w:tr>
      <w:tr w14:paraId="102D64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0D95E2A">
            <w:pPr>
              <w:adjustRightInd w:val="0"/>
              <w:snapToGrid w:val="0"/>
              <w:spacing w:line="360" w:lineRule="auto"/>
              <w:rPr>
                <w:rFonts w:hint="eastAsia" w:ascii="宋体" w:hAnsi="宋体"/>
                <w:kern w:val="0"/>
                <w:sz w:val="24"/>
              </w:rPr>
            </w:pPr>
          </w:p>
        </w:tc>
        <w:tc>
          <w:tcPr>
            <w:tcW w:w="7796" w:type="dxa"/>
          </w:tcPr>
          <w:p w14:paraId="4C57EC8B">
            <w:pPr>
              <w:adjustRightInd w:val="0"/>
              <w:snapToGrid w:val="0"/>
              <w:spacing w:line="360" w:lineRule="auto"/>
              <w:rPr>
                <w:rFonts w:hint="eastAsia" w:ascii="宋体" w:hAnsi="宋体"/>
                <w:kern w:val="0"/>
                <w:sz w:val="24"/>
              </w:rPr>
            </w:pPr>
          </w:p>
        </w:tc>
      </w:tr>
      <w:tr w14:paraId="667AA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5287E35">
            <w:pPr>
              <w:adjustRightInd w:val="0"/>
              <w:snapToGrid w:val="0"/>
              <w:spacing w:line="360" w:lineRule="auto"/>
              <w:rPr>
                <w:rFonts w:hint="eastAsia" w:ascii="宋体" w:hAnsi="宋体"/>
                <w:kern w:val="0"/>
                <w:sz w:val="24"/>
              </w:rPr>
            </w:pPr>
          </w:p>
        </w:tc>
        <w:tc>
          <w:tcPr>
            <w:tcW w:w="7796" w:type="dxa"/>
          </w:tcPr>
          <w:p w14:paraId="5FB1BC14">
            <w:pPr>
              <w:adjustRightInd w:val="0"/>
              <w:snapToGrid w:val="0"/>
              <w:spacing w:line="360" w:lineRule="auto"/>
              <w:rPr>
                <w:rFonts w:hint="eastAsia" w:ascii="宋体" w:hAnsi="宋体"/>
                <w:kern w:val="0"/>
                <w:sz w:val="24"/>
              </w:rPr>
            </w:pPr>
          </w:p>
        </w:tc>
      </w:tr>
      <w:tr w14:paraId="7DEB70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1993E97">
            <w:pPr>
              <w:adjustRightInd w:val="0"/>
              <w:snapToGrid w:val="0"/>
              <w:spacing w:line="360" w:lineRule="auto"/>
              <w:rPr>
                <w:rFonts w:hint="eastAsia" w:ascii="宋体" w:hAnsi="宋体"/>
                <w:kern w:val="0"/>
                <w:sz w:val="24"/>
              </w:rPr>
            </w:pPr>
          </w:p>
        </w:tc>
        <w:tc>
          <w:tcPr>
            <w:tcW w:w="7796" w:type="dxa"/>
          </w:tcPr>
          <w:p w14:paraId="7AD1FC30">
            <w:pPr>
              <w:adjustRightInd w:val="0"/>
              <w:snapToGrid w:val="0"/>
              <w:spacing w:line="360" w:lineRule="auto"/>
              <w:rPr>
                <w:rFonts w:hint="eastAsia" w:ascii="宋体" w:hAnsi="宋体"/>
                <w:kern w:val="0"/>
                <w:sz w:val="24"/>
              </w:rPr>
            </w:pPr>
          </w:p>
        </w:tc>
      </w:tr>
      <w:tr w14:paraId="46ED1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1342826">
            <w:pPr>
              <w:adjustRightInd w:val="0"/>
              <w:snapToGrid w:val="0"/>
              <w:spacing w:line="360" w:lineRule="auto"/>
              <w:rPr>
                <w:rFonts w:hint="eastAsia" w:ascii="宋体" w:hAnsi="宋体"/>
                <w:kern w:val="0"/>
                <w:sz w:val="24"/>
              </w:rPr>
            </w:pPr>
          </w:p>
        </w:tc>
        <w:tc>
          <w:tcPr>
            <w:tcW w:w="7796" w:type="dxa"/>
          </w:tcPr>
          <w:p w14:paraId="56E2D656">
            <w:pPr>
              <w:adjustRightInd w:val="0"/>
              <w:snapToGrid w:val="0"/>
              <w:spacing w:line="360" w:lineRule="auto"/>
              <w:rPr>
                <w:rFonts w:hint="eastAsia" w:ascii="宋体" w:hAnsi="宋体"/>
                <w:kern w:val="0"/>
                <w:sz w:val="24"/>
              </w:rPr>
            </w:pPr>
          </w:p>
        </w:tc>
      </w:tr>
    </w:tbl>
    <w:p w14:paraId="4CB78DB5">
      <w:pPr>
        <w:adjustRightInd w:val="0"/>
        <w:snapToGrid w:val="0"/>
        <w:spacing w:line="360" w:lineRule="auto"/>
        <w:rPr>
          <w:rFonts w:hint="eastAsia" w:ascii="宋体" w:hAnsi="宋体"/>
          <w:szCs w:val="21"/>
        </w:rPr>
      </w:pPr>
    </w:p>
    <w:p w14:paraId="546601BF">
      <w:pPr>
        <w:adjustRightInd w:val="0"/>
        <w:snapToGrid w:val="0"/>
        <w:spacing w:line="360" w:lineRule="auto"/>
        <w:rPr>
          <w:rFonts w:hint="eastAsia" w:ascii="宋体" w:hAnsi="宋体"/>
          <w:szCs w:val="21"/>
        </w:rPr>
      </w:pPr>
      <w:r>
        <w:rPr>
          <w:rFonts w:hint="eastAsia" w:ascii="宋体" w:hAnsi="宋体"/>
          <w:szCs w:val="21"/>
        </w:rPr>
        <w:t>采购人（签字）：</w:t>
      </w:r>
      <w:r>
        <w:rPr>
          <w:rFonts w:hint="eastAsia" w:ascii="宋体" w:hAnsi="宋体"/>
          <w:szCs w:val="21"/>
          <w:u w:val="single"/>
        </w:rPr>
        <w:t xml:space="preserve">       </w:t>
      </w:r>
      <w:r>
        <w:rPr>
          <w:rFonts w:hint="eastAsia" w:ascii="宋体" w:hAnsi="宋体"/>
          <w:szCs w:val="21"/>
        </w:rPr>
        <w:t xml:space="preserve">                       </w:t>
      </w:r>
    </w:p>
    <w:p w14:paraId="40D30AAB">
      <w:pPr>
        <w:adjustRightInd w:val="0"/>
        <w:snapToGrid w:val="0"/>
        <w:spacing w:line="360" w:lineRule="auto"/>
        <w:rPr>
          <w:rFonts w:hint="eastAsia" w:ascii="宋体" w:hAnsi="宋体"/>
          <w:szCs w:val="21"/>
        </w:rPr>
      </w:pPr>
      <w:r>
        <w:rPr>
          <w:rFonts w:hint="eastAsia" w:ascii="宋体" w:hAnsi="宋体"/>
          <w:szCs w:val="21"/>
        </w:rPr>
        <w:t>采购代理机构（签字）：</w:t>
      </w:r>
      <w:r>
        <w:rPr>
          <w:rFonts w:hint="eastAsia" w:ascii="宋体" w:hAnsi="宋体"/>
          <w:szCs w:val="21"/>
          <w:u w:val="single"/>
        </w:rPr>
        <w:t xml:space="preserve">       </w:t>
      </w:r>
      <w:r>
        <w:rPr>
          <w:rFonts w:hint="eastAsia" w:ascii="宋体" w:hAnsi="宋体"/>
          <w:szCs w:val="21"/>
        </w:rPr>
        <w:t xml:space="preserve">                               </w:t>
      </w:r>
    </w:p>
    <w:p w14:paraId="5D32A78C">
      <w:pPr>
        <w:rPr>
          <w:rFonts w:hint="eastAsia" w:ascii="黑体" w:hAnsi="华文中宋" w:eastAsia="黑体"/>
          <w:b/>
          <w:color w:val="000000"/>
          <w:sz w:val="32"/>
          <w:szCs w:val="32"/>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ascii="宋体" w:hAnsi="宋体"/>
          <w:color w:val="000000"/>
        </w:rPr>
        <w:br w:type="page"/>
      </w:r>
    </w:p>
    <w:p w14:paraId="23BA961D">
      <w:pPr>
        <w:pStyle w:val="25"/>
        <w:adjustRightInd w:val="0"/>
        <w:snapToGrid w:val="0"/>
        <w:spacing w:line="360" w:lineRule="auto"/>
        <w:jc w:val="center"/>
        <w:outlineLvl w:val="0"/>
        <w:rPr>
          <w:rFonts w:hint="eastAsia" w:ascii="黑体" w:hAnsi="华文中宋" w:eastAsia="黑体"/>
          <w:b/>
          <w:color w:val="000000"/>
          <w:sz w:val="28"/>
          <w:szCs w:val="28"/>
        </w:rPr>
      </w:pPr>
      <w:bookmarkStart w:id="58" w:name="_Toc24227"/>
      <w:r>
        <w:rPr>
          <w:rFonts w:hint="eastAsia" w:ascii="黑体" w:hAnsi="华文中宋" w:eastAsia="黑体"/>
          <w:b/>
          <w:color w:val="000000"/>
          <w:sz w:val="32"/>
          <w:szCs w:val="32"/>
        </w:rPr>
        <w:t>第四章 评标方法及标准</w:t>
      </w:r>
      <w:bookmarkEnd w:id="58"/>
    </w:p>
    <w:p w14:paraId="4502D684">
      <w:pPr>
        <w:keepNext/>
        <w:keepLines/>
        <w:adjustRightInd w:val="0"/>
        <w:snapToGrid w:val="0"/>
        <w:spacing w:line="360" w:lineRule="auto"/>
        <w:jc w:val="center"/>
        <w:outlineLvl w:val="1"/>
        <w:rPr>
          <w:rFonts w:hint="eastAsia" w:ascii="黑体" w:hAnsi="华文中宋" w:eastAsia="黑体"/>
          <w:b/>
          <w:bCs/>
          <w:sz w:val="28"/>
          <w:szCs w:val="28"/>
        </w:rPr>
      </w:pPr>
      <w:bookmarkStart w:id="59" w:name="_Toc28964"/>
      <w:bookmarkStart w:id="60" w:name="_Toc20651214"/>
      <w:r>
        <w:rPr>
          <w:rFonts w:hint="eastAsia" w:ascii="黑体" w:hAnsi="华文中宋" w:eastAsia="黑体"/>
          <w:b/>
          <w:bCs/>
          <w:sz w:val="28"/>
          <w:szCs w:val="28"/>
        </w:rPr>
        <w:t>第一节 评标方法及标准前附表</w:t>
      </w:r>
      <w:bookmarkEnd w:id="59"/>
      <w:bookmarkEnd w:id="60"/>
    </w:p>
    <w:p w14:paraId="427A4AA6">
      <w:pPr>
        <w:adjustRightInd w:val="0"/>
        <w:snapToGrid w:val="0"/>
        <w:spacing w:line="360" w:lineRule="auto"/>
        <w:jc w:val="left"/>
        <w:rPr>
          <w:rFonts w:hint="eastAsia" w:ascii="宋体" w:hAnsi="宋体"/>
          <w:bCs/>
          <w:i/>
          <w:color w:val="000000"/>
          <w:szCs w:val="21"/>
        </w:rPr>
      </w:pPr>
      <w:r>
        <w:rPr>
          <w:rFonts w:hint="eastAsia" w:ascii="宋体" w:hAnsi="宋体"/>
          <w:bCs/>
          <w:i/>
          <w:color w:val="000000"/>
          <w:szCs w:val="21"/>
        </w:rPr>
        <w:t>本项目启用的条款在“编列内容规定”栏内以“■”标注。</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709"/>
        <w:gridCol w:w="1559"/>
        <w:gridCol w:w="4820"/>
      </w:tblGrid>
      <w:tr w14:paraId="2BFCC4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double" w:color="auto" w:sz="4" w:space="0"/>
              <w:bottom w:val="single" w:color="auto" w:sz="6" w:space="0"/>
            </w:tcBorders>
          </w:tcPr>
          <w:p w14:paraId="782A3233">
            <w:pPr>
              <w:adjustRightInd w:val="0"/>
              <w:snapToGrid w:val="0"/>
              <w:spacing w:before="156" w:beforeLines="50" w:line="360" w:lineRule="auto"/>
              <w:jc w:val="center"/>
              <w:rPr>
                <w:b/>
              </w:rPr>
            </w:pPr>
            <w:r>
              <w:rPr>
                <w:rFonts w:hint="eastAsia"/>
                <w:b/>
              </w:rPr>
              <w:t>条款号</w:t>
            </w:r>
          </w:p>
        </w:tc>
        <w:tc>
          <w:tcPr>
            <w:tcW w:w="2268" w:type="dxa"/>
            <w:gridSpan w:val="2"/>
            <w:tcBorders>
              <w:top w:val="double" w:color="auto" w:sz="4" w:space="0"/>
              <w:bottom w:val="single" w:color="auto" w:sz="6" w:space="0"/>
            </w:tcBorders>
          </w:tcPr>
          <w:p w14:paraId="5E72A234">
            <w:pPr>
              <w:adjustRightInd w:val="0"/>
              <w:snapToGrid w:val="0"/>
              <w:spacing w:before="156" w:beforeLines="50" w:line="360" w:lineRule="auto"/>
              <w:jc w:val="center"/>
              <w:rPr>
                <w:b/>
              </w:rPr>
            </w:pPr>
            <w:r>
              <w:rPr>
                <w:rFonts w:hint="eastAsia"/>
                <w:b/>
              </w:rPr>
              <w:t>条款名称</w:t>
            </w:r>
          </w:p>
        </w:tc>
        <w:tc>
          <w:tcPr>
            <w:tcW w:w="4820" w:type="dxa"/>
            <w:tcBorders>
              <w:top w:val="double" w:color="auto" w:sz="4" w:space="0"/>
              <w:bottom w:val="single" w:color="auto" w:sz="6" w:space="0"/>
            </w:tcBorders>
          </w:tcPr>
          <w:p w14:paraId="33676806">
            <w:pPr>
              <w:adjustRightInd w:val="0"/>
              <w:snapToGrid w:val="0"/>
              <w:spacing w:before="156" w:beforeLines="50" w:line="360" w:lineRule="auto"/>
              <w:jc w:val="center"/>
              <w:rPr>
                <w:b/>
              </w:rPr>
            </w:pPr>
            <w:r>
              <w:rPr>
                <w:rFonts w:hint="eastAsia"/>
                <w:b/>
              </w:rPr>
              <w:t>编列内容规定</w:t>
            </w:r>
          </w:p>
        </w:tc>
      </w:tr>
      <w:tr w14:paraId="3DBC2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6A9945B1">
            <w:pPr>
              <w:adjustRightInd w:val="0"/>
              <w:snapToGrid w:val="0"/>
              <w:spacing w:before="156" w:beforeLines="50" w:line="360" w:lineRule="auto"/>
              <w:jc w:val="center"/>
              <w:rPr>
                <w:rFonts w:hint="eastAsia" w:ascii="宋体" w:hAnsi="宋体"/>
                <w:szCs w:val="21"/>
              </w:rPr>
            </w:pPr>
            <w:r>
              <w:rPr>
                <w:rFonts w:hint="eastAsia" w:ascii="宋体" w:hAnsi="宋体"/>
                <w:szCs w:val="21"/>
              </w:rPr>
              <w:t>第1.3</w:t>
            </w:r>
            <w:r>
              <w:rPr>
                <w:rFonts w:hint="eastAsia" w:ascii="宋体" w:hAnsi="宋体" w:cs="宋体"/>
                <w:kern w:val="0"/>
                <w:szCs w:val="21"/>
                <w:lang w:val="zh-CN"/>
              </w:rPr>
              <w:t>款</w:t>
            </w:r>
          </w:p>
        </w:tc>
        <w:tc>
          <w:tcPr>
            <w:tcW w:w="2268" w:type="dxa"/>
            <w:gridSpan w:val="2"/>
            <w:tcBorders>
              <w:top w:val="single" w:color="auto" w:sz="6" w:space="0"/>
              <w:bottom w:val="single" w:color="auto" w:sz="6" w:space="0"/>
            </w:tcBorders>
            <w:vAlign w:val="center"/>
          </w:tcPr>
          <w:p w14:paraId="3C62D56D">
            <w:pPr>
              <w:adjustRightInd w:val="0"/>
              <w:snapToGrid w:val="0"/>
              <w:spacing w:before="156" w:beforeLines="50" w:line="360" w:lineRule="auto"/>
              <w:jc w:val="center"/>
              <w:rPr>
                <w:rFonts w:hint="eastAsia" w:ascii="宋体" w:hAnsi="宋体"/>
                <w:szCs w:val="21"/>
              </w:rPr>
            </w:pPr>
            <w:r>
              <w:rPr>
                <w:rFonts w:hint="eastAsia" w:ascii="宋体" w:hAnsi="宋体"/>
                <w:szCs w:val="21"/>
              </w:rPr>
              <w:t>评标方法</w:t>
            </w:r>
          </w:p>
        </w:tc>
        <w:tc>
          <w:tcPr>
            <w:tcW w:w="4820" w:type="dxa"/>
            <w:tcBorders>
              <w:top w:val="single" w:color="auto" w:sz="6" w:space="0"/>
              <w:bottom w:val="single" w:color="auto" w:sz="6" w:space="0"/>
            </w:tcBorders>
            <w:vAlign w:val="center"/>
          </w:tcPr>
          <w:p w14:paraId="20D1FBB8">
            <w:pPr>
              <w:snapToGrid w:val="0"/>
              <w:spacing w:before="156" w:line="360" w:lineRule="auto"/>
              <w:textAlignment w:val="baseline"/>
            </w:pPr>
            <w:r>
              <w:rPr>
                <w:rFonts w:hint="eastAsia"/>
              </w:rPr>
              <w:t>■综合评分法</w:t>
            </w:r>
          </w:p>
          <w:p w14:paraId="572C2326">
            <w:pPr>
              <w:adjustRightInd w:val="0"/>
              <w:snapToGrid w:val="0"/>
              <w:spacing w:before="156" w:beforeLines="50" w:line="360" w:lineRule="auto"/>
              <w:rPr>
                <w:rFonts w:hint="eastAsia" w:ascii="宋体" w:hAnsi="宋体"/>
                <w:szCs w:val="21"/>
              </w:rPr>
            </w:pPr>
            <w:r>
              <w:rPr>
                <w:rFonts w:hint="eastAsia" w:ascii="MS Gothic" w:hAnsi="MS Gothic" w:eastAsia="MS Gothic" w:cs="MS Gothic"/>
                <w:szCs w:val="21"/>
              </w:rPr>
              <w:t>☐</w:t>
            </w:r>
            <w:r>
              <w:rPr>
                <w:rFonts w:hint="eastAsia"/>
              </w:rPr>
              <w:t>最低评标价法</w:t>
            </w:r>
          </w:p>
        </w:tc>
      </w:tr>
      <w:tr w14:paraId="15AC6F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4BFCE2F7">
            <w:pPr>
              <w:adjustRightInd w:val="0"/>
              <w:snapToGrid w:val="0"/>
              <w:spacing w:before="156" w:beforeLines="50" w:line="360" w:lineRule="auto"/>
              <w:jc w:val="center"/>
              <w:rPr>
                <w:rFonts w:hint="eastAsia" w:ascii="宋体" w:hAnsi="宋体"/>
                <w:szCs w:val="21"/>
              </w:rPr>
            </w:pPr>
            <w:r>
              <w:rPr>
                <w:rFonts w:hint="eastAsia" w:ascii="宋体" w:hAnsi="宋体"/>
                <w:szCs w:val="21"/>
              </w:rPr>
              <w:t>第4.2</w:t>
            </w:r>
            <w:r>
              <w:rPr>
                <w:rFonts w:hint="eastAsia" w:ascii="宋体" w:hAnsi="宋体" w:cs="宋体"/>
                <w:kern w:val="0"/>
                <w:szCs w:val="21"/>
                <w:lang w:val="zh-CN"/>
              </w:rPr>
              <w:t>款</w:t>
            </w:r>
          </w:p>
        </w:tc>
        <w:tc>
          <w:tcPr>
            <w:tcW w:w="2268" w:type="dxa"/>
            <w:gridSpan w:val="2"/>
            <w:tcBorders>
              <w:top w:val="single" w:color="auto" w:sz="6" w:space="0"/>
              <w:bottom w:val="single" w:color="auto" w:sz="6" w:space="0"/>
            </w:tcBorders>
            <w:vAlign w:val="center"/>
          </w:tcPr>
          <w:p w14:paraId="3ADDAD2B">
            <w:pPr>
              <w:adjustRightInd w:val="0"/>
              <w:snapToGrid w:val="0"/>
              <w:spacing w:before="156" w:beforeLines="50" w:line="360" w:lineRule="auto"/>
              <w:jc w:val="center"/>
              <w:rPr>
                <w:rFonts w:hint="eastAsia" w:ascii="宋体" w:hAnsi="宋体"/>
                <w:szCs w:val="21"/>
              </w:rPr>
            </w:pPr>
            <w:r>
              <w:rPr>
                <w:rFonts w:hint="eastAsia" w:ascii="宋体" w:hAnsi="宋体"/>
                <w:szCs w:val="21"/>
              </w:rPr>
              <w:t>投标文件报价出现前后不一致的修正</w:t>
            </w:r>
          </w:p>
        </w:tc>
        <w:tc>
          <w:tcPr>
            <w:tcW w:w="4820" w:type="dxa"/>
            <w:tcBorders>
              <w:top w:val="single" w:color="auto" w:sz="6" w:space="0"/>
              <w:bottom w:val="single" w:color="auto" w:sz="6" w:space="0"/>
            </w:tcBorders>
            <w:vAlign w:val="center"/>
          </w:tcPr>
          <w:p w14:paraId="12E9AE69">
            <w:pPr>
              <w:snapToGrid w:val="0"/>
              <w:spacing w:before="156" w:line="360" w:lineRule="auto"/>
              <w:textAlignment w:val="baseline"/>
              <w:rPr>
                <w:sz w:val="20"/>
              </w:rPr>
            </w:pPr>
            <w:r>
              <w:rPr>
                <w:rFonts w:hint="eastAsia"/>
              </w:rPr>
              <w:t>■按正文部分规定修正</w:t>
            </w:r>
          </w:p>
          <w:p w14:paraId="7C48785A">
            <w:pPr>
              <w:adjustRightInd w:val="0"/>
              <w:snapToGrid w:val="0"/>
              <w:spacing w:before="156" w:beforeLines="50" w:line="360" w:lineRule="exact"/>
              <w:jc w:val="left"/>
              <w:rPr>
                <w:rFonts w:hint="eastAsia" w:ascii="宋体" w:hAnsi="宋体"/>
                <w:szCs w:val="21"/>
              </w:rPr>
            </w:pPr>
            <w:r>
              <w:rPr>
                <w:rFonts w:hint="eastAsia" w:ascii="MS Gothic" w:hAnsi="MS Gothic" w:eastAsia="MS Gothic" w:cs="MS Gothic"/>
                <w:szCs w:val="21"/>
              </w:rPr>
              <w:t>☐</w:t>
            </w:r>
            <w:r>
              <w:rPr>
                <w:rFonts w:hint="eastAsia"/>
              </w:rPr>
              <w:t>不按正文部分规定修正，具体修正规定为：</w:t>
            </w:r>
          </w:p>
        </w:tc>
      </w:tr>
      <w:tr w14:paraId="0B84E7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Merge w:val="restart"/>
            <w:tcBorders>
              <w:top w:val="single" w:color="auto" w:sz="6" w:space="0"/>
            </w:tcBorders>
            <w:vAlign w:val="center"/>
          </w:tcPr>
          <w:p w14:paraId="2B8D606F">
            <w:pPr>
              <w:adjustRightInd w:val="0"/>
              <w:snapToGrid w:val="0"/>
              <w:spacing w:before="156" w:beforeLines="50" w:line="360" w:lineRule="auto"/>
              <w:jc w:val="center"/>
              <w:rPr>
                <w:rFonts w:hint="eastAsia" w:ascii="宋体" w:hAnsi="宋体"/>
                <w:szCs w:val="21"/>
              </w:rPr>
            </w:pPr>
            <w:r>
              <w:rPr>
                <w:rFonts w:hint="eastAsia" w:ascii="宋体" w:hAnsi="宋体"/>
                <w:szCs w:val="21"/>
              </w:rPr>
              <w:t>第5.4（1）</w:t>
            </w:r>
            <w:r>
              <w:rPr>
                <w:rFonts w:hint="eastAsia" w:ascii="宋体" w:hAnsi="宋体" w:cs="宋体"/>
                <w:kern w:val="0"/>
                <w:szCs w:val="21"/>
                <w:lang w:val="zh-CN"/>
              </w:rPr>
              <w:t>项</w:t>
            </w:r>
          </w:p>
        </w:tc>
        <w:tc>
          <w:tcPr>
            <w:tcW w:w="2268" w:type="dxa"/>
            <w:gridSpan w:val="2"/>
            <w:vMerge w:val="restart"/>
            <w:tcBorders>
              <w:top w:val="single" w:color="auto" w:sz="6" w:space="0"/>
            </w:tcBorders>
            <w:vAlign w:val="center"/>
          </w:tcPr>
          <w:p w14:paraId="7913CA65">
            <w:pPr>
              <w:adjustRightInd w:val="0"/>
              <w:snapToGrid w:val="0"/>
              <w:spacing w:before="156" w:beforeLines="50" w:line="360" w:lineRule="auto"/>
              <w:jc w:val="center"/>
              <w:rPr>
                <w:rFonts w:hint="eastAsia" w:ascii="宋体" w:hAnsi="宋体"/>
                <w:szCs w:val="21"/>
              </w:rPr>
            </w:pPr>
            <w:r>
              <w:rPr>
                <w:rFonts w:hint="eastAsia" w:ascii="宋体" w:hAnsi="宋体"/>
                <w:szCs w:val="21"/>
              </w:rPr>
              <w:t>价格评审优惠</w:t>
            </w:r>
          </w:p>
        </w:tc>
        <w:tc>
          <w:tcPr>
            <w:tcW w:w="4820" w:type="dxa"/>
            <w:tcBorders>
              <w:top w:val="single" w:color="auto" w:sz="6" w:space="0"/>
              <w:bottom w:val="single" w:color="auto" w:sz="6" w:space="0"/>
            </w:tcBorders>
            <w:vAlign w:val="center"/>
          </w:tcPr>
          <w:p w14:paraId="7665F90A">
            <w:pPr>
              <w:rPr>
                <w:szCs w:val="22"/>
                <w:highlight w:val="white"/>
              </w:rPr>
            </w:pPr>
            <w:r>
              <w:rPr>
                <w:rFonts w:hint="eastAsia"/>
                <w:szCs w:val="22"/>
                <w:highlight w:val="white"/>
              </w:rPr>
              <w:t>本项目中小企业划分标准所属行业：详见第一章投标邀请</w:t>
            </w:r>
          </w:p>
          <w:p w14:paraId="2E26FBFE">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（一）农、林、牧、渔业</w:t>
            </w:r>
          </w:p>
          <w:p w14:paraId="4B3F752A">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（二）工业</w:t>
            </w:r>
          </w:p>
          <w:p w14:paraId="67696D79">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（三）建筑业</w:t>
            </w:r>
          </w:p>
          <w:p w14:paraId="17EF3BFC">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（四）批发业</w:t>
            </w:r>
          </w:p>
          <w:p w14:paraId="2EA22284">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（五）零售业</w:t>
            </w:r>
          </w:p>
          <w:p w14:paraId="0F8D3A36">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（六）交通运输业</w:t>
            </w:r>
          </w:p>
          <w:p w14:paraId="0BCDCABD">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（七）仓储业</w:t>
            </w:r>
          </w:p>
          <w:p w14:paraId="77A368D1">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（八）邮政业</w:t>
            </w:r>
          </w:p>
          <w:p w14:paraId="77C5462A">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（九）住宿业</w:t>
            </w:r>
          </w:p>
          <w:p w14:paraId="606DB93E">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（十）餐饮业</w:t>
            </w:r>
          </w:p>
          <w:p w14:paraId="3CA90115">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（十一）信息传输业</w:t>
            </w:r>
          </w:p>
          <w:p w14:paraId="78EB3D78">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（十二）软件和信息技术服务业</w:t>
            </w:r>
          </w:p>
          <w:p w14:paraId="0516682C">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（十三）房地产开发经营</w:t>
            </w:r>
          </w:p>
          <w:p w14:paraId="246C40E8">
            <w:pPr>
              <w:rPr>
                <w:rFonts w:hint="eastAsia" w:ascii="Times New Roman" w:hAnsi="Times New Roman" w:eastAsia="宋体" w:cs="Times New Roman"/>
                <w:szCs w:val="22"/>
                <w:highlight w:val="white"/>
              </w:rPr>
            </w:pPr>
            <w:r>
              <w:rPr>
                <w:rFonts w:hint="eastAsia" w:ascii="Times New Roman" w:hAnsi="Times New Roman" w:eastAsia="宋体" w:cs="Times New Roman"/>
                <w:szCs w:val="22"/>
                <w:highlight w:val="white"/>
              </w:rPr>
              <w:t>（十四）物业管理</w:t>
            </w:r>
          </w:p>
          <w:p w14:paraId="5F758B71">
            <w:pPr>
              <w:rPr>
                <w:rFonts w:hint="eastAsia" w:ascii="Times New Roman" w:hAnsi="Times New Roman" w:eastAsia="宋体" w:cs="Times New Roman"/>
                <w:szCs w:val="22"/>
                <w:highlight w:val="white"/>
                <w:lang w:eastAsia="zh-CN"/>
              </w:rPr>
            </w:pPr>
            <w:r>
              <w:rPr>
                <w:rFonts w:hint="eastAsia" w:ascii="Times New Roman" w:hAnsi="Times New Roman" w:eastAsia="宋体" w:cs="Times New Roman"/>
                <w:szCs w:val="22"/>
                <w:highlight w:val="white"/>
              </w:rPr>
              <w:t>（十五）租赁和商务服务业。</w:t>
            </w:r>
          </w:p>
          <w:p w14:paraId="634165A6">
            <w:pPr>
              <w:rPr>
                <w:rFonts w:hint="eastAsia" w:ascii="MS Gothic" w:hAnsi="MS Gothic" w:eastAsia="MS Gothic" w:cs="MS Gothic"/>
                <w:szCs w:val="21"/>
              </w:rPr>
            </w:pPr>
            <w:r>
              <w:rPr>
                <w:rFonts w:hint="eastAsia" w:ascii="Times New Roman" w:hAnsi="Times New Roman" w:eastAsia="宋体" w:cs="Times New Roman"/>
                <w:szCs w:val="22"/>
                <w:highlight w:val="white"/>
              </w:rPr>
              <w:t>（十六）其他未列明行业</w:t>
            </w:r>
          </w:p>
        </w:tc>
      </w:tr>
      <w:tr w14:paraId="130F3C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0" w:hRule="atLeast"/>
        </w:trPr>
        <w:tc>
          <w:tcPr>
            <w:tcW w:w="1701" w:type="dxa"/>
            <w:vMerge w:val="continue"/>
            <w:vAlign w:val="center"/>
          </w:tcPr>
          <w:p w14:paraId="41931D41">
            <w:pPr>
              <w:adjustRightInd w:val="0"/>
              <w:snapToGrid w:val="0"/>
              <w:spacing w:before="156" w:beforeLines="50" w:line="360" w:lineRule="auto"/>
              <w:jc w:val="center"/>
              <w:rPr>
                <w:rFonts w:hint="eastAsia" w:ascii="宋体" w:hAnsi="宋体"/>
                <w:szCs w:val="21"/>
              </w:rPr>
            </w:pPr>
          </w:p>
        </w:tc>
        <w:tc>
          <w:tcPr>
            <w:tcW w:w="2268" w:type="dxa"/>
            <w:gridSpan w:val="2"/>
            <w:vMerge w:val="continue"/>
            <w:vAlign w:val="center"/>
          </w:tcPr>
          <w:p w14:paraId="7E03A5F9">
            <w:pPr>
              <w:adjustRightInd w:val="0"/>
              <w:snapToGrid w:val="0"/>
              <w:spacing w:before="156" w:beforeLines="50" w:line="360" w:lineRule="auto"/>
              <w:jc w:val="center"/>
              <w:rPr>
                <w:rFonts w:hint="eastAsia" w:ascii="宋体" w:hAnsi="宋体"/>
                <w:szCs w:val="21"/>
              </w:rPr>
            </w:pPr>
          </w:p>
        </w:tc>
        <w:tc>
          <w:tcPr>
            <w:tcW w:w="4820" w:type="dxa"/>
            <w:tcBorders>
              <w:top w:val="single" w:color="auto" w:sz="6" w:space="0"/>
              <w:bottom w:val="single" w:color="auto" w:sz="6" w:space="0"/>
            </w:tcBorders>
            <w:vAlign w:val="center"/>
          </w:tcPr>
          <w:p w14:paraId="125D46B1">
            <w:pPr>
              <w:adjustRightInd w:val="0"/>
              <w:snapToGrid w:val="0"/>
              <w:spacing w:line="360" w:lineRule="auto"/>
            </w:pPr>
            <w:r>
              <w:rPr>
                <w:rFonts w:hint="eastAsia"/>
              </w:rPr>
              <w:t>扶持中小、微企业</w:t>
            </w:r>
          </w:p>
          <w:p w14:paraId="77C89731">
            <w:pPr>
              <w:adjustRightInd w:val="0"/>
              <w:snapToGrid w:val="0"/>
              <w:spacing w:line="360" w:lineRule="auto"/>
            </w:pPr>
            <w:r>
              <w:rPr>
                <w:rFonts w:hint="eastAsia"/>
                <w:lang w:eastAsia="zh-CN"/>
              </w:rPr>
              <w:t>☑</w:t>
            </w:r>
            <w:r>
              <w:rPr>
                <w:rFonts w:hint="eastAsia"/>
              </w:rPr>
              <w:t>专门面向中小企业采购（专门面向中小企业采购的项目或者采购包，不再执行价格评审优惠的扶持政策。）</w:t>
            </w:r>
          </w:p>
          <w:p w14:paraId="4EAF6049">
            <w:pPr>
              <w:adjustRightInd w:val="0"/>
              <w:snapToGrid w:val="0"/>
              <w:spacing w:line="360" w:lineRule="auto"/>
            </w:pPr>
            <w:r>
              <w:rPr>
                <w:rFonts w:hint="eastAsia"/>
              </w:rPr>
              <w:sym w:font="Wingdings 2" w:char="00A3"/>
            </w:r>
            <w:r>
              <w:rPr>
                <w:rFonts w:hint="eastAsia"/>
              </w:rPr>
              <w:t>非专门面向中小企业采购：</w:t>
            </w:r>
          </w:p>
          <w:p w14:paraId="21ADEA15">
            <w:pPr>
              <w:adjustRightInd w:val="0"/>
              <w:snapToGrid w:val="0"/>
              <w:spacing w:line="420" w:lineRule="exact"/>
              <w:rPr>
                <w:rFonts w:hint="eastAsia" w:ascii="宋体" w:hAnsi="宋体"/>
                <w:szCs w:val="21"/>
              </w:rPr>
            </w:pPr>
            <w:r>
              <w:rPr>
                <w:rFonts w:hint="eastAsia"/>
              </w:rPr>
              <w:sym w:font="Wingdings 2" w:char="00A3"/>
            </w:r>
            <w:r>
              <w:rPr>
                <w:rFonts w:hint="eastAsia" w:ascii="宋体" w:hAnsi="宋体"/>
                <w:szCs w:val="21"/>
              </w:rPr>
              <w:t>小型和微型企业产品的价格给予</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r>
              <w:rPr>
                <w:rFonts w:hint="eastAsia" w:ascii="宋体" w:hAnsi="宋体" w:cs="宋体"/>
                <w:color w:val="000000"/>
                <w:kern w:val="0"/>
                <w:szCs w:val="21"/>
              </w:rPr>
              <w:t>（10%-20%）</w:t>
            </w:r>
            <w:r>
              <w:rPr>
                <w:rFonts w:hint="eastAsia" w:ascii="宋体" w:hAnsi="宋体"/>
                <w:szCs w:val="21"/>
              </w:rPr>
              <w:t>的扣除比例，用扣除后的价格参与评审。</w:t>
            </w:r>
          </w:p>
          <w:p w14:paraId="5324B915">
            <w:pPr>
              <w:adjustRightInd w:val="0"/>
              <w:snapToGrid w:val="0"/>
              <w:spacing w:line="360" w:lineRule="auto"/>
              <w:rPr>
                <w:rFonts w:hint="eastAsia" w:ascii="宋体" w:hAnsi="宋体"/>
              </w:rPr>
            </w:pPr>
            <w:r>
              <w:rPr>
                <w:rFonts w:ascii="Segoe UI Symbol" w:hAnsi="Segoe UI Symbol" w:cs="Segoe UI Symbol"/>
                <w:szCs w:val="21"/>
              </w:rPr>
              <w:t>☐</w:t>
            </w:r>
            <w:r>
              <w:rPr>
                <w:rFonts w:hint="eastAsia" w:ascii="宋体" w:hAnsi="宋体" w:cs="Cambria"/>
                <w:szCs w:val="21"/>
              </w:rPr>
              <w:t>允许联合体投标，</w:t>
            </w:r>
            <w:r>
              <w:rPr>
                <w:rFonts w:hint="eastAsia" w:ascii="宋体" w:hAnsi="宋体"/>
                <w:szCs w:val="21"/>
              </w:rPr>
              <w:t>联合协议中约定，小型、微型企业的协议合同金额占到联合体协议合同总金额30%以上的，给予联合体</w:t>
            </w:r>
            <w:r>
              <w:rPr>
                <w:rFonts w:hint="eastAsia" w:ascii="宋体" w:hAnsi="宋体"/>
                <w:szCs w:val="21"/>
                <w:u w:val="single"/>
              </w:rPr>
              <w:t xml:space="preserve"> / </w:t>
            </w:r>
            <w:r>
              <w:rPr>
                <w:rFonts w:hint="eastAsia" w:ascii="宋体" w:hAnsi="宋体"/>
                <w:szCs w:val="21"/>
              </w:rPr>
              <w:t>%（2%-3%）的价格扣除。</w:t>
            </w:r>
          </w:p>
        </w:tc>
      </w:tr>
      <w:tr w14:paraId="44D756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0" w:hRule="atLeast"/>
        </w:trPr>
        <w:tc>
          <w:tcPr>
            <w:tcW w:w="1701" w:type="dxa"/>
            <w:vMerge w:val="restart"/>
            <w:tcBorders>
              <w:top w:val="single" w:color="auto" w:sz="6" w:space="0"/>
              <w:bottom w:val="single" w:color="auto" w:sz="6" w:space="0"/>
              <w:right w:val="single" w:color="auto" w:sz="6" w:space="0"/>
            </w:tcBorders>
            <w:vAlign w:val="center"/>
          </w:tcPr>
          <w:p w14:paraId="5E8C1B5D">
            <w:pPr>
              <w:adjustRightInd w:val="0"/>
              <w:snapToGrid w:val="0"/>
              <w:spacing w:before="156" w:beforeLines="50" w:line="360" w:lineRule="auto"/>
              <w:jc w:val="center"/>
              <w:rPr>
                <w:rFonts w:hint="eastAsia" w:ascii="宋体" w:hAnsi="宋体"/>
                <w:szCs w:val="21"/>
              </w:rPr>
            </w:pPr>
            <w:r>
              <w:rPr>
                <w:rFonts w:hint="eastAsia" w:ascii="宋体" w:hAnsi="宋体"/>
                <w:szCs w:val="21"/>
              </w:rPr>
              <w:t>第5.4（2）</w:t>
            </w:r>
            <w:r>
              <w:rPr>
                <w:rFonts w:hint="eastAsia" w:ascii="宋体" w:hAnsi="宋体" w:cs="宋体"/>
                <w:kern w:val="0"/>
                <w:szCs w:val="21"/>
                <w:lang w:val="zh-CN"/>
              </w:rPr>
              <w:t>项</w:t>
            </w:r>
          </w:p>
        </w:tc>
        <w:tc>
          <w:tcPr>
            <w:tcW w:w="709" w:type="dxa"/>
            <w:vMerge w:val="restart"/>
            <w:tcBorders>
              <w:top w:val="single" w:color="auto" w:sz="6" w:space="0"/>
              <w:left w:val="single" w:color="auto" w:sz="6" w:space="0"/>
              <w:bottom w:val="single" w:color="auto" w:sz="6" w:space="0"/>
              <w:right w:val="single" w:color="auto" w:sz="6" w:space="0"/>
            </w:tcBorders>
            <w:vAlign w:val="center"/>
          </w:tcPr>
          <w:p w14:paraId="25F364EC">
            <w:pPr>
              <w:adjustRightInd w:val="0"/>
              <w:snapToGrid w:val="0"/>
              <w:spacing w:before="156" w:beforeLines="50" w:line="360" w:lineRule="auto"/>
              <w:jc w:val="center"/>
              <w:rPr>
                <w:rFonts w:hint="eastAsia" w:ascii="宋体" w:hAnsi="宋体"/>
                <w:szCs w:val="21"/>
              </w:rPr>
            </w:pPr>
            <w:r>
              <w:rPr>
                <w:rFonts w:hint="eastAsia" w:ascii="宋体" w:hAnsi="宋体"/>
                <w:szCs w:val="21"/>
              </w:rPr>
              <w:t>优先采购</w:t>
            </w:r>
          </w:p>
        </w:tc>
        <w:tc>
          <w:tcPr>
            <w:tcW w:w="1559" w:type="dxa"/>
            <w:vMerge w:val="restart"/>
            <w:tcBorders>
              <w:top w:val="single" w:color="auto" w:sz="6" w:space="0"/>
              <w:left w:val="single" w:color="auto" w:sz="6" w:space="0"/>
              <w:right w:val="single" w:color="auto" w:sz="6" w:space="0"/>
            </w:tcBorders>
            <w:vAlign w:val="center"/>
          </w:tcPr>
          <w:p w14:paraId="2F962808">
            <w:pPr>
              <w:adjustRightInd w:val="0"/>
              <w:snapToGrid w:val="0"/>
              <w:spacing w:before="156" w:beforeLines="50" w:line="360" w:lineRule="auto"/>
              <w:jc w:val="center"/>
              <w:rPr>
                <w:rFonts w:hint="eastAsia" w:ascii="宋体" w:hAnsi="宋体"/>
                <w:szCs w:val="21"/>
              </w:rPr>
            </w:pPr>
            <w:r>
              <w:rPr>
                <w:rFonts w:hint="eastAsia" w:ascii="宋体" w:hAnsi="宋体"/>
                <w:szCs w:val="21"/>
              </w:rPr>
              <w:t>节能产品或环境标志产品或两型产品</w:t>
            </w:r>
          </w:p>
        </w:tc>
        <w:tc>
          <w:tcPr>
            <w:tcW w:w="4820" w:type="dxa"/>
            <w:tcBorders>
              <w:top w:val="single" w:color="auto" w:sz="6" w:space="0"/>
              <w:left w:val="single" w:color="auto" w:sz="6" w:space="0"/>
              <w:bottom w:val="single" w:color="auto" w:sz="6" w:space="0"/>
            </w:tcBorders>
            <w:vAlign w:val="center"/>
          </w:tcPr>
          <w:p w14:paraId="58F455B2">
            <w:pPr>
              <w:spacing w:line="360" w:lineRule="auto"/>
              <w:rPr>
                <w:rFonts w:hint="eastAsia" w:ascii="宋体" w:hAnsi="宋体"/>
              </w:rPr>
            </w:pPr>
            <w:r>
              <w:rPr>
                <w:rFonts w:hint="eastAsia" w:ascii="宋体" w:hAnsi="宋体"/>
              </w:rPr>
              <w:t>/</w:t>
            </w:r>
          </w:p>
        </w:tc>
      </w:tr>
      <w:tr w14:paraId="3D028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trPr>
        <w:tc>
          <w:tcPr>
            <w:tcW w:w="1701" w:type="dxa"/>
            <w:vMerge w:val="continue"/>
            <w:tcBorders>
              <w:top w:val="single" w:color="auto" w:sz="6" w:space="0"/>
              <w:bottom w:val="single" w:color="auto" w:sz="6" w:space="0"/>
              <w:right w:val="single" w:color="auto" w:sz="6" w:space="0"/>
            </w:tcBorders>
            <w:vAlign w:val="center"/>
          </w:tcPr>
          <w:p w14:paraId="15EA8FF0">
            <w:pPr>
              <w:adjustRightInd w:val="0"/>
              <w:snapToGrid w:val="0"/>
              <w:spacing w:before="156" w:beforeLines="50" w:line="360" w:lineRule="auto"/>
              <w:jc w:val="center"/>
              <w:rPr>
                <w:rFonts w:hint="eastAsia" w:ascii="宋体" w:hAnsi="宋体"/>
                <w:szCs w:val="21"/>
              </w:rPr>
            </w:pPr>
          </w:p>
        </w:tc>
        <w:tc>
          <w:tcPr>
            <w:tcW w:w="709" w:type="dxa"/>
            <w:vMerge w:val="continue"/>
            <w:tcBorders>
              <w:top w:val="single" w:color="auto" w:sz="6" w:space="0"/>
              <w:left w:val="single" w:color="auto" w:sz="6" w:space="0"/>
              <w:bottom w:val="single" w:color="auto" w:sz="6" w:space="0"/>
              <w:right w:val="single" w:color="auto" w:sz="6" w:space="0"/>
            </w:tcBorders>
            <w:vAlign w:val="center"/>
          </w:tcPr>
          <w:p w14:paraId="7C34271B">
            <w:pPr>
              <w:adjustRightInd w:val="0"/>
              <w:snapToGrid w:val="0"/>
              <w:spacing w:before="156" w:beforeLines="50" w:line="360" w:lineRule="auto"/>
              <w:jc w:val="center"/>
              <w:rPr>
                <w:rFonts w:hint="eastAsia" w:ascii="宋体" w:hAnsi="宋体"/>
                <w:szCs w:val="21"/>
              </w:rPr>
            </w:pPr>
          </w:p>
        </w:tc>
        <w:tc>
          <w:tcPr>
            <w:tcW w:w="1559" w:type="dxa"/>
            <w:vMerge w:val="continue"/>
            <w:tcBorders>
              <w:left w:val="single" w:color="auto" w:sz="6" w:space="0"/>
              <w:bottom w:val="single" w:color="auto" w:sz="6" w:space="0"/>
              <w:right w:val="single" w:color="auto" w:sz="6" w:space="0"/>
            </w:tcBorders>
            <w:vAlign w:val="center"/>
          </w:tcPr>
          <w:p w14:paraId="47AA5A4E">
            <w:pPr>
              <w:adjustRightInd w:val="0"/>
              <w:snapToGrid w:val="0"/>
              <w:spacing w:before="156" w:beforeLines="50" w:line="360" w:lineRule="auto"/>
              <w:jc w:val="center"/>
              <w:rPr>
                <w:rFonts w:hint="eastAsia" w:ascii="宋体" w:hAnsi="宋体"/>
                <w:szCs w:val="21"/>
              </w:rPr>
            </w:pPr>
          </w:p>
        </w:tc>
        <w:tc>
          <w:tcPr>
            <w:tcW w:w="4820" w:type="dxa"/>
            <w:tcBorders>
              <w:top w:val="single" w:color="auto" w:sz="6" w:space="0"/>
              <w:left w:val="single" w:color="auto" w:sz="6" w:space="0"/>
              <w:bottom w:val="single" w:color="auto" w:sz="6" w:space="0"/>
              <w:right w:val="double" w:color="auto" w:sz="4" w:space="0"/>
            </w:tcBorders>
            <w:vAlign w:val="center"/>
          </w:tcPr>
          <w:p w14:paraId="0FC1CF20">
            <w:pPr>
              <w:spacing w:line="360" w:lineRule="auto"/>
              <w:rPr>
                <w:rFonts w:hint="eastAsia" w:ascii="宋体" w:hAnsi="宋体"/>
              </w:rPr>
            </w:pPr>
            <w:r>
              <w:rPr>
                <w:rFonts w:hint="eastAsia" w:ascii="宋体" w:hAnsi="宋体"/>
              </w:rPr>
              <w:t>/</w:t>
            </w:r>
          </w:p>
        </w:tc>
      </w:tr>
      <w:tr w14:paraId="795612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1" w:type="dxa"/>
            <w:tcBorders>
              <w:top w:val="single" w:color="auto" w:sz="6" w:space="0"/>
              <w:bottom w:val="double" w:color="auto" w:sz="4" w:space="0"/>
            </w:tcBorders>
            <w:vAlign w:val="center"/>
          </w:tcPr>
          <w:p w14:paraId="4F9EB795">
            <w:pPr>
              <w:adjustRightInd w:val="0"/>
              <w:snapToGrid w:val="0"/>
              <w:spacing w:before="156" w:beforeLines="50" w:line="360" w:lineRule="auto"/>
              <w:jc w:val="center"/>
              <w:rPr>
                <w:rFonts w:hint="eastAsia" w:ascii="宋体" w:hAnsi="宋体"/>
                <w:szCs w:val="21"/>
              </w:rPr>
            </w:pPr>
            <w:r>
              <w:rPr>
                <w:rFonts w:hint="eastAsia" w:ascii="宋体" w:hAnsi="宋体"/>
                <w:szCs w:val="21"/>
              </w:rPr>
              <w:t>第6.2</w:t>
            </w:r>
            <w:r>
              <w:rPr>
                <w:rFonts w:hint="eastAsia" w:ascii="宋体" w:hAnsi="宋体" w:cs="宋体"/>
                <w:kern w:val="0"/>
                <w:szCs w:val="21"/>
                <w:lang w:val="zh-CN"/>
              </w:rPr>
              <w:t>款</w:t>
            </w:r>
          </w:p>
        </w:tc>
        <w:tc>
          <w:tcPr>
            <w:tcW w:w="2268" w:type="dxa"/>
            <w:gridSpan w:val="2"/>
            <w:tcBorders>
              <w:top w:val="single" w:color="auto" w:sz="6" w:space="0"/>
              <w:bottom w:val="double" w:color="auto" w:sz="4" w:space="0"/>
              <w:right w:val="single" w:color="auto" w:sz="6" w:space="0"/>
            </w:tcBorders>
            <w:vAlign w:val="center"/>
          </w:tcPr>
          <w:p w14:paraId="6DC608AD">
            <w:pPr>
              <w:adjustRightInd w:val="0"/>
              <w:snapToGrid w:val="0"/>
              <w:spacing w:before="156" w:beforeLines="50" w:line="360" w:lineRule="auto"/>
              <w:jc w:val="center"/>
              <w:rPr>
                <w:rFonts w:hint="eastAsia" w:ascii="宋体" w:hAnsi="宋体"/>
                <w:szCs w:val="21"/>
              </w:rPr>
            </w:pPr>
            <w:r>
              <w:rPr>
                <w:rFonts w:hint="eastAsia" w:ascii="宋体" w:hAnsi="宋体"/>
                <w:szCs w:val="21"/>
              </w:rPr>
              <w:t>中标候选人并列的确定中标人的方式</w:t>
            </w:r>
          </w:p>
        </w:tc>
        <w:tc>
          <w:tcPr>
            <w:tcW w:w="4820" w:type="dxa"/>
            <w:tcBorders>
              <w:top w:val="single" w:color="auto" w:sz="6" w:space="0"/>
              <w:left w:val="single" w:color="auto" w:sz="6" w:space="0"/>
              <w:bottom w:val="double" w:color="auto" w:sz="4" w:space="0"/>
              <w:right w:val="double" w:color="auto" w:sz="4" w:space="0"/>
            </w:tcBorders>
            <w:vAlign w:val="center"/>
          </w:tcPr>
          <w:p w14:paraId="64A26D11">
            <w:pPr>
              <w:adjustRightInd w:val="0"/>
              <w:snapToGrid w:val="0"/>
              <w:spacing w:line="360" w:lineRule="auto"/>
              <w:rPr>
                <w:rFonts w:hint="eastAsia" w:ascii="宋体" w:hAnsi="宋体"/>
                <w:color w:val="000000"/>
              </w:rPr>
            </w:pPr>
            <w:r>
              <w:rPr>
                <w:rFonts w:hint="eastAsia" w:ascii="宋体" w:hAnsi="宋体"/>
                <w:color w:val="000000"/>
              </w:rPr>
              <w:t>完全满足采购文件实质性需求且综合得分最高的单位为中标单位，得分相同的，按投标报价由低到高顺序排列；得分且投标报价相同的，按技术指标优劣顺序排列。</w:t>
            </w:r>
            <w:r>
              <w:rPr>
                <w:rFonts w:hint="eastAsia" w:ascii="宋体" w:hAnsi="宋体"/>
                <w:bCs/>
              </w:rPr>
              <w:t>若总分相同、报价相同且技术也相同时则按抽签决定排名顺序。</w:t>
            </w:r>
          </w:p>
        </w:tc>
      </w:tr>
    </w:tbl>
    <w:p w14:paraId="704F23CC">
      <w:pPr>
        <w:keepNext/>
        <w:keepLines/>
        <w:adjustRightInd w:val="0"/>
        <w:snapToGrid w:val="0"/>
        <w:spacing w:line="360" w:lineRule="auto"/>
        <w:jc w:val="center"/>
        <w:outlineLvl w:val="1"/>
        <w:rPr>
          <w:rFonts w:hint="eastAsia" w:ascii="黑体" w:hAnsi="华文中宋" w:eastAsia="黑体"/>
          <w:b/>
          <w:bCs/>
          <w:sz w:val="28"/>
          <w:szCs w:val="28"/>
        </w:rPr>
      </w:pPr>
      <w:r>
        <w:rPr>
          <w:rFonts w:ascii="宋体" w:hAnsi="宋体"/>
          <w:color w:val="000000"/>
        </w:rPr>
        <w:br w:type="page"/>
      </w:r>
      <w:bookmarkStart w:id="61" w:name="_Toc8822"/>
      <w:bookmarkStart w:id="62" w:name="_Toc20651215"/>
      <w:r>
        <w:rPr>
          <w:rFonts w:hint="eastAsia" w:ascii="黑体" w:hAnsi="华文中宋" w:eastAsia="黑体"/>
          <w:b/>
          <w:bCs/>
          <w:sz w:val="28"/>
          <w:szCs w:val="28"/>
        </w:rPr>
        <w:t>第二节 评标方法及标准</w:t>
      </w:r>
      <w:bookmarkEnd w:id="61"/>
      <w:bookmarkEnd w:id="62"/>
    </w:p>
    <w:p w14:paraId="5B58EBA0">
      <w:pPr>
        <w:adjustRightInd w:val="0"/>
        <w:snapToGrid w:val="0"/>
        <w:spacing w:before="156" w:beforeLines="50" w:line="360" w:lineRule="auto"/>
        <w:outlineLvl w:val="2"/>
        <w:rPr>
          <w:rFonts w:hint="eastAsia" w:ascii="黑体" w:hAnsi="黑体" w:eastAsia="黑体"/>
          <w:b/>
          <w:bCs/>
          <w:sz w:val="24"/>
        </w:rPr>
      </w:pPr>
      <w:bookmarkStart w:id="63" w:name="_Toc17965"/>
      <w:bookmarkStart w:id="64" w:name="_Toc20651216"/>
      <w:r>
        <w:rPr>
          <w:rFonts w:hint="eastAsia" w:ascii="黑体" w:hAnsi="黑体" w:eastAsia="黑体"/>
          <w:b/>
          <w:bCs/>
          <w:sz w:val="24"/>
        </w:rPr>
        <w:t>1．评标方法</w:t>
      </w:r>
      <w:bookmarkEnd w:id="63"/>
      <w:bookmarkEnd w:id="64"/>
    </w:p>
    <w:p w14:paraId="27AB6D5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1.1综合评分法，指投标文件满足招标文件全部实质性要求，且按照评审因素的量化指标评审得分最高的投标人为中标候选人的评标方法。</w:t>
      </w:r>
    </w:p>
    <w:p w14:paraId="4BB6FF6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1.2最低评标价，是指投标文件满足招标文件全部实质性要求，且投标报价最低的投标人为中标候选人的评标方法。</w:t>
      </w:r>
    </w:p>
    <w:p w14:paraId="4797A4F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1.3本采购项目评标方法见本章第一节“评标规范前附表”</w:t>
      </w:r>
      <w:r>
        <w:rPr>
          <w:rFonts w:hint="eastAsia" w:ascii="华文中宋" w:hAnsi="华文中宋" w:eastAsia="华文中宋"/>
          <w:bCs/>
          <w:szCs w:val="21"/>
        </w:rPr>
        <w:t>（</w:t>
      </w:r>
      <w:r>
        <w:rPr>
          <w:rFonts w:hint="eastAsia" w:ascii="宋体" w:hAnsi="宋体"/>
          <w:bCs/>
          <w:szCs w:val="21"/>
        </w:rPr>
        <w:t>以下简称</w:t>
      </w:r>
      <w:r>
        <w:rPr>
          <w:rFonts w:hint="eastAsia" w:ascii="宋体" w:hAnsi="宋体"/>
          <w:b/>
          <w:szCs w:val="21"/>
        </w:rPr>
        <w:t>【评标方法及标准前附表】）</w:t>
      </w:r>
      <w:r>
        <w:rPr>
          <w:rFonts w:hint="eastAsia" w:ascii="宋体" w:hAnsi="宋体"/>
          <w:szCs w:val="21"/>
        </w:rPr>
        <w:t>。</w:t>
      </w:r>
    </w:p>
    <w:p w14:paraId="0EDE706F">
      <w:pPr>
        <w:adjustRightInd w:val="0"/>
        <w:snapToGrid w:val="0"/>
        <w:spacing w:before="156" w:beforeLines="50" w:line="360" w:lineRule="auto"/>
        <w:outlineLvl w:val="2"/>
        <w:rPr>
          <w:rFonts w:hint="eastAsia" w:ascii="黑体" w:hAnsi="黑体" w:eastAsia="黑体"/>
          <w:b/>
          <w:sz w:val="24"/>
        </w:rPr>
      </w:pPr>
      <w:bookmarkStart w:id="65" w:name="_Toc20651217"/>
      <w:bookmarkStart w:id="66" w:name="_Toc7540"/>
      <w:r>
        <w:rPr>
          <w:rFonts w:hint="eastAsia" w:ascii="黑体" w:hAnsi="黑体" w:eastAsia="黑体"/>
          <w:b/>
          <w:sz w:val="24"/>
        </w:rPr>
        <w:t>2．评标程序</w:t>
      </w:r>
      <w:bookmarkEnd w:id="65"/>
      <w:bookmarkEnd w:id="66"/>
    </w:p>
    <w:p w14:paraId="199ADF9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2.1评标程序分为投标文件符合性审查、澄清有关问题、比较和评价、推荐中标候选人。</w:t>
      </w:r>
    </w:p>
    <w:p w14:paraId="03B3F158">
      <w:pPr>
        <w:adjustRightInd w:val="0"/>
        <w:snapToGrid w:val="0"/>
        <w:spacing w:before="156" w:beforeLines="50" w:line="360" w:lineRule="auto"/>
        <w:outlineLvl w:val="2"/>
        <w:rPr>
          <w:rFonts w:hint="eastAsia" w:ascii="黑体" w:hAnsi="黑体" w:eastAsia="黑体"/>
          <w:b/>
          <w:sz w:val="24"/>
        </w:rPr>
      </w:pPr>
      <w:bookmarkStart w:id="67" w:name="_Toc21512"/>
      <w:bookmarkStart w:id="68" w:name="_Toc20651218"/>
      <w:r>
        <w:rPr>
          <w:rFonts w:hint="eastAsia" w:ascii="黑体" w:hAnsi="黑体" w:eastAsia="黑体"/>
          <w:b/>
          <w:sz w:val="24"/>
        </w:rPr>
        <w:t>3．投标文件的符合性审查</w:t>
      </w:r>
      <w:bookmarkEnd w:id="67"/>
      <w:bookmarkEnd w:id="68"/>
    </w:p>
    <w:p w14:paraId="7CD1CE5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3.1资格审查结束后，评标委员会依法按照本章第三节“投标文件的符合性审查”规定进行投标文件符合性。</w:t>
      </w:r>
    </w:p>
    <w:p w14:paraId="54E55BB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3.2符合性审查合格投标人少于3家的，应予废标。</w:t>
      </w:r>
    </w:p>
    <w:p w14:paraId="583DC53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3.3单一产品采购项目：提供相同品牌产品的不同投标人参加同一合同项下投标的，按一家投标人计算。提供不同品牌产品的投标人不足三家的，应予废标。</w:t>
      </w:r>
    </w:p>
    <w:p w14:paraId="472C168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3.4非单一产品采购项目：采购人或者采购代理机构将在</w:t>
      </w:r>
      <w:r>
        <w:rPr>
          <w:rFonts w:hint="eastAsia" w:ascii="宋体" w:hAnsi="宋体"/>
          <w:b/>
          <w:szCs w:val="21"/>
        </w:rPr>
        <w:t>【评标方法及标准前附表】</w:t>
      </w:r>
      <w:r>
        <w:rPr>
          <w:rFonts w:hint="eastAsia" w:ascii="宋体" w:hAnsi="宋体"/>
          <w:szCs w:val="21"/>
        </w:rPr>
        <w:t>中载明核心产品。多家投标人提供的核心产品品牌相同的，视为相同品牌，按本章本节第3.3款规定处理。</w:t>
      </w:r>
    </w:p>
    <w:p w14:paraId="5C561C90">
      <w:pPr>
        <w:adjustRightInd w:val="0"/>
        <w:snapToGrid w:val="0"/>
        <w:spacing w:before="156" w:beforeLines="50" w:line="360" w:lineRule="auto"/>
        <w:outlineLvl w:val="2"/>
        <w:rPr>
          <w:rFonts w:hint="eastAsia" w:ascii="黑体" w:hAnsi="黑体" w:eastAsia="黑体"/>
          <w:b/>
          <w:sz w:val="24"/>
        </w:rPr>
      </w:pPr>
      <w:bookmarkStart w:id="69" w:name="_Toc12289"/>
      <w:bookmarkStart w:id="70" w:name="_Toc20651219"/>
      <w:r>
        <w:rPr>
          <w:rFonts w:hint="eastAsia" w:ascii="黑体" w:hAnsi="黑体" w:eastAsia="黑体"/>
          <w:b/>
          <w:sz w:val="24"/>
        </w:rPr>
        <w:t>4．投标文件的澄清</w:t>
      </w:r>
      <w:bookmarkEnd w:id="69"/>
      <w:bookmarkEnd w:id="70"/>
    </w:p>
    <w:p w14:paraId="004CA06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4.1对于投标文件中含义不明确、同类问题表述不一致或者有明显文字和计算错误的内容，评标委员会应当以书面形式要求投标人作出必要的澄清、说明或者补正。</w:t>
      </w:r>
    </w:p>
    <w:p w14:paraId="11C1F5D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4.2投标文件的投标报价出现前后不一致的，除</w:t>
      </w:r>
      <w:r>
        <w:rPr>
          <w:rFonts w:hint="eastAsia" w:ascii="宋体" w:hAnsi="宋体"/>
          <w:b/>
          <w:szCs w:val="21"/>
        </w:rPr>
        <w:t>【评标方法及标准前附表】</w:t>
      </w:r>
      <w:r>
        <w:rPr>
          <w:rFonts w:hint="eastAsia" w:ascii="宋体" w:hAnsi="宋体"/>
          <w:szCs w:val="21"/>
        </w:rPr>
        <w:t>另有规定外，按照下列规定修正：</w:t>
      </w:r>
    </w:p>
    <w:p w14:paraId="21D72C7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（1）投标文件中开标一览表内容与投标文件中相应内容不一致的，以开标一览表为准；</w:t>
      </w:r>
    </w:p>
    <w:p w14:paraId="7258DC2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（2）大写金额和小写金额不一致的，以大写金额为准；</w:t>
      </w:r>
    </w:p>
    <w:p w14:paraId="6A7A76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（3）单价金额小数点或者百分比有明显错位的，以开标一览表的总价为准，并修改单价；</w:t>
      </w:r>
    </w:p>
    <w:p w14:paraId="56F8290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 xml:space="preserve">（4）总价金额与按单价汇总金额不一致的，以单价金额计算结果为准。  </w:t>
      </w:r>
    </w:p>
    <w:p w14:paraId="2701AC9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4.3投标文件报价同时出现两种以上不一致的，按照前款规定的顺序修正。修正后的报价由投标人代表签字或者加盖单位章确认后产生约束力，投标人不确认的，其投标无效。</w:t>
      </w:r>
    </w:p>
    <w:p w14:paraId="4D36BEF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34241A9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4.5有效的书面澄清材料，是投标文件的补充材料，成为投标文件的组成部分。</w:t>
      </w:r>
    </w:p>
    <w:p w14:paraId="584AAFB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44340833">
      <w:pPr>
        <w:adjustRightInd w:val="0"/>
        <w:snapToGrid w:val="0"/>
        <w:spacing w:before="156" w:beforeLines="50" w:line="360" w:lineRule="auto"/>
        <w:outlineLvl w:val="2"/>
        <w:rPr>
          <w:rFonts w:hint="eastAsia" w:ascii="黑体" w:hAnsi="黑体" w:eastAsia="黑体"/>
          <w:b/>
          <w:sz w:val="24"/>
        </w:rPr>
      </w:pPr>
      <w:bookmarkStart w:id="71" w:name="_Toc15907"/>
      <w:bookmarkStart w:id="72" w:name="_Toc20651220"/>
      <w:r>
        <w:rPr>
          <w:rFonts w:hint="eastAsia" w:ascii="黑体" w:hAnsi="黑体" w:eastAsia="黑体"/>
          <w:b/>
          <w:sz w:val="24"/>
        </w:rPr>
        <w:t>5．投标文件的比较与评价</w:t>
      </w:r>
      <w:bookmarkEnd w:id="71"/>
      <w:bookmarkEnd w:id="72"/>
    </w:p>
    <w:p w14:paraId="379DAD2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5.1评标委员会依法按照本章第三节“投标文件的比较与评价”规定，对资格性检查和符合性检查合格的投标文件进行比较和评价。</w:t>
      </w:r>
    </w:p>
    <w:p w14:paraId="58D1F01B">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5.2单一产品采购项目：</w:t>
      </w:r>
    </w:p>
    <w:p w14:paraId="38DBB4D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（1）最低评标价法：</w:t>
      </w:r>
      <w:r>
        <w:rPr>
          <w:rFonts w:hint="eastAsia" w:ascii="宋体" w:hAnsi="宋体"/>
          <w:bCs/>
          <w:szCs w:val="21"/>
        </w:rPr>
        <w:t>提供相同品牌产品的不同投标人参加同一合同项下投标的，以其中通过资格审查、符合性审查且报价最低的参加评标，其他投标无效；报价相同的，按照</w:t>
      </w:r>
      <w:r>
        <w:rPr>
          <w:rFonts w:hint="eastAsia" w:ascii="宋体" w:hAnsi="宋体"/>
          <w:b/>
          <w:bCs/>
          <w:szCs w:val="21"/>
        </w:rPr>
        <w:t>【评标方法及标准前附表】</w:t>
      </w:r>
      <w:r>
        <w:rPr>
          <w:rFonts w:hint="eastAsia" w:ascii="宋体" w:hAnsi="宋体"/>
          <w:bCs/>
          <w:szCs w:val="21"/>
        </w:rPr>
        <w:t>规定的方式确定一个参加评标的投标人，招标文件未规定的采取随机抽取方式确定，其他</w:t>
      </w:r>
      <w:r>
        <w:rPr>
          <w:rFonts w:hint="eastAsia" w:ascii="宋体" w:hAnsi="宋体"/>
          <w:b/>
          <w:bCs/>
          <w:szCs w:val="21"/>
        </w:rPr>
        <w:t>投标无效</w:t>
      </w:r>
      <w:r>
        <w:rPr>
          <w:rFonts w:hint="eastAsia" w:ascii="宋体" w:hAnsi="宋体"/>
          <w:bCs/>
          <w:szCs w:val="21"/>
        </w:rPr>
        <w:t>。</w:t>
      </w:r>
    </w:p>
    <w:p w14:paraId="186FC4B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b/>
          <w:szCs w:val="21"/>
        </w:rPr>
        <w:t>【评标方法及标准前附表】</w:t>
      </w:r>
      <w:r>
        <w:rPr>
          <w:rFonts w:hint="eastAsia" w:ascii="宋体" w:hAnsi="宋体"/>
          <w:szCs w:val="21"/>
        </w:rPr>
        <w:t>规定的方式确定一个投标人获得中标人推荐资格，招标文件未规定的采取随机抽取方式确定，其他同品牌投标人</w:t>
      </w:r>
      <w:r>
        <w:rPr>
          <w:rFonts w:hint="eastAsia" w:ascii="宋体" w:hAnsi="宋体"/>
          <w:b/>
          <w:szCs w:val="21"/>
        </w:rPr>
        <w:t>不作为中标候选人</w:t>
      </w:r>
      <w:r>
        <w:rPr>
          <w:rFonts w:hint="eastAsia" w:ascii="宋体" w:hAnsi="宋体"/>
          <w:szCs w:val="21"/>
        </w:rPr>
        <w:t>。</w:t>
      </w:r>
    </w:p>
    <w:p w14:paraId="3F50510F">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5.3非单一产品采购项目：多家投标人提供的核心产品品牌相同的，视为相同品牌，按本章本节第 5.2 款规定处理。</w:t>
      </w:r>
    </w:p>
    <w:p w14:paraId="68D517C4">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5.4政府采购政策：</w:t>
      </w:r>
    </w:p>
    <w:p w14:paraId="0EF549C3">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（1）</w:t>
      </w:r>
      <w:r>
        <w:rPr>
          <w:rFonts w:hint="eastAsia" w:ascii="宋体" w:hAnsi="宋体"/>
          <w:bCs/>
          <w:szCs w:val="21"/>
        </w:rPr>
        <w:t>价格评审优惠：</w:t>
      </w:r>
      <w:r>
        <w:rPr>
          <w:rFonts w:hint="eastAsia" w:ascii="宋体" w:hAnsi="宋体"/>
          <w:szCs w:val="21"/>
        </w:rPr>
        <w:t>按</w:t>
      </w:r>
      <w:r>
        <w:rPr>
          <w:rFonts w:hint="eastAsia" w:ascii="宋体" w:hAnsi="宋体"/>
          <w:b/>
          <w:szCs w:val="21"/>
        </w:rPr>
        <w:t>【评标方法及标准前附表】</w:t>
      </w:r>
      <w:r>
        <w:rPr>
          <w:rFonts w:hint="eastAsia" w:ascii="宋体" w:hAnsi="宋体"/>
          <w:szCs w:val="21"/>
        </w:rPr>
        <w:t>及第二章“投标须知”的相关规定给予一定的价格折扣。</w:t>
      </w:r>
    </w:p>
    <w:p w14:paraId="6B10A5D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（2）优先采购：</w:t>
      </w:r>
      <w:r>
        <w:rPr>
          <w:rFonts w:hint="eastAsia" w:ascii="宋体" w:hAnsi="宋体"/>
          <w:bCs/>
          <w:szCs w:val="21"/>
        </w:rPr>
        <w:t>评审时按</w:t>
      </w:r>
      <w:r>
        <w:rPr>
          <w:rFonts w:hint="eastAsia" w:ascii="宋体" w:hAnsi="宋体"/>
          <w:b/>
          <w:szCs w:val="21"/>
        </w:rPr>
        <w:t>【评标方法及标准前附表】</w:t>
      </w:r>
      <w:r>
        <w:rPr>
          <w:rFonts w:hint="eastAsia" w:ascii="宋体" w:hAnsi="宋体"/>
          <w:bCs/>
          <w:szCs w:val="21"/>
        </w:rPr>
        <w:t>及第二章</w:t>
      </w:r>
      <w:r>
        <w:rPr>
          <w:rFonts w:hint="eastAsia" w:ascii="宋体" w:hAnsi="宋体"/>
          <w:szCs w:val="21"/>
        </w:rPr>
        <w:t>“投标须知”</w:t>
      </w:r>
      <w:r>
        <w:rPr>
          <w:rFonts w:hint="eastAsia" w:ascii="宋体" w:hAnsi="宋体"/>
          <w:bCs/>
          <w:szCs w:val="21"/>
        </w:rPr>
        <w:t>的相关规定给予价格折扣或者加分。</w:t>
      </w:r>
    </w:p>
    <w:p w14:paraId="5880CC65">
      <w:pPr>
        <w:adjustRightInd w:val="0"/>
        <w:snapToGrid w:val="0"/>
        <w:spacing w:before="156" w:beforeLines="50" w:line="360" w:lineRule="auto"/>
        <w:outlineLvl w:val="2"/>
        <w:rPr>
          <w:rFonts w:hint="eastAsia" w:ascii="黑体" w:hAnsi="黑体" w:eastAsia="黑体"/>
          <w:b/>
          <w:bCs/>
          <w:color w:val="FF0000"/>
          <w:sz w:val="24"/>
        </w:rPr>
      </w:pPr>
      <w:bookmarkStart w:id="73" w:name="_Toc2570"/>
      <w:bookmarkStart w:id="74" w:name="_Toc20651221"/>
      <w:r>
        <w:rPr>
          <w:rFonts w:hint="eastAsia" w:ascii="黑体" w:hAnsi="黑体" w:eastAsia="黑体"/>
          <w:b/>
          <w:sz w:val="24"/>
        </w:rPr>
        <w:t>6．</w:t>
      </w:r>
      <w:r>
        <w:rPr>
          <w:rFonts w:hint="eastAsia" w:ascii="黑体" w:hAnsi="黑体" w:eastAsia="黑体"/>
          <w:b/>
          <w:bCs/>
          <w:sz w:val="24"/>
        </w:rPr>
        <w:t>推荐中标候选人</w:t>
      </w:r>
      <w:bookmarkEnd w:id="73"/>
      <w:bookmarkEnd w:id="74"/>
    </w:p>
    <w:p w14:paraId="191561E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6.1最低评标价法：</w:t>
      </w:r>
      <w:r>
        <w:rPr>
          <w:rFonts w:hint="eastAsia" w:ascii="宋体" w:hAnsi="宋体"/>
          <w:bCs/>
          <w:szCs w:val="21"/>
        </w:rPr>
        <w:t>评标结果按算术修正和落实政府采购政策需进行的价格扣除后的投标报价由低到高顺序排列。报价相同的并列，按</w:t>
      </w:r>
      <w:r>
        <w:rPr>
          <w:rFonts w:hint="eastAsia" w:ascii="宋体" w:hAnsi="宋体"/>
          <w:b/>
          <w:szCs w:val="21"/>
        </w:rPr>
        <w:t>【评标方法及标准前附表】</w:t>
      </w:r>
      <w:r>
        <w:rPr>
          <w:rFonts w:hint="eastAsia" w:ascii="宋体" w:hAnsi="宋体"/>
          <w:szCs w:val="21"/>
        </w:rPr>
        <w:t>规定的方式确定中标人；</w:t>
      </w:r>
      <w:r>
        <w:rPr>
          <w:rFonts w:hint="eastAsia" w:ascii="宋体" w:hAnsi="宋体"/>
          <w:bCs/>
          <w:szCs w:val="21"/>
        </w:rPr>
        <w:t>招标文件未规定的，采取随机抽取的方式确定。</w:t>
      </w:r>
    </w:p>
    <w:p w14:paraId="23BE3AC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6.2综合评分法：评标结果按评审后得分由高到低顺序排列。得分相同的，按投标报价由低到高顺序排列。得分且投标报价相同的并列，按</w:t>
      </w:r>
      <w:r>
        <w:rPr>
          <w:rFonts w:hint="eastAsia" w:ascii="宋体" w:hAnsi="宋体"/>
          <w:b/>
          <w:bCs/>
          <w:szCs w:val="21"/>
        </w:rPr>
        <w:t>【评标方法及标准前附表】</w:t>
      </w:r>
      <w:r>
        <w:rPr>
          <w:rFonts w:hint="eastAsia" w:ascii="宋体" w:hAnsi="宋体"/>
          <w:bCs/>
          <w:szCs w:val="21"/>
        </w:rPr>
        <w:t>规定的方式确定中标人；招标文件未规定的，采取随机抽取的方式确定。</w:t>
      </w:r>
    </w:p>
    <w:p w14:paraId="45CDDD6E">
      <w:pPr>
        <w:adjustRightInd w:val="0"/>
        <w:snapToGrid w:val="0"/>
        <w:spacing w:before="156" w:beforeLines="50" w:line="360" w:lineRule="auto"/>
        <w:outlineLvl w:val="2"/>
        <w:rPr>
          <w:rFonts w:hint="eastAsia" w:ascii="黑体" w:hAnsi="黑体" w:eastAsia="黑体"/>
          <w:b/>
          <w:bCs/>
          <w:sz w:val="24"/>
        </w:rPr>
      </w:pPr>
      <w:bookmarkStart w:id="75" w:name="_Toc28196"/>
      <w:bookmarkStart w:id="76" w:name="_Toc20651222"/>
      <w:r>
        <w:rPr>
          <w:rFonts w:hint="eastAsia" w:ascii="黑体" w:hAnsi="黑体" w:eastAsia="黑体"/>
          <w:b/>
          <w:sz w:val="24"/>
        </w:rPr>
        <w:t>7．</w:t>
      </w:r>
      <w:r>
        <w:rPr>
          <w:rFonts w:hint="eastAsia" w:ascii="黑体" w:hAnsi="黑体" w:eastAsia="黑体"/>
          <w:b/>
          <w:bCs/>
          <w:sz w:val="24"/>
        </w:rPr>
        <w:t>编写评标报告</w:t>
      </w:r>
      <w:bookmarkEnd w:id="75"/>
      <w:bookmarkEnd w:id="76"/>
    </w:p>
    <w:p w14:paraId="7BA8852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7.1评标</w:t>
      </w:r>
      <w:r>
        <w:rPr>
          <w:rFonts w:hint="eastAsia" w:ascii="宋体" w:hAnsi="宋体"/>
          <w:bCs/>
          <w:szCs w:val="21"/>
        </w:rPr>
        <w:t>委员会</w:t>
      </w:r>
      <w:r>
        <w:rPr>
          <w:rFonts w:hint="eastAsia" w:ascii="宋体" w:hAnsi="宋体"/>
          <w:szCs w:val="21"/>
        </w:rPr>
        <w:t>根据全体评标成员签字的原始评标记录和评标结果编写评标报告。</w:t>
      </w:r>
    </w:p>
    <w:p w14:paraId="76ADAA57">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7.2</w:t>
      </w:r>
      <w:r>
        <w:rPr>
          <w:rFonts w:hint="eastAsia" w:ascii="宋体" w:hAnsi="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841C2A2">
      <w:pPr>
        <w:adjustRightInd w:val="0"/>
        <w:snapToGrid w:val="0"/>
        <w:spacing w:before="156" w:beforeLines="50" w:line="360" w:lineRule="auto"/>
        <w:outlineLvl w:val="2"/>
        <w:rPr>
          <w:rFonts w:hint="eastAsia" w:ascii="黑体" w:hAnsi="黑体" w:eastAsia="黑体"/>
          <w:b/>
          <w:sz w:val="24"/>
        </w:rPr>
      </w:pPr>
      <w:bookmarkStart w:id="77" w:name="_Toc20651223"/>
      <w:bookmarkStart w:id="78" w:name="_Toc10838"/>
      <w:r>
        <w:rPr>
          <w:rFonts w:hint="eastAsia" w:ascii="黑体" w:hAnsi="黑体" w:eastAsia="黑体"/>
          <w:b/>
          <w:sz w:val="24"/>
        </w:rPr>
        <w:t>8．</w:t>
      </w:r>
      <w:r>
        <w:rPr>
          <w:rFonts w:hint="eastAsia" w:ascii="黑体" w:hAnsi="黑体" w:eastAsia="黑体"/>
          <w:b/>
          <w:bCs/>
          <w:sz w:val="24"/>
        </w:rPr>
        <w:t>评标报告</w:t>
      </w:r>
      <w:r>
        <w:rPr>
          <w:rFonts w:hint="eastAsia" w:ascii="黑体" w:hAnsi="黑体" w:eastAsia="黑体"/>
          <w:b/>
          <w:sz w:val="24"/>
        </w:rPr>
        <w:t>复核</w:t>
      </w:r>
      <w:bookmarkEnd w:id="77"/>
      <w:bookmarkEnd w:id="78"/>
    </w:p>
    <w:p w14:paraId="4DA3034A">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8.1汇总结束后，评标委员会应当进行复核，特别要对拟推荐为中标候选供应商的、报价最低的、投标文件被认定为无效的进行重点复核。</w:t>
      </w:r>
    </w:p>
    <w:p w14:paraId="1EE072B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8.2汇总完成后，除下列情形外，任何人不得修改评标结果：</w:t>
      </w:r>
    </w:p>
    <w:p w14:paraId="3BEC3C66">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（1）分值汇总计算错误的；</w:t>
      </w:r>
    </w:p>
    <w:p w14:paraId="4726573F">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（2）分项评分超出评分标准范围的；</w:t>
      </w:r>
    </w:p>
    <w:p w14:paraId="76E3DAA5">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（3）评标委员会成员对客观评审因素评分不一致的；</w:t>
      </w:r>
    </w:p>
    <w:p w14:paraId="493EF0F7">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（4）经评标委员会认定评分畸高、畸低的。</w:t>
      </w:r>
    </w:p>
    <w:p w14:paraId="6EE9ACB5">
      <w:pPr>
        <w:adjustRightInd w:val="0"/>
        <w:snapToGrid w:val="0"/>
        <w:spacing w:before="156" w:beforeLines="50" w:line="360" w:lineRule="auto"/>
        <w:ind w:firstLine="420" w:firstLineChars="200"/>
        <w:jc w:val="left"/>
        <w:rPr>
          <w:rFonts w:hint="eastAsia" w:ascii="宋体" w:hAnsi="宋体"/>
          <w:b/>
          <w:bCs/>
          <w:szCs w:val="21"/>
        </w:rPr>
      </w:pPr>
      <w:r>
        <w:rPr>
          <w:rFonts w:hint="eastAsia" w:ascii="宋体" w:hAnsi="宋体"/>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9867E47">
      <w:pPr>
        <w:adjustRightInd w:val="0"/>
        <w:snapToGrid w:val="0"/>
        <w:spacing w:before="156" w:beforeLines="50" w:line="360" w:lineRule="auto"/>
        <w:outlineLvl w:val="2"/>
        <w:rPr>
          <w:rFonts w:hint="eastAsia" w:ascii="黑体" w:hAnsi="黑体" w:eastAsia="黑体"/>
          <w:b/>
          <w:sz w:val="24"/>
        </w:rPr>
      </w:pPr>
      <w:bookmarkStart w:id="79" w:name="_Toc15465"/>
      <w:bookmarkStart w:id="80" w:name="_Toc20651224"/>
      <w:r>
        <w:rPr>
          <w:rFonts w:hint="eastAsia" w:ascii="黑体" w:hAnsi="黑体" w:eastAsia="黑体"/>
          <w:b/>
          <w:bCs/>
          <w:sz w:val="24"/>
        </w:rPr>
        <w:t>9．</w:t>
      </w:r>
      <w:r>
        <w:rPr>
          <w:rFonts w:hint="eastAsia" w:ascii="黑体" w:hAnsi="黑体" w:eastAsia="黑体"/>
          <w:b/>
          <w:sz w:val="24"/>
        </w:rPr>
        <w:t>停止评标</w:t>
      </w:r>
      <w:bookmarkEnd w:id="79"/>
      <w:bookmarkEnd w:id="80"/>
    </w:p>
    <w:p w14:paraId="42425A02">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bCs/>
          <w:szCs w:val="21"/>
        </w:rPr>
        <w:t>9.1</w:t>
      </w:r>
      <w:r>
        <w:rPr>
          <w:rFonts w:hint="eastAsia" w:ascii="宋体" w:hAnsi="宋体" w:cs="宋体"/>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1E3B5B06">
      <w:pPr>
        <w:adjustRightInd w:val="0"/>
        <w:snapToGrid w:val="0"/>
        <w:spacing w:before="156" w:beforeLines="50" w:line="360" w:lineRule="auto"/>
        <w:outlineLvl w:val="2"/>
        <w:rPr>
          <w:rFonts w:hint="eastAsia" w:ascii="黑体" w:hAnsi="黑体" w:eastAsia="黑体" w:cs="宋体"/>
          <w:b/>
          <w:bCs/>
          <w:kern w:val="0"/>
          <w:sz w:val="24"/>
        </w:rPr>
      </w:pPr>
      <w:bookmarkStart w:id="81" w:name="_Toc29093"/>
      <w:r>
        <w:rPr>
          <w:rFonts w:hint="eastAsia" w:ascii="黑体" w:hAnsi="黑体" w:eastAsia="黑体" w:cs="宋体"/>
          <w:b/>
          <w:bCs/>
          <w:kern w:val="0"/>
          <w:sz w:val="24"/>
        </w:rPr>
        <w:t>10.废标</w:t>
      </w:r>
      <w:bookmarkEnd w:id="81"/>
    </w:p>
    <w:p w14:paraId="658A7EF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10.1 根据有关法律法规和招标文件的有关规定，如出现下列情况之一的，应予以废标：</w:t>
      </w:r>
    </w:p>
    <w:p w14:paraId="02F61CD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（1）符合专业条件的投标人或者对招标文件作实质响应的投标人不足三家的；</w:t>
      </w:r>
    </w:p>
    <w:p w14:paraId="225C7D1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（2）出现影响采购公正的违法、违规行为的；</w:t>
      </w:r>
    </w:p>
    <w:p w14:paraId="5078A4B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（3）投标人的报价均超过招标人项目采购预算，招标人不能支付的；</w:t>
      </w:r>
    </w:p>
    <w:p w14:paraId="297AC94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（4）因重大变故，采购任务取消的。</w:t>
      </w:r>
    </w:p>
    <w:p w14:paraId="2FECAD5A">
      <w:pPr>
        <w:adjustRightInd w:val="0"/>
        <w:snapToGrid w:val="0"/>
        <w:spacing w:before="156" w:beforeLines="50" w:line="360" w:lineRule="auto"/>
        <w:outlineLvl w:val="2"/>
        <w:rPr>
          <w:rFonts w:hint="eastAsia" w:ascii="黑体" w:hAnsi="黑体" w:eastAsia="黑体"/>
          <w:b/>
          <w:sz w:val="24"/>
        </w:rPr>
      </w:pPr>
      <w:bookmarkStart w:id="82" w:name="_Toc20651225"/>
      <w:bookmarkStart w:id="83" w:name="_Toc4421"/>
      <w:r>
        <w:rPr>
          <w:rFonts w:hint="eastAsia" w:ascii="黑体" w:hAnsi="黑体" w:eastAsia="黑体" w:cs="宋体"/>
          <w:b/>
          <w:bCs/>
          <w:kern w:val="0"/>
          <w:sz w:val="24"/>
        </w:rPr>
        <w:t>11．重新组建评标委员会进行评标</w:t>
      </w:r>
      <w:bookmarkEnd w:id="82"/>
      <w:bookmarkEnd w:id="83"/>
    </w:p>
    <w:p w14:paraId="4919CB6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11.1评标委员会或者其成员存在下列情形导致评标结果无效的，采购人、采购代理机构可以重新组建评标委员会进行评标，并书面报告本级财政部门，但采购合同已经履行的除外：</w:t>
      </w:r>
    </w:p>
    <w:p w14:paraId="36C7FB4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（1）评标委员会组成不符合《政府采购货物和服务招标投标管理办法》规定的；</w:t>
      </w:r>
    </w:p>
    <w:p w14:paraId="35DED4B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（2）有《政府采购货物和服务招标投标管理办法》第六十二条第一至五项情形的；</w:t>
      </w:r>
    </w:p>
    <w:p w14:paraId="5403D3C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（3）评标委员会及其成员独立评标受到非法干预的；</w:t>
      </w:r>
    </w:p>
    <w:p w14:paraId="487739D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（4）有政府采购法实施条例第七十五条规定的违法行为的。</w:t>
      </w:r>
    </w:p>
    <w:p w14:paraId="427B3FA7">
      <w:pPr>
        <w:adjustRightInd w:val="0"/>
        <w:snapToGrid w:val="0"/>
        <w:spacing w:before="156" w:beforeLines="50" w:line="360" w:lineRule="auto"/>
        <w:ind w:firstLine="420" w:firstLineChars="200"/>
        <w:jc w:val="left"/>
        <w:rPr>
          <w:rFonts w:hint="eastAsia" w:ascii="黑体" w:hAnsi="华文中宋" w:eastAsia="黑体"/>
          <w:b/>
          <w:sz w:val="32"/>
          <w:szCs w:val="32"/>
        </w:rPr>
      </w:pPr>
      <w:r>
        <w:rPr>
          <w:rFonts w:hint="eastAsia" w:ascii="宋体" w:hAnsi="宋体"/>
          <w:szCs w:val="21"/>
        </w:rPr>
        <w:t>11.2有违法违规行为的原评标委员会成员不得参加重新组建的评标委员会。</w:t>
      </w:r>
      <w:r>
        <w:rPr>
          <w:rFonts w:ascii="黑体" w:hAnsi="华文中宋" w:eastAsia="黑体"/>
          <w:b/>
          <w:sz w:val="32"/>
          <w:szCs w:val="32"/>
        </w:rPr>
        <w:br w:type="page"/>
      </w:r>
    </w:p>
    <w:p w14:paraId="549E7312">
      <w:pPr>
        <w:keepNext/>
        <w:keepLines/>
        <w:adjustRightInd w:val="0"/>
        <w:snapToGrid w:val="0"/>
        <w:spacing w:line="360" w:lineRule="auto"/>
        <w:jc w:val="center"/>
        <w:outlineLvl w:val="1"/>
        <w:rPr>
          <w:rFonts w:hint="eastAsia" w:ascii="黑体" w:hAnsi="华文中宋" w:eastAsia="黑体"/>
          <w:b/>
          <w:bCs/>
          <w:sz w:val="28"/>
          <w:szCs w:val="28"/>
        </w:rPr>
      </w:pPr>
      <w:bookmarkStart w:id="84" w:name="_Toc20651226"/>
      <w:bookmarkStart w:id="85" w:name="_Toc12127"/>
      <w:r>
        <w:rPr>
          <w:rFonts w:hint="eastAsia" w:ascii="黑体" w:hAnsi="华文中宋" w:eastAsia="黑体"/>
          <w:b/>
          <w:bCs/>
          <w:sz w:val="28"/>
          <w:szCs w:val="28"/>
        </w:rPr>
        <w:t>第三节 投标文件的符合性审查</w:t>
      </w:r>
      <w:bookmarkEnd w:id="84"/>
      <w:bookmarkEnd w:id="85"/>
    </w:p>
    <w:p w14:paraId="206ACA99">
      <w:pPr>
        <w:adjustRightInd w:val="0"/>
        <w:snapToGrid w:val="0"/>
        <w:spacing w:before="156" w:beforeLines="50" w:line="360" w:lineRule="auto"/>
        <w:rPr>
          <w:rFonts w:hint="eastAsia" w:ascii="黑体" w:hAnsi="黑体" w:eastAsia="黑体"/>
          <w:b/>
          <w:sz w:val="24"/>
        </w:rPr>
      </w:pPr>
      <w:r>
        <w:rPr>
          <w:rFonts w:hint="eastAsia" w:ascii="黑体" w:hAnsi="黑体" w:eastAsia="黑体"/>
          <w:b/>
          <w:sz w:val="24"/>
        </w:rPr>
        <w:t>1.符合性审查</w:t>
      </w:r>
    </w:p>
    <w:p w14:paraId="19AEC838">
      <w:pPr>
        <w:adjustRightInd w:val="0"/>
        <w:snapToGrid w:val="0"/>
        <w:spacing w:before="156" w:beforeLines="50" w:line="360" w:lineRule="auto"/>
        <w:ind w:firstLine="420" w:firstLineChars="200"/>
        <w:rPr>
          <w:rFonts w:hint="eastAsia" w:ascii="宋体" w:hAnsi="宋体"/>
        </w:rPr>
      </w:pPr>
      <w:r>
        <w:rPr>
          <w:rFonts w:hint="eastAsia" w:ascii="宋体" w:hAnsi="宋体"/>
        </w:rPr>
        <w:t>1.1</w:t>
      </w:r>
      <w:r>
        <w:rPr>
          <w:rFonts w:hint="eastAsia" w:ascii="宋体" w:hAnsi="宋体"/>
          <w:szCs w:val="21"/>
        </w:rPr>
        <w:t>评标委员会应按本章本节附表1“符合性审查表”所列审查项目及审查标准，</w:t>
      </w:r>
      <w:r>
        <w:rPr>
          <w:rFonts w:hint="eastAsia" w:ascii="宋体" w:hAnsi="宋体"/>
        </w:rPr>
        <w:t>对符合资格条件的投标人的投标文件进行符合性审查，以确定其是否满足招标文件的实质性要求。</w:t>
      </w:r>
    </w:p>
    <w:p w14:paraId="1A74D5C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3725295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（2）投标人不得通过修正或撤销不合要求的偏离从而使其投标成为实质上响应的投标。</w:t>
      </w:r>
    </w:p>
    <w:p w14:paraId="1E7A9536">
      <w:pPr>
        <w:adjustRightInd w:val="0"/>
        <w:snapToGrid w:val="0"/>
        <w:spacing w:before="156" w:beforeLines="50" w:line="360" w:lineRule="auto"/>
        <w:ind w:firstLine="420" w:firstLineChars="200"/>
        <w:jc w:val="left"/>
        <w:rPr>
          <w:rFonts w:hint="eastAsia" w:ascii="宋体" w:hAnsi="宋体"/>
        </w:rPr>
      </w:pPr>
      <w:r>
        <w:rPr>
          <w:rFonts w:hint="eastAsia" w:ascii="宋体" w:hAnsi="宋体"/>
          <w:kern w:val="0"/>
          <w:szCs w:val="21"/>
        </w:rPr>
        <w:t>1.2</w:t>
      </w:r>
      <w:r>
        <w:rPr>
          <w:rFonts w:hint="eastAsia" w:ascii="宋体" w:hAnsi="宋体"/>
        </w:rPr>
        <w:t>未通过符合性审查的投标人，其投标将被认定为投标无效，不能进入下一阶段评审。通过符合性审查的投标人数量不足 3 家的，不得作进一步的比较和评价。</w:t>
      </w:r>
    </w:p>
    <w:p w14:paraId="0D9FF101">
      <w:p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2.投标无效</w:t>
      </w:r>
    </w:p>
    <w:p w14:paraId="14F703D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2.1投标人存在下列情况之一的，符合性审查不合格，投标无效：</w:t>
      </w:r>
    </w:p>
    <w:p w14:paraId="72E4A5C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（1）投标文件中商务技术文件未按照招标文件规定要求签署、盖章的；</w:t>
      </w:r>
    </w:p>
    <w:p w14:paraId="12C6A8A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（2）投标文件没有对招标文件的实质性要求和条件作出响应，或者对招标文件的偏离超出招标文件规定的偏离</w:t>
      </w:r>
      <w:r>
        <w:rPr>
          <w:rFonts w:hint="eastAsia" w:ascii="宋体" w:hAnsi="宋体"/>
        </w:rPr>
        <w:t>范围和幅度</w:t>
      </w:r>
      <w:r>
        <w:rPr>
          <w:rFonts w:hint="eastAsia" w:ascii="宋体" w:hAnsi="宋体"/>
          <w:szCs w:val="21"/>
        </w:rPr>
        <w:t>；</w:t>
      </w:r>
    </w:p>
    <w:p w14:paraId="714680A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）评标委员会认为投标人的</w:t>
      </w:r>
      <w:r>
        <w:rPr>
          <w:rFonts w:hint="eastAsia" w:ascii="宋体" w:hAnsi="宋体"/>
          <w:color w:val="auto"/>
          <w:szCs w:val="21"/>
          <w:highlight w:val="none"/>
          <w:lang w:val="en-US" w:eastAsia="zh-CN"/>
        </w:rPr>
        <w:t>投标报价为异常低价</w:t>
      </w:r>
      <w:r>
        <w:rPr>
          <w:rFonts w:hint="eastAsia" w:ascii="宋体" w:hAnsi="宋体"/>
          <w:color w:val="auto"/>
          <w:szCs w:val="21"/>
          <w:highlight w:val="none"/>
          <w:lang w:eastAsia="zh-CN"/>
        </w:rPr>
        <w:t>，有可能影响产品质量或者不能诚信履约的，要求提供项目具体成本测算等与报价合理性相关的书面说明及必要的证明材料；投标（响应）供应商不能提供书面说明、证明材料，或者提供的书面说明、证明材料不能证明其报价合理性的，评审委员会应当将其作为无效投标（响应）处理。</w:t>
      </w:r>
      <w:r>
        <w:rPr>
          <w:rFonts w:hint="eastAsia" w:ascii="宋体" w:hAnsi="宋体"/>
          <w:color w:val="auto"/>
          <w:szCs w:val="21"/>
          <w:highlight w:val="none"/>
          <w:lang w:val="en-US" w:eastAsia="zh-CN"/>
        </w:rPr>
        <w:t>异常低价的情形见2.3条款。</w:t>
      </w:r>
    </w:p>
    <w:p w14:paraId="593E1FE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）投标有效期不足的；</w:t>
      </w:r>
    </w:p>
    <w:p w14:paraId="6F90AC6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）投标文件含有采购人不能接受的附加条件的；</w:t>
      </w:r>
    </w:p>
    <w:p w14:paraId="37A2C5B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6</w:t>
      </w:r>
      <w:r>
        <w:rPr>
          <w:rFonts w:hint="eastAsia" w:ascii="宋体" w:hAnsi="宋体"/>
          <w:szCs w:val="21"/>
        </w:rPr>
        <w:t>）不符合本节第1.1款规定符合性审查标准的；</w:t>
      </w:r>
    </w:p>
    <w:p w14:paraId="4564A53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7</w:t>
      </w:r>
      <w:r>
        <w:rPr>
          <w:rFonts w:hint="eastAsia" w:ascii="宋体" w:hAnsi="宋体"/>
          <w:szCs w:val="21"/>
        </w:rPr>
        <w:t>）法律、法规和招标文件规定的其他投标无效情形的。</w:t>
      </w:r>
    </w:p>
    <w:p w14:paraId="5A7FCA41">
      <w:pPr>
        <w:adjustRightInd w:val="0"/>
        <w:snapToGrid w:val="0"/>
        <w:spacing w:before="156" w:beforeLines="50" w:line="360" w:lineRule="auto"/>
        <w:ind w:firstLine="420" w:firstLineChars="200"/>
        <w:jc w:val="left"/>
        <w:rPr>
          <w:rFonts w:hint="eastAsia" w:ascii="宋体" w:hAnsi="宋体"/>
          <w:kern w:val="0"/>
          <w:szCs w:val="21"/>
        </w:rPr>
      </w:pPr>
      <w:r>
        <w:rPr>
          <w:rFonts w:hint="eastAsia" w:ascii="宋体" w:hAnsi="宋体"/>
          <w:kern w:val="0"/>
          <w:szCs w:val="21"/>
        </w:rPr>
        <w:t>2.2在评标过程中发现投标人有不遵循公平竞争的原则，恶意串通，妨碍其他投标人的竞争行为，损害采购人或者其他投标人的合法权益的，评标委员会应当认定其</w:t>
      </w:r>
      <w:r>
        <w:rPr>
          <w:rFonts w:hint="eastAsia" w:ascii="宋体" w:hAnsi="宋体"/>
          <w:b/>
          <w:kern w:val="0"/>
          <w:szCs w:val="21"/>
        </w:rPr>
        <w:t>投标无效</w:t>
      </w:r>
      <w:r>
        <w:rPr>
          <w:rFonts w:hint="eastAsia" w:ascii="宋体" w:hAnsi="宋体"/>
          <w:kern w:val="0"/>
          <w:szCs w:val="21"/>
        </w:rPr>
        <w:t>，并书面报告本级财政部门。</w:t>
      </w:r>
    </w:p>
    <w:p w14:paraId="2F58E080">
      <w:pPr>
        <w:adjustRightInd w:val="0"/>
        <w:snapToGrid w:val="0"/>
        <w:spacing w:before="156" w:beforeLines="50" w:line="360" w:lineRule="auto"/>
        <w:ind w:firstLine="420" w:firstLineChars="200"/>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2.3政府采购评审中出现下列情形之一的，评审委员会应当启动异常低价投标（响应）审查程序：</w:t>
      </w:r>
    </w:p>
    <w:p w14:paraId="3095D860">
      <w:pPr>
        <w:pStyle w:val="41"/>
        <w:keepNext w:val="0"/>
        <w:keepLines w:val="0"/>
        <w:widowControl/>
        <w:suppressLineNumbers w:val="0"/>
        <w:spacing w:before="0" w:beforeAutospacing="0" w:after="0" w:afterAutospacing="0" w:line="480" w:lineRule="atLeast"/>
        <w:ind w:left="0" w:right="0" w:firstLine="640"/>
        <w:jc w:val="both"/>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（1）.投标（响应）报价低于全部通过符合性审查供应商投标（响应）报价平均值65%的，即投标（响应）报价&lt;全部通过符合性审查供应商投标（响应）报价平均值×65%；</w:t>
      </w:r>
    </w:p>
    <w:p w14:paraId="19F2BFFB">
      <w:pPr>
        <w:pStyle w:val="41"/>
        <w:keepNext w:val="0"/>
        <w:keepLines w:val="0"/>
        <w:widowControl/>
        <w:suppressLineNumbers w:val="0"/>
        <w:spacing w:before="0" w:beforeAutospacing="0" w:after="0" w:afterAutospacing="0" w:line="480" w:lineRule="atLeast"/>
        <w:ind w:left="0" w:right="0" w:firstLine="640"/>
        <w:jc w:val="both"/>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（2）.投标（响应）报价低于通过符合性审查的次低报价供应商投标（响应）报价65%的，即投标（响应）报价&lt;通过符合性审查的次低报价供应商投标（响应）报价×65%；</w:t>
      </w:r>
    </w:p>
    <w:p w14:paraId="320CFCAF">
      <w:pPr>
        <w:pStyle w:val="41"/>
        <w:keepNext w:val="0"/>
        <w:keepLines w:val="0"/>
        <w:widowControl/>
        <w:suppressLineNumbers w:val="0"/>
        <w:spacing w:before="0" w:beforeAutospacing="0" w:after="0" w:afterAutospacing="0" w:line="480" w:lineRule="atLeast"/>
        <w:ind w:left="0" w:right="0" w:firstLine="640"/>
        <w:jc w:val="both"/>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（3）.投标（响应）报价低于采购项目最高限价65%的，即投标（响应）报价&lt;采购项目最高限价×</w:t>
      </w:r>
      <w:r>
        <w:rPr>
          <w:rFonts w:hint="eastAsia" w:ascii="宋体" w:hAnsi="宋体" w:cs="Times New Roman"/>
          <w:color w:val="auto"/>
          <w:kern w:val="2"/>
          <w:sz w:val="21"/>
          <w:szCs w:val="21"/>
          <w:highlight w:val="none"/>
          <w:lang w:val="en-US" w:eastAsia="zh-CN" w:bidi="ar-SA"/>
        </w:rPr>
        <w:t>6</w:t>
      </w:r>
      <w:r>
        <w:rPr>
          <w:rFonts w:hint="eastAsia" w:ascii="宋体" w:hAnsi="宋体" w:eastAsia="宋体" w:cs="Times New Roman"/>
          <w:color w:val="auto"/>
          <w:kern w:val="2"/>
          <w:sz w:val="21"/>
          <w:szCs w:val="21"/>
          <w:highlight w:val="none"/>
          <w:lang w:val="en-US" w:eastAsia="zh-CN" w:bidi="ar-SA"/>
        </w:rPr>
        <w:t>5%；</w:t>
      </w:r>
    </w:p>
    <w:p w14:paraId="0320A5A2">
      <w:pPr>
        <w:pStyle w:val="41"/>
        <w:keepNext w:val="0"/>
        <w:keepLines w:val="0"/>
        <w:widowControl/>
        <w:suppressLineNumbers w:val="0"/>
        <w:spacing w:before="0" w:beforeAutospacing="0" w:after="0" w:afterAutospacing="0" w:line="480" w:lineRule="atLeast"/>
        <w:ind w:left="0" w:right="0" w:firstLine="64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（4）.评审委员会基于专业判断，认为供应商报价过低，有可能影响产品质量或者不能诚信履约的其他情形。</w:t>
      </w:r>
    </w:p>
    <w:p w14:paraId="1293E5E6">
      <w:pPr>
        <w:pStyle w:val="41"/>
        <w:keepNext w:val="0"/>
        <w:keepLines w:val="0"/>
        <w:widowControl/>
        <w:suppressLineNumbers w:val="0"/>
        <w:spacing w:before="0" w:beforeAutospacing="0" w:after="0" w:afterAutospacing="0" w:line="480" w:lineRule="atLeast"/>
        <w:ind w:left="0" w:right="0" w:firstLine="640"/>
        <w:jc w:val="both"/>
        <w:rPr>
          <w:rFonts w:hint="default" w:ascii="宋体" w:hAnsi="宋体" w:eastAsia="宋体" w:cs="Times New Roman"/>
          <w:color w:val="auto"/>
          <w:kern w:val="2"/>
          <w:sz w:val="21"/>
          <w:szCs w:val="21"/>
          <w:highlight w:val="none"/>
          <w:lang w:val="en-US" w:eastAsia="zh-CN" w:bidi="ar-SA"/>
        </w:rPr>
      </w:pPr>
      <w:r>
        <w:rPr>
          <w:rFonts w:hint="default" w:ascii="宋体" w:hAnsi="宋体" w:eastAsia="宋体" w:cs="Times New Roman"/>
          <w:color w:val="auto"/>
          <w:kern w:val="2"/>
          <w:sz w:val="21"/>
          <w:szCs w:val="21"/>
          <w:highlight w:val="none"/>
          <w:lang w:val="en-US" w:eastAsia="zh-CN" w:bidi="ar-SA"/>
        </w:rPr>
        <w:t>采购人可以结合具体项目实际情况，提高上述第1项至第3项中启动异常低价投标(响应)审查的数值标准，但是最高不得超过65%。</w:t>
      </w:r>
    </w:p>
    <w:p w14:paraId="42C5C43A">
      <w:pPr>
        <w:adjustRightInd w:val="0"/>
        <w:snapToGrid w:val="0"/>
        <w:spacing w:before="156" w:beforeLines="50"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评审委员会启动异常低价投标（响应）审查后，属于前述第</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项至第</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ECFA24B">
      <w:pPr>
        <w:adjustRightInd w:val="0"/>
        <w:snapToGrid w:val="0"/>
        <w:spacing w:before="156" w:beforeLines="50"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4E0B6F7">
      <w:pPr>
        <w:adjustRightInd w:val="0"/>
        <w:snapToGrid w:val="0"/>
        <w:spacing w:before="156" w:beforeLines="50" w:line="360" w:lineRule="auto"/>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4C3C608">
      <w:pPr>
        <w:adjustRightInd w:val="0"/>
        <w:snapToGrid w:val="0"/>
        <w:spacing w:before="156" w:beforeLines="50" w:line="360" w:lineRule="auto"/>
        <w:ind w:firstLine="420" w:firstLineChars="200"/>
        <w:jc w:val="left"/>
        <w:rPr>
          <w:rFonts w:hint="eastAsia" w:ascii="宋体" w:hAnsi="宋体"/>
          <w:kern w:val="0"/>
          <w:szCs w:val="21"/>
        </w:rPr>
      </w:pPr>
      <w:r>
        <w:rPr>
          <w:rFonts w:hint="eastAsia" w:ascii="宋体" w:hAnsi="宋体"/>
          <w:color w:val="auto"/>
          <w:kern w:val="0"/>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4E747843"/>
    <w:p w14:paraId="104C4A9C"/>
    <w:p w14:paraId="5309403A">
      <w:pPr>
        <w:widowControl/>
        <w:jc w:val="left"/>
        <w:rPr>
          <w:rFonts w:hint="eastAsia" w:ascii="黑体" w:hAnsi="黑体"/>
          <w:b/>
          <w:color w:val="FF0000"/>
          <w:szCs w:val="21"/>
        </w:rPr>
      </w:pPr>
      <w:r>
        <w:rPr>
          <w:rFonts w:ascii="黑体" w:hAnsi="黑体"/>
          <w:b/>
          <w:color w:val="FF0000"/>
          <w:szCs w:val="21"/>
        </w:rPr>
        <w:br w:type="page"/>
      </w:r>
    </w:p>
    <w:p w14:paraId="5C9B4C6A">
      <w:pPr>
        <w:keepNext/>
        <w:keepLines/>
        <w:adjustRightInd w:val="0"/>
        <w:snapToGrid w:val="0"/>
        <w:spacing w:before="156" w:beforeLines="50" w:line="360" w:lineRule="auto"/>
        <w:outlineLvl w:val="2"/>
        <w:rPr>
          <w:b/>
          <w:bCs/>
          <w:szCs w:val="21"/>
        </w:rPr>
      </w:pPr>
      <w:bookmarkStart w:id="86" w:name="_Toc20651227"/>
      <w:bookmarkStart w:id="87" w:name="_Toc13304"/>
      <w:bookmarkStart w:id="88" w:name="_Toc27987"/>
      <w:r>
        <w:rPr>
          <w:rFonts w:hint="eastAsia"/>
          <w:b/>
          <w:bCs/>
          <w:szCs w:val="21"/>
        </w:rPr>
        <w:t>附表1 符合性审查表</w:t>
      </w:r>
      <w:bookmarkEnd w:id="86"/>
      <w:bookmarkEnd w:id="87"/>
      <w:bookmarkEnd w:id="88"/>
    </w:p>
    <w:p w14:paraId="744783E4">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符合性审查表</w:t>
      </w:r>
    </w:p>
    <w:p w14:paraId="57163B05">
      <w:pPr>
        <w:adjustRightInd w:val="0"/>
        <w:snapToGrid w:val="0"/>
        <w:spacing w:line="360" w:lineRule="auto"/>
        <w:rPr>
          <w:rFonts w:hint="eastAsia" w:ascii="宋体" w:hAnsi="宋体"/>
          <w:szCs w:val="21"/>
        </w:rPr>
      </w:pPr>
      <w:r>
        <w:rPr>
          <w:rFonts w:hint="eastAsia" w:ascii="宋体" w:hAnsi="宋体"/>
          <w:szCs w:val="21"/>
        </w:rPr>
        <w:t xml:space="preserve">项目名称：            </w:t>
      </w:r>
    </w:p>
    <w:p w14:paraId="785FEECD">
      <w:pPr>
        <w:adjustRightInd w:val="0"/>
        <w:snapToGrid w:val="0"/>
        <w:spacing w:line="360" w:lineRule="auto"/>
        <w:rPr>
          <w:rFonts w:hint="eastAsia" w:ascii="黑体" w:hAnsi="黑体"/>
          <w:sz w:val="28"/>
          <w:szCs w:val="28"/>
        </w:rPr>
      </w:pPr>
      <w:r>
        <w:rPr>
          <w:rFonts w:hint="eastAsia" w:ascii="宋体" w:hAnsi="宋体"/>
          <w:szCs w:val="21"/>
          <w:lang w:eastAsia="zh-CN"/>
        </w:rPr>
        <w:t>政府采购计划编号</w:t>
      </w:r>
      <w:r>
        <w:rPr>
          <w:rFonts w:hint="eastAsia" w:ascii="宋体" w:hAnsi="宋体"/>
          <w:szCs w:val="21"/>
        </w:rPr>
        <w:t xml:space="preserve">：   </w:t>
      </w:r>
    </w:p>
    <w:tbl>
      <w:tblPr>
        <w:tblStyle w:val="1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060"/>
        <w:gridCol w:w="4317"/>
      </w:tblGrid>
      <w:tr w14:paraId="6A72E6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6AA64191">
            <w:pPr>
              <w:snapToGrid w:val="0"/>
              <w:spacing w:before="156" w:line="360" w:lineRule="auto"/>
              <w:textAlignment w:val="baseline"/>
              <w:rPr>
                <w:rFonts w:hint="eastAsia" w:ascii="宋体" w:hAnsi="宋体" w:cs="宋体"/>
                <w:b/>
                <w:kern w:val="0"/>
                <w:sz w:val="20"/>
                <w:szCs w:val="21"/>
              </w:rPr>
            </w:pPr>
            <w:r>
              <w:rPr>
                <w:rFonts w:hint="eastAsia" w:ascii="宋体" w:hAnsi="宋体" w:cs="宋体"/>
                <w:b/>
                <w:kern w:val="0"/>
                <w:szCs w:val="21"/>
              </w:rPr>
              <w:t>序号</w:t>
            </w:r>
          </w:p>
        </w:tc>
        <w:tc>
          <w:tcPr>
            <w:tcW w:w="4060" w:type="dxa"/>
            <w:vAlign w:val="center"/>
          </w:tcPr>
          <w:p w14:paraId="5FBEBC31">
            <w:pPr>
              <w:snapToGrid w:val="0"/>
              <w:spacing w:before="156" w:line="360" w:lineRule="auto"/>
              <w:textAlignment w:val="baseline"/>
              <w:rPr>
                <w:rFonts w:hint="eastAsia" w:ascii="宋体" w:hAnsi="宋体" w:cs="宋体"/>
                <w:b/>
                <w:kern w:val="0"/>
                <w:sz w:val="20"/>
                <w:szCs w:val="21"/>
              </w:rPr>
            </w:pPr>
            <w:r>
              <w:rPr>
                <w:rFonts w:hint="eastAsia" w:ascii="宋体" w:hAnsi="宋体" w:cs="宋体"/>
                <w:b/>
                <w:kern w:val="0"/>
                <w:szCs w:val="21"/>
              </w:rPr>
              <w:t>审查项目</w:t>
            </w:r>
          </w:p>
        </w:tc>
        <w:tc>
          <w:tcPr>
            <w:tcW w:w="4317" w:type="dxa"/>
            <w:vAlign w:val="center"/>
          </w:tcPr>
          <w:p w14:paraId="5C60FA78">
            <w:pPr>
              <w:snapToGrid w:val="0"/>
              <w:spacing w:before="156" w:line="360" w:lineRule="auto"/>
              <w:textAlignment w:val="baseline"/>
              <w:rPr>
                <w:rFonts w:hint="eastAsia" w:ascii="宋体" w:hAnsi="宋体" w:cs="宋体"/>
                <w:b/>
                <w:kern w:val="0"/>
                <w:sz w:val="20"/>
                <w:szCs w:val="21"/>
              </w:rPr>
            </w:pPr>
            <w:r>
              <w:rPr>
                <w:rFonts w:hint="eastAsia" w:ascii="宋体" w:hAnsi="宋体" w:cs="宋体"/>
                <w:b/>
                <w:kern w:val="0"/>
                <w:szCs w:val="21"/>
              </w:rPr>
              <w:t>审查标准</w:t>
            </w:r>
          </w:p>
        </w:tc>
      </w:tr>
      <w:tr w14:paraId="160DB4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C7D1829">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Cs w:val="21"/>
              </w:rPr>
              <w:t>1</w:t>
            </w:r>
          </w:p>
        </w:tc>
        <w:tc>
          <w:tcPr>
            <w:tcW w:w="4060" w:type="dxa"/>
            <w:vAlign w:val="center"/>
          </w:tcPr>
          <w:p w14:paraId="6B655942">
            <w:pPr>
              <w:snapToGrid w:val="0"/>
              <w:spacing w:line="360" w:lineRule="exact"/>
              <w:textAlignment w:val="baseline"/>
              <w:rPr>
                <w:rFonts w:hint="eastAsia" w:ascii="宋体" w:hAnsi="宋体" w:cs="宋体"/>
                <w:color w:val="FF0000"/>
                <w:kern w:val="0"/>
                <w:sz w:val="20"/>
                <w:szCs w:val="21"/>
              </w:rPr>
            </w:pPr>
            <w:r>
              <w:rPr>
                <w:rFonts w:hint="eastAsia" w:ascii="宋体" w:hAnsi="宋体"/>
                <w:szCs w:val="21"/>
              </w:rPr>
              <w:t>投标文件中商务技术文件是否按照招标文件规定要求签署、盖章的；</w:t>
            </w:r>
          </w:p>
        </w:tc>
        <w:tc>
          <w:tcPr>
            <w:tcW w:w="4317" w:type="dxa"/>
            <w:vAlign w:val="center"/>
          </w:tcPr>
          <w:p w14:paraId="1651851E">
            <w:pPr>
              <w:snapToGrid w:val="0"/>
              <w:spacing w:before="156" w:line="360" w:lineRule="auto"/>
              <w:textAlignment w:val="baseline"/>
              <w:rPr>
                <w:rFonts w:hint="eastAsia" w:ascii="宋体" w:hAnsi="宋体"/>
                <w:sz w:val="20"/>
                <w:szCs w:val="21"/>
              </w:rPr>
            </w:pPr>
            <w:r>
              <w:rPr>
                <w:rFonts w:hint="eastAsia" w:ascii="宋体" w:hAnsi="宋体"/>
                <w:szCs w:val="21"/>
              </w:rPr>
              <w:t>投标文件是否存在商务技术文件没有按照招标文件规定要求签署、盖章的</w:t>
            </w:r>
          </w:p>
        </w:tc>
      </w:tr>
      <w:tr w14:paraId="6A42A5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E37E1B0">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Cs w:val="21"/>
              </w:rPr>
              <w:t>2</w:t>
            </w:r>
          </w:p>
        </w:tc>
        <w:tc>
          <w:tcPr>
            <w:tcW w:w="4060" w:type="dxa"/>
            <w:vAlign w:val="center"/>
          </w:tcPr>
          <w:p w14:paraId="25E54451">
            <w:pPr>
              <w:snapToGrid w:val="0"/>
              <w:spacing w:line="360" w:lineRule="exact"/>
              <w:textAlignment w:val="baseline"/>
              <w:rPr>
                <w:rFonts w:hint="eastAsia" w:ascii="宋体" w:hAnsi="宋体" w:cs="宋体"/>
                <w:color w:val="FF0000"/>
                <w:kern w:val="0"/>
                <w:sz w:val="20"/>
                <w:szCs w:val="21"/>
              </w:rPr>
            </w:pPr>
            <w:r>
              <w:rPr>
                <w:rFonts w:hint="eastAsia" w:ascii="宋体" w:hAnsi="宋体"/>
                <w:szCs w:val="21"/>
              </w:rPr>
              <w:t>投标有效期不足的</w:t>
            </w:r>
          </w:p>
        </w:tc>
        <w:tc>
          <w:tcPr>
            <w:tcW w:w="4317" w:type="dxa"/>
            <w:vAlign w:val="center"/>
          </w:tcPr>
          <w:p w14:paraId="40A306F0">
            <w:pPr>
              <w:snapToGrid w:val="0"/>
              <w:spacing w:before="156" w:line="360" w:lineRule="auto"/>
              <w:textAlignment w:val="baseline"/>
              <w:rPr>
                <w:rFonts w:hint="eastAsia" w:ascii="宋体" w:hAnsi="宋体"/>
                <w:sz w:val="20"/>
                <w:szCs w:val="21"/>
              </w:rPr>
            </w:pPr>
            <w:r>
              <w:rPr>
                <w:rFonts w:hint="eastAsia" w:ascii="宋体" w:hAnsi="宋体"/>
                <w:szCs w:val="21"/>
              </w:rPr>
              <w:t>90日（日历日）</w:t>
            </w:r>
          </w:p>
        </w:tc>
      </w:tr>
      <w:tr w14:paraId="1A1B68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6B4706D">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Cs w:val="21"/>
              </w:rPr>
              <w:t>3</w:t>
            </w:r>
          </w:p>
        </w:tc>
        <w:tc>
          <w:tcPr>
            <w:tcW w:w="4060" w:type="dxa"/>
            <w:vAlign w:val="center"/>
          </w:tcPr>
          <w:p w14:paraId="73A9FCC2">
            <w:pPr>
              <w:snapToGrid w:val="0"/>
              <w:spacing w:line="360" w:lineRule="exact"/>
              <w:textAlignment w:val="baseline"/>
              <w:rPr>
                <w:rFonts w:hint="eastAsia" w:ascii="宋体" w:hAnsi="宋体" w:cs="宋体"/>
                <w:color w:val="FF0000"/>
                <w:kern w:val="0"/>
                <w:sz w:val="20"/>
                <w:szCs w:val="21"/>
              </w:rPr>
            </w:pPr>
            <w:r>
              <w:rPr>
                <w:rFonts w:hint="eastAsia" w:ascii="宋体"/>
                <w:color w:val="auto"/>
                <w:szCs w:val="21"/>
                <w:highlight w:val="none"/>
              </w:rPr>
              <w:t>投标人的报价</w:t>
            </w:r>
            <w:r>
              <w:rPr>
                <w:rFonts w:hint="eastAsia" w:ascii="宋体"/>
                <w:color w:val="auto"/>
                <w:szCs w:val="21"/>
                <w:highlight w:val="none"/>
                <w:lang w:val="en-US" w:eastAsia="zh-CN"/>
              </w:rPr>
              <w:t>属于异常低价的</w:t>
            </w:r>
          </w:p>
        </w:tc>
        <w:tc>
          <w:tcPr>
            <w:tcW w:w="4317" w:type="dxa"/>
            <w:vAlign w:val="center"/>
          </w:tcPr>
          <w:p w14:paraId="4B4EDCE6">
            <w:pPr>
              <w:keepNext w:val="0"/>
              <w:keepLines w:val="0"/>
              <w:pageBreakBefore w:val="0"/>
              <w:widowControl w:val="0"/>
              <w:kinsoku/>
              <w:wordWrap/>
              <w:overflowPunct/>
              <w:topLinePunct w:val="0"/>
              <w:autoSpaceDE/>
              <w:autoSpaceDN/>
              <w:bidi w:val="0"/>
              <w:adjustRightInd/>
              <w:snapToGrid w:val="0"/>
              <w:spacing w:line="240" w:lineRule="auto"/>
              <w:textAlignment w:val="baseline"/>
              <w:rPr>
                <w:rFonts w:hint="eastAsia" w:ascii="宋体" w:hAnsi="宋体"/>
                <w:sz w:val="20"/>
                <w:szCs w:val="21"/>
              </w:rPr>
            </w:pPr>
            <w:r>
              <w:rPr>
                <w:rFonts w:hint="eastAsia" w:ascii="宋体"/>
                <w:color w:val="auto"/>
                <w:szCs w:val="21"/>
                <w:highlight w:val="none"/>
              </w:rPr>
              <w:t>评标委员会认为投标人的投标报价为异常低价，有可能影响产品质量或者不能诚信履约的，要求提供项目具体成本测算等与报价合理性相关的书面说明及必要的证明材料；投标（响应）供应商不能提供书面说明、证明材料，或者提供的书面说明、证明材料不能证明其报价合理性的，评审委员会应当将其作为无效投标（响应）处理。异常低价的情形见2.</w:t>
            </w:r>
            <w:r>
              <w:rPr>
                <w:rFonts w:hint="eastAsia" w:ascii="宋体"/>
                <w:color w:val="auto"/>
                <w:szCs w:val="21"/>
                <w:highlight w:val="none"/>
                <w:lang w:val="en-US" w:eastAsia="zh-CN"/>
              </w:rPr>
              <w:t>3</w:t>
            </w:r>
            <w:r>
              <w:rPr>
                <w:rFonts w:hint="eastAsia" w:ascii="宋体"/>
                <w:color w:val="auto"/>
                <w:szCs w:val="21"/>
                <w:highlight w:val="none"/>
              </w:rPr>
              <w:t>条款。</w:t>
            </w:r>
          </w:p>
        </w:tc>
      </w:tr>
      <w:tr w14:paraId="13DF38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5404B7F">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Cs w:val="21"/>
              </w:rPr>
              <w:t>4</w:t>
            </w:r>
          </w:p>
        </w:tc>
        <w:tc>
          <w:tcPr>
            <w:tcW w:w="4060" w:type="dxa"/>
            <w:vAlign w:val="center"/>
          </w:tcPr>
          <w:p w14:paraId="3C39C7FF">
            <w:pPr>
              <w:snapToGrid w:val="0"/>
              <w:spacing w:line="360" w:lineRule="exact"/>
              <w:textAlignment w:val="baseline"/>
              <w:rPr>
                <w:rFonts w:hint="eastAsia" w:ascii="宋体" w:hAnsi="宋体"/>
                <w:color w:val="FF0000"/>
                <w:kern w:val="0"/>
                <w:sz w:val="20"/>
                <w:szCs w:val="21"/>
              </w:rPr>
            </w:pPr>
            <w:r>
              <w:rPr>
                <w:rFonts w:hint="eastAsia" w:ascii="宋体" w:hAnsi="宋体" w:cs="宋体"/>
                <w:szCs w:val="21"/>
              </w:rPr>
              <w:t>投标范围（服务要求及标准）满足招标文件要求</w:t>
            </w:r>
          </w:p>
        </w:tc>
        <w:tc>
          <w:tcPr>
            <w:tcW w:w="4317" w:type="dxa"/>
            <w:vAlign w:val="center"/>
          </w:tcPr>
          <w:p w14:paraId="5E8B6E26">
            <w:pPr>
              <w:snapToGrid w:val="0"/>
              <w:spacing w:before="156" w:line="360" w:lineRule="auto"/>
              <w:textAlignment w:val="baseline"/>
              <w:rPr>
                <w:rFonts w:hint="eastAsia" w:ascii="宋体" w:hAnsi="宋体"/>
                <w:sz w:val="20"/>
                <w:szCs w:val="21"/>
              </w:rPr>
            </w:pPr>
            <w:r>
              <w:rPr>
                <w:rFonts w:hint="eastAsia" w:ascii="宋体" w:hAnsi="宋体"/>
                <w:szCs w:val="21"/>
              </w:rPr>
              <w:t>投标范围是否存在（服务要求及标准）不满足招标文件要求</w:t>
            </w:r>
          </w:p>
        </w:tc>
      </w:tr>
      <w:tr w14:paraId="70B22C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C5BE2D0">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Cs w:val="21"/>
              </w:rPr>
              <w:t>5</w:t>
            </w:r>
          </w:p>
        </w:tc>
        <w:tc>
          <w:tcPr>
            <w:tcW w:w="4060" w:type="dxa"/>
            <w:vAlign w:val="center"/>
          </w:tcPr>
          <w:p w14:paraId="69D74C5D">
            <w:pPr>
              <w:snapToGrid w:val="0"/>
              <w:spacing w:line="360" w:lineRule="exact"/>
              <w:textAlignment w:val="baseline"/>
              <w:rPr>
                <w:rFonts w:hint="eastAsia" w:ascii="宋体" w:hAnsi="宋体"/>
                <w:color w:val="FF0000"/>
                <w:kern w:val="0"/>
                <w:sz w:val="20"/>
                <w:szCs w:val="21"/>
              </w:rPr>
            </w:pPr>
            <w:r>
              <w:rPr>
                <w:rFonts w:hint="eastAsia" w:ascii="宋体" w:hAnsi="宋体"/>
                <w:szCs w:val="21"/>
              </w:rPr>
              <w:t>投标文件没有对招标文件的实质性要求和条件作出响应，或者对招标文件的偏离超出招标文件规定的偏离范围和幅度；</w:t>
            </w:r>
          </w:p>
        </w:tc>
        <w:tc>
          <w:tcPr>
            <w:tcW w:w="4317" w:type="dxa"/>
            <w:vAlign w:val="center"/>
          </w:tcPr>
          <w:p w14:paraId="2A28CAB3">
            <w:pPr>
              <w:snapToGrid w:val="0"/>
              <w:spacing w:before="156" w:line="360" w:lineRule="auto"/>
              <w:textAlignment w:val="baseline"/>
              <w:rPr>
                <w:rFonts w:hint="eastAsia" w:ascii="宋体" w:hAnsi="宋体"/>
                <w:sz w:val="20"/>
                <w:szCs w:val="21"/>
              </w:rPr>
            </w:pPr>
            <w:r>
              <w:rPr>
                <w:rFonts w:hint="eastAsia" w:asciiTheme="minorEastAsia" w:hAnsiTheme="minorEastAsia" w:eastAsiaTheme="minorEastAsia"/>
                <w:szCs w:val="21"/>
              </w:rPr>
              <w:t>幅度：</w:t>
            </w:r>
            <w:r>
              <w:rPr>
                <w:rFonts w:hint="eastAsia" w:ascii="宋体" w:hAnsi="宋体"/>
                <w:szCs w:val="21"/>
              </w:rPr>
              <w:t>一般商务和技术条款偏离项数之和</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5</w:t>
            </w:r>
            <w:r>
              <w:rPr>
                <w:rFonts w:ascii="宋体" w:hAnsi="宋体"/>
                <w:b/>
                <w:bCs/>
                <w:szCs w:val="21"/>
                <w:u w:val="single"/>
              </w:rPr>
              <w:t xml:space="preserve"> </w:t>
            </w:r>
            <w:r>
              <w:rPr>
                <w:rFonts w:hint="eastAsia" w:ascii="宋体" w:hAnsi="宋体"/>
                <w:szCs w:val="21"/>
              </w:rPr>
              <w:t>项将导致无效投标。所称条款数（最高项数）的统计方法为：招标文件中，凡编排有单独的中文序数或阿拉伯数字等字符的条款算一项商务或技术要求项数，相同内容的条款不重复计算项数(不含评分因素)</w:t>
            </w:r>
          </w:p>
        </w:tc>
      </w:tr>
      <w:tr w14:paraId="1668CF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BD405E8">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Cs w:val="21"/>
              </w:rPr>
              <w:t>6</w:t>
            </w:r>
          </w:p>
        </w:tc>
        <w:tc>
          <w:tcPr>
            <w:tcW w:w="4060" w:type="dxa"/>
            <w:vAlign w:val="center"/>
          </w:tcPr>
          <w:p w14:paraId="1760D2B3">
            <w:pPr>
              <w:snapToGrid w:val="0"/>
              <w:spacing w:line="360" w:lineRule="exact"/>
              <w:textAlignment w:val="baseline"/>
              <w:rPr>
                <w:rFonts w:hint="eastAsia" w:ascii="宋体" w:hAnsi="宋体" w:cs="宋体"/>
                <w:color w:val="FF0000"/>
                <w:kern w:val="0"/>
                <w:sz w:val="20"/>
                <w:szCs w:val="21"/>
              </w:rPr>
            </w:pPr>
            <w:r>
              <w:rPr>
                <w:rFonts w:hint="eastAsia" w:ascii="宋体" w:hAnsi="宋体"/>
              </w:rPr>
              <w:t>招标文件中</w:t>
            </w:r>
            <w:r>
              <w:rPr>
                <w:rFonts w:hint="eastAsia" w:ascii="宋体" w:hAnsi="宋体" w:cs="宋体"/>
                <w:szCs w:val="21"/>
              </w:rPr>
              <w:t>用“拒绝 ”、“不接受 ”、“无效 ”、“不得 ”等文件规定或标注 “★”符号的条款为实质性要求条款（即重要条款），对其中任何一条的偏离，在评标时将其视为无效投标；</w:t>
            </w:r>
          </w:p>
        </w:tc>
        <w:tc>
          <w:tcPr>
            <w:tcW w:w="4317" w:type="dxa"/>
            <w:vAlign w:val="center"/>
          </w:tcPr>
          <w:p w14:paraId="12B96F28">
            <w:pPr>
              <w:snapToGrid w:val="0"/>
              <w:spacing w:before="156" w:line="360" w:lineRule="auto"/>
              <w:textAlignment w:val="baseline"/>
              <w:rPr>
                <w:rFonts w:hint="eastAsia" w:ascii="宋体" w:hAnsi="宋体"/>
                <w:sz w:val="20"/>
                <w:szCs w:val="21"/>
              </w:rPr>
            </w:pPr>
            <w:r>
              <w:rPr>
                <w:rFonts w:hint="eastAsia" w:ascii="宋体" w:hAnsi="宋体"/>
                <w:szCs w:val="21"/>
              </w:rPr>
              <w:t>投标文件是否对招标文件中所述的条款做出实质性响应</w:t>
            </w:r>
          </w:p>
        </w:tc>
      </w:tr>
      <w:tr w14:paraId="1BC4C4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34820EF">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Cs w:val="21"/>
              </w:rPr>
              <w:t>7</w:t>
            </w:r>
          </w:p>
        </w:tc>
        <w:tc>
          <w:tcPr>
            <w:tcW w:w="4060" w:type="dxa"/>
            <w:vAlign w:val="center"/>
          </w:tcPr>
          <w:p w14:paraId="5A1D3975">
            <w:pPr>
              <w:snapToGrid w:val="0"/>
              <w:spacing w:line="360" w:lineRule="exact"/>
              <w:textAlignment w:val="baseline"/>
              <w:rPr>
                <w:rFonts w:hint="eastAsia" w:ascii="宋体" w:hAnsi="宋体" w:cs="宋体"/>
                <w:color w:val="FF0000"/>
                <w:kern w:val="0"/>
                <w:sz w:val="20"/>
                <w:szCs w:val="21"/>
              </w:rPr>
            </w:pPr>
            <w:r>
              <w:rPr>
                <w:rFonts w:hint="eastAsia" w:ascii="宋体" w:hAnsi="宋体"/>
                <w:szCs w:val="21"/>
              </w:rPr>
              <w:t>投标文件含有采购人不能接受的附加条件的；</w:t>
            </w:r>
          </w:p>
        </w:tc>
        <w:tc>
          <w:tcPr>
            <w:tcW w:w="4317" w:type="dxa"/>
            <w:vAlign w:val="center"/>
          </w:tcPr>
          <w:p w14:paraId="7E106252">
            <w:pPr>
              <w:snapToGrid w:val="0"/>
              <w:spacing w:before="156" w:line="360" w:lineRule="auto"/>
              <w:textAlignment w:val="baseline"/>
              <w:rPr>
                <w:rFonts w:hint="eastAsia" w:ascii="宋体" w:hAnsi="宋体"/>
                <w:sz w:val="20"/>
                <w:szCs w:val="21"/>
              </w:rPr>
            </w:pPr>
            <w:r>
              <w:rPr>
                <w:rFonts w:ascii="宋体" w:hAnsi="宋体"/>
                <w:szCs w:val="21"/>
              </w:rPr>
              <w:t>是否存在</w:t>
            </w:r>
            <w:r>
              <w:rPr>
                <w:rFonts w:hint="eastAsia" w:ascii="宋体" w:hAnsi="宋体"/>
                <w:szCs w:val="21"/>
              </w:rPr>
              <w:t>投标文件含有采购人不能接受的附加条件的</w:t>
            </w:r>
          </w:p>
        </w:tc>
      </w:tr>
      <w:tr w14:paraId="4B334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0FAC812">
            <w:pPr>
              <w:snapToGrid w:val="0"/>
              <w:spacing w:before="156" w:line="360" w:lineRule="auto"/>
              <w:textAlignment w:val="baseline"/>
              <w:rPr>
                <w:rFonts w:hint="eastAsia" w:ascii="宋体" w:hAnsi="宋体"/>
                <w:kern w:val="0"/>
                <w:sz w:val="20"/>
                <w:szCs w:val="21"/>
              </w:rPr>
            </w:pPr>
            <w:r>
              <w:rPr>
                <w:rFonts w:hint="eastAsia" w:ascii="宋体" w:hAnsi="宋体"/>
                <w:kern w:val="0"/>
                <w:szCs w:val="21"/>
              </w:rPr>
              <w:t>8</w:t>
            </w:r>
          </w:p>
        </w:tc>
        <w:tc>
          <w:tcPr>
            <w:tcW w:w="4060" w:type="dxa"/>
            <w:vAlign w:val="center"/>
          </w:tcPr>
          <w:p w14:paraId="5D244E14">
            <w:pPr>
              <w:snapToGrid w:val="0"/>
              <w:spacing w:line="360" w:lineRule="exact"/>
              <w:textAlignment w:val="baseline"/>
              <w:rPr>
                <w:rFonts w:hint="eastAsia" w:ascii="宋体" w:hAnsi="宋体" w:cs="宋体"/>
                <w:color w:val="FF0000"/>
                <w:kern w:val="0"/>
                <w:sz w:val="20"/>
                <w:szCs w:val="21"/>
              </w:rPr>
            </w:pPr>
            <w:r>
              <w:rPr>
                <w:rFonts w:hint="eastAsia" w:ascii="宋体" w:hAnsi="宋体"/>
                <w:szCs w:val="21"/>
              </w:rPr>
              <w:t>法律、法规和招标文件规定的其他投标无效情形的。</w:t>
            </w:r>
          </w:p>
        </w:tc>
        <w:tc>
          <w:tcPr>
            <w:tcW w:w="4317" w:type="dxa"/>
            <w:vAlign w:val="center"/>
          </w:tcPr>
          <w:p w14:paraId="2F04268A">
            <w:pPr>
              <w:snapToGrid w:val="0"/>
              <w:spacing w:before="156" w:line="360" w:lineRule="auto"/>
              <w:textAlignment w:val="baseline"/>
              <w:rPr>
                <w:rFonts w:hint="eastAsia" w:ascii="宋体" w:hAnsi="宋体"/>
                <w:sz w:val="20"/>
                <w:szCs w:val="21"/>
              </w:rPr>
            </w:pPr>
            <w:r>
              <w:rPr>
                <w:rFonts w:hint="eastAsia" w:ascii="宋体" w:hAnsi="宋体"/>
                <w:szCs w:val="21"/>
              </w:rPr>
              <w:t>是否存在有招标文件规定的其他投标无效情形</w:t>
            </w:r>
          </w:p>
        </w:tc>
      </w:tr>
      <w:tr w14:paraId="494B90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8E81F3C">
            <w:pPr>
              <w:snapToGrid w:val="0"/>
              <w:spacing w:before="156" w:line="360" w:lineRule="auto"/>
              <w:textAlignment w:val="baseline"/>
              <w:rPr>
                <w:rFonts w:hint="eastAsia" w:ascii="宋体" w:hAnsi="宋体" w:cs="宋体"/>
                <w:kern w:val="0"/>
                <w:sz w:val="20"/>
                <w:szCs w:val="21"/>
              </w:rPr>
            </w:pPr>
            <w:r>
              <w:rPr>
                <w:rFonts w:hint="eastAsia" w:ascii="宋体" w:hAnsi="宋体" w:cs="宋体"/>
                <w:kern w:val="0"/>
                <w:sz w:val="20"/>
                <w:szCs w:val="21"/>
              </w:rPr>
              <w:t>结论</w:t>
            </w:r>
          </w:p>
        </w:tc>
        <w:tc>
          <w:tcPr>
            <w:tcW w:w="8377" w:type="dxa"/>
            <w:gridSpan w:val="2"/>
            <w:vAlign w:val="center"/>
          </w:tcPr>
          <w:p w14:paraId="4CC75A2D">
            <w:pPr>
              <w:snapToGrid w:val="0"/>
              <w:spacing w:before="156" w:line="360" w:lineRule="auto"/>
              <w:textAlignment w:val="baseline"/>
              <w:rPr>
                <w:rFonts w:hint="eastAsia" w:ascii="宋体" w:hAnsi="宋体" w:cs="宋体"/>
                <w:kern w:val="0"/>
                <w:sz w:val="20"/>
                <w:szCs w:val="21"/>
              </w:rPr>
            </w:pPr>
          </w:p>
        </w:tc>
      </w:tr>
    </w:tbl>
    <w:p w14:paraId="35830D3A">
      <w:pPr>
        <w:widowControl/>
        <w:jc w:val="left"/>
        <w:rPr>
          <w:rFonts w:hint="eastAsia" w:ascii="宋体" w:hAnsi="宋体"/>
          <w:szCs w:val="21"/>
        </w:rPr>
      </w:pPr>
      <w:r>
        <w:rPr>
          <w:rFonts w:ascii="宋体" w:hAnsi="宋体"/>
          <w:szCs w:val="21"/>
        </w:rPr>
        <w:br w:type="page"/>
      </w:r>
    </w:p>
    <w:p w14:paraId="6AD859B5">
      <w:pPr>
        <w:keepNext/>
        <w:keepLines/>
        <w:spacing w:before="260" w:after="260" w:line="416" w:lineRule="auto"/>
        <w:outlineLvl w:val="2"/>
        <w:rPr>
          <w:b/>
          <w:bCs/>
          <w:szCs w:val="21"/>
        </w:rPr>
      </w:pPr>
      <w:bookmarkStart w:id="89" w:name="_Toc2424"/>
      <w:bookmarkStart w:id="90" w:name="_Toc20651228"/>
      <w:bookmarkStart w:id="91" w:name="_Toc32034"/>
      <w:r>
        <w:rPr>
          <w:rFonts w:hint="eastAsia"/>
          <w:b/>
          <w:bCs/>
          <w:szCs w:val="21"/>
        </w:rPr>
        <w:t>附表2 符合性审查结果一览表</w:t>
      </w:r>
      <w:bookmarkEnd w:id="89"/>
      <w:bookmarkEnd w:id="90"/>
      <w:bookmarkEnd w:id="91"/>
    </w:p>
    <w:p w14:paraId="7FBA027E">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符合性审查结果一览表</w:t>
      </w:r>
    </w:p>
    <w:p w14:paraId="2B0E8554">
      <w:pPr>
        <w:adjustRightInd w:val="0"/>
        <w:snapToGrid w:val="0"/>
        <w:spacing w:line="360" w:lineRule="auto"/>
        <w:rPr>
          <w:rFonts w:hint="eastAsia" w:ascii="宋体" w:hAnsi="宋体"/>
          <w:szCs w:val="21"/>
        </w:rPr>
      </w:pPr>
      <w:bookmarkStart w:id="92" w:name="_Toc20651229"/>
      <w:r>
        <w:rPr>
          <w:rFonts w:hint="eastAsia" w:ascii="宋体" w:hAnsi="宋体"/>
          <w:szCs w:val="21"/>
        </w:rPr>
        <w:t xml:space="preserve">项目名称：            </w:t>
      </w:r>
    </w:p>
    <w:p w14:paraId="2706A9BA">
      <w:pPr>
        <w:adjustRightInd w:val="0"/>
        <w:snapToGrid w:val="0"/>
        <w:spacing w:line="360" w:lineRule="auto"/>
        <w:rPr>
          <w:rFonts w:hint="eastAsia" w:ascii="黑体" w:hAnsi="黑体"/>
          <w:sz w:val="28"/>
          <w:szCs w:val="28"/>
        </w:rPr>
      </w:pPr>
      <w:r>
        <w:rPr>
          <w:rFonts w:hint="eastAsia" w:ascii="宋体" w:hAnsi="宋体"/>
          <w:szCs w:val="21"/>
          <w:lang w:eastAsia="zh-CN"/>
        </w:rPr>
        <w:t>政府采购计划编号</w:t>
      </w:r>
      <w:r>
        <w:rPr>
          <w:rFonts w:hint="eastAsia" w:ascii="宋体" w:hAnsi="宋体"/>
          <w:szCs w:val="21"/>
        </w:rPr>
        <w:t xml:space="preserve">：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F4AF5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351B8B49">
            <w:pPr>
              <w:jc w:val="center"/>
              <w:rPr>
                <w:rFonts w:hint="eastAsia" w:ascii="宋体" w:hAnsi="宋体"/>
                <w:b/>
                <w:kern w:val="0"/>
                <w:szCs w:val="21"/>
              </w:rPr>
            </w:pPr>
            <w:r>
              <w:rPr>
                <w:rFonts w:hint="eastAsia" w:ascii="宋体" w:hAnsi="宋体"/>
                <w:b/>
                <w:kern w:val="0"/>
                <w:szCs w:val="21"/>
              </w:rPr>
              <w:t>序号</w:t>
            </w:r>
          </w:p>
        </w:tc>
        <w:tc>
          <w:tcPr>
            <w:tcW w:w="2963" w:type="dxa"/>
            <w:vAlign w:val="center"/>
          </w:tcPr>
          <w:p w14:paraId="0D121006">
            <w:pPr>
              <w:jc w:val="center"/>
              <w:rPr>
                <w:rFonts w:hint="eastAsia" w:ascii="宋体" w:hAnsi="宋体"/>
                <w:b/>
                <w:kern w:val="0"/>
                <w:szCs w:val="21"/>
              </w:rPr>
            </w:pPr>
            <w:r>
              <w:rPr>
                <w:rFonts w:hint="eastAsia" w:ascii="宋体" w:hAnsi="宋体"/>
                <w:b/>
                <w:kern w:val="0"/>
                <w:szCs w:val="21"/>
              </w:rPr>
              <w:t>投标人名称</w:t>
            </w:r>
          </w:p>
        </w:tc>
        <w:tc>
          <w:tcPr>
            <w:tcW w:w="2439" w:type="dxa"/>
            <w:vAlign w:val="center"/>
          </w:tcPr>
          <w:p w14:paraId="72A7D7C3">
            <w:pPr>
              <w:jc w:val="center"/>
              <w:rPr>
                <w:rFonts w:hint="eastAsia" w:ascii="宋体" w:hAnsi="宋体"/>
                <w:b/>
                <w:kern w:val="0"/>
                <w:szCs w:val="21"/>
              </w:rPr>
            </w:pPr>
            <w:r>
              <w:rPr>
                <w:rFonts w:hint="eastAsia" w:ascii="宋体" w:hAnsi="宋体"/>
                <w:b/>
                <w:kern w:val="0"/>
                <w:szCs w:val="21"/>
              </w:rPr>
              <w:t>符合性审查结果</w:t>
            </w:r>
          </w:p>
          <w:p w14:paraId="1F4D60A6">
            <w:pPr>
              <w:jc w:val="center"/>
              <w:rPr>
                <w:rFonts w:hint="eastAsia" w:ascii="宋体" w:hAnsi="宋体"/>
                <w:b/>
                <w:kern w:val="0"/>
                <w:szCs w:val="21"/>
              </w:rPr>
            </w:pPr>
            <w:r>
              <w:rPr>
                <w:rFonts w:hint="eastAsia" w:ascii="宋体" w:hAnsi="宋体"/>
                <w:b/>
                <w:kern w:val="0"/>
                <w:szCs w:val="21"/>
              </w:rPr>
              <w:t>（合格/不合格）</w:t>
            </w:r>
          </w:p>
        </w:tc>
        <w:tc>
          <w:tcPr>
            <w:tcW w:w="2961" w:type="dxa"/>
            <w:vAlign w:val="center"/>
          </w:tcPr>
          <w:p w14:paraId="1165D2A3">
            <w:pPr>
              <w:jc w:val="center"/>
              <w:rPr>
                <w:rFonts w:hint="eastAsia" w:ascii="宋体" w:hAnsi="宋体"/>
                <w:b/>
                <w:kern w:val="0"/>
                <w:szCs w:val="21"/>
              </w:rPr>
            </w:pPr>
            <w:r>
              <w:rPr>
                <w:rFonts w:hint="eastAsia" w:ascii="宋体" w:hAnsi="宋体"/>
                <w:b/>
                <w:kern w:val="0"/>
                <w:szCs w:val="21"/>
              </w:rPr>
              <w:t>符合性审查不合格原因</w:t>
            </w:r>
          </w:p>
        </w:tc>
      </w:tr>
      <w:tr w14:paraId="5D4C9A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741D811">
            <w:pPr>
              <w:adjustRightInd w:val="0"/>
              <w:snapToGrid w:val="0"/>
              <w:spacing w:line="360" w:lineRule="auto"/>
              <w:rPr>
                <w:rFonts w:hint="eastAsia" w:ascii="宋体" w:hAnsi="宋体"/>
                <w:kern w:val="0"/>
                <w:sz w:val="24"/>
              </w:rPr>
            </w:pPr>
          </w:p>
        </w:tc>
        <w:tc>
          <w:tcPr>
            <w:tcW w:w="2963" w:type="dxa"/>
          </w:tcPr>
          <w:p w14:paraId="6793249E">
            <w:pPr>
              <w:adjustRightInd w:val="0"/>
              <w:snapToGrid w:val="0"/>
              <w:spacing w:line="360" w:lineRule="auto"/>
              <w:rPr>
                <w:rFonts w:hint="eastAsia" w:ascii="宋体" w:hAnsi="宋体"/>
                <w:kern w:val="0"/>
                <w:sz w:val="24"/>
              </w:rPr>
            </w:pPr>
          </w:p>
        </w:tc>
        <w:tc>
          <w:tcPr>
            <w:tcW w:w="2439" w:type="dxa"/>
          </w:tcPr>
          <w:p w14:paraId="3EC524AA">
            <w:pPr>
              <w:adjustRightInd w:val="0"/>
              <w:snapToGrid w:val="0"/>
              <w:spacing w:line="360" w:lineRule="auto"/>
              <w:rPr>
                <w:rFonts w:hint="eastAsia" w:ascii="宋体" w:hAnsi="宋体"/>
                <w:kern w:val="0"/>
                <w:sz w:val="24"/>
              </w:rPr>
            </w:pPr>
          </w:p>
        </w:tc>
        <w:tc>
          <w:tcPr>
            <w:tcW w:w="2961" w:type="dxa"/>
          </w:tcPr>
          <w:p w14:paraId="587AC200">
            <w:pPr>
              <w:adjustRightInd w:val="0"/>
              <w:snapToGrid w:val="0"/>
              <w:spacing w:line="360" w:lineRule="auto"/>
              <w:rPr>
                <w:rFonts w:hint="eastAsia" w:ascii="宋体" w:hAnsi="宋体"/>
                <w:kern w:val="0"/>
                <w:sz w:val="24"/>
              </w:rPr>
            </w:pPr>
          </w:p>
        </w:tc>
      </w:tr>
      <w:tr w14:paraId="26E5ED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61A6EF9">
            <w:pPr>
              <w:adjustRightInd w:val="0"/>
              <w:snapToGrid w:val="0"/>
              <w:spacing w:line="360" w:lineRule="auto"/>
              <w:rPr>
                <w:rFonts w:hint="eastAsia" w:ascii="宋体" w:hAnsi="宋体"/>
                <w:kern w:val="0"/>
                <w:sz w:val="24"/>
              </w:rPr>
            </w:pPr>
          </w:p>
        </w:tc>
        <w:tc>
          <w:tcPr>
            <w:tcW w:w="2963" w:type="dxa"/>
          </w:tcPr>
          <w:p w14:paraId="3D52E9FD">
            <w:pPr>
              <w:adjustRightInd w:val="0"/>
              <w:snapToGrid w:val="0"/>
              <w:spacing w:line="360" w:lineRule="auto"/>
              <w:rPr>
                <w:rFonts w:hint="eastAsia" w:ascii="宋体" w:hAnsi="宋体"/>
                <w:kern w:val="0"/>
                <w:sz w:val="24"/>
              </w:rPr>
            </w:pPr>
          </w:p>
        </w:tc>
        <w:tc>
          <w:tcPr>
            <w:tcW w:w="2439" w:type="dxa"/>
          </w:tcPr>
          <w:p w14:paraId="0D8AA6FC">
            <w:pPr>
              <w:adjustRightInd w:val="0"/>
              <w:snapToGrid w:val="0"/>
              <w:spacing w:line="360" w:lineRule="auto"/>
              <w:rPr>
                <w:rFonts w:hint="eastAsia" w:ascii="宋体" w:hAnsi="宋体"/>
                <w:kern w:val="0"/>
                <w:sz w:val="24"/>
              </w:rPr>
            </w:pPr>
          </w:p>
        </w:tc>
        <w:tc>
          <w:tcPr>
            <w:tcW w:w="2961" w:type="dxa"/>
          </w:tcPr>
          <w:p w14:paraId="22600F53">
            <w:pPr>
              <w:adjustRightInd w:val="0"/>
              <w:snapToGrid w:val="0"/>
              <w:spacing w:line="360" w:lineRule="auto"/>
              <w:rPr>
                <w:rFonts w:hint="eastAsia" w:ascii="宋体" w:hAnsi="宋体"/>
                <w:kern w:val="0"/>
                <w:sz w:val="24"/>
              </w:rPr>
            </w:pPr>
          </w:p>
        </w:tc>
      </w:tr>
      <w:tr w14:paraId="7B5736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7994193">
            <w:pPr>
              <w:adjustRightInd w:val="0"/>
              <w:snapToGrid w:val="0"/>
              <w:spacing w:line="360" w:lineRule="auto"/>
              <w:rPr>
                <w:rFonts w:hint="eastAsia" w:ascii="宋体" w:hAnsi="宋体"/>
                <w:kern w:val="0"/>
                <w:sz w:val="24"/>
              </w:rPr>
            </w:pPr>
          </w:p>
        </w:tc>
        <w:tc>
          <w:tcPr>
            <w:tcW w:w="2963" w:type="dxa"/>
          </w:tcPr>
          <w:p w14:paraId="0CE16E67">
            <w:pPr>
              <w:adjustRightInd w:val="0"/>
              <w:snapToGrid w:val="0"/>
              <w:spacing w:line="360" w:lineRule="auto"/>
              <w:rPr>
                <w:rFonts w:hint="eastAsia" w:ascii="宋体" w:hAnsi="宋体"/>
                <w:kern w:val="0"/>
                <w:sz w:val="24"/>
              </w:rPr>
            </w:pPr>
          </w:p>
        </w:tc>
        <w:tc>
          <w:tcPr>
            <w:tcW w:w="2439" w:type="dxa"/>
          </w:tcPr>
          <w:p w14:paraId="7E3ED490">
            <w:pPr>
              <w:adjustRightInd w:val="0"/>
              <w:snapToGrid w:val="0"/>
              <w:spacing w:line="360" w:lineRule="auto"/>
              <w:rPr>
                <w:rFonts w:hint="eastAsia" w:ascii="宋体" w:hAnsi="宋体"/>
                <w:kern w:val="0"/>
                <w:sz w:val="24"/>
              </w:rPr>
            </w:pPr>
          </w:p>
        </w:tc>
        <w:tc>
          <w:tcPr>
            <w:tcW w:w="2961" w:type="dxa"/>
          </w:tcPr>
          <w:p w14:paraId="521534A8">
            <w:pPr>
              <w:adjustRightInd w:val="0"/>
              <w:snapToGrid w:val="0"/>
              <w:spacing w:line="360" w:lineRule="auto"/>
              <w:rPr>
                <w:rFonts w:hint="eastAsia" w:ascii="宋体" w:hAnsi="宋体"/>
                <w:kern w:val="0"/>
                <w:sz w:val="24"/>
              </w:rPr>
            </w:pPr>
          </w:p>
        </w:tc>
      </w:tr>
      <w:tr w14:paraId="6575C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7B4DA6F">
            <w:pPr>
              <w:adjustRightInd w:val="0"/>
              <w:snapToGrid w:val="0"/>
              <w:spacing w:line="360" w:lineRule="auto"/>
              <w:rPr>
                <w:rFonts w:hint="eastAsia" w:ascii="宋体" w:hAnsi="宋体"/>
                <w:kern w:val="0"/>
                <w:sz w:val="24"/>
              </w:rPr>
            </w:pPr>
          </w:p>
        </w:tc>
        <w:tc>
          <w:tcPr>
            <w:tcW w:w="2963" w:type="dxa"/>
          </w:tcPr>
          <w:p w14:paraId="2B4E848E">
            <w:pPr>
              <w:adjustRightInd w:val="0"/>
              <w:snapToGrid w:val="0"/>
              <w:spacing w:line="360" w:lineRule="auto"/>
              <w:rPr>
                <w:rFonts w:hint="eastAsia" w:ascii="宋体" w:hAnsi="宋体"/>
                <w:kern w:val="0"/>
                <w:sz w:val="24"/>
              </w:rPr>
            </w:pPr>
          </w:p>
        </w:tc>
        <w:tc>
          <w:tcPr>
            <w:tcW w:w="2439" w:type="dxa"/>
          </w:tcPr>
          <w:p w14:paraId="54E3853C">
            <w:pPr>
              <w:adjustRightInd w:val="0"/>
              <w:snapToGrid w:val="0"/>
              <w:spacing w:line="360" w:lineRule="auto"/>
              <w:rPr>
                <w:rFonts w:hint="eastAsia" w:ascii="宋体" w:hAnsi="宋体"/>
                <w:kern w:val="0"/>
                <w:sz w:val="24"/>
              </w:rPr>
            </w:pPr>
          </w:p>
        </w:tc>
        <w:tc>
          <w:tcPr>
            <w:tcW w:w="2961" w:type="dxa"/>
          </w:tcPr>
          <w:p w14:paraId="2A26B731">
            <w:pPr>
              <w:adjustRightInd w:val="0"/>
              <w:snapToGrid w:val="0"/>
              <w:spacing w:line="360" w:lineRule="auto"/>
              <w:rPr>
                <w:rFonts w:hint="eastAsia" w:ascii="宋体" w:hAnsi="宋体"/>
                <w:kern w:val="0"/>
                <w:sz w:val="24"/>
              </w:rPr>
            </w:pPr>
          </w:p>
        </w:tc>
      </w:tr>
      <w:tr w14:paraId="5C435E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28BBDE0">
            <w:pPr>
              <w:adjustRightInd w:val="0"/>
              <w:snapToGrid w:val="0"/>
              <w:spacing w:line="360" w:lineRule="auto"/>
              <w:rPr>
                <w:rFonts w:hint="eastAsia" w:ascii="宋体" w:hAnsi="宋体"/>
                <w:kern w:val="0"/>
                <w:sz w:val="24"/>
              </w:rPr>
            </w:pPr>
          </w:p>
        </w:tc>
        <w:tc>
          <w:tcPr>
            <w:tcW w:w="2963" w:type="dxa"/>
          </w:tcPr>
          <w:p w14:paraId="0F67A8F6">
            <w:pPr>
              <w:adjustRightInd w:val="0"/>
              <w:snapToGrid w:val="0"/>
              <w:spacing w:line="360" w:lineRule="auto"/>
              <w:rPr>
                <w:rFonts w:hint="eastAsia" w:ascii="宋体" w:hAnsi="宋体"/>
                <w:kern w:val="0"/>
                <w:sz w:val="24"/>
              </w:rPr>
            </w:pPr>
          </w:p>
        </w:tc>
        <w:tc>
          <w:tcPr>
            <w:tcW w:w="2439" w:type="dxa"/>
          </w:tcPr>
          <w:p w14:paraId="586BE0EC">
            <w:pPr>
              <w:adjustRightInd w:val="0"/>
              <w:snapToGrid w:val="0"/>
              <w:spacing w:line="360" w:lineRule="auto"/>
              <w:rPr>
                <w:rFonts w:hint="eastAsia" w:ascii="宋体" w:hAnsi="宋体"/>
                <w:kern w:val="0"/>
                <w:sz w:val="24"/>
              </w:rPr>
            </w:pPr>
          </w:p>
        </w:tc>
        <w:tc>
          <w:tcPr>
            <w:tcW w:w="2961" w:type="dxa"/>
          </w:tcPr>
          <w:p w14:paraId="50E846A0">
            <w:pPr>
              <w:adjustRightInd w:val="0"/>
              <w:snapToGrid w:val="0"/>
              <w:spacing w:line="360" w:lineRule="auto"/>
              <w:rPr>
                <w:rFonts w:hint="eastAsia" w:ascii="宋体" w:hAnsi="宋体"/>
                <w:kern w:val="0"/>
                <w:sz w:val="24"/>
              </w:rPr>
            </w:pPr>
          </w:p>
        </w:tc>
      </w:tr>
      <w:tr w14:paraId="663D27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E998B5D">
            <w:pPr>
              <w:adjustRightInd w:val="0"/>
              <w:snapToGrid w:val="0"/>
              <w:spacing w:line="360" w:lineRule="auto"/>
              <w:rPr>
                <w:rFonts w:hint="eastAsia" w:ascii="宋体" w:hAnsi="宋体"/>
                <w:kern w:val="0"/>
                <w:sz w:val="24"/>
              </w:rPr>
            </w:pPr>
          </w:p>
        </w:tc>
        <w:tc>
          <w:tcPr>
            <w:tcW w:w="2963" w:type="dxa"/>
          </w:tcPr>
          <w:p w14:paraId="7C83D334">
            <w:pPr>
              <w:adjustRightInd w:val="0"/>
              <w:snapToGrid w:val="0"/>
              <w:spacing w:line="360" w:lineRule="auto"/>
              <w:rPr>
                <w:rFonts w:hint="eastAsia" w:ascii="宋体" w:hAnsi="宋体"/>
                <w:kern w:val="0"/>
                <w:sz w:val="24"/>
              </w:rPr>
            </w:pPr>
          </w:p>
        </w:tc>
        <w:tc>
          <w:tcPr>
            <w:tcW w:w="2439" w:type="dxa"/>
          </w:tcPr>
          <w:p w14:paraId="06A643FA">
            <w:pPr>
              <w:adjustRightInd w:val="0"/>
              <w:snapToGrid w:val="0"/>
              <w:spacing w:line="360" w:lineRule="auto"/>
              <w:rPr>
                <w:rFonts w:hint="eastAsia" w:ascii="宋体" w:hAnsi="宋体"/>
                <w:kern w:val="0"/>
                <w:sz w:val="24"/>
              </w:rPr>
            </w:pPr>
          </w:p>
        </w:tc>
        <w:tc>
          <w:tcPr>
            <w:tcW w:w="2961" w:type="dxa"/>
          </w:tcPr>
          <w:p w14:paraId="07EFC642">
            <w:pPr>
              <w:adjustRightInd w:val="0"/>
              <w:snapToGrid w:val="0"/>
              <w:spacing w:line="360" w:lineRule="auto"/>
              <w:rPr>
                <w:rFonts w:hint="eastAsia" w:ascii="宋体" w:hAnsi="宋体"/>
                <w:kern w:val="0"/>
                <w:sz w:val="24"/>
              </w:rPr>
            </w:pPr>
          </w:p>
        </w:tc>
      </w:tr>
      <w:tr w14:paraId="5F11CD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9E8F042">
            <w:pPr>
              <w:adjustRightInd w:val="0"/>
              <w:snapToGrid w:val="0"/>
              <w:spacing w:line="360" w:lineRule="auto"/>
              <w:rPr>
                <w:rFonts w:hint="eastAsia" w:ascii="宋体" w:hAnsi="宋体"/>
                <w:kern w:val="0"/>
                <w:sz w:val="24"/>
              </w:rPr>
            </w:pPr>
          </w:p>
        </w:tc>
        <w:tc>
          <w:tcPr>
            <w:tcW w:w="2963" w:type="dxa"/>
          </w:tcPr>
          <w:p w14:paraId="6BC5CA13">
            <w:pPr>
              <w:adjustRightInd w:val="0"/>
              <w:snapToGrid w:val="0"/>
              <w:spacing w:line="360" w:lineRule="auto"/>
              <w:rPr>
                <w:rFonts w:hint="eastAsia" w:ascii="宋体" w:hAnsi="宋体"/>
                <w:kern w:val="0"/>
                <w:sz w:val="24"/>
              </w:rPr>
            </w:pPr>
          </w:p>
        </w:tc>
        <w:tc>
          <w:tcPr>
            <w:tcW w:w="2439" w:type="dxa"/>
          </w:tcPr>
          <w:p w14:paraId="6D4F73ED">
            <w:pPr>
              <w:adjustRightInd w:val="0"/>
              <w:snapToGrid w:val="0"/>
              <w:spacing w:line="360" w:lineRule="auto"/>
              <w:rPr>
                <w:rFonts w:hint="eastAsia" w:ascii="宋体" w:hAnsi="宋体"/>
                <w:kern w:val="0"/>
                <w:sz w:val="24"/>
              </w:rPr>
            </w:pPr>
          </w:p>
        </w:tc>
        <w:tc>
          <w:tcPr>
            <w:tcW w:w="2961" w:type="dxa"/>
          </w:tcPr>
          <w:p w14:paraId="7B732B5B">
            <w:pPr>
              <w:adjustRightInd w:val="0"/>
              <w:snapToGrid w:val="0"/>
              <w:spacing w:line="360" w:lineRule="auto"/>
              <w:rPr>
                <w:rFonts w:hint="eastAsia" w:ascii="宋体" w:hAnsi="宋体"/>
                <w:kern w:val="0"/>
                <w:sz w:val="24"/>
              </w:rPr>
            </w:pPr>
          </w:p>
        </w:tc>
      </w:tr>
      <w:tr w14:paraId="1A7F38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AC96D8C">
            <w:pPr>
              <w:adjustRightInd w:val="0"/>
              <w:snapToGrid w:val="0"/>
              <w:spacing w:line="360" w:lineRule="auto"/>
              <w:rPr>
                <w:rFonts w:hint="eastAsia" w:ascii="宋体" w:hAnsi="宋体"/>
                <w:kern w:val="0"/>
                <w:sz w:val="24"/>
              </w:rPr>
            </w:pPr>
          </w:p>
        </w:tc>
        <w:tc>
          <w:tcPr>
            <w:tcW w:w="2963" w:type="dxa"/>
          </w:tcPr>
          <w:p w14:paraId="13D167F8">
            <w:pPr>
              <w:adjustRightInd w:val="0"/>
              <w:snapToGrid w:val="0"/>
              <w:spacing w:line="360" w:lineRule="auto"/>
              <w:rPr>
                <w:rFonts w:hint="eastAsia" w:ascii="宋体" w:hAnsi="宋体"/>
                <w:kern w:val="0"/>
                <w:sz w:val="24"/>
              </w:rPr>
            </w:pPr>
          </w:p>
        </w:tc>
        <w:tc>
          <w:tcPr>
            <w:tcW w:w="2439" w:type="dxa"/>
          </w:tcPr>
          <w:p w14:paraId="0DA0E751">
            <w:pPr>
              <w:adjustRightInd w:val="0"/>
              <w:snapToGrid w:val="0"/>
              <w:spacing w:line="360" w:lineRule="auto"/>
              <w:rPr>
                <w:rFonts w:hint="eastAsia" w:ascii="宋体" w:hAnsi="宋体"/>
                <w:kern w:val="0"/>
                <w:sz w:val="24"/>
              </w:rPr>
            </w:pPr>
          </w:p>
        </w:tc>
        <w:tc>
          <w:tcPr>
            <w:tcW w:w="2961" w:type="dxa"/>
          </w:tcPr>
          <w:p w14:paraId="7079F810">
            <w:pPr>
              <w:adjustRightInd w:val="0"/>
              <w:snapToGrid w:val="0"/>
              <w:spacing w:line="360" w:lineRule="auto"/>
              <w:rPr>
                <w:rFonts w:hint="eastAsia" w:ascii="宋体" w:hAnsi="宋体"/>
                <w:kern w:val="0"/>
                <w:sz w:val="24"/>
              </w:rPr>
            </w:pPr>
          </w:p>
        </w:tc>
      </w:tr>
      <w:tr w14:paraId="3F017C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A59326C">
            <w:pPr>
              <w:adjustRightInd w:val="0"/>
              <w:snapToGrid w:val="0"/>
              <w:spacing w:line="360" w:lineRule="auto"/>
              <w:rPr>
                <w:rFonts w:hint="eastAsia" w:ascii="宋体" w:hAnsi="宋体"/>
                <w:kern w:val="0"/>
                <w:sz w:val="24"/>
              </w:rPr>
            </w:pPr>
          </w:p>
        </w:tc>
        <w:tc>
          <w:tcPr>
            <w:tcW w:w="2963" w:type="dxa"/>
          </w:tcPr>
          <w:p w14:paraId="0F2CE8C0">
            <w:pPr>
              <w:adjustRightInd w:val="0"/>
              <w:snapToGrid w:val="0"/>
              <w:spacing w:line="360" w:lineRule="auto"/>
              <w:rPr>
                <w:rFonts w:hint="eastAsia" w:ascii="宋体" w:hAnsi="宋体"/>
                <w:kern w:val="0"/>
                <w:sz w:val="24"/>
              </w:rPr>
            </w:pPr>
          </w:p>
        </w:tc>
        <w:tc>
          <w:tcPr>
            <w:tcW w:w="2439" w:type="dxa"/>
          </w:tcPr>
          <w:p w14:paraId="64040736">
            <w:pPr>
              <w:adjustRightInd w:val="0"/>
              <w:snapToGrid w:val="0"/>
              <w:spacing w:line="360" w:lineRule="auto"/>
              <w:rPr>
                <w:rFonts w:hint="eastAsia" w:ascii="宋体" w:hAnsi="宋体"/>
                <w:kern w:val="0"/>
                <w:sz w:val="24"/>
              </w:rPr>
            </w:pPr>
          </w:p>
        </w:tc>
        <w:tc>
          <w:tcPr>
            <w:tcW w:w="2961" w:type="dxa"/>
          </w:tcPr>
          <w:p w14:paraId="606F85F3">
            <w:pPr>
              <w:adjustRightInd w:val="0"/>
              <w:snapToGrid w:val="0"/>
              <w:spacing w:line="360" w:lineRule="auto"/>
              <w:rPr>
                <w:rFonts w:hint="eastAsia" w:ascii="宋体" w:hAnsi="宋体"/>
                <w:kern w:val="0"/>
                <w:sz w:val="24"/>
              </w:rPr>
            </w:pPr>
          </w:p>
        </w:tc>
      </w:tr>
    </w:tbl>
    <w:p w14:paraId="20FCA9F5">
      <w:pPr>
        <w:widowControl/>
        <w:jc w:val="left"/>
        <w:rPr>
          <w:rFonts w:hint="eastAsia" w:ascii="黑体" w:hAnsi="黑体" w:eastAsia="黑体"/>
          <w:bCs/>
          <w:szCs w:val="21"/>
        </w:rPr>
      </w:pPr>
      <w:r>
        <w:rPr>
          <w:rFonts w:ascii="黑体" w:hAnsi="黑体"/>
          <w:b/>
          <w:szCs w:val="21"/>
        </w:rPr>
        <w:br w:type="page"/>
      </w:r>
    </w:p>
    <w:p w14:paraId="479A0E27">
      <w:pPr>
        <w:keepNext/>
        <w:keepLines/>
        <w:spacing w:before="260" w:after="260" w:line="416" w:lineRule="auto"/>
        <w:outlineLvl w:val="2"/>
        <w:rPr>
          <w:b/>
          <w:bCs/>
          <w:szCs w:val="21"/>
        </w:rPr>
      </w:pPr>
      <w:bookmarkStart w:id="93" w:name="_Toc25374"/>
      <w:bookmarkStart w:id="94" w:name="_Toc31077"/>
      <w:r>
        <w:rPr>
          <w:rFonts w:hint="eastAsia"/>
          <w:b/>
          <w:bCs/>
          <w:szCs w:val="21"/>
        </w:rPr>
        <w:t>附表3 符合性审查合格投标人名单</w:t>
      </w:r>
      <w:bookmarkEnd w:id="92"/>
      <w:bookmarkEnd w:id="93"/>
      <w:bookmarkEnd w:id="94"/>
    </w:p>
    <w:p w14:paraId="0F51AB6E"/>
    <w:p w14:paraId="09EC4CC2">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符合性审查合格投标人名单</w:t>
      </w:r>
    </w:p>
    <w:p w14:paraId="2AF51873">
      <w:pPr>
        <w:adjustRightInd w:val="0"/>
        <w:snapToGrid w:val="0"/>
        <w:spacing w:line="360" w:lineRule="auto"/>
        <w:rPr>
          <w:rFonts w:hint="eastAsia" w:ascii="宋体" w:hAnsi="宋体"/>
          <w:szCs w:val="21"/>
        </w:rPr>
      </w:pPr>
      <w:bookmarkStart w:id="95" w:name="_Toc20651230"/>
      <w:r>
        <w:rPr>
          <w:rFonts w:hint="eastAsia" w:ascii="宋体" w:hAnsi="宋体"/>
          <w:szCs w:val="21"/>
        </w:rPr>
        <w:t xml:space="preserve">项目名称：            </w:t>
      </w:r>
    </w:p>
    <w:p w14:paraId="4BA2CD15">
      <w:pPr>
        <w:adjustRightInd w:val="0"/>
        <w:snapToGrid w:val="0"/>
        <w:spacing w:line="360" w:lineRule="auto"/>
        <w:rPr>
          <w:rFonts w:hint="eastAsia" w:ascii="黑体" w:hAnsi="黑体"/>
          <w:sz w:val="28"/>
          <w:szCs w:val="28"/>
        </w:rPr>
      </w:pPr>
      <w:r>
        <w:rPr>
          <w:rFonts w:hint="eastAsia" w:ascii="宋体" w:hAnsi="宋体"/>
          <w:szCs w:val="21"/>
          <w:lang w:eastAsia="zh-CN"/>
        </w:rPr>
        <w:t>政府采购计划编号</w:t>
      </w:r>
      <w:r>
        <w:rPr>
          <w:rFonts w:hint="eastAsia" w:ascii="宋体" w:hAnsi="宋体"/>
          <w:szCs w:val="21"/>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3A0DAD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993" w:type="dxa"/>
            <w:vAlign w:val="center"/>
          </w:tcPr>
          <w:p w14:paraId="2851A270">
            <w:pPr>
              <w:jc w:val="center"/>
              <w:rPr>
                <w:b/>
                <w:kern w:val="0"/>
                <w:szCs w:val="21"/>
              </w:rPr>
            </w:pPr>
            <w:r>
              <w:rPr>
                <w:rFonts w:hint="eastAsia"/>
                <w:b/>
                <w:kern w:val="0"/>
                <w:szCs w:val="21"/>
              </w:rPr>
              <w:t>序号</w:t>
            </w:r>
          </w:p>
        </w:tc>
        <w:tc>
          <w:tcPr>
            <w:tcW w:w="7796" w:type="dxa"/>
            <w:vAlign w:val="center"/>
          </w:tcPr>
          <w:p w14:paraId="38CADFB1">
            <w:pPr>
              <w:jc w:val="center"/>
              <w:rPr>
                <w:b/>
                <w:kern w:val="0"/>
                <w:szCs w:val="21"/>
              </w:rPr>
            </w:pPr>
            <w:r>
              <w:rPr>
                <w:rFonts w:hint="eastAsia"/>
                <w:b/>
                <w:kern w:val="0"/>
                <w:szCs w:val="21"/>
              </w:rPr>
              <w:t>合格投标人名称</w:t>
            </w:r>
          </w:p>
        </w:tc>
      </w:tr>
      <w:tr w14:paraId="04EFE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476E01B">
            <w:pPr>
              <w:adjustRightInd w:val="0"/>
              <w:snapToGrid w:val="0"/>
              <w:spacing w:line="360" w:lineRule="auto"/>
              <w:rPr>
                <w:rFonts w:hint="eastAsia" w:ascii="宋体" w:hAnsi="宋体"/>
                <w:kern w:val="0"/>
                <w:szCs w:val="21"/>
              </w:rPr>
            </w:pPr>
          </w:p>
        </w:tc>
        <w:tc>
          <w:tcPr>
            <w:tcW w:w="7796" w:type="dxa"/>
          </w:tcPr>
          <w:p w14:paraId="5E93C187">
            <w:pPr>
              <w:adjustRightInd w:val="0"/>
              <w:snapToGrid w:val="0"/>
              <w:spacing w:line="360" w:lineRule="auto"/>
              <w:rPr>
                <w:rFonts w:hint="eastAsia" w:ascii="宋体" w:hAnsi="宋体"/>
                <w:kern w:val="0"/>
                <w:szCs w:val="21"/>
              </w:rPr>
            </w:pPr>
          </w:p>
        </w:tc>
      </w:tr>
      <w:tr w14:paraId="71938C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1ED527A">
            <w:pPr>
              <w:adjustRightInd w:val="0"/>
              <w:snapToGrid w:val="0"/>
              <w:spacing w:line="360" w:lineRule="auto"/>
              <w:rPr>
                <w:rFonts w:hint="eastAsia" w:ascii="宋体" w:hAnsi="宋体"/>
                <w:kern w:val="0"/>
                <w:sz w:val="24"/>
              </w:rPr>
            </w:pPr>
          </w:p>
        </w:tc>
        <w:tc>
          <w:tcPr>
            <w:tcW w:w="7796" w:type="dxa"/>
          </w:tcPr>
          <w:p w14:paraId="0A13A71A">
            <w:pPr>
              <w:adjustRightInd w:val="0"/>
              <w:snapToGrid w:val="0"/>
              <w:spacing w:line="360" w:lineRule="auto"/>
              <w:rPr>
                <w:rFonts w:hint="eastAsia" w:ascii="宋体" w:hAnsi="宋体"/>
                <w:kern w:val="0"/>
                <w:sz w:val="24"/>
              </w:rPr>
            </w:pPr>
          </w:p>
        </w:tc>
      </w:tr>
      <w:tr w14:paraId="29E20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24324F0">
            <w:pPr>
              <w:adjustRightInd w:val="0"/>
              <w:snapToGrid w:val="0"/>
              <w:spacing w:line="360" w:lineRule="auto"/>
              <w:rPr>
                <w:rFonts w:hint="eastAsia" w:ascii="宋体" w:hAnsi="宋体"/>
                <w:kern w:val="0"/>
                <w:sz w:val="24"/>
              </w:rPr>
            </w:pPr>
          </w:p>
        </w:tc>
        <w:tc>
          <w:tcPr>
            <w:tcW w:w="7796" w:type="dxa"/>
          </w:tcPr>
          <w:p w14:paraId="0AF1EBB5">
            <w:pPr>
              <w:adjustRightInd w:val="0"/>
              <w:snapToGrid w:val="0"/>
              <w:spacing w:line="360" w:lineRule="auto"/>
              <w:rPr>
                <w:rFonts w:hint="eastAsia" w:ascii="宋体" w:hAnsi="宋体"/>
                <w:kern w:val="0"/>
                <w:sz w:val="24"/>
              </w:rPr>
            </w:pPr>
          </w:p>
        </w:tc>
      </w:tr>
      <w:tr w14:paraId="52C3A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FDF9438">
            <w:pPr>
              <w:adjustRightInd w:val="0"/>
              <w:snapToGrid w:val="0"/>
              <w:spacing w:line="360" w:lineRule="auto"/>
              <w:rPr>
                <w:rFonts w:hint="eastAsia" w:ascii="宋体" w:hAnsi="宋体"/>
                <w:kern w:val="0"/>
                <w:sz w:val="24"/>
              </w:rPr>
            </w:pPr>
          </w:p>
        </w:tc>
        <w:tc>
          <w:tcPr>
            <w:tcW w:w="7796" w:type="dxa"/>
          </w:tcPr>
          <w:p w14:paraId="3D6EA0CD">
            <w:pPr>
              <w:adjustRightInd w:val="0"/>
              <w:snapToGrid w:val="0"/>
              <w:spacing w:line="360" w:lineRule="auto"/>
              <w:rPr>
                <w:rFonts w:hint="eastAsia" w:ascii="宋体" w:hAnsi="宋体"/>
                <w:kern w:val="0"/>
                <w:sz w:val="24"/>
              </w:rPr>
            </w:pPr>
          </w:p>
        </w:tc>
      </w:tr>
      <w:tr w14:paraId="55259B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F7BEDDA">
            <w:pPr>
              <w:adjustRightInd w:val="0"/>
              <w:snapToGrid w:val="0"/>
              <w:spacing w:line="360" w:lineRule="auto"/>
              <w:rPr>
                <w:rFonts w:hint="eastAsia" w:ascii="宋体" w:hAnsi="宋体"/>
                <w:kern w:val="0"/>
                <w:sz w:val="24"/>
              </w:rPr>
            </w:pPr>
          </w:p>
        </w:tc>
        <w:tc>
          <w:tcPr>
            <w:tcW w:w="7796" w:type="dxa"/>
          </w:tcPr>
          <w:p w14:paraId="6BD3FC27">
            <w:pPr>
              <w:adjustRightInd w:val="0"/>
              <w:snapToGrid w:val="0"/>
              <w:spacing w:line="360" w:lineRule="auto"/>
              <w:rPr>
                <w:rFonts w:hint="eastAsia" w:ascii="宋体" w:hAnsi="宋体"/>
                <w:kern w:val="0"/>
                <w:sz w:val="24"/>
              </w:rPr>
            </w:pPr>
          </w:p>
        </w:tc>
      </w:tr>
      <w:tr w14:paraId="0645D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09B89CE">
            <w:pPr>
              <w:adjustRightInd w:val="0"/>
              <w:snapToGrid w:val="0"/>
              <w:spacing w:line="360" w:lineRule="auto"/>
              <w:rPr>
                <w:rFonts w:hint="eastAsia" w:ascii="宋体" w:hAnsi="宋体"/>
                <w:kern w:val="0"/>
                <w:sz w:val="24"/>
              </w:rPr>
            </w:pPr>
          </w:p>
        </w:tc>
        <w:tc>
          <w:tcPr>
            <w:tcW w:w="7796" w:type="dxa"/>
          </w:tcPr>
          <w:p w14:paraId="286D0DF7">
            <w:pPr>
              <w:adjustRightInd w:val="0"/>
              <w:snapToGrid w:val="0"/>
              <w:spacing w:line="360" w:lineRule="auto"/>
              <w:rPr>
                <w:rFonts w:hint="eastAsia" w:ascii="宋体" w:hAnsi="宋体"/>
                <w:kern w:val="0"/>
                <w:sz w:val="24"/>
              </w:rPr>
            </w:pPr>
          </w:p>
        </w:tc>
      </w:tr>
    </w:tbl>
    <w:p w14:paraId="4F58DC9F">
      <w:pPr>
        <w:rPr>
          <w:w w:val="90"/>
        </w:rPr>
      </w:pPr>
    </w:p>
    <w:p w14:paraId="79BBDED0"/>
    <w:p w14:paraId="6BFDF97B"/>
    <w:bookmarkEnd w:id="95"/>
    <w:p w14:paraId="7E441ED9">
      <w:pPr>
        <w:widowControl/>
        <w:jc w:val="left"/>
        <w:rPr>
          <w:rFonts w:hint="eastAsia" w:ascii="黑体" w:hAnsi="华文中宋" w:eastAsia="黑体"/>
          <w:b/>
          <w:bCs/>
          <w:sz w:val="32"/>
          <w:szCs w:val="32"/>
        </w:rPr>
      </w:pPr>
      <w:bookmarkStart w:id="96" w:name="_Toc20651233"/>
      <w:r>
        <w:rPr>
          <w:rFonts w:ascii="黑体" w:hAnsi="华文中宋" w:eastAsia="黑体"/>
          <w:sz w:val="32"/>
          <w:szCs w:val="32"/>
        </w:rPr>
        <w:br w:type="page"/>
      </w:r>
    </w:p>
    <w:p w14:paraId="47AB76AB">
      <w:pPr>
        <w:keepNext/>
        <w:keepLines/>
        <w:adjustRightInd w:val="0"/>
        <w:snapToGrid w:val="0"/>
        <w:spacing w:line="360" w:lineRule="auto"/>
        <w:jc w:val="center"/>
        <w:outlineLvl w:val="1"/>
        <w:rPr>
          <w:rFonts w:hint="eastAsia" w:ascii="黑体" w:hAnsi="华文中宋" w:eastAsia="黑体"/>
          <w:b/>
          <w:bCs/>
          <w:sz w:val="28"/>
          <w:szCs w:val="28"/>
        </w:rPr>
      </w:pPr>
      <w:bookmarkStart w:id="97" w:name="_Toc10106"/>
      <w:r>
        <w:rPr>
          <w:rFonts w:hint="eastAsia" w:ascii="黑体" w:hAnsi="华文中宋" w:eastAsia="黑体"/>
          <w:b/>
          <w:bCs/>
          <w:sz w:val="28"/>
          <w:szCs w:val="28"/>
        </w:rPr>
        <w:t>第四节 投标文件的比较与评价（综合评分法）</w:t>
      </w:r>
      <w:bookmarkEnd w:id="97"/>
    </w:p>
    <w:p w14:paraId="2AC3EAB1">
      <w:pPr>
        <w:widowControl/>
        <w:adjustRightInd w:val="0"/>
        <w:snapToGrid w:val="0"/>
        <w:spacing w:before="156" w:beforeLines="50" w:line="360" w:lineRule="auto"/>
        <w:jc w:val="left"/>
        <w:rPr>
          <w:rFonts w:hint="eastAsia" w:ascii="黑体" w:hAnsi="黑体" w:eastAsia="黑体"/>
          <w:b/>
          <w:color w:val="000000"/>
          <w:sz w:val="24"/>
        </w:rPr>
      </w:pPr>
      <w:r>
        <w:rPr>
          <w:rFonts w:hint="eastAsia" w:ascii="黑体" w:hAnsi="黑体" w:eastAsia="黑体"/>
          <w:b/>
          <w:color w:val="000000"/>
          <w:sz w:val="24"/>
        </w:rPr>
        <w:t>1.综合评分法</w:t>
      </w:r>
    </w:p>
    <w:p w14:paraId="2BA47B45">
      <w:pPr>
        <w:adjustRightInd w:val="0"/>
        <w:snapToGrid w:val="0"/>
        <w:spacing w:before="156" w:beforeLines="50" w:line="360" w:lineRule="auto"/>
        <w:ind w:firstLine="420" w:firstLineChars="200"/>
        <w:jc w:val="left"/>
        <w:rPr>
          <w:rFonts w:hint="eastAsia" w:ascii="宋体" w:hAnsi="宋体"/>
          <w:bCs/>
          <w:color w:val="000000"/>
          <w:szCs w:val="21"/>
        </w:rPr>
      </w:pPr>
      <w:r>
        <w:rPr>
          <w:rFonts w:hint="eastAsia" w:ascii="宋体" w:hAnsi="宋体"/>
          <w:bCs/>
          <w:color w:val="000000"/>
          <w:szCs w:val="21"/>
        </w:rPr>
        <w:t>1.1综合评分法，指投标文件满足招标文件全部实质性要求，且按照评审因素的量化指标评审得分最高的投标人为中标候选人的评标方法。</w:t>
      </w:r>
    </w:p>
    <w:p w14:paraId="4754629E">
      <w:pPr>
        <w:adjustRightInd w:val="0"/>
        <w:snapToGrid w:val="0"/>
        <w:spacing w:before="156" w:beforeLines="50" w:line="360" w:lineRule="auto"/>
        <w:ind w:firstLine="420" w:firstLineChars="200"/>
        <w:jc w:val="left"/>
        <w:rPr>
          <w:rFonts w:hint="eastAsia" w:ascii="宋体" w:hAnsi="宋体"/>
          <w:bCs/>
          <w:color w:val="000000"/>
          <w:szCs w:val="21"/>
        </w:rPr>
      </w:pPr>
      <w:r>
        <w:rPr>
          <w:rFonts w:hint="eastAsia" w:ascii="宋体" w:hAnsi="宋体"/>
          <w:bCs/>
          <w:color w:val="000000"/>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65A190B0">
      <w:pPr>
        <w:adjustRightInd w:val="0"/>
        <w:snapToGrid w:val="0"/>
        <w:spacing w:before="156" w:beforeLines="50" w:line="360" w:lineRule="auto"/>
        <w:ind w:firstLine="420" w:firstLineChars="200"/>
        <w:jc w:val="left"/>
        <w:rPr>
          <w:rFonts w:hint="eastAsia" w:ascii="宋体" w:hAnsi="宋体"/>
          <w:bCs/>
          <w:color w:val="000000"/>
          <w:szCs w:val="21"/>
        </w:rPr>
      </w:pPr>
      <w:r>
        <w:rPr>
          <w:rFonts w:hint="eastAsia" w:ascii="宋体" w:hAnsi="宋体"/>
          <w:bCs/>
          <w:color w:val="000000"/>
          <w:szCs w:val="21"/>
        </w:rPr>
        <w:t>1.3未通过符合性审查的投标文件不得进入比较与评价。</w:t>
      </w:r>
    </w:p>
    <w:p w14:paraId="532092F6">
      <w:pPr>
        <w:adjustRightInd w:val="0"/>
        <w:snapToGrid w:val="0"/>
        <w:spacing w:before="156" w:beforeLines="50" w:line="360" w:lineRule="auto"/>
        <w:jc w:val="left"/>
        <w:rPr>
          <w:rFonts w:hint="eastAsia" w:ascii="黑体" w:hAnsi="黑体" w:eastAsia="黑体"/>
          <w:b/>
          <w:bCs/>
          <w:color w:val="000000"/>
          <w:sz w:val="24"/>
        </w:rPr>
      </w:pPr>
      <w:r>
        <w:rPr>
          <w:rFonts w:hint="eastAsia" w:ascii="黑体" w:hAnsi="黑体" w:eastAsia="黑体"/>
          <w:b/>
          <w:bCs/>
          <w:color w:val="000000"/>
          <w:sz w:val="24"/>
        </w:rPr>
        <w:t>2.投标报价的算术修正及政府采购政策调整</w:t>
      </w:r>
    </w:p>
    <w:p w14:paraId="021A621F">
      <w:pPr>
        <w:adjustRightInd w:val="0"/>
        <w:snapToGrid w:val="0"/>
        <w:spacing w:before="156" w:beforeLines="50" w:line="360" w:lineRule="auto"/>
        <w:ind w:firstLine="420" w:firstLineChars="200"/>
        <w:jc w:val="left"/>
        <w:rPr>
          <w:rFonts w:hint="eastAsia" w:ascii="宋体" w:hAnsi="宋体"/>
          <w:bCs/>
          <w:color w:val="000000"/>
          <w:szCs w:val="21"/>
        </w:rPr>
      </w:pPr>
      <w:r>
        <w:rPr>
          <w:rFonts w:hint="eastAsia" w:ascii="宋体" w:hAnsi="宋体"/>
          <w:bCs/>
          <w:color w:val="000000"/>
          <w:szCs w:val="21"/>
        </w:rPr>
        <w:t>2.1如果有算术错误，投标报价将按本章第二节第4.2款、第4.3款规定进行算术修正。</w:t>
      </w:r>
    </w:p>
    <w:p w14:paraId="418D6DF9">
      <w:pPr>
        <w:adjustRightInd w:val="0"/>
        <w:snapToGrid w:val="0"/>
        <w:spacing w:before="156" w:beforeLines="50" w:line="360" w:lineRule="auto"/>
        <w:ind w:firstLine="420" w:firstLineChars="200"/>
        <w:jc w:val="left"/>
        <w:rPr>
          <w:rFonts w:hint="eastAsia" w:ascii="宋体" w:hAnsi="宋体"/>
          <w:bCs/>
          <w:color w:val="000000"/>
          <w:szCs w:val="21"/>
        </w:rPr>
      </w:pPr>
      <w:r>
        <w:rPr>
          <w:rFonts w:hint="eastAsia" w:ascii="宋体" w:hAnsi="宋体"/>
          <w:bCs/>
          <w:color w:val="000000"/>
          <w:szCs w:val="21"/>
        </w:rPr>
        <w:t>2.2需落实政府采购政策（价格评审优惠）的，按第二章“投标须知”及本章第二节第</w:t>
      </w:r>
      <w:r>
        <w:rPr>
          <w:rFonts w:ascii="宋体" w:hAnsi="宋体"/>
          <w:bCs/>
          <w:color w:val="000000"/>
          <w:szCs w:val="21"/>
        </w:rPr>
        <w:t>5.3</w:t>
      </w:r>
      <w:r>
        <w:rPr>
          <w:rFonts w:hint="eastAsia" w:ascii="宋体" w:hAnsi="宋体"/>
          <w:bCs/>
          <w:color w:val="000000"/>
          <w:szCs w:val="21"/>
        </w:rPr>
        <w:t>（1）项的相关规定进行价格调整。</w:t>
      </w:r>
    </w:p>
    <w:p w14:paraId="723C8462">
      <w:pPr>
        <w:adjustRightInd w:val="0"/>
        <w:snapToGrid w:val="0"/>
        <w:spacing w:before="156" w:beforeLines="50" w:line="360" w:lineRule="auto"/>
        <w:ind w:firstLine="420" w:firstLineChars="200"/>
        <w:jc w:val="left"/>
        <w:rPr>
          <w:rFonts w:hint="eastAsia" w:ascii="宋体" w:hAnsi="宋体"/>
          <w:bCs/>
          <w:color w:val="000000"/>
          <w:szCs w:val="21"/>
        </w:rPr>
      </w:pPr>
      <w:r>
        <w:rPr>
          <w:rFonts w:hint="eastAsia" w:ascii="宋体" w:hAnsi="宋体"/>
          <w:bCs/>
          <w:color w:val="000000"/>
          <w:szCs w:val="21"/>
        </w:rPr>
        <w:t>2.3按本章本节第2.1款、第2.2款规定，以修正或调整后的价格确定投标人的投标报价和评标基准价，用于投标报价评价。</w:t>
      </w:r>
    </w:p>
    <w:p w14:paraId="1859E961">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3.投标报价评价</w:t>
      </w:r>
    </w:p>
    <w:p w14:paraId="7F1D488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3.1投标报价评价：价格分应当采用低价优先法计算，即满足招标文件要求且投标价格最低的投标报价为评标基准价，其价格分为满分（报价权重分）。其他投标人的价格分统一按照下列公式计算：</w:t>
      </w:r>
    </w:p>
    <w:p w14:paraId="1448949A">
      <w:pPr>
        <w:adjustRightInd w:val="0"/>
        <w:snapToGrid w:val="0"/>
        <w:spacing w:before="156" w:beforeLines="50" w:line="360" w:lineRule="auto"/>
        <w:ind w:firstLine="420" w:firstLineChars="200"/>
        <w:jc w:val="left"/>
        <w:rPr>
          <w:rFonts w:ascii="宋体" w:hAnsi="宋体" w:eastAsia="宋体" w:cs="Times New Roman"/>
          <w:color w:val="auto"/>
          <w:szCs w:val="21"/>
        </w:rPr>
      </w:pPr>
      <w:r>
        <w:rPr>
          <w:rFonts w:hint="eastAsia" w:ascii="宋体" w:hAnsi="宋体"/>
          <w:szCs w:val="21"/>
        </w:rPr>
        <w:t>投标报价得分=（评标基准价</w:t>
      </w:r>
      <w:r>
        <w:rPr>
          <w:rFonts w:hint="eastAsia" w:ascii="宋体" w:hAnsi="宋体"/>
          <w:szCs w:val="21"/>
          <w:vertAlign w:val="subscript"/>
        </w:rPr>
        <w:t>修正或调整</w:t>
      </w:r>
      <w:r>
        <w:rPr>
          <w:rFonts w:hint="eastAsia" w:ascii="宋体" w:hAnsi="宋体"/>
          <w:szCs w:val="21"/>
        </w:rPr>
        <w:t>／投标报价</w:t>
      </w:r>
      <w:r>
        <w:rPr>
          <w:rFonts w:hint="eastAsia" w:ascii="宋体" w:hAnsi="宋体"/>
          <w:szCs w:val="21"/>
          <w:vertAlign w:val="subscript"/>
        </w:rPr>
        <w:t>修正或调整</w:t>
      </w:r>
      <w:r>
        <w:rPr>
          <w:rFonts w:hint="eastAsia" w:ascii="宋体" w:hAnsi="宋体"/>
          <w:szCs w:val="21"/>
        </w:rPr>
        <w:t xml:space="preserve">） × </w:t>
      </w:r>
      <w:r>
        <w:rPr>
          <w:rFonts w:hint="eastAsia" w:ascii="宋体" w:hAnsi="宋体" w:eastAsia="宋体" w:cs="Times New Roman"/>
          <w:color w:val="auto"/>
          <w:szCs w:val="21"/>
        </w:rPr>
        <w:t>100×报价权值</w:t>
      </w:r>
    </w:p>
    <w:p w14:paraId="0A82D713">
      <w:pPr>
        <w:adjustRightInd w:val="0"/>
        <w:snapToGrid w:val="0"/>
        <w:spacing w:before="156" w:beforeLines="50" w:line="360" w:lineRule="auto"/>
        <w:ind w:firstLine="420" w:firstLineChars="200"/>
        <w:jc w:val="left"/>
        <w:rPr>
          <w:rFonts w:hint="default" w:ascii="宋体" w:hAnsi="宋体" w:eastAsia="宋体"/>
          <w:szCs w:val="21"/>
          <w:lang w:val="en-US" w:eastAsia="zh-CN"/>
        </w:rPr>
      </w:pPr>
    </w:p>
    <w:p w14:paraId="644F991C">
      <w:pPr>
        <w:adjustRightInd w:val="0"/>
        <w:snapToGrid w:val="0"/>
        <w:spacing w:before="156" w:beforeLines="50" w:line="360" w:lineRule="auto"/>
        <w:jc w:val="left"/>
        <w:rPr>
          <w:rFonts w:hint="eastAsia" w:ascii="黑体" w:hAnsi="黑体" w:eastAsia="黑体"/>
          <w:sz w:val="24"/>
        </w:rPr>
      </w:pPr>
      <w:r>
        <w:rPr>
          <w:rFonts w:hint="eastAsia" w:ascii="黑体" w:hAnsi="黑体" w:eastAsia="黑体"/>
          <w:bCs/>
          <w:sz w:val="24"/>
        </w:rPr>
        <w:t>4.</w:t>
      </w:r>
      <w:r>
        <w:rPr>
          <w:rFonts w:hint="eastAsia" w:ascii="黑体" w:hAnsi="黑体" w:eastAsia="黑体"/>
          <w:sz w:val="24"/>
        </w:rPr>
        <w:t>技术、商务等评分项响应评价及政府采购政策加分</w:t>
      </w:r>
    </w:p>
    <w:p w14:paraId="7916DF0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4.1技术、商务等评分项响应评分。按</w:t>
      </w:r>
      <w:r>
        <w:rPr>
          <w:rFonts w:hint="eastAsia" w:ascii="宋体" w:hAnsi="宋体"/>
          <w:bCs/>
          <w:color w:val="000000"/>
          <w:szCs w:val="21"/>
        </w:rPr>
        <w:t>本章</w:t>
      </w:r>
      <w:r>
        <w:rPr>
          <w:rFonts w:hint="eastAsia" w:ascii="宋体" w:hAnsi="宋体"/>
          <w:szCs w:val="21"/>
        </w:rPr>
        <w:t>本节附页1“评标方法及标准表”规定的评标因素和标准，对技术、商务等评分项计算得分。</w:t>
      </w:r>
    </w:p>
    <w:p w14:paraId="2BA0935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4.2需落实政府采购政策（优先采购）的，按第二章、本章第二节第5.3（2）项以及本节附页1“评标方法及标准表”的相关规定进行技术、价格、商务项得分(加分)计算。</w:t>
      </w:r>
    </w:p>
    <w:p w14:paraId="00869BAF">
      <w:p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5.评标总得分</w:t>
      </w:r>
    </w:p>
    <w:p w14:paraId="2368C09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5.1评标总得分为投标报价、技术、商务等评分项得分(含优先采购政策加分)之和。</w:t>
      </w:r>
    </w:p>
    <w:p w14:paraId="07FDA4B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评标总得分＝A</w:t>
      </w:r>
      <w:r>
        <w:rPr>
          <w:rFonts w:hint="eastAsia" w:ascii="宋体" w:hAnsi="宋体"/>
          <w:szCs w:val="21"/>
          <w:vertAlign w:val="subscript"/>
        </w:rPr>
        <w:t>投标报价得分</w:t>
      </w:r>
      <w:r>
        <w:rPr>
          <w:rFonts w:hint="eastAsia" w:ascii="宋体" w:hAnsi="宋体"/>
          <w:szCs w:val="21"/>
        </w:rPr>
        <w:t>＋A</w:t>
      </w:r>
      <w:r>
        <w:rPr>
          <w:rFonts w:hint="eastAsia" w:ascii="宋体" w:hAnsi="宋体"/>
          <w:szCs w:val="21"/>
          <w:vertAlign w:val="subscript"/>
        </w:rPr>
        <w:t>技术项得分</w:t>
      </w:r>
      <w:r>
        <w:rPr>
          <w:rFonts w:hint="eastAsia" w:ascii="宋体" w:hAnsi="宋体"/>
          <w:szCs w:val="21"/>
        </w:rPr>
        <w:t>＋A</w:t>
      </w:r>
      <w:r>
        <w:rPr>
          <w:rFonts w:hint="eastAsia" w:ascii="宋体" w:hAnsi="宋体"/>
          <w:szCs w:val="21"/>
          <w:vertAlign w:val="subscript"/>
        </w:rPr>
        <w:t>商务项得分</w:t>
      </w:r>
      <w:r>
        <w:rPr>
          <w:rFonts w:hint="eastAsia" w:ascii="宋体" w:hAnsi="宋体"/>
          <w:szCs w:val="21"/>
        </w:rPr>
        <w:t>＋A</w:t>
      </w:r>
      <w:r>
        <w:rPr>
          <w:rFonts w:hint="eastAsia" w:ascii="宋体" w:hAnsi="宋体"/>
          <w:szCs w:val="21"/>
          <w:vertAlign w:val="subscript"/>
        </w:rPr>
        <w:t>优先采购加分</w:t>
      </w:r>
    </w:p>
    <w:p w14:paraId="54BAA4A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5.2评分分值计算保留小数点后两位，小数点后第三位“四舍五入”。</w:t>
      </w:r>
    </w:p>
    <w:p w14:paraId="37EFBF8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cs="宋体"/>
          <w:kern w:val="0"/>
          <w:szCs w:val="21"/>
        </w:rPr>
        <w:t>5.3</w:t>
      </w:r>
      <w:r>
        <w:rPr>
          <w:rFonts w:hint="eastAsia" w:ascii="宋体" w:hAnsi="宋体"/>
          <w:szCs w:val="21"/>
        </w:rPr>
        <w:t>评标时，评标委员会成员应当独立对满足招标文件全部实质性要求投标人的</w:t>
      </w:r>
      <w:r>
        <w:rPr>
          <w:rFonts w:hint="eastAsia" w:ascii="宋体" w:hAnsi="宋体"/>
          <w:bCs/>
          <w:szCs w:val="21"/>
        </w:rPr>
        <w:t>投标文件</w:t>
      </w:r>
      <w:r>
        <w:rPr>
          <w:rFonts w:hint="eastAsia" w:ascii="宋体" w:hAnsi="宋体"/>
          <w:szCs w:val="21"/>
        </w:rPr>
        <w:t>进行评价、评分，然后汇总每个投标人每项评分因素的得分。每个投标人的最终得分为所有评标委员会成员评分的算术平均值。</w:t>
      </w:r>
    </w:p>
    <w:p w14:paraId="22CDA647">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6.中标候选人的推荐方法</w:t>
      </w:r>
    </w:p>
    <w:p w14:paraId="43B37385">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E6C00D7">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6.2得分且投标报价相同的并列，按本章第二节规定确定中标候选人。</w:t>
      </w:r>
    </w:p>
    <w:p w14:paraId="7AD8D445">
      <w:pPr>
        <w:adjustRightInd w:val="0"/>
        <w:snapToGrid w:val="0"/>
        <w:spacing w:before="156" w:beforeLines="50" w:line="360" w:lineRule="auto"/>
        <w:ind w:firstLine="420" w:firstLineChars="200"/>
        <w:jc w:val="left"/>
        <w:rPr>
          <w:rFonts w:hint="eastAsia" w:ascii="宋体" w:hAnsi="宋体"/>
          <w:bCs/>
          <w:szCs w:val="21"/>
        </w:rPr>
        <w:sectPr>
          <w:footerReference r:id="rId9" w:type="first"/>
          <w:footerReference r:id="rId8" w:type="default"/>
          <w:pgSz w:w="11906" w:h="16838"/>
          <w:pgMar w:top="851" w:right="1701" w:bottom="397" w:left="1701" w:header="851" w:footer="992" w:gutter="0"/>
          <w:cols w:space="425" w:num="1"/>
          <w:docGrid w:type="lines" w:linePitch="312" w:charSpace="0"/>
        </w:sectPr>
      </w:pPr>
    </w:p>
    <w:p w14:paraId="582C0514">
      <w:pPr>
        <w:keepNext/>
        <w:keepLines/>
        <w:adjustRightInd w:val="0"/>
        <w:snapToGrid w:val="0"/>
        <w:spacing w:before="156" w:beforeLines="50" w:line="360" w:lineRule="auto"/>
        <w:outlineLvl w:val="2"/>
        <w:rPr>
          <w:b/>
          <w:bCs/>
          <w:szCs w:val="21"/>
        </w:rPr>
      </w:pPr>
      <w:bookmarkStart w:id="98" w:name="_Toc20651231"/>
      <w:bookmarkStart w:id="99" w:name="_Toc719"/>
      <w:bookmarkStart w:id="100" w:name="_Toc18366"/>
      <w:r>
        <w:rPr>
          <w:rFonts w:hint="eastAsia"/>
          <w:b/>
          <w:bCs/>
          <w:szCs w:val="21"/>
        </w:rPr>
        <w:t>附页1 评标方法及标准表</w:t>
      </w:r>
      <w:bookmarkEnd w:id="98"/>
      <w:bookmarkEnd w:id="99"/>
      <w:bookmarkEnd w:id="100"/>
    </w:p>
    <w:tbl>
      <w:tblPr>
        <w:tblStyle w:val="4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70"/>
        <w:gridCol w:w="763"/>
        <w:gridCol w:w="465"/>
        <w:gridCol w:w="6612"/>
      </w:tblGrid>
      <w:tr w14:paraId="6EB1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6" w:type="pct"/>
            <w:vAlign w:val="center"/>
          </w:tcPr>
          <w:p w14:paraId="6A31AACE">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b/>
                <w:bCs/>
                <w:sz w:val="18"/>
                <w:szCs w:val="18"/>
                <w:highlight w:val="none"/>
              </w:rPr>
            </w:pPr>
            <w:bookmarkStart w:id="101" w:name="_Toc5501"/>
            <w:r>
              <w:rPr>
                <w:rFonts w:hint="eastAsia" w:ascii="宋体" w:hAnsi="宋体" w:cs="宋体"/>
                <w:b/>
                <w:bCs/>
                <w:sz w:val="18"/>
                <w:szCs w:val="18"/>
                <w:highlight w:val="none"/>
              </w:rPr>
              <w:t>序号</w:t>
            </w:r>
          </w:p>
        </w:tc>
        <w:tc>
          <w:tcPr>
            <w:tcW w:w="1105" w:type="pct"/>
            <w:gridSpan w:val="3"/>
            <w:vAlign w:val="center"/>
          </w:tcPr>
          <w:p w14:paraId="0E72886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b/>
                <w:bCs/>
                <w:sz w:val="18"/>
                <w:szCs w:val="18"/>
                <w:highlight w:val="none"/>
              </w:rPr>
            </w:pPr>
            <w:r>
              <w:rPr>
                <w:rFonts w:hint="eastAsia" w:ascii="宋体" w:hAnsi="宋体" w:cs="宋体"/>
                <w:b/>
                <w:sz w:val="18"/>
                <w:szCs w:val="18"/>
                <w:highlight w:val="none"/>
              </w:rPr>
              <w:t>评审因素（权重分）</w:t>
            </w:r>
          </w:p>
        </w:tc>
        <w:tc>
          <w:tcPr>
            <w:tcW w:w="3658" w:type="pct"/>
            <w:vAlign w:val="center"/>
          </w:tcPr>
          <w:p w14:paraId="5AE718D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b/>
                <w:bCs/>
                <w:sz w:val="18"/>
                <w:szCs w:val="18"/>
                <w:highlight w:val="none"/>
              </w:rPr>
            </w:pPr>
            <w:r>
              <w:rPr>
                <w:rFonts w:hint="eastAsia" w:ascii="宋体" w:hAnsi="宋体" w:cs="宋体"/>
                <w:b/>
                <w:bCs/>
                <w:sz w:val="18"/>
                <w:szCs w:val="18"/>
                <w:highlight w:val="none"/>
              </w:rPr>
              <w:t>评分标准</w:t>
            </w:r>
          </w:p>
        </w:tc>
      </w:tr>
      <w:tr w14:paraId="25B9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36" w:type="pct"/>
            <w:vAlign w:val="center"/>
          </w:tcPr>
          <w:p w14:paraId="22651E1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r>
              <w:rPr>
                <w:rFonts w:hint="eastAsia" w:ascii="宋体" w:hAnsi="宋体" w:cs="宋体"/>
                <w:sz w:val="18"/>
                <w:szCs w:val="18"/>
                <w:highlight w:val="none"/>
              </w:rPr>
              <w:t>1</w:t>
            </w:r>
          </w:p>
        </w:tc>
        <w:tc>
          <w:tcPr>
            <w:tcW w:w="848" w:type="pct"/>
            <w:gridSpan w:val="2"/>
            <w:vAlign w:val="center"/>
          </w:tcPr>
          <w:p w14:paraId="26E5205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r>
              <w:rPr>
                <w:rFonts w:hint="eastAsia" w:ascii="宋体" w:hAnsi="宋体" w:cs="宋体"/>
                <w:sz w:val="18"/>
                <w:szCs w:val="18"/>
                <w:highlight w:val="none"/>
              </w:rPr>
              <w:t>价格评价项</w:t>
            </w:r>
          </w:p>
          <w:p w14:paraId="1C40058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20</w:t>
            </w:r>
            <w:r>
              <w:rPr>
                <w:rFonts w:hint="eastAsia" w:ascii="宋体" w:hAnsi="宋体" w:cs="宋体"/>
                <w:sz w:val="18"/>
                <w:szCs w:val="18"/>
                <w:highlight w:val="none"/>
              </w:rPr>
              <w:t>分</w:t>
            </w:r>
            <w:r>
              <w:rPr>
                <w:rFonts w:hint="eastAsia" w:ascii="宋体" w:hAnsi="宋体" w:cs="宋体"/>
                <w:sz w:val="18"/>
                <w:szCs w:val="18"/>
                <w:highlight w:val="none"/>
                <w:lang w:eastAsia="zh-CN"/>
              </w:rPr>
              <w:t>）</w:t>
            </w:r>
          </w:p>
        </w:tc>
        <w:tc>
          <w:tcPr>
            <w:tcW w:w="257" w:type="pct"/>
            <w:vAlign w:val="center"/>
          </w:tcPr>
          <w:p w14:paraId="5F2146EA">
            <w:pPr>
              <w:keepNext w:val="0"/>
              <w:keepLines w:val="0"/>
              <w:pageBreakBefore w:val="0"/>
              <w:widowControl w:val="0"/>
              <w:kinsoku/>
              <w:wordWrap/>
              <w:overflowPunct/>
              <w:topLinePunct w:val="0"/>
              <w:autoSpaceDE/>
              <w:autoSpaceDN/>
              <w:bidi w:val="0"/>
              <w:adjustRightInd w:val="0"/>
              <w:spacing w:line="360" w:lineRule="auto"/>
              <w:textAlignment w:val="auto"/>
              <w:rPr>
                <w:rFonts w:hint="eastAsia" w:ascii="宋体" w:hAnsi="宋体" w:cs="宋体"/>
                <w:sz w:val="18"/>
                <w:szCs w:val="18"/>
                <w:highlight w:val="none"/>
              </w:rPr>
            </w:pPr>
            <w:r>
              <w:rPr>
                <w:rFonts w:hint="eastAsia" w:ascii="宋体" w:hAnsi="宋体" w:cs="宋体"/>
                <w:sz w:val="18"/>
                <w:szCs w:val="18"/>
                <w:highlight w:val="none"/>
                <w:lang w:val="en-US" w:eastAsia="zh-CN"/>
              </w:rPr>
              <w:t>20</w:t>
            </w:r>
            <w:r>
              <w:rPr>
                <w:rFonts w:hint="eastAsia" w:ascii="宋体" w:hAnsi="宋体" w:cs="宋体"/>
                <w:sz w:val="18"/>
                <w:szCs w:val="18"/>
                <w:highlight w:val="none"/>
              </w:rPr>
              <w:t>分</w:t>
            </w:r>
          </w:p>
        </w:tc>
        <w:tc>
          <w:tcPr>
            <w:tcW w:w="3658" w:type="pct"/>
          </w:tcPr>
          <w:p w14:paraId="6286C669">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hAnsi="宋体" w:cs="宋体"/>
                <w:sz w:val="18"/>
                <w:szCs w:val="18"/>
                <w:highlight w:val="none"/>
                <w:lang w:val="en-US"/>
              </w:rPr>
            </w:pPr>
            <w:r>
              <w:rPr>
                <w:rFonts w:hint="default" w:hAnsi="宋体" w:cs="宋体"/>
                <w:sz w:val="18"/>
                <w:szCs w:val="18"/>
                <w:highlight w:val="none"/>
                <w:lang w:val="en-US"/>
              </w:rPr>
              <w:t>以经评委会一致认定满足招标文件要求且经评审投标报价最低的投标报价为评标基准价，其价格得分计满分。其他投标人的价格得分统一按公式计算：投标报价得分=（评标基准价修正或调整／投标报价修正或调整） ×100×报价权值。（注：评标委员会认为投标人的投标报价为异常低价，有可能影响产品质量或者不能诚信履约的，要求提供项目具体成本测算等与报价合理性相关的书面说明及必要的证明材料；投标（响应）供应商不能提供书面说明、证明材料，或者提供的书面说明、证明材料不能证明其报价合理性的，评审委员会应当将其作为无效投标（响应）处理。）</w:t>
            </w:r>
          </w:p>
          <w:p w14:paraId="39ADE96A">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hAnsi="宋体" w:cs="宋体"/>
                <w:sz w:val="18"/>
                <w:szCs w:val="18"/>
                <w:highlight w:val="none"/>
                <w:lang w:val="en-US" w:eastAsia="zh-CN"/>
              </w:rPr>
            </w:pPr>
            <w:r>
              <w:rPr>
                <w:rFonts w:hint="default" w:hAnsi="宋体" w:cs="宋体"/>
                <w:sz w:val="18"/>
                <w:szCs w:val="18"/>
                <w:highlight w:val="none"/>
                <w:lang w:val="en-US" w:eastAsia="zh-CN"/>
              </w:rPr>
              <w:t>异常低价的情形：</w:t>
            </w:r>
          </w:p>
          <w:p w14:paraId="1ECF039E">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hAnsi="宋体" w:cs="宋体"/>
                <w:sz w:val="18"/>
                <w:szCs w:val="18"/>
                <w:highlight w:val="none"/>
                <w:lang w:val="en-US" w:eastAsia="zh-CN"/>
              </w:rPr>
            </w:pPr>
            <w:r>
              <w:rPr>
                <w:rFonts w:hint="default" w:hAnsi="宋体" w:cs="宋体"/>
                <w:sz w:val="18"/>
                <w:szCs w:val="18"/>
                <w:highlight w:val="none"/>
                <w:lang w:val="en-US" w:eastAsia="zh-CN"/>
              </w:rPr>
              <w:t>1、投标（响应）报价低于全部通过符合性审查供应商投标（响应）报价平均值65%的，即投标（响应）报价&lt;全部通过符合性审查供应商投标（响应）报价平均值×65%；</w:t>
            </w:r>
          </w:p>
          <w:p w14:paraId="195D7AF7">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hAnsi="宋体" w:cs="宋体"/>
                <w:sz w:val="18"/>
                <w:szCs w:val="18"/>
                <w:highlight w:val="none"/>
                <w:lang w:val="en-US" w:eastAsia="zh-CN"/>
              </w:rPr>
            </w:pPr>
            <w:r>
              <w:rPr>
                <w:rFonts w:hint="default" w:hAnsi="宋体" w:cs="宋体"/>
                <w:sz w:val="18"/>
                <w:szCs w:val="18"/>
                <w:highlight w:val="none"/>
                <w:lang w:val="en-US" w:eastAsia="zh-CN"/>
              </w:rPr>
              <w:t>2、投标（响应）报价低于通过符合性审查的次低报价供应商投标（响应）报价65%的，即投标（响应）报价&lt;通过符合性审查的次低报价供应商投标（响应）报价×65%；</w:t>
            </w:r>
          </w:p>
          <w:p w14:paraId="16ABA431">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hAnsi="宋体" w:cs="宋体"/>
                <w:sz w:val="18"/>
                <w:szCs w:val="18"/>
                <w:highlight w:val="none"/>
                <w:lang w:val="en-US" w:eastAsia="zh-CN"/>
              </w:rPr>
            </w:pPr>
            <w:r>
              <w:rPr>
                <w:rFonts w:hint="default" w:hAnsi="宋体" w:cs="宋体"/>
                <w:sz w:val="18"/>
                <w:szCs w:val="18"/>
                <w:highlight w:val="none"/>
                <w:lang w:val="en-US" w:eastAsia="zh-CN"/>
              </w:rPr>
              <w:t>3、投标（响应）报价低于采购项目最高限价65%的，即投标（响应）报价&lt;采购项目最高限价×65%；</w:t>
            </w:r>
          </w:p>
          <w:p w14:paraId="262447E7">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hAnsi="宋体" w:cs="宋体"/>
                <w:sz w:val="18"/>
                <w:szCs w:val="18"/>
                <w:highlight w:val="none"/>
                <w:lang w:val="en-US" w:eastAsia="zh-CN"/>
              </w:rPr>
            </w:pPr>
            <w:r>
              <w:rPr>
                <w:rFonts w:hint="default" w:hAnsi="宋体" w:cs="宋体"/>
                <w:sz w:val="18"/>
                <w:szCs w:val="18"/>
                <w:highlight w:val="none"/>
                <w:lang w:val="en-US" w:eastAsia="zh-CN"/>
              </w:rPr>
              <w:t>4、评审委员会基于专业判断，认为供应商报价过低，有可能影响产品质量或者不能诚信履约的其他情形。</w:t>
            </w:r>
          </w:p>
          <w:p w14:paraId="778319B5">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hAnsi="宋体" w:cs="宋体"/>
                <w:sz w:val="18"/>
                <w:szCs w:val="18"/>
                <w:highlight w:val="none"/>
                <w:lang w:val="en-US"/>
              </w:rPr>
            </w:pPr>
            <w:r>
              <w:rPr>
                <w:rFonts w:hint="default" w:hAnsi="宋体" w:cs="宋体"/>
                <w:sz w:val="18"/>
                <w:szCs w:val="18"/>
                <w:highlight w:val="none"/>
                <w:lang w:val="en-US" w:eastAsia="zh-CN"/>
              </w:rPr>
              <w:t>采购人可以结合具体项目实际情况，提高上述第1项至第3项中启动异常低价投标(响应)审查的数值标准，但是最高不得超过65%。</w:t>
            </w:r>
          </w:p>
        </w:tc>
      </w:tr>
      <w:tr w14:paraId="1634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6" w:type="pct"/>
            <w:vMerge w:val="restart"/>
            <w:vAlign w:val="center"/>
          </w:tcPr>
          <w:p w14:paraId="3368697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r>
              <w:rPr>
                <w:rFonts w:hint="eastAsia" w:ascii="宋体" w:hAnsi="宋体" w:cs="宋体"/>
                <w:sz w:val="18"/>
                <w:szCs w:val="18"/>
                <w:highlight w:val="none"/>
              </w:rPr>
              <w:t>2</w:t>
            </w:r>
          </w:p>
        </w:tc>
        <w:tc>
          <w:tcPr>
            <w:tcW w:w="426" w:type="pct"/>
            <w:vMerge w:val="restart"/>
            <w:vAlign w:val="center"/>
          </w:tcPr>
          <w:p w14:paraId="47A3B9C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r>
              <w:rPr>
                <w:rFonts w:hint="eastAsia" w:ascii="宋体" w:hAnsi="宋体" w:eastAsia="宋体" w:cs="宋体"/>
                <w:sz w:val="18"/>
                <w:szCs w:val="18"/>
                <w:highlight w:val="none"/>
              </w:rPr>
              <w:t>技术评价项（6</w:t>
            </w:r>
            <w:r>
              <w:rPr>
                <w:rFonts w:hint="eastAsia" w:ascii="宋体" w:hAnsi="宋体" w:cs="宋体"/>
                <w:sz w:val="18"/>
                <w:szCs w:val="18"/>
                <w:highlight w:val="none"/>
                <w:lang w:val="en-US" w:eastAsia="zh-CN"/>
              </w:rPr>
              <w:t>0</w:t>
            </w:r>
            <w:r>
              <w:rPr>
                <w:rFonts w:hint="eastAsia" w:ascii="宋体" w:hAnsi="宋体" w:eastAsia="宋体" w:cs="宋体"/>
                <w:sz w:val="18"/>
                <w:szCs w:val="18"/>
                <w:highlight w:val="none"/>
              </w:rPr>
              <w:t>分）</w:t>
            </w:r>
          </w:p>
        </w:tc>
        <w:tc>
          <w:tcPr>
            <w:tcW w:w="421" w:type="pct"/>
            <w:vAlign w:val="center"/>
          </w:tcPr>
          <w:p w14:paraId="371C74CE">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项目</w:t>
            </w:r>
          </w:p>
          <w:p w14:paraId="15FC8DC8">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理解</w:t>
            </w:r>
          </w:p>
        </w:tc>
        <w:tc>
          <w:tcPr>
            <w:tcW w:w="257" w:type="pct"/>
            <w:vAlign w:val="center"/>
          </w:tcPr>
          <w:p w14:paraId="14D7FDB6">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5分</w:t>
            </w:r>
          </w:p>
        </w:tc>
        <w:tc>
          <w:tcPr>
            <w:tcW w:w="3658" w:type="pct"/>
            <w:vAlign w:val="center"/>
          </w:tcPr>
          <w:p w14:paraId="79462A4D">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根据供应商提供的项目理解内容进行综合评价：</w:t>
            </w:r>
          </w:p>
          <w:p w14:paraId="00173AB6">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具体包含</w:t>
            </w:r>
            <w:r>
              <w:rPr>
                <w:rFonts w:hint="eastAsia" w:ascii="微软雅黑" w:hAnsi="微软雅黑" w:eastAsia="微软雅黑" w:cs="微软雅黑"/>
                <w:sz w:val="18"/>
                <w:szCs w:val="18"/>
                <w:highlight w:val="none"/>
              </w:rPr>
              <w:t>①</w:t>
            </w:r>
            <w:r>
              <w:rPr>
                <w:rFonts w:hint="eastAsia" w:hAnsi="宋体" w:cs="宋体"/>
                <w:sz w:val="18"/>
                <w:szCs w:val="18"/>
                <w:highlight w:val="none"/>
              </w:rPr>
              <w:t>建设背景、</w:t>
            </w:r>
            <w:r>
              <w:rPr>
                <w:rFonts w:hint="eastAsia" w:ascii="微软雅黑" w:hAnsi="微软雅黑" w:eastAsia="微软雅黑" w:cs="微软雅黑"/>
                <w:sz w:val="18"/>
                <w:szCs w:val="18"/>
                <w:highlight w:val="none"/>
              </w:rPr>
              <w:t>②</w:t>
            </w:r>
            <w:r>
              <w:rPr>
                <w:rFonts w:hint="eastAsia" w:hAnsi="宋体" w:cs="宋体"/>
                <w:sz w:val="18"/>
                <w:szCs w:val="18"/>
                <w:highlight w:val="none"/>
              </w:rPr>
              <w:t>建设目标、</w:t>
            </w:r>
            <w:r>
              <w:rPr>
                <w:rFonts w:hint="eastAsia" w:ascii="微软雅黑" w:hAnsi="微软雅黑" w:eastAsia="微软雅黑" w:cs="微软雅黑"/>
                <w:sz w:val="18"/>
                <w:szCs w:val="18"/>
                <w:highlight w:val="none"/>
              </w:rPr>
              <w:t>③</w:t>
            </w:r>
            <w:r>
              <w:rPr>
                <w:rFonts w:hint="eastAsia" w:hAnsi="宋体" w:cs="宋体"/>
                <w:sz w:val="18"/>
                <w:szCs w:val="18"/>
                <w:highlight w:val="none"/>
              </w:rPr>
              <w:t>建设原则、</w:t>
            </w:r>
            <w:r>
              <w:rPr>
                <w:rFonts w:hint="eastAsia" w:ascii="微软雅黑" w:hAnsi="微软雅黑" w:eastAsia="微软雅黑" w:cs="微软雅黑"/>
                <w:sz w:val="18"/>
                <w:szCs w:val="18"/>
                <w:highlight w:val="none"/>
              </w:rPr>
              <w:t>④</w:t>
            </w:r>
            <w:r>
              <w:rPr>
                <w:rFonts w:hint="eastAsia" w:hAnsi="宋体" w:cs="宋体"/>
                <w:sz w:val="18"/>
                <w:szCs w:val="18"/>
                <w:highlight w:val="none"/>
              </w:rPr>
              <w:t>现状分析、</w:t>
            </w:r>
            <w:r>
              <w:rPr>
                <w:rFonts w:hint="eastAsia" w:ascii="微软雅黑" w:hAnsi="微软雅黑" w:eastAsia="微软雅黑" w:cs="微软雅黑"/>
                <w:sz w:val="18"/>
                <w:szCs w:val="18"/>
                <w:highlight w:val="none"/>
              </w:rPr>
              <w:t>⑤</w:t>
            </w:r>
            <w:r>
              <w:rPr>
                <w:rFonts w:hint="eastAsia" w:hAnsi="宋体" w:cs="宋体"/>
                <w:sz w:val="18"/>
                <w:szCs w:val="18"/>
                <w:highlight w:val="none"/>
              </w:rPr>
              <w:t>需求理解等内容。</w:t>
            </w:r>
            <w:r>
              <w:rPr>
                <w:rFonts w:hAnsi="宋体" w:cs="宋体"/>
                <w:sz w:val="18"/>
                <w:szCs w:val="18"/>
                <w:highlight w:val="none"/>
              </w:rPr>
              <w:t>内容完整</w:t>
            </w:r>
            <w:r>
              <w:rPr>
                <w:rFonts w:hint="eastAsia" w:hAnsi="宋体" w:cs="宋体"/>
                <w:sz w:val="18"/>
                <w:szCs w:val="18"/>
                <w:highlight w:val="none"/>
              </w:rPr>
              <w:t>详实</w:t>
            </w:r>
            <w:r>
              <w:rPr>
                <w:rFonts w:hAnsi="宋体" w:cs="宋体"/>
                <w:sz w:val="18"/>
                <w:szCs w:val="18"/>
                <w:highlight w:val="none"/>
              </w:rPr>
              <w:t>、满足实际需求的计</w:t>
            </w:r>
            <w:r>
              <w:rPr>
                <w:rFonts w:hint="eastAsia" w:hAnsi="宋体" w:cs="宋体"/>
                <w:sz w:val="18"/>
                <w:szCs w:val="18"/>
                <w:highlight w:val="none"/>
              </w:rPr>
              <w:t>5</w:t>
            </w:r>
            <w:r>
              <w:rPr>
                <w:rFonts w:hAnsi="宋体" w:cs="宋体"/>
                <w:sz w:val="18"/>
                <w:szCs w:val="18"/>
                <w:highlight w:val="none"/>
              </w:rPr>
              <w:t>分，有缺漏项的每项扣</w:t>
            </w:r>
            <w:r>
              <w:rPr>
                <w:rFonts w:hint="eastAsia" w:hAnsi="宋体" w:cs="宋体"/>
                <w:sz w:val="18"/>
                <w:szCs w:val="18"/>
                <w:highlight w:val="none"/>
              </w:rPr>
              <w:t>1</w:t>
            </w:r>
            <w:r>
              <w:rPr>
                <w:rFonts w:hAnsi="宋体" w:cs="宋体"/>
                <w:sz w:val="18"/>
                <w:szCs w:val="18"/>
                <w:highlight w:val="none"/>
              </w:rPr>
              <w:t>分，每</w:t>
            </w:r>
            <w:r>
              <w:rPr>
                <w:rFonts w:hint="eastAsia" w:hAnsi="宋体" w:cs="宋体"/>
                <w:sz w:val="18"/>
                <w:szCs w:val="18"/>
                <w:highlight w:val="none"/>
              </w:rPr>
              <w:t>项</w:t>
            </w:r>
            <w:r>
              <w:rPr>
                <w:rFonts w:hAnsi="宋体" w:cs="宋体"/>
                <w:sz w:val="18"/>
                <w:szCs w:val="18"/>
                <w:highlight w:val="none"/>
              </w:rPr>
              <w:t>内容有缺陷、不合理的每处扣</w:t>
            </w:r>
            <w:r>
              <w:rPr>
                <w:rFonts w:hint="eastAsia" w:hAnsi="宋体" w:cs="宋体"/>
                <w:sz w:val="18"/>
                <w:szCs w:val="18"/>
                <w:highlight w:val="none"/>
              </w:rPr>
              <w:t>0.5</w:t>
            </w:r>
            <w:r>
              <w:rPr>
                <w:rFonts w:hAnsi="宋体" w:cs="宋体"/>
                <w:sz w:val="18"/>
                <w:szCs w:val="18"/>
                <w:highlight w:val="none"/>
              </w:rPr>
              <w:t>分，扣完为止；未提供不计分。</w:t>
            </w:r>
          </w:p>
        </w:tc>
      </w:tr>
      <w:tr w14:paraId="40D0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6" w:type="pct"/>
            <w:vMerge w:val="continue"/>
            <w:vAlign w:val="center"/>
          </w:tcPr>
          <w:p w14:paraId="6E03D63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243EA154">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1" w:type="pct"/>
            <w:vAlign w:val="center"/>
          </w:tcPr>
          <w:p w14:paraId="11BFCBCA">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总体设计方案</w:t>
            </w:r>
          </w:p>
        </w:tc>
        <w:tc>
          <w:tcPr>
            <w:tcW w:w="257" w:type="pct"/>
            <w:vAlign w:val="center"/>
          </w:tcPr>
          <w:p w14:paraId="05F9C7AC">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1</w:t>
            </w:r>
            <w:r>
              <w:rPr>
                <w:rFonts w:hint="eastAsia" w:hAnsi="宋体" w:cs="宋体"/>
                <w:sz w:val="18"/>
                <w:szCs w:val="18"/>
                <w:highlight w:val="none"/>
                <w:lang w:val="en-US" w:eastAsia="zh-CN"/>
              </w:rPr>
              <w:t>0</w:t>
            </w:r>
            <w:r>
              <w:rPr>
                <w:rFonts w:hint="eastAsia" w:hAnsi="宋体" w:cs="宋体"/>
                <w:sz w:val="18"/>
                <w:szCs w:val="18"/>
                <w:highlight w:val="none"/>
              </w:rPr>
              <w:t>分</w:t>
            </w:r>
          </w:p>
        </w:tc>
        <w:tc>
          <w:tcPr>
            <w:tcW w:w="3658" w:type="pct"/>
            <w:vAlign w:val="center"/>
          </w:tcPr>
          <w:p w14:paraId="1630C64A">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根据供应商提供的总体设计方案进行综合评价：</w:t>
            </w:r>
          </w:p>
          <w:p w14:paraId="5A6DC94E">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方案涵盖</w:t>
            </w:r>
            <w:r>
              <w:rPr>
                <w:rFonts w:hint="eastAsia" w:ascii="微软雅黑" w:hAnsi="微软雅黑" w:eastAsia="微软雅黑" w:cs="微软雅黑"/>
                <w:sz w:val="18"/>
                <w:szCs w:val="18"/>
                <w:highlight w:val="none"/>
              </w:rPr>
              <w:t>①</w:t>
            </w:r>
            <w:r>
              <w:rPr>
                <w:rFonts w:hint="eastAsia" w:hAnsi="宋体" w:cs="宋体"/>
                <w:sz w:val="18"/>
                <w:szCs w:val="18"/>
                <w:highlight w:val="none"/>
              </w:rPr>
              <w:t>总体架构图、</w:t>
            </w:r>
            <w:r>
              <w:rPr>
                <w:rFonts w:hint="eastAsia" w:ascii="微软雅黑" w:hAnsi="微软雅黑" w:eastAsia="微软雅黑" w:cs="微软雅黑"/>
                <w:sz w:val="18"/>
                <w:szCs w:val="18"/>
                <w:highlight w:val="none"/>
              </w:rPr>
              <w:t>②</w:t>
            </w:r>
            <w:r>
              <w:rPr>
                <w:rFonts w:hint="eastAsia" w:hAnsi="宋体" w:cs="宋体"/>
                <w:sz w:val="18"/>
                <w:szCs w:val="18"/>
                <w:highlight w:val="none"/>
              </w:rPr>
              <w:t>数据架构图、</w:t>
            </w:r>
            <w:r>
              <w:rPr>
                <w:rFonts w:hint="eastAsia" w:ascii="微软雅黑" w:hAnsi="微软雅黑" w:eastAsia="微软雅黑" w:cs="微软雅黑"/>
                <w:sz w:val="18"/>
                <w:szCs w:val="18"/>
                <w:highlight w:val="none"/>
              </w:rPr>
              <w:t>③</w:t>
            </w:r>
            <w:r>
              <w:rPr>
                <w:rFonts w:hint="eastAsia" w:hAnsi="宋体" w:cs="宋体"/>
                <w:sz w:val="18"/>
                <w:szCs w:val="18"/>
                <w:highlight w:val="none"/>
              </w:rPr>
              <w:t>应用架构图、</w:t>
            </w:r>
            <w:r>
              <w:rPr>
                <w:rFonts w:hint="eastAsia" w:ascii="微软雅黑" w:hAnsi="微软雅黑" w:eastAsia="微软雅黑" w:cs="微软雅黑"/>
                <w:sz w:val="18"/>
                <w:szCs w:val="18"/>
                <w:highlight w:val="none"/>
              </w:rPr>
              <w:t>④</w:t>
            </w:r>
            <w:r>
              <w:rPr>
                <w:rFonts w:hint="eastAsia" w:hAnsi="宋体" w:cs="宋体"/>
                <w:sz w:val="18"/>
                <w:szCs w:val="18"/>
                <w:highlight w:val="none"/>
              </w:rPr>
              <w:t>业务架构图、</w:t>
            </w:r>
            <w:r>
              <w:rPr>
                <w:rFonts w:hint="eastAsia" w:ascii="微软雅黑" w:hAnsi="微软雅黑" w:eastAsia="微软雅黑" w:cs="微软雅黑"/>
                <w:sz w:val="18"/>
                <w:szCs w:val="18"/>
                <w:highlight w:val="none"/>
              </w:rPr>
              <w:t>⑤</w:t>
            </w:r>
            <w:r>
              <w:rPr>
                <w:rFonts w:hint="eastAsia" w:hAnsi="宋体" w:cs="宋体"/>
                <w:sz w:val="18"/>
                <w:szCs w:val="18"/>
                <w:highlight w:val="none"/>
              </w:rPr>
              <w:t>技术路线等内容。方案内容完整、设计思路清晰、技术路线先进、关键技术成熟、安全、可靠的计1</w:t>
            </w:r>
            <w:r>
              <w:rPr>
                <w:rFonts w:hint="eastAsia" w:hAnsi="宋体" w:cs="宋体"/>
                <w:sz w:val="18"/>
                <w:szCs w:val="18"/>
                <w:highlight w:val="none"/>
                <w:lang w:val="en-US" w:eastAsia="zh-CN"/>
              </w:rPr>
              <w:t>0</w:t>
            </w:r>
            <w:r>
              <w:rPr>
                <w:rFonts w:hint="eastAsia" w:hAnsi="宋体" w:cs="宋体"/>
                <w:sz w:val="18"/>
                <w:szCs w:val="18"/>
                <w:highlight w:val="none"/>
              </w:rPr>
              <w:t>分；有缺漏项的每项扣</w:t>
            </w:r>
            <w:r>
              <w:rPr>
                <w:rFonts w:hint="eastAsia" w:hAnsi="宋体" w:cs="宋体"/>
                <w:sz w:val="18"/>
                <w:szCs w:val="18"/>
                <w:highlight w:val="none"/>
                <w:lang w:val="en-US" w:eastAsia="zh-CN"/>
              </w:rPr>
              <w:t>2</w:t>
            </w:r>
            <w:r>
              <w:rPr>
                <w:rFonts w:hint="eastAsia" w:hAnsi="宋体" w:cs="宋体"/>
                <w:sz w:val="18"/>
                <w:szCs w:val="18"/>
                <w:highlight w:val="none"/>
              </w:rPr>
              <w:t>分，每项里有内容不详细、有缺陷的每处扣1分，扣完为止，未提供不计分。</w:t>
            </w:r>
          </w:p>
        </w:tc>
      </w:tr>
      <w:tr w14:paraId="6EC1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 w:type="pct"/>
            <w:vMerge w:val="continue"/>
            <w:vAlign w:val="center"/>
          </w:tcPr>
          <w:p w14:paraId="349D12F5">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08ED043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1" w:type="pct"/>
            <w:vMerge w:val="restart"/>
            <w:vAlign w:val="center"/>
          </w:tcPr>
          <w:p w14:paraId="07C78933">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Cs w:val="21"/>
                <w:highlight w:val="none"/>
              </w:rPr>
            </w:pPr>
            <w:r>
              <w:rPr>
                <w:rFonts w:hint="eastAsia" w:hAnsi="宋体" w:cs="宋体"/>
                <w:sz w:val="18"/>
                <w:szCs w:val="18"/>
                <w:highlight w:val="none"/>
              </w:rPr>
              <w:t>建设方案</w:t>
            </w:r>
          </w:p>
        </w:tc>
        <w:tc>
          <w:tcPr>
            <w:tcW w:w="257" w:type="pct"/>
            <w:vAlign w:val="center"/>
          </w:tcPr>
          <w:p w14:paraId="0CE72D7E">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14分</w:t>
            </w:r>
          </w:p>
        </w:tc>
        <w:tc>
          <w:tcPr>
            <w:tcW w:w="3658" w:type="pct"/>
            <w:vAlign w:val="center"/>
          </w:tcPr>
          <w:p w14:paraId="1BC8E496">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根据供应商提供的建设方案中数据规范化建设部分进行综合评价：</w:t>
            </w:r>
          </w:p>
          <w:p w14:paraId="04F60F9C">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方案涵盖</w:t>
            </w:r>
            <w:r>
              <w:rPr>
                <w:rFonts w:hint="eastAsia" w:ascii="微软雅黑" w:hAnsi="微软雅黑" w:eastAsia="微软雅黑" w:cs="微软雅黑"/>
                <w:sz w:val="18"/>
                <w:szCs w:val="18"/>
                <w:highlight w:val="none"/>
              </w:rPr>
              <w:t>①</w:t>
            </w:r>
            <w:r>
              <w:rPr>
                <w:rFonts w:hint="eastAsia" w:hAnsi="宋体" w:cs="宋体"/>
                <w:sz w:val="18"/>
                <w:szCs w:val="18"/>
                <w:highlight w:val="none"/>
              </w:rPr>
              <w:t>数据分析、</w:t>
            </w:r>
            <w:r>
              <w:rPr>
                <w:rFonts w:hint="eastAsia" w:ascii="微软雅黑" w:hAnsi="微软雅黑" w:eastAsia="微软雅黑" w:cs="微软雅黑"/>
                <w:sz w:val="18"/>
                <w:szCs w:val="18"/>
                <w:highlight w:val="none"/>
              </w:rPr>
              <w:t>②</w:t>
            </w:r>
            <w:r>
              <w:rPr>
                <w:rFonts w:hint="eastAsia" w:hAnsi="宋体" w:cs="宋体"/>
                <w:sz w:val="18"/>
                <w:szCs w:val="18"/>
                <w:highlight w:val="none"/>
              </w:rPr>
              <w:t>数据问题归集、</w:t>
            </w:r>
            <w:r>
              <w:rPr>
                <w:rFonts w:hint="eastAsia" w:ascii="微软雅黑" w:hAnsi="微软雅黑" w:eastAsia="微软雅黑" w:cs="微软雅黑"/>
                <w:sz w:val="18"/>
                <w:szCs w:val="18"/>
                <w:highlight w:val="none"/>
              </w:rPr>
              <w:t>③</w:t>
            </w:r>
            <w:r>
              <w:rPr>
                <w:rFonts w:hint="eastAsia" w:hAnsi="宋体" w:cs="宋体"/>
                <w:sz w:val="18"/>
                <w:szCs w:val="18"/>
                <w:highlight w:val="none"/>
              </w:rPr>
              <w:t>数据转换迁移、</w:t>
            </w:r>
            <w:r>
              <w:rPr>
                <w:rFonts w:hint="eastAsia" w:ascii="微软雅黑" w:hAnsi="微软雅黑" w:eastAsia="微软雅黑" w:cs="微软雅黑"/>
                <w:sz w:val="18"/>
                <w:szCs w:val="18"/>
                <w:highlight w:val="none"/>
              </w:rPr>
              <w:t>④</w:t>
            </w:r>
            <w:r>
              <w:rPr>
                <w:rFonts w:hint="eastAsia" w:hAnsi="宋体" w:cs="宋体"/>
                <w:sz w:val="18"/>
                <w:szCs w:val="18"/>
                <w:highlight w:val="none"/>
              </w:rPr>
              <w:t>数据质检、</w:t>
            </w:r>
            <w:r>
              <w:rPr>
                <w:rFonts w:hint="eastAsia" w:ascii="微软雅黑" w:hAnsi="微软雅黑" w:eastAsia="微软雅黑" w:cs="微软雅黑"/>
                <w:sz w:val="18"/>
                <w:szCs w:val="18"/>
                <w:highlight w:val="none"/>
              </w:rPr>
              <w:t>⑤</w:t>
            </w:r>
            <w:r>
              <w:rPr>
                <w:rFonts w:hint="eastAsia" w:hAnsi="宋体" w:cs="宋体"/>
                <w:sz w:val="18"/>
                <w:szCs w:val="18"/>
                <w:highlight w:val="none"/>
              </w:rPr>
              <w:t>数据缺失比对、</w:t>
            </w:r>
            <w:r>
              <w:rPr>
                <w:rFonts w:hint="eastAsia" w:ascii="微软雅黑" w:hAnsi="微软雅黑" w:eastAsia="微软雅黑" w:cs="微软雅黑"/>
                <w:sz w:val="18"/>
                <w:szCs w:val="18"/>
                <w:highlight w:val="none"/>
              </w:rPr>
              <w:t>⑥</w:t>
            </w:r>
            <w:r>
              <w:rPr>
                <w:rFonts w:hint="eastAsia" w:hAnsi="宋体" w:cs="宋体"/>
                <w:sz w:val="18"/>
                <w:szCs w:val="18"/>
                <w:highlight w:val="none"/>
              </w:rPr>
              <w:t>数据入库、</w:t>
            </w:r>
            <w:r>
              <w:rPr>
                <w:rFonts w:hint="eastAsia" w:ascii="微软雅黑" w:hAnsi="微软雅黑" w:eastAsia="微软雅黑" w:cs="微软雅黑"/>
                <w:sz w:val="18"/>
                <w:szCs w:val="18"/>
                <w:highlight w:val="none"/>
              </w:rPr>
              <w:t>⑦</w:t>
            </w:r>
            <w:r>
              <w:rPr>
                <w:rFonts w:hint="eastAsia" w:hAnsi="宋体" w:cs="宋体"/>
                <w:sz w:val="18"/>
                <w:szCs w:val="18"/>
                <w:highlight w:val="none"/>
              </w:rPr>
              <w:t>业务流程数据迁移等内容。内容阐述详细、先进合理、满足实际需求的计14分，有缺漏项的每项扣2分，每项内容不符合要求或有缺陷、不合理的每处扣1分，扣完为止；未提供不计分。</w:t>
            </w:r>
          </w:p>
        </w:tc>
      </w:tr>
      <w:tr w14:paraId="7014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 w:type="pct"/>
            <w:vMerge w:val="continue"/>
            <w:vAlign w:val="center"/>
          </w:tcPr>
          <w:p w14:paraId="108778B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382E0A6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1" w:type="pct"/>
            <w:vMerge w:val="continue"/>
            <w:vAlign w:val="center"/>
          </w:tcPr>
          <w:p w14:paraId="5952AF3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sz w:val="18"/>
                <w:szCs w:val="18"/>
                <w:highlight w:val="none"/>
              </w:rPr>
            </w:pPr>
          </w:p>
        </w:tc>
        <w:tc>
          <w:tcPr>
            <w:tcW w:w="257" w:type="pct"/>
            <w:vAlign w:val="center"/>
          </w:tcPr>
          <w:p w14:paraId="5417E276">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9分</w:t>
            </w:r>
          </w:p>
        </w:tc>
        <w:tc>
          <w:tcPr>
            <w:tcW w:w="3658" w:type="pct"/>
            <w:vAlign w:val="center"/>
          </w:tcPr>
          <w:p w14:paraId="742D7514">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根据供应商提供的建设方案中共享对接及优化营商环境建设部分进行综合评价：</w:t>
            </w:r>
          </w:p>
          <w:p w14:paraId="447FA620">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方案涵盖</w:t>
            </w:r>
            <w:r>
              <w:rPr>
                <w:rFonts w:hint="eastAsia" w:ascii="微软雅黑" w:hAnsi="微软雅黑" w:eastAsia="微软雅黑" w:cs="微软雅黑"/>
                <w:sz w:val="18"/>
                <w:szCs w:val="18"/>
                <w:highlight w:val="none"/>
              </w:rPr>
              <w:t>①</w:t>
            </w:r>
            <w:r>
              <w:rPr>
                <w:rFonts w:hint="eastAsia" w:hAnsi="宋体" w:cs="宋体"/>
                <w:sz w:val="18"/>
                <w:szCs w:val="18"/>
                <w:highlight w:val="none"/>
              </w:rPr>
              <w:t>部省级数据共享对接联调、</w:t>
            </w:r>
            <w:r>
              <w:rPr>
                <w:rFonts w:hint="eastAsia" w:ascii="微软雅黑" w:hAnsi="微软雅黑" w:eastAsia="微软雅黑" w:cs="微软雅黑"/>
                <w:sz w:val="18"/>
                <w:szCs w:val="18"/>
                <w:highlight w:val="none"/>
              </w:rPr>
              <w:t>②</w:t>
            </w:r>
            <w:r>
              <w:rPr>
                <w:rFonts w:hint="eastAsia" w:hAnsi="宋体" w:cs="宋体"/>
                <w:sz w:val="18"/>
                <w:szCs w:val="18"/>
                <w:highlight w:val="none"/>
              </w:rPr>
              <w:t>省级应用系统对接联调、</w:t>
            </w:r>
            <w:r>
              <w:rPr>
                <w:rFonts w:hint="eastAsia" w:ascii="微软雅黑" w:hAnsi="微软雅黑" w:eastAsia="微软雅黑" w:cs="微软雅黑"/>
                <w:sz w:val="18"/>
                <w:szCs w:val="18"/>
                <w:highlight w:val="none"/>
              </w:rPr>
              <w:t>③</w:t>
            </w:r>
            <w:r>
              <w:rPr>
                <w:rFonts w:hint="eastAsia" w:hAnsi="宋体" w:cs="宋体"/>
                <w:sz w:val="18"/>
                <w:szCs w:val="18"/>
                <w:highlight w:val="none"/>
              </w:rPr>
              <w:t>优化营商环境建设等内容。内容阐述详细、先进合理、满足实际需求的计9分，有缺漏项的每项扣3分，每项内容不符合要求或有缺陷、不合理的每处扣1</w:t>
            </w:r>
            <w:r>
              <w:rPr>
                <w:rFonts w:hint="eastAsia" w:hAnsi="宋体" w:cs="宋体"/>
                <w:sz w:val="18"/>
                <w:szCs w:val="18"/>
                <w:highlight w:val="none"/>
                <w:lang w:val="en-US" w:eastAsia="zh-CN"/>
              </w:rPr>
              <w:t>.5</w:t>
            </w:r>
            <w:r>
              <w:rPr>
                <w:rFonts w:hint="eastAsia" w:hAnsi="宋体" w:cs="宋体"/>
                <w:sz w:val="18"/>
                <w:szCs w:val="18"/>
                <w:highlight w:val="none"/>
              </w:rPr>
              <w:t>分，扣完为止；未提供不计分。</w:t>
            </w:r>
          </w:p>
        </w:tc>
      </w:tr>
      <w:tr w14:paraId="4E21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 w:type="pct"/>
            <w:vMerge w:val="continue"/>
            <w:vAlign w:val="center"/>
          </w:tcPr>
          <w:p w14:paraId="735B5DD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132CE1DF">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1" w:type="pct"/>
            <w:vMerge w:val="continue"/>
            <w:vAlign w:val="center"/>
          </w:tcPr>
          <w:p w14:paraId="3BE1E1C8">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sz w:val="18"/>
                <w:szCs w:val="18"/>
                <w:highlight w:val="none"/>
              </w:rPr>
            </w:pPr>
          </w:p>
        </w:tc>
        <w:tc>
          <w:tcPr>
            <w:tcW w:w="257" w:type="pct"/>
            <w:vAlign w:val="center"/>
          </w:tcPr>
          <w:p w14:paraId="639F9137">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6分</w:t>
            </w:r>
          </w:p>
        </w:tc>
        <w:tc>
          <w:tcPr>
            <w:tcW w:w="3658" w:type="pct"/>
            <w:vAlign w:val="center"/>
          </w:tcPr>
          <w:p w14:paraId="2D168BF7">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根据供应商提供的建设方案中林权历史数据整合部分进行综合评价：</w:t>
            </w:r>
          </w:p>
          <w:p w14:paraId="7B92E9D5">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方案涵盖</w:t>
            </w:r>
            <w:r>
              <w:rPr>
                <w:rFonts w:hint="eastAsia" w:ascii="微软雅黑" w:hAnsi="微软雅黑" w:eastAsia="微软雅黑" w:cs="微软雅黑"/>
                <w:sz w:val="18"/>
                <w:szCs w:val="18"/>
                <w:highlight w:val="none"/>
              </w:rPr>
              <w:t>①</w:t>
            </w:r>
            <w:r>
              <w:rPr>
                <w:rFonts w:hint="eastAsia" w:hAnsi="宋体" w:cs="宋体"/>
                <w:sz w:val="18"/>
                <w:szCs w:val="18"/>
                <w:highlight w:val="none"/>
              </w:rPr>
              <w:t>总体流程设计、</w:t>
            </w:r>
            <w:r>
              <w:rPr>
                <w:rFonts w:hint="eastAsia" w:ascii="微软雅黑" w:hAnsi="微软雅黑" w:eastAsia="微软雅黑" w:cs="微软雅黑"/>
                <w:sz w:val="18"/>
                <w:szCs w:val="18"/>
                <w:highlight w:val="none"/>
              </w:rPr>
              <w:t>②</w:t>
            </w:r>
            <w:r>
              <w:rPr>
                <w:rFonts w:hint="eastAsia" w:hAnsi="宋体" w:cs="宋体"/>
                <w:sz w:val="18"/>
                <w:szCs w:val="18"/>
                <w:highlight w:val="none"/>
              </w:rPr>
              <w:t>林权数据整合流程、</w:t>
            </w:r>
            <w:r>
              <w:rPr>
                <w:rFonts w:hint="eastAsia" w:ascii="微软雅黑" w:hAnsi="微软雅黑" w:eastAsia="微软雅黑" w:cs="微软雅黑"/>
                <w:sz w:val="18"/>
                <w:szCs w:val="18"/>
                <w:highlight w:val="none"/>
              </w:rPr>
              <w:t>③</w:t>
            </w:r>
            <w:r>
              <w:rPr>
                <w:rFonts w:hint="eastAsia" w:hAnsi="宋体" w:cs="宋体"/>
                <w:sz w:val="18"/>
                <w:szCs w:val="18"/>
                <w:highlight w:val="none"/>
              </w:rPr>
              <w:t>林权数据整合方法、</w:t>
            </w:r>
            <w:r>
              <w:rPr>
                <w:rFonts w:hint="eastAsia" w:ascii="微软雅黑" w:hAnsi="微软雅黑" w:eastAsia="微软雅黑" w:cs="微软雅黑"/>
                <w:sz w:val="18"/>
                <w:szCs w:val="18"/>
                <w:highlight w:val="none"/>
              </w:rPr>
              <w:t>④</w:t>
            </w:r>
            <w:r>
              <w:rPr>
                <w:rFonts w:hint="eastAsia" w:hAnsi="宋体" w:cs="宋体"/>
                <w:sz w:val="18"/>
                <w:szCs w:val="18"/>
                <w:highlight w:val="none"/>
              </w:rPr>
              <w:t>成果质量要求、</w:t>
            </w:r>
            <w:r>
              <w:rPr>
                <w:rFonts w:hint="eastAsia" w:ascii="微软雅黑" w:hAnsi="微软雅黑" w:eastAsia="微软雅黑" w:cs="微软雅黑"/>
                <w:sz w:val="18"/>
                <w:szCs w:val="18"/>
                <w:highlight w:val="none"/>
              </w:rPr>
              <w:t>⑤</w:t>
            </w:r>
            <w:r>
              <w:rPr>
                <w:rFonts w:hint="eastAsia" w:hAnsi="宋体" w:cs="宋体"/>
                <w:sz w:val="18"/>
                <w:szCs w:val="18"/>
                <w:highlight w:val="none"/>
              </w:rPr>
              <w:t>数据属性结构、</w:t>
            </w:r>
            <w:r>
              <w:rPr>
                <w:rFonts w:hint="eastAsia" w:ascii="微软雅黑" w:hAnsi="微软雅黑" w:eastAsia="微软雅黑" w:cs="微软雅黑"/>
                <w:sz w:val="18"/>
                <w:szCs w:val="18"/>
                <w:highlight w:val="none"/>
              </w:rPr>
              <w:t>⑥</w:t>
            </w:r>
            <w:r>
              <w:rPr>
                <w:rFonts w:hint="eastAsia" w:hAnsi="宋体" w:cs="宋体"/>
                <w:sz w:val="18"/>
                <w:szCs w:val="18"/>
                <w:highlight w:val="none"/>
              </w:rPr>
              <w:t>整合成果检查等内容。内容阐述详细、先进合理、满足实际需求的计6分，有缺漏项的每项扣1分，每项内容不符合要求或有缺陷、不合理的每处扣</w:t>
            </w:r>
            <w:r>
              <w:rPr>
                <w:rFonts w:hint="eastAsia" w:hAnsi="宋体" w:cs="宋体"/>
                <w:sz w:val="18"/>
                <w:szCs w:val="18"/>
                <w:highlight w:val="none"/>
                <w:lang w:val="en-US" w:eastAsia="zh-CN"/>
              </w:rPr>
              <w:t>0.5</w:t>
            </w:r>
            <w:r>
              <w:rPr>
                <w:rFonts w:hint="eastAsia" w:hAnsi="宋体" w:cs="宋体"/>
                <w:sz w:val="18"/>
                <w:szCs w:val="18"/>
                <w:highlight w:val="none"/>
              </w:rPr>
              <w:t>分，扣完为止；未提供不计分。</w:t>
            </w:r>
          </w:p>
        </w:tc>
      </w:tr>
      <w:tr w14:paraId="2B93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 w:type="pct"/>
            <w:vMerge w:val="continue"/>
            <w:vAlign w:val="center"/>
          </w:tcPr>
          <w:p w14:paraId="318F710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66F0DB5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1" w:type="pct"/>
            <w:vMerge w:val="continue"/>
            <w:vAlign w:val="center"/>
          </w:tcPr>
          <w:p w14:paraId="411C37E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sz w:val="18"/>
                <w:szCs w:val="18"/>
                <w:highlight w:val="none"/>
              </w:rPr>
            </w:pPr>
          </w:p>
        </w:tc>
        <w:tc>
          <w:tcPr>
            <w:tcW w:w="257" w:type="pct"/>
            <w:vAlign w:val="center"/>
          </w:tcPr>
          <w:p w14:paraId="72989C4F">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5分</w:t>
            </w:r>
          </w:p>
        </w:tc>
        <w:tc>
          <w:tcPr>
            <w:tcW w:w="3658" w:type="pct"/>
            <w:vAlign w:val="center"/>
          </w:tcPr>
          <w:p w14:paraId="5578CAC2">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根据供应商提供的建设方案中农经权数据整合部分进行综合评价：</w:t>
            </w:r>
          </w:p>
          <w:p w14:paraId="63B18047">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方案涵盖数据检验：</w:t>
            </w:r>
            <w:r>
              <w:rPr>
                <w:rFonts w:hint="eastAsia" w:ascii="微软雅黑" w:hAnsi="微软雅黑" w:eastAsia="微软雅黑" w:cs="微软雅黑"/>
                <w:sz w:val="18"/>
                <w:szCs w:val="18"/>
                <w:highlight w:val="none"/>
              </w:rPr>
              <w:t>①</w:t>
            </w:r>
            <w:r>
              <w:rPr>
                <w:rFonts w:hint="eastAsia" w:hAnsi="宋体" w:cs="宋体"/>
                <w:sz w:val="18"/>
                <w:szCs w:val="18"/>
                <w:highlight w:val="none"/>
              </w:rPr>
              <w:t>数据分析与预处理、</w:t>
            </w:r>
            <w:r>
              <w:rPr>
                <w:rFonts w:hint="eastAsia" w:ascii="微软雅黑" w:hAnsi="微软雅黑" w:eastAsia="微软雅黑" w:cs="微软雅黑"/>
                <w:sz w:val="18"/>
                <w:szCs w:val="18"/>
                <w:highlight w:val="none"/>
              </w:rPr>
              <w:t>②</w:t>
            </w:r>
            <w:r>
              <w:rPr>
                <w:rFonts w:hint="eastAsia" w:hAnsi="宋体" w:cs="宋体"/>
                <w:sz w:val="18"/>
                <w:szCs w:val="18"/>
                <w:highlight w:val="none"/>
              </w:rPr>
              <w:t>矢量数据整合、</w:t>
            </w:r>
            <w:r>
              <w:rPr>
                <w:rFonts w:hint="eastAsia" w:ascii="微软雅黑" w:hAnsi="微软雅黑" w:eastAsia="微软雅黑" w:cs="微软雅黑"/>
                <w:sz w:val="18"/>
                <w:szCs w:val="18"/>
                <w:highlight w:val="none"/>
              </w:rPr>
              <w:t>③</w:t>
            </w:r>
            <w:r>
              <w:rPr>
                <w:rFonts w:hint="eastAsia" w:hAnsi="宋体" w:cs="宋体"/>
                <w:sz w:val="18"/>
                <w:szCs w:val="18"/>
                <w:highlight w:val="none"/>
              </w:rPr>
              <w:t>权属数据整合、</w:t>
            </w:r>
            <w:r>
              <w:rPr>
                <w:rFonts w:hint="eastAsia" w:ascii="微软雅黑" w:hAnsi="微软雅黑" w:eastAsia="微软雅黑" w:cs="微软雅黑"/>
                <w:sz w:val="18"/>
                <w:szCs w:val="18"/>
                <w:highlight w:val="none"/>
              </w:rPr>
              <w:t>④</w:t>
            </w:r>
            <w:r>
              <w:rPr>
                <w:rFonts w:hint="eastAsia" w:hAnsi="宋体" w:cs="宋体"/>
                <w:sz w:val="18"/>
                <w:szCs w:val="18"/>
                <w:highlight w:val="none"/>
              </w:rPr>
              <w:t>档案数据整合、</w:t>
            </w:r>
            <w:r>
              <w:rPr>
                <w:rFonts w:hint="eastAsia" w:ascii="微软雅黑" w:hAnsi="微软雅黑" w:eastAsia="微软雅黑" w:cs="微软雅黑"/>
                <w:sz w:val="18"/>
                <w:szCs w:val="18"/>
                <w:highlight w:val="none"/>
              </w:rPr>
              <w:t>⑤</w:t>
            </w:r>
            <w:r>
              <w:rPr>
                <w:rFonts w:hint="eastAsia" w:hAnsi="宋体" w:cs="宋体"/>
                <w:sz w:val="18"/>
                <w:szCs w:val="18"/>
                <w:highlight w:val="none"/>
              </w:rPr>
              <w:t>整合数据入库等内容。内容阐述详细、先进合理、满足实际需求的计5分，有缺漏项的每项扣1分，每项内容不符合要求或有缺陷、不合理的每处扣0.5分，扣完为止；未提供不计分。</w:t>
            </w:r>
          </w:p>
        </w:tc>
      </w:tr>
      <w:tr w14:paraId="2433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 w:type="pct"/>
            <w:vMerge w:val="continue"/>
            <w:vAlign w:val="center"/>
          </w:tcPr>
          <w:p w14:paraId="6C68A97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063975A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1" w:type="pct"/>
            <w:vAlign w:val="center"/>
          </w:tcPr>
          <w:p w14:paraId="656419AE">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项目实施管理方案</w:t>
            </w:r>
          </w:p>
        </w:tc>
        <w:tc>
          <w:tcPr>
            <w:tcW w:w="257" w:type="pct"/>
            <w:vAlign w:val="center"/>
          </w:tcPr>
          <w:p w14:paraId="4C3A0C04">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6分</w:t>
            </w:r>
          </w:p>
        </w:tc>
        <w:tc>
          <w:tcPr>
            <w:tcW w:w="3658" w:type="pct"/>
            <w:vAlign w:val="center"/>
          </w:tcPr>
          <w:p w14:paraId="69EBCD31">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根据供应商提供的项目实施管理方案进行综合评价：</w:t>
            </w:r>
          </w:p>
          <w:p w14:paraId="284618D3">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方案涵盖</w:t>
            </w:r>
            <w:r>
              <w:rPr>
                <w:rFonts w:hint="eastAsia" w:ascii="微软雅黑" w:hAnsi="微软雅黑" w:eastAsia="微软雅黑" w:cs="微软雅黑"/>
                <w:sz w:val="18"/>
                <w:szCs w:val="18"/>
                <w:highlight w:val="none"/>
              </w:rPr>
              <w:t>①</w:t>
            </w:r>
            <w:r>
              <w:rPr>
                <w:rFonts w:hint="eastAsia" w:hAnsi="宋体" w:cs="宋体"/>
                <w:sz w:val="18"/>
                <w:szCs w:val="18"/>
                <w:highlight w:val="none"/>
              </w:rPr>
              <w:t>实施计划、</w:t>
            </w:r>
            <w:r>
              <w:rPr>
                <w:rFonts w:hint="eastAsia" w:ascii="微软雅黑" w:hAnsi="微软雅黑" w:eastAsia="微软雅黑" w:cs="微软雅黑"/>
                <w:sz w:val="18"/>
                <w:szCs w:val="18"/>
                <w:highlight w:val="none"/>
              </w:rPr>
              <w:t>②</w:t>
            </w:r>
            <w:r>
              <w:rPr>
                <w:rFonts w:hint="eastAsia" w:hAnsi="宋体" w:cs="宋体"/>
                <w:sz w:val="18"/>
                <w:szCs w:val="18"/>
                <w:highlight w:val="none"/>
              </w:rPr>
              <w:t>实施方案、</w:t>
            </w:r>
            <w:r>
              <w:rPr>
                <w:rFonts w:hint="eastAsia" w:ascii="微软雅黑" w:hAnsi="微软雅黑" w:eastAsia="微软雅黑" w:cs="微软雅黑"/>
                <w:sz w:val="18"/>
                <w:szCs w:val="18"/>
                <w:highlight w:val="none"/>
              </w:rPr>
              <w:t>③</w:t>
            </w:r>
            <w:r>
              <w:rPr>
                <w:rFonts w:hint="eastAsia" w:hAnsi="宋体" w:cs="宋体"/>
                <w:sz w:val="18"/>
                <w:szCs w:val="18"/>
                <w:highlight w:val="none"/>
              </w:rPr>
              <w:t>测试验收方案、</w:t>
            </w:r>
            <w:r>
              <w:rPr>
                <w:rFonts w:hint="eastAsia" w:ascii="微软雅黑" w:hAnsi="微软雅黑" w:eastAsia="微软雅黑" w:cs="微软雅黑"/>
                <w:sz w:val="18"/>
                <w:szCs w:val="18"/>
                <w:highlight w:val="none"/>
              </w:rPr>
              <w:t>④</w:t>
            </w:r>
            <w:r>
              <w:rPr>
                <w:rFonts w:hint="eastAsia" w:hAnsi="宋体" w:cs="宋体"/>
                <w:sz w:val="18"/>
                <w:szCs w:val="18"/>
                <w:highlight w:val="none"/>
              </w:rPr>
              <w:t>管理制度、</w:t>
            </w:r>
            <w:r>
              <w:rPr>
                <w:rFonts w:hint="eastAsia" w:ascii="微软雅黑" w:hAnsi="微软雅黑" w:eastAsia="微软雅黑" w:cs="微软雅黑"/>
                <w:sz w:val="18"/>
                <w:szCs w:val="18"/>
                <w:highlight w:val="none"/>
              </w:rPr>
              <w:t>⑤</w:t>
            </w:r>
            <w:r>
              <w:rPr>
                <w:rFonts w:hint="eastAsia" w:hAnsi="宋体" w:cs="宋体"/>
                <w:sz w:val="18"/>
                <w:szCs w:val="18"/>
                <w:highlight w:val="none"/>
              </w:rPr>
              <w:t>质量保障措施、</w:t>
            </w:r>
            <w:r>
              <w:rPr>
                <w:rFonts w:hint="eastAsia" w:ascii="微软雅黑" w:hAnsi="微软雅黑" w:eastAsia="微软雅黑" w:cs="微软雅黑"/>
                <w:sz w:val="18"/>
                <w:szCs w:val="18"/>
                <w:highlight w:val="none"/>
              </w:rPr>
              <w:t>⑥</w:t>
            </w:r>
            <w:r>
              <w:rPr>
                <w:rFonts w:hint="eastAsia" w:hAnsi="宋体" w:cs="宋体"/>
                <w:sz w:val="18"/>
                <w:szCs w:val="18"/>
                <w:highlight w:val="none"/>
              </w:rPr>
              <w:t>工期保障措施等内容。方案</w:t>
            </w:r>
            <w:r>
              <w:rPr>
                <w:rFonts w:hAnsi="宋体" w:cs="宋体"/>
                <w:sz w:val="18"/>
                <w:szCs w:val="18"/>
                <w:highlight w:val="none"/>
              </w:rPr>
              <w:t>先进合理、内容阐述详细、操作性强的计</w:t>
            </w:r>
            <w:r>
              <w:rPr>
                <w:rFonts w:hint="eastAsia" w:hAnsi="宋体" w:cs="宋体"/>
                <w:sz w:val="18"/>
                <w:szCs w:val="18"/>
                <w:highlight w:val="none"/>
              </w:rPr>
              <w:t>6</w:t>
            </w:r>
            <w:r>
              <w:rPr>
                <w:rFonts w:hAnsi="宋体" w:cs="宋体"/>
                <w:sz w:val="18"/>
                <w:szCs w:val="18"/>
                <w:highlight w:val="none"/>
              </w:rPr>
              <w:t>分，有缺漏项的每项扣</w:t>
            </w:r>
            <w:r>
              <w:rPr>
                <w:rFonts w:hint="eastAsia" w:hAnsi="宋体" w:cs="宋体"/>
                <w:sz w:val="18"/>
                <w:szCs w:val="18"/>
                <w:highlight w:val="none"/>
              </w:rPr>
              <w:t>1</w:t>
            </w:r>
            <w:r>
              <w:rPr>
                <w:rFonts w:hAnsi="宋体" w:cs="宋体"/>
                <w:sz w:val="18"/>
                <w:szCs w:val="18"/>
                <w:highlight w:val="none"/>
              </w:rPr>
              <w:t>分，每</w:t>
            </w:r>
            <w:r>
              <w:rPr>
                <w:rFonts w:hint="eastAsia" w:hAnsi="宋体" w:cs="宋体"/>
                <w:sz w:val="18"/>
                <w:szCs w:val="18"/>
                <w:highlight w:val="none"/>
              </w:rPr>
              <w:t>项</w:t>
            </w:r>
            <w:r>
              <w:rPr>
                <w:rFonts w:hAnsi="宋体" w:cs="宋体"/>
                <w:sz w:val="18"/>
                <w:szCs w:val="18"/>
                <w:highlight w:val="none"/>
              </w:rPr>
              <w:t>内容不符合要求或有缺陷、不合理的每处扣</w:t>
            </w:r>
            <w:r>
              <w:rPr>
                <w:rFonts w:hint="eastAsia" w:hAnsi="宋体" w:cs="宋体"/>
                <w:sz w:val="18"/>
                <w:szCs w:val="18"/>
                <w:highlight w:val="none"/>
              </w:rPr>
              <w:t>0</w:t>
            </w:r>
            <w:r>
              <w:rPr>
                <w:rFonts w:hAnsi="宋体" w:cs="宋体"/>
                <w:sz w:val="18"/>
                <w:szCs w:val="18"/>
                <w:highlight w:val="none"/>
              </w:rPr>
              <w:t>.5分，扣完为止；未提供不计分。</w:t>
            </w:r>
          </w:p>
        </w:tc>
      </w:tr>
      <w:tr w14:paraId="6DED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 w:type="pct"/>
            <w:vMerge w:val="continue"/>
            <w:vAlign w:val="center"/>
          </w:tcPr>
          <w:p w14:paraId="5788299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1DB0A00F">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1" w:type="pct"/>
            <w:vAlign w:val="center"/>
          </w:tcPr>
          <w:p w14:paraId="1BF9323F">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售后服务方案</w:t>
            </w:r>
          </w:p>
        </w:tc>
        <w:tc>
          <w:tcPr>
            <w:tcW w:w="257" w:type="pct"/>
            <w:vAlign w:val="center"/>
          </w:tcPr>
          <w:p w14:paraId="420969B6">
            <w:pPr>
              <w:pStyle w:val="25"/>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hAnsi="宋体" w:cs="宋体"/>
                <w:sz w:val="18"/>
                <w:szCs w:val="18"/>
                <w:highlight w:val="none"/>
              </w:rPr>
            </w:pPr>
            <w:r>
              <w:rPr>
                <w:rFonts w:hint="eastAsia" w:hAnsi="宋体" w:cs="宋体"/>
                <w:sz w:val="18"/>
                <w:szCs w:val="18"/>
                <w:highlight w:val="none"/>
              </w:rPr>
              <w:t>5分</w:t>
            </w:r>
          </w:p>
        </w:tc>
        <w:tc>
          <w:tcPr>
            <w:tcW w:w="3658" w:type="pct"/>
            <w:vAlign w:val="center"/>
          </w:tcPr>
          <w:p w14:paraId="7E294840">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根据供应商提供的售后服务方案进行综合评价:</w:t>
            </w:r>
          </w:p>
          <w:p w14:paraId="0C09C594">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方案涵盖</w:t>
            </w:r>
            <w:r>
              <w:rPr>
                <w:rFonts w:hint="eastAsia" w:ascii="微软雅黑" w:hAnsi="微软雅黑" w:eastAsia="微软雅黑" w:cs="微软雅黑"/>
                <w:sz w:val="18"/>
                <w:szCs w:val="18"/>
                <w:highlight w:val="none"/>
              </w:rPr>
              <w:t>①</w:t>
            </w:r>
            <w:r>
              <w:rPr>
                <w:rFonts w:hint="eastAsia" w:hAnsi="宋体" w:cs="宋体"/>
                <w:sz w:val="18"/>
                <w:szCs w:val="18"/>
                <w:highlight w:val="none"/>
              </w:rPr>
              <w:t>质量保证期限、</w:t>
            </w:r>
            <w:r>
              <w:rPr>
                <w:rFonts w:hint="eastAsia" w:ascii="微软雅黑" w:hAnsi="微软雅黑" w:eastAsia="微软雅黑" w:cs="微软雅黑"/>
                <w:sz w:val="18"/>
                <w:szCs w:val="18"/>
                <w:highlight w:val="none"/>
              </w:rPr>
              <w:t>②</w:t>
            </w:r>
            <w:r>
              <w:rPr>
                <w:rFonts w:hint="eastAsia" w:hAnsi="宋体" w:cs="宋体"/>
                <w:sz w:val="18"/>
                <w:szCs w:val="18"/>
                <w:highlight w:val="none"/>
              </w:rPr>
              <w:t>服务队伍规模、</w:t>
            </w:r>
            <w:r>
              <w:rPr>
                <w:rFonts w:hint="eastAsia" w:ascii="微软雅黑" w:hAnsi="微软雅黑" w:eastAsia="微软雅黑" w:cs="微软雅黑"/>
                <w:sz w:val="18"/>
                <w:szCs w:val="18"/>
                <w:highlight w:val="none"/>
              </w:rPr>
              <w:t>③</w:t>
            </w:r>
            <w:r>
              <w:rPr>
                <w:rFonts w:hint="eastAsia" w:hAnsi="宋体" w:cs="宋体"/>
                <w:sz w:val="18"/>
                <w:szCs w:val="18"/>
                <w:highlight w:val="none"/>
              </w:rPr>
              <w:t>服务技术力量、</w:t>
            </w:r>
            <w:r>
              <w:rPr>
                <w:rFonts w:hint="eastAsia" w:ascii="微软雅黑" w:hAnsi="微软雅黑" w:eastAsia="微软雅黑" w:cs="微软雅黑"/>
                <w:sz w:val="18"/>
                <w:szCs w:val="18"/>
                <w:highlight w:val="none"/>
              </w:rPr>
              <w:t>④</w:t>
            </w:r>
            <w:r>
              <w:rPr>
                <w:rFonts w:hint="eastAsia" w:hAnsi="宋体" w:cs="宋体"/>
                <w:sz w:val="18"/>
                <w:szCs w:val="18"/>
                <w:highlight w:val="none"/>
              </w:rPr>
              <w:t>服务响应时间、</w:t>
            </w:r>
            <w:r>
              <w:rPr>
                <w:rFonts w:hint="eastAsia" w:ascii="微软雅黑" w:hAnsi="微软雅黑" w:eastAsia="微软雅黑" w:cs="微软雅黑"/>
                <w:sz w:val="18"/>
                <w:szCs w:val="18"/>
                <w:highlight w:val="none"/>
              </w:rPr>
              <w:t>⑤</w:t>
            </w:r>
            <w:r>
              <w:rPr>
                <w:rFonts w:hint="eastAsia" w:hAnsi="宋体" w:cs="宋体"/>
                <w:sz w:val="18"/>
                <w:szCs w:val="18"/>
                <w:highlight w:val="none"/>
              </w:rPr>
              <w:t>售后培训等内容。方案</w:t>
            </w:r>
            <w:r>
              <w:rPr>
                <w:rFonts w:hAnsi="宋体" w:cs="宋体"/>
                <w:sz w:val="18"/>
                <w:szCs w:val="18"/>
                <w:highlight w:val="none"/>
              </w:rPr>
              <w:t>先进合理、内容阐述详细、操作性强的计</w:t>
            </w:r>
            <w:r>
              <w:rPr>
                <w:rFonts w:hint="eastAsia" w:hAnsi="宋体" w:cs="宋体"/>
                <w:sz w:val="18"/>
                <w:szCs w:val="18"/>
                <w:highlight w:val="none"/>
              </w:rPr>
              <w:t>5</w:t>
            </w:r>
            <w:r>
              <w:rPr>
                <w:rFonts w:hAnsi="宋体" w:cs="宋体"/>
                <w:sz w:val="18"/>
                <w:szCs w:val="18"/>
                <w:highlight w:val="none"/>
              </w:rPr>
              <w:t>分，有缺漏项的每项扣</w:t>
            </w:r>
            <w:r>
              <w:rPr>
                <w:rFonts w:hint="eastAsia" w:hAnsi="宋体" w:cs="宋体"/>
                <w:sz w:val="18"/>
                <w:szCs w:val="18"/>
                <w:highlight w:val="none"/>
              </w:rPr>
              <w:t>1</w:t>
            </w:r>
            <w:r>
              <w:rPr>
                <w:rFonts w:hAnsi="宋体" w:cs="宋体"/>
                <w:sz w:val="18"/>
                <w:szCs w:val="18"/>
                <w:highlight w:val="none"/>
              </w:rPr>
              <w:t>分，每</w:t>
            </w:r>
            <w:r>
              <w:rPr>
                <w:rFonts w:hint="eastAsia" w:hAnsi="宋体" w:cs="宋体"/>
                <w:sz w:val="18"/>
                <w:szCs w:val="18"/>
                <w:highlight w:val="none"/>
              </w:rPr>
              <w:t>项</w:t>
            </w:r>
            <w:r>
              <w:rPr>
                <w:rFonts w:hAnsi="宋体" w:cs="宋体"/>
                <w:sz w:val="18"/>
                <w:szCs w:val="18"/>
                <w:highlight w:val="none"/>
              </w:rPr>
              <w:t>内容不符合要求或有缺陷、不合理的每处扣</w:t>
            </w:r>
            <w:r>
              <w:rPr>
                <w:rFonts w:hint="eastAsia" w:hAnsi="宋体" w:cs="宋体"/>
                <w:sz w:val="18"/>
                <w:szCs w:val="18"/>
                <w:highlight w:val="none"/>
              </w:rPr>
              <w:t>0</w:t>
            </w:r>
            <w:r>
              <w:rPr>
                <w:rFonts w:hAnsi="宋体" w:cs="宋体"/>
                <w:sz w:val="18"/>
                <w:szCs w:val="18"/>
                <w:highlight w:val="none"/>
              </w:rPr>
              <w:t>.5分，扣完为止；未提供不计分。</w:t>
            </w:r>
          </w:p>
        </w:tc>
      </w:tr>
      <w:tr w14:paraId="324E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 w:type="pct"/>
            <w:vAlign w:val="center"/>
          </w:tcPr>
          <w:p w14:paraId="4E1CF2E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Align w:val="center"/>
          </w:tcPr>
          <w:p w14:paraId="61B0313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336" w:type="pct"/>
            <w:gridSpan w:val="3"/>
            <w:vAlign w:val="center"/>
          </w:tcPr>
          <w:p w14:paraId="3311285D">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lang w:val="zh-TW" w:eastAsia="zh-CN"/>
              </w:rPr>
              <w:t>（注：</w:t>
            </w:r>
            <w:r>
              <w:rPr>
                <w:rFonts w:hint="eastAsia" w:hAnsi="宋体" w:cs="宋体"/>
                <w:sz w:val="18"/>
                <w:szCs w:val="18"/>
                <w:highlight w:val="none"/>
                <w:lang w:val="en-US" w:eastAsia="zh-CN"/>
              </w:rPr>
              <w:t>以上方案打分中“欠完整”是指方案内容存在缺漏，描述不清晰、内容空洞没有实际内容，具有明显缺陷,存在逻辑漏洞、前后内容无法连贯等情形。“欠合理”是指与项目实际需求不一致、没有关联性、工作成效无法达到预期要求、条理不清晰、方案内容与实际实施存在差异性、语义表述不清、存在歧义、套用其他项目方案、照搬采购需求内容、不具备实施的可能性等情形。</w:t>
            </w:r>
            <w:r>
              <w:rPr>
                <w:rFonts w:hint="eastAsia" w:hAnsi="宋体" w:cs="宋体"/>
                <w:sz w:val="18"/>
                <w:szCs w:val="18"/>
                <w:highlight w:val="none"/>
                <w:lang w:val="zh-TW" w:eastAsia="zh-CN"/>
              </w:rPr>
              <w:t>）</w:t>
            </w:r>
          </w:p>
        </w:tc>
      </w:tr>
      <w:tr w14:paraId="1270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236" w:type="pct"/>
            <w:vMerge w:val="restart"/>
            <w:vAlign w:val="center"/>
          </w:tcPr>
          <w:p w14:paraId="4C1605B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r>
              <w:rPr>
                <w:rFonts w:hint="eastAsia" w:ascii="宋体" w:hAnsi="宋体" w:cs="宋体"/>
                <w:sz w:val="18"/>
                <w:szCs w:val="18"/>
                <w:highlight w:val="none"/>
              </w:rPr>
              <w:t>3</w:t>
            </w:r>
          </w:p>
        </w:tc>
        <w:tc>
          <w:tcPr>
            <w:tcW w:w="426" w:type="pct"/>
            <w:vMerge w:val="restart"/>
            <w:vAlign w:val="center"/>
          </w:tcPr>
          <w:p w14:paraId="03E6D83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商务评价项（</w:t>
            </w:r>
            <w:r>
              <w:rPr>
                <w:rFonts w:hint="eastAsia" w:ascii="宋体" w:hAnsi="宋体" w:eastAsia="宋体" w:cs="宋体"/>
                <w:sz w:val="18"/>
                <w:szCs w:val="18"/>
                <w:highlight w:val="none"/>
                <w:lang w:val="en-US" w:eastAsia="zh-CN"/>
              </w:rPr>
              <w:t>20分</w:t>
            </w:r>
            <w:r>
              <w:rPr>
                <w:rFonts w:hint="eastAsia" w:ascii="宋体" w:hAnsi="宋体" w:eastAsia="宋体" w:cs="宋体"/>
                <w:sz w:val="18"/>
                <w:szCs w:val="18"/>
                <w:highlight w:val="none"/>
              </w:rPr>
              <w:t>）</w:t>
            </w:r>
          </w:p>
          <w:p w14:paraId="4A006993">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sz w:val="18"/>
                <w:szCs w:val="18"/>
                <w:highlight w:val="none"/>
              </w:rPr>
            </w:pPr>
          </w:p>
        </w:tc>
        <w:tc>
          <w:tcPr>
            <w:tcW w:w="421" w:type="pct"/>
            <w:vAlign w:val="center"/>
          </w:tcPr>
          <w:p w14:paraId="0CDF18D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sz w:val="18"/>
                <w:szCs w:val="18"/>
                <w:highlight w:val="none"/>
              </w:rPr>
            </w:pPr>
            <w:r>
              <w:rPr>
                <w:rFonts w:hint="eastAsia" w:ascii="宋体" w:hAnsi="宋体" w:cs="宋体"/>
                <w:sz w:val="18"/>
                <w:szCs w:val="18"/>
                <w:highlight w:val="none"/>
              </w:rPr>
              <w:t>类似业绩</w:t>
            </w:r>
          </w:p>
        </w:tc>
        <w:tc>
          <w:tcPr>
            <w:tcW w:w="257" w:type="pct"/>
            <w:vAlign w:val="center"/>
          </w:tcPr>
          <w:p w14:paraId="65C82A1F">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sz w:val="18"/>
                <w:szCs w:val="18"/>
                <w:highlight w:val="none"/>
              </w:rPr>
            </w:pPr>
            <w:r>
              <w:rPr>
                <w:rFonts w:hint="eastAsia" w:ascii="宋体" w:hAnsi="宋体" w:cs="宋体"/>
                <w:sz w:val="18"/>
                <w:szCs w:val="18"/>
                <w:highlight w:val="none"/>
              </w:rPr>
              <w:t>8分</w:t>
            </w:r>
          </w:p>
        </w:tc>
        <w:tc>
          <w:tcPr>
            <w:tcW w:w="3658" w:type="pct"/>
            <w:vAlign w:val="center"/>
          </w:tcPr>
          <w:p w14:paraId="179B2F33">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供应商</w:t>
            </w:r>
            <w:r>
              <w:rPr>
                <w:rFonts w:hint="eastAsia" w:hAnsi="宋体" w:cs="宋体"/>
                <w:sz w:val="18"/>
                <w:szCs w:val="18"/>
                <w:highlight w:val="none"/>
                <w:lang w:val="en-US" w:eastAsia="zh-CN"/>
              </w:rPr>
              <w:t>近三年</w:t>
            </w:r>
            <w:r>
              <w:rPr>
                <w:rFonts w:hint="eastAsia" w:hAnsi="宋体" w:cs="宋体"/>
                <w:sz w:val="18"/>
                <w:szCs w:val="18"/>
                <w:highlight w:val="none"/>
              </w:rPr>
              <w:t>以来（投标截止前36个月），完成类似业绩，每提供1个计</w:t>
            </w:r>
            <w:r>
              <w:rPr>
                <w:rFonts w:hint="eastAsia" w:hAnsi="宋体" w:cs="宋体"/>
                <w:sz w:val="18"/>
                <w:szCs w:val="18"/>
                <w:highlight w:val="none"/>
                <w:lang w:val="en-US" w:eastAsia="zh-CN"/>
              </w:rPr>
              <w:t>4</w:t>
            </w:r>
            <w:r>
              <w:rPr>
                <w:rFonts w:hint="eastAsia" w:hAnsi="宋体" w:cs="宋体"/>
                <w:sz w:val="18"/>
                <w:szCs w:val="18"/>
                <w:highlight w:val="none"/>
              </w:rPr>
              <w:t>分，最多计8分。</w:t>
            </w:r>
          </w:p>
          <w:p w14:paraId="4B04CE70">
            <w:pPr>
              <w:pStyle w:val="2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hAnsi="宋体" w:cs="宋体"/>
                <w:sz w:val="18"/>
                <w:szCs w:val="18"/>
                <w:highlight w:val="none"/>
              </w:rPr>
            </w:pPr>
            <w:r>
              <w:rPr>
                <w:rFonts w:hint="eastAsia" w:hAnsi="宋体" w:cs="宋体"/>
                <w:sz w:val="18"/>
                <w:szCs w:val="18"/>
                <w:highlight w:val="none"/>
              </w:rPr>
              <w:t>注：提供合同或中标</w:t>
            </w:r>
            <w:r>
              <w:rPr>
                <w:rFonts w:hint="eastAsia" w:hAnsi="宋体" w:cs="宋体"/>
                <w:sz w:val="18"/>
                <w:szCs w:val="18"/>
                <w:highlight w:val="none"/>
                <w:lang w:eastAsia="zh-CN"/>
              </w:rPr>
              <w:t>（成交）</w:t>
            </w:r>
            <w:r>
              <w:rPr>
                <w:rFonts w:hint="eastAsia" w:hAnsi="宋体" w:cs="宋体"/>
                <w:sz w:val="18"/>
                <w:szCs w:val="18"/>
                <w:highlight w:val="none"/>
              </w:rPr>
              <w:t>通知书的复印件</w:t>
            </w:r>
            <w:r>
              <w:rPr>
                <w:rFonts w:hint="eastAsia" w:hAnsi="宋体" w:cs="宋体"/>
                <w:sz w:val="18"/>
                <w:szCs w:val="18"/>
                <w:highlight w:val="none"/>
                <w:lang w:val="en-US" w:eastAsia="zh-CN"/>
              </w:rPr>
              <w:t>/扫描件</w:t>
            </w:r>
            <w:r>
              <w:rPr>
                <w:rFonts w:hint="eastAsia" w:hAnsi="宋体" w:cs="宋体"/>
                <w:sz w:val="18"/>
                <w:szCs w:val="18"/>
                <w:highlight w:val="none"/>
              </w:rPr>
              <w:t>，并加盖供应商公章，否则不计分。</w:t>
            </w:r>
          </w:p>
        </w:tc>
      </w:tr>
      <w:tr w14:paraId="7E63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36" w:type="pct"/>
            <w:vMerge w:val="continue"/>
            <w:vAlign w:val="center"/>
          </w:tcPr>
          <w:p w14:paraId="73CBBFF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hint="eastAsia" w:ascii="宋体" w:hAnsi="宋体" w:cs="宋体"/>
                <w:sz w:val="18"/>
                <w:szCs w:val="18"/>
                <w:highlight w:val="none"/>
              </w:rPr>
            </w:pPr>
          </w:p>
        </w:tc>
        <w:tc>
          <w:tcPr>
            <w:tcW w:w="426" w:type="pct"/>
            <w:vMerge w:val="continue"/>
            <w:vAlign w:val="center"/>
          </w:tcPr>
          <w:p w14:paraId="6A90C23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cs="宋体"/>
                <w:sz w:val="18"/>
                <w:szCs w:val="18"/>
                <w:highlight w:val="none"/>
              </w:rPr>
            </w:pPr>
          </w:p>
        </w:tc>
        <w:tc>
          <w:tcPr>
            <w:tcW w:w="421" w:type="pct"/>
            <w:shd w:val="clear" w:color="auto" w:fill="auto"/>
            <w:vAlign w:val="center"/>
          </w:tcPr>
          <w:p w14:paraId="4E76D30D">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团队实力</w:t>
            </w:r>
          </w:p>
        </w:tc>
        <w:tc>
          <w:tcPr>
            <w:tcW w:w="257" w:type="pct"/>
            <w:shd w:val="clear" w:color="auto" w:fill="auto"/>
            <w:vAlign w:val="center"/>
          </w:tcPr>
          <w:p w14:paraId="3F8B803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12</w:t>
            </w:r>
            <w:r>
              <w:rPr>
                <w:rFonts w:hint="eastAsia" w:ascii="宋体" w:hAnsi="宋体" w:cs="宋体"/>
                <w:sz w:val="18"/>
                <w:szCs w:val="18"/>
                <w:highlight w:val="none"/>
              </w:rPr>
              <w:t>分</w:t>
            </w:r>
          </w:p>
        </w:tc>
        <w:tc>
          <w:tcPr>
            <w:tcW w:w="3658" w:type="pct"/>
            <w:shd w:val="clear" w:color="auto" w:fill="auto"/>
            <w:vAlign w:val="center"/>
          </w:tcPr>
          <w:p w14:paraId="7C44A17F">
            <w:pPr>
              <w:pStyle w:val="25"/>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textAlignment w:val="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供应商为本项目配备的项目负责人具有PMP项目管理专业人士资格证书、信息系统项目管理师证书的每个计3分，最多计6分。</w:t>
            </w:r>
          </w:p>
          <w:p w14:paraId="78367FB9">
            <w:pPr>
              <w:keepNext w:val="0"/>
              <w:keepLines w:val="0"/>
              <w:pageBreakBefore w:val="0"/>
              <w:widowControl w:val="0"/>
              <w:numPr>
                <w:ilvl w:val="0"/>
                <w:numId w:val="0"/>
              </w:numPr>
              <w:kinsoku/>
              <w:wordWrap/>
              <w:overflowPunct/>
              <w:topLinePunct w:val="0"/>
              <w:autoSpaceDE/>
              <w:autoSpaceDN/>
              <w:bidi w:val="0"/>
              <w:spacing w:line="360" w:lineRule="auto"/>
              <w:ind w:left="0" w:leftChars="0" w:firstLine="0" w:firstLineChars="0"/>
              <w:textAlignment w:val="auto"/>
              <w:rPr>
                <w:rFonts w:hint="default" w:ascii="Times New Roman" w:hAnsi="Times New Roman" w:eastAsia="宋体" w:cs="Times New Roman"/>
                <w:kern w:val="2"/>
                <w:sz w:val="21"/>
                <w:szCs w:val="24"/>
                <w:lang w:val="en-US" w:eastAsia="zh-CN" w:bidi="ar-SA"/>
              </w:rPr>
            </w:pPr>
            <w:r>
              <w:rPr>
                <w:rFonts w:hint="eastAsia" w:ascii="宋体" w:hAnsi="宋体" w:eastAsia="宋体" w:cs="宋体"/>
                <w:sz w:val="18"/>
                <w:szCs w:val="18"/>
                <w:lang w:val="en-US" w:eastAsia="zh-CN"/>
              </w:rPr>
              <w:t>2、供应商为本项目配备的项目组成员（项目负责人除外）中具有信息系统项目管理师或软件设计师或数据库系统工程师证书的，每个计1.5分，最高计6分。本项一人多证的只计一个，不重复计分。</w:t>
            </w:r>
          </w:p>
        </w:tc>
      </w:tr>
    </w:tbl>
    <w:p w14:paraId="1972936F">
      <w:pPr>
        <w:pStyle w:val="2"/>
        <w:bidi w:val="0"/>
        <w:rPr>
          <w:rFonts w:hint="eastAsia" w:ascii="黑体" w:hAnsi="黑体" w:eastAsia="黑体" w:cs="黑体"/>
          <w:sz w:val="32"/>
          <w:szCs w:val="32"/>
        </w:rPr>
      </w:pPr>
      <w:r>
        <w:rPr>
          <w:rFonts w:hint="eastAsia" w:ascii="黑体" w:hAnsi="黑体" w:eastAsia="黑体" w:cs="黑体"/>
          <w:sz w:val="32"/>
          <w:szCs w:val="32"/>
        </w:rPr>
        <w:t>第五章 采购需求</w:t>
      </w:r>
      <w:bookmarkEnd w:id="96"/>
      <w:bookmarkEnd w:id="101"/>
    </w:p>
    <w:p w14:paraId="1A72280A">
      <w:pPr>
        <w:snapToGrid w:val="0"/>
        <w:spacing w:after="120" w:line="360" w:lineRule="auto"/>
        <w:ind w:right="77"/>
        <w:textAlignment w:val="baseline"/>
        <w:rPr>
          <w:b/>
          <w:bCs/>
          <w:sz w:val="24"/>
          <w:szCs w:val="24"/>
        </w:rPr>
      </w:pPr>
    </w:p>
    <w:p w14:paraId="77BD9B34">
      <w:pPr>
        <w:adjustRightInd w:val="0"/>
        <w:snapToGrid w:val="0"/>
        <w:spacing w:line="440" w:lineRule="exact"/>
        <w:outlineLvl w:val="1"/>
        <w:rPr>
          <w:rFonts w:hint="eastAsia" w:ascii="宋体" w:hAnsi="宋体" w:cs="宋体"/>
          <w:b/>
          <w:bCs/>
          <w:color w:val="000000" w:themeColor="text1"/>
          <w:szCs w:val="21"/>
          <w14:textFill>
            <w14:solidFill>
              <w14:schemeClr w14:val="tx1"/>
            </w14:solidFill>
          </w14:textFill>
        </w:rPr>
      </w:pPr>
      <w:bookmarkStart w:id="102" w:name="_Toc487787105"/>
      <w:bookmarkStart w:id="103" w:name="_Toc277044479"/>
      <w:r>
        <w:rPr>
          <w:rFonts w:hint="eastAsia" w:ascii="宋体" w:hAnsi="宋体" w:cs="宋体"/>
          <w:b/>
          <w:bCs/>
          <w:color w:val="000000" w:themeColor="text1"/>
          <w:szCs w:val="21"/>
          <w14:textFill>
            <w14:solidFill>
              <w14:schemeClr w14:val="tx1"/>
            </w14:solidFill>
          </w14:textFill>
        </w:rPr>
        <w:t>一、采购项目名称及预算等情况</w:t>
      </w:r>
    </w:p>
    <w:p w14:paraId="3FF80989">
      <w:pPr>
        <w:pStyle w:val="221"/>
        <w:widowControl/>
        <w:spacing w:line="360" w:lineRule="auto"/>
        <w:rPr>
          <w:rStyle w:val="49"/>
          <w:rFonts w:hint="eastAsia" w:ascii="宋体" w:hAnsi="宋体" w:cs="宋体"/>
          <w:b w:val="0"/>
          <w:bCs w:val="0"/>
          <w:color w:val="000000" w:themeColor="text1"/>
          <w:szCs w:val="21"/>
          <w14:textFill>
            <w14:solidFill>
              <w14:schemeClr w14:val="tx1"/>
            </w14:solidFill>
          </w14:textFill>
        </w:rPr>
      </w:pPr>
      <w:r>
        <w:rPr>
          <w:rStyle w:val="49"/>
          <w:rFonts w:hint="eastAsia" w:ascii="宋体" w:hAnsi="宋体" w:cs="宋体"/>
          <w:b w:val="0"/>
          <w:bCs w:val="0"/>
          <w:color w:val="000000" w:themeColor="text1"/>
          <w:szCs w:val="21"/>
          <w14:textFill>
            <w14:solidFill>
              <w14:schemeClr w14:val="tx1"/>
            </w14:solidFill>
          </w14:textFill>
        </w:rPr>
        <w:t>1、采购项目名称：</w:t>
      </w:r>
      <w:r>
        <w:rPr>
          <w:rStyle w:val="49"/>
          <w:rFonts w:hint="eastAsia" w:ascii="宋体" w:hAnsi="宋体" w:cs="宋体"/>
          <w:b w:val="0"/>
          <w:bCs w:val="0"/>
          <w:color w:val="000000" w:themeColor="text1"/>
          <w:szCs w:val="21"/>
          <w:lang w:eastAsia="zh-CN"/>
          <w14:textFill>
            <w14:solidFill>
              <w14:schemeClr w14:val="tx1"/>
            </w14:solidFill>
          </w14:textFill>
        </w:rPr>
        <w:t>涟源市不动产登记信息“一库一平台”建设项目</w:t>
      </w:r>
    </w:p>
    <w:p w14:paraId="29929920">
      <w:pPr>
        <w:pStyle w:val="221"/>
        <w:widowControl/>
        <w:spacing w:line="360" w:lineRule="auto"/>
        <w:rPr>
          <w:rStyle w:val="49"/>
          <w:rFonts w:hint="eastAsia" w:ascii="宋体" w:hAnsi="宋体" w:cs="宋体"/>
          <w:b w:val="0"/>
          <w:bCs w:val="0"/>
          <w:color w:val="000000" w:themeColor="text1"/>
          <w:szCs w:val="21"/>
          <w14:textFill>
            <w14:solidFill>
              <w14:schemeClr w14:val="tx1"/>
            </w14:solidFill>
          </w14:textFill>
        </w:rPr>
      </w:pPr>
      <w:r>
        <w:rPr>
          <w:rStyle w:val="49"/>
          <w:rFonts w:hint="eastAsia" w:ascii="宋体" w:hAnsi="宋体" w:cs="宋体"/>
          <w:b w:val="0"/>
          <w:bCs w:val="0"/>
          <w:color w:val="000000" w:themeColor="text1"/>
          <w:szCs w:val="21"/>
          <w14:textFill>
            <w14:solidFill>
              <w14:schemeClr w14:val="tx1"/>
            </w14:solidFill>
          </w14:textFill>
        </w:rPr>
        <w:t>2、</w:t>
      </w:r>
      <w:r>
        <w:rPr>
          <w:rFonts w:hint="eastAsia" w:ascii="宋体" w:hAnsi="宋体"/>
          <w:szCs w:val="21"/>
        </w:rPr>
        <w:t xml:space="preserve">政府采购计划编号: </w:t>
      </w:r>
      <w:r>
        <w:rPr>
          <w:rFonts w:hint="eastAsia" w:ascii="宋体" w:hAnsi="宋体"/>
          <w:szCs w:val="21"/>
          <w:lang w:eastAsia="zh-CN"/>
        </w:rPr>
        <w:t>(2026)431382000017-1</w:t>
      </w:r>
    </w:p>
    <w:p w14:paraId="7809179F">
      <w:pPr>
        <w:pStyle w:val="221"/>
        <w:widowControl/>
        <w:spacing w:line="360" w:lineRule="auto"/>
        <w:rPr>
          <w:rStyle w:val="49"/>
          <w:rFonts w:hint="eastAsia" w:ascii="宋体" w:hAnsi="宋体" w:cs="宋体"/>
          <w:b w:val="0"/>
          <w:bCs w:val="0"/>
          <w:color w:val="000000" w:themeColor="text1"/>
          <w:szCs w:val="21"/>
          <w14:textFill>
            <w14:solidFill>
              <w14:schemeClr w14:val="tx1"/>
            </w14:solidFill>
          </w14:textFill>
        </w:rPr>
      </w:pPr>
      <w:r>
        <w:rPr>
          <w:rStyle w:val="49"/>
          <w:rFonts w:hint="eastAsia" w:ascii="宋体" w:hAnsi="宋体" w:cs="宋体"/>
          <w:b w:val="0"/>
          <w:bCs w:val="0"/>
          <w:color w:val="000000" w:themeColor="text1"/>
          <w:szCs w:val="21"/>
          <w14:textFill>
            <w14:solidFill>
              <w14:schemeClr w14:val="tx1"/>
            </w14:solidFill>
          </w14:textFill>
        </w:rPr>
        <w:t>3、</w:t>
      </w:r>
      <w:r>
        <w:rPr>
          <w:rFonts w:hint="eastAsia" w:ascii="宋体" w:hAnsi="宋体"/>
          <w:szCs w:val="21"/>
        </w:rPr>
        <w:t>委托代理编号:</w:t>
      </w:r>
      <w:r>
        <w:rPr>
          <w:rFonts w:hint="eastAsia" w:ascii="宋体" w:hAnsi="宋体"/>
          <w:szCs w:val="21"/>
          <w:lang w:eastAsia="zh-CN"/>
        </w:rPr>
        <w:t>TJGJLY2026-008</w:t>
      </w:r>
    </w:p>
    <w:p w14:paraId="0FDC150B">
      <w:pPr>
        <w:pStyle w:val="221"/>
        <w:widowControl/>
        <w:spacing w:line="360" w:lineRule="auto"/>
        <w:rPr>
          <w:rStyle w:val="49"/>
          <w:rFonts w:hint="default" w:ascii="宋体" w:hAnsi="宋体" w:eastAsia="宋体" w:cs="宋体"/>
          <w:b w:val="0"/>
          <w:bCs w:val="0"/>
          <w:color w:val="000000" w:themeColor="text1"/>
          <w:szCs w:val="21"/>
          <w:lang w:val="en-US" w:eastAsia="zh-CN"/>
          <w14:textFill>
            <w14:solidFill>
              <w14:schemeClr w14:val="tx1"/>
            </w14:solidFill>
          </w14:textFill>
        </w:rPr>
      </w:pPr>
      <w:r>
        <w:rPr>
          <w:rStyle w:val="49"/>
          <w:rFonts w:hint="eastAsia" w:ascii="宋体" w:hAnsi="宋体" w:cs="宋体"/>
          <w:b w:val="0"/>
          <w:bCs w:val="0"/>
          <w:color w:val="000000" w:themeColor="text1"/>
          <w:szCs w:val="21"/>
          <w14:textFill>
            <w14:solidFill>
              <w14:schemeClr w14:val="tx1"/>
            </w14:solidFill>
          </w14:textFill>
        </w:rPr>
        <w:t>4、采购项目预算：</w:t>
      </w:r>
      <w:r>
        <w:rPr>
          <w:rStyle w:val="49"/>
          <w:rFonts w:hint="eastAsia" w:ascii="宋体" w:hAnsi="宋体" w:cs="宋体"/>
          <w:b w:val="0"/>
          <w:bCs w:val="0"/>
          <w:color w:val="000000" w:themeColor="text1"/>
          <w:szCs w:val="21"/>
          <w:lang w:val="en-US" w:eastAsia="zh-CN"/>
          <w14:textFill>
            <w14:solidFill>
              <w14:schemeClr w14:val="tx1"/>
            </w14:solidFill>
          </w14:textFill>
        </w:rPr>
        <w:t>180万元</w:t>
      </w:r>
    </w:p>
    <w:p w14:paraId="091FF83A">
      <w:pPr>
        <w:pStyle w:val="221"/>
        <w:widowControl/>
        <w:spacing w:line="360" w:lineRule="auto"/>
        <w:rPr>
          <w:rStyle w:val="49"/>
          <w:rFonts w:hint="eastAsia" w:ascii="宋体" w:hAnsi="宋体" w:cs="宋体"/>
          <w:b w:val="0"/>
          <w:bCs w:val="0"/>
          <w:color w:val="000000" w:themeColor="text1"/>
          <w:szCs w:val="21"/>
          <w14:textFill>
            <w14:solidFill>
              <w14:schemeClr w14:val="tx1"/>
            </w14:solidFill>
          </w14:textFill>
        </w:rPr>
      </w:pPr>
      <w:r>
        <w:rPr>
          <w:rStyle w:val="49"/>
          <w:rFonts w:hint="eastAsia" w:ascii="宋体" w:hAnsi="宋体" w:cs="宋体"/>
          <w:b w:val="0"/>
          <w:bCs w:val="0"/>
          <w:color w:val="000000" w:themeColor="text1"/>
          <w:szCs w:val="21"/>
          <w14:textFill>
            <w14:solidFill>
              <w14:schemeClr w14:val="tx1"/>
            </w14:solidFill>
          </w14:textFill>
        </w:rPr>
        <w:t>5、服务期限：</w:t>
      </w:r>
      <w:r>
        <w:rPr>
          <w:rFonts w:hint="eastAsia" w:ascii="宋体" w:hAnsi="宋体" w:cs="宋体"/>
          <w:color w:val="000000" w:themeColor="text1"/>
          <w:kern w:val="0"/>
          <w:szCs w:val="21"/>
          <w:lang w:bidi="ar"/>
          <w14:textFill>
            <w14:solidFill>
              <w14:schemeClr w14:val="tx1"/>
            </w14:solidFill>
          </w14:textFill>
        </w:rPr>
        <w:t>6个月</w:t>
      </w:r>
    </w:p>
    <w:bookmarkEnd w:id="102"/>
    <w:bookmarkEnd w:id="103"/>
    <w:p w14:paraId="2A828983">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二</w:t>
      </w:r>
      <w:r>
        <w:rPr>
          <w:b/>
          <w:color w:val="000000" w:themeColor="text1"/>
          <w:szCs w:val="21"/>
          <w14:textFill>
            <w14:solidFill>
              <w14:schemeClr w14:val="tx1"/>
            </w14:solidFill>
          </w14:textFill>
        </w:rPr>
        <w:t>、项目概述</w:t>
      </w:r>
    </w:p>
    <w:p w14:paraId="6CE22228">
      <w:pPr>
        <w:spacing w:line="360" w:lineRule="auto"/>
        <w:ind w:firstLine="420" w:firstLineChars="200"/>
        <w:outlineLvl w:val="2"/>
        <w:rPr>
          <w:color w:val="000000" w:themeColor="text1"/>
          <w14:textFill>
            <w14:solidFill>
              <w14:schemeClr w14:val="tx1"/>
            </w14:solidFill>
          </w14:textFill>
        </w:rPr>
      </w:pPr>
      <w:bookmarkStart w:id="104" w:name="_Toc489529429"/>
      <w:r>
        <w:rPr>
          <w:color w:val="000000" w:themeColor="text1"/>
          <w14:textFill>
            <w14:solidFill>
              <w14:schemeClr w14:val="tx1"/>
            </w14:solidFill>
          </w14:textFill>
        </w:rPr>
        <w:t>1.建设背景</w:t>
      </w:r>
      <w:bookmarkEnd w:id="104"/>
    </w:p>
    <w:p w14:paraId="306E7F8C">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2020年11月9日，省自然资源厅党组在有关专题会议上进一步明确，第一阶段通过“一窗办事”平台全面落实自然资源部关于“互联网+不动产登记”有关要求；第二阶段做好全省不动产登记系统的重构，最终实现不动产登记全省“一个平台、一个数据库”。</w:t>
      </w:r>
    </w:p>
    <w:p w14:paraId="1A1FEF3C">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2020年12月，湖南省自然资源厅印发《关于印发〈湖南省统一不动产登记平台和数据库建设总体方案〉的通知》湘自资办发〔2021〕72号），要求各市县负责按照全省统一不动产登记数据标准做好本辖区的不动产登记数据清理完善、汇交和日常更新工作；向“一库一平台”建设提供建议，配合省自然资源厅做好统一不动产登记平台和数据库建设；逐步取消本地不动产登记系统并纳入全省不动产登记平台管理。</w:t>
      </w:r>
    </w:p>
    <w:p w14:paraId="56298E50">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2021年9月，湖南省自然资源厅印发《关于开展不动产登记统一平台和数据库建设试点的通知》（湘自资办发〔2021〕117号），要求市县认真贯彻落实不动产登记统一平台和数据库建设工作部署，采用省、市、县三级共建模式，在县市区不动产登记中心开展不动产登记数据清理、整合和汇交工作，试用不动产登记统一平台，完善不动产登记业务标准和数据库标准，优化登记平台功能，为不动产登记统一平台和数据库建设提供可复制的技术方案和经验。</w:t>
      </w:r>
    </w:p>
    <w:p w14:paraId="134571C6">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2023年1月，湖南省自然资源厅印发《关于印发2023年湖南省自然资源和不动产确权登记工作要点的函》要求加快“一库一平台”系统软件开发和硬件支撑建设并投入运行。</w:t>
      </w:r>
    </w:p>
    <w:p w14:paraId="6A2A832E">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2024年1月，湖南省自然资源厅印发《关于印发2024年湖南省自然资源和不动产确权登记工作要点的函》要求稳步推进全省“一库一平台”建设。</w:t>
      </w:r>
    </w:p>
    <w:p w14:paraId="12EF7D88">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2025年1月，湖南省自然资源厅印发《关于印发2025年湖南省自然资源和不动产确权登记工作要点的函》要求推进“一库一平台”全省覆盖。</w:t>
      </w:r>
    </w:p>
    <w:p w14:paraId="501D6D0B">
      <w:pPr>
        <w:spacing w:line="360" w:lineRule="auto"/>
        <w:ind w:firstLine="420" w:firstLineChars="200"/>
        <w:outlineLvl w:val="2"/>
        <w:rPr>
          <w:color w:val="000000" w:themeColor="text1"/>
          <w14:textFill>
            <w14:solidFill>
              <w14:schemeClr w14:val="tx1"/>
            </w14:solidFill>
          </w14:textFill>
        </w:rPr>
      </w:pPr>
      <w:r>
        <w:rPr>
          <w:color w:val="000000" w:themeColor="text1"/>
          <w14:textFill>
            <w14:solidFill>
              <w14:schemeClr w14:val="tx1"/>
            </w14:solidFill>
          </w14:textFill>
        </w:rPr>
        <w:t>2.建设目标</w:t>
      </w:r>
    </w:p>
    <w:p w14:paraId="13ED2354">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紧扣</w:t>
      </w:r>
      <w:r>
        <w:rPr>
          <w:rFonts w:hint="eastAsia"/>
          <w:color w:val="000000" w:themeColor="text1"/>
          <w:szCs w:val="21"/>
          <w14:textFill>
            <w14:solidFill>
              <w14:schemeClr w14:val="tx1"/>
            </w14:solidFill>
          </w14:textFill>
        </w:rPr>
        <w:t>党中央、国务院</w:t>
      </w:r>
      <w:r>
        <w:rPr>
          <w:color w:val="000000" w:themeColor="text1"/>
          <w:szCs w:val="21"/>
          <w14:textFill>
            <w14:solidFill>
              <w14:schemeClr w14:val="tx1"/>
            </w14:solidFill>
          </w14:textFill>
        </w:rPr>
        <w:t>和省委省政府深化“放管服”改革、优化营商环境改革部署，以不动产登记信息平台为基础，构建统一的不动产登记信息平台，建立标准统一、数据完备的不动产登记数据库，构建线上线下高度融合、便民高效的不动产登记运行体系。实现数据库标准统一、业务标准统一；通过智能辅助审批、共享深度集成、共享核验、共享查询、协同共享等提升服务水平、管理水平；通过互联网+不动产、“无纸化”等提升便民服务水平。</w:t>
      </w:r>
    </w:p>
    <w:p w14:paraId="0B710950">
      <w:pPr>
        <w:spacing w:line="360" w:lineRule="auto"/>
        <w:ind w:left="420"/>
        <w:outlineLvl w:val="2"/>
        <w:rPr>
          <w:color w:val="000000" w:themeColor="text1"/>
          <w14:textFill>
            <w14:solidFill>
              <w14:schemeClr w14:val="tx1"/>
            </w14:solidFill>
          </w14:textFill>
        </w:rPr>
      </w:pPr>
      <w:r>
        <w:rPr>
          <w:color w:val="000000" w:themeColor="text1"/>
          <w14:textFill>
            <w14:solidFill>
              <w14:schemeClr w14:val="tx1"/>
            </w14:solidFill>
          </w14:textFill>
        </w:rPr>
        <w:t>3.建设原则</w:t>
      </w:r>
    </w:p>
    <w:p w14:paraId="0A7EF398">
      <w:pPr>
        <w:pStyle w:val="373"/>
        <w:spacing w:line="360" w:lineRule="auto"/>
        <w:ind w:firstLine="420"/>
        <w:jc w:val="both"/>
        <w:outlineLvl w:val="3"/>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3.1先进成熟性</w:t>
      </w:r>
    </w:p>
    <w:p w14:paraId="4353C42B">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系统建设采用先进的技术、方法、软件、硬件和网络平台，确保系统的先进性，同时兼顾成熟性，使系统成熟而且可靠。系统在满足全局性与整体性要求的同时，能够适应未来技术发展和需求的变化，使系统能够可持续发展。</w:t>
      </w:r>
    </w:p>
    <w:p w14:paraId="7F997711">
      <w:pPr>
        <w:pStyle w:val="373"/>
        <w:spacing w:line="360" w:lineRule="auto"/>
        <w:ind w:firstLine="420"/>
        <w:jc w:val="both"/>
        <w:outlineLvl w:val="3"/>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3.2方便实用性</w:t>
      </w:r>
    </w:p>
    <w:p w14:paraId="3D79B206">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系统的开发要“以人为本”，充分考虑各项业务的实际需要，贴近用户的需求与习惯做法，做到功能强大、界面友好和美观、操作简单、使用方便。</w:t>
      </w:r>
    </w:p>
    <w:p w14:paraId="00AF6AEC">
      <w:pPr>
        <w:pStyle w:val="373"/>
        <w:spacing w:line="360" w:lineRule="auto"/>
        <w:ind w:firstLine="420"/>
        <w:jc w:val="both"/>
        <w:outlineLvl w:val="3"/>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3.3高效稳定性</w:t>
      </w:r>
    </w:p>
    <w:p w14:paraId="64A591EF">
      <w:pPr>
        <w:adjustRightInd w:val="0"/>
        <w:snapToGrid w:val="0"/>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在系统设计、开发和应用时，应从系统结构、技术措施、软硬件平台、技术服务和维护响应能力等方面综合考虑，确保系统较高的性能，综合考虑确保系统应用中最低的故障率，确保系统的良好运行。</w:t>
      </w:r>
    </w:p>
    <w:p w14:paraId="3EDC727D">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三</w:t>
      </w:r>
      <w:r>
        <w:rPr>
          <w:b/>
          <w:color w:val="000000" w:themeColor="text1"/>
          <w:szCs w:val="21"/>
          <w14:textFill>
            <w14:solidFill>
              <w14:schemeClr w14:val="tx1"/>
            </w14:solidFill>
          </w14:textFill>
        </w:rPr>
        <w:t>、建设内容</w:t>
      </w:r>
    </w:p>
    <w:tbl>
      <w:tblPr>
        <w:tblStyle w:val="46"/>
        <w:tblW w:w="5000" w:type="pct"/>
        <w:tblInd w:w="0" w:type="dxa"/>
        <w:tblLayout w:type="autofit"/>
        <w:tblCellMar>
          <w:top w:w="0" w:type="dxa"/>
          <w:left w:w="108" w:type="dxa"/>
          <w:bottom w:w="0" w:type="dxa"/>
          <w:right w:w="108" w:type="dxa"/>
        </w:tblCellMar>
      </w:tblPr>
      <w:tblGrid>
        <w:gridCol w:w="502"/>
        <w:gridCol w:w="922"/>
        <w:gridCol w:w="1722"/>
        <w:gridCol w:w="5890"/>
      </w:tblGrid>
      <w:tr w14:paraId="0D58E9BD">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4A6270DA">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463" w:type="pct"/>
            <w:gridSpan w:val="2"/>
            <w:tcBorders>
              <w:top w:val="single" w:color="000000" w:sz="4" w:space="0"/>
              <w:left w:val="single" w:color="000000" w:sz="4" w:space="0"/>
              <w:bottom w:val="single" w:color="000000" w:sz="4" w:space="0"/>
              <w:right w:val="single" w:color="000000" w:sz="4" w:space="0"/>
            </w:tcBorders>
            <w:vAlign w:val="center"/>
          </w:tcPr>
          <w:p w14:paraId="3D903110">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工作项</w:t>
            </w:r>
          </w:p>
        </w:tc>
        <w:tc>
          <w:tcPr>
            <w:tcW w:w="3259" w:type="pct"/>
            <w:tcBorders>
              <w:top w:val="single" w:color="000000" w:sz="4" w:space="0"/>
              <w:left w:val="single" w:color="000000" w:sz="4" w:space="0"/>
              <w:bottom w:val="single" w:color="000000" w:sz="4" w:space="0"/>
              <w:right w:val="single" w:color="000000" w:sz="4" w:space="0"/>
            </w:tcBorders>
            <w:vAlign w:val="center"/>
          </w:tcPr>
          <w:p w14:paraId="5FB712C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工作内容描述</w:t>
            </w:r>
          </w:p>
        </w:tc>
      </w:tr>
      <w:tr w14:paraId="06B9A37E">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270BB20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一、不动产统一平台及数据库建设</w:t>
            </w:r>
          </w:p>
        </w:tc>
      </w:tr>
      <w:tr w14:paraId="7FA73CDF">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1AC1D04C">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vMerge w:val="restart"/>
            <w:tcBorders>
              <w:top w:val="single" w:color="000000" w:sz="4" w:space="0"/>
              <w:left w:val="single" w:color="000000" w:sz="4" w:space="0"/>
              <w:right w:val="single" w:color="000000" w:sz="4" w:space="0"/>
            </w:tcBorders>
            <w:vAlign w:val="center"/>
          </w:tcPr>
          <w:p w14:paraId="1860BDF1">
            <w:pPr>
              <w:widowControl/>
              <w:jc w:val="center"/>
              <w:rPr>
                <w:rFonts w:hint="eastAsia" w:ascii="宋体" w:hAnsi="宋体" w:cs="宋体"/>
                <w:color w:val="000000"/>
                <w:kern w:val="0"/>
                <w:szCs w:val="21"/>
              </w:rPr>
            </w:pPr>
            <w:r>
              <w:rPr>
                <w:rFonts w:hint="eastAsia" w:ascii="宋体" w:hAnsi="宋体" w:cs="宋体"/>
                <w:color w:val="000000"/>
                <w:kern w:val="0"/>
                <w:szCs w:val="21"/>
              </w:rPr>
              <w:t>数据规范化建设</w:t>
            </w:r>
          </w:p>
        </w:tc>
        <w:tc>
          <w:tcPr>
            <w:tcW w:w="953" w:type="pct"/>
            <w:tcBorders>
              <w:top w:val="single" w:color="000000" w:sz="4" w:space="0"/>
              <w:left w:val="single" w:color="000000" w:sz="4" w:space="0"/>
              <w:bottom w:val="single" w:color="000000" w:sz="4" w:space="0"/>
              <w:right w:val="single" w:color="000000" w:sz="4" w:space="0"/>
            </w:tcBorders>
            <w:vAlign w:val="center"/>
          </w:tcPr>
          <w:p w14:paraId="52638138">
            <w:pPr>
              <w:widowControl/>
              <w:jc w:val="center"/>
              <w:rPr>
                <w:rFonts w:hint="eastAsia" w:ascii="宋体" w:hAnsi="宋体" w:cs="宋体"/>
                <w:color w:val="000000"/>
                <w:kern w:val="0"/>
                <w:szCs w:val="21"/>
              </w:rPr>
            </w:pPr>
            <w:r>
              <w:rPr>
                <w:rFonts w:hint="eastAsia" w:ascii="宋体" w:hAnsi="宋体" w:cs="宋体"/>
                <w:color w:val="000000"/>
                <w:kern w:val="0"/>
                <w:szCs w:val="21"/>
              </w:rPr>
              <w:t>准备工作</w:t>
            </w:r>
          </w:p>
        </w:tc>
        <w:tc>
          <w:tcPr>
            <w:tcW w:w="3259" w:type="pct"/>
            <w:tcBorders>
              <w:top w:val="single" w:color="000000" w:sz="4" w:space="0"/>
              <w:left w:val="single" w:color="000000" w:sz="4" w:space="0"/>
              <w:bottom w:val="single" w:color="000000" w:sz="4" w:space="0"/>
              <w:right w:val="single" w:color="000000" w:sz="4" w:space="0"/>
            </w:tcBorders>
            <w:vAlign w:val="center"/>
          </w:tcPr>
          <w:p w14:paraId="4E6123CD">
            <w:pPr>
              <w:widowControl/>
              <w:jc w:val="center"/>
              <w:rPr>
                <w:rFonts w:hint="eastAsia" w:ascii="宋体" w:hAnsi="宋体" w:cs="宋体"/>
                <w:color w:val="000000"/>
                <w:kern w:val="0"/>
                <w:szCs w:val="21"/>
              </w:rPr>
            </w:pPr>
            <w:r>
              <w:rPr>
                <w:rFonts w:hint="eastAsia" w:ascii="宋体" w:hAnsi="宋体" w:cs="宋体"/>
                <w:color w:val="000000"/>
                <w:kern w:val="0"/>
                <w:szCs w:val="21"/>
              </w:rPr>
              <w:t>主要包括对日常不动产登记数据、存量整合数据情况现状调研，收集现有登记成果资料，对现有数据对比分析检查，并与不动产登记数据库标准逐项对比，编制不动产登记数据维护治理实施方案，技术培训等。</w:t>
            </w:r>
          </w:p>
        </w:tc>
      </w:tr>
      <w:tr w14:paraId="1722319A">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vAlign w:val="center"/>
          </w:tcPr>
          <w:p w14:paraId="4DD72934">
            <w:pPr>
              <w:jc w:val="center"/>
              <w:rPr>
                <w:rFonts w:hint="eastAsia" w:ascii="宋体" w:hAnsi="宋体" w:cs="宋体"/>
                <w:color w:val="000000"/>
                <w:kern w:val="0"/>
                <w:szCs w:val="21"/>
              </w:rPr>
            </w:pPr>
            <w:r>
              <w:rPr>
                <w:rFonts w:hint="eastAsia" w:ascii="宋体" w:hAnsi="宋体" w:cs="宋体"/>
                <w:color w:val="000000"/>
                <w:kern w:val="0"/>
                <w:szCs w:val="21"/>
              </w:rPr>
              <w:t>2</w:t>
            </w:r>
          </w:p>
        </w:tc>
        <w:tc>
          <w:tcPr>
            <w:tcW w:w="510" w:type="pct"/>
            <w:vMerge w:val="continue"/>
            <w:tcBorders>
              <w:left w:val="single" w:color="000000" w:sz="4" w:space="0"/>
              <w:right w:val="single" w:color="000000" w:sz="4" w:space="0"/>
            </w:tcBorders>
            <w:vAlign w:val="center"/>
          </w:tcPr>
          <w:p w14:paraId="525482D6">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right w:val="single" w:color="000000" w:sz="4" w:space="0"/>
            </w:tcBorders>
            <w:vAlign w:val="center"/>
          </w:tcPr>
          <w:p w14:paraId="0F2C2882">
            <w:pPr>
              <w:widowControl/>
              <w:jc w:val="center"/>
              <w:rPr>
                <w:rFonts w:hint="eastAsia" w:ascii="宋体" w:hAnsi="宋体" w:cs="宋体"/>
                <w:color w:val="000000"/>
                <w:kern w:val="0"/>
                <w:szCs w:val="21"/>
              </w:rPr>
            </w:pPr>
            <w:r>
              <w:rPr>
                <w:rFonts w:hint="eastAsia" w:ascii="宋体" w:hAnsi="宋体" w:cs="宋体"/>
                <w:color w:val="000000"/>
                <w:kern w:val="0"/>
                <w:szCs w:val="21"/>
              </w:rPr>
              <w:t>登记数据转换迁移</w:t>
            </w:r>
          </w:p>
        </w:tc>
        <w:tc>
          <w:tcPr>
            <w:tcW w:w="3259" w:type="pct"/>
            <w:tcBorders>
              <w:top w:val="single" w:color="000000" w:sz="4" w:space="0"/>
              <w:left w:val="single" w:color="000000" w:sz="4" w:space="0"/>
              <w:bottom w:val="single" w:color="000000" w:sz="4" w:space="0"/>
              <w:right w:val="single" w:color="000000" w:sz="4" w:space="0"/>
            </w:tcBorders>
            <w:vAlign w:val="center"/>
          </w:tcPr>
          <w:p w14:paraId="2C1AB1C2">
            <w:pPr>
              <w:widowControl/>
              <w:jc w:val="left"/>
              <w:rPr>
                <w:rFonts w:hint="eastAsia" w:ascii="宋体" w:hAnsi="宋体" w:cs="宋体"/>
                <w:color w:val="000000"/>
                <w:kern w:val="0"/>
                <w:szCs w:val="21"/>
              </w:rPr>
            </w:pPr>
            <w:r>
              <w:rPr>
                <w:rFonts w:hint="eastAsia" w:ascii="宋体" w:hAnsi="宋体" w:cs="宋体"/>
                <w:color w:val="000000"/>
                <w:kern w:val="0"/>
                <w:szCs w:val="21"/>
              </w:rPr>
              <w:t>数据分析：部署数据转换迁移资源、环境、系统，从现有的不动产登记系统中提取所有不动产登记类型数据进行数据归类分析，涵盖不动产存量数据及不动产新增数据。数据类型包含：矢量数据、属性数据、登记数据、楼盘表数据、档案数据等。</w:t>
            </w:r>
          </w:p>
        </w:tc>
      </w:tr>
      <w:tr w14:paraId="61A1EA26">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40654E44">
            <w:pPr>
              <w:widowControl/>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09785C0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right w:val="single" w:color="000000" w:sz="4" w:space="0"/>
            </w:tcBorders>
            <w:vAlign w:val="center"/>
          </w:tcPr>
          <w:p w14:paraId="69700DED">
            <w:pPr>
              <w:widowControl/>
              <w:jc w:val="center"/>
              <w:rPr>
                <w:rFonts w:hint="eastAsia"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5B39028C">
            <w:pPr>
              <w:widowControl/>
              <w:jc w:val="left"/>
              <w:rPr>
                <w:rFonts w:hint="eastAsia" w:ascii="宋体" w:hAnsi="宋体" w:cs="宋体"/>
                <w:color w:val="000000"/>
                <w:kern w:val="0"/>
                <w:szCs w:val="21"/>
              </w:rPr>
            </w:pPr>
            <w:r>
              <w:rPr>
                <w:rFonts w:hint="eastAsia" w:ascii="宋体" w:hAnsi="宋体" w:cs="宋体"/>
                <w:color w:val="000000"/>
                <w:kern w:val="0"/>
                <w:szCs w:val="21"/>
              </w:rPr>
              <w:t>权籍数据：对现有权籍系统中包含：宗地图形、自然幢图形、面状定着物、图形属性等其他矢量数据进行数据结构转换及迁移工作。</w:t>
            </w:r>
          </w:p>
          <w:p w14:paraId="3523A9F9">
            <w:pPr>
              <w:widowControl/>
              <w:jc w:val="left"/>
              <w:rPr>
                <w:rFonts w:hint="eastAsia" w:ascii="宋体" w:hAnsi="宋体" w:cs="宋体"/>
                <w:color w:val="000000"/>
                <w:kern w:val="0"/>
                <w:szCs w:val="21"/>
              </w:rPr>
            </w:pPr>
            <w:r>
              <w:rPr>
                <w:rFonts w:hint="eastAsia" w:ascii="宋体" w:hAnsi="宋体" w:cs="宋体"/>
                <w:color w:val="000000"/>
                <w:kern w:val="0"/>
                <w:szCs w:val="21"/>
              </w:rPr>
              <w:t>登记数据：将不动产存量数据和新增数据的登记数据，按照《湖南不动产登记数据库标准（试行）》进行数据结构转换及迁移工作。</w:t>
            </w:r>
          </w:p>
          <w:p w14:paraId="343C8BA0">
            <w:pPr>
              <w:widowControl/>
              <w:jc w:val="left"/>
              <w:rPr>
                <w:rFonts w:hint="eastAsia" w:ascii="宋体" w:hAnsi="宋体" w:cs="宋体"/>
                <w:color w:val="000000"/>
                <w:kern w:val="0"/>
                <w:szCs w:val="21"/>
              </w:rPr>
            </w:pPr>
            <w:r>
              <w:rPr>
                <w:rFonts w:hint="eastAsia" w:ascii="宋体" w:hAnsi="宋体" w:cs="宋体"/>
                <w:color w:val="000000"/>
                <w:kern w:val="0"/>
                <w:szCs w:val="21"/>
              </w:rPr>
              <w:t>楼盘表数据：将现有不动产登记系统中的楼盘表数据，按照《湖南不动产登记数据库标准（试行）》进行数据结构转换及迁移工作。</w:t>
            </w:r>
          </w:p>
          <w:p w14:paraId="0AD32793">
            <w:pPr>
              <w:widowControl/>
              <w:jc w:val="left"/>
              <w:rPr>
                <w:rFonts w:hint="eastAsia" w:ascii="宋体" w:hAnsi="宋体" w:cs="宋体"/>
                <w:color w:val="000000"/>
                <w:kern w:val="0"/>
                <w:szCs w:val="21"/>
              </w:rPr>
            </w:pPr>
            <w:r>
              <w:rPr>
                <w:rFonts w:hint="eastAsia" w:ascii="宋体" w:hAnsi="宋体" w:cs="宋体"/>
                <w:color w:val="000000"/>
                <w:kern w:val="0"/>
                <w:szCs w:val="21"/>
              </w:rPr>
              <w:t>档案数据：将现有不动产登记系统中的档案数据，按照《湖南不动产登记数据库标准（试行）》进行数据结构转换及迁移工作。数据包含：图片文件、存储文件路径数据、收件资料目录结构数据等。</w:t>
            </w:r>
          </w:p>
        </w:tc>
      </w:tr>
      <w:tr w14:paraId="74BCD9A4">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6049BBB2">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continue"/>
            <w:tcBorders>
              <w:left w:val="single" w:color="000000" w:sz="4" w:space="0"/>
              <w:right w:val="single" w:color="000000" w:sz="4" w:space="0"/>
            </w:tcBorders>
            <w:vAlign w:val="center"/>
          </w:tcPr>
          <w:p w14:paraId="07B2737C">
            <w:pPr>
              <w:widowControl/>
              <w:jc w:val="left"/>
              <w:rPr>
                <w:rFonts w:ascii="宋体" w:hAnsi="宋体" w:cs="宋体"/>
                <w:color w:val="000000"/>
                <w:kern w:val="0"/>
                <w:szCs w:val="21"/>
              </w:rPr>
            </w:pPr>
          </w:p>
        </w:tc>
        <w:tc>
          <w:tcPr>
            <w:tcW w:w="953" w:type="pct"/>
            <w:vMerge w:val="continue"/>
            <w:tcBorders>
              <w:left w:val="single" w:color="000000" w:sz="4" w:space="0"/>
              <w:bottom w:val="single" w:color="000000" w:sz="4" w:space="0"/>
              <w:right w:val="single" w:color="000000" w:sz="4" w:space="0"/>
            </w:tcBorders>
            <w:vAlign w:val="center"/>
          </w:tcPr>
          <w:p w14:paraId="64050B06">
            <w:pPr>
              <w:widowControl/>
              <w:jc w:val="center"/>
              <w:rPr>
                <w:rFonts w:hint="eastAsia"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084E11D">
            <w:pPr>
              <w:widowControl/>
              <w:jc w:val="left"/>
              <w:rPr>
                <w:rFonts w:hint="eastAsia" w:ascii="宋体" w:hAnsi="宋体" w:cs="宋体"/>
                <w:color w:val="000000"/>
                <w:kern w:val="0"/>
                <w:szCs w:val="21"/>
              </w:rPr>
            </w:pPr>
            <w:r>
              <w:rPr>
                <w:rFonts w:hint="eastAsia" w:ascii="宋体" w:hAnsi="宋体" w:cs="宋体"/>
                <w:color w:val="000000"/>
                <w:kern w:val="0"/>
                <w:szCs w:val="21"/>
              </w:rPr>
              <w:t>数据问题归集：对现有数据库中的不动产登记数据进行数据问题分析，包括数据库标准问题、图属一致性问题、数据有效性问题、数据完整性问题、数据准确性问题、数据逻辑性问题、数据限制性问题、数据关联性问题等，最终归纳总结形成批量处理和专项清理台账、需补充调查台账、依档核查台账。</w:t>
            </w:r>
          </w:p>
        </w:tc>
      </w:tr>
      <w:tr w14:paraId="6FB665F7">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vAlign w:val="center"/>
          </w:tcPr>
          <w:p w14:paraId="2E4E5373">
            <w:pPr>
              <w:jc w:val="center"/>
              <w:rPr>
                <w:rFonts w:hint="eastAsia" w:ascii="宋体" w:hAnsi="宋体" w:cs="宋体"/>
                <w:color w:val="000000"/>
                <w:kern w:val="0"/>
                <w:szCs w:val="21"/>
              </w:rPr>
            </w:pPr>
            <w:r>
              <w:rPr>
                <w:rFonts w:hint="eastAsia" w:ascii="宋体" w:hAnsi="宋体" w:cs="宋体"/>
                <w:color w:val="000000"/>
                <w:kern w:val="0"/>
                <w:szCs w:val="21"/>
              </w:rPr>
              <w:t>4</w:t>
            </w:r>
          </w:p>
        </w:tc>
        <w:tc>
          <w:tcPr>
            <w:tcW w:w="510" w:type="pct"/>
            <w:vMerge w:val="continue"/>
            <w:tcBorders>
              <w:left w:val="single" w:color="000000" w:sz="4" w:space="0"/>
              <w:right w:val="single" w:color="000000" w:sz="4" w:space="0"/>
            </w:tcBorders>
            <w:vAlign w:val="center"/>
          </w:tcPr>
          <w:p w14:paraId="0DE42923">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050AECB3">
            <w:pPr>
              <w:widowControl/>
              <w:jc w:val="center"/>
              <w:rPr>
                <w:rFonts w:hint="eastAsia" w:ascii="宋体" w:hAnsi="宋体" w:cs="宋体"/>
                <w:color w:val="000000"/>
                <w:kern w:val="0"/>
                <w:szCs w:val="21"/>
              </w:rPr>
            </w:pPr>
            <w:r>
              <w:rPr>
                <w:rFonts w:hint="eastAsia" w:ascii="宋体" w:hAnsi="宋体" w:cs="宋体"/>
                <w:color w:val="000000"/>
                <w:kern w:val="0"/>
                <w:szCs w:val="21"/>
              </w:rPr>
              <w:t>流程数据转换迁移</w:t>
            </w:r>
          </w:p>
        </w:tc>
        <w:tc>
          <w:tcPr>
            <w:tcW w:w="3259" w:type="pct"/>
            <w:tcBorders>
              <w:top w:val="single" w:color="000000" w:sz="4" w:space="0"/>
              <w:left w:val="single" w:color="000000" w:sz="4" w:space="0"/>
              <w:bottom w:val="single" w:color="000000" w:sz="4" w:space="0"/>
              <w:right w:val="single" w:color="000000" w:sz="4" w:space="0"/>
            </w:tcBorders>
            <w:vAlign w:val="center"/>
          </w:tcPr>
          <w:p w14:paraId="0F273F5C">
            <w:pPr>
              <w:widowControl/>
              <w:jc w:val="left"/>
              <w:rPr>
                <w:rFonts w:hint="eastAsia" w:ascii="宋体" w:hAnsi="宋体" w:cs="宋体"/>
                <w:color w:val="000000"/>
                <w:kern w:val="0"/>
                <w:szCs w:val="21"/>
              </w:rPr>
            </w:pPr>
            <w:r>
              <w:rPr>
                <w:rFonts w:hint="eastAsia" w:ascii="宋体" w:hAnsi="宋体" w:cs="宋体"/>
                <w:color w:val="000000"/>
                <w:kern w:val="0"/>
                <w:szCs w:val="21"/>
              </w:rPr>
              <w:t>流程数据：将新增不动产登记工作流程数据按照不动产登记统一平台工作流引擎结构进行转换迁移，工作流程数据主要包含：流程实例数据、流程工作项数据、参与者角色配置、流程时限等。</w:t>
            </w:r>
          </w:p>
        </w:tc>
      </w:tr>
      <w:tr w14:paraId="379B208F">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4372A1C0">
            <w:pPr>
              <w:widowControl/>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1FB427AE">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5D630B6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BB8B240">
            <w:pPr>
              <w:widowControl/>
              <w:jc w:val="left"/>
              <w:rPr>
                <w:rFonts w:hint="eastAsia" w:ascii="宋体" w:hAnsi="宋体" w:cs="宋体"/>
                <w:color w:val="000000"/>
                <w:kern w:val="0"/>
                <w:szCs w:val="21"/>
              </w:rPr>
            </w:pPr>
            <w:r>
              <w:rPr>
                <w:rFonts w:hint="eastAsia" w:ascii="宋体" w:hAnsi="宋体" w:cs="宋体"/>
                <w:color w:val="000000"/>
                <w:kern w:val="0"/>
                <w:szCs w:val="21"/>
              </w:rPr>
              <w:t>审批数据：根据所涉及的流程对应审批意见数据进行转换迁移，审批数据主要数据包含：审批人、审批时间、审批意见、案件回退信息、案件终止信息等。</w:t>
            </w:r>
          </w:p>
        </w:tc>
      </w:tr>
      <w:tr w14:paraId="25A40178">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vAlign w:val="center"/>
          </w:tcPr>
          <w:p w14:paraId="553CE996">
            <w:pPr>
              <w:jc w:val="center"/>
              <w:rPr>
                <w:rFonts w:hint="eastAsia" w:ascii="宋体" w:hAnsi="宋体" w:cs="宋体"/>
                <w:color w:val="000000"/>
                <w:kern w:val="0"/>
                <w:szCs w:val="21"/>
              </w:rPr>
            </w:pPr>
            <w:r>
              <w:rPr>
                <w:rFonts w:hint="eastAsia" w:ascii="宋体" w:hAnsi="宋体" w:cs="宋体"/>
                <w:color w:val="000000"/>
                <w:kern w:val="0"/>
                <w:szCs w:val="21"/>
              </w:rPr>
              <w:t>5</w:t>
            </w:r>
          </w:p>
        </w:tc>
        <w:tc>
          <w:tcPr>
            <w:tcW w:w="510" w:type="pct"/>
            <w:vMerge w:val="continue"/>
            <w:tcBorders>
              <w:left w:val="single" w:color="000000" w:sz="4" w:space="0"/>
              <w:right w:val="single" w:color="000000" w:sz="4" w:space="0"/>
            </w:tcBorders>
            <w:vAlign w:val="center"/>
          </w:tcPr>
          <w:p w14:paraId="1CD9FEF4">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721699D9">
            <w:pPr>
              <w:widowControl/>
              <w:jc w:val="center"/>
              <w:rPr>
                <w:rFonts w:hint="eastAsia" w:ascii="宋体" w:hAnsi="宋体" w:cs="宋体"/>
                <w:color w:val="000000"/>
                <w:kern w:val="0"/>
                <w:szCs w:val="21"/>
              </w:rPr>
            </w:pPr>
            <w:r>
              <w:rPr>
                <w:rFonts w:hint="eastAsia" w:ascii="宋体" w:hAnsi="宋体" w:cs="宋体"/>
                <w:color w:val="000000"/>
                <w:kern w:val="0"/>
                <w:szCs w:val="21"/>
              </w:rPr>
              <w:t>数据质检</w:t>
            </w:r>
          </w:p>
        </w:tc>
        <w:tc>
          <w:tcPr>
            <w:tcW w:w="3259" w:type="pct"/>
            <w:tcBorders>
              <w:top w:val="single" w:color="000000" w:sz="4" w:space="0"/>
              <w:left w:val="single" w:color="000000" w:sz="4" w:space="0"/>
              <w:bottom w:val="single" w:color="000000" w:sz="4" w:space="0"/>
              <w:right w:val="single" w:color="000000" w:sz="4" w:space="0"/>
            </w:tcBorders>
            <w:vAlign w:val="center"/>
          </w:tcPr>
          <w:p w14:paraId="68191769">
            <w:pPr>
              <w:widowControl/>
              <w:jc w:val="left"/>
              <w:rPr>
                <w:rFonts w:hint="eastAsia" w:ascii="宋体" w:hAnsi="宋体" w:cs="宋体"/>
                <w:color w:val="000000"/>
                <w:kern w:val="0"/>
                <w:szCs w:val="21"/>
              </w:rPr>
            </w:pPr>
            <w:r>
              <w:rPr>
                <w:rFonts w:hint="eastAsia" w:ascii="宋体" w:hAnsi="宋体" w:cs="宋体"/>
                <w:color w:val="000000"/>
                <w:kern w:val="0"/>
                <w:szCs w:val="21"/>
              </w:rPr>
              <w:t>矢量数据检查：对空间数据中的图层、空间实体、数据表、记录和数据项进行检查，包含：数据完整性；逻辑一致性；值域一致性；点、线、面、层的拓扑一致性检查等。</w:t>
            </w:r>
          </w:p>
        </w:tc>
      </w:tr>
      <w:tr w14:paraId="1A449DCC">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1FD928C5">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68FDCEA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6BEEBD21">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40DA859D">
            <w:pPr>
              <w:widowControl/>
              <w:jc w:val="left"/>
              <w:rPr>
                <w:rFonts w:hint="eastAsia" w:ascii="宋体" w:hAnsi="宋体" w:cs="宋体"/>
                <w:color w:val="000000"/>
                <w:kern w:val="0"/>
                <w:szCs w:val="21"/>
              </w:rPr>
            </w:pPr>
            <w:r>
              <w:rPr>
                <w:rFonts w:hint="eastAsia" w:ascii="宋体" w:hAnsi="宋体" w:cs="宋体"/>
                <w:color w:val="000000"/>
                <w:kern w:val="0"/>
                <w:szCs w:val="21"/>
              </w:rPr>
              <w:t>属性数据检查：对不动产登记数据的不动产单元数据、权利人数据、权利数据、业务数据等进行必填项检查、数据记录数检查、数据冗余检查等。</w:t>
            </w:r>
          </w:p>
        </w:tc>
      </w:tr>
      <w:tr w14:paraId="1CC71675">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556652B5">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517FBB0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2C37BEA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71992FAE">
            <w:pPr>
              <w:widowControl/>
              <w:jc w:val="left"/>
              <w:rPr>
                <w:rFonts w:hint="eastAsia" w:ascii="宋体" w:hAnsi="宋体" w:cs="宋体"/>
                <w:color w:val="000000"/>
                <w:kern w:val="0"/>
                <w:szCs w:val="21"/>
              </w:rPr>
            </w:pPr>
            <w:r>
              <w:rPr>
                <w:rFonts w:hint="eastAsia" w:ascii="宋体" w:hAnsi="宋体" w:cs="宋体"/>
                <w:color w:val="000000"/>
                <w:kern w:val="0"/>
                <w:szCs w:val="21"/>
              </w:rPr>
              <w:t>字段值域符合性检查：根据《湖南不动产登记数据库标准（试行）》进行字段值域符合性检查，包含：必填、数据类型、符合规则、数据字典代码规范、数据值填写是否符合规范等。</w:t>
            </w:r>
          </w:p>
        </w:tc>
      </w:tr>
      <w:tr w14:paraId="182B40AD">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1CB53DE1">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70139D21">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3B7FE44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464C01F">
            <w:pPr>
              <w:widowControl/>
              <w:jc w:val="left"/>
              <w:rPr>
                <w:rFonts w:hint="eastAsia" w:ascii="宋体" w:hAnsi="宋体" w:cs="宋体"/>
                <w:color w:val="000000"/>
                <w:kern w:val="0"/>
                <w:szCs w:val="21"/>
              </w:rPr>
            </w:pPr>
            <w:r>
              <w:rPr>
                <w:rFonts w:hint="eastAsia" w:ascii="宋体" w:hAnsi="宋体" w:cs="宋体"/>
                <w:color w:val="000000"/>
                <w:kern w:val="0"/>
                <w:szCs w:val="21"/>
              </w:rPr>
              <w:t>数据唯一性检查：对整库数据进行数据重复检查，确保数据编码唯一、数据库内唯一、数据表内唯一等。</w:t>
            </w:r>
          </w:p>
        </w:tc>
      </w:tr>
      <w:tr w14:paraId="6DCBF51C">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4E5CF767">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5F8BF9F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8025B5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2D77F3AD">
            <w:pPr>
              <w:widowControl/>
              <w:jc w:val="left"/>
              <w:rPr>
                <w:rFonts w:hint="eastAsia" w:ascii="宋体" w:hAnsi="宋体" w:cs="宋体"/>
                <w:color w:val="000000"/>
                <w:kern w:val="0"/>
                <w:szCs w:val="21"/>
              </w:rPr>
            </w:pPr>
            <w:r>
              <w:rPr>
                <w:rFonts w:hint="eastAsia" w:ascii="宋体" w:hAnsi="宋体" w:cs="宋体"/>
                <w:color w:val="000000"/>
                <w:kern w:val="0"/>
                <w:szCs w:val="21"/>
              </w:rPr>
              <w:t>数据有效性检查：对整库数据进行数据有效性检查，分析数据总量，检查现势数据和历史数据是否符合规范，相同权利之间的有效性是否唯一等。</w:t>
            </w:r>
          </w:p>
        </w:tc>
      </w:tr>
      <w:tr w14:paraId="1E84C80A">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44871507">
            <w:pPr>
              <w:widowControl/>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0D3E9014">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3429FD46">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49E62E23">
            <w:pPr>
              <w:widowControl/>
              <w:jc w:val="left"/>
              <w:rPr>
                <w:rFonts w:hint="eastAsia" w:ascii="宋体" w:hAnsi="宋体" w:cs="宋体"/>
                <w:color w:val="000000"/>
                <w:kern w:val="0"/>
                <w:szCs w:val="21"/>
              </w:rPr>
            </w:pPr>
            <w:r>
              <w:rPr>
                <w:rFonts w:hint="eastAsia" w:ascii="宋体" w:hAnsi="宋体" w:cs="宋体"/>
                <w:color w:val="000000"/>
                <w:kern w:val="0"/>
                <w:szCs w:val="21"/>
              </w:rPr>
              <w:t>数据逻辑性检查：根据《湖南不动产登记数据库标准（试行）》分析、判断、检查整库数据的逻辑关联性是否符合规定，数据关系链是否完整，编码是否符合逻辑等。</w:t>
            </w:r>
          </w:p>
        </w:tc>
      </w:tr>
      <w:tr w14:paraId="7BC7B960">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5A061106">
            <w:pPr>
              <w:widowControl/>
              <w:jc w:val="center"/>
              <w:rPr>
                <w:rFonts w:hint="eastAsia" w:ascii="宋体" w:hAnsi="宋体" w:cs="宋体"/>
                <w:color w:val="000000"/>
                <w:kern w:val="0"/>
                <w:szCs w:val="21"/>
              </w:rPr>
            </w:pPr>
            <w:r>
              <w:rPr>
                <w:rFonts w:hint="eastAsia" w:ascii="宋体" w:hAnsi="宋体" w:cs="宋体"/>
                <w:color w:val="000000"/>
                <w:kern w:val="0"/>
                <w:szCs w:val="21"/>
              </w:rPr>
              <w:t>6</w:t>
            </w:r>
          </w:p>
        </w:tc>
        <w:tc>
          <w:tcPr>
            <w:tcW w:w="510" w:type="pct"/>
            <w:vMerge w:val="continue"/>
            <w:tcBorders>
              <w:left w:val="single" w:color="000000" w:sz="4" w:space="0"/>
              <w:right w:val="single" w:color="000000" w:sz="4" w:space="0"/>
            </w:tcBorders>
            <w:vAlign w:val="center"/>
          </w:tcPr>
          <w:p w14:paraId="35C7F4AA">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5301DD4C">
            <w:pPr>
              <w:widowControl/>
              <w:jc w:val="center"/>
              <w:rPr>
                <w:rFonts w:hint="eastAsia" w:ascii="宋体" w:hAnsi="宋体" w:cs="宋体"/>
                <w:color w:val="000000"/>
                <w:kern w:val="0"/>
                <w:szCs w:val="21"/>
              </w:rPr>
            </w:pPr>
            <w:r>
              <w:rPr>
                <w:rFonts w:hint="eastAsia" w:ascii="宋体" w:hAnsi="宋体" w:cs="宋体"/>
                <w:color w:val="000000"/>
                <w:kern w:val="0"/>
                <w:szCs w:val="21"/>
              </w:rPr>
              <w:t>数据缺失比对</w:t>
            </w:r>
          </w:p>
        </w:tc>
        <w:tc>
          <w:tcPr>
            <w:tcW w:w="3259" w:type="pct"/>
            <w:tcBorders>
              <w:top w:val="single" w:color="000000" w:sz="4" w:space="0"/>
              <w:left w:val="single" w:color="000000" w:sz="4" w:space="0"/>
              <w:bottom w:val="single" w:color="000000" w:sz="4" w:space="0"/>
              <w:right w:val="single" w:color="000000" w:sz="4" w:space="0"/>
            </w:tcBorders>
            <w:vAlign w:val="center"/>
          </w:tcPr>
          <w:p w14:paraId="099387A7">
            <w:pPr>
              <w:widowControl/>
              <w:jc w:val="left"/>
              <w:rPr>
                <w:rFonts w:hint="eastAsia" w:ascii="宋体" w:hAnsi="宋体" w:cs="宋体"/>
                <w:color w:val="000000"/>
                <w:kern w:val="0"/>
                <w:szCs w:val="21"/>
              </w:rPr>
            </w:pPr>
            <w:r>
              <w:rPr>
                <w:rFonts w:hint="eastAsia" w:ascii="宋体" w:hAnsi="宋体" w:cs="宋体"/>
                <w:color w:val="000000"/>
                <w:kern w:val="0"/>
                <w:szCs w:val="21"/>
              </w:rPr>
              <w:t>进行转换后的不动产登记数据与湖南省不动产日常汇交数据库的数据进行数据条目比对、关键属性信息比对，形成对比分析文档。并对产生的问题数据进行分析，能合规地通过技术手段处理的进行数据处理。</w:t>
            </w:r>
          </w:p>
        </w:tc>
      </w:tr>
      <w:tr w14:paraId="7DC2B99A">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bottom w:val="nil"/>
              <w:right w:val="single" w:color="000000" w:sz="4" w:space="0"/>
            </w:tcBorders>
            <w:vAlign w:val="center"/>
          </w:tcPr>
          <w:p w14:paraId="66FADA82">
            <w:pPr>
              <w:jc w:val="center"/>
              <w:rPr>
                <w:rFonts w:hint="eastAsia" w:ascii="宋体" w:hAnsi="宋体" w:cs="宋体"/>
                <w:color w:val="000000"/>
                <w:kern w:val="0"/>
                <w:szCs w:val="21"/>
              </w:rPr>
            </w:pPr>
            <w:r>
              <w:rPr>
                <w:rFonts w:hint="eastAsia" w:ascii="宋体" w:hAnsi="宋体" w:cs="宋体"/>
                <w:color w:val="000000"/>
                <w:kern w:val="0"/>
                <w:szCs w:val="21"/>
              </w:rPr>
              <w:t>7</w:t>
            </w:r>
          </w:p>
        </w:tc>
        <w:tc>
          <w:tcPr>
            <w:tcW w:w="510" w:type="pct"/>
            <w:vMerge w:val="continue"/>
            <w:tcBorders>
              <w:left w:val="single" w:color="000000" w:sz="4" w:space="0"/>
              <w:bottom w:val="nil"/>
              <w:right w:val="single" w:color="000000" w:sz="4" w:space="0"/>
            </w:tcBorders>
            <w:vAlign w:val="center"/>
          </w:tcPr>
          <w:p w14:paraId="409D93E1">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nil"/>
              <w:right w:val="single" w:color="000000" w:sz="4" w:space="0"/>
            </w:tcBorders>
            <w:vAlign w:val="center"/>
          </w:tcPr>
          <w:p w14:paraId="783EF2BB">
            <w:pPr>
              <w:widowControl/>
              <w:jc w:val="center"/>
              <w:rPr>
                <w:rFonts w:hint="eastAsia" w:ascii="宋体" w:hAnsi="宋体" w:cs="宋体"/>
                <w:color w:val="000000"/>
                <w:kern w:val="0"/>
                <w:szCs w:val="21"/>
              </w:rPr>
            </w:pPr>
            <w:r>
              <w:rPr>
                <w:rFonts w:hint="eastAsia" w:ascii="宋体" w:hAnsi="宋体" w:cs="宋体"/>
                <w:color w:val="000000"/>
                <w:kern w:val="0"/>
                <w:szCs w:val="21"/>
              </w:rPr>
              <w:t>数据入库</w:t>
            </w:r>
          </w:p>
        </w:tc>
        <w:tc>
          <w:tcPr>
            <w:tcW w:w="3259" w:type="pct"/>
            <w:tcBorders>
              <w:top w:val="single" w:color="000000" w:sz="4" w:space="0"/>
              <w:left w:val="single" w:color="000000" w:sz="4" w:space="0"/>
              <w:bottom w:val="single" w:color="000000" w:sz="4" w:space="0"/>
              <w:right w:val="single" w:color="000000" w:sz="4" w:space="0"/>
            </w:tcBorders>
            <w:vAlign w:val="center"/>
          </w:tcPr>
          <w:p w14:paraId="21F2E187">
            <w:pPr>
              <w:widowControl/>
              <w:jc w:val="left"/>
              <w:rPr>
                <w:rFonts w:hint="eastAsia" w:ascii="宋体" w:hAnsi="宋体" w:cs="宋体"/>
                <w:color w:val="000000"/>
                <w:kern w:val="0"/>
                <w:szCs w:val="21"/>
              </w:rPr>
            </w:pPr>
            <w:r>
              <w:rPr>
                <w:rFonts w:hint="eastAsia" w:ascii="宋体" w:hAnsi="宋体" w:cs="宋体"/>
                <w:color w:val="000000"/>
                <w:kern w:val="0"/>
                <w:szCs w:val="21"/>
              </w:rPr>
              <w:t>矢量数据：将检查没有问题的宗地图形、自然幢图形、面状定着物、图形属性等其他矢量数据进行入库。按照现有不动产登记统一平台和数据库结构，入到不动产登记库中。在不动产登记统一平台中，对入库数据进行查询及数据应用测试。</w:t>
            </w:r>
          </w:p>
        </w:tc>
      </w:tr>
      <w:tr w14:paraId="4BA22DF3">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325746AD">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593F2CE5">
            <w:pPr>
              <w:widowControl/>
              <w:jc w:val="left"/>
              <w:rPr>
                <w:rFonts w:ascii="宋体" w:hAnsi="宋体" w:cs="宋体"/>
                <w:color w:val="000000"/>
                <w:kern w:val="0"/>
                <w:szCs w:val="21"/>
              </w:rPr>
            </w:pPr>
          </w:p>
        </w:tc>
        <w:tc>
          <w:tcPr>
            <w:tcW w:w="953" w:type="pct"/>
            <w:vMerge w:val="continue"/>
            <w:tcBorders>
              <w:left w:val="single" w:color="000000" w:sz="4" w:space="0"/>
              <w:right w:val="single" w:color="000000" w:sz="4" w:space="0"/>
            </w:tcBorders>
            <w:vAlign w:val="center"/>
          </w:tcPr>
          <w:p w14:paraId="67AA230F">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050FD670">
            <w:pPr>
              <w:widowControl/>
              <w:jc w:val="left"/>
              <w:rPr>
                <w:rFonts w:hint="eastAsia" w:ascii="宋体" w:hAnsi="宋体" w:cs="宋体"/>
                <w:color w:val="000000"/>
                <w:kern w:val="0"/>
                <w:szCs w:val="21"/>
              </w:rPr>
            </w:pPr>
            <w:r>
              <w:rPr>
                <w:rFonts w:hint="eastAsia" w:ascii="宋体" w:hAnsi="宋体" w:cs="宋体"/>
                <w:color w:val="000000"/>
                <w:kern w:val="0"/>
                <w:szCs w:val="21"/>
              </w:rPr>
              <w:t>登记数据：将检查没有问题的不动产登记业务数据进行入库。按照现有不动产登记统一平台和数据库结构，入到不动产登记库中。在不动产登记统一平台中，对入库数据进行查询及数据应用测试。</w:t>
            </w:r>
          </w:p>
        </w:tc>
      </w:tr>
      <w:tr w14:paraId="1EB4EC03">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vAlign w:val="center"/>
          </w:tcPr>
          <w:p w14:paraId="27C9A403">
            <w:pPr>
              <w:jc w:val="center"/>
              <w:rPr>
                <w:rFonts w:hint="eastAsia" w:ascii="宋体" w:hAnsi="宋体" w:cs="宋体"/>
                <w:color w:val="000000"/>
                <w:kern w:val="0"/>
                <w:szCs w:val="21"/>
              </w:rPr>
            </w:pPr>
          </w:p>
        </w:tc>
        <w:tc>
          <w:tcPr>
            <w:tcW w:w="510" w:type="pct"/>
            <w:vMerge w:val="continue"/>
            <w:tcBorders>
              <w:left w:val="single" w:color="000000" w:sz="4" w:space="0"/>
              <w:right w:val="single" w:color="000000" w:sz="4" w:space="0"/>
            </w:tcBorders>
            <w:vAlign w:val="center"/>
          </w:tcPr>
          <w:p w14:paraId="7DA5CDAB">
            <w:pPr>
              <w:widowControl/>
              <w:jc w:val="left"/>
              <w:rPr>
                <w:rFonts w:ascii="宋体" w:hAnsi="宋体" w:cs="宋体"/>
                <w:color w:val="000000"/>
                <w:kern w:val="0"/>
                <w:szCs w:val="21"/>
              </w:rPr>
            </w:pPr>
          </w:p>
        </w:tc>
        <w:tc>
          <w:tcPr>
            <w:tcW w:w="953" w:type="pct"/>
            <w:vMerge w:val="continue"/>
            <w:tcBorders>
              <w:left w:val="single" w:color="000000" w:sz="4" w:space="0"/>
              <w:right w:val="single" w:color="000000" w:sz="4" w:space="0"/>
            </w:tcBorders>
            <w:vAlign w:val="center"/>
          </w:tcPr>
          <w:p w14:paraId="5CD01D5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7038FEB">
            <w:pPr>
              <w:widowControl/>
              <w:jc w:val="left"/>
              <w:rPr>
                <w:rFonts w:hint="eastAsia" w:ascii="宋体" w:hAnsi="宋体" w:cs="宋体"/>
                <w:color w:val="000000"/>
                <w:kern w:val="0"/>
                <w:szCs w:val="21"/>
              </w:rPr>
            </w:pPr>
            <w:r>
              <w:rPr>
                <w:rFonts w:hint="eastAsia" w:ascii="宋体" w:hAnsi="宋体" w:cs="宋体"/>
                <w:color w:val="000000"/>
                <w:kern w:val="0"/>
                <w:szCs w:val="21"/>
              </w:rPr>
              <w:t>楼盘表数据：将检查没有问题的楼盘表数据进行入库。按照现有不动产登记统一平台和数据库结构，入到不动产登记库中。在不动产登记统一平台中，对入库数据进行查询及数据应用测试。</w:t>
            </w:r>
          </w:p>
        </w:tc>
      </w:tr>
      <w:tr w14:paraId="73B61837">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vAlign w:val="center"/>
          </w:tcPr>
          <w:p w14:paraId="1DCEE710">
            <w:pPr>
              <w:widowControl/>
              <w:jc w:val="center"/>
              <w:rPr>
                <w:rFonts w:hint="eastAsia" w:ascii="宋体" w:hAnsi="宋体" w:cs="宋体"/>
                <w:color w:val="000000"/>
                <w:kern w:val="0"/>
                <w:szCs w:val="21"/>
              </w:rPr>
            </w:pPr>
          </w:p>
        </w:tc>
        <w:tc>
          <w:tcPr>
            <w:tcW w:w="510" w:type="pct"/>
            <w:vMerge w:val="continue"/>
            <w:tcBorders>
              <w:left w:val="single" w:color="000000" w:sz="4" w:space="0"/>
              <w:bottom w:val="single" w:color="000000" w:sz="4" w:space="0"/>
              <w:right w:val="single" w:color="000000" w:sz="4" w:space="0"/>
            </w:tcBorders>
            <w:vAlign w:val="center"/>
          </w:tcPr>
          <w:p w14:paraId="25831E97">
            <w:pPr>
              <w:widowControl/>
              <w:jc w:val="left"/>
              <w:rPr>
                <w:rFonts w:ascii="宋体" w:hAnsi="宋体" w:cs="宋体"/>
                <w:color w:val="000000"/>
                <w:kern w:val="0"/>
                <w:szCs w:val="21"/>
              </w:rPr>
            </w:pPr>
          </w:p>
        </w:tc>
        <w:tc>
          <w:tcPr>
            <w:tcW w:w="953" w:type="pct"/>
            <w:vMerge w:val="continue"/>
            <w:tcBorders>
              <w:left w:val="single" w:color="000000" w:sz="4" w:space="0"/>
              <w:bottom w:val="single" w:color="000000" w:sz="4" w:space="0"/>
              <w:right w:val="single" w:color="000000" w:sz="4" w:space="0"/>
            </w:tcBorders>
            <w:vAlign w:val="center"/>
          </w:tcPr>
          <w:p w14:paraId="32394F2A">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5B9EBC99">
            <w:pPr>
              <w:widowControl/>
              <w:jc w:val="left"/>
              <w:rPr>
                <w:rFonts w:hint="eastAsia" w:ascii="宋体" w:hAnsi="宋体" w:cs="宋体"/>
                <w:color w:val="000000"/>
                <w:kern w:val="0"/>
                <w:szCs w:val="21"/>
              </w:rPr>
            </w:pPr>
            <w:r>
              <w:rPr>
                <w:rFonts w:hint="eastAsia" w:ascii="宋体" w:hAnsi="宋体" w:cs="宋体"/>
                <w:color w:val="000000"/>
                <w:kern w:val="0"/>
                <w:szCs w:val="21"/>
              </w:rPr>
              <w:t>档案数据：将检查没有问题的档案数据进行入库。按照现有不动产登记统一平台和数据库结构，入到不动产登记库中。在不动产登记统一平台中，对入库数据进行查询及数据应用测试。</w:t>
            </w:r>
          </w:p>
        </w:tc>
      </w:tr>
      <w:tr w14:paraId="72C09A6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2BCBDFA2">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8 </w:t>
            </w:r>
          </w:p>
        </w:tc>
        <w:tc>
          <w:tcPr>
            <w:tcW w:w="1463" w:type="pct"/>
            <w:gridSpan w:val="2"/>
            <w:tcBorders>
              <w:top w:val="single" w:color="000000" w:sz="4" w:space="0"/>
              <w:left w:val="single" w:color="000000" w:sz="4" w:space="0"/>
              <w:bottom w:val="single" w:color="000000" w:sz="4" w:space="0"/>
              <w:right w:val="single" w:color="000000" w:sz="4" w:space="0"/>
            </w:tcBorders>
            <w:vAlign w:val="center"/>
          </w:tcPr>
          <w:p w14:paraId="3D05C96E">
            <w:pPr>
              <w:widowControl/>
              <w:jc w:val="center"/>
              <w:rPr>
                <w:rFonts w:hint="eastAsia" w:ascii="宋体" w:hAnsi="宋体" w:cs="宋体"/>
                <w:color w:val="000000"/>
                <w:kern w:val="0"/>
                <w:szCs w:val="21"/>
              </w:rPr>
            </w:pPr>
            <w:r>
              <w:rPr>
                <w:rFonts w:hint="eastAsia" w:ascii="宋体" w:hAnsi="宋体" w:cs="宋体"/>
                <w:color w:val="000000"/>
                <w:kern w:val="0"/>
                <w:szCs w:val="21"/>
              </w:rPr>
              <w:t>实施、部署、培训</w:t>
            </w:r>
          </w:p>
        </w:tc>
        <w:tc>
          <w:tcPr>
            <w:tcW w:w="3259" w:type="pct"/>
            <w:tcBorders>
              <w:top w:val="single" w:color="000000" w:sz="4" w:space="0"/>
              <w:left w:val="single" w:color="000000" w:sz="4" w:space="0"/>
              <w:bottom w:val="single" w:color="000000" w:sz="4" w:space="0"/>
              <w:right w:val="single" w:color="000000" w:sz="4" w:space="0"/>
            </w:tcBorders>
            <w:vAlign w:val="center"/>
          </w:tcPr>
          <w:p w14:paraId="1152A0C8">
            <w:pPr>
              <w:widowControl/>
              <w:jc w:val="left"/>
              <w:rPr>
                <w:rFonts w:hint="eastAsia" w:ascii="宋体" w:hAnsi="宋体" w:cs="宋体"/>
                <w:color w:val="000000"/>
                <w:kern w:val="0"/>
                <w:szCs w:val="21"/>
              </w:rPr>
            </w:pPr>
            <w:r>
              <w:rPr>
                <w:rFonts w:hint="eastAsia" w:ascii="宋体" w:hAnsi="宋体" w:cs="宋体"/>
                <w:color w:val="000000"/>
                <w:kern w:val="0"/>
                <w:szCs w:val="21"/>
              </w:rPr>
              <w:t>以省级统一不动产登记平台和数据库为基础，在符合全省统一不动产数据库标准，业务标准的前提下，部署、完善不动产权籍管理系统、不动产登记系统、不动产日常数据汇交服务，满足地方不动产登记服务及管理的需要。</w:t>
            </w:r>
          </w:p>
          <w:p w14:paraId="29EEC5C4">
            <w:pPr>
              <w:widowControl/>
              <w:jc w:val="left"/>
              <w:rPr>
                <w:rFonts w:hint="eastAsia" w:ascii="宋体" w:hAnsi="宋体" w:cs="宋体"/>
                <w:color w:val="000000"/>
                <w:kern w:val="0"/>
                <w:szCs w:val="21"/>
              </w:rPr>
            </w:pPr>
            <w:r>
              <w:rPr>
                <w:rFonts w:hint="eastAsia" w:ascii="宋体" w:hAnsi="宋体" w:cs="宋体"/>
                <w:color w:val="000000"/>
                <w:kern w:val="0"/>
                <w:szCs w:val="21"/>
              </w:rPr>
              <w:t>1.系统配置</w:t>
            </w:r>
          </w:p>
          <w:p w14:paraId="4825B104">
            <w:pPr>
              <w:widowControl/>
              <w:jc w:val="left"/>
              <w:rPr>
                <w:rFonts w:hint="eastAsia" w:ascii="宋体" w:hAnsi="宋体" w:cs="宋体"/>
                <w:color w:val="000000"/>
                <w:kern w:val="0"/>
                <w:szCs w:val="21"/>
              </w:rPr>
            </w:pPr>
            <w:r>
              <w:rPr>
                <w:rFonts w:hint="eastAsia" w:ascii="宋体" w:hAnsi="宋体" w:cs="宋体"/>
                <w:color w:val="000000"/>
                <w:kern w:val="0"/>
                <w:szCs w:val="21"/>
              </w:rPr>
              <w:t>根据不动产登记中心要求调整相关业务流程环境，根据人员岗位、机构清单、事项清单及承诺办结时间配置系统业务流程，流程参与者配置，用户配置等。</w:t>
            </w:r>
          </w:p>
          <w:p w14:paraId="6904C4DC">
            <w:pPr>
              <w:widowControl/>
              <w:jc w:val="left"/>
              <w:rPr>
                <w:rFonts w:hint="eastAsia" w:ascii="宋体" w:hAnsi="宋体" w:cs="宋体"/>
                <w:color w:val="000000"/>
                <w:kern w:val="0"/>
                <w:szCs w:val="21"/>
              </w:rPr>
            </w:pPr>
            <w:r>
              <w:rPr>
                <w:rFonts w:hint="eastAsia" w:ascii="宋体" w:hAnsi="宋体" w:cs="宋体"/>
                <w:color w:val="000000"/>
                <w:kern w:val="0"/>
                <w:szCs w:val="21"/>
              </w:rPr>
              <w:t>2.服务端实施</w:t>
            </w:r>
          </w:p>
          <w:p w14:paraId="77012707">
            <w:pPr>
              <w:widowControl/>
              <w:jc w:val="left"/>
              <w:rPr>
                <w:rFonts w:hint="eastAsia" w:ascii="宋体" w:hAnsi="宋体" w:cs="宋体"/>
                <w:color w:val="000000"/>
                <w:kern w:val="0"/>
                <w:szCs w:val="21"/>
              </w:rPr>
            </w:pPr>
            <w:r>
              <w:rPr>
                <w:rFonts w:hint="eastAsia" w:ascii="宋体" w:hAnsi="宋体" w:cs="宋体"/>
                <w:color w:val="000000"/>
                <w:kern w:val="0"/>
                <w:szCs w:val="21"/>
              </w:rPr>
              <w:t>对不动产权籍管理系统、不动产登记系统、不动产日常数据汇交服务等实施部署，同时进行备份服务器部署及数据库从库部署。</w:t>
            </w:r>
          </w:p>
          <w:p w14:paraId="02432218">
            <w:pPr>
              <w:widowControl/>
              <w:jc w:val="left"/>
              <w:rPr>
                <w:rFonts w:hint="eastAsia" w:ascii="宋体" w:hAnsi="宋体" w:cs="宋体"/>
                <w:color w:val="000000"/>
                <w:kern w:val="0"/>
                <w:szCs w:val="21"/>
              </w:rPr>
            </w:pPr>
            <w:r>
              <w:rPr>
                <w:rFonts w:hint="eastAsia" w:ascii="宋体" w:hAnsi="宋体" w:cs="宋体"/>
                <w:color w:val="000000"/>
                <w:kern w:val="0"/>
                <w:szCs w:val="21"/>
              </w:rPr>
              <w:t>3.客户端调试</w:t>
            </w:r>
          </w:p>
          <w:p w14:paraId="647FB195">
            <w:pPr>
              <w:widowControl/>
              <w:jc w:val="left"/>
              <w:rPr>
                <w:rFonts w:hint="eastAsia" w:ascii="宋体" w:hAnsi="宋体" w:cs="宋体"/>
                <w:color w:val="000000"/>
                <w:kern w:val="0"/>
                <w:szCs w:val="21"/>
              </w:rPr>
            </w:pPr>
            <w:r>
              <w:rPr>
                <w:rFonts w:hint="eastAsia" w:ascii="宋体" w:hAnsi="宋体" w:cs="宋体"/>
                <w:color w:val="000000"/>
                <w:kern w:val="0"/>
                <w:szCs w:val="21"/>
              </w:rPr>
              <w:t xml:space="preserve">系统部署完成后，安排专业的技术人员到不动产登记中心窗口，进行客户端的调试，主要包含：电脑、打印机、打证机、高拍仪、扫描仪等。 </w:t>
            </w:r>
          </w:p>
          <w:p w14:paraId="11CC8A2F">
            <w:pPr>
              <w:widowControl/>
              <w:jc w:val="left"/>
              <w:rPr>
                <w:rFonts w:hint="eastAsia" w:ascii="宋体" w:hAnsi="宋体" w:cs="宋体"/>
                <w:color w:val="000000"/>
                <w:kern w:val="0"/>
                <w:szCs w:val="21"/>
              </w:rPr>
            </w:pPr>
            <w:r>
              <w:rPr>
                <w:rFonts w:hint="eastAsia" w:ascii="宋体" w:hAnsi="宋体" w:cs="宋体"/>
                <w:color w:val="000000"/>
                <w:kern w:val="0"/>
                <w:szCs w:val="21"/>
              </w:rPr>
              <w:t>4.上线跟踪服务</w:t>
            </w:r>
          </w:p>
          <w:p w14:paraId="220D4945">
            <w:pPr>
              <w:widowControl/>
              <w:jc w:val="left"/>
              <w:rPr>
                <w:rFonts w:hint="eastAsia" w:ascii="宋体" w:hAnsi="宋体" w:cs="宋体"/>
                <w:color w:val="000000"/>
                <w:kern w:val="0"/>
                <w:szCs w:val="21"/>
              </w:rPr>
            </w:pPr>
            <w:r>
              <w:rPr>
                <w:rFonts w:hint="eastAsia" w:ascii="宋体" w:hAnsi="宋体" w:cs="宋体"/>
                <w:color w:val="000000"/>
                <w:kern w:val="0"/>
                <w:szCs w:val="21"/>
              </w:rPr>
              <w:t>安排专业的技术人员提供2～3个月的技术支持保障服务，解决不动产日常登记过程中的问题。主要提供系统配置、客户端调试、上线跟踪服务、培训服务、咨询服务、疑问及问题解决服务、数据共享推送维护服务、数据日常汇交服务等。</w:t>
            </w:r>
          </w:p>
        </w:tc>
      </w:tr>
      <w:tr w14:paraId="378AD293">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35E1EE96">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二、共享对接及优化营商环境建设</w:t>
            </w:r>
          </w:p>
        </w:tc>
      </w:tr>
      <w:tr w14:paraId="6C26716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63BD2253">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tcBorders>
              <w:top w:val="single" w:color="000000" w:sz="4" w:space="0"/>
              <w:left w:val="single" w:color="000000" w:sz="4" w:space="0"/>
              <w:bottom w:val="single" w:color="000000" w:sz="4" w:space="0"/>
              <w:right w:val="single" w:color="000000" w:sz="4" w:space="0"/>
            </w:tcBorders>
            <w:vAlign w:val="center"/>
          </w:tcPr>
          <w:p w14:paraId="69DAAA95">
            <w:pPr>
              <w:widowControl/>
              <w:jc w:val="center"/>
              <w:rPr>
                <w:rFonts w:hint="eastAsia" w:ascii="宋体" w:hAnsi="宋体" w:cs="宋体"/>
                <w:color w:val="000000"/>
                <w:kern w:val="0"/>
                <w:szCs w:val="21"/>
              </w:rPr>
            </w:pPr>
            <w:r>
              <w:rPr>
                <w:rFonts w:hint="eastAsia" w:ascii="宋体" w:hAnsi="宋体" w:cs="宋体"/>
                <w:color w:val="000000"/>
                <w:kern w:val="0"/>
                <w:szCs w:val="21"/>
              </w:rPr>
              <w:t>部省级数据共享对接联调</w:t>
            </w:r>
          </w:p>
        </w:tc>
        <w:tc>
          <w:tcPr>
            <w:tcW w:w="4212" w:type="pct"/>
            <w:gridSpan w:val="2"/>
            <w:tcBorders>
              <w:top w:val="single" w:color="000000" w:sz="4" w:space="0"/>
              <w:left w:val="single" w:color="000000" w:sz="4" w:space="0"/>
              <w:bottom w:val="single" w:color="000000" w:sz="4" w:space="0"/>
              <w:right w:val="single" w:color="000000" w:sz="4" w:space="0"/>
            </w:tcBorders>
            <w:vAlign w:val="center"/>
          </w:tcPr>
          <w:p w14:paraId="16483BAF">
            <w:pPr>
              <w:widowControl/>
              <w:jc w:val="left"/>
              <w:rPr>
                <w:rFonts w:hint="eastAsia" w:ascii="宋体" w:hAnsi="宋体" w:cs="宋体"/>
                <w:color w:val="000000"/>
                <w:kern w:val="0"/>
                <w:szCs w:val="21"/>
              </w:rPr>
            </w:pPr>
            <w:r>
              <w:rPr>
                <w:rFonts w:hint="eastAsia" w:ascii="宋体" w:hAnsi="宋体" w:cs="宋体"/>
                <w:color w:val="000000"/>
                <w:kern w:val="0"/>
                <w:szCs w:val="21"/>
              </w:rPr>
              <w:t>集成数据共享，主要包括与公安、民政、市监局、非税、税务、司法机关等部门的对接及联调测试。深化不动产登记相关数据共享应用，实现不动产登记相关业务的共享查询、共享核验、共享获取、协同办理。</w:t>
            </w:r>
          </w:p>
        </w:tc>
      </w:tr>
      <w:tr w14:paraId="26406BB0">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6BEAE7D">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tcBorders>
              <w:top w:val="single" w:color="000000" w:sz="4" w:space="0"/>
              <w:left w:val="single" w:color="000000" w:sz="4" w:space="0"/>
              <w:bottom w:val="single" w:color="000000" w:sz="4" w:space="0"/>
              <w:right w:val="single" w:color="000000" w:sz="4" w:space="0"/>
            </w:tcBorders>
            <w:vAlign w:val="center"/>
          </w:tcPr>
          <w:p w14:paraId="4C38B67E">
            <w:pPr>
              <w:widowControl/>
              <w:jc w:val="center"/>
              <w:rPr>
                <w:rFonts w:hint="eastAsia" w:ascii="宋体" w:hAnsi="宋体" w:cs="宋体"/>
                <w:color w:val="000000"/>
                <w:kern w:val="0"/>
                <w:szCs w:val="21"/>
              </w:rPr>
            </w:pPr>
            <w:r>
              <w:rPr>
                <w:rFonts w:hint="eastAsia" w:ascii="宋体" w:hAnsi="宋体" w:cs="宋体"/>
                <w:color w:val="000000"/>
                <w:kern w:val="0"/>
                <w:szCs w:val="21"/>
              </w:rPr>
              <w:t>省级系统对接联调</w:t>
            </w:r>
          </w:p>
        </w:tc>
        <w:tc>
          <w:tcPr>
            <w:tcW w:w="4212" w:type="pct"/>
            <w:gridSpan w:val="2"/>
            <w:tcBorders>
              <w:top w:val="single" w:color="000000" w:sz="4" w:space="0"/>
              <w:left w:val="single" w:color="000000" w:sz="4" w:space="0"/>
              <w:bottom w:val="single" w:color="000000" w:sz="4" w:space="0"/>
              <w:right w:val="single" w:color="000000" w:sz="4" w:space="0"/>
            </w:tcBorders>
            <w:vAlign w:val="center"/>
          </w:tcPr>
          <w:p w14:paraId="2F09CE69">
            <w:pPr>
              <w:widowControl/>
              <w:jc w:val="left"/>
              <w:rPr>
                <w:rFonts w:hint="eastAsia" w:ascii="宋体" w:hAnsi="宋体" w:cs="宋体"/>
                <w:color w:val="000000"/>
                <w:kern w:val="0"/>
                <w:szCs w:val="21"/>
              </w:rPr>
            </w:pPr>
            <w:r>
              <w:rPr>
                <w:rFonts w:hint="eastAsia" w:ascii="宋体" w:hAnsi="宋体" w:cs="宋体"/>
                <w:color w:val="000000"/>
                <w:kern w:val="0"/>
                <w:szCs w:val="21"/>
              </w:rPr>
              <w:t>实现不动产登记系统与湖南省不动产电子证照系统、湖南省不动产微信公众号、湖南省不动产支付宝小程序、湖南省不动产网站、湖南省不动产登记“一窗办事”平台等的对接及联调测试，全面提升不动产便民服务水平。</w:t>
            </w:r>
          </w:p>
        </w:tc>
      </w:tr>
      <w:tr w14:paraId="1031727E">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noWrap/>
            <w:vAlign w:val="center"/>
          </w:tcPr>
          <w:p w14:paraId="1F1A2CF2">
            <w:pPr>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4A3B0752">
            <w:pPr>
              <w:widowControl/>
              <w:jc w:val="center"/>
              <w:rPr>
                <w:rFonts w:hint="eastAsia" w:ascii="宋体" w:hAnsi="宋体" w:cs="宋体"/>
                <w:color w:val="000000"/>
                <w:kern w:val="0"/>
                <w:szCs w:val="21"/>
              </w:rPr>
            </w:pPr>
            <w:r>
              <w:rPr>
                <w:rFonts w:hint="eastAsia" w:ascii="宋体" w:hAnsi="宋体" w:cs="宋体"/>
                <w:color w:val="000000"/>
                <w:kern w:val="0"/>
                <w:szCs w:val="21"/>
              </w:rPr>
              <w:t>优化营商环境建设</w:t>
            </w:r>
          </w:p>
        </w:tc>
        <w:tc>
          <w:tcPr>
            <w:tcW w:w="953" w:type="pct"/>
            <w:tcBorders>
              <w:top w:val="single" w:color="000000" w:sz="4" w:space="0"/>
              <w:left w:val="single" w:color="000000" w:sz="4" w:space="0"/>
              <w:bottom w:val="single" w:color="000000" w:sz="4" w:space="0"/>
              <w:right w:val="single" w:color="000000" w:sz="4" w:space="0"/>
            </w:tcBorders>
            <w:vAlign w:val="center"/>
          </w:tcPr>
          <w:p w14:paraId="5594B299">
            <w:pPr>
              <w:widowControl/>
              <w:jc w:val="center"/>
              <w:rPr>
                <w:rFonts w:hint="eastAsia" w:ascii="宋体" w:hAnsi="宋体" w:cs="宋体"/>
                <w:color w:val="000000"/>
                <w:kern w:val="0"/>
                <w:szCs w:val="21"/>
              </w:rPr>
            </w:pPr>
            <w:r>
              <w:rPr>
                <w:rFonts w:hint="eastAsia" w:ascii="宋体" w:hAnsi="宋体" w:cs="宋体"/>
                <w:color w:val="000000"/>
                <w:kern w:val="0"/>
                <w:szCs w:val="21"/>
              </w:rPr>
              <w:t>自助查询设备对接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4494814E">
            <w:pPr>
              <w:widowControl/>
              <w:jc w:val="left"/>
              <w:rPr>
                <w:rFonts w:hint="eastAsia" w:ascii="宋体" w:hAnsi="宋体" w:cs="宋体"/>
                <w:color w:val="000000"/>
                <w:kern w:val="0"/>
                <w:szCs w:val="21"/>
              </w:rPr>
            </w:pPr>
            <w:r>
              <w:rPr>
                <w:rFonts w:hint="eastAsia" w:ascii="宋体" w:hAnsi="宋体" w:cs="宋体"/>
                <w:color w:val="000000"/>
                <w:kern w:val="0"/>
                <w:szCs w:val="21"/>
              </w:rPr>
              <w:t>根据采购的自助查询设备，提供所需要的有无房证明查询服务或其他查询服务。</w:t>
            </w:r>
          </w:p>
        </w:tc>
      </w:tr>
      <w:tr w14:paraId="64C7DC68">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5402077E">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CE63DB2">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57D9B618">
            <w:pPr>
              <w:widowControl/>
              <w:jc w:val="center"/>
              <w:rPr>
                <w:rFonts w:hint="eastAsia" w:ascii="宋体" w:hAnsi="宋体" w:cs="宋体"/>
                <w:color w:val="000000"/>
                <w:kern w:val="0"/>
                <w:szCs w:val="21"/>
              </w:rPr>
            </w:pPr>
            <w:r>
              <w:rPr>
                <w:rFonts w:hint="eastAsia" w:ascii="宋体" w:hAnsi="宋体" w:cs="宋体"/>
                <w:color w:val="000000"/>
                <w:kern w:val="0"/>
                <w:szCs w:val="21"/>
              </w:rPr>
              <w:t>住建部门</w:t>
            </w:r>
          </w:p>
        </w:tc>
        <w:tc>
          <w:tcPr>
            <w:tcW w:w="3259" w:type="pct"/>
            <w:tcBorders>
              <w:top w:val="single" w:color="000000" w:sz="4" w:space="0"/>
              <w:left w:val="single" w:color="000000" w:sz="4" w:space="0"/>
              <w:bottom w:val="single" w:color="000000" w:sz="4" w:space="0"/>
              <w:right w:val="single" w:color="000000" w:sz="4" w:space="0"/>
            </w:tcBorders>
            <w:vAlign w:val="center"/>
          </w:tcPr>
          <w:p w14:paraId="562BAE3A">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利用区块链实现不动产登记系统与住建部门数据共享。</w:t>
            </w:r>
          </w:p>
        </w:tc>
      </w:tr>
      <w:tr w14:paraId="6DECAA5F">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625F6CDA">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1DFD6B1">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033C0292">
            <w:pPr>
              <w:widowControl/>
              <w:jc w:val="center"/>
              <w:rPr>
                <w:rFonts w:hint="eastAsia" w:ascii="宋体" w:hAnsi="宋体" w:cs="宋体"/>
                <w:color w:val="000000"/>
                <w:kern w:val="0"/>
                <w:szCs w:val="21"/>
              </w:rPr>
            </w:pPr>
            <w:r>
              <w:rPr>
                <w:rFonts w:hint="eastAsia" w:ascii="宋体" w:hAnsi="宋体" w:cs="宋体"/>
                <w:color w:val="000000"/>
                <w:kern w:val="0"/>
                <w:szCs w:val="21"/>
              </w:rPr>
              <w:t>水、电、气部门</w:t>
            </w:r>
          </w:p>
        </w:tc>
        <w:tc>
          <w:tcPr>
            <w:tcW w:w="3259" w:type="pct"/>
            <w:tcBorders>
              <w:top w:val="single" w:color="000000" w:sz="4" w:space="0"/>
              <w:left w:val="single" w:color="000000" w:sz="4" w:space="0"/>
              <w:bottom w:val="single" w:color="000000" w:sz="4" w:space="0"/>
              <w:right w:val="single" w:color="000000" w:sz="4" w:space="0"/>
            </w:tcBorders>
            <w:vAlign w:val="center"/>
          </w:tcPr>
          <w:p w14:paraId="303B4C58">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利用区块链实现不动产登记系统与水电气部门数据共享。</w:t>
            </w:r>
          </w:p>
        </w:tc>
      </w:tr>
      <w:tr w14:paraId="0ACD2E94">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2B50F1FA">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B5FDA36">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07433405">
            <w:pPr>
              <w:widowControl/>
              <w:jc w:val="center"/>
              <w:rPr>
                <w:rFonts w:hint="eastAsia" w:ascii="宋体" w:hAnsi="宋体" w:cs="宋体"/>
                <w:color w:val="000000"/>
                <w:kern w:val="0"/>
                <w:szCs w:val="21"/>
              </w:rPr>
            </w:pPr>
            <w:r>
              <w:rPr>
                <w:rFonts w:hint="eastAsia" w:ascii="宋体" w:hAnsi="宋体" w:cs="宋体"/>
                <w:color w:val="000000"/>
                <w:kern w:val="0"/>
                <w:szCs w:val="21"/>
              </w:rPr>
              <w:t>行政审批服务中心</w:t>
            </w:r>
          </w:p>
        </w:tc>
        <w:tc>
          <w:tcPr>
            <w:tcW w:w="3259" w:type="pct"/>
            <w:tcBorders>
              <w:top w:val="single" w:color="000000" w:sz="4" w:space="0"/>
              <w:left w:val="single" w:color="000000" w:sz="4" w:space="0"/>
              <w:bottom w:val="single" w:color="000000" w:sz="4" w:space="0"/>
              <w:right w:val="single" w:color="000000" w:sz="4" w:space="0"/>
            </w:tcBorders>
            <w:vAlign w:val="center"/>
          </w:tcPr>
          <w:p w14:paraId="382F5498">
            <w:pPr>
              <w:widowControl/>
              <w:jc w:val="left"/>
              <w:rPr>
                <w:rFonts w:hint="eastAsia" w:ascii="宋体" w:hAnsi="宋体" w:cs="宋体"/>
                <w:color w:val="000000"/>
                <w:kern w:val="0"/>
                <w:szCs w:val="21"/>
              </w:rPr>
            </w:pPr>
            <w:r>
              <w:rPr>
                <w:rFonts w:hint="eastAsia" w:ascii="宋体" w:hAnsi="宋体" w:cs="宋体"/>
                <w:color w:val="000000"/>
                <w:kern w:val="0"/>
                <w:szCs w:val="21"/>
              </w:rPr>
              <w:t>实现不动产登记系统与行政审批服务局数据共享。</w:t>
            </w:r>
          </w:p>
        </w:tc>
      </w:tr>
      <w:tr w14:paraId="6E6E58E1">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7C8091B1">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B6240C3">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335B76A5">
            <w:pPr>
              <w:widowControl/>
              <w:jc w:val="center"/>
              <w:rPr>
                <w:rFonts w:hint="eastAsia" w:ascii="宋体" w:hAnsi="宋体" w:cs="宋体"/>
                <w:color w:val="000000"/>
                <w:kern w:val="0"/>
                <w:szCs w:val="21"/>
              </w:rPr>
            </w:pPr>
            <w:r>
              <w:rPr>
                <w:rFonts w:hint="eastAsia" w:ascii="宋体" w:hAnsi="宋体" w:cs="宋体"/>
                <w:color w:val="000000"/>
                <w:kern w:val="0"/>
                <w:szCs w:val="21"/>
              </w:rPr>
              <w:t>与自然资源部门对接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56E370E1">
            <w:pPr>
              <w:widowControl/>
              <w:jc w:val="left"/>
              <w:rPr>
                <w:rFonts w:hint="eastAsia" w:ascii="宋体" w:hAnsi="宋体" w:cs="宋体"/>
                <w:color w:val="000000"/>
                <w:kern w:val="0"/>
                <w:szCs w:val="21"/>
              </w:rPr>
            </w:pPr>
            <w:r>
              <w:rPr>
                <w:rFonts w:hint="eastAsia" w:ascii="宋体" w:hAnsi="宋体" w:cs="宋体"/>
                <w:color w:val="000000"/>
                <w:kern w:val="0"/>
                <w:szCs w:val="21"/>
              </w:rPr>
              <w:t>对接自然资源部门政务平台，实现供地与土地首次登记的一体化办理。</w:t>
            </w:r>
          </w:p>
        </w:tc>
      </w:tr>
      <w:tr w14:paraId="2FB6F321">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1A549438">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9C6F226">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2044726D">
            <w:pPr>
              <w:widowControl/>
              <w:jc w:val="center"/>
              <w:rPr>
                <w:rFonts w:hint="eastAsia" w:ascii="宋体" w:hAnsi="宋体" w:cs="宋体"/>
                <w:color w:val="000000"/>
                <w:kern w:val="0"/>
                <w:szCs w:val="21"/>
              </w:rPr>
            </w:pPr>
            <w:r>
              <w:rPr>
                <w:rFonts w:hint="eastAsia" w:ascii="宋体" w:hAnsi="宋体" w:cs="宋体"/>
                <w:color w:val="000000"/>
                <w:kern w:val="0"/>
                <w:szCs w:val="21"/>
              </w:rPr>
              <w:t>法院对接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7CE6722C">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利用区块链实现不动产登记系统与法院数据共享及业务协同。</w:t>
            </w:r>
          </w:p>
        </w:tc>
      </w:tr>
      <w:tr w14:paraId="50FB61FC">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1899F742">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5AF5047">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11A7A191">
            <w:pPr>
              <w:widowControl/>
              <w:jc w:val="center"/>
              <w:rPr>
                <w:rFonts w:hint="eastAsia" w:ascii="宋体" w:hAnsi="宋体" w:cs="宋体"/>
                <w:color w:val="000000"/>
                <w:kern w:val="0"/>
                <w:szCs w:val="21"/>
              </w:rPr>
            </w:pPr>
            <w:r>
              <w:rPr>
                <w:rFonts w:hint="eastAsia" w:ascii="宋体" w:hAnsi="宋体" w:cs="宋体"/>
                <w:color w:val="000000"/>
                <w:kern w:val="0"/>
                <w:szCs w:val="21"/>
              </w:rPr>
              <w:t>税务对接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66EDEF1F">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利用区块链实现不动产登记系统与税务业务协同。</w:t>
            </w:r>
          </w:p>
        </w:tc>
      </w:tr>
      <w:tr w14:paraId="42AD773E">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56EAE5B3">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0C7AE61D">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61DA9118">
            <w:pPr>
              <w:widowControl/>
              <w:jc w:val="center"/>
              <w:rPr>
                <w:rFonts w:hint="eastAsia" w:ascii="宋体" w:hAnsi="宋体" w:cs="宋体"/>
                <w:color w:val="000000"/>
                <w:kern w:val="0"/>
                <w:szCs w:val="21"/>
              </w:rPr>
            </w:pPr>
            <w:r>
              <w:rPr>
                <w:rFonts w:hint="eastAsia" w:ascii="宋体" w:hAnsi="宋体" w:cs="宋体"/>
                <w:color w:val="000000"/>
                <w:kern w:val="0"/>
                <w:szCs w:val="21"/>
              </w:rPr>
              <w:t>公积金对接</w:t>
            </w:r>
          </w:p>
        </w:tc>
        <w:tc>
          <w:tcPr>
            <w:tcW w:w="3259" w:type="pct"/>
            <w:tcBorders>
              <w:top w:val="single" w:color="000000" w:sz="4" w:space="0"/>
              <w:left w:val="single" w:color="000000" w:sz="4" w:space="0"/>
              <w:bottom w:val="single" w:color="000000" w:sz="4" w:space="0"/>
              <w:right w:val="single" w:color="000000" w:sz="4" w:space="0"/>
            </w:tcBorders>
            <w:vAlign w:val="center"/>
          </w:tcPr>
          <w:p w14:paraId="18FD2627">
            <w:pPr>
              <w:widowControl/>
              <w:jc w:val="left"/>
              <w:rPr>
                <w:rFonts w:hint="eastAsia" w:ascii="宋体" w:hAnsi="宋体" w:cs="宋体"/>
                <w:color w:val="000000"/>
                <w:kern w:val="0"/>
                <w:szCs w:val="21"/>
              </w:rPr>
            </w:pPr>
            <w:r>
              <w:rPr>
                <w:rFonts w:hint="eastAsia" w:ascii="宋体" w:hAnsi="宋体" w:cs="宋体"/>
                <w:color w:val="000000"/>
                <w:kern w:val="0"/>
                <w:szCs w:val="21"/>
              </w:rPr>
              <w:t>利用区块链实现不动产登记系统与公积金数据共享。</w:t>
            </w:r>
          </w:p>
        </w:tc>
      </w:tr>
      <w:tr w14:paraId="0838303D">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4757A3EA">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三、安全增强平台建设</w:t>
            </w:r>
          </w:p>
        </w:tc>
      </w:tr>
      <w:tr w14:paraId="07A81EB3">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6E9F3AAC">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6D9AC042">
            <w:pPr>
              <w:widowControl/>
              <w:jc w:val="center"/>
              <w:rPr>
                <w:rFonts w:hint="eastAsia" w:ascii="宋体" w:hAnsi="宋体" w:cs="宋体"/>
                <w:color w:val="000000"/>
                <w:kern w:val="0"/>
                <w:szCs w:val="21"/>
              </w:rPr>
            </w:pPr>
            <w:r>
              <w:rPr>
                <w:rFonts w:hint="eastAsia" w:ascii="宋体" w:hAnsi="宋体" w:cs="宋体"/>
                <w:color w:val="000000"/>
                <w:kern w:val="0"/>
                <w:szCs w:val="21"/>
              </w:rPr>
              <w:t>安全增强平台建设</w:t>
            </w:r>
          </w:p>
        </w:tc>
        <w:tc>
          <w:tcPr>
            <w:tcW w:w="953" w:type="pct"/>
            <w:tcBorders>
              <w:top w:val="single" w:color="000000" w:sz="4" w:space="0"/>
              <w:left w:val="single" w:color="000000" w:sz="4" w:space="0"/>
              <w:bottom w:val="single" w:color="000000" w:sz="4" w:space="0"/>
              <w:right w:val="single" w:color="000000" w:sz="4" w:space="0"/>
            </w:tcBorders>
            <w:vAlign w:val="center"/>
          </w:tcPr>
          <w:p w14:paraId="64CE93D8">
            <w:pPr>
              <w:widowControl/>
              <w:jc w:val="center"/>
              <w:rPr>
                <w:rFonts w:hint="eastAsia" w:ascii="宋体" w:hAnsi="宋体" w:cs="宋体"/>
                <w:color w:val="000000"/>
                <w:kern w:val="0"/>
                <w:szCs w:val="21"/>
              </w:rPr>
            </w:pPr>
            <w:r>
              <w:rPr>
                <w:rFonts w:hint="eastAsia" w:ascii="宋体" w:hAnsi="宋体" w:cs="宋体"/>
                <w:color w:val="000000"/>
                <w:kern w:val="0"/>
                <w:szCs w:val="21"/>
              </w:rPr>
              <w:t>信源加密</w:t>
            </w:r>
          </w:p>
        </w:tc>
        <w:tc>
          <w:tcPr>
            <w:tcW w:w="3259" w:type="pct"/>
            <w:tcBorders>
              <w:top w:val="single" w:color="000000" w:sz="4" w:space="0"/>
              <w:left w:val="single" w:color="000000" w:sz="4" w:space="0"/>
              <w:bottom w:val="single" w:color="000000" w:sz="4" w:space="0"/>
              <w:right w:val="single" w:color="000000" w:sz="4" w:space="0"/>
            </w:tcBorders>
            <w:vAlign w:val="center"/>
          </w:tcPr>
          <w:p w14:paraId="640AA6A6">
            <w:pPr>
              <w:widowControl/>
              <w:jc w:val="left"/>
              <w:rPr>
                <w:rFonts w:hint="eastAsia" w:ascii="宋体" w:hAnsi="宋体" w:cs="宋体"/>
                <w:b/>
                <w:bCs/>
                <w:color w:val="000000"/>
                <w:kern w:val="0"/>
                <w:szCs w:val="21"/>
              </w:rPr>
            </w:pPr>
            <w:r>
              <w:rPr>
                <w:rFonts w:ascii="宋体" w:hAnsi="宋体" w:cs="宋体"/>
                <w:color w:val="000000"/>
                <w:kern w:val="0"/>
                <w:szCs w:val="21"/>
              </w:rPr>
              <w:t>保障业务电脑、客户端、查询机、自助设备、面签设备的数据信源加密安全，同时提供CA身份认证、电子签章服务。</w:t>
            </w:r>
          </w:p>
        </w:tc>
      </w:tr>
      <w:tr w14:paraId="68495618">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57AE7E2F">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C2BC403">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160B995C">
            <w:pPr>
              <w:widowControl/>
              <w:jc w:val="center"/>
              <w:rPr>
                <w:rFonts w:hint="eastAsia" w:ascii="宋体" w:hAnsi="宋体" w:cs="宋体"/>
                <w:color w:val="000000"/>
                <w:kern w:val="0"/>
                <w:szCs w:val="21"/>
              </w:rPr>
            </w:pPr>
            <w:r>
              <w:rPr>
                <w:rFonts w:hint="eastAsia" w:ascii="宋体" w:hAnsi="宋体" w:cs="宋体"/>
                <w:color w:val="000000"/>
                <w:kern w:val="0"/>
                <w:szCs w:val="21"/>
              </w:rPr>
              <w:t>信道加密</w:t>
            </w:r>
          </w:p>
        </w:tc>
        <w:tc>
          <w:tcPr>
            <w:tcW w:w="3259" w:type="pct"/>
            <w:tcBorders>
              <w:top w:val="single" w:color="000000" w:sz="4" w:space="0"/>
              <w:left w:val="single" w:color="000000" w:sz="4" w:space="0"/>
              <w:bottom w:val="single" w:color="000000" w:sz="4" w:space="0"/>
              <w:right w:val="single" w:color="000000" w:sz="4" w:space="0"/>
            </w:tcBorders>
            <w:vAlign w:val="center"/>
          </w:tcPr>
          <w:p w14:paraId="560711F9">
            <w:pPr>
              <w:widowControl/>
              <w:jc w:val="left"/>
              <w:rPr>
                <w:rFonts w:hint="eastAsia" w:ascii="宋体" w:hAnsi="宋体" w:cs="宋体"/>
                <w:b/>
                <w:bCs/>
                <w:color w:val="000000"/>
                <w:kern w:val="0"/>
                <w:szCs w:val="21"/>
              </w:rPr>
            </w:pPr>
            <w:r>
              <w:rPr>
                <w:rFonts w:hint="eastAsia" w:ascii="宋体" w:hAnsi="宋体" w:cs="宋体"/>
                <w:color w:val="000000"/>
                <w:kern w:val="0"/>
                <w:szCs w:val="21"/>
              </w:rPr>
              <w:t>链路安全加密终端（千兆）：</w:t>
            </w:r>
            <w:r>
              <w:rPr>
                <w:rFonts w:ascii="宋体" w:hAnsi="宋体" w:cs="宋体"/>
                <w:color w:val="000000"/>
                <w:kern w:val="0"/>
                <w:szCs w:val="21"/>
              </w:rPr>
              <w:t>部署在不动产网络边界，链路安全加密机从安全增强平台获取密钥对市县的不动产业务数据传输提供安全通道服务，保障省、市、县三级不动产登记系统数据传输安全。</w:t>
            </w:r>
          </w:p>
        </w:tc>
      </w:tr>
      <w:tr w14:paraId="60A167EF">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vAlign w:val="center"/>
          </w:tcPr>
          <w:p w14:paraId="6078D259">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3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62A954C">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7AAE4CD6">
            <w:pPr>
              <w:widowControl/>
              <w:jc w:val="center"/>
              <w:rPr>
                <w:rFonts w:hint="eastAsia" w:ascii="宋体" w:hAnsi="宋体" w:cs="宋体"/>
                <w:color w:val="000000"/>
                <w:kern w:val="0"/>
                <w:szCs w:val="21"/>
              </w:rPr>
            </w:pPr>
            <w:r>
              <w:rPr>
                <w:rFonts w:hint="eastAsia" w:ascii="宋体" w:hAnsi="宋体" w:cs="宋体"/>
                <w:color w:val="000000"/>
                <w:kern w:val="0"/>
                <w:szCs w:val="21"/>
              </w:rPr>
              <w:t>系统集成服务</w:t>
            </w:r>
          </w:p>
        </w:tc>
        <w:tc>
          <w:tcPr>
            <w:tcW w:w="3259" w:type="pct"/>
            <w:tcBorders>
              <w:top w:val="single" w:color="000000" w:sz="4" w:space="0"/>
              <w:left w:val="single" w:color="000000" w:sz="4" w:space="0"/>
              <w:bottom w:val="single" w:color="000000" w:sz="4" w:space="0"/>
              <w:right w:val="single" w:color="000000" w:sz="4" w:space="0"/>
            </w:tcBorders>
            <w:vAlign w:val="center"/>
          </w:tcPr>
          <w:p w14:paraId="0BC6B1D8">
            <w:pPr>
              <w:widowControl/>
              <w:jc w:val="left"/>
              <w:rPr>
                <w:rFonts w:hint="eastAsia" w:ascii="宋体" w:hAnsi="宋体" w:cs="宋体"/>
                <w:color w:val="000000"/>
                <w:kern w:val="0"/>
                <w:szCs w:val="21"/>
              </w:rPr>
            </w:pPr>
            <w:r>
              <w:rPr>
                <w:rFonts w:hint="eastAsia" w:ascii="宋体" w:hAnsi="宋体" w:cs="宋体"/>
                <w:color w:val="000000"/>
                <w:kern w:val="0"/>
                <w:szCs w:val="21"/>
              </w:rPr>
              <w:t>1、负责前期客户网络状况的搜集，依据客户网络现状确定设备部署方案；</w:t>
            </w:r>
            <w:r>
              <w:rPr>
                <w:rFonts w:hint="eastAsia" w:ascii="宋体" w:hAnsi="宋体" w:cs="宋体"/>
                <w:color w:val="000000"/>
                <w:kern w:val="0"/>
                <w:szCs w:val="21"/>
              </w:rPr>
              <w:br w:type="textWrapping"/>
            </w:r>
            <w:r>
              <w:rPr>
                <w:rFonts w:hint="eastAsia" w:ascii="宋体" w:hAnsi="宋体" w:cs="宋体"/>
                <w:color w:val="000000"/>
                <w:kern w:val="0"/>
                <w:szCs w:val="21"/>
              </w:rPr>
              <w:t>2、负责设备的安装、客户端的安装、人员的培训；</w:t>
            </w:r>
            <w:r>
              <w:rPr>
                <w:rFonts w:hint="eastAsia" w:ascii="宋体" w:hAnsi="宋体" w:cs="宋体"/>
                <w:color w:val="000000"/>
                <w:kern w:val="0"/>
                <w:szCs w:val="21"/>
              </w:rPr>
              <w:br w:type="textWrapping"/>
            </w:r>
            <w:r>
              <w:rPr>
                <w:rFonts w:hint="eastAsia" w:ascii="宋体" w:hAnsi="宋体" w:cs="宋体"/>
                <w:color w:val="000000"/>
                <w:kern w:val="0"/>
                <w:szCs w:val="21"/>
              </w:rPr>
              <w:t>3、提供设备部署所需的耗材，如网线、光模块等。</w:t>
            </w:r>
          </w:p>
        </w:tc>
      </w:tr>
      <w:tr w14:paraId="13EB248D">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70BCBEA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四、林权历史数据整合</w:t>
            </w:r>
          </w:p>
        </w:tc>
      </w:tr>
      <w:tr w14:paraId="2ED81142">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EE5EFE4">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1 </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1630E049">
            <w:pPr>
              <w:widowControl/>
              <w:jc w:val="center"/>
              <w:rPr>
                <w:rFonts w:hint="eastAsia" w:ascii="宋体" w:hAnsi="宋体" w:cs="宋体"/>
                <w:color w:val="000000"/>
                <w:kern w:val="0"/>
                <w:szCs w:val="21"/>
              </w:rPr>
            </w:pPr>
            <w:r>
              <w:rPr>
                <w:rFonts w:hint="eastAsia" w:ascii="宋体" w:hAnsi="宋体" w:cs="宋体"/>
                <w:color w:val="000000"/>
                <w:kern w:val="0"/>
                <w:szCs w:val="21"/>
              </w:rPr>
              <w:t>林权历史数据整合</w:t>
            </w: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6C191DEB">
            <w:pPr>
              <w:widowControl/>
              <w:jc w:val="center"/>
              <w:rPr>
                <w:rFonts w:hint="eastAsia" w:ascii="宋体" w:hAnsi="宋体" w:cs="宋体"/>
                <w:color w:val="000000"/>
                <w:kern w:val="0"/>
                <w:szCs w:val="21"/>
              </w:rPr>
            </w:pPr>
            <w:r>
              <w:rPr>
                <w:rFonts w:hint="eastAsia" w:ascii="宋体" w:hAnsi="宋体" w:cs="宋体"/>
                <w:color w:val="000000"/>
                <w:kern w:val="0"/>
                <w:szCs w:val="21"/>
              </w:rPr>
              <w:t>数据收集</w:t>
            </w:r>
          </w:p>
        </w:tc>
        <w:tc>
          <w:tcPr>
            <w:tcW w:w="3259" w:type="pct"/>
            <w:tcBorders>
              <w:top w:val="single" w:color="000000" w:sz="4" w:space="0"/>
              <w:left w:val="single" w:color="000000" w:sz="4" w:space="0"/>
              <w:bottom w:val="single" w:color="000000" w:sz="4" w:space="0"/>
              <w:right w:val="single" w:color="000000" w:sz="4" w:space="0"/>
            </w:tcBorders>
            <w:vAlign w:val="center"/>
          </w:tcPr>
          <w:p w14:paraId="1A9DB290">
            <w:pPr>
              <w:widowControl/>
              <w:jc w:val="left"/>
              <w:rPr>
                <w:rFonts w:hint="eastAsia" w:ascii="宋体" w:hAnsi="宋体" w:cs="宋体"/>
                <w:color w:val="000000"/>
                <w:kern w:val="0"/>
                <w:szCs w:val="21"/>
              </w:rPr>
            </w:pPr>
            <w:r>
              <w:rPr>
                <w:rFonts w:hint="eastAsia" w:ascii="宋体" w:hAnsi="宋体" w:cs="宋体"/>
                <w:color w:val="000000"/>
                <w:kern w:val="0"/>
                <w:szCs w:val="21"/>
              </w:rPr>
              <w:t>收集林权登记档案数据、林权登记成果、林权小班数据，林权小班总图，三调数据成果，不动产登记数据成果。</w:t>
            </w:r>
          </w:p>
        </w:tc>
      </w:tr>
      <w:tr w14:paraId="39E8E9B8">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21AEDBD">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E1F408E">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1FFC59B6">
            <w:pPr>
              <w:widowControl/>
              <w:jc w:val="center"/>
              <w:rPr>
                <w:rFonts w:hint="eastAsia" w:ascii="宋体" w:hAnsi="宋体" w:cs="宋体"/>
                <w:color w:val="000000"/>
                <w:kern w:val="0"/>
                <w:szCs w:val="21"/>
              </w:rPr>
            </w:pPr>
            <w:r>
              <w:rPr>
                <w:rFonts w:hint="eastAsia" w:ascii="宋体" w:hAnsi="宋体" w:cs="宋体"/>
                <w:color w:val="000000"/>
                <w:kern w:val="0"/>
                <w:szCs w:val="21"/>
              </w:rPr>
              <w:t>林权小班数据</w:t>
            </w:r>
          </w:p>
        </w:tc>
        <w:tc>
          <w:tcPr>
            <w:tcW w:w="3259" w:type="pct"/>
            <w:tcBorders>
              <w:top w:val="single" w:color="000000" w:sz="4" w:space="0"/>
              <w:left w:val="single" w:color="000000" w:sz="4" w:space="0"/>
              <w:bottom w:val="single" w:color="000000" w:sz="4" w:space="0"/>
              <w:right w:val="single" w:color="000000" w:sz="4" w:space="0"/>
            </w:tcBorders>
            <w:vAlign w:val="center"/>
          </w:tcPr>
          <w:p w14:paraId="2F0A5197">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林权小班数据转换：</w:t>
            </w:r>
            <w:r>
              <w:rPr>
                <w:rFonts w:hint="eastAsia" w:ascii="宋体" w:hAnsi="宋体" w:cs="宋体"/>
                <w:color w:val="000000"/>
                <w:kern w:val="0"/>
                <w:szCs w:val="21"/>
              </w:rPr>
              <w:br w:type="textWrapping"/>
            </w:r>
            <w:r>
              <w:rPr>
                <w:rFonts w:ascii="宋体" w:hAnsi="宋体" w:cs="宋体"/>
                <w:color w:val="000000"/>
                <w:kern w:val="0"/>
                <w:szCs w:val="21"/>
              </w:rPr>
              <w:t>1、数据提取与转换：提取原林权发证的小班图形数据，通过格式转换、坐标转换、属性结构转换以及数据字典对照转换等工作，将原电子数据转换为符合不动产数据库标准的宗地成果。（对因原数据存在的碎面、权属重叠等不满足不动产编码条件的图形进行标记，并输出问题台账）</w:t>
            </w:r>
            <w:r>
              <w:rPr>
                <w:rFonts w:hint="eastAsia" w:ascii="宋体" w:hAnsi="宋体" w:cs="宋体"/>
                <w:color w:val="000000"/>
                <w:kern w:val="0"/>
                <w:szCs w:val="21"/>
              </w:rPr>
              <w:br w:type="textWrapping"/>
            </w:r>
            <w:r>
              <w:rPr>
                <w:rFonts w:ascii="宋体" w:hAnsi="宋体" w:cs="宋体"/>
                <w:color w:val="000000"/>
                <w:kern w:val="0"/>
                <w:szCs w:val="21"/>
              </w:rPr>
              <w:t>2、不动产单元号预编：对原林业部门的林权矢量成果数据进行不动产单元号的预编工作，确保数据与不动产登记系统的兼容性。</w:t>
            </w:r>
            <w:r>
              <w:rPr>
                <w:rFonts w:hint="eastAsia" w:ascii="宋体" w:hAnsi="宋体" w:cs="宋体"/>
                <w:color w:val="000000"/>
                <w:kern w:val="0"/>
                <w:szCs w:val="21"/>
              </w:rPr>
              <w:br w:type="textWrapping"/>
            </w:r>
            <w:r>
              <w:rPr>
                <w:rFonts w:ascii="宋体" w:hAnsi="宋体" w:cs="宋体"/>
                <w:color w:val="000000"/>
                <w:kern w:val="0"/>
                <w:szCs w:val="21"/>
              </w:rPr>
              <w:t>3、空间拓扑检查与问题梳理：对林权小班数据进行空间拓扑检查，针对发现的拓扑问题不做直接处理，仅提供详细的问题列表，便于后续针对性整改。</w:t>
            </w:r>
            <w:r>
              <w:rPr>
                <w:rFonts w:hint="eastAsia" w:ascii="宋体" w:hAnsi="宋体" w:cs="宋体"/>
                <w:color w:val="000000"/>
                <w:kern w:val="0"/>
                <w:szCs w:val="21"/>
              </w:rPr>
              <w:br w:type="textWrapping"/>
            </w:r>
            <w:r>
              <w:rPr>
                <w:rFonts w:ascii="宋体" w:hAnsi="宋体" w:cs="宋体"/>
                <w:color w:val="000000"/>
                <w:kern w:val="0"/>
                <w:szCs w:val="21"/>
              </w:rPr>
              <w:t>4、图形属性数据检查与问题标记：检查小班图形属性，依据关联上的登记发证属性进行填充完善，对于关联不上或通过已有登记数据无法补充的，仅进行问题标记处理，出具问题数据分类台账，为后续处理提供依据。</w:t>
            </w:r>
          </w:p>
        </w:tc>
      </w:tr>
      <w:tr w14:paraId="53E63B44">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75B05D8">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3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9FC0CAE">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57F478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4EE8CBFB">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小班数据问题梳理：</w:t>
            </w:r>
            <w:r>
              <w:rPr>
                <w:rFonts w:hint="eastAsia" w:ascii="宋体" w:hAnsi="宋体" w:cs="宋体"/>
                <w:color w:val="000000"/>
                <w:kern w:val="0"/>
                <w:szCs w:val="21"/>
              </w:rPr>
              <w:br w:type="textWrapping"/>
            </w:r>
            <w:r>
              <w:rPr>
                <w:rFonts w:ascii="宋体" w:hAnsi="宋体" w:cs="宋体"/>
                <w:color w:val="000000"/>
                <w:kern w:val="0"/>
                <w:szCs w:val="21"/>
              </w:rPr>
              <w:t>1、通过工作底图对小班图形进行配准，根据配准后的工作底图目视解读小班图形问题，并进行标记，不做修编处理，缺漏小班图形不做补绘，只提供问题台账。</w:t>
            </w:r>
            <w:r>
              <w:rPr>
                <w:rFonts w:hint="eastAsia" w:ascii="宋体" w:hAnsi="宋体" w:cs="宋体"/>
                <w:color w:val="000000"/>
                <w:kern w:val="0"/>
                <w:szCs w:val="21"/>
              </w:rPr>
              <w:br w:type="textWrapping"/>
            </w:r>
            <w:r>
              <w:rPr>
                <w:rFonts w:ascii="宋体" w:hAnsi="宋体" w:cs="宋体"/>
                <w:color w:val="000000"/>
                <w:kern w:val="0"/>
                <w:szCs w:val="21"/>
              </w:rPr>
              <w:t>2、通过小班与宅基地使用权图形叠加分析，标注空间冲突部分，备注每个小班与宅基地使用权的权属冲突情况及所占面积情况，形成台账并导入系统。</w:t>
            </w:r>
            <w:r>
              <w:rPr>
                <w:rFonts w:hint="eastAsia" w:ascii="宋体" w:hAnsi="宋体" w:cs="宋体"/>
                <w:color w:val="000000"/>
                <w:kern w:val="0"/>
                <w:szCs w:val="21"/>
              </w:rPr>
              <w:br w:type="textWrapping"/>
            </w:r>
            <w:r>
              <w:rPr>
                <w:rFonts w:ascii="宋体" w:hAnsi="宋体" w:cs="宋体"/>
                <w:color w:val="000000"/>
                <w:kern w:val="0"/>
                <w:szCs w:val="21"/>
              </w:rPr>
              <w:t>3、通过小班与土地承包经营权图形叠加分析，标注空间冲突部分，备注每个小班与土地承包经营权的权属冲突情况及所占面积情况，形成台账并导入系统。</w:t>
            </w:r>
            <w:r>
              <w:rPr>
                <w:rFonts w:hint="eastAsia" w:ascii="宋体" w:hAnsi="宋体" w:cs="宋体"/>
                <w:color w:val="000000"/>
                <w:kern w:val="0"/>
                <w:szCs w:val="21"/>
              </w:rPr>
              <w:br w:type="textWrapping"/>
            </w:r>
            <w:r>
              <w:rPr>
                <w:rFonts w:ascii="宋体" w:hAnsi="宋体" w:cs="宋体"/>
                <w:color w:val="000000"/>
                <w:kern w:val="0"/>
                <w:szCs w:val="21"/>
              </w:rPr>
              <w:t>4、通过小班与建设用地使用权图形叠加分析，标注空间冲突部分，备注每个小班与建设用地使用权的权属冲突情况及所占面积情况，形成台账并导入系统。</w:t>
            </w:r>
            <w:r>
              <w:rPr>
                <w:rFonts w:hint="eastAsia" w:ascii="宋体" w:hAnsi="宋体" w:cs="宋体"/>
                <w:color w:val="000000"/>
                <w:kern w:val="0"/>
                <w:szCs w:val="21"/>
              </w:rPr>
              <w:br w:type="textWrapping"/>
            </w:r>
            <w:r>
              <w:rPr>
                <w:rFonts w:ascii="宋体" w:hAnsi="宋体" w:cs="宋体"/>
                <w:color w:val="000000"/>
                <w:kern w:val="0"/>
                <w:szCs w:val="21"/>
              </w:rPr>
              <w:t>5、通过小班与三调地类叠加分析，标注空间冲突部分，备注每个小班与三调数据的地类冲突情况及所占面积情况，形成台账并导入系统。</w:t>
            </w:r>
          </w:p>
        </w:tc>
      </w:tr>
      <w:tr w14:paraId="2332AC03">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427C8CCD">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4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F3259EE">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noWrap/>
            <w:vAlign w:val="center"/>
          </w:tcPr>
          <w:p w14:paraId="09B0E7EA">
            <w:pPr>
              <w:widowControl/>
              <w:jc w:val="center"/>
              <w:rPr>
                <w:rFonts w:hint="eastAsia" w:ascii="宋体" w:hAnsi="宋体" w:cs="宋体"/>
                <w:color w:val="000000"/>
                <w:kern w:val="0"/>
                <w:szCs w:val="21"/>
              </w:rPr>
            </w:pPr>
            <w:r>
              <w:rPr>
                <w:rFonts w:hint="eastAsia" w:ascii="宋体" w:hAnsi="宋体" w:cs="宋体"/>
                <w:color w:val="000000"/>
                <w:kern w:val="0"/>
                <w:szCs w:val="21"/>
              </w:rPr>
              <w:t>林权登记数据</w:t>
            </w:r>
          </w:p>
        </w:tc>
        <w:tc>
          <w:tcPr>
            <w:tcW w:w="3259" w:type="pct"/>
            <w:tcBorders>
              <w:top w:val="single" w:color="000000" w:sz="4" w:space="0"/>
              <w:left w:val="single" w:color="000000" w:sz="4" w:space="0"/>
              <w:bottom w:val="single" w:color="000000" w:sz="4" w:space="0"/>
              <w:right w:val="single" w:color="000000" w:sz="4" w:space="0"/>
            </w:tcBorders>
            <w:vAlign w:val="center"/>
          </w:tcPr>
          <w:p w14:paraId="62BDB76D">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登记信息处理：</w:t>
            </w:r>
            <w:r>
              <w:rPr>
                <w:rFonts w:hint="eastAsia" w:ascii="宋体" w:hAnsi="宋体" w:cs="宋体"/>
                <w:color w:val="000000"/>
                <w:kern w:val="0"/>
                <w:szCs w:val="21"/>
              </w:rPr>
              <w:br w:type="textWrapping"/>
            </w:r>
            <w:r>
              <w:rPr>
                <w:rFonts w:ascii="宋体" w:hAnsi="宋体" w:cs="宋体"/>
                <w:color w:val="000000"/>
                <w:kern w:val="0"/>
                <w:szCs w:val="21"/>
              </w:rPr>
              <w:t>1、林权登记信息处理：按《不动产登记数据整合建库技术规范》（TD-T1067-2021）中的林权登记数据库标准进行格式转换、字段对应、数据字典对照转换、属性结构转换。（原信息缺失的，不依档补充）</w:t>
            </w:r>
            <w:r>
              <w:rPr>
                <w:rFonts w:hint="eastAsia" w:ascii="宋体" w:hAnsi="宋体" w:cs="宋体"/>
                <w:color w:val="000000"/>
                <w:kern w:val="0"/>
                <w:szCs w:val="21"/>
              </w:rPr>
              <w:br w:type="textWrapping"/>
            </w:r>
            <w:r>
              <w:rPr>
                <w:rFonts w:ascii="宋体" w:hAnsi="宋体" w:cs="宋体"/>
                <w:color w:val="000000"/>
                <w:kern w:val="0"/>
                <w:szCs w:val="21"/>
              </w:rPr>
              <w:t>2、权利人信息处理：通过原始数据分析，提取权利人信息，并按照数据库标准进行处理（原信息缺失的，不依档补充）</w:t>
            </w:r>
            <w:r>
              <w:rPr>
                <w:rFonts w:hint="eastAsia" w:ascii="宋体" w:hAnsi="宋体" w:cs="宋体"/>
                <w:color w:val="000000"/>
                <w:kern w:val="0"/>
                <w:szCs w:val="21"/>
              </w:rPr>
              <w:br w:type="textWrapping"/>
            </w:r>
            <w:r>
              <w:rPr>
                <w:rFonts w:ascii="宋体" w:hAnsi="宋体" w:cs="宋体"/>
                <w:color w:val="000000"/>
                <w:kern w:val="0"/>
                <w:szCs w:val="21"/>
              </w:rPr>
              <w:t>3、申请人信息处理：通过原始数据分析，提取申请人信息，并按照数据库标准进行处理（原信息缺失的，不依档补充）</w:t>
            </w:r>
          </w:p>
        </w:tc>
      </w:tr>
      <w:tr w14:paraId="60F17BBA">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69FDB9A4">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5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5C7BE84">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AE4A40C">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50762EE2">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一、数据完整性检查：</w:t>
            </w:r>
            <w:r>
              <w:rPr>
                <w:rFonts w:hint="eastAsia" w:ascii="宋体" w:hAnsi="宋体" w:cs="宋体"/>
                <w:color w:val="000000"/>
                <w:kern w:val="0"/>
                <w:szCs w:val="21"/>
              </w:rPr>
              <w:br w:type="textWrapping"/>
            </w:r>
            <w:r>
              <w:rPr>
                <w:rFonts w:ascii="宋体" w:hAnsi="宋体" w:cs="宋体"/>
                <w:color w:val="000000"/>
                <w:kern w:val="0"/>
                <w:szCs w:val="21"/>
              </w:rPr>
              <w:t>1、必填项检查：检查林权登记信息权利类型、登记类型、登记原因、发包方、发包方代码、使用（承包）面积、林地使用起止时间、林地所有权性质、权利人证件号码、小班号、登簿人、登簿时间等必填是否为空</w:t>
            </w:r>
            <w:r>
              <w:rPr>
                <w:rFonts w:hint="eastAsia" w:ascii="宋体" w:hAnsi="宋体" w:cs="宋体"/>
                <w:color w:val="000000"/>
                <w:kern w:val="0"/>
                <w:szCs w:val="21"/>
              </w:rPr>
              <w:br w:type="textWrapping"/>
            </w:r>
            <w:r>
              <w:rPr>
                <w:rFonts w:ascii="宋体" w:hAnsi="宋体" w:cs="宋体"/>
                <w:color w:val="000000"/>
                <w:kern w:val="0"/>
                <w:szCs w:val="21"/>
              </w:rPr>
              <w:t>2、重复登记检查：检查是否存在重复的林权登记记录，包括但不限于：相同权利人、相同林权类型、相同坐落位置的重复登记；相同林权证号、相同宗地代码的重复登记。</w:t>
            </w:r>
            <w:r>
              <w:rPr>
                <w:rFonts w:hint="eastAsia" w:ascii="宋体" w:hAnsi="宋体" w:cs="宋体"/>
                <w:color w:val="000000"/>
                <w:kern w:val="0"/>
                <w:szCs w:val="21"/>
              </w:rPr>
              <w:br w:type="textWrapping"/>
            </w:r>
            <w:r>
              <w:rPr>
                <w:rFonts w:ascii="宋体" w:hAnsi="宋体" w:cs="宋体"/>
                <w:color w:val="000000"/>
                <w:kern w:val="0"/>
                <w:szCs w:val="21"/>
              </w:rPr>
              <w:t>3、逻辑关系检查：检查林权登记信息内部逻辑关系是否正确；检查权利人是否关联关系缺失。</w:t>
            </w:r>
            <w:r>
              <w:rPr>
                <w:rFonts w:hint="eastAsia" w:ascii="宋体" w:hAnsi="宋体" w:cs="宋体"/>
                <w:color w:val="000000"/>
                <w:kern w:val="0"/>
                <w:szCs w:val="21"/>
              </w:rPr>
              <w:br w:type="textWrapping"/>
            </w:r>
            <w:r>
              <w:rPr>
                <w:rFonts w:ascii="宋体" w:hAnsi="宋体" w:cs="宋体"/>
                <w:color w:val="000000"/>
                <w:kern w:val="0"/>
                <w:szCs w:val="21"/>
              </w:rPr>
              <w:t>4、问题清单：对逻辑关系错误或关联关系缺失的数据进行标记，并生成问题台账，记录错误类型、错误位置、错误原因等信息，便于后续整改。</w:t>
            </w:r>
            <w:r>
              <w:rPr>
                <w:rFonts w:hint="eastAsia" w:ascii="宋体" w:hAnsi="宋体" w:cs="宋体"/>
                <w:color w:val="000000"/>
                <w:kern w:val="0"/>
                <w:szCs w:val="21"/>
              </w:rPr>
              <w:br w:type="textWrapping"/>
            </w:r>
            <w:r>
              <w:rPr>
                <w:rFonts w:ascii="宋体" w:hAnsi="宋体" w:cs="宋体"/>
                <w:b/>
                <w:bCs/>
                <w:color w:val="000000"/>
                <w:kern w:val="0"/>
                <w:szCs w:val="21"/>
              </w:rPr>
              <w:t>二、数据规范性检查：</w:t>
            </w:r>
            <w:r>
              <w:rPr>
                <w:rFonts w:hint="eastAsia" w:ascii="宋体" w:hAnsi="宋体" w:cs="宋体"/>
                <w:color w:val="000000"/>
                <w:kern w:val="0"/>
                <w:szCs w:val="21"/>
              </w:rPr>
              <w:br w:type="textWrapping"/>
            </w:r>
            <w:r>
              <w:rPr>
                <w:rFonts w:ascii="宋体" w:hAnsi="宋体" w:cs="宋体"/>
                <w:color w:val="000000"/>
                <w:kern w:val="0"/>
                <w:szCs w:val="21"/>
              </w:rPr>
              <w:t>1、有图形，无业务数据的统计：统计存在林权小班但缺少对应发证数据的情况。（只调查未发证）</w:t>
            </w:r>
            <w:r>
              <w:rPr>
                <w:rFonts w:hint="eastAsia" w:ascii="宋体" w:hAnsi="宋体" w:cs="宋体"/>
                <w:color w:val="000000"/>
                <w:kern w:val="0"/>
                <w:szCs w:val="21"/>
              </w:rPr>
              <w:br w:type="textWrapping"/>
            </w:r>
            <w:r>
              <w:rPr>
                <w:rFonts w:ascii="宋体" w:hAnsi="宋体" w:cs="宋体"/>
                <w:color w:val="000000"/>
                <w:kern w:val="0"/>
                <w:szCs w:val="21"/>
              </w:rPr>
              <w:t>2、有业务，无图形数据的统计：统计存在林权登记业务但缺少对应图形数据的情况。</w:t>
            </w:r>
            <w:r>
              <w:rPr>
                <w:rFonts w:hint="eastAsia" w:ascii="宋体" w:hAnsi="宋体" w:cs="宋体"/>
                <w:color w:val="000000"/>
                <w:kern w:val="0"/>
                <w:szCs w:val="21"/>
              </w:rPr>
              <w:br w:type="textWrapping"/>
            </w:r>
            <w:r>
              <w:rPr>
                <w:rFonts w:ascii="宋体" w:hAnsi="宋体" w:cs="宋体"/>
                <w:color w:val="000000"/>
                <w:kern w:val="0"/>
                <w:szCs w:val="21"/>
              </w:rPr>
              <w:t>3、已登记未发证问题梳理：通过登记数据分析，梳理已登记但未发证的林权登记信息。</w:t>
            </w:r>
            <w:r>
              <w:rPr>
                <w:rFonts w:hint="eastAsia" w:ascii="宋体" w:hAnsi="宋体" w:cs="宋体"/>
                <w:color w:val="000000"/>
                <w:kern w:val="0"/>
                <w:szCs w:val="21"/>
              </w:rPr>
              <w:br w:type="textWrapping"/>
            </w:r>
            <w:r>
              <w:rPr>
                <w:rFonts w:ascii="宋体" w:hAnsi="宋体" w:cs="宋体"/>
                <w:color w:val="000000"/>
                <w:kern w:val="0"/>
                <w:szCs w:val="21"/>
              </w:rPr>
              <w:t>4、问题清单：生成问题台账，记录缺失图形数据、未发证的林权登记信息。</w:t>
            </w:r>
            <w:r>
              <w:rPr>
                <w:rFonts w:hint="eastAsia" w:ascii="宋体" w:hAnsi="宋体" w:cs="宋体"/>
                <w:color w:val="000000"/>
                <w:kern w:val="0"/>
                <w:szCs w:val="21"/>
              </w:rPr>
              <w:br w:type="textWrapping"/>
            </w:r>
            <w:r>
              <w:rPr>
                <w:rFonts w:ascii="宋体" w:hAnsi="宋体" w:cs="宋体"/>
                <w:b/>
                <w:bCs/>
                <w:color w:val="000000"/>
                <w:kern w:val="0"/>
                <w:szCs w:val="21"/>
              </w:rPr>
              <w:t>三、数据一致性检查：</w:t>
            </w:r>
            <w:r>
              <w:rPr>
                <w:rFonts w:hint="eastAsia" w:ascii="宋体" w:hAnsi="宋体" w:cs="宋体"/>
                <w:color w:val="000000"/>
                <w:kern w:val="0"/>
                <w:szCs w:val="21"/>
              </w:rPr>
              <w:br w:type="textWrapping"/>
            </w:r>
            <w:r>
              <w:rPr>
                <w:rFonts w:ascii="宋体" w:hAnsi="宋体" w:cs="宋体"/>
                <w:color w:val="000000"/>
                <w:kern w:val="0"/>
                <w:szCs w:val="21"/>
              </w:rPr>
              <w:t>比对检查林业部门移交的原始数据与整合后的林权登记数据是否一致。</w:t>
            </w:r>
          </w:p>
        </w:tc>
      </w:tr>
      <w:tr w14:paraId="5DE9CFE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2B24706E">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6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FF9E7FB">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21454E9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7AE5D358">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图属关联：</w:t>
            </w:r>
            <w:r>
              <w:rPr>
                <w:rFonts w:hint="eastAsia" w:ascii="宋体" w:hAnsi="宋体" w:cs="宋体"/>
                <w:color w:val="000000"/>
                <w:kern w:val="0"/>
                <w:szCs w:val="21"/>
              </w:rPr>
              <w:br w:type="textWrapping"/>
            </w:r>
            <w:r>
              <w:rPr>
                <w:rFonts w:ascii="宋体" w:hAnsi="宋体" w:cs="宋体"/>
                <w:color w:val="000000"/>
                <w:kern w:val="0"/>
                <w:szCs w:val="21"/>
              </w:rPr>
              <w:t>处理林权登记信息与林权小班图形的关联，赋值林权不动产单元号，对林权登记信息与小班图形数据关联存在问题的、未关联上小班图形数据的登记发证数据进行标记，并出具问题数据分类台账。</w:t>
            </w:r>
          </w:p>
        </w:tc>
      </w:tr>
      <w:tr w14:paraId="6FD3A155">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noWrap/>
            <w:vAlign w:val="center"/>
          </w:tcPr>
          <w:p w14:paraId="6DD9B159">
            <w:pPr>
              <w:jc w:val="center"/>
              <w:rPr>
                <w:rFonts w:hint="eastAsia" w:ascii="宋体" w:hAnsi="宋体" w:cs="宋体"/>
                <w:color w:val="000000"/>
                <w:kern w:val="0"/>
                <w:szCs w:val="21"/>
              </w:rPr>
            </w:pPr>
            <w:r>
              <w:rPr>
                <w:rFonts w:hint="eastAsia" w:ascii="宋体" w:hAnsi="宋体" w:cs="宋体"/>
                <w:color w:val="000000"/>
                <w:kern w:val="0"/>
                <w:szCs w:val="21"/>
              </w:rPr>
              <w:t>7</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3759AC4">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noWrap/>
            <w:vAlign w:val="center"/>
          </w:tcPr>
          <w:p w14:paraId="61BF3FB8">
            <w:pPr>
              <w:widowControl/>
              <w:jc w:val="center"/>
              <w:rPr>
                <w:rFonts w:hint="eastAsia" w:ascii="宋体" w:hAnsi="宋体" w:cs="宋体"/>
                <w:color w:val="000000"/>
                <w:kern w:val="0"/>
                <w:szCs w:val="21"/>
              </w:rPr>
            </w:pPr>
            <w:r>
              <w:rPr>
                <w:rFonts w:hint="eastAsia" w:ascii="宋体" w:hAnsi="宋体" w:cs="宋体"/>
                <w:color w:val="000000"/>
                <w:kern w:val="0"/>
                <w:szCs w:val="21"/>
              </w:rPr>
              <w:t>林权档案数据</w:t>
            </w:r>
          </w:p>
        </w:tc>
        <w:tc>
          <w:tcPr>
            <w:tcW w:w="3259" w:type="pct"/>
            <w:tcBorders>
              <w:top w:val="single" w:color="000000" w:sz="4" w:space="0"/>
              <w:left w:val="single" w:color="000000" w:sz="4" w:space="0"/>
              <w:bottom w:val="single" w:color="000000" w:sz="4" w:space="0"/>
              <w:right w:val="single" w:color="000000" w:sz="4" w:space="0"/>
            </w:tcBorders>
            <w:vAlign w:val="center"/>
          </w:tcPr>
          <w:p w14:paraId="00FC72FA">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档案整理：</w:t>
            </w:r>
            <w:r>
              <w:rPr>
                <w:rFonts w:hint="eastAsia" w:ascii="宋体" w:hAnsi="宋体" w:cs="宋体"/>
                <w:color w:val="000000"/>
                <w:kern w:val="0"/>
                <w:szCs w:val="21"/>
              </w:rPr>
              <w:br w:type="textWrapping"/>
            </w:r>
            <w:r>
              <w:rPr>
                <w:rFonts w:ascii="宋体" w:hAnsi="宋体" w:cs="宋体"/>
                <w:color w:val="000000"/>
                <w:kern w:val="0"/>
                <w:szCs w:val="21"/>
              </w:rPr>
              <w:t>工作内容包含按不动产档案管理办法、档案管理办法及标准梳理规整档案。针对原有的林权档案重新整理、装订、分类、排列、编号、编目、装盒、档案立卷等工作。业务登记43980笔，按照5页/笔、60页/盒的标准进行装订，应为3665盒。</w:t>
            </w:r>
          </w:p>
        </w:tc>
      </w:tr>
      <w:tr w14:paraId="0E35C850">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24E122C8">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6C001D0F">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5B67B073">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33E90A1D">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档案电子化扫描：</w:t>
            </w:r>
            <w:r>
              <w:rPr>
                <w:rFonts w:hint="eastAsia" w:ascii="宋体" w:hAnsi="宋体" w:cs="宋体"/>
                <w:color w:val="000000"/>
                <w:kern w:val="0"/>
                <w:szCs w:val="21"/>
              </w:rPr>
              <w:br w:type="textWrapping"/>
            </w:r>
            <w:r>
              <w:rPr>
                <w:rFonts w:ascii="宋体" w:hAnsi="宋体" w:cs="宋体"/>
                <w:color w:val="000000"/>
                <w:kern w:val="0"/>
                <w:szCs w:val="21"/>
              </w:rPr>
              <w:t>此部分为林权纸质档案扫描，要求扫描电子档案影像清楚、不歪斜、无黑边、无杂点。</w:t>
            </w:r>
          </w:p>
        </w:tc>
      </w:tr>
      <w:tr w14:paraId="3E17FDF1">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40526D5E">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8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53A93DA">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2346F0D5">
            <w:pPr>
              <w:widowControl/>
              <w:jc w:val="center"/>
              <w:rPr>
                <w:rFonts w:hint="eastAsia" w:ascii="宋体" w:hAnsi="宋体" w:cs="宋体"/>
                <w:color w:val="000000"/>
                <w:kern w:val="0"/>
                <w:szCs w:val="21"/>
              </w:rPr>
            </w:pPr>
            <w:r>
              <w:rPr>
                <w:rFonts w:hint="eastAsia" w:ascii="宋体" w:hAnsi="宋体" w:cs="宋体"/>
                <w:color w:val="000000"/>
                <w:kern w:val="0"/>
                <w:szCs w:val="21"/>
              </w:rPr>
              <w:t>林权数据入库</w:t>
            </w:r>
          </w:p>
        </w:tc>
        <w:tc>
          <w:tcPr>
            <w:tcW w:w="3259" w:type="pct"/>
            <w:tcBorders>
              <w:top w:val="single" w:color="000000" w:sz="4" w:space="0"/>
              <w:left w:val="single" w:color="000000" w:sz="4" w:space="0"/>
              <w:bottom w:val="single" w:color="000000" w:sz="4" w:space="0"/>
              <w:right w:val="single" w:color="000000" w:sz="4" w:space="0"/>
            </w:tcBorders>
            <w:vAlign w:val="center"/>
          </w:tcPr>
          <w:p w14:paraId="7391DEA9">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整合成果检查入库：</w:t>
            </w:r>
            <w:r>
              <w:rPr>
                <w:rFonts w:hint="eastAsia" w:ascii="宋体" w:hAnsi="宋体" w:cs="宋体"/>
                <w:color w:val="000000"/>
                <w:kern w:val="0"/>
                <w:szCs w:val="21"/>
              </w:rPr>
              <w:br w:type="textWrapping"/>
            </w:r>
            <w:r>
              <w:rPr>
                <w:rFonts w:ascii="宋体" w:hAnsi="宋体" w:cs="宋体"/>
                <w:color w:val="000000"/>
                <w:kern w:val="0"/>
                <w:szCs w:val="21"/>
              </w:rPr>
              <w:t>将整合的数据成果入库不动产登记系统和权籍系统，完成登记业务数据、图形数据的关联入库。</w:t>
            </w:r>
          </w:p>
        </w:tc>
      </w:tr>
      <w:tr w14:paraId="61A74376">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3975ECD4">
            <w:pPr>
              <w:widowControl/>
              <w:jc w:val="center"/>
              <w:rPr>
                <w:rFonts w:hint="eastAsia" w:ascii="宋体" w:hAnsi="宋体" w:cs="宋体"/>
                <w:color w:val="000000"/>
                <w:kern w:val="0"/>
                <w:szCs w:val="21"/>
              </w:rPr>
            </w:pPr>
            <w:r>
              <w:rPr>
                <w:rFonts w:hint="eastAsia" w:ascii="宋体" w:hAnsi="宋体" w:cs="宋体"/>
                <w:color w:val="000000"/>
                <w:kern w:val="0"/>
                <w:szCs w:val="21"/>
              </w:rPr>
              <w:t>9</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C0B5887">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5A50393D">
            <w:pPr>
              <w:widowControl/>
              <w:jc w:val="center"/>
              <w:rPr>
                <w:rFonts w:hint="eastAsia" w:ascii="宋体" w:hAnsi="宋体" w:cs="宋体"/>
                <w:color w:val="000000"/>
                <w:kern w:val="0"/>
                <w:szCs w:val="21"/>
              </w:rPr>
            </w:pPr>
            <w:r>
              <w:rPr>
                <w:rFonts w:hint="eastAsia" w:ascii="宋体" w:hAnsi="宋体" w:cs="宋体"/>
                <w:color w:val="000000"/>
                <w:kern w:val="0"/>
                <w:szCs w:val="21"/>
              </w:rPr>
              <w:t>林权数据汇交</w:t>
            </w:r>
          </w:p>
        </w:tc>
        <w:tc>
          <w:tcPr>
            <w:tcW w:w="3259" w:type="pct"/>
            <w:tcBorders>
              <w:top w:val="single" w:color="000000" w:sz="4" w:space="0"/>
              <w:left w:val="single" w:color="000000" w:sz="4" w:space="0"/>
              <w:bottom w:val="single" w:color="000000" w:sz="4" w:space="0"/>
              <w:right w:val="single" w:color="000000" w:sz="4" w:space="0"/>
            </w:tcBorders>
            <w:vAlign w:val="center"/>
          </w:tcPr>
          <w:p w14:paraId="52B0BF49">
            <w:pPr>
              <w:widowControl/>
              <w:jc w:val="left"/>
              <w:rPr>
                <w:rFonts w:hint="eastAsia" w:ascii="宋体" w:hAnsi="宋体" w:cs="宋体"/>
                <w:color w:val="000000"/>
                <w:kern w:val="0"/>
                <w:szCs w:val="21"/>
              </w:rPr>
            </w:pPr>
            <w:r>
              <w:rPr>
                <w:rFonts w:hint="eastAsia" w:ascii="宋体" w:hAnsi="宋体" w:cs="宋体"/>
                <w:color w:val="000000"/>
                <w:kern w:val="0"/>
                <w:szCs w:val="21"/>
              </w:rPr>
              <w:t>不动产林权存量数据汇交主要包括导出符合部级不动产存量数据汇交的要求的图形数据，图形属性数据以及林权登记数据，对于不满足汇交要求的数据提供说明文档及问题台账。</w:t>
            </w:r>
          </w:p>
        </w:tc>
      </w:tr>
      <w:tr w14:paraId="39E888A9">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59A56A36">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五、农村土地承包经营权数据整合</w:t>
            </w:r>
          </w:p>
        </w:tc>
      </w:tr>
      <w:tr w14:paraId="65EABAD7">
        <w:tblPrEx>
          <w:tblCellMar>
            <w:top w:w="0" w:type="dxa"/>
            <w:left w:w="108" w:type="dxa"/>
            <w:bottom w:w="0" w:type="dxa"/>
            <w:right w:w="108" w:type="dxa"/>
          </w:tblCellMar>
        </w:tblPrEx>
        <w:trPr>
          <w:trHeight w:val="1906" w:hRule="atLeast"/>
        </w:trPr>
        <w:tc>
          <w:tcPr>
            <w:tcW w:w="278" w:type="pct"/>
            <w:vMerge w:val="restart"/>
            <w:tcBorders>
              <w:top w:val="single" w:color="000000" w:sz="4" w:space="0"/>
              <w:left w:val="single" w:color="000000" w:sz="4" w:space="0"/>
              <w:bottom w:val="nil"/>
              <w:right w:val="single" w:color="000000" w:sz="4" w:space="0"/>
            </w:tcBorders>
            <w:noWrap/>
            <w:vAlign w:val="center"/>
          </w:tcPr>
          <w:p w14:paraId="28CF9C94">
            <w:pPr>
              <w:jc w:val="center"/>
              <w:rPr>
                <w:rFonts w:hint="eastAsia" w:ascii="宋体" w:hAnsi="宋体" w:cs="宋体"/>
                <w:color w:val="000000"/>
                <w:kern w:val="0"/>
                <w:szCs w:val="21"/>
              </w:rPr>
            </w:pPr>
            <w:r>
              <w:rPr>
                <w:rFonts w:hint="eastAsia" w:ascii="宋体" w:hAnsi="宋体" w:cs="宋体"/>
                <w:color w:val="000000"/>
                <w:kern w:val="0"/>
                <w:szCs w:val="21"/>
              </w:rPr>
              <w:t>1</w:t>
            </w:r>
          </w:p>
        </w:tc>
        <w:tc>
          <w:tcPr>
            <w:tcW w:w="510" w:type="pct"/>
            <w:vMerge w:val="restart"/>
            <w:tcBorders>
              <w:top w:val="single" w:color="000000" w:sz="4" w:space="0"/>
              <w:left w:val="single" w:color="000000" w:sz="4" w:space="0"/>
              <w:bottom w:val="single" w:color="000000" w:sz="4" w:space="0"/>
              <w:right w:val="single" w:color="000000" w:sz="4" w:space="0"/>
            </w:tcBorders>
            <w:vAlign w:val="center"/>
          </w:tcPr>
          <w:p w14:paraId="3FB6A3CC">
            <w:pPr>
              <w:widowControl/>
              <w:jc w:val="center"/>
              <w:rPr>
                <w:rFonts w:hint="eastAsia" w:ascii="宋体" w:hAnsi="宋体" w:cs="宋体"/>
                <w:color w:val="000000"/>
                <w:kern w:val="0"/>
                <w:szCs w:val="21"/>
              </w:rPr>
            </w:pPr>
            <w:r>
              <w:rPr>
                <w:rFonts w:hint="eastAsia" w:ascii="宋体" w:hAnsi="宋体" w:cs="宋体"/>
                <w:color w:val="000000"/>
                <w:kern w:val="0"/>
                <w:szCs w:val="21"/>
              </w:rPr>
              <w:t>农村土地承包经营权数据整合</w:t>
            </w: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5CB68E44">
            <w:pPr>
              <w:widowControl/>
              <w:jc w:val="center"/>
              <w:rPr>
                <w:rFonts w:hint="eastAsia" w:ascii="宋体" w:hAnsi="宋体" w:cs="宋体"/>
                <w:color w:val="000000"/>
                <w:kern w:val="0"/>
                <w:szCs w:val="21"/>
              </w:rPr>
            </w:pPr>
            <w:r>
              <w:rPr>
                <w:rFonts w:hint="eastAsia" w:ascii="宋体" w:hAnsi="宋体" w:cs="宋体"/>
                <w:color w:val="000000"/>
                <w:kern w:val="0"/>
                <w:szCs w:val="21"/>
              </w:rPr>
              <w:t>数据分析与预处理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049F615B">
            <w:pPr>
              <w:widowControl/>
              <w:jc w:val="left"/>
              <w:rPr>
                <w:rFonts w:hint="eastAsia" w:ascii="宋体" w:hAnsi="宋体" w:cs="宋体"/>
                <w:color w:val="000000"/>
                <w:kern w:val="0"/>
                <w:szCs w:val="21"/>
              </w:rPr>
            </w:pPr>
            <w:r>
              <w:rPr>
                <w:rFonts w:hint="eastAsia" w:ascii="宋体" w:hAnsi="宋体" w:cs="宋体"/>
                <w:color w:val="000000"/>
                <w:kern w:val="0"/>
                <w:szCs w:val="21"/>
              </w:rPr>
              <w:t>收集农村承包经营权发证相关数据，对收集的原始图形数据进行基本分析：</w:t>
            </w:r>
          </w:p>
          <w:p w14:paraId="627CB9A4">
            <w:pPr>
              <w:jc w:val="left"/>
              <w:rPr>
                <w:rFonts w:hint="eastAsia" w:ascii="宋体" w:hAnsi="宋体" w:cs="宋体"/>
                <w:color w:val="000000"/>
                <w:kern w:val="0"/>
                <w:szCs w:val="21"/>
              </w:rPr>
            </w:pPr>
            <w:r>
              <w:rPr>
                <w:rFonts w:hint="eastAsia" w:ascii="宋体" w:hAnsi="宋体" w:cs="宋体"/>
                <w:color w:val="000000"/>
                <w:kern w:val="0"/>
                <w:szCs w:val="21"/>
              </w:rPr>
              <w:t>主要包括：农村承包经营权承包地块图形数据、农村承包经营权承包栅格数据（数字正射影像）数据、农村承包经营权发证电子数据、农村承包经营权发证电子档案数据、农村承包经营权地块电子图件数据、承包方及发包方电子数据等。</w:t>
            </w:r>
          </w:p>
        </w:tc>
      </w:tr>
      <w:tr w14:paraId="05067EA7">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2903D741">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365917D">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3A8B16B7">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04F34E10">
            <w:pPr>
              <w:widowControl/>
              <w:jc w:val="left"/>
              <w:rPr>
                <w:rFonts w:hint="eastAsia" w:ascii="宋体" w:hAnsi="宋体" w:cs="宋体"/>
                <w:color w:val="000000"/>
                <w:kern w:val="0"/>
                <w:szCs w:val="21"/>
              </w:rPr>
            </w:pPr>
            <w:r>
              <w:rPr>
                <w:rFonts w:hint="eastAsia" w:ascii="宋体" w:hAnsi="宋体" w:cs="宋体"/>
                <w:color w:val="000000"/>
                <w:kern w:val="0"/>
                <w:szCs w:val="21"/>
              </w:rPr>
              <w:t>与三调数据进行覆盖完整性分析、地类相交分析</w:t>
            </w:r>
          </w:p>
        </w:tc>
      </w:tr>
      <w:tr w14:paraId="263AE856">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6535810A">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0A45B90">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4C59719D">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1E6866C2">
            <w:pPr>
              <w:widowControl/>
              <w:jc w:val="left"/>
              <w:rPr>
                <w:rFonts w:hint="eastAsia" w:ascii="宋体" w:hAnsi="宋体" w:cs="宋体"/>
                <w:color w:val="000000"/>
                <w:kern w:val="0"/>
                <w:szCs w:val="21"/>
              </w:rPr>
            </w:pPr>
            <w:r>
              <w:rPr>
                <w:rFonts w:hint="eastAsia" w:ascii="宋体" w:hAnsi="宋体" w:cs="宋体"/>
                <w:color w:val="000000"/>
                <w:kern w:val="0"/>
                <w:szCs w:val="21"/>
              </w:rPr>
              <w:t>登记发证数据与图形的关联性分析及预处理</w:t>
            </w:r>
          </w:p>
        </w:tc>
      </w:tr>
      <w:tr w14:paraId="65F87472">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3CEFE623">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5A5C9DB6">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2E1B3685">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65075944">
            <w:pPr>
              <w:widowControl/>
              <w:jc w:val="left"/>
              <w:rPr>
                <w:rFonts w:hint="eastAsia" w:ascii="宋体" w:hAnsi="宋体" w:cs="宋体"/>
                <w:color w:val="000000"/>
                <w:kern w:val="0"/>
                <w:szCs w:val="21"/>
              </w:rPr>
            </w:pPr>
            <w:r>
              <w:rPr>
                <w:rFonts w:hint="eastAsia" w:ascii="宋体" w:hAnsi="宋体" w:cs="宋体"/>
                <w:color w:val="000000"/>
                <w:kern w:val="0"/>
                <w:szCs w:val="21"/>
              </w:rPr>
              <w:t>登记发证数据与档案数据的关联性分析及预处理</w:t>
            </w:r>
          </w:p>
        </w:tc>
      </w:tr>
      <w:tr w14:paraId="4D664775">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7982517">
            <w:pPr>
              <w:widowControl/>
              <w:jc w:val="center"/>
              <w:rPr>
                <w:rFonts w:hint="eastAsia" w:ascii="宋体" w:hAnsi="宋体" w:cs="宋体"/>
                <w:color w:val="000000"/>
                <w:kern w:val="0"/>
                <w:szCs w:val="21"/>
              </w:rPr>
            </w:pPr>
            <w:r>
              <w:rPr>
                <w:rFonts w:hint="eastAsia" w:ascii="宋体" w:hAnsi="宋体" w:cs="宋体"/>
                <w:color w:val="000000"/>
                <w:kern w:val="0"/>
                <w:szCs w:val="21"/>
              </w:rPr>
              <w:t xml:space="preserve">2 </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72D39781">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3A6819E3">
            <w:pPr>
              <w:widowControl/>
              <w:jc w:val="center"/>
              <w:rPr>
                <w:rFonts w:hint="eastAsia" w:ascii="宋体" w:hAnsi="宋体" w:cs="宋体"/>
                <w:color w:val="000000"/>
                <w:kern w:val="0"/>
                <w:szCs w:val="21"/>
              </w:rPr>
            </w:pPr>
            <w:r>
              <w:rPr>
                <w:rFonts w:hint="eastAsia" w:ascii="宋体" w:hAnsi="宋体" w:cs="宋体"/>
                <w:color w:val="000000"/>
                <w:kern w:val="0"/>
                <w:szCs w:val="21"/>
              </w:rPr>
              <w:t>矢量数据转换处理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46B5F434">
            <w:pPr>
              <w:widowControl/>
              <w:jc w:val="left"/>
              <w:rPr>
                <w:rFonts w:hint="eastAsia" w:ascii="宋体" w:hAnsi="宋体" w:cs="宋体"/>
                <w:color w:val="000000"/>
                <w:kern w:val="0"/>
                <w:szCs w:val="21"/>
              </w:rPr>
            </w:pPr>
            <w:r>
              <w:rPr>
                <w:rFonts w:hint="eastAsia" w:ascii="宋体" w:hAnsi="宋体" w:cs="宋体"/>
                <w:color w:val="000000"/>
                <w:kern w:val="0"/>
                <w:szCs w:val="21"/>
              </w:rPr>
              <w:t>1、基于农经权矢量数据，按不动产数据库标准分析矢量数据，进行分析、转换、检查处理，完成数据的坐标系校准。</w:t>
            </w:r>
            <w:r>
              <w:rPr>
                <w:rFonts w:hint="eastAsia" w:ascii="宋体" w:hAnsi="宋体" w:cs="宋体"/>
                <w:color w:val="000000"/>
                <w:kern w:val="0"/>
                <w:szCs w:val="21"/>
              </w:rPr>
              <w:br w:type="textWrapping"/>
            </w:r>
            <w:r>
              <w:rPr>
                <w:rFonts w:hint="eastAsia" w:ascii="宋体" w:hAnsi="宋体" w:cs="宋体"/>
                <w:color w:val="000000"/>
                <w:kern w:val="0"/>
                <w:szCs w:val="21"/>
              </w:rPr>
              <w:t>2、基于《湖南省不动产登记数据库标准（试行）》扩充农村承包经营权宗地、界址点、界址线图层。</w:t>
            </w:r>
            <w:r>
              <w:rPr>
                <w:rFonts w:hint="eastAsia" w:ascii="宋体" w:hAnsi="宋体" w:cs="宋体"/>
                <w:color w:val="000000"/>
                <w:kern w:val="0"/>
                <w:szCs w:val="21"/>
              </w:rPr>
              <w:br w:type="textWrapping"/>
            </w:r>
            <w:r>
              <w:rPr>
                <w:rFonts w:hint="eastAsia" w:ascii="宋体" w:hAnsi="宋体" w:cs="宋体"/>
                <w:color w:val="000000"/>
                <w:kern w:val="0"/>
                <w:szCs w:val="21"/>
              </w:rPr>
              <w:t>3、转换、处理农村承包经营权地块、界址点、界址线到不动产登记数据库，主要工作包含：属性结构转换，数据字典对照，数据值转换等。</w:t>
            </w:r>
            <w:r>
              <w:rPr>
                <w:rFonts w:hint="eastAsia" w:ascii="宋体" w:hAnsi="宋体" w:cs="宋体"/>
                <w:color w:val="000000"/>
                <w:kern w:val="0"/>
                <w:szCs w:val="21"/>
              </w:rPr>
              <w:br w:type="textWrapping"/>
            </w:r>
            <w:r>
              <w:rPr>
                <w:rFonts w:hint="eastAsia" w:ascii="宋体" w:hAnsi="宋体" w:cs="宋体"/>
                <w:color w:val="000000"/>
                <w:kern w:val="0"/>
                <w:szCs w:val="21"/>
              </w:rPr>
              <w:t>4、数据转换完成后，进行数据缺失检查、数据一致性校验、数据关联关系校验、数据完整性校验等。</w:t>
            </w:r>
            <w:r>
              <w:rPr>
                <w:rFonts w:hint="eastAsia" w:ascii="宋体" w:hAnsi="宋体" w:cs="宋体"/>
                <w:color w:val="000000"/>
                <w:kern w:val="0"/>
                <w:szCs w:val="21"/>
              </w:rPr>
              <w:br w:type="textWrapping"/>
            </w:r>
            <w:r>
              <w:rPr>
                <w:rFonts w:hint="eastAsia" w:ascii="宋体" w:hAnsi="宋体" w:cs="宋体"/>
                <w:color w:val="000000"/>
                <w:kern w:val="0"/>
                <w:szCs w:val="21"/>
              </w:rPr>
              <w:t>5、基于转换后的成果数据，进行拓扑分析，标记拓扑问题。</w:t>
            </w:r>
            <w:r>
              <w:rPr>
                <w:rFonts w:hint="eastAsia" w:ascii="宋体" w:hAnsi="宋体" w:cs="宋体"/>
                <w:color w:val="000000"/>
                <w:kern w:val="0"/>
                <w:szCs w:val="21"/>
              </w:rPr>
              <w:br w:type="textWrapping"/>
            </w:r>
            <w:r>
              <w:rPr>
                <w:rFonts w:hint="eastAsia" w:ascii="宋体" w:hAnsi="宋体" w:cs="宋体"/>
                <w:color w:val="000000"/>
                <w:kern w:val="0"/>
                <w:szCs w:val="21"/>
              </w:rPr>
              <w:t>6、叠加地籍子区，按地籍子区生成宗地代码及不动产单元号。</w:t>
            </w:r>
          </w:p>
        </w:tc>
      </w:tr>
      <w:tr w14:paraId="3DC62CB7">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67D021CD">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6ADAE8F">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noWrap/>
            <w:vAlign w:val="center"/>
          </w:tcPr>
          <w:p w14:paraId="400E6BCE">
            <w:pPr>
              <w:widowControl/>
              <w:jc w:val="center"/>
              <w:rPr>
                <w:rFonts w:hint="eastAsia" w:ascii="宋体" w:hAnsi="宋体" w:cs="宋体"/>
                <w:color w:val="000000"/>
                <w:kern w:val="0"/>
                <w:szCs w:val="21"/>
              </w:rPr>
            </w:pPr>
            <w:r>
              <w:rPr>
                <w:rFonts w:hint="eastAsia" w:ascii="宋体" w:hAnsi="宋体" w:cs="宋体"/>
                <w:color w:val="000000"/>
                <w:kern w:val="0"/>
                <w:szCs w:val="21"/>
              </w:rPr>
              <w:t>登记数据处理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044A9F19">
            <w:pPr>
              <w:widowControl/>
              <w:jc w:val="left"/>
              <w:rPr>
                <w:rFonts w:hint="eastAsia" w:ascii="宋体" w:hAnsi="宋体" w:cs="宋体"/>
                <w:color w:val="000000"/>
                <w:kern w:val="0"/>
                <w:szCs w:val="21"/>
              </w:rPr>
            </w:pPr>
            <w:r>
              <w:rPr>
                <w:rFonts w:hint="eastAsia" w:ascii="宋体" w:hAnsi="宋体" w:cs="宋体"/>
                <w:color w:val="000000"/>
                <w:kern w:val="0"/>
                <w:szCs w:val="21"/>
              </w:rPr>
              <w:t>1、将农经权的登记发证数据（非空间表），按不动产数据库标准，转换、处理到不动产登记数据库中，对发包方、承包方、承包合同、流转合同、承包经营权登记簿、承包经营权证等的数据格式化处理。（原信息缺失的，不依档补充）。</w:t>
            </w:r>
            <w:r>
              <w:rPr>
                <w:rFonts w:hint="eastAsia" w:ascii="宋体" w:hAnsi="宋体" w:cs="宋体"/>
                <w:color w:val="000000"/>
                <w:kern w:val="0"/>
                <w:szCs w:val="21"/>
              </w:rPr>
              <w:br w:type="textWrapping"/>
            </w:r>
            <w:r>
              <w:rPr>
                <w:rFonts w:hint="eastAsia" w:ascii="宋体" w:hAnsi="宋体" w:cs="宋体"/>
                <w:color w:val="000000"/>
                <w:kern w:val="0"/>
                <w:szCs w:val="21"/>
              </w:rPr>
              <w:t>2、按照《湖南省不动产登记数据库标准（试行）》标准，创建农用地使用权、权利人、家庭成员、权属来源、登记簿等数据表。</w:t>
            </w:r>
            <w:r>
              <w:rPr>
                <w:rFonts w:hint="eastAsia" w:ascii="宋体" w:hAnsi="宋体" w:cs="宋体"/>
                <w:color w:val="000000"/>
                <w:kern w:val="0"/>
                <w:szCs w:val="21"/>
              </w:rPr>
              <w:br w:type="textWrapping"/>
            </w:r>
            <w:r>
              <w:rPr>
                <w:rFonts w:hint="eastAsia" w:ascii="宋体" w:hAnsi="宋体" w:cs="宋体"/>
                <w:color w:val="000000"/>
                <w:kern w:val="0"/>
                <w:szCs w:val="21"/>
              </w:rPr>
              <w:t>3、对原始数据进行合并、拆分、结构转换、字段映射、数据字典映射、数据值转换等操作，将原始数据转换入对应数据库表中。</w:t>
            </w:r>
            <w:r>
              <w:rPr>
                <w:rFonts w:hint="eastAsia" w:ascii="宋体" w:hAnsi="宋体" w:cs="宋体"/>
                <w:color w:val="000000"/>
                <w:kern w:val="0"/>
                <w:szCs w:val="21"/>
              </w:rPr>
              <w:br w:type="textWrapping"/>
            </w:r>
            <w:r>
              <w:rPr>
                <w:rFonts w:hint="eastAsia" w:ascii="宋体" w:hAnsi="宋体" w:cs="宋体"/>
                <w:color w:val="000000"/>
                <w:kern w:val="0"/>
                <w:szCs w:val="21"/>
              </w:rPr>
              <w:t>4、基于转换后的矢量成果数据，关联更新不动产单元号至农用地使用权、权利人、家庭成员、权属来源、登记簿等数据表中。</w:t>
            </w:r>
            <w:r>
              <w:rPr>
                <w:rFonts w:hint="eastAsia" w:ascii="宋体" w:hAnsi="宋体" w:cs="宋体"/>
                <w:color w:val="000000"/>
                <w:kern w:val="0"/>
                <w:szCs w:val="21"/>
              </w:rPr>
              <w:br w:type="textWrapping"/>
            </w:r>
            <w:r>
              <w:rPr>
                <w:rFonts w:hint="eastAsia" w:ascii="宋体" w:hAnsi="宋体" w:cs="宋体"/>
                <w:color w:val="000000"/>
                <w:kern w:val="0"/>
                <w:szCs w:val="21"/>
              </w:rPr>
              <w:t>5、基于不动产单元号建立登记数据与矢量数据的关联。</w:t>
            </w:r>
            <w:r>
              <w:rPr>
                <w:rFonts w:hint="eastAsia" w:ascii="宋体" w:hAnsi="宋体" w:cs="宋体"/>
                <w:color w:val="000000"/>
                <w:kern w:val="0"/>
                <w:szCs w:val="21"/>
              </w:rPr>
              <w:br w:type="textWrapping"/>
            </w:r>
            <w:r>
              <w:rPr>
                <w:rFonts w:hint="eastAsia" w:ascii="宋体" w:hAnsi="宋体" w:cs="宋体"/>
                <w:color w:val="000000"/>
                <w:kern w:val="0"/>
                <w:szCs w:val="21"/>
              </w:rPr>
              <w:t>6、对转换完成的数据进行数据缺失检查、数据关联关系校验、数据一致性校验、数据完整性校验等。</w:t>
            </w:r>
          </w:p>
        </w:tc>
      </w:tr>
      <w:tr w14:paraId="62862152">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76AE4FE1">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183B5E0E">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3894078B">
            <w:pPr>
              <w:widowControl/>
              <w:jc w:val="center"/>
              <w:rPr>
                <w:rFonts w:hint="eastAsia" w:ascii="宋体" w:hAnsi="宋体" w:cs="宋体"/>
                <w:color w:val="000000"/>
                <w:kern w:val="0"/>
                <w:szCs w:val="21"/>
              </w:rPr>
            </w:pPr>
            <w:r>
              <w:rPr>
                <w:rFonts w:hint="eastAsia" w:ascii="宋体" w:hAnsi="宋体" w:cs="宋体"/>
                <w:color w:val="000000"/>
                <w:kern w:val="0"/>
                <w:szCs w:val="21"/>
              </w:rPr>
              <w:t>档案数据处理</w:t>
            </w:r>
          </w:p>
        </w:tc>
        <w:tc>
          <w:tcPr>
            <w:tcW w:w="3259" w:type="pct"/>
            <w:tcBorders>
              <w:top w:val="single" w:color="000000" w:sz="4" w:space="0"/>
              <w:left w:val="single" w:color="000000" w:sz="4" w:space="0"/>
              <w:bottom w:val="single" w:color="000000" w:sz="4" w:space="0"/>
              <w:right w:val="single" w:color="000000" w:sz="4" w:space="0"/>
            </w:tcBorders>
            <w:vAlign w:val="center"/>
          </w:tcPr>
          <w:p w14:paraId="21F22BC6">
            <w:pPr>
              <w:widowControl/>
              <w:jc w:val="left"/>
              <w:rPr>
                <w:rFonts w:hint="eastAsia" w:ascii="宋体" w:hAnsi="宋体" w:cs="宋体"/>
                <w:color w:val="000000"/>
                <w:kern w:val="0"/>
                <w:szCs w:val="21"/>
              </w:rPr>
            </w:pPr>
            <w:r>
              <w:rPr>
                <w:rFonts w:hint="eastAsia" w:ascii="宋体" w:hAnsi="宋体" w:cs="宋体"/>
                <w:color w:val="000000"/>
                <w:kern w:val="0"/>
                <w:szCs w:val="21"/>
              </w:rPr>
              <w:t>将农经权电子档案数据，按不动产登记系统、不动产档案管理系统存储档案要求，检查关联关系，关联挂接发证档案数据；更新关联业务号、不动产单元号。</w:t>
            </w:r>
          </w:p>
        </w:tc>
      </w:tr>
      <w:tr w14:paraId="1712A5B1">
        <w:tblPrEx>
          <w:tblCellMar>
            <w:top w:w="0" w:type="dxa"/>
            <w:left w:w="108" w:type="dxa"/>
            <w:bottom w:w="0" w:type="dxa"/>
            <w:right w:w="108" w:type="dxa"/>
          </w:tblCellMar>
        </w:tblPrEx>
        <w:trPr>
          <w:trHeight w:val="567" w:hRule="atLeast"/>
        </w:trPr>
        <w:tc>
          <w:tcPr>
            <w:tcW w:w="278" w:type="pct"/>
            <w:vMerge w:val="restart"/>
            <w:tcBorders>
              <w:top w:val="single" w:color="000000" w:sz="4" w:space="0"/>
              <w:left w:val="single" w:color="000000" w:sz="4" w:space="0"/>
              <w:right w:val="single" w:color="000000" w:sz="4" w:space="0"/>
            </w:tcBorders>
            <w:noWrap/>
            <w:vAlign w:val="center"/>
          </w:tcPr>
          <w:p w14:paraId="4EB93130">
            <w:pPr>
              <w:jc w:val="center"/>
              <w:rPr>
                <w:rFonts w:hint="eastAsia" w:ascii="宋体" w:hAnsi="宋体" w:cs="宋体"/>
                <w:color w:val="000000"/>
                <w:kern w:val="0"/>
                <w:szCs w:val="21"/>
              </w:rPr>
            </w:pPr>
            <w:r>
              <w:rPr>
                <w:rFonts w:hint="eastAsia" w:ascii="宋体" w:hAnsi="宋体" w:cs="宋体"/>
                <w:color w:val="000000"/>
                <w:kern w:val="0"/>
                <w:szCs w:val="21"/>
              </w:rPr>
              <w:t>5</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1A0D595">
            <w:pPr>
              <w:widowControl/>
              <w:jc w:val="left"/>
              <w:rPr>
                <w:rFonts w:ascii="宋体" w:hAnsi="宋体" w:cs="宋体"/>
                <w:color w:val="000000"/>
                <w:kern w:val="0"/>
                <w:szCs w:val="21"/>
              </w:rPr>
            </w:pPr>
          </w:p>
        </w:tc>
        <w:tc>
          <w:tcPr>
            <w:tcW w:w="953" w:type="pct"/>
            <w:vMerge w:val="restart"/>
            <w:tcBorders>
              <w:top w:val="single" w:color="000000" w:sz="4" w:space="0"/>
              <w:left w:val="single" w:color="000000" w:sz="4" w:space="0"/>
              <w:bottom w:val="single" w:color="000000" w:sz="4" w:space="0"/>
              <w:right w:val="single" w:color="000000" w:sz="4" w:space="0"/>
            </w:tcBorders>
            <w:vAlign w:val="center"/>
          </w:tcPr>
          <w:p w14:paraId="022E7220">
            <w:pPr>
              <w:widowControl/>
              <w:jc w:val="center"/>
              <w:rPr>
                <w:rFonts w:hint="eastAsia" w:ascii="宋体" w:hAnsi="宋体" w:cs="宋体"/>
                <w:color w:val="000000"/>
                <w:kern w:val="0"/>
                <w:szCs w:val="21"/>
              </w:rPr>
            </w:pPr>
            <w:r>
              <w:rPr>
                <w:rFonts w:hint="eastAsia" w:ascii="宋体" w:hAnsi="宋体" w:cs="宋体"/>
                <w:color w:val="000000"/>
                <w:kern w:val="0"/>
                <w:szCs w:val="21"/>
              </w:rPr>
              <w:t>农经权数据入库</w:t>
            </w:r>
          </w:p>
        </w:tc>
        <w:tc>
          <w:tcPr>
            <w:tcW w:w="3259" w:type="pct"/>
            <w:tcBorders>
              <w:top w:val="single" w:color="000000" w:sz="4" w:space="0"/>
              <w:left w:val="single" w:color="000000" w:sz="4" w:space="0"/>
              <w:bottom w:val="single" w:color="000000" w:sz="4" w:space="0"/>
              <w:right w:val="single" w:color="000000" w:sz="4" w:space="0"/>
            </w:tcBorders>
            <w:vAlign w:val="center"/>
          </w:tcPr>
          <w:p w14:paraId="4ADCE38E">
            <w:pPr>
              <w:widowControl/>
              <w:jc w:val="left"/>
              <w:rPr>
                <w:rFonts w:hint="eastAsia" w:ascii="宋体" w:hAnsi="宋体" w:cs="宋体"/>
                <w:color w:val="000000"/>
                <w:kern w:val="0"/>
                <w:szCs w:val="21"/>
              </w:rPr>
            </w:pPr>
            <w:r>
              <w:rPr>
                <w:rFonts w:hint="eastAsia" w:ascii="宋体" w:hAnsi="宋体" w:cs="宋体"/>
                <w:color w:val="000000"/>
                <w:kern w:val="0"/>
                <w:szCs w:val="21"/>
              </w:rPr>
              <w:t>矢量数据入库：农村承包经营权宗地、界址点、界址线数据分别入库到不动产权籍系统；</w:t>
            </w:r>
          </w:p>
        </w:tc>
      </w:tr>
      <w:tr w14:paraId="2A2FA6A3">
        <w:tblPrEx>
          <w:tblCellMar>
            <w:top w:w="0" w:type="dxa"/>
            <w:left w:w="108" w:type="dxa"/>
            <w:bottom w:w="0" w:type="dxa"/>
            <w:right w:w="108" w:type="dxa"/>
          </w:tblCellMar>
        </w:tblPrEx>
        <w:trPr>
          <w:trHeight w:val="567" w:hRule="atLeast"/>
        </w:trPr>
        <w:tc>
          <w:tcPr>
            <w:tcW w:w="278" w:type="pct"/>
            <w:vMerge w:val="continue"/>
            <w:tcBorders>
              <w:left w:val="single" w:color="000000" w:sz="4" w:space="0"/>
              <w:right w:val="single" w:color="000000" w:sz="4" w:space="0"/>
            </w:tcBorders>
            <w:noWrap/>
            <w:vAlign w:val="center"/>
          </w:tcPr>
          <w:p w14:paraId="416B3F62">
            <w:pPr>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4A6B6266">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14AACE0E">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77AFB13F">
            <w:pPr>
              <w:widowControl/>
              <w:jc w:val="left"/>
              <w:rPr>
                <w:rFonts w:hint="eastAsia" w:ascii="宋体" w:hAnsi="宋体" w:cs="宋体"/>
                <w:color w:val="000000"/>
                <w:kern w:val="0"/>
                <w:szCs w:val="21"/>
              </w:rPr>
            </w:pPr>
            <w:r>
              <w:rPr>
                <w:rFonts w:hint="eastAsia" w:ascii="宋体" w:hAnsi="宋体" w:cs="宋体"/>
                <w:color w:val="000000"/>
                <w:kern w:val="0"/>
                <w:szCs w:val="21"/>
              </w:rPr>
              <w:t>权属数据入库：土地承包经营权权利信息、权利人信息、家庭成员信息、权属来源、登记簿、发证数据等分别入库到不动产登记系统；</w:t>
            </w:r>
          </w:p>
        </w:tc>
      </w:tr>
      <w:tr w14:paraId="0FBCF179">
        <w:tblPrEx>
          <w:tblCellMar>
            <w:top w:w="0" w:type="dxa"/>
            <w:left w:w="108" w:type="dxa"/>
            <w:bottom w:w="0" w:type="dxa"/>
            <w:right w:w="108" w:type="dxa"/>
          </w:tblCellMar>
        </w:tblPrEx>
        <w:trPr>
          <w:trHeight w:val="567" w:hRule="atLeast"/>
        </w:trPr>
        <w:tc>
          <w:tcPr>
            <w:tcW w:w="278" w:type="pct"/>
            <w:vMerge w:val="continue"/>
            <w:tcBorders>
              <w:left w:val="single" w:color="000000" w:sz="4" w:space="0"/>
              <w:bottom w:val="single" w:color="000000" w:sz="4" w:space="0"/>
              <w:right w:val="single" w:color="000000" w:sz="4" w:space="0"/>
            </w:tcBorders>
            <w:noWrap/>
            <w:vAlign w:val="center"/>
          </w:tcPr>
          <w:p w14:paraId="011892A9">
            <w:pPr>
              <w:widowControl/>
              <w:jc w:val="center"/>
              <w:rPr>
                <w:rFonts w:hint="eastAsia" w:ascii="宋体" w:hAnsi="宋体" w:cs="宋体"/>
                <w:color w:val="000000"/>
                <w:kern w:val="0"/>
                <w:szCs w:val="21"/>
              </w:rPr>
            </w:pP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26BF0FE6">
            <w:pPr>
              <w:widowControl/>
              <w:jc w:val="left"/>
              <w:rPr>
                <w:rFonts w:ascii="宋体" w:hAnsi="宋体" w:cs="宋体"/>
                <w:color w:val="000000"/>
                <w:kern w:val="0"/>
                <w:szCs w:val="21"/>
              </w:rPr>
            </w:pPr>
          </w:p>
        </w:tc>
        <w:tc>
          <w:tcPr>
            <w:tcW w:w="953" w:type="pct"/>
            <w:vMerge w:val="continue"/>
            <w:tcBorders>
              <w:top w:val="single" w:color="000000" w:sz="4" w:space="0"/>
              <w:left w:val="single" w:color="000000" w:sz="4" w:space="0"/>
              <w:bottom w:val="single" w:color="000000" w:sz="4" w:space="0"/>
              <w:right w:val="single" w:color="000000" w:sz="4" w:space="0"/>
            </w:tcBorders>
            <w:vAlign w:val="center"/>
          </w:tcPr>
          <w:p w14:paraId="0AD1AE5F">
            <w:pPr>
              <w:widowControl/>
              <w:jc w:val="left"/>
              <w:rPr>
                <w:rFonts w:ascii="宋体" w:hAnsi="宋体" w:cs="宋体"/>
                <w:color w:val="000000"/>
                <w:kern w:val="0"/>
                <w:szCs w:val="21"/>
              </w:rPr>
            </w:pPr>
          </w:p>
        </w:tc>
        <w:tc>
          <w:tcPr>
            <w:tcW w:w="3259" w:type="pct"/>
            <w:tcBorders>
              <w:top w:val="single" w:color="000000" w:sz="4" w:space="0"/>
              <w:left w:val="single" w:color="000000" w:sz="4" w:space="0"/>
              <w:bottom w:val="single" w:color="000000" w:sz="4" w:space="0"/>
              <w:right w:val="single" w:color="000000" w:sz="4" w:space="0"/>
            </w:tcBorders>
            <w:vAlign w:val="center"/>
          </w:tcPr>
          <w:p w14:paraId="291B19E3">
            <w:pPr>
              <w:widowControl/>
              <w:jc w:val="left"/>
              <w:rPr>
                <w:rFonts w:hint="eastAsia" w:ascii="宋体" w:hAnsi="宋体" w:cs="宋体"/>
                <w:color w:val="000000"/>
                <w:kern w:val="0"/>
                <w:szCs w:val="21"/>
              </w:rPr>
            </w:pPr>
            <w:r>
              <w:rPr>
                <w:rFonts w:hint="eastAsia" w:ascii="宋体" w:hAnsi="宋体" w:cs="宋体"/>
                <w:color w:val="000000"/>
                <w:kern w:val="0"/>
                <w:szCs w:val="21"/>
              </w:rPr>
              <w:t>档案数据入库：已发农经权证的发证档案、电子合同、身份材料等档案资料入库；</w:t>
            </w:r>
          </w:p>
        </w:tc>
      </w:tr>
      <w:tr w14:paraId="285449F4">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5E885C2D">
            <w:pPr>
              <w:widowControl/>
              <w:jc w:val="center"/>
              <w:rPr>
                <w:rFonts w:hint="eastAsia" w:ascii="宋体" w:hAnsi="宋体" w:cs="宋体"/>
                <w:color w:val="000000"/>
                <w:kern w:val="0"/>
                <w:szCs w:val="21"/>
              </w:rPr>
            </w:pPr>
            <w:r>
              <w:rPr>
                <w:rFonts w:hint="eastAsia" w:ascii="宋体" w:hAnsi="宋体" w:cs="宋体"/>
                <w:color w:val="000000"/>
                <w:kern w:val="0"/>
                <w:szCs w:val="21"/>
              </w:rPr>
              <w:t>6</w:t>
            </w:r>
          </w:p>
        </w:tc>
        <w:tc>
          <w:tcPr>
            <w:tcW w:w="510" w:type="pct"/>
            <w:vMerge w:val="continue"/>
            <w:tcBorders>
              <w:top w:val="single" w:color="000000" w:sz="4" w:space="0"/>
              <w:left w:val="single" w:color="000000" w:sz="4" w:space="0"/>
              <w:bottom w:val="single" w:color="000000" w:sz="4" w:space="0"/>
              <w:right w:val="single" w:color="000000" w:sz="4" w:space="0"/>
            </w:tcBorders>
            <w:vAlign w:val="center"/>
          </w:tcPr>
          <w:p w14:paraId="304508CC">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636F3F31">
            <w:pPr>
              <w:widowControl/>
              <w:jc w:val="center"/>
              <w:rPr>
                <w:rFonts w:hint="eastAsia" w:ascii="宋体" w:hAnsi="宋体" w:cs="宋体"/>
                <w:color w:val="000000"/>
                <w:kern w:val="0"/>
                <w:szCs w:val="21"/>
              </w:rPr>
            </w:pPr>
            <w:r>
              <w:rPr>
                <w:rFonts w:hint="eastAsia" w:ascii="宋体" w:hAnsi="宋体" w:cs="宋体"/>
                <w:color w:val="000000"/>
                <w:kern w:val="0"/>
                <w:szCs w:val="21"/>
              </w:rPr>
              <w:t>农经权数据汇交</w:t>
            </w:r>
          </w:p>
        </w:tc>
        <w:tc>
          <w:tcPr>
            <w:tcW w:w="3259" w:type="pct"/>
            <w:tcBorders>
              <w:top w:val="single" w:color="000000" w:sz="4" w:space="0"/>
              <w:left w:val="single" w:color="000000" w:sz="4" w:space="0"/>
              <w:bottom w:val="single" w:color="000000" w:sz="4" w:space="0"/>
              <w:right w:val="single" w:color="000000" w:sz="4" w:space="0"/>
            </w:tcBorders>
            <w:vAlign w:val="center"/>
          </w:tcPr>
          <w:p w14:paraId="3DD826C6">
            <w:pPr>
              <w:widowControl/>
              <w:jc w:val="left"/>
              <w:rPr>
                <w:rFonts w:hint="eastAsia" w:ascii="宋体" w:hAnsi="宋体" w:cs="宋体"/>
                <w:color w:val="000000"/>
                <w:kern w:val="0"/>
                <w:szCs w:val="21"/>
              </w:rPr>
            </w:pPr>
            <w:r>
              <w:rPr>
                <w:rFonts w:hint="eastAsia" w:ascii="宋体" w:hAnsi="宋体" w:cs="宋体"/>
                <w:color w:val="000000"/>
                <w:kern w:val="0"/>
                <w:szCs w:val="21"/>
              </w:rPr>
              <w:t>土地承包经营权数据整合成果数据，按照相关登记规范，汇交至省自然资源厅。</w:t>
            </w:r>
          </w:p>
        </w:tc>
      </w:tr>
      <w:tr w14:paraId="69B2C030">
        <w:tblPrEx>
          <w:tblCellMar>
            <w:top w:w="0" w:type="dxa"/>
            <w:left w:w="108" w:type="dxa"/>
            <w:bottom w:w="0" w:type="dxa"/>
            <w:right w:w="108" w:type="dxa"/>
          </w:tblCellMar>
        </w:tblPrEx>
        <w:trPr>
          <w:trHeight w:val="567"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DDEBF7"/>
            <w:vAlign w:val="center"/>
          </w:tcPr>
          <w:p w14:paraId="1896BBE3">
            <w:pPr>
              <w:widowControl/>
              <w:jc w:val="left"/>
              <w:rPr>
                <w:rFonts w:hint="eastAsia" w:ascii="宋体" w:hAnsi="宋体" w:cs="宋体"/>
                <w:b/>
                <w:bCs/>
                <w:color w:val="000000"/>
                <w:kern w:val="0"/>
                <w:szCs w:val="21"/>
              </w:rPr>
            </w:pPr>
            <w:r>
              <w:rPr>
                <w:rFonts w:hint="eastAsia" w:ascii="宋体" w:hAnsi="宋体" w:cs="宋体"/>
                <w:b/>
                <w:bCs/>
                <w:color w:val="000000"/>
                <w:kern w:val="0"/>
                <w:szCs w:val="21"/>
              </w:rPr>
              <w:t>六、不动产登记数据全库质检汇交</w:t>
            </w:r>
          </w:p>
        </w:tc>
      </w:tr>
      <w:tr w14:paraId="61C59196">
        <w:tblPrEx>
          <w:tblCellMar>
            <w:top w:w="0" w:type="dxa"/>
            <w:left w:w="108" w:type="dxa"/>
            <w:bottom w:w="0" w:type="dxa"/>
            <w:right w:w="108" w:type="dxa"/>
          </w:tblCellMar>
        </w:tblPrEx>
        <w:trPr>
          <w:trHeight w:val="567" w:hRule="atLeast"/>
        </w:trPr>
        <w:tc>
          <w:tcPr>
            <w:tcW w:w="278" w:type="pct"/>
            <w:tcBorders>
              <w:top w:val="nil"/>
              <w:left w:val="single" w:color="000000" w:sz="4" w:space="0"/>
              <w:bottom w:val="single" w:color="000000" w:sz="4" w:space="0"/>
              <w:right w:val="single" w:color="000000" w:sz="4" w:space="0"/>
            </w:tcBorders>
            <w:noWrap/>
            <w:vAlign w:val="center"/>
          </w:tcPr>
          <w:p w14:paraId="0983F1A5">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510" w:type="pct"/>
            <w:vMerge w:val="restart"/>
            <w:tcBorders>
              <w:top w:val="nil"/>
              <w:left w:val="single" w:color="000000" w:sz="4" w:space="0"/>
              <w:bottom w:val="single" w:color="000000" w:sz="4" w:space="0"/>
              <w:right w:val="single" w:color="000000" w:sz="4" w:space="0"/>
            </w:tcBorders>
            <w:vAlign w:val="center"/>
          </w:tcPr>
          <w:p w14:paraId="25D9F240">
            <w:pPr>
              <w:widowControl/>
              <w:jc w:val="center"/>
              <w:rPr>
                <w:rFonts w:hint="eastAsia" w:ascii="宋体" w:hAnsi="宋体" w:cs="宋体"/>
                <w:color w:val="000000"/>
                <w:kern w:val="0"/>
                <w:szCs w:val="21"/>
              </w:rPr>
            </w:pPr>
            <w:r>
              <w:rPr>
                <w:rFonts w:hint="eastAsia" w:ascii="宋体" w:hAnsi="宋体" w:cs="宋体"/>
                <w:color w:val="000000"/>
                <w:kern w:val="0"/>
                <w:szCs w:val="21"/>
              </w:rPr>
              <w:t>不动产登记数据全库质检汇交</w:t>
            </w:r>
          </w:p>
        </w:tc>
        <w:tc>
          <w:tcPr>
            <w:tcW w:w="953" w:type="pct"/>
            <w:tcBorders>
              <w:top w:val="nil"/>
              <w:left w:val="single" w:color="000000" w:sz="4" w:space="0"/>
              <w:bottom w:val="single" w:color="000000" w:sz="4" w:space="0"/>
              <w:right w:val="single" w:color="000000" w:sz="4" w:space="0"/>
            </w:tcBorders>
            <w:vAlign w:val="center"/>
          </w:tcPr>
          <w:p w14:paraId="352F5AA4">
            <w:pPr>
              <w:widowControl/>
              <w:jc w:val="center"/>
              <w:rPr>
                <w:rFonts w:hint="eastAsia" w:ascii="宋体" w:hAnsi="宋体" w:cs="宋体"/>
                <w:color w:val="000000"/>
                <w:kern w:val="0"/>
                <w:szCs w:val="21"/>
              </w:rPr>
            </w:pPr>
            <w:r>
              <w:rPr>
                <w:rFonts w:hint="eastAsia" w:ascii="宋体" w:hAnsi="宋体" w:cs="宋体"/>
                <w:color w:val="000000"/>
                <w:kern w:val="0"/>
                <w:szCs w:val="21"/>
              </w:rPr>
              <w:t>准备工作</w:t>
            </w:r>
          </w:p>
        </w:tc>
        <w:tc>
          <w:tcPr>
            <w:tcW w:w="3259" w:type="pct"/>
            <w:tcBorders>
              <w:top w:val="nil"/>
              <w:left w:val="single" w:color="000000" w:sz="4" w:space="0"/>
              <w:bottom w:val="single" w:color="000000" w:sz="4" w:space="0"/>
              <w:right w:val="single" w:color="000000" w:sz="4" w:space="0"/>
            </w:tcBorders>
            <w:vAlign w:val="center"/>
          </w:tcPr>
          <w:p w14:paraId="74B513CD">
            <w:pPr>
              <w:widowControl/>
              <w:jc w:val="left"/>
              <w:rPr>
                <w:rFonts w:hint="eastAsia" w:ascii="宋体" w:hAnsi="宋体" w:cs="宋体"/>
                <w:color w:val="000000"/>
                <w:kern w:val="0"/>
                <w:szCs w:val="21"/>
              </w:rPr>
            </w:pPr>
            <w:r>
              <w:rPr>
                <w:rFonts w:hint="eastAsia" w:ascii="宋体" w:hAnsi="宋体" w:cs="宋体"/>
                <w:color w:val="000000"/>
                <w:kern w:val="0"/>
                <w:szCs w:val="21"/>
              </w:rPr>
              <w:t>收集了解现有不动产登记数据情况，通过数据分析明确工作任务，编制工作计划，并报不动产登记中心。根据部信息中心修订的《不动产登记数据库标准》技术规范、质量检查软件用户手册操作规范，完成汇交工作部署。</w:t>
            </w:r>
          </w:p>
        </w:tc>
      </w:tr>
      <w:tr w14:paraId="2F3E5CE8">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736F19E8">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510" w:type="pct"/>
            <w:vMerge w:val="continue"/>
            <w:tcBorders>
              <w:top w:val="nil"/>
              <w:left w:val="single" w:color="000000" w:sz="4" w:space="0"/>
              <w:bottom w:val="single" w:color="000000" w:sz="4" w:space="0"/>
              <w:right w:val="single" w:color="000000" w:sz="4" w:space="0"/>
            </w:tcBorders>
            <w:vAlign w:val="center"/>
          </w:tcPr>
          <w:p w14:paraId="0841C123">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5D9B05E6">
            <w:pPr>
              <w:widowControl/>
              <w:jc w:val="center"/>
              <w:rPr>
                <w:rFonts w:hint="eastAsia" w:ascii="宋体" w:hAnsi="宋体" w:cs="宋体"/>
                <w:color w:val="000000"/>
                <w:kern w:val="0"/>
                <w:szCs w:val="21"/>
              </w:rPr>
            </w:pPr>
            <w:r>
              <w:rPr>
                <w:rFonts w:hint="eastAsia" w:ascii="宋体" w:hAnsi="宋体" w:cs="宋体"/>
                <w:color w:val="000000"/>
                <w:kern w:val="0"/>
                <w:szCs w:val="21"/>
              </w:rPr>
              <w:t>数据导出</w:t>
            </w:r>
          </w:p>
        </w:tc>
        <w:tc>
          <w:tcPr>
            <w:tcW w:w="3259" w:type="pct"/>
            <w:tcBorders>
              <w:top w:val="single" w:color="000000" w:sz="4" w:space="0"/>
              <w:left w:val="single" w:color="000000" w:sz="4" w:space="0"/>
              <w:bottom w:val="single" w:color="000000" w:sz="4" w:space="0"/>
              <w:right w:val="single" w:color="000000" w:sz="4" w:space="0"/>
            </w:tcBorders>
            <w:vAlign w:val="center"/>
          </w:tcPr>
          <w:p w14:paraId="1F3E2C83">
            <w:pPr>
              <w:widowControl/>
              <w:jc w:val="left"/>
              <w:rPr>
                <w:rFonts w:hint="eastAsia" w:ascii="宋体" w:hAnsi="宋体" w:cs="宋体"/>
                <w:color w:val="000000"/>
                <w:kern w:val="0"/>
                <w:szCs w:val="21"/>
              </w:rPr>
            </w:pPr>
            <w:r>
              <w:rPr>
                <w:rFonts w:hint="eastAsia" w:ascii="宋体" w:hAnsi="宋体" w:cs="宋体"/>
                <w:color w:val="000000"/>
                <w:kern w:val="0"/>
                <w:szCs w:val="21"/>
              </w:rPr>
              <w:t>主要是在本地不动产登记数据中建立汇交中间库，部署数据转换程序，从正式库中抽取转换到中间库。</w:t>
            </w:r>
          </w:p>
        </w:tc>
      </w:tr>
      <w:tr w14:paraId="7740C8F5">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67EF66B">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510" w:type="pct"/>
            <w:vMerge w:val="continue"/>
            <w:tcBorders>
              <w:top w:val="nil"/>
              <w:left w:val="single" w:color="000000" w:sz="4" w:space="0"/>
              <w:bottom w:val="single" w:color="000000" w:sz="4" w:space="0"/>
              <w:right w:val="single" w:color="000000" w:sz="4" w:space="0"/>
            </w:tcBorders>
            <w:vAlign w:val="center"/>
          </w:tcPr>
          <w:p w14:paraId="4FC01AF2">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17D698F9">
            <w:pPr>
              <w:widowControl/>
              <w:jc w:val="center"/>
              <w:rPr>
                <w:rFonts w:hint="eastAsia" w:ascii="宋体" w:hAnsi="宋体" w:cs="宋体"/>
                <w:color w:val="000000"/>
                <w:kern w:val="0"/>
                <w:szCs w:val="21"/>
              </w:rPr>
            </w:pPr>
            <w:r>
              <w:rPr>
                <w:rFonts w:hint="eastAsia" w:ascii="宋体" w:hAnsi="宋体" w:cs="宋体"/>
                <w:color w:val="000000"/>
                <w:kern w:val="0"/>
                <w:szCs w:val="21"/>
              </w:rPr>
              <w:t>数据质检</w:t>
            </w:r>
          </w:p>
        </w:tc>
        <w:tc>
          <w:tcPr>
            <w:tcW w:w="3259" w:type="pct"/>
            <w:tcBorders>
              <w:top w:val="single" w:color="000000" w:sz="4" w:space="0"/>
              <w:left w:val="single" w:color="000000" w:sz="4" w:space="0"/>
              <w:bottom w:val="single" w:color="000000" w:sz="4" w:space="0"/>
              <w:right w:val="single" w:color="000000" w:sz="4" w:space="0"/>
            </w:tcBorders>
            <w:vAlign w:val="center"/>
          </w:tcPr>
          <w:p w14:paraId="1EB740E1">
            <w:pPr>
              <w:widowControl/>
              <w:jc w:val="left"/>
              <w:rPr>
                <w:rFonts w:hint="eastAsia" w:ascii="宋体" w:hAnsi="宋体" w:cs="宋体"/>
                <w:color w:val="000000"/>
                <w:kern w:val="0"/>
                <w:szCs w:val="21"/>
              </w:rPr>
            </w:pPr>
            <w:r>
              <w:rPr>
                <w:rFonts w:hint="eastAsia" w:ascii="宋体" w:hAnsi="宋体" w:cs="宋体"/>
                <w:color w:val="000000"/>
                <w:kern w:val="0"/>
                <w:szCs w:val="21"/>
              </w:rPr>
              <w:t>对汇交的数据成果进行自检，成果检查合格后再向国家汇交。检查的内容主要包括数据成果的数据完整性、空间数学基础与数据格式正确性、标准符合性、空间拓扑、图属一致性等，不动产单元号不能为空，且符合不动产单元编码规则，确保数据关联与挂接，保证数据成果质量。</w:t>
            </w:r>
          </w:p>
        </w:tc>
      </w:tr>
      <w:tr w14:paraId="623AED0E">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B6A5B50">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510" w:type="pct"/>
            <w:vMerge w:val="continue"/>
            <w:tcBorders>
              <w:top w:val="nil"/>
              <w:left w:val="single" w:color="000000" w:sz="4" w:space="0"/>
              <w:bottom w:val="single" w:color="000000" w:sz="4" w:space="0"/>
              <w:right w:val="single" w:color="000000" w:sz="4" w:space="0"/>
            </w:tcBorders>
            <w:vAlign w:val="center"/>
          </w:tcPr>
          <w:p w14:paraId="0A3DCCBB">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7FE3CC0A">
            <w:pPr>
              <w:widowControl/>
              <w:jc w:val="center"/>
              <w:rPr>
                <w:rFonts w:hint="eastAsia" w:ascii="宋体" w:hAnsi="宋体" w:cs="宋体"/>
                <w:color w:val="000000"/>
                <w:kern w:val="0"/>
                <w:szCs w:val="21"/>
              </w:rPr>
            </w:pPr>
            <w:r>
              <w:rPr>
                <w:rFonts w:hint="eastAsia" w:ascii="宋体" w:hAnsi="宋体" w:cs="宋体"/>
                <w:color w:val="000000"/>
                <w:kern w:val="0"/>
                <w:szCs w:val="21"/>
              </w:rPr>
              <w:t>数据整改及报告输出</w:t>
            </w:r>
          </w:p>
        </w:tc>
        <w:tc>
          <w:tcPr>
            <w:tcW w:w="3259" w:type="pct"/>
            <w:tcBorders>
              <w:top w:val="single" w:color="000000" w:sz="4" w:space="0"/>
              <w:left w:val="single" w:color="000000" w:sz="4" w:space="0"/>
              <w:bottom w:val="single" w:color="000000" w:sz="4" w:space="0"/>
              <w:right w:val="single" w:color="000000" w:sz="4" w:space="0"/>
            </w:tcBorders>
            <w:vAlign w:val="center"/>
          </w:tcPr>
          <w:p w14:paraId="61179EFB">
            <w:pPr>
              <w:widowControl/>
              <w:jc w:val="left"/>
              <w:rPr>
                <w:rFonts w:hint="eastAsia" w:ascii="宋体" w:hAnsi="宋体" w:cs="宋体"/>
                <w:color w:val="000000"/>
                <w:kern w:val="0"/>
                <w:szCs w:val="21"/>
              </w:rPr>
            </w:pPr>
            <w:r>
              <w:rPr>
                <w:rFonts w:hint="eastAsia" w:ascii="宋体" w:hAnsi="宋体" w:cs="宋体"/>
                <w:color w:val="000000"/>
                <w:kern w:val="0"/>
                <w:szCs w:val="21"/>
              </w:rPr>
              <w:t>主要工作是对未通过质检的成果数据进行详细核查与修正。在综合考虑不动产登记数据的实际情况、查阅相关档案资料，并经过中心领导的审核批准后，通过不动产登记系统对数据进行错误更正和修正。反复质检，直至质检软件的成果质检报告显示通过为止。</w:t>
            </w:r>
          </w:p>
        </w:tc>
      </w:tr>
      <w:tr w14:paraId="4DBAE99D">
        <w:tblPrEx>
          <w:tblCellMar>
            <w:top w:w="0" w:type="dxa"/>
            <w:left w:w="108" w:type="dxa"/>
            <w:bottom w:w="0" w:type="dxa"/>
            <w:right w:w="108" w:type="dxa"/>
          </w:tblCellMar>
        </w:tblPrEx>
        <w:trPr>
          <w:trHeight w:val="567" w:hRule="atLeast"/>
        </w:trPr>
        <w:tc>
          <w:tcPr>
            <w:tcW w:w="278" w:type="pct"/>
            <w:tcBorders>
              <w:top w:val="single" w:color="000000" w:sz="4" w:space="0"/>
              <w:left w:val="single" w:color="000000" w:sz="4" w:space="0"/>
              <w:bottom w:val="single" w:color="000000" w:sz="4" w:space="0"/>
              <w:right w:val="single" w:color="000000" w:sz="4" w:space="0"/>
            </w:tcBorders>
            <w:noWrap/>
            <w:vAlign w:val="center"/>
          </w:tcPr>
          <w:p w14:paraId="09A5252E">
            <w:pPr>
              <w:widowControl/>
              <w:jc w:val="center"/>
              <w:rPr>
                <w:rFonts w:hint="eastAsia" w:ascii="宋体" w:hAnsi="宋体" w:cs="宋体"/>
                <w:color w:val="000000"/>
                <w:kern w:val="0"/>
                <w:szCs w:val="21"/>
              </w:rPr>
            </w:pPr>
            <w:r>
              <w:rPr>
                <w:rFonts w:hint="eastAsia" w:ascii="宋体" w:hAnsi="宋体" w:cs="宋体"/>
                <w:color w:val="000000"/>
                <w:kern w:val="0"/>
                <w:szCs w:val="21"/>
              </w:rPr>
              <w:t>5</w:t>
            </w:r>
          </w:p>
        </w:tc>
        <w:tc>
          <w:tcPr>
            <w:tcW w:w="510" w:type="pct"/>
            <w:vMerge w:val="continue"/>
            <w:tcBorders>
              <w:top w:val="nil"/>
              <w:left w:val="single" w:color="000000" w:sz="4" w:space="0"/>
              <w:bottom w:val="single" w:color="000000" w:sz="4" w:space="0"/>
              <w:right w:val="single" w:color="000000" w:sz="4" w:space="0"/>
            </w:tcBorders>
            <w:vAlign w:val="center"/>
          </w:tcPr>
          <w:p w14:paraId="1F900930">
            <w:pPr>
              <w:widowControl/>
              <w:jc w:val="left"/>
              <w:rPr>
                <w:rFonts w:ascii="宋体" w:hAnsi="宋体" w:cs="宋体"/>
                <w:color w:val="000000"/>
                <w:kern w:val="0"/>
                <w:szCs w:val="21"/>
              </w:rPr>
            </w:pPr>
          </w:p>
        </w:tc>
        <w:tc>
          <w:tcPr>
            <w:tcW w:w="953" w:type="pct"/>
            <w:tcBorders>
              <w:top w:val="single" w:color="000000" w:sz="4" w:space="0"/>
              <w:left w:val="single" w:color="000000" w:sz="4" w:space="0"/>
              <w:bottom w:val="single" w:color="000000" w:sz="4" w:space="0"/>
              <w:right w:val="single" w:color="000000" w:sz="4" w:space="0"/>
            </w:tcBorders>
            <w:vAlign w:val="center"/>
          </w:tcPr>
          <w:p w14:paraId="73BD481B">
            <w:pPr>
              <w:widowControl/>
              <w:jc w:val="center"/>
              <w:rPr>
                <w:rFonts w:hint="eastAsia" w:ascii="宋体" w:hAnsi="宋体" w:cs="宋体"/>
                <w:color w:val="000000"/>
                <w:kern w:val="0"/>
                <w:szCs w:val="21"/>
              </w:rPr>
            </w:pPr>
            <w:r>
              <w:rPr>
                <w:rFonts w:hint="eastAsia" w:ascii="宋体" w:hAnsi="宋体" w:cs="宋体"/>
                <w:color w:val="000000"/>
                <w:kern w:val="0"/>
                <w:szCs w:val="21"/>
              </w:rPr>
              <w:t>数据成果汇交</w:t>
            </w:r>
          </w:p>
        </w:tc>
        <w:tc>
          <w:tcPr>
            <w:tcW w:w="3259" w:type="pct"/>
            <w:tcBorders>
              <w:top w:val="single" w:color="000000" w:sz="4" w:space="0"/>
              <w:left w:val="single" w:color="000000" w:sz="4" w:space="0"/>
              <w:bottom w:val="single" w:color="000000" w:sz="4" w:space="0"/>
              <w:right w:val="single" w:color="000000" w:sz="4" w:space="0"/>
            </w:tcBorders>
            <w:vAlign w:val="center"/>
          </w:tcPr>
          <w:p w14:paraId="3F843390">
            <w:pPr>
              <w:widowControl/>
              <w:jc w:val="left"/>
              <w:rPr>
                <w:rFonts w:hint="eastAsia" w:ascii="宋体" w:hAnsi="宋体" w:cs="宋体"/>
                <w:color w:val="000000"/>
                <w:kern w:val="0"/>
                <w:szCs w:val="21"/>
              </w:rPr>
            </w:pPr>
            <w:r>
              <w:rPr>
                <w:rFonts w:hint="eastAsia" w:ascii="宋体" w:hAnsi="宋体" w:cs="宋体"/>
                <w:color w:val="000000"/>
                <w:kern w:val="0"/>
                <w:szCs w:val="21"/>
              </w:rPr>
              <w:t>以县或市为单位整理汇交成果，组织不动产登记存量数据汇交到省，汇交成果应包括纸质加盖县级不动产登记局（机构）公章的报送公文1份和汇交资料清单2份、电子成果数据1份（拷贝介质可用光盘、U盘、移动硬盘）。</w:t>
            </w:r>
          </w:p>
        </w:tc>
      </w:tr>
    </w:tbl>
    <w:p w14:paraId="1A860551">
      <w:pPr>
        <w:pStyle w:val="19"/>
        <w:rPr>
          <w:rFonts w:hint="eastAsia"/>
        </w:rPr>
      </w:pPr>
    </w:p>
    <w:p w14:paraId="1F4AE323">
      <w:pPr>
        <w:adjustRightInd w:val="0"/>
        <w:spacing w:line="360" w:lineRule="auto"/>
        <w:outlineLvl w:val="1"/>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四、项目实施要求</w:t>
      </w:r>
    </w:p>
    <w:p w14:paraId="16F880B9">
      <w:pPr>
        <w:spacing w:line="360" w:lineRule="auto"/>
        <w:ind w:firstLine="420" w:firstLineChars="200"/>
        <w:outlineLvl w:val="2"/>
        <w:rPr>
          <w:color w:val="000000" w:themeColor="text1"/>
          <w:szCs w:val="21"/>
          <w14:textFill>
            <w14:solidFill>
              <w14:schemeClr w14:val="tx1"/>
            </w14:solidFill>
          </w14:textFill>
        </w:rPr>
      </w:pPr>
      <w:r>
        <w:rPr>
          <w:color w:val="000000" w:themeColor="text1"/>
          <w:szCs w:val="21"/>
          <w14:textFill>
            <w14:solidFill>
              <w14:schemeClr w14:val="tx1"/>
            </w14:solidFill>
          </w14:textFill>
        </w:rPr>
        <w:t>1.实施工期要求</w:t>
      </w:r>
    </w:p>
    <w:p w14:paraId="566EE5DD">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根据采购人对不动产登记优化营商环境的需求情况，中标人需要在</w:t>
      </w:r>
      <w:r>
        <w:rPr>
          <w:rFonts w:hint="eastAsia"/>
          <w:color w:val="000000" w:themeColor="text1"/>
          <w:szCs w:val="21"/>
          <w14:textFill>
            <w14:solidFill>
              <w14:schemeClr w14:val="tx1"/>
            </w14:solidFill>
          </w14:textFill>
        </w:rPr>
        <w:t>合同签订生效后的6个月内，完成不动产数据转换迁移，完善不动产登记业务标准和数据库标准，优化登记平台，正式交付系统成果给不动产登记中心使用；</w:t>
      </w:r>
    </w:p>
    <w:p w14:paraId="77753303">
      <w:pPr>
        <w:spacing w:line="360" w:lineRule="auto"/>
        <w:ind w:firstLine="420" w:firstLineChars="200"/>
        <w:outlineLvl w:val="2"/>
        <w:rPr>
          <w:color w:val="000000" w:themeColor="text1"/>
          <w:szCs w:val="21"/>
          <w14:textFill>
            <w14:solidFill>
              <w14:schemeClr w14:val="tx1"/>
            </w14:solidFill>
          </w14:textFill>
        </w:rPr>
      </w:pPr>
      <w:r>
        <w:rPr>
          <w:color w:val="000000" w:themeColor="text1"/>
          <w:szCs w:val="21"/>
          <w14:textFill>
            <w14:solidFill>
              <w14:schemeClr w14:val="tx1"/>
            </w14:solidFill>
          </w14:textFill>
        </w:rPr>
        <w:t>2.售后服务要求</w:t>
      </w:r>
    </w:p>
    <w:p w14:paraId="29C02A5E">
      <w:pPr>
        <w:spacing w:line="360" w:lineRule="auto"/>
        <w:ind w:firstLine="420" w:firstLineChars="200"/>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2.1为</w:t>
      </w:r>
      <w:r>
        <w:rPr>
          <w:rFonts w:hint="eastAsia" w:ascii="宋体" w:hAnsi="宋体" w:cs="宋体"/>
          <w:color w:val="auto"/>
          <w:szCs w:val="21"/>
          <w:lang w:val="en-US" w:eastAsia="zh-CN"/>
        </w:rPr>
        <w:t>保证项目有序、规范建设，中标人应成立一个由专业技术人员组成的技术服务团队，</w:t>
      </w:r>
      <w:r>
        <w:rPr>
          <w:rFonts w:hint="eastAsia" w:ascii="宋体" w:hAnsi="宋体" w:cs="宋体"/>
          <w:b w:val="0"/>
          <w:bCs w:val="0"/>
          <w:color w:val="auto"/>
          <w:szCs w:val="21"/>
          <w:lang w:val="en-US" w:eastAsia="zh-CN"/>
        </w:rPr>
        <w:t>团队成员不少于15人</w:t>
      </w:r>
      <w:r>
        <w:rPr>
          <w:rFonts w:hint="eastAsia" w:ascii="宋体" w:hAnsi="宋体" w:cs="宋体"/>
          <w:color w:val="auto"/>
          <w:szCs w:val="21"/>
          <w:lang w:val="en-US" w:eastAsia="zh-CN"/>
        </w:rPr>
        <w:t>。确保项目建设方面政策、标准、技术的快速与持续贯彻。</w:t>
      </w:r>
    </w:p>
    <w:p w14:paraId="6632F139">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lang w:val="en-US" w:eastAsia="zh-CN"/>
          <w14:textFill>
            <w14:solidFill>
              <w14:schemeClr w14:val="tx1"/>
            </w14:solidFill>
          </w14:textFill>
        </w:rPr>
        <w:t>2</w:t>
      </w:r>
      <w:r>
        <w:rPr>
          <w:color w:val="000000" w:themeColor="text1"/>
          <w:szCs w:val="21"/>
          <w14:textFill>
            <w14:solidFill>
              <w14:schemeClr w14:val="tx1"/>
            </w14:solidFill>
          </w14:textFill>
        </w:rPr>
        <w:t>中标人须提供专人维护、常设7天×24小时服务专线的技术支持，中标人必须在采购人通知后2小时内响应，24小时内处理完毕，不得影响采购人的正常工作业务。</w:t>
      </w:r>
    </w:p>
    <w:p w14:paraId="4B5D10B7">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r>
        <w:rPr>
          <w:rFonts w:hint="eastAsia"/>
          <w:color w:val="000000" w:themeColor="text1"/>
          <w:szCs w:val="21"/>
          <w:lang w:val="en-US" w:eastAsia="zh-CN"/>
          <w14:textFill>
            <w14:solidFill>
              <w14:schemeClr w14:val="tx1"/>
            </w14:solidFill>
          </w14:textFill>
        </w:rPr>
        <w:t>3</w:t>
      </w:r>
      <w:r>
        <w:rPr>
          <w:color w:val="000000" w:themeColor="text1"/>
          <w:szCs w:val="21"/>
          <w14:textFill>
            <w14:solidFill>
              <w14:schemeClr w14:val="tx1"/>
            </w14:solidFill>
          </w14:textFill>
        </w:rPr>
        <w:t>、中标人应按采购人要求负责培训操作、管理及维护人员，达到熟练掌握产品性能、操作技能及排除一般故障的程度。</w:t>
      </w:r>
    </w:p>
    <w:p w14:paraId="4C5723BB">
      <w:pPr>
        <w:spacing w:line="360" w:lineRule="auto"/>
        <w:ind w:firstLine="420" w:firstLineChars="200"/>
        <w:outlineLvl w:val="2"/>
        <w:rPr>
          <w:color w:val="000000" w:themeColor="text1"/>
          <w:szCs w:val="21"/>
          <w14:textFill>
            <w14:solidFill>
              <w14:schemeClr w14:val="tx1"/>
            </w14:solidFill>
          </w14:textFill>
        </w:rPr>
      </w:pPr>
      <w:r>
        <w:rPr>
          <w:color w:val="000000" w:themeColor="text1"/>
          <w:szCs w:val="21"/>
          <w14:textFill>
            <w14:solidFill>
              <w14:schemeClr w14:val="tx1"/>
            </w14:solidFill>
          </w14:textFill>
        </w:rPr>
        <w:t>3.保密要求</w:t>
      </w:r>
    </w:p>
    <w:p w14:paraId="4602A250">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中标人有义务对采购人的数据信息保密，包括但不限于采购人计算机存储的信息数据、自然资源领域涉密和敏感数据、网络结构信息、应用系统、电话目录、组织结构图表、储运设备及方法</w:t>
      </w:r>
      <w:r>
        <w:rPr>
          <w:rFonts w:hint="eastAsia"/>
          <w:color w:val="000000" w:themeColor="text1"/>
          <w:szCs w:val="21"/>
          <w14:textFill>
            <w14:solidFill>
              <w14:schemeClr w14:val="tx1"/>
            </w14:solidFill>
          </w14:textFill>
        </w:rPr>
        <w:t>，以</w:t>
      </w:r>
      <w:r>
        <w:rPr>
          <w:color w:val="000000" w:themeColor="text1"/>
          <w:szCs w:val="21"/>
          <w14:textFill>
            <w14:solidFill>
              <w14:schemeClr w14:val="tx1"/>
            </w14:solidFill>
          </w14:textFill>
        </w:rPr>
        <w:t>及任何可能被泄露的信息。中标人需要与采购人签订保密协议，并且中标单位须与参与本项目的员工签订保密协议。</w:t>
      </w:r>
    </w:p>
    <w:p w14:paraId="6E19A7AF">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五、项目验收</w:t>
      </w:r>
    </w:p>
    <w:p w14:paraId="6942CF7F">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完成本项目的所有开发工作，系统能正式上线正确试运行之后，甲方通过申请审核即可开展项目验收。本项目由采购人组织验收。</w:t>
      </w:r>
    </w:p>
    <w:p w14:paraId="431F1CC5">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六、其他要求</w:t>
      </w:r>
    </w:p>
    <w:p w14:paraId="1B9F7F0B">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投标人</w:t>
      </w:r>
      <w:r>
        <w:rPr>
          <w:rFonts w:hint="eastAsia" w:ascii="宋体" w:hAnsi="宋体" w:cs="宋体"/>
          <w:color w:val="000000" w:themeColor="text1"/>
          <w:szCs w:val="21"/>
          <w14:textFill>
            <w14:solidFill>
              <w14:schemeClr w14:val="tx1"/>
            </w14:solidFill>
          </w14:textFill>
        </w:rPr>
        <w:t>必须承诺自行提供本项目所有服务内容，原则上不得转让或转包。</w:t>
      </w:r>
    </w:p>
    <w:p w14:paraId="50D99BCB">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中标人</w:t>
      </w:r>
      <w:r>
        <w:rPr>
          <w:rFonts w:hint="eastAsia" w:ascii="宋体" w:hAnsi="宋体" w:cs="宋体"/>
          <w:color w:val="000000" w:themeColor="text1"/>
          <w:szCs w:val="21"/>
          <w14:textFill>
            <w14:solidFill>
              <w14:schemeClr w14:val="tx1"/>
            </w14:solidFill>
          </w14:textFill>
        </w:rPr>
        <w:t>提供的服务不满足</w:t>
      </w:r>
      <w:r>
        <w:rPr>
          <w:rFonts w:hint="eastAsia" w:ascii="宋体" w:hAnsi="宋体" w:cs="宋体"/>
          <w:color w:val="000000" w:themeColor="text1"/>
          <w:szCs w:val="21"/>
          <w:lang w:val="en-US" w:eastAsia="zh-CN"/>
          <w14:textFill>
            <w14:solidFill>
              <w14:schemeClr w14:val="tx1"/>
            </w14:solidFill>
          </w14:textFill>
        </w:rPr>
        <w:t>招标</w:t>
      </w:r>
      <w:r>
        <w:rPr>
          <w:rFonts w:hint="eastAsia" w:ascii="宋体" w:hAnsi="宋体" w:cs="宋体"/>
          <w:color w:val="000000" w:themeColor="text1"/>
          <w:szCs w:val="21"/>
          <w14:textFill>
            <w14:solidFill>
              <w14:schemeClr w14:val="tx1"/>
            </w14:solidFill>
          </w14:textFill>
        </w:rPr>
        <w:t>文件要求，在接到采购人整改通知后应及时在规定时间内进行调整、修改并上报采购人验收。若</w:t>
      </w:r>
      <w:r>
        <w:rPr>
          <w:rFonts w:hint="eastAsia" w:ascii="宋体" w:hAnsi="宋体" w:cs="宋体"/>
          <w:color w:val="000000" w:themeColor="text1"/>
          <w:szCs w:val="21"/>
          <w:lang w:val="en-US" w:eastAsia="zh-CN"/>
          <w14:textFill>
            <w14:solidFill>
              <w14:schemeClr w14:val="tx1"/>
            </w14:solidFill>
          </w14:textFill>
        </w:rPr>
        <w:t>中标人</w:t>
      </w:r>
      <w:r>
        <w:rPr>
          <w:rFonts w:hint="eastAsia" w:ascii="宋体" w:hAnsi="宋体" w:cs="宋体"/>
          <w:color w:val="000000" w:themeColor="text1"/>
          <w:szCs w:val="21"/>
          <w14:textFill>
            <w14:solidFill>
              <w14:schemeClr w14:val="tx1"/>
            </w14:solidFill>
          </w14:textFill>
        </w:rPr>
        <w:t>在经过多次整改仍不合格导致项目延误或无法进行，采购人有权解除合同并追究</w:t>
      </w:r>
      <w:r>
        <w:rPr>
          <w:rFonts w:hint="eastAsia" w:ascii="宋体" w:hAnsi="宋体" w:cs="宋体"/>
          <w:color w:val="000000" w:themeColor="text1"/>
          <w:szCs w:val="21"/>
          <w:lang w:val="en-US" w:eastAsia="zh-CN"/>
          <w14:textFill>
            <w14:solidFill>
              <w14:schemeClr w14:val="tx1"/>
            </w14:solidFill>
          </w14:textFill>
        </w:rPr>
        <w:t>中标人</w:t>
      </w:r>
      <w:r>
        <w:rPr>
          <w:rFonts w:hint="eastAsia" w:ascii="宋体" w:hAnsi="宋体" w:cs="宋体"/>
          <w:color w:val="000000" w:themeColor="text1"/>
          <w:szCs w:val="21"/>
          <w14:textFill>
            <w14:solidFill>
              <w14:schemeClr w14:val="tx1"/>
            </w14:solidFill>
          </w14:textFill>
        </w:rPr>
        <w:t>的法律责任。</w:t>
      </w:r>
    </w:p>
    <w:p w14:paraId="473A8992">
      <w:pPr>
        <w:adjustRightInd w:val="0"/>
        <w:spacing w:line="360" w:lineRule="auto"/>
        <w:outlineLvl w:val="1"/>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七、付款方式</w:t>
      </w:r>
    </w:p>
    <w:p w14:paraId="2BBC832D">
      <w:pPr>
        <w:spacing w:line="360" w:lineRule="auto"/>
        <w:ind w:firstLine="408"/>
        <w:outlineLvl w:val="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1、付款方式：</w:t>
      </w:r>
      <w:r>
        <w:rPr>
          <w:rFonts w:hint="eastAsia" w:ascii="宋体" w:hAnsi="宋体" w:cs="宋体"/>
          <w:color w:val="000000" w:themeColor="text1"/>
          <w:szCs w:val="21"/>
          <w:lang w:val="en-US" w:eastAsia="zh-CN"/>
          <w14:textFill>
            <w14:solidFill>
              <w14:schemeClr w14:val="tx1"/>
            </w14:solidFill>
          </w14:textFill>
        </w:rPr>
        <w:t>项目分三次支付，“一库一平台”正式上线后支付合同金额的50%，项目全部完成经采购人验收合格后支付合同金额的45%，项目验收满一年后支付剩余合同金额的5%</w:t>
      </w:r>
      <w:r>
        <w:rPr>
          <w:rFonts w:hint="eastAsia" w:ascii="宋体" w:hAnsi="宋体" w:cs="宋体"/>
          <w:color w:val="000000" w:themeColor="text1"/>
          <w:szCs w:val="21"/>
          <w14:textFill>
            <w14:solidFill>
              <w14:schemeClr w14:val="tx1"/>
            </w14:solidFill>
          </w14:textFill>
        </w:rPr>
        <w:t>。</w:t>
      </w:r>
    </w:p>
    <w:p w14:paraId="193744BA">
      <w:pPr>
        <w:spacing w:line="360" w:lineRule="auto"/>
        <w:ind w:firstLine="408"/>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2、付款须凭增值税发票，发票由</w:t>
      </w:r>
      <w:r>
        <w:rPr>
          <w:rFonts w:hint="eastAsia" w:ascii="宋体" w:hAnsi="宋体" w:cs="宋体"/>
          <w:color w:val="000000" w:themeColor="text1"/>
          <w:szCs w:val="21"/>
          <w:lang w:val="en-US" w:eastAsia="zh-CN"/>
          <w14:textFill>
            <w14:solidFill>
              <w14:schemeClr w14:val="tx1"/>
            </w14:solidFill>
          </w14:textFill>
        </w:rPr>
        <w:t>中标</w:t>
      </w:r>
      <w:r>
        <w:rPr>
          <w:rFonts w:hint="eastAsia" w:ascii="宋体" w:hAnsi="宋体" w:cs="宋体"/>
          <w:color w:val="000000" w:themeColor="text1"/>
          <w:szCs w:val="21"/>
          <w14:textFill>
            <w14:solidFill>
              <w14:schemeClr w14:val="tx1"/>
            </w14:solidFill>
          </w14:textFill>
        </w:rPr>
        <w:t>单位开具，实际支付进度以财政部门拨款为准。</w:t>
      </w:r>
    </w:p>
    <w:p w14:paraId="204950FA">
      <w:pPr>
        <w:adjustRightInd w:val="0"/>
        <w:snapToGrid w:val="0"/>
        <w:spacing w:line="360" w:lineRule="auto"/>
        <w:ind w:firstLine="422" w:firstLineChars="200"/>
        <w:rPr>
          <w:rFonts w:hint="eastAsia" w:ascii="宋体" w:hAnsi="宋体" w:eastAsia="宋体" w:cs="宋体"/>
          <w:b/>
          <w:bCs/>
          <w:sz w:val="24"/>
          <w:szCs w:val="24"/>
        </w:rPr>
      </w:pPr>
      <w:r>
        <w:rPr>
          <w:rFonts w:hint="eastAsia" w:ascii="宋体" w:hAnsi="宋体"/>
          <w:b/>
          <w:bCs/>
          <w:color w:val="000000" w:themeColor="text1"/>
          <w:szCs w:val="21"/>
          <w14:textFill>
            <w14:solidFill>
              <w14:schemeClr w14:val="tx1"/>
            </w14:solidFill>
          </w14:textFill>
        </w:rPr>
        <w:t>备注：对于上述项目要求，</w:t>
      </w:r>
      <w:r>
        <w:rPr>
          <w:rFonts w:hint="eastAsia" w:ascii="宋体" w:hAnsi="宋体"/>
          <w:b/>
          <w:bCs/>
          <w:color w:val="000000" w:themeColor="text1"/>
          <w:szCs w:val="21"/>
          <w:lang w:val="en-US" w:eastAsia="zh-CN"/>
          <w14:textFill>
            <w14:solidFill>
              <w14:schemeClr w14:val="tx1"/>
            </w14:solidFill>
          </w14:textFill>
        </w:rPr>
        <w:t>投标人</w:t>
      </w:r>
      <w:r>
        <w:rPr>
          <w:rFonts w:hint="eastAsia" w:ascii="宋体" w:hAnsi="宋体"/>
          <w:b/>
          <w:bCs/>
          <w:color w:val="000000" w:themeColor="text1"/>
          <w:szCs w:val="21"/>
          <w14:textFill>
            <w14:solidFill>
              <w14:schemeClr w14:val="tx1"/>
            </w14:solidFill>
          </w14:textFill>
        </w:rPr>
        <w:t>应在</w:t>
      </w:r>
      <w:r>
        <w:rPr>
          <w:rFonts w:hint="eastAsia" w:ascii="宋体" w:hAnsi="宋体"/>
          <w:b/>
          <w:bCs/>
          <w:color w:val="000000" w:themeColor="text1"/>
          <w:szCs w:val="21"/>
          <w:lang w:val="en-US" w:eastAsia="zh-CN"/>
          <w14:textFill>
            <w14:solidFill>
              <w14:schemeClr w14:val="tx1"/>
            </w14:solidFill>
          </w14:textFill>
        </w:rPr>
        <w:t>投标</w:t>
      </w:r>
      <w:r>
        <w:rPr>
          <w:rFonts w:hint="eastAsia" w:ascii="宋体" w:hAnsi="宋体"/>
          <w:b/>
          <w:bCs/>
          <w:color w:val="000000" w:themeColor="text1"/>
          <w:szCs w:val="21"/>
          <w14:textFill>
            <w14:solidFill>
              <w14:schemeClr w14:val="tx1"/>
            </w14:solidFill>
          </w14:textFill>
        </w:rPr>
        <w:t>文件中进行回应，作出承诺及说明。</w:t>
      </w:r>
    </w:p>
    <w:p w14:paraId="37893D53">
      <w:pPr>
        <w:adjustRightInd w:val="0"/>
        <w:snapToGrid w:val="0"/>
        <w:spacing w:line="360" w:lineRule="auto"/>
        <w:ind w:firstLine="480" w:firstLineChars="200"/>
        <w:rPr>
          <w:rFonts w:hint="eastAsia" w:ascii="宋体" w:hAnsi="宋体" w:eastAsia="宋体" w:cs="宋体"/>
          <w:sz w:val="24"/>
          <w:szCs w:val="24"/>
          <w:lang w:val="en-US" w:eastAsia="zh-CN"/>
        </w:rPr>
        <w:sectPr>
          <w:pgSz w:w="11906" w:h="16838"/>
          <w:pgMar w:top="851" w:right="1385" w:bottom="397" w:left="1701" w:header="851" w:footer="992" w:gutter="0"/>
          <w:cols w:space="425" w:num="1"/>
          <w:titlePg/>
          <w:docGrid w:type="lines" w:linePitch="312" w:charSpace="0"/>
        </w:sectPr>
      </w:pPr>
    </w:p>
    <w:p w14:paraId="12AE4A5E">
      <w:pPr>
        <w:pStyle w:val="2"/>
        <w:bidi w:val="0"/>
        <w:rPr>
          <w:rFonts w:hint="eastAsia" w:ascii="黑体" w:hAnsi="黑体" w:eastAsia="黑体" w:cs="黑体"/>
          <w:sz w:val="32"/>
          <w:szCs w:val="32"/>
        </w:rPr>
      </w:pPr>
      <w:bookmarkStart w:id="105" w:name="_Toc12065"/>
      <w:r>
        <w:rPr>
          <w:rFonts w:hint="eastAsia" w:ascii="黑体" w:hAnsi="黑体" w:eastAsia="黑体" w:cs="黑体"/>
          <w:sz w:val="32"/>
          <w:szCs w:val="32"/>
        </w:rPr>
        <w:t>第六章 政府采购合同</w:t>
      </w:r>
      <w:bookmarkEnd w:id="105"/>
    </w:p>
    <w:p w14:paraId="07D6E676"/>
    <w:p w14:paraId="0583EDCD">
      <w:pPr>
        <w:pStyle w:val="3"/>
        <w:numPr>
          <w:ilvl w:val="0"/>
          <w:numId w:val="8"/>
        </w:numPr>
        <w:adjustRightInd w:val="0"/>
        <w:snapToGrid w:val="0"/>
        <w:ind w:firstLine="2530" w:firstLineChars="900"/>
        <w:rPr>
          <w:rFonts w:hint="eastAsia" w:ascii="黑体" w:hAnsi="华文中宋" w:eastAsia="黑体"/>
          <w:color w:val="000000"/>
          <w:sz w:val="28"/>
          <w:szCs w:val="28"/>
        </w:rPr>
      </w:pPr>
      <w:bookmarkStart w:id="106" w:name="_Toc28194"/>
      <w:r>
        <w:rPr>
          <w:rFonts w:hint="eastAsia" w:ascii="黑体" w:hAnsi="华文中宋" w:eastAsia="黑体"/>
          <w:color w:val="000000"/>
          <w:sz w:val="28"/>
          <w:szCs w:val="28"/>
        </w:rPr>
        <w:t>政府采购合同协议书</w:t>
      </w:r>
      <w:bookmarkEnd w:id="106"/>
    </w:p>
    <w:p w14:paraId="02DA6351">
      <w:pPr>
        <w:numPr>
          <w:ilvl w:val="0"/>
          <w:numId w:val="0"/>
        </w:numPr>
        <w:rPr>
          <w:rFonts w:hint="eastAsia"/>
        </w:rPr>
      </w:pPr>
    </w:p>
    <w:p w14:paraId="19A3915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460" w:firstLineChars="2600"/>
        <w:textAlignment w:val="auto"/>
        <w:rPr>
          <w:rFonts w:hint="eastAsia" w:ascii="宋体" w:hAnsi="宋体"/>
          <w:b/>
          <w:szCs w:val="21"/>
        </w:rPr>
      </w:pPr>
      <w:r>
        <w:rPr>
          <w:rFonts w:hint="eastAsia" w:ascii="宋体" w:hAnsi="宋体"/>
          <w:szCs w:val="21"/>
        </w:rPr>
        <w:t>采购合同编号：</w:t>
      </w:r>
      <w:r>
        <w:rPr>
          <w:rFonts w:ascii="宋体" w:hAnsi="宋体"/>
          <w:szCs w:val="21"/>
          <w:u w:val="single"/>
        </w:rPr>
        <w:t xml:space="preserve">                 </w:t>
      </w:r>
    </w:p>
    <w:p w14:paraId="3F76277D">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u w:val="single"/>
          <w:lang w:eastAsia="zh-CN"/>
        </w:rPr>
        <w:t>涟源市自然资源局</w:t>
      </w:r>
      <w:r>
        <w:rPr>
          <w:rFonts w:hint="eastAsia" w:ascii="宋体" w:hAnsi="宋体"/>
          <w:szCs w:val="21"/>
          <w:u w:val="single"/>
        </w:rPr>
        <w:t xml:space="preserve">        </w:t>
      </w:r>
      <w:r>
        <w:rPr>
          <w:rFonts w:hint="eastAsia" w:ascii="宋体" w:hAnsi="宋体"/>
          <w:szCs w:val="21"/>
        </w:rPr>
        <w:t>（甲方）</w:t>
      </w:r>
    </w:p>
    <w:p w14:paraId="5C7664B5">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41A57860">
      <w:pPr>
        <w:pStyle w:val="20"/>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szCs w:val="21"/>
        </w:rPr>
      </w:pPr>
      <w:r>
        <w:rPr>
          <w:rFonts w:hint="eastAsia" w:ascii="宋体" w:hAnsi="宋体"/>
          <w:szCs w:val="21"/>
        </w:rPr>
        <w:t>为了保护甲、乙双方合法权益，根据《中华人民共和国民法典》、《中华人民共和国政府采购法》及其他有关法律、法规、规章，双方签订本合同协议书。</w:t>
      </w:r>
    </w:p>
    <w:p w14:paraId="1376A8B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b/>
          <w:szCs w:val="21"/>
        </w:rPr>
      </w:pPr>
      <w:r>
        <w:rPr>
          <w:rFonts w:hint="eastAsia" w:ascii="宋体" w:hAnsi="宋体"/>
          <w:b/>
          <w:szCs w:val="21"/>
        </w:rPr>
        <w:t>1.项目信息</w:t>
      </w:r>
    </w:p>
    <w:p w14:paraId="37D4C90B">
      <w:pPr>
        <w:pStyle w:val="20"/>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20" w:firstLineChars="200"/>
        <w:textAlignment w:val="auto"/>
        <w:rPr>
          <w:rFonts w:hint="default" w:ascii="宋体" w:hAnsi="宋体" w:eastAsia="宋体"/>
          <w:szCs w:val="21"/>
          <w:lang w:val="en-US" w:eastAsia="zh-CN"/>
        </w:rPr>
      </w:pPr>
      <w:r>
        <w:rPr>
          <w:rFonts w:hint="eastAsia" w:ascii="宋体" w:hAnsi="宋体"/>
          <w:szCs w:val="21"/>
        </w:rPr>
        <w:t>（1）采购项目名称：</w:t>
      </w:r>
      <w:r>
        <w:rPr>
          <w:rFonts w:ascii="宋体" w:hAnsi="宋体"/>
          <w:szCs w:val="21"/>
          <w:u w:val="single"/>
        </w:rPr>
        <w:t xml:space="preserve"> </w:t>
      </w:r>
      <w:r>
        <w:rPr>
          <w:rFonts w:hint="eastAsia" w:ascii="宋体" w:hAnsi="宋体"/>
          <w:szCs w:val="21"/>
          <w:u w:val="single"/>
          <w:lang w:eastAsia="zh-CN"/>
        </w:rPr>
        <w:t>涟源市不动产登记信息“一库一平台”建设项目</w:t>
      </w:r>
      <w:r>
        <w:rPr>
          <w:rFonts w:hint="eastAsia" w:ascii="宋体" w:hAnsi="宋体"/>
          <w:szCs w:val="21"/>
          <w:u w:val="single"/>
          <w:lang w:val="en-US" w:eastAsia="zh-CN"/>
        </w:rPr>
        <w:t xml:space="preserve">   </w:t>
      </w:r>
    </w:p>
    <w:p w14:paraId="3215EA7A">
      <w:pPr>
        <w:pStyle w:val="20"/>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szCs w:val="21"/>
        </w:rPr>
      </w:pPr>
      <w:r>
        <w:rPr>
          <w:rFonts w:hint="eastAsia" w:ascii="宋体" w:hAnsi="宋体"/>
          <w:szCs w:val="21"/>
        </w:rPr>
        <w:t>（2）采购计划编号：</w:t>
      </w:r>
      <w:r>
        <w:rPr>
          <w:rFonts w:ascii="宋体" w:hAnsi="宋体"/>
          <w:szCs w:val="21"/>
          <w:highlight w:val="none"/>
          <w:u w:val="single"/>
        </w:rPr>
        <w:t xml:space="preserve"> </w:t>
      </w:r>
      <w:r>
        <w:rPr>
          <w:rFonts w:hint="eastAsia" w:ascii="宋体" w:hAnsi="宋体"/>
          <w:szCs w:val="21"/>
          <w:highlight w:val="none"/>
          <w:u w:val="single"/>
          <w:lang w:eastAsia="zh-CN"/>
        </w:rPr>
        <w:t>(2026)431382000017-1</w:t>
      </w:r>
      <w:r>
        <w:rPr>
          <w:rFonts w:ascii="宋体" w:hAnsi="宋体"/>
          <w:szCs w:val="21"/>
        </w:rPr>
        <w:t xml:space="preserve"> </w:t>
      </w:r>
    </w:p>
    <w:p w14:paraId="5A3A1F5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（3）项目内容：</w:t>
      </w:r>
      <w:r>
        <w:rPr>
          <w:rFonts w:hint="eastAsia" w:ascii="宋体" w:hAnsi="宋体"/>
          <w:szCs w:val="21"/>
          <w:u w:val="single"/>
        </w:rPr>
        <w:t xml:space="preserve">                     </w:t>
      </w:r>
    </w:p>
    <w:p w14:paraId="588C23E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（4）是否分包：</w:t>
      </w:r>
      <w:r>
        <w:rPr>
          <w:rFonts w:hint="eastAsia" w:ascii="宋体" w:hAnsi="宋体"/>
          <w:szCs w:val="21"/>
          <w:u w:val="single"/>
        </w:rPr>
        <w:t xml:space="preserve">   否        </w:t>
      </w:r>
      <w:r>
        <w:rPr>
          <w:rFonts w:hint="eastAsia" w:ascii="宋体" w:hAnsi="宋体"/>
          <w:szCs w:val="21"/>
        </w:rPr>
        <w:t>。</w:t>
      </w:r>
    </w:p>
    <w:p w14:paraId="26B7BE2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（5）项目负责人：</w:t>
      </w:r>
      <w:r>
        <w:rPr>
          <w:rFonts w:hint="eastAsia" w:ascii="宋体" w:hAnsi="宋体"/>
          <w:szCs w:val="21"/>
          <w:u w:val="single"/>
        </w:rPr>
        <w:t xml:space="preserve">               </w:t>
      </w:r>
      <w:r>
        <w:rPr>
          <w:rFonts w:hint="eastAsia" w:ascii="宋体" w:hAnsi="宋体"/>
          <w:szCs w:val="21"/>
        </w:rPr>
        <w:t>。</w:t>
      </w:r>
    </w:p>
    <w:p w14:paraId="0267F43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（6）联系电话：</w:t>
      </w:r>
      <w:r>
        <w:rPr>
          <w:rFonts w:hint="eastAsia" w:ascii="宋体" w:hAnsi="宋体"/>
          <w:szCs w:val="21"/>
          <w:u w:val="single"/>
        </w:rPr>
        <w:t xml:space="preserve">               </w:t>
      </w:r>
      <w:r>
        <w:rPr>
          <w:rFonts w:hint="eastAsia" w:ascii="宋体" w:hAnsi="宋体"/>
          <w:szCs w:val="21"/>
        </w:rPr>
        <w:t>。</w:t>
      </w:r>
    </w:p>
    <w:p w14:paraId="52953D2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13" w:firstLineChars="196"/>
        <w:textAlignment w:val="auto"/>
        <w:rPr>
          <w:rFonts w:hint="eastAsia" w:ascii="宋体" w:hAnsi="宋体"/>
          <w:b/>
          <w:szCs w:val="21"/>
        </w:rPr>
      </w:pPr>
      <w:r>
        <w:rPr>
          <w:rFonts w:hint="eastAsia" w:ascii="宋体" w:hAnsi="宋体"/>
          <w:b/>
          <w:szCs w:val="21"/>
        </w:rPr>
        <w:t>2.合同金额</w:t>
      </w:r>
    </w:p>
    <w:p w14:paraId="3C0AEE1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69D65630">
      <w:pPr>
        <w:keepNext w:val="0"/>
        <w:keepLines w:val="0"/>
        <w:pageBreakBefore w:val="0"/>
        <w:widowControl w:val="0"/>
        <w:kinsoku/>
        <w:wordWrap/>
        <w:overflowPunct/>
        <w:topLinePunct w:val="0"/>
        <w:autoSpaceDE/>
        <w:autoSpaceDN/>
        <w:bidi w:val="0"/>
        <w:adjustRightInd w:val="0"/>
        <w:snapToGrid w:val="0"/>
        <w:spacing w:line="360" w:lineRule="auto"/>
        <w:ind w:firstLine="1890" w:firstLineChars="900"/>
        <w:textAlignment w:val="auto"/>
        <w:rPr>
          <w:rFonts w:hint="eastAsia" w:ascii="宋体" w:hAnsi="宋体"/>
          <w:b/>
          <w:szCs w:val="21"/>
        </w:rPr>
      </w:pPr>
      <w:r>
        <w:rPr>
          <w:rFonts w:hint="eastAsia" w:ascii="宋体" w:hAnsi="宋体"/>
          <w:szCs w:val="21"/>
        </w:rPr>
        <w:t>大写：</w:t>
      </w:r>
      <w:r>
        <w:rPr>
          <w:rFonts w:hint="eastAsia" w:ascii="宋体" w:hAnsi="宋体"/>
          <w:szCs w:val="21"/>
          <w:u w:val="single"/>
        </w:rPr>
        <w:t xml:space="preserve">                      </w:t>
      </w:r>
    </w:p>
    <w:p w14:paraId="04DBB5B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（2）具体标的见附件。</w:t>
      </w:r>
    </w:p>
    <w:p w14:paraId="32BF725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（3）合同定价方式：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568E7C7E">
      <w:pPr>
        <w:pStyle w:val="64"/>
        <w:keepNext w:val="0"/>
        <w:keepLines w:val="0"/>
        <w:pageBreakBefore w:val="0"/>
        <w:widowControl w:val="0"/>
        <w:kinsoku/>
        <w:wordWrap/>
        <w:overflowPunct/>
        <w:topLinePunct w:val="0"/>
        <w:autoSpaceDE/>
        <w:autoSpaceDN/>
        <w:bidi w:val="0"/>
        <w:spacing w:line="360" w:lineRule="auto"/>
        <w:ind w:left="0" w:leftChars="0"/>
        <w:textAlignment w:val="auto"/>
      </w:pPr>
      <w:r>
        <w:rPr>
          <w:rFonts w:hint="eastAsia" w:ascii="宋体" w:hAnsi="宋体"/>
        </w:rPr>
        <w:t>（4）付款方式（按项目实际勾选填写）：</w:t>
      </w:r>
    </w:p>
    <w:p w14:paraId="1E77BB6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textAlignment w:val="auto"/>
        <w:rPr>
          <w:rFonts w:hint="eastAsia"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（应一次性支付全部合同款项）                    </w:t>
      </w:r>
    </w:p>
    <w:p w14:paraId="2E478EB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textAlignment w:val="auto"/>
        <w:rPr>
          <w:rFonts w:hint="eastAsia" w:ascii="宋体" w:hAnsi="宋体"/>
          <w:szCs w:val="21"/>
          <w:u w:val="single"/>
        </w:rPr>
      </w:pPr>
      <w:r>
        <w:rPr>
          <w:rFonts w:hint="eastAsia" w:ascii="宋体" w:hAnsi="宋体"/>
          <w:szCs w:val="21"/>
        </w:rPr>
        <w:sym w:font="Wingdings" w:char="00A8"/>
      </w:r>
      <w:r>
        <w:rPr>
          <w:rFonts w:hint="eastAsia" w:ascii="宋体" w:hAnsi="宋体"/>
          <w:szCs w:val="21"/>
        </w:rPr>
        <w:t>预付款：</w:t>
      </w:r>
      <w:r>
        <w:rPr>
          <w:rFonts w:hint="eastAsia" w:ascii="宋体" w:hAnsi="宋体"/>
          <w:szCs w:val="21"/>
          <w:u w:val="single"/>
        </w:rPr>
        <w:t xml:space="preserve">    （应明确预付款的支付比例和支付条件）               </w:t>
      </w:r>
    </w:p>
    <w:p w14:paraId="75DF1E44">
      <w:pPr>
        <w:keepNext w:val="0"/>
        <w:keepLines w:val="0"/>
        <w:pageBreakBefore w:val="0"/>
        <w:widowControl w:val="0"/>
        <w:kinsoku/>
        <w:wordWrap/>
        <w:overflowPunct/>
        <w:topLinePunct w:val="0"/>
        <w:autoSpaceDE/>
        <w:autoSpaceDN/>
        <w:bidi w:val="0"/>
        <w:spacing w:line="360" w:lineRule="auto"/>
        <w:ind w:left="0" w:leftChars="0" w:firstLine="630" w:firstLineChars="300"/>
        <w:textAlignment w:val="auto"/>
        <w:rPr>
          <w:rFonts w:hint="eastAsia" w:ascii="宋体" w:hAnsi="宋体" w:eastAsia="宋体"/>
          <w:color w:val="auto"/>
          <w:szCs w:val="21"/>
          <w:highlight w:val="yellow"/>
          <w:u w:val="single"/>
          <w:lang w:eastAsia="zh-CN"/>
        </w:rPr>
      </w:pPr>
      <w:r>
        <w:rPr>
          <w:rFonts w:hint="eastAsia" w:ascii="宋体" w:hAnsi="宋体"/>
          <w:szCs w:val="21"/>
        </w:rPr>
        <w:sym w:font="Wingdings" w:char="00FE"/>
      </w:r>
      <w:r>
        <w:rPr>
          <w:rFonts w:hint="eastAsia" w:ascii="宋体" w:hAnsi="宋体"/>
          <w:szCs w:val="21"/>
        </w:rPr>
        <w:t>分期付款</w:t>
      </w:r>
      <w:r>
        <w:rPr>
          <w:rFonts w:hint="eastAsia" w:ascii="宋体" w:hAnsi="宋体"/>
          <w:szCs w:val="21"/>
          <w:u w:val="none"/>
        </w:rPr>
        <w:t>：</w:t>
      </w:r>
      <w:r>
        <w:rPr>
          <w:rFonts w:hint="eastAsia" w:ascii="宋体" w:hAnsi="宋体"/>
          <w:szCs w:val="21"/>
          <w:u w:val="single"/>
          <w:lang w:val="en-US" w:eastAsia="zh-CN"/>
        </w:rPr>
        <w:t>项目分三次支付，“一库一平台”正式上线后支付合同金额的50%，项目全部完成经采购人验收合格后支付合同金额的45%，项目验收满一年后支付剩余合同金额的5%</w:t>
      </w:r>
      <w:r>
        <w:rPr>
          <w:rFonts w:hint="eastAsia" w:ascii="宋体" w:hAnsi="宋体"/>
          <w:szCs w:val="21"/>
          <w:u w:val="single"/>
        </w:rPr>
        <w:t>。</w:t>
      </w:r>
    </w:p>
    <w:p w14:paraId="4F74505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textAlignment w:val="auto"/>
        <w:rPr>
          <w:rFonts w:hint="eastAsia" w:ascii="宋体" w:hAnsi="宋体"/>
          <w:szCs w:val="21"/>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3E3DAD0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630" w:firstLineChars="300"/>
        <w:textAlignment w:val="auto"/>
        <w:rPr>
          <w:rFonts w:hint="eastAsia"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18DCF00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szCs w:val="21"/>
          <w:u w:val="single"/>
        </w:rPr>
      </w:pPr>
      <w:r>
        <w:rPr>
          <w:rFonts w:hint="eastAsia" w:ascii="宋体" w:hAnsi="宋体"/>
          <w:b/>
          <w:szCs w:val="21"/>
        </w:rPr>
        <w:t>3.合同履行</w:t>
      </w:r>
    </w:p>
    <w:p w14:paraId="5D8AB3E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Style w:val="131"/>
          <w:rFonts w:hint="eastAsia" w:ascii="宋体" w:hAnsi="宋体" w:cs="宋体"/>
          <w:bCs/>
          <w:kern w:val="0"/>
          <w:szCs w:val="21"/>
        </w:rPr>
      </w:pPr>
      <w:r>
        <w:rPr>
          <w:rFonts w:hint="eastAsia" w:ascii="宋体" w:hAnsi="宋体"/>
          <w:szCs w:val="21"/>
        </w:rPr>
        <w:t>（1）</w:t>
      </w:r>
      <w:r>
        <w:rPr>
          <w:rFonts w:hint="eastAsia" w:ascii="宋体" w:hAnsi="宋体"/>
          <w:szCs w:val="21"/>
          <w:lang w:val="en-US" w:eastAsia="zh-CN"/>
        </w:rPr>
        <w:t>服务期限：</w:t>
      </w:r>
      <w:r>
        <w:rPr>
          <w:rStyle w:val="131"/>
          <w:rFonts w:hint="eastAsia" w:ascii="宋体" w:hAnsi="宋体" w:cs="宋体"/>
          <w:bCs/>
          <w:kern w:val="0"/>
          <w:szCs w:val="21"/>
          <w:lang w:val="en-US"/>
        </w:rPr>
        <w:t>6个月</w:t>
      </w:r>
      <w:r>
        <w:rPr>
          <w:rStyle w:val="131"/>
          <w:rFonts w:hint="eastAsia" w:ascii="宋体" w:hAnsi="宋体" w:cs="宋体"/>
          <w:bCs/>
          <w:kern w:val="0"/>
          <w:szCs w:val="21"/>
        </w:rPr>
        <w:t>。</w:t>
      </w:r>
    </w:p>
    <w:p w14:paraId="7823643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u w:val="single"/>
        </w:rPr>
      </w:pPr>
      <w:r>
        <w:rPr>
          <w:rFonts w:hint="eastAsia" w:ascii="宋体" w:hAnsi="宋体"/>
          <w:szCs w:val="21"/>
        </w:rPr>
        <w:t>（2）地点</w:t>
      </w:r>
      <w:r>
        <w:rPr>
          <w:rFonts w:hint="eastAsia" w:ascii="宋体" w:hAnsi="宋体"/>
          <w:b/>
          <w:szCs w:val="21"/>
        </w:rPr>
        <w:t>：</w:t>
      </w:r>
      <w:r>
        <w:rPr>
          <w:rFonts w:hint="eastAsia" w:ascii="宋体" w:hAnsi="宋体"/>
          <w:szCs w:val="21"/>
          <w:u w:val="single"/>
        </w:rPr>
        <w:t xml:space="preserve">                             </w:t>
      </w:r>
    </w:p>
    <w:p w14:paraId="0D2EB7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u w:val="single"/>
        </w:rPr>
      </w:pPr>
      <w:r>
        <w:rPr>
          <w:rFonts w:hint="eastAsia" w:ascii="宋体" w:hAnsi="宋体"/>
          <w:szCs w:val="21"/>
        </w:rPr>
        <w:t>（3）方式：</w:t>
      </w:r>
      <w:r>
        <w:rPr>
          <w:rFonts w:hint="eastAsia" w:ascii="宋体" w:hAnsi="宋体"/>
          <w:szCs w:val="21"/>
          <w:u w:val="single"/>
        </w:rPr>
        <w:t xml:space="preserve">                             </w:t>
      </w:r>
    </w:p>
    <w:p w14:paraId="2E48CDA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bCs/>
          <w:szCs w:val="21"/>
        </w:rPr>
      </w:pPr>
      <w:r>
        <w:rPr>
          <w:rFonts w:hint="eastAsia" w:ascii="宋体" w:hAnsi="宋体"/>
          <w:bCs/>
          <w:szCs w:val="21"/>
        </w:rPr>
        <w:t>（4）履约担保：</w:t>
      </w:r>
      <w:r>
        <w:rPr>
          <w:rFonts w:hint="eastAsia" w:ascii="宋体" w:hAnsi="宋体"/>
          <w:bCs/>
          <w:szCs w:val="21"/>
          <w:u w:val="single"/>
        </w:rPr>
        <w:t>履约担保的金额、形式和期限要求</w:t>
      </w:r>
      <w:r>
        <w:rPr>
          <w:rFonts w:hint="eastAsia" w:ascii="宋体" w:hAnsi="宋体"/>
          <w:bCs/>
          <w:szCs w:val="21"/>
        </w:rPr>
        <w:t>。</w:t>
      </w:r>
    </w:p>
    <w:p w14:paraId="4FF8991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bCs/>
          <w:szCs w:val="21"/>
        </w:rPr>
      </w:pPr>
      <w:r>
        <w:rPr>
          <w:rFonts w:hint="eastAsia" w:ascii="宋体" w:hAnsi="宋体"/>
          <w:bCs/>
          <w:szCs w:val="21"/>
        </w:rPr>
        <w:t>（5）质量保证金：</w:t>
      </w:r>
      <w:r>
        <w:rPr>
          <w:rFonts w:hint="eastAsia" w:ascii="宋体" w:hAnsi="宋体"/>
          <w:bCs/>
          <w:szCs w:val="21"/>
          <w:u w:val="single"/>
        </w:rPr>
        <w:t>质量保证金的金额、形式和期限要求</w:t>
      </w:r>
      <w:r>
        <w:rPr>
          <w:rFonts w:hint="eastAsia" w:ascii="宋体" w:hAnsi="宋体"/>
          <w:bCs/>
          <w:szCs w:val="21"/>
        </w:rPr>
        <w:t>。</w:t>
      </w:r>
    </w:p>
    <w:p w14:paraId="2DB7958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b/>
          <w:szCs w:val="21"/>
        </w:rPr>
      </w:pPr>
      <w:r>
        <w:rPr>
          <w:rFonts w:hint="eastAsia" w:ascii="宋体" w:hAnsi="宋体"/>
          <w:b/>
          <w:szCs w:val="21"/>
        </w:rPr>
        <w:t>4.合同验收</w:t>
      </w:r>
    </w:p>
    <w:p w14:paraId="039F09C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bCs/>
          <w:szCs w:val="21"/>
        </w:rPr>
      </w:pPr>
      <w:r>
        <w:rPr>
          <w:rFonts w:hint="eastAsia" w:ascii="宋体" w:hAnsi="宋体"/>
          <w:bCs/>
          <w:szCs w:val="21"/>
        </w:rPr>
        <w:t>（1）验收主体：</w:t>
      </w:r>
      <w:r>
        <w:rPr>
          <w:rFonts w:hint="eastAsia" w:ascii="宋体" w:hAnsi="宋体"/>
          <w:bCs/>
          <w:szCs w:val="21"/>
          <w:u w:val="single"/>
        </w:rPr>
        <w:t xml:space="preserve">  </w:t>
      </w:r>
      <w:r>
        <w:rPr>
          <w:rFonts w:hint="eastAsia" w:ascii="宋体" w:hAnsi="宋体"/>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0809CBB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rPr>
        <w:t>。</w:t>
      </w:r>
    </w:p>
    <w:p w14:paraId="1A6CEA8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bCs/>
          <w:szCs w:val="21"/>
        </w:rPr>
      </w:pPr>
      <w:r>
        <w:rPr>
          <w:rFonts w:hint="eastAsia" w:ascii="宋体" w:hAnsi="宋体"/>
          <w:bCs/>
          <w:szCs w:val="21"/>
        </w:rPr>
        <w:t>（3）验收标准：</w:t>
      </w:r>
      <w:r>
        <w:rPr>
          <w:rFonts w:hint="eastAsia" w:ascii="宋体" w:hAnsi="宋体"/>
          <w:bCs/>
          <w:szCs w:val="21"/>
          <w:u w:val="single"/>
        </w:rPr>
        <w:t xml:space="preserve">                             </w:t>
      </w:r>
      <w:r>
        <w:rPr>
          <w:rFonts w:hint="eastAsia" w:ascii="宋体" w:hAnsi="宋体"/>
          <w:bCs/>
          <w:szCs w:val="21"/>
        </w:rPr>
        <w:t>。</w:t>
      </w:r>
    </w:p>
    <w:p w14:paraId="2512B4B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b/>
          <w:szCs w:val="21"/>
        </w:rPr>
      </w:pPr>
      <w:r>
        <w:rPr>
          <w:rFonts w:hint="eastAsia" w:ascii="宋体" w:hAnsi="宋体"/>
          <w:b/>
          <w:szCs w:val="21"/>
        </w:rPr>
        <w:t>5.组成合同的文件</w:t>
      </w:r>
    </w:p>
    <w:p w14:paraId="66FBB07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14:paraId="45F2692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（1）在采购或合同履行过程中乙方作出的承诺以及双方协商达成的变更或补充协议</w:t>
      </w:r>
    </w:p>
    <w:p w14:paraId="5896F11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（2）本合同协议书</w:t>
      </w:r>
    </w:p>
    <w:p w14:paraId="0BA9834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（3）中标通知书</w:t>
      </w:r>
    </w:p>
    <w:p w14:paraId="679C4E3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（4）投标文件</w:t>
      </w:r>
    </w:p>
    <w:p w14:paraId="3A626C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（5）政府采购合同专用条款</w:t>
      </w:r>
    </w:p>
    <w:p w14:paraId="2DDDEB8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（6）政府采购合同通用条款</w:t>
      </w:r>
    </w:p>
    <w:p w14:paraId="03FF3A5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（7）标准、规范及有关技术文件，图纸。</w:t>
      </w:r>
    </w:p>
    <w:p w14:paraId="047BA45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（8）其他合同文件。</w:t>
      </w:r>
    </w:p>
    <w:p w14:paraId="690279C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10" w:firstLineChars="147"/>
        <w:textAlignment w:val="auto"/>
        <w:rPr>
          <w:rFonts w:hint="eastAsia" w:ascii="宋体" w:hAnsi="宋体"/>
          <w:b/>
          <w:szCs w:val="21"/>
        </w:rPr>
      </w:pPr>
      <w:r>
        <w:rPr>
          <w:rFonts w:hint="eastAsia" w:ascii="宋体" w:hAnsi="宋体"/>
          <w:b/>
          <w:szCs w:val="21"/>
        </w:rPr>
        <w:t>6.合同生效</w:t>
      </w:r>
    </w:p>
    <w:p w14:paraId="2CE0183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30AB359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10" w:firstLineChars="147"/>
        <w:textAlignment w:val="auto"/>
        <w:rPr>
          <w:rFonts w:hint="eastAsia" w:ascii="宋体" w:hAnsi="宋体"/>
          <w:b/>
          <w:szCs w:val="21"/>
        </w:rPr>
      </w:pPr>
      <w:r>
        <w:rPr>
          <w:rFonts w:hint="eastAsia" w:ascii="宋体" w:hAnsi="宋体"/>
          <w:b/>
          <w:szCs w:val="21"/>
        </w:rPr>
        <w:t>7.合同份数</w:t>
      </w:r>
    </w:p>
    <w:p w14:paraId="566A243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份，政府采购监管部门1份、采购代理机构1份，均具有同等法律效力。</w:t>
      </w:r>
    </w:p>
    <w:p w14:paraId="602184B0">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p>
    <w:p w14:paraId="4E6ECD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F90C5A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14:paraId="1657A96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rPr>
      </w:pPr>
      <w:r>
        <w:rPr>
          <w:rFonts w:hint="eastAsia" w:ascii="宋体" w:hAnsi="宋体"/>
          <w:szCs w:val="21"/>
        </w:rPr>
        <w:t xml:space="preserve">附件：具体标的明细、分包合同等。    </w:t>
      </w:r>
    </w:p>
    <w:p w14:paraId="1425EDFC">
      <w:pPr>
        <w:pStyle w:val="64"/>
        <w:keepNext w:val="0"/>
        <w:keepLines w:val="0"/>
        <w:pageBreakBefore w:val="0"/>
        <w:widowControl w:val="0"/>
        <w:kinsoku/>
        <w:wordWrap/>
        <w:overflowPunct/>
        <w:topLinePunct w:val="0"/>
        <w:autoSpaceDE/>
        <w:autoSpaceDN/>
        <w:bidi w:val="0"/>
        <w:spacing w:line="360" w:lineRule="auto"/>
        <w:ind w:left="0" w:leftChars="0"/>
        <w:textAlignment w:val="auto"/>
        <w:rPr>
          <w:rFonts w:hint="eastAsia" w:ascii="宋体" w:hAnsi="宋体"/>
        </w:rPr>
      </w:pPr>
    </w:p>
    <w:p w14:paraId="3FAA6427">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r>
        <w:rPr>
          <w:rFonts w:hint="eastAsia" w:ascii="宋体" w:hAnsi="宋体"/>
          <w:szCs w:val="21"/>
        </w:rPr>
        <w:t>甲      方：（公章）                     乙      方：（公章）</w:t>
      </w:r>
    </w:p>
    <w:p w14:paraId="160B36AC">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596A27BE">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37192C75">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6D95E5D2">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5B5DA59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7F094BFB">
      <w:pPr>
        <w:pStyle w:val="296"/>
        <w:keepNext w:val="0"/>
        <w:keepLines w:val="0"/>
        <w:pageBreakBefore w:val="0"/>
        <w:widowControl w:val="0"/>
        <w:kinsoku/>
        <w:wordWrap/>
        <w:overflowPunct/>
        <w:topLinePunct w:val="0"/>
        <w:autoSpaceDE/>
        <w:autoSpaceDN/>
        <w:bidi w:val="0"/>
        <w:spacing w:line="360" w:lineRule="auto"/>
        <w:ind w:left="0" w:leftChars="0"/>
        <w:textAlignment w:val="auto"/>
        <w:rPr>
          <w:rFonts w:hint="eastAsia" w:ascii="宋体" w:hAnsi="宋体"/>
          <w:color w:val="000000" w:themeColor="text1"/>
          <w:szCs w:val="21"/>
          <w14:textFill>
            <w14:solidFill>
              <w14:schemeClr w14:val="tx1"/>
            </w14:solidFill>
          </w14:textFill>
        </w:rPr>
      </w:pPr>
      <w:r>
        <w:rPr>
          <w:rFonts w:hint="eastAsia" w:ascii="宋体" w:hAnsi="宋体"/>
          <w:szCs w:val="21"/>
        </w:rPr>
        <w:t xml:space="preserve">                                        账       号：</w:t>
      </w:r>
      <w:r>
        <w:rPr>
          <w:rFonts w:hint="eastAsia" w:ascii="宋体" w:hAnsi="宋体"/>
          <w:szCs w:val="21"/>
          <w:u w:val="single"/>
        </w:rPr>
        <w:t xml:space="preserve">                   </w:t>
      </w:r>
    </w:p>
    <w:p w14:paraId="14451060">
      <w:pPr>
        <w:pStyle w:val="296"/>
        <w:spacing w:line="400" w:lineRule="exact"/>
        <w:jc w:val="center"/>
        <w:rPr>
          <w:rFonts w:ascii="宋体" w:hAnsi="宋体"/>
          <w:color w:val="000000"/>
          <w:sz w:val="21"/>
          <w:szCs w:val="21"/>
          <w:u w:val="single"/>
        </w:rPr>
      </w:pPr>
    </w:p>
    <w:p w14:paraId="32BD04FE">
      <w:pPr>
        <w:widowControl w:val="0"/>
        <w:jc w:val="center"/>
        <w:rPr>
          <w:rFonts w:hint="eastAsia" w:ascii="黑体" w:hAnsi="华文中宋" w:eastAsia="宋体" w:cs="Times New Roman"/>
          <w:kern w:val="2"/>
          <w:sz w:val="28"/>
          <w:szCs w:val="28"/>
          <w:lang w:val="en-US" w:eastAsia="zh-CN" w:bidi="ar-SA"/>
        </w:rPr>
      </w:pPr>
      <w:r>
        <w:rPr>
          <w:rFonts w:hint="eastAsia" w:ascii="Times New Roman" w:hAnsi="Times New Roman" w:eastAsia="宋体" w:cs="Times New Roman"/>
          <w:kern w:val="2"/>
          <w:sz w:val="21"/>
          <w:szCs w:val="24"/>
          <w:lang w:val="en-US" w:eastAsia="zh-CN" w:bidi="ar-SA"/>
        </w:rPr>
        <w:t>（</w:t>
      </w:r>
      <w:r>
        <w:rPr>
          <w:rFonts w:hint="eastAsia" w:ascii="Times New Roman" w:hAnsi="Times New Roman" w:eastAsia="宋体" w:cs="Times New Roman"/>
          <w:kern w:val="2"/>
          <w:sz w:val="21"/>
          <w:szCs w:val="24"/>
          <w:lang w:val="en-US" w:eastAsia="zh-Hans" w:bidi="ar-SA"/>
        </w:rPr>
        <w:t>该文本为示范文本仅供参考</w:t>
      </w:r>
      <w:r>
        <w:rPr>
          <w:rFonts w:ascii="Times New Roman" w:hAnsi="Times New Roman" w:eastAsia="宋体" w:cs="Times New Roman"/>
          <w:kern w:val="2"/>
          <w:sz w:val="21"/>
          <w:szCs w:val="24"/>
          <w:lang w:val="en-US" w:eastAsia="zh-Hans" w:bidi="ar-SA"/>
        </w:rPr>
        <w:t>，</w:t>
      </w:r>
      <w:r>
        <w:rPr>
          <w:rFonts w:hint="eastAsia" w:ascii="Times New Roman" w:hAnsi="Times New Roman" w:eastAsia="宋体" w:cs="Times New Roman"/>
          <w:kern w:val="2"/>
          <w:sz w:val="21"/>
          <w:szCs w:val="24"/>
          <w:lang w:val="en-US" w:eastAsia="zh-Hans" w:bidi="ar-SA"/>
        </w:rPr>
        <w:t>最终以双方签订的采购合同为准</w:t>
      </w:r>
      <w:r>
        <w:rPr>
          <w:rFonts w:hint="eastAsia" w:ascii="Times New Roman" w:hAnsi="Times New Roman" w:eastAsia="宋体" w:cs="Times New Roman"/>
          <w:kern w:val="2"/>
          <w:sz w:val="21"/>
          <w:szCs w:val="24"/>
          <w:lang w:val="en-US" w:eastAsia="zh-CN" w:bidi="ar-SA"/>
        </w:rPr>
        <w:t>）</w:t>
      </w:r>
    </w:p>
    <w:p w14:paraId="79EA242E">
      <w:pPr>
        <w:pStyle w:val="296"/>
        <w:spacing w:line="400" w:lineRule="exact"/>
        <w:jc w:val="center"/>
        <w:rPr>
          <w:rFonts w:ascii="宋体" w:hAnsi="宋体"/>
          <w:color w:val="000000"/>
          <w:sz w:val="21"/>
          <w:szCs w:val="21"/>
          <w:u w:val="single"/>
        </w:rPr>
      </w:pPr>
      <w:r>
        <w:rPr>
          <w:rFonts w:ascii="宋体" w:hAnsi="宋体"/>
          <w:color w:val="000000"/>
          <w:sz w:val="21"/>
          <w:szCs w:val="21"/>
          <w:u w:val="single"/>
        </w:rPr>
        <w:br w:type="page"/>
      </w:r>
    </w:p>
    <w:p w14:paraId="591BD23B">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bookmarkStart w:id="107" w:name="_Toc19078"/>
      <w:bookmarkStart w:id="108" w:name="_Toc582"/>
      <w:r>
        <w:rPr>
          <w:rFonts w:hint="eastAsia" w:ascii="黑体" w:hAnsi="黑体" w:eastAsia="黑体" w:cs="Times New Roman"/>
          <w:b/>
          <w:bCs/>
          <w:kern w:val="2"/>
          <w:sz w:val="28"/>
          <w:szCs w:val="28"/>
          <w:lang w:val="en-US" w:eastAsia="zh-CN" w:bidi="ar-SA"/>
        </w:rPr>
        <w:t>第二节 政府采购合同通用条款</w:t>
      </w:r>
      <w:bookmarkEnd w:id="107"/>
      <w:bookmarkEnd w:id="108"/>
    </w:p>
    <w:p w14:paraId="3D878D1D">
      <w:pPr>
        <w:tabs>
          <w:tab w:val="left" w:pos="8820"/>
          <w:tab w:val="left" w:pos="9345"/>
          <w:tab w:val="left" w:pos="9765"/>
        </w:tabs>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color w:val="auto"/>
          <w:sz w:val="24"/>
          <w:highlight w:val="none"/>
        </w:rPr>
        <w:t>1.</w:t>
      </w:r>
      <w:r>
        <w:rPr>
          <w:rFonts w:hint="eastAsia" w:ascii="宋体" w:hAnsi="宋体" w:eastAsia="宋体" w:cs="Times New Roman"/>
          <w:b/>
          <w:bCs/>
          <w:color w:val="auto"/>
          <w:sz w:val="24"/>
          <w:highlight w:val="none"/>
        </w:rPr>
        <w:t>定义</w:t>
      </w:r>
    </w:p>
    <w:p w14:paraId="505025D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1.1合同当事人</w:t>
      </w:r>
    </w:p>
    <w:p w14:paraId="51DBB9BD">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eastAsia="宋体" w:cs="Times New Roman"/>
          <w:b/>
          <w:color w:val="auto"/>
          <w:szCs w:val="21"/>
          <w:highlight w:val="none"/>
        </w:rPr>
        <w:t>【政府采购合同专用条款】。</w:t>
      </w:r>
    </w:p>
    <w:p w14:paraId="7E98565B">
      <w:pPr>
        <w:autoSpaceDE w:val="0"/>
        <w:autoSpaceDN w:val="0"/>
        <w:adjustRightInd w:val="0"/>
        <w:snapToGrid w:val="0"/>
        <w:spacing w:before="50" w:line="360" w:lineRule="auto"/>
        <w:ind w:firstLine="420" w:firstLineChars="200"/>
        <w:jc w:val="left"/>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（2）供应商（以下称乙方）是指参加政府采购活动而取得中标结果，并向采购人提供货物、服务的法人、其他组织。</w:t>
      </w:r>
    </w:p>
    <w:p w14:paraId="51E3D1E2">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1.2本合同下列术语应解释为：</w:t>
      </w:r>
    </w:p>
    <w:p w14:paraId="5019447D">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（1）“合同”系指甲乙双方签署的、政府采购合同协议书中载明的甲乙双方所达成的协议，包括所有的附件、附录和上述文件所提到的构成合同的所有文件。</w:t>
      </w:r>
    </w:p>
    <w:p w14:paraId="08A2CD10">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（2）“合同价”系指根据本合同规定乙方在正确地完全履行合同义务后甲方应支付给乙方的价款。</w:t>
      </w:r>
    </w:p>
    <w:p w14:paraId="03B0883B">
      <w:pPr>
        <w:tabs>
          <w:tab w:val="left" w:pos="570"/>
          <w:tab w:val="left" w:pos="8880"/>
          <w:tab w:val="left" w:pos="9555"/>
        </w:tabs>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服务”系指根据合同规定，乙方应提供的技术、管理和其它服务，包括但不限于：管理和质量保证、运输、保险、检验、现场准备、安装、集成、调试、培训、维修、技术支持等以及合同中规定乙方应承担的其它义务。</w:t>
      </w:r>
    </w:p>
    <w:p w14:paraId="3A9CB282">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）“合同条款”系指本合同条款。</w:t>
      </w:r>
    </w:p>
    <w:p w14:paraId="38D69CD9">
      <w:pPr>
        <w:tabs>
          <w:tab w:val="left" w:pos="570"/>
          <w:tab w:val="left" w:pos="9240"/>
          <w:tab w:val="left" w:pos="9555"/>
        </w:tabs>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）“项目现场”系指本合同项下货物安装、运行的现场，其名称见</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w:t>
      </w:r>
    </w:p>
    <w:p w14:paraId="3C91C711">
      <w:pPr>
        <w:autoSpaceDE w:val="0"/>
        <w:autoSpaceDN w:val="0"/>
        <w:adjustRightInd w:val="0"/>
        <w:snapToGrid w:val="0"/>
        <w:spacing w:before="50" w:line="360" w:lineRule="auto"/>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2.合同的适用范围</w:t>
      </w:r>
    </w:p>
    <w:p w14:paraId="579A893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 本合同条款适用于没有被本合同其他部分的条款所取代的范围。</w:t>
      </w:r>
    </w:p>
    <w:p w14:paraId="7410657B">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 合同内容根据招标文件、投标文件而确定。</w:t>
      </w:r>
    </w:p>
    <w:p w14:paraId="31BCDD80">
      <w:pPr>
        <w:autoSpaceDE w:val="0"/>
        <w:autoSpaceDN w:val="0"/>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3.</w:t>
      </w:r>
      <w:r>
        <w:rPr>
          <w:rFonts w:hint="eastAsia" w:ascii="宋体" w:hAnsi="宋体" w:eastAsia="宋体" w:cs="Times New Roman"/>
          <w:b/>
          <w:color w:val="auto"/>
          <w:sz w:val="24"/>
          <w:highlight w:val="none"/>
        </w:rPr>
        <w:t>合同标的及金额</w:t>
      </w:r>
    </w:p>
    <w:p w14:paraId="0F7752B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3.1 合同标的及金额应与中标结果一致。</w:t>
      </w:r>
    </w:p>
    <w:p w14:paraId="7984274B">
      <w:pPr>
        <w:autoSpaceDE w:val="0"/>
        <w:autoSpaceDN w:val="0"/>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4.</w:t>
      </w:r>
      <w:r>
        <w:rPr>
          <w:rFonts w:hint="eastAsia" w:ascii="宋体" w:hAnsi="宋体" w:eastAsia="宋体" w:cs="Times New Roman"/>
          <w:b/>
          <w:color w:val="auto"/>
          <w:sz w:val="24"/>
          <w:highlight w:val="none"/>
        </w:rPr>
        <w:t>合同价款</w:t>
      </w:r>
    </w:p>
    <w:p w14:paraId="766DEB93">
      <w:pPr>
        <w:adjustRightInd w:val="0"/>
        <w:snapToGrid w:val="0"/>
        <w:spacing w:before="50" w:line="360" w:lineRule="auto"/>
        <w:ind w:firstLine="420" w:firstLineChars="200"/>
        <w:jc w:val="left"/>
        <w:rPr>
          <w:rFonts w:ascii="宋体" w:hAnsi="宋体" w:eastAsia="宋体" w:cs="Times New Roman"/>
          <w:b/>
          <w:bCs/>
          <w:i/>
          <w:iCs/>
          <w:color w:val="auto"/>
          <w:szCs w:val="21"/>
          <w:highlight w:val="none"/>
        </w:rPr>
      </w:pPr>
      <w:r>
        <w:rPr>
          <w:rFonts w:hint="eastAsia" w:ascii="宋体" w:hAnsi="宋体" w:eastAsia="宋体" w:cs="Times New Roman"/>
          <w:color w:val="auto"/>
          <w:szCs w:val="21"/>
          <w:highlight w:val="none"/>
        </w:rPr>
        <w:t>4.1具体合同价款见本合同第3.1条。乙方为履行本合同而发生的所有费用均应包含在合同价款中，甲方不再另行支付其它任何费用。</w:t>
      </w:r>
    </w:p>
    <w:p w14:paraId="4A1D874A">
      <w:pPr>
        <w:adjustRightInd w:val="0"/>
        <w:snapToGrid w:val="0"/>
        <w:spacing w:before="50" w:line="360" w:lineRule="auto"/>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5.履行合同的时间、地点和方式</w:t>
      </w:r>
    </w:p>
    <w:p w14:paraId="607D1DD3">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5.1 乙方应当在甲方确定的时间、指定的地点履行合同，具体的交货时间、地点和方式见</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w:t>
      </w:r>
    </w:p>
    <w:p w14:paraId="3B14863B">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5.2 乙方提供服务的应当在甲方指定的地点完成服务项目。</w:t>
      </w:r>
    </w:p>
    <w:p w14:paraId="2DAA7721">
      <w:pPr>
        <w:adjustRightInd w:val="0"/>
        <w:snapToGrid w:val="0"/>
        <w:spacing w:before="50" w:line="360" w:lineRule="auto"/>
        <w:jc w:val="left"/>
        <w:rPr>
          <w:rFonts w:hint="default"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6.</w:t>
      </w:r>
      <w:r>
        <w:rPr>
          <w:rFonts w:hint="eastAsia" w:ascii="宋体" w:hAnsi="宋体" w:eastAsia="宋体" w:cs="Times New Roman"/>
          <w:b/>
          <w:color w:val="auto"/>
          <w:sz w:val="24"/>
          <w:highlight w:val="none"/>
          <w:lang w:val="en-US" w:eastAsia="zh-CN"/>
        </w:rPr>
        <w:t>服务内容及要求</w:t>
      </w:r>
    </w:p>
    <w:p w14:paraId="08A4A46A">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 本合同乙方需履行的服务义务内容按招标文件第五章“服务要求”内容拟定。</w:t>
      </w:r>
    </w:p>
    <w:p w14:paraId="27A93EF3">
      <w:pPr>
        <w:adjustRightInd w:val="0"/>
        <w:snapToGrid w:val="0"/>
        <w:spacing w:before="50" w:line="360" w:lineRule="auto"/>
        <w:jc w:val="left"/>
        <w:rPr>
          <w:rFonts w:hint="default"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7.</w:t>
      </w:r>
      <w:r>
        <w:rPr>
          <w:rFonts w:hint="eastAsia" w:ascii="宋体" w:hAnsi="宋体" w:eastAsia="宋体" w:cs="Times New Roman"/>
          <w:b/>
          <w:bCs/>
          <w:color w:val="auto"/>
          <w:sz w:val="24"/>
          <w:highlight w:val="none"/>
          <w:lang w:val="en-US" w:eastAsia="zh-CN"/>
        </w:rPr>
        <w:t>保密义务</w:t>
      </w:r>
    </w:p>
    <w:p w14:paraId="062C963C">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 甲、乙双方在采购和履行合同过程中所获悉的对方属于保密的内容，双方均有保密义务。</w:t>
      </w:r>
    </w:p>
    <w:p w14:paraId="644F9C2D">
      <w:pPr>
        <w:autoSpaceDE w:val="0"/>
        <w:autoSpaceDN w:val="0"/>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8</w:t>
      </w:r>
      <w:r>
        <w:rPr>
          <w:rFonts w:hint="eastAsia" w:ascii="宋体" w:hAnsi="宋体" w:eastAsia="宋体" w:cs="Times New Roman"/>
          <w:b/>
          <w:bCs/>
          <w:color w:val="auto"/>
          <w:sz w:val="24"/>
          <w:highlight w:val="none"/>
        </w:rPr>
        <w:t>.合同价款支付</w:t>
      </w:r>
    </w:p>
    <w:p w14:paraId="557E1FF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8.1</w:t>
      </w:r>
      <w:r>
        <w:rPr>
          <w:rFonts w:hint="eastAsia" w:ascii="宋体" w:hAnsi="宋体" w:eastAsia="宋体" w:cs="Times New Roman"/>
          <w:color w:val="auto"/>
          <w:szCs w:val="21"/>
          <w:highlight w:val="none"/>
        </w:rPr>
        <w:t xml:space="preserve"> 合同价款构成中应当由财政支付的部分，甲方应当在货物验收合格后的十五个工作日内向国库管理部门申请支付，经国库管理部门审核后直接支付给乙方。</w:t>
      </w:r>
    </w:p>
    <w:p w14:paraId="3047FEBE">
      <w:pPr>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8.2</w:t>
      </w:r>
      <w:r>
        <w:rPr>
          <w:rFonts w:hint="eastAsia" w:ascii="宋体" w:hAnsi="宋体" w:eastAsia="宋体" w:cs="Times New Roman"/>
          <w:color w:val="auto"/>
          <w:szCs w:val="21"/>
          <w:highlight w:val="none"/>
        </w:rPr>
        <w:t>合同价款构成中应当由甲方自行支付的部分，甲方应当在货物验收合格后十五个工作内支付。</w:t>
      </w:r>
    </w:p>
    <w:p w14:paraId="54FD216D">
      <w:pPr>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8.3 </w:t>
      </w:r>
      <w:r>
        <w:rPr>
          <w:rFonts w:hint="eastAsia" w:ascii="宋体" w:hAnsi="宋体" w:eastAsia="宋体" w:cs="Times New Roman"/>
          <w:color w:val="auto"/>
          <w:szCs w:val="21"/>
          <w:highlight w:val="none"/>
        </w:rPr>
        <w:t>支付合同价</w:t>
      </w:r>
      <w:r>
        <w:rPr>
          <w:rFonts w:hint="eastAsia" w:ascii="宋体" w:hAnsi="宋体" w:eastAsia="宋体" w:cs="Times New Roman"/>
          <w:bCs/>
          <w:color w:val="auto"/>
          <w:szCs w:val="21"/>
          <w:highlight w:val="none"/>
        </w:rPr>
        <w:t>款</w:t>
      </w:r>
      <w:r>
        <w:rPr>
          <w:rFonts w:hint="eastAsia" w:ascii="宋体" w:hAnsi="宋体" w:eastAsia="宋体" w:cs="Times New Roman"/>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224DDF1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8.4</w:t>
      </w:r>
      <w:r>
        <w:rPr>
          <w:rFonts w:hint="eastAsia" w:ascii="宋体" w:hAnsi="宋体" w:eastAsia="宋体" w:cs="Times New Roman"/>
          <w:color w:val="auto"/>
          <w:szCs w:val="21"/>
          <w:highlight w:val="none"/>
        </w:rPr>
        <w:t xml:space="preserve"> 合同价款支付方式</w:t>
      </w:r>
      <w:r>
        <w:rPr>
          <w:rFonts w:hint="eastAsia" w:ascii="宋体" w:hAnsi="宋体" w:eastAsia="宋体" w:cs="Times New Roman"/>
          <w:bCs/>
          <w:color w:val="auto"/>
          <w:szCs w:val="21"/>
          <w:highlight w:val="none"/>
        </w:rPr>
        <w:t>和条件在</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中另有规定。</w:t>
      </w:r>
    </w:p>
    <w:p w14:paraId="488BADAF">
      <w:pPr>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9</w:t>
      </w:r>
      <w:r>
        <w:rPr>
          <w:rFonts w:hint="eastAsia" w:ascii="宋体" w:hAnsi="宋体" w:eastAsia="宋体" w:cs="Times New Roman"/>
          <w:b/>
          <w:bCs/>
          <w:color w:val="auto"/>
          <w:sz w:val="24"/>
          <w:highlight w:val="none"/>
        </w:rPr>
        <w:t>.违约责任</w:t>
      </w:r>
    </w:p>
    <w:p w14:paraId="0E31A8DE">
      <w:pPr>
        <w:adjustRightInd w:val="0"/>
        <w:snapToGrid w:val="0"/>
        <w:spacing w:before="50" w:line="360" w:lineRule="auto"/>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9.1 合同履行期间，任何一方不履行或不完全履行本合同约定义务，另一方有权解除合同。责任方承担违约责任，并赔偿因此给对方造成的经济损失。</w:t>
      </w:r>
    </w:p>
    <w:p w14:paraId="25461EF3">
      <w:pPr>
        <w:adjustRightInd w:val="0"/>
        <w:snapToGrid w:val="0"/>
        <w:spacing w:before="50" w:line="360" w:lineRule="auto"/>
        <w:ind w:firstLine="420" w:firstLineChars="20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9.2 乙方未经甲方同意将承包业务全部或部分转包、分包给其它公司或个人的，甲方有权单方解除本合同。对甲方造成损失的，由乙方负责赔偿其全部损失。</w:t>
      </w:r>
    </w:p>
    <w:p w14:paraId="5D8BEB81">
      <w:pPr>
        <w:autoSpaceDE w:val="0"/>
        <w:autoSpaceDN w:val="0"/>
        <w:adjustRightInd w:val="0"/>
        <w:snapToGrid w:val="0"/>
        <w:spacing w:before="50" w:line="360" w:lineRule="auto"/>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val="en-US" w:eastAsia="zh-CN"/>
        </w:rPr>
        <w:t>10</w:t>
      </w:r>
      <w:r>
        <w:rPr>
          <w:rFonts w:hint="eastAsia" w:ascii="宋体" w:hAnsi="宋体" w:eastAsia="宋体" w:cs="Times New Roman"/>
          <w:b/>
          <w:color w:val="auto"/>
          <w:sz w:val="24"/>
          <w:highlight w:val="none"/>
        </w:rPr>
        <w:t>.合同的变更</w:t>
      </w:r>
    </w:p>
    <w:p w14:paraId="62F63D9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10</w:t>
      </w:r>
      <w:r>
        <w:rPr>
          <w:rFonts w:hint="eastAsia" w:ascii="宋体" w:hAnsi="宋体" w:eastAsia="宋体" w:cs="Times New Roman"/>
          <w:color w:val="auto"/>
          <w:szCs w:val="21"/>
          <w:highlight w:val="none"/>
        </w:rPr>
        <w:t>.1 在合同履行过程中，甲、乙双方可就合同履行的时间、地点和方式等协商进行变更。协商一致后，双方应签订书面的补充协议。</w:t>
      </w:r>
    </w:p>
    <w:p w14:paraId="2F9C0789">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rPr>
        <w:t>.2 在不改变合同其他条款的前提下，甲方有权在合同价款百分之十的范围内追加与合同标的相同的货物或服务，并就此与乙方签订补充合同，乙方不得拒绝。</w:t>
      </w:r>
    </w:p>
    <w:p w14:paraId="3BEC500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0</w:t>
      </w:r>
      <w:r>
        <w:rPr>
          <w:rFonts w:hint="eastAsia" w:ascii="宋体" w:hAnsi="宋体" w:eastAsia="宋体" w:cs="Times New Roman"/>
          <w:color w:val="auto"/>
          <w:szCs w:val="21"/>
          <w:highlight w:val="none"/>
        </w:rPr>
        <w:t>.3 除双方签署书面协议，并成为合同不可分割的一部分外，本合同条件不得有任何变更。</w:t>
      </w:r>
    </w:p>
    <w:p w14:paraId="58C40016">
      <w:pPr>
        <w:autoSpaceDE w:val="0"/>
        <w:autoSpaceDN w:val="0"/>
        <w:adjustRightInd w:val="0"/>
        <w:snapToGrid w:val="0"/>
        <w:spacing w:before="50" w:line="360" w:lineRule="auto"/>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val="en-US" w:eastAsia="zh-CN"/>
        </w:rPr>
        <w:t>11</w:t>
      </w:r>
      <w:r>
        <w:rPr>
          <w:rFonts w:hint="eastAsia" w:ascii="宋体" w:hAnsi="宋体" w:eastAsia="宋体" w:cs="Times New Roman"/>
          <w:b/>
          <w:color w:val="auto"/>
          <w:sz w:val="24"/>
          <w:highlight w:val="none"/>
        </w:rPr>
        <w:t>.合同中止与终止</w:t>
      </w:r>
    </w:p>
    <w:p w14:paraId="20EBBADB">
      <w:pPr>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rPr>
        <w:t>.1合同的中止</w:t>
      </w:r>
    </w:p>
    <w:p w14:paraId="59154E6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（1）合同在履行过程中，因采购计划调整，甲方可以要求中止履行，待计划确定后继续履行；</w:t>
      </w:r>
    </w:p>
    <w:p w14:paraId="30937FE8">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（2）合同履行过程中因供应商就采购过程或结果提起投诉的，甲方认为有必要或财政部门责令中止的，应当中止合同的履行。</w:t>
      </w:r>
    </w:p>
    <w:p w14:paraId="1A2747D0">
      <w:pPr>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rPr>
        <w:t>.2合同的终止</w:t>
      </w:r>
    </w:p>
    <w:p w14:paraId="509AC67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（1）合同因有效期限届满而终止；</w:t>
      </w:r>
    </w:p>
    <w:p w14:paraId="676BC43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（2）乙方未能依照本合同约定条件履行合同，已构成根本性违约的，甲方有权终止本合同，并追究乙方的违约责任。</w:t>
      </w:r>
    </w:p>
    <w:p w14:paraId="6BB611BF">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（3）如果乙方丧失履约能力或被宣告破产，甲方可在任何时候以书面形式通知乙方终止合同而不给乙方补偿。</w:t>
      </w:r>
    </w:p>
    <w:p w14:paraId="69AE469A">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（4）如果乙方在履行合同过程中有不正当竞争行为，甲方有权解除合同，并按《中华人民共和国反不正当竞争法》规定由有关部门追究其法律责任。</w:t>
      </w:r>
    </w:p>
    <w:p w14:paraId="3AE5B68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（5）如果合同的履行将损害国家利益或社会公共利益，甲方有权终止合同的履行，给乙方造成损失的予以相应补偿。</w:t>
      </w:r>
    </w:p>
    <w:p w14:paraId="204F58CB">
      <w:pPr>
        <w:autoSpaceDE w:val="0"/>
        <w:autoSpaceDN w:val="0"/>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val="en-US" w:eastAsia="zh-CN"/>
        </w:rPr>
        <w:t>2</w:t>
      </w:r>
      <w:r>
        <w:rPr>
          <w:rFonts w:hint="eastAsia" w:ascii="宋体" w:hAnsi="宋体" w:eastAsia="宋体" w:cs="Times New Roman"/>
          <w:b/>
          <w:bCs/>
          <w:color w:val="auto"/>
          <w:sz w:val="24"/>
          <w:highlight w:val="none"/>
        </w:rPr>
        <w:t>.合同转让和分包</w:t>
      </w:r>
    </w:p>
    <w:p w14:paraId="3D3BFF33">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.1 乙方不得以任何形式将合同转包。</w:t>
      </w:r>
    </w:p>
    <w:p w14:paraId="2224ECC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.2 乙方未在投标文件中说明，不得将</w:t>
      </w:r>
      <w:r>
        <w:rPr>
          <w:rFonts w:hint="eastAsia" w:ascii="宋体" w:hAnsi="宋体" w:eastAsia="宋体" w:cs="Times New Roman"/>
          <w:bCs/>
          <w:color w:val="auto"/>
          <w:szCs w:val="21"/>
          <w:highlight w:val="none"/>
        </w:rPr>
        <w:t>合同</w:t>
      </w:r>
      <w:r>
        <w:rPr>
          <w:rFonts w:hint="eastAsia" w:ascii="宋体" w:hAnsi="宋体" w:eastAsia="宋体" w:cs="Times New Roman"/>
          <w:color w:val="auto"/>
          <w:szCs w:val="21"/>
          <w:highlight w:val="none"/>
        </w:rPr>
        <w:t>的非主体、非关键性工作分包给他人。</w:t>
      </w:r>
    </w:p>
    <w:p w14:paraId="016A7968">
      <w:pPr>
        <w:autoSpaceDE w:val="0"/>
        <w:autoSpaceDN w:val="0"/>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1</w:t>
      </w:r>
      <w:r>
        <w:rPr>
          <w:rFonts w:hint="eastAsia" w:ascii="宋体" w:hAnsi="宋体" w:eastAsia="宋体" w:cs="Times New Roman"/>
          <w:b/>
          <w:bCs/>
          <w:color w:val="auto"/>
          <w:sz w:val="24"/>
          <w:highlight w:val="none"/>
          <w:lang w:val="en-US" w:eastAsia="zh-CN"/>
        </w:rPr>
        <w:t>3</w:t>
      </w:r>
      <w:r>
        <w:rPr>
          <w:rFonts w:hint="eastAsia" w:ascii="宋体" w:hAnsi="宋体" w:eastAsia="宋体" w:cs="Times New Roman"/>
          <w:b/>
          <w:bCs/>
          <w:color w:val="auto"/>
          <w:sz w:val="24"/>
          <w:highlight w:val="none"/>
        </w:rPr>
        <w:t>.不可抗力</w:t>
      </w:r>
    </w:p>
    <w:p w14:paraId="70B0A44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.1 不可抗力是指合同双方不可预见、不可避免、不可克服的自然灾害和社会事件。</w:t>
      </w:r>
    </w:p>
    <w:p w14:paraId="004FC7C5">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.2 任何一方对由于不可抗力造成的部分或全部不能履行合同不承担违约责任。但迟延履行后发生不可抗力的，不能免除责任。</w:t>
      </w:r>
    </w:p>
    <w:p w14:paraId="2F9E6D14">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.3 遇有不可抗力的一方，应在三日内将事件的情况以书面形式通知另一方，并在事件发生后十日内，向另一方提交合同不能履行或部分不能履行或需要延期履行理由的报告。</w:t>
      </w:r>
    </w:p>
    <w:p w14:paraId="4D2ED1A8">
      <w:pPr>
        <w:autoSpaceDE w:val="0"/>
        <w:autoSpaceDN w:val="0"/>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14</w:t>
      </w:r>
      <w:r>
        <w:rPr>
          <w:rFonts w:hint="eastAsia" w:ascii="宋体" w:hAnsi="宋体" w:eastAsia="宋体" w:cs="Times New Roman"/>
          <w:b/>
          <w:bCs/>
          <w:color w:val="auto"/>
          <w:sz w:val="24"/>
          <w:highlight w:val="none"/>
        </w:rPr>
        <w:t>.解决争议的方法</w:t>
      </w:r>
    </w:p>
    <w:p w14:paraId="5438CC07">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14</w:t>
      </w:r>
      <w:r>
        <w:rPr>
          <w:rFonts w:hint="eastAsia" w:ascii="宋体" w:hAnsi="宋体" w:eastAsia="宋体" w:cs="Times New Roman"/>
          <w:color w:val="auto"/>
          <w:szCs w:val="21"/>
          <w:highlight w:val="none"/>
        </w:rPr>
        <w:t>.1 合同各方应通过友好协商，解决在执行合同过程中所发生的或与合同有关的一切争端。如从协商开始后十日内仍不能解决，可以向财政部门提请调解。</w:t>
      </w:r>
    </w:p>
    <w:p w14:paraId="171135B6">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14</w:t>
      </w:r>
      <w:r>
        <w:rPr>
          <w:rFonts w:hint="eastAsia" w:ascii="宋体" w:hAnsi="宋体" w:eastAsia="宋体" w:cs="Times New Roman"/>
          <w:color w:val="auto"/>
          <w:szCs w:val="21"/>
          <w:highlight w:val="none"/>
        </w:rPr>
        <w:t>.2 调解不成可以按</w:t>
      </w:r>
      <w:r>
        <w:rPr>
          <w:rFonts w:hint="eastAsia" w:ascii="宋体" w:hAnsi="宋体" w:eastAsia="宋体" w:cs="Times New Roman"/>
          <w:b/>
          <w:color w:val="auto"/>
          <w:szCs w:val="21"/>
          <w:highlight w:val="none"/>
        </w:rPr>
        <w:t>【政府采购合同专用条款】</w:t>
      </w:r>
      <w:r>
        <w:rPr>
          <w:rFonts w:hint="eastAsia" w:ascii="宋体" w:hAnsi="宋体" w:eastAsia="宋体" w:cs="Times New Roman"/>
          <w:color w:val="auto"/>
          <w:szCs w:val="21"/>
          <w:highlight w:val="none"/>
        </w:rPr>
        <w:t>中约定中规定下列方式之一提起仲裁或诉讼：</w:t>
      </w:r>
    </w:p>
    <w:p w14:paraId="0CB6F6B1">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（1）向甲方所在地仲裁机构提起仲裁；</w:t>
      </w:r>
    </w:p>
    <w:p w14:paraId="7918C6F2">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（2）向甲方所在地人民法院提起诉讼。</w:t>
      </w:r>
    </w:p>
    <w:p w14:paraId="781355B0">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14</w:t>
      </w:r>
      <w:r>
        <w:rPr>
          <w:rFonts w:hint="eastAsia" w:ascii="宋体" w:hAnsi="宋体" w:eastAsia="宋体" w:cs="Times New Roman"/>
          <w:color w:val="auto"/>
          <w:szCs w:val="21"/>
          <w:highlight w:val="none"/>
        </w:rPr>
        <w:t>.3 如仲裁或诉讼事项不影响合同其它部分的履行，则在仲裁或诉讼期间，除正在进行仲裁或诉讼的部分外，合同的其它部分应继续执行。</w:t>
      </w:r>
    </w:p>
    <w:p w14:paraId="6835E8DA">
      <w:pPr>
        <w:autoSpaceDE w:val="0"/>
        <w:autoSpaceDN w:val="0"/>
        <w:adjustRightInd w:val="0"/>
        <w:snapToGrid w:val="0"/>
        <w:spacing w:before="50" w:line="360" w:lineRule="auto"/>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lang w:val="en-US" w:eastAsia="zh-CN"/>
        </w:rPr>
        <w:t>15</w:t>
      </w:r>
      <w:r>
        <w:rPr>
          <w:rFonts w:hint="eastAsia" w:ascii="宋体" w:hAnsi="宋体" w:eastAsia="宋体" w:cs="Times New Roman"/>
          <w:b/>
          <w:color w:val="auto"/>
          <w:sz w:val="24"/>
          <w:highlight w:val="none"/>
        </w:rPr>
        <w:t>.法律适用</w:t>
      </w:r>
    </w:p>
    <w:p w14:paraId="6A362E4E">
      <w:pPr>
        <w:autoSpaceDE w:val="0"/>
        <w:autoSpaceDN w:val="0"/>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.1 本合同适用中华人民共和国现行法律、行政法规和规章，如合同条款与法律、行政法规和规章不一致的，按照法律、行政法规和规章修改本合同。</w:t>
      </w:r>
    </w:p>
    <w:p w14:paraId="6ABF9C06">
      <w:pPr>
        <w:autoSpaceDE w:val="0"/>
        <w:autoSpaceDN w:val="0"/>
        <w:adjustRightInd w:val="0"/>
        <w:snapToGrid w:val="0"/>
        <w:spacing w:before="50" w:line="360" w:lineRule="auto"/>
        <w:jc w:val="left"/>
        <w:rPr>
          <w:rFonts w:ascii="宋体" w:hAnsi="宋体" w:eastAsia="宋体" w:cs="Times New Roman"/>
          <w:b/>
          <w:color w:val="auto"/>
          <w:sz w:val="24"/>
          <w:highlight w:val="none"/>
        </w:rPr>
      </w:pPr>
      <w:r>
        <w:rPr>
          <w:rFonts w:hint="eastAsia" w:ascii="宋体" w:hAnsi="宋体" w:eastAsia="宋体" w:cs="Times New Roman"/>
          <w:b/>
          <w:bCs/>
          <w:color w:val="auto"/>
          <w:sz w:val="24"/>
          <w:highlight w:val="none"/>
          <w:lang w:val="en-US" w:eastAsia="zh-CN"/>
        </w:rPr>
        <w:t>16</w:t>
      </w:r>
      <w:r>
        <w:rPr>
          <w:rFonts w:hint="eastAsia" w:ascii="宋体" w:hAnsi="宋体" w:eastAsia="宋体" w:cs="Times New Roman"/>
          <w:b/>
          <w:bCs/>
          <w:color w:val="auto"/>
          <w:sz w:val="24"/>
          <w:highlight w:val="none"/>
        </w:rPr>
        <w:t>.</w:t>
      </w:r>
      <w:r>
        <w:rPr>
          <w:rFonts w:hint="eastAsia" w:ascii="宋体" w:hAnsi="宋体" w:eastAsia="宋体" w:cs="Times New Roman"/>
          <w:b/>
          <w:color w:val="auto"/>
          <w:sz w:val="24"/>
          <w:highlight w:val="none"/>
        </w:rPr>
        <w:t>通知</w:t>
      </w:r>
    </w:p>
    <w:p w14:paraId="5D8C8412">
      <w:pPr>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16</w:t>
      </w:r>
      <w:r>
        <w:rPr>
          <w:rFonts w:hint="eastAsia" w:ascii="宋体" w:hAnsi="宋体" w:eastAsia="宋体" w:cs="Times New Roman"/>
          <w:color w:val="auto"/>
          <w:szCs w:val="21"/>
          <w:highlight w:val="none"/>
        </w:rPr>
        <w:t>.1本合同一方给另一方的通知均应采用书面形式，传真或快递送到本合同中规定的对方的地址和办理签收手续，</w:t>
      </w:r>
    </w:p>
    <w:p w14:paraId="11DE78DD">
      <w:pPr>
        <w:adjustRightInd w:val="0"/>
        <w:snapToGrid w:val="0"/>
        <w:spacing w:before="50"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16</w:t>
      </w:r>
      <w:r>
        <w:rPr>
          <w:rFonts w:hint="eastAsia" w:ascii="宋体" w:hAnsi="宋体" w:eastAsia="宋体" w:cs="Times New Roman"/>
          <w:color w:val="auto"/>
          <w:szCs w:val="21"/>
          <w:highlight w:val="none"/>
        </w:rPr>
        <w:t>.2通知以送到之日或通知书中规定的生效之日起生效，两者中以较迟之日为准。</w:t>
      </w:r>
    </w:p>
    <w:p w14:paraId="7582C2F7">
      <w:pPr>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17</w:t>
      </w:r>
      <w:r>
        <w:rPr>
          <w:rFonts w:hint="eastAsia" w:ascii="宋体" w:hAnsi="宋体" w:eastAsia="宋体" w:cs="Times New Roman"/>
          <w:b/>
          <w:bCs/>
          <w:color w:val="auto"/>
          <w:sz w:val="24"/>
          <w:highlight w:val="none"/>
        </w:rPr>
        <w:t>. 合同未尽事项</w:t>
      </w:r>
    </w:p>
    <w:p w14:paraId="19B3572F">
      <w:pPr>
        <w:adjustRightInd w:val="0"/>
        <w:snapToGrid w:val="0"/>
        <w:spacing w:before="50" w:line="360" w:lineRule="auto"/>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lang w:val="en-US" w:eastAsia="zh-CN"/>
        </w:rPr>
        <w:t>17</w:t>
      </w:r>
      <w:r>
        <w:rPr>
          <w:rFonts w:hint="eastAsia" w:ascii="宋体" w:hAnsi="宋体" w:eastAsia="宋体" w:cs="Times New Roman"/>
          <w:bCs/>
          <w:color w:val="auto"/>
          <w:szCs w:val="21"/>
          <w:highlight w:val="none"/>
        </w:rPr>
        <w:t>.1合同未尽事项见</w:t>
      </w:r>
      <w:r>
        <w:rPr>
          <w:rFonts w:hint="eastAsia" w:ascii="宋体" w:hAnsi="宋体" w:eastAsia="宋体" w:cs="Times New Roman"/>
          <w:b/>
          <w:color w:val="auto"/>
          <w:szCs w:val="21"/>
          <w:highlight w:val="none"/>
        </w:rPr>
        <w:t>【政府采购合同专用条款】。</w:t>
      </w:r>
    </w:p>
    <w:p w14:paraId="699D10F9">
      <w:pPr>
        <w:adjustRightInd w:val="0"/>
        <w:snapToGrid w:val="0"/>
        <w:spacing w:before="50" w:line="360" w:lineRule="auto"/>
        <w:jc w:val="left"/>
        <w:rPr>
          <w:rFonts w:ascii="宋体" w:hAnsi="宋体" w:eastAsia="宋体" w:cs="Times New Roman"/>
          <w:b/>
          <w:bCs/>
          <w:color w:val="auto"/>
          <w:sz w:val="24"/>
          <w:highlight w:val="none"/>
        </w:rPr>
      </w:pPr>
      <w:r>
        <w:rPr>
          <w:rFonts w:hint="eastAsia" w:ascii="宋体" w:hAnsi="宋体" w:eastAsia="宋体" w:cs="Times New Roman"/>
          <w:b/>
          <w:bCs/>
          <w:color w:val="auto"/>
          <w:sz w:val="24"/>
          <w:highlight w:val="none"/>
          <w:lang w:val="en-US" w:eastAsia="zh-CN"/>
        </w:rPr>
        <w:t>18</w:t>
      </w:r>
      <w:r>
        <w:rPr>
          <w:rFonts w:hint="eastAsia" w:ascii="宋体" w:hAnsi="宋体" w:eastAsia="宋体" w:cs="Times New Roman"/>
          <w:b/>
          <w:bCs/>
          <w:color w:val="auto"/>
          <w:sz w:val="24"/>
          <w:highlight w:val="none"/>
        </w:rPr>
        <w:t>.合同生效</w:t>
      </w:r>
    </w:p>
    <w:p w14:paraId="16F11101">
      <w:pPr>
        <w:autoSpaceDE w:val="0"/>
        <w:autoSpaceDN w:val="0"/>
        <w:adjustRightInd w:val="0"/>
        <w:snapToGrid w:val="0"/>
        <w:spacing w:before="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18</w:t>
      </w:r>
      <w:r>
        <w:rPr>
          <w:rFonts w:hint="eastAsia" w:ascii="宋体" w:hAnsi="宋体" w:eastAsia="宋体" w:cs="Times New Roman"/>
          <w:color w:val="auto"/>
          <w:szCs w:val="21"/>
          <w:highlight w:val="none"/>
        </w:rPr>
        <w:t>.1 本合同在合同双方签字盖章后生效。</w:t>
      </w:r>
    </w:p>
    <w:p w14:paraId="453D8950">
      <w:pPr>
        <w:pStyle w:val="3"/>
        <w:rPr>
          <w:rFonts w:hint="eastAsia" w:ascii="宋体" w:hAnsi="宋体" w:eastAsia="宋体" w:cs="Times New Roman"/>
          <w:color w:val="auto"/>
          <w:szCs w:val="21"/>
          <w:highlight w:val="none"/>
        </w:rPr>
      </w:pPr>
    </w:p>
    <w:p w14:paraId="746AF865">
      <w:pPr>
        <w:rPr>
          <w:rFonts w:hint="eastAsia"/>
        </w:rPr>
      </w:pPr>
    </w:p>
    <w:p w14:paraId="7216EB56">
      <w:pPr>
        <w:autoSpaceDE w:val="0"/>
        <w:autoSpaceDN w:val="0"/>
        <w:adjustRightInd w:val="0"/>
        <w:snapToGrid w:val="0"/>
        <w:spacing w:before="50" w:line="360" w:lineRule="auto"/>
        <w:ind w:firstLine="643" w:firstLineChars="200"/>
        <w:jc w:val="left"/>
        <w:rPr>
          <w:rFonts w:ascii="黑体" w:hAnsi="黑体" w:eastAsia="黑体" w:cs="Times New Roman"/>
          <w:b/>
          <w:bCs/>
          <w:sz w:val="10"/>
          <w:szCs w:val="10"/>
        </w:rPr>
      </w:pPr>
      <w:r>
        <w:rPr>
          <w:rFonts w:ascii="黑体" w:hAnsi="黑体" w:eastAsia="黑体" w:cs="Times New Roman"/>
          <w:b/>
          <w:bCs/>
          <w:sz w:val="32"/>
        </w:rPr>
        <w:br w:type="page"/>
      </w:r>
    </w:p>
    <w:p w14:paraId="1F8C21B0">
      <w:pPr>
        <w:keepNext/>
        <w:keepLines/>
        <w:widowControl w:val="0"/>
        <w:adjustRightInd w:val="0"/>
        <w:snapToGrid w:val="0"/>
        <w:spacing w:line="360" w:lineRule="auto"/>
        <w:jc w:val="center"/>
        <w:outlineLvl w:val="1"/>
        <w:rPr>
          <w:rFonts w:ascii="黑体" w:hAnsi="华文中宋" w:eastAsia="黑体" w:cs="Times New Roman"/>
          <w:b/>
          <w:bCs/>
          <w:kern w:val="2"/>
          <w:sz w:val="28"/>
          <w:szCs w:val="28"/>
          <w:lang w:val="en-US" w:eastAsia="zh-CN" w:bidi="ar-SA"/>
        </w:rPr>
      </w:pPr>
      <w:bookmarkStart w:id="109" w:name="_Toc6752"/>
      <w:bookmarkStart w:id="110" w:name="_Toc29076"/>
      <w:r>
        <w:rPr>
          <w:rFonts w:hint="eastAsia" w:ascii="黑体" w:hAnsi="华文中宋" w:eastAsia="黑体" w:cs="Times New Roman"/>
          <w:b/>
          <w:bCs/>
          <w:kern w:val="2"/>
          <w:sz w:val="28"/>
          <w:szCs w:val="28"/>
          <w:lang w:val="en-US" w:eastAsia="zh-CN" w:bidi="ar-SA"/>
        </w:rPr>
        <w:t>第三节 政府采购合同专用条款</w:t>
      </w:r>
      <w:bookmarkEnd w:id="109"/>
      <w:bookmarkEnd w:id="110"/>
    </w:p>
    <w:p w14:paraId="5504D193">
      <w:pPr>
        <w:adjustRightInd w:val="0"/>
        <w:snapToGrid w:val="0"/>
        <w:spacing w:line="360" w:lineRule="auto"/>
        <w:jc w:val="center"/>
        <w:rPr>
          <w:rFonts w:ascii="宋体" w:hAnsi="宋体" w:eastAsia="宋体" w:cs="Times New Roman"/>
          <w:sz w:val="24"/>
        </w:rPr>
      </w:pPr>
    </w:p>
    <w:tbl>
      <w:tblPr>
        <w:tblStyle w:val="46"/>
        <w:tblW w:w="903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7"/>
        <w:gridCol w:w="1849"/>
        <w:gridCol w:w="5483"/>
      </w:tblGrid>
      <w:tr w14:paraId="357D3C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9" w:hRule="atLeast"/>
        </w:trPr>
        <w:tc>
          <w:tcPr>
            <w:tcW w:w="1707" w:type="dxa"/>
            <w:noWrap w:val="0"/>
            <w:vAlign w:val="center"/>
          </w:tcPr>
          <w:p w14:paraId="40AAE13D">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本章第二节</w:t>
            </w:r>
          </w:p>
          <w:p w14:paraId="3CD1960A">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第1.1款</w:t>
            </w:r>
          </w:p>
        </w:tc>
        <w:tc>
          <w:tcPr>
            <w:tcW w:w="1849" w:type="dxa"/>
            <w:noWrap w:val="0"/>
            <w:vAlign w:val="center"/>
          </w:tcPr>
          <w:p w14:paraId="5593A662">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甲方名称、地址 </w:t>
            </w:r>
          </w:p>
        </w:tc>
        <w:tc>
          <w:tcPr>
            <w:tcW w:w="5483" w:type="dxa"/>
            <w:noWrap w:val="0"/>
            <w:vAlign w:val="center"/>
          </w:tcPr>
          <w:p w14:paraId="79DF8DAE">
            <w:pPr>
              <w:keepNext w:val="0"/>
              <w:keepLines w:val="0"/>
              <w:suppressLineNumbers w:val="0"/>
              <w:spacing w:before="0" w:beforeAutospacing="0" w:after="0" w:afterAutospacing="0"/>
              <w:ind w:left="0" w:right="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甲方名称：</w:t>
            </w:r>
            <w:r>
              <w:rPr>
                <w:rFonts w:hint="eastAsia" w:cs="Times New Roman"/>
                <w:color w:val="auto"/>
                <w:highlight w:val="none"/>
                <w:lang w:val="en-US" w:eastAsia="zh-CN"/>
              </w:rPr>
              <w:t>涟源市自然资源局</w:t>
            </w:r>
          </w:p>
          <w:p w14:paraId="3B6A30AD">
            <w:pPr>
              <w:keepNext w:val="0"/>
              <w:keepLines w:val="0"/>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地    址：</w:t>
            </w:r>
            <w:r>
              <w:rPr>
                <w:rFonts w:hint="eastAsia" w:cs="Times New Roman"/>
                <w:color w:val="auto"/>
                <w:highlight w:val="none"/>
                <w:lang w:val="en-US" w:eastAsia="zh-CN"/>
              </w:rPr>
              <w:t>涟源市福源路</w:t>
            </w:r>
          </w:p>
        </w:tc>
      </w:tr>
      <w:tr w14:paraId="372F5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1" w:hRule="atLeast"/>
        </w:trPr>
        <w:tc>
          <w:tcPr>
            <w:tcW w:w="1707" w:type="dxa"/>
            <w:noWrap w:val="0"/>
            <w:vAlign w:val="center"/>
          </w:tcPr>
          <w:p w14:paraId="1CE455ED">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本章第二节</w:t>
            </w:r>
          </w:p>
          <w:p w14:paraId="229AECC6">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第1.2（</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）项</w:t>
            </w:r>
          </w:p>
        </w:tc>
        <w:tc>
          <w:tcPr>
            <w:tcW w:w="1849" w:type="dxa"/>
            <w:noWrap w:val="0"/>
            <w:vAlign w:val="center"/>
          </w:tcPr>
          <w:p w14:paraId="0EFA7FA4">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项目现场</w:t>
            </w:r>
          </w:p>
        </w:tc>
        <w:tc>
          <w:tcPr>
            <w:tcW w:w="5483" w:type="dxa"/>
            <w:noWrap w:val="0"/>
            <w:vAlign w:val="center"/>
          </w:tcPr>
          <w:p w14:paraId="5128594C">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lang w:val="en-US"/>
              </w:rPr>
            </w:pPr>
            <w:r>
              <w:rPr>
                <w:rFonts w:hint="eastAsia" w:ascii="Times New Roman" w:hAnsi="Times New Roman" w:eastAsia="宋体" w:cs="Times New Roman"/>
                <w:color w:val="auto"/>
                <w:highlight w:val="none"/>
                <w:lang w:val="en-US" w:eastAsia="zh-CN"/>
              </w:rPr>
              <w:t>采购人指定地点</w:t>
            </w:r>
          </w:p>
        </w:tc>
      </w:tr>
      <w:tr w14:paraId="3556E2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35" w:hRule="atLeast"/>
        </w:trPr>
        <w:tc>
          <w:tcPr>
            <w:tcW w:w="1707" w:type="dxa"/>
            <w:noWrap w:val="0"/>
            <w:vAlign w:val="center"/>
          </w:tcPr>
          <w:p w14:paraId="19581E4F">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本章第二节</w:t>
            </w:r>
          </w:p>
          <w:p w14:paraId="467A725B">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第5.1款</w:t>
            </w:r>
          </w:p>
        </w:tc>
        <w:tc>
          <w:tcPr>
            <w:tcW w:w="1849" w:type="dxa"/>
            <w:noWrap w:val="0"/>
            <w:vAlign w:val="center"/>
          </w:tcPr>
          <w:p w14:paraId="7A5F7B99">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履行合同的时间、地点及方式</w:t>
            </w:r>
          </w:p>
        </w:tc>
        <w:tc>
          <w:tcPr>
            <w:tcW w:w="5483" w:type="dxa"/>
            <w:noWrap w:val="0"/>
            <w:vAlign w:val="center"/>
          </w:tcPr>
          <w:p w14:paraId="4DC63855">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服务期限：</w:t>
            </w:r>
            <w:r>
              <w:rPr>
                <w:rFonts w:hint="eastAsia" w:ascii="宋体" w:hAnsi="宋体" w:cs="Times New Roman"/>
                <w:color w:val="auto"/>
                <w:szCs w:val="21"/>
                <w:highlight w:val="none"/>
                <w:lang w:val="en-US" w:eastAsia="zh-CN"/>
              </w:rPr>
              <w:t>6个月</w:t>
            </w:r>
            <w:r>
              <w:rPr>
                <w:rFonts w:hint="eastAsia" w:ascii="宋体" w:hAnsi="宋体" w:eastAsia="宋体" w:cs="Times New Roman"/>
                <w:color w:val="auto"/>
                <w:szCs w:val="21"/>
                <w:highlight w:val="none"/>
                <w:lang w:val="en-US" w:eastAsia="zh-CN"/>
              </w:rPr>
              <w:t>；</w:t>
            </w:r>
          </w:p>
          <w:p w14:paraId="5347CC48">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服务地点：</w:t>
            </w:r>
            <w:r>
              <w:rPr>
                <w:rFonts w:hint="eastAsia" w:ascii="宋体" w:hAnsi="宋体" w:eastAsia="宋体" w:cs="Times New Roman"/>
                <w:color w:val="auto"/>
                <w:szCs w:val="21"/>
                <w:highlight w:val="none"/>
                <w:u w:val="none"/>
                <w:lang w:val="en-US" w:eastAsia="zh-CN"/>
              </w:rPr>
              <w:t>招标文件第五章“采购需求”约定地点；</w:t>
            </w:r>
          </w:p>
          <w:p w14:paraId="6F737B11">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服务方式：</w:t>
            </w:r>
            <w:r>
              <w:rPr>
                <w:rFonts w:hint="eastAsia" w:ascii="宋体" w:hAnsi="宋体" w:eastAsia="宋体" w:cs="宋体"/>
                <w:highlight w:val="none"/>
              </w:rPr>
              <w:t>按合同要求执行</w:t>
            </w:r>
            <w:r>
              <w:rPr>
                <w:rFonts w:hint="eastAsia" w:ascii="宋体" w:hAnsi="宋体" w:eastAsia="宋体" w:cs="Times New Roman"/>
                <w:color w:val="auto"/>
                <w:szCs w:val="21"/>
                <w:highlight w:val="none"/>
                <w:u w:val="none"/>
                <w:lang w:val="en-US" w:eastAsia="zh-CN"/>
              </w:rPr>
              <w:t xml:space="preserve">。 </w:t>
            </w:r>
          </w:p>
        </w:tc>
      </w:tr>
      <w:tr w14:paraId="16DC1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8" w:hRule="atLeast"/>
        </w:trPr>
        <w:tc>
          <w:tcPr>
            <w:tcW w:w="1707" w:type="dxa"/>
            <w:noWrap w:val="0"/>
            <w:vAlign w:val="center"/>
          </w:tcPr>
          <w:p w14:paraId="2CC61684">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本章第二节</w:t>
            </w:r>
          </w:p>
          <w:p w14:paraId="66A8BEE3">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8</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款</w:t>
            </w:r>
          </w:p>
        </w:tc>
        <w:tc>
          <w:tcPr>
            <w:tcW w:w="1849" w:type="dxa"/>
            <w:noWrap w:val="0"/>
            <w:vAlign w:val="center"/>
          </w:tcPr>
          <w:p w14:paraId="1774A0A4">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合同价款支付方式</w:t>
            </w:r>
            <w:r>
              <w:rPr>
                <w:rFonts w:hint="eastAsia" w:ascii="宋体" w:hAnsi="宋体" w:eastAsia="宋体" w:cs="Times New Roman"/>
                <w:bCs/>
                <w:color w:val="auto"/>
                <w:szCs w:val="21"/>
                <w:highlight w:val="none"/>
              </w:rPr>
              <w:t>和条件</w:t>
            </w:r>
          </w:p>
        </w:tc>
        <w:tc>
          <w:tcPr>
            <w:tcW w:w="5483" w:type="dxa"/>
            <w:noWrap w:val="0"/>
            <w:vAlign w:val="center"/>
          </w:tcPr>
          <w:p w14:paraId="46B96017">
            <w:pPr>
              <w:keepNext w:val="0"/>
              <w:keepLines w:val="0"/>
              <w:widowControl/>
              <w:suppressLineNumbers w:val="0"/>
              <w:spacing w:before="0" w:beforeAutospacing="0" w:after="0" w:afterAutospacing="0"/>
              <w:ind w:left="0" w:right="0"/>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0"/>
                <w:sz w:val="21"/>
                <w:szCs w:val="21"/>
                <w:highlight w:val="none"/>
                <w:lang w:val="en-US" w:eastAsia="zh-CN" w:bidi="ar"/>
              </w:rPr>
              <w:t>付款方式：项目分三次支付，“一库一平台”正式上线后支付合同金额的50%，项目全部完成经采购人验收合格后支付合同金额的45%，项目验收满一年后支付剩余合同金额的5%</w:t>
            </w:r>
            <w:r>
              <w:rPr>
                <w:rFonts w:hint="eastAsia" w:ascii="宋体" w:hAnsi="宋体" w:eastAsia="宋体" w:cs="宋体"/>
                <w:color w:val="auto"/>
                <w:szCs w:val="21"/>
                <w:highlight w:val="none"/>
                <w:lang w:eastAsia="zh-CN"/>
              </w:rPr>
              <w:t>。</w:t>
            </w:r>
          </w:p>
          <w:p w14:paraId="06751713">
            <w:pPr>
              <w:keepNext w:val="0"/>
              <w:keepLines w:val="0"/>
              <w:widowControl/>
              <w:suppressLineNumbers w:val="0"/>
              <w:spacing w:before="0" w:beforeAutospacing="0" w:after="0" w:afterAutospacing="0"/>
              <w:ind w:left="0" w:right="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条件：</w:t>
            </w:r>
            <w:r>
              <w:rPr>
                <w:rFonts w:hint="eastAsia" w:ascii="宋体" w:hAnsi="宋体" w:cs="宋体"/>
                <w:color w:val="000000" w:themeColor="text1"/>
                <w:szCs w:val="21"/>
                <w14:textFill>
                  <w14:solidFill>
                    <w14:schemeClr w14:val="tx1"/>
                  </w14:solidFill>
                </w14:textFill>
              </w:rPr>
              <w:t>付款须凭增值税发票，发票由</w:t>
            </w:r>
            <w:r>
              <w:rPr>
                <w:rFonts w:hint="eastAsia" w:ascii="宋体" w:hAnsi="宋体" w:cs="宋体"/>
                <w:color w:val="000000" w:themeColor="text1"/>
                <w:szCs w:val="21"/>
                <w:lang w:val="en-US" w:eastAsia="zh-CN"/>
                <w14:textFill>
                  <w14:solidFill>
                    <w14:schemeClr w14:val="tx1"/>
                  </w14:solidFill>
                </w14:textFill>
              </w:rPr>
              <w:t>中标</w:t>
            </w:r>
            <w:r>
              <w:rPr>
                <w:rFonts w:hint="eastAsia" w:ascii="宋体" w:hAnsi="宋体" w:cs="宋体"/>
                <w:color w:val="000000" w:themeColor="text1"/>
                <w:szCs w:val="21"/>
                <w14:textFill>
                  <w14:solidFill>
                    <w14:schemeClr w14:val="tx1"/>
                  </w14:solidFill>
                </w14:textFill>
              </w:rPr>
              <w:t>单位开具，实际支付进度以财政部门拨款为准。</w:t>
            </w:r>
          </w:p>
        </w:tc>
      </w:tr>
      <w:tr w14:paraId="3F8EE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41" w:hRule="atLeast"/>
        </w:trPr>
        <w:tc>
          <w:tcPr>
            <w:tcW w:w="1707" w:type="dxa"/>
            <w:noWrap w:val="0"/>
            <w:vAlign w:val="center"/>
          </w:tcPr>
          <w:p w14:paraId="1F38B640">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本章第二节</w:t>
            </w:r>
          </w:p>
          <w:p w14:paraId="3E84309E">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bCs/>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14</w:t>
            </w:r>
            <w:r>
              <w:rPr>
                <w:rFonts w:hint="eastAsia" w:ascii="宋体" w:hAnsi="宋体" w:eastAsia="宋体" w:cs="Times New Roman"/>
                <w:color w:val="auto"/>
                <w:szCs w:val="21"/>
                <w:highlight w:val="none"/>
              </w:rPr>
              <w:t>.2款</w:t>
            </w:r>
          </w:p>
        </w:tc>
        <w:tc>
          <w:tcPr>
            <w:tcW w:w="1849" w:type="dxa"/>
            <w:noWrap w:val="0"/>
            <w:vAlign w:val="center"/>
          </w:tcPr>
          <w:p w14:paraId="0C679860">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bCs/>
                <w:color w:val="auto"/>
                <w:szCs w:val="21"/>
                <w:highlight w:val="none"/>
              </w:rPr>
            </w:pPr>
            <w:r>
              <w:rPr>
                <w:rFonts w:hint="eastAsia" w:ascii="宋体" w:hAnsi="宋体" w:eastAsia="宋体" w:cs="Times New Roman"/>
                <w:color w:val="auto"/>
                <w:szCs w:val="21"/>
                <w:highlight w:val="none"/>
              </w:rPr>
              <w:t>解决争议的方式</w:t>
            </w:r>
          </w:p>
        </w:tc>
        <w:tc>
          <w:tcPr>
            <w:tcW w:w="5483" w:type="dxa"/>
            <w:noWrap w:val="0"/>
            <w:vAlign w:val="center"/>
          </w:tcPr>
          <w:p w14:paraId="3350C275">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u w:val="none"/>
                <w:lang w:val="en-US" w:eastAsia="zh-CN"/>
              </w:rPr>
            </w:pPr>
            <w:r>
              <w:rPr>
                <w:rFonts w:hint="eastAsia" w:ascii="宋体" w:hAnsi="宋体" w:eastAsia="宋体" w:cs="宋体"/>
                <w:color w:val="auto"/>
                <w:szCs w:val="21"/>
                <w:highlight w:val="none"/>
              </w:rPr>
              <w:t>▉</w:t>
            </w:r>
            <w:r>
              <w:rPr>
                <w:rFonts w:hint="eastAsia" w:ascii="宋体" w:hAnsi="宋体" w:eastAsia="宋体" w:cs="Times New Roman"/>
                <w:color w:val="auto"/>
                <w:szCs w:val="21"/>
                <w:highlight w:val="none"/>
              </w:rPr>
              <w:t xml:space="preserve"> 诉讼</w:t>
            </w:r>
            <w:r>
              <w:rPr>
                <w:rFonts w:hint="eastAsia" w:ascii="宋体" w:hAnsi="宋体" w:cs="Times New Roman"/>
                <w:color w:val="auto"/>
                <w:szCs w:val="21"/>
                <w:highlight w:val="none"/>
                <w:lang w:val="en-US" w:eastAsia="zh-CN"/>
              </w:rPr>
              <w:t xml:space="preserve">  </w:t>
            </w:r>
            <w:r>
              <w:rPr>
                <w:rFonts w:hint="eastAsia" w:ascii="宋体" w:hAnsi="宋体" w:cs="Times New Roman"/>
                <w:color w:val="auto"/>
                <w:szCs w:val="21"/>
                <w:highlight w:val="none"/>
                <w:u w:val="none"/>
                <w:lang w:val="en-US" w:eastAsia="zh-CN"/>
              </w:rPr>
              <w:t xml:space="preserve"> 涟源市人民法院</w:t>
            </w:r>
          </w:p>
          <w:p w14:paraId="4934239F">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u w:val="none"/>
              </w:rPr>
              <w:t>□ 仲裁</w:t>
            </w:r>
          </w:p>
        </w:tc>
      </w:tr>
      <w:tr w14:paraId="225E8A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7" w:hRule="atLeast"/>
        </w:trPr>
        <w:tc>
          <w:tcPr>
            <w:tcW w:w="1707" w:type="dxa"/>
            <w:noWrap w:val="0"/>
            <w:vAlign w:val="center"/>
          </w:tcPr>
          <w:p w14:paraId="641B7CFE">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本章第二节</w:t>
            </w:r>
          </w:p>
          <w:p w14:paraId="764744A7">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rPr>
            </w:pPr>
            <w:r>
              <w:rPr>
                <w:rFonts w:hint="eastAsia" w:ascii="宋体" w:hAnsi="宋体" w:eastAsia="宋体" w:cs="Times New Roman"/>
                <w:color w:val="auto"/>
                <w:szCs w:val="21"/>
                <w:highlight w:val="none"/>
              </w:rPr>
              <w:t>第</w:t>
            </w:r>
            <w:r>
              <w:rPr>
                <w:rFonts w:hint="eastAsia" w:ascii="宋体" w:hAnsi="宋体" w:eastAsia="宋体" w:cs="Times New Roman"/>
                <w:color w:val="auto"/>
                <w:szCs w:val="21"/>
                <w:highlight w:val="none"/>
                <w:lang w:val="en-US" w:eastAsia="zh-CN"/>
              </w:rPr>
              <w:t>17</w:t>
            </w:r>
            <w:r>
              <w:rPr>
                <w:rFonts w:hint="eastAsia" w:ascii="宋体" w:hAnsi="宋体" w:eastAsia="宋体" w:cs="Times New Roman"/>
                <w:color w:val="auto"/>
                <w:szCs w:val="21"/>
                <w:highlight w:val="none"/>
              </w:rPr>
              <w:t>.1款</w:t>
            </w:r>
          </w:p>
        </w:tc>
        <w:tc>
          <w:tcPr>
            <w:tcW w:w="1849" w:type="dxa"/>
            <w:noWrap w:val="0"/>
            <w:vAlign w:val="center"/>
          </w:tcPr>
          <w:p w14:paraId="3EAA3891">
            <w:pPr>
              <w:keepNext w:val="0"/>
              <w:keepLines w:val="0"/>
              <w:suppressLineNumbers w:val="0"/>
              <w:adjustRightInd w:val="0"/>
              <w:snapToGrid w:val="0"/>
              <w:spacing w:before="0" w:beforeAutospacing="0" w:after="0" w:afterAutospacing="0"/>
              <w:ind w:left="0" w:right="0"/>
              <w:jc w:val="left"/>
              <w:rPr>
                <w:rFonts w:hint="default" w:ascii="宋体" w:hAnsi="宋体" w:eastAsia="宋体" w:cs="Times New Roman"/>
                <w:color w:val="auto"/>
                <w:szCs w:val="21"/>
                <w:highlight w:val="none"/>
              </w:rPr>
            </w:pPr>
            <w:r>
              <w:rPr>
                <w:rFonts w:hint="eastAsia" w:ascii="宋体" w:hAnsi="宋体" w:eastAsia="宋体" w:cs="Times New Roman"/>
                <w:bCs/>
                <w:color w:val="auto"/>
                <w:szCs w:val="21"/>
                <w:highlight w:val="none"/>
              </w:rPr>
              <w:t>合同未尽事项</w:t>
            </w:r>
          </w:p>
        </w:tc>
        <w:tc>
          <w:tcPr>
            <w:tcW w:w="5483" w:type="dxa"/>
            <w:noWrap w:val="0"/>
            <w:vAlign w:val="center"/>
          </w:tcPr>
          <w:p w14:paraId="09A78AAB">
            <w:pPr>
              <w:keepNext w:val="0"/>
              <w:keepLines w:val="0"/>
              <w:suppressLineNumbers w:val="0"/>
              <w:adjustRightInd w:val="0"/>
              <w:snapToGrid w:val="0"/>
              <w:spacing w:before="0" w:beforeAutospacing="0" w:after="0" w:afterAutospacing="0"/>
              <w:ind w:left="0" w:right="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双方协商解决</w:t>
            </w:r>
          </w:p>
        </w:tc>
      </w:tr>
    </w:tbl>
    <w:p w14:paraId="1EDD1902">
      <w:pPr>
        <w:jc w:val="center"/>
        <w:rPr>
          <w:rFonts w:hint="eastAsia" w:ascii="黑体" w:hAnsi="华文中宋" w:eastAsia="黑体"/>
          <w:color w:val="000000"/>
          <w:sz w:val="28"/>
          <w:szCs w:val="28"/>
        </w:rPr>
      </w:pPr>
      <w:r>
        <w:rPr>
          <w:rFonts w:ascii="黑体" w:hAnsi="华文中宋" w:eastAsia="黑体"/>
          <w:color w:val="000000"/>
          <w:sz w:val="28"/>
          <w:szCs w:val="28"/>
        </w:rPr>
        <w:br w:type="page"/>
      </w:r>
    </w:p>
    <w:p w14:paraId="7047BAE4">
      <w:pPr>
        <w:adjustRightInd w:val="0"/>
        <w:snapToGrid w:val="0"/>
        <w:spacing w:line="360" w:lineRule="auto"/>
        <w:jc w:val="center"/>
        <w:outlineLvl w:val="0"/>
        <w:rPr>
          <w:rFonts w:hint="eastAsia" w:ascii="黑体" w:hAnsi="华文中宋" w:eastAsia="黑体" w:cs="Courier New"/>
          <w:b/>
          <w:color w:val="000000"/>
          <w:sz w:val="32"/>
          <w:szCs w:val="32"/>
        </w:rPr>
        <w:sectPr>
          <w:pgSz w:w="11906" w:h="16838"/>
          <w:pgMar w:top="851" w:right="1701" w:bottom="397" w:left="1701" w:header="851" w:footer="992" w:gutter="0"/>
          <w:cols w:space="425" w:num="1"/>
          <w:titlePg/>
          <w:docGrid w:type="lines" w:linePitch="312" w:charSpace="0"/>
        </w:sectPr>
      </w:pPr>
    </w:p>
    <w:p w14:paraId="464DFA49">
      <w:pPr>
        <w:pStyle w:val="2"/>
        <w:bidi w:val="0"/>
        <w:rPr>
          <w:rFonts w:hint="eastAsia" w:ascii="黑体" w:hAnsi="黑体" w:eastAsia="黑体" w:cs="黑体"/>
          <w:sz w:val="32"/>
          <w:szCs w:val="32"/>
        </w:rPr>
      </w:pPr>
      <w:bookmarkStart w:id="111" w:name="_Toc28269"/>
      <w:r>
        <w:rPr>
          <w:rFonts w:hint="eastAsia" w:ascii="黑体" w:hAnsi="黑体" w:eastAsia="黑体" w:cs="黑体"/>
          <w:sz w:val="32"/>
          <w:szCs w:val="32"/>
        </w:rPr>
        <w:t>第七章 投标文件的组成</w:t>
      </w:r>
      <w:bookmarkEnd w:id="111"/>
    </w:p>
    <w:p w14:paraId="1044676A">
      <w:pPr>
        <w:adjustRightInd w:val="0"/>
        <w:snapToGrid w:val="0"/>
        <w:spacing w:line="360" w:lineRule="auto"/>
        <w:ind w:left="-88" w:leftChars="-42"/>
        <w:jc w:val="center"/>
        <w:rPr>
          <w:b/>
          <w:bCs/>
          <w:color w:val="000000"/>
          <w:sz w:val="32"/>
        </w:rPr>
      </w:pPr>
    </w:p>
    <w:p w14:paraId="65A77ADA">
      <w:pPr>
        <w:adjustRightInd w:val="0"/>
        <w:snapToGrid w:val="0"/>
        <w:spacing w:before="156" w:beforeLines="50" w:line="360" w:lineRule="auto"/>
        <w:jc w:val="left"/>
        <w:rPr>
          <w:rFonts w:hint="eastAsia" w:ascii="宋体" w:hAnsi="宋体"/>
          <w:b/>
          <w:color w:val="000000"/>
          <w:szCs w:val="21"/>
        </w:rPr>
      </w:pPr>
      <w:r>
        <w:rPr>
          <w:rFonts w:hint="eastAsia" w:ascii="宋体" w:hAnsi="宋体"/>
          <w:b/>
          <w:color w:val="000000"/>
          <w:szCs w:val="21"/>
        </w:rPr>
        <w:t>第一部分 资格证明文件</w:t>
      </w:r>
    </w:p>
    <w:p w14:paraId="07B48F74">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一、开标一览表</w:t>
      </w:r>
    </w:p>
    <w:p w14:paraId="1ACF2E05">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二、法定代表人（单位负责人）身份证明</w:t>
      </w:r>
    </w:p>
    <w:p w14:paraId="6472D669">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三、法定代表人授权委托书</w:t>
      </w:r>
    </w:p>
    <w:p w14:paraId="3F32D761">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四、投标人提供的资格证明文件</w:t>
      </w:r>
    </w:p>
    <w:p w14:paraId="4E382B11">
      <w:pPr>
        <w:adjustRightInd w:val="0"/>
        <w:snapToGrid w:val="0"/>
        <w:spacing w:before="156" w:beforeLines="50" w:line="360" w:lineRule="auto"/>
        <w:jc w:val="left"/>
        <w:rPr>
          <w:rFonts w:hint="eastAsia" w:ascii="宋体" w:hAnsi="宋体"/>
          <w:b/>
          <w:color w:val="000000"/>
          <w:szCs w:val="21"/>
        </w:rPr>
      </w:pPr>
      <w:r>
        <w:rPr>
          <w:rFonts w:hint="eastAsia" w:ascii="宋体" w:hAnsi="宋体"/>
          <w:b/>
          <w:color w:val="000000"/>
          <w:szCs w:val="21"/>
        </w:rPr>
        <w:t>第二部分 商务技术文件</w:t>
      </w:r>
    </w:p>
    <w:p w14:paraId="3BEC52FE">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五、投标函</w:t>
      </w:r>
    </w:p>
    <w:p w14:paraId="14A6A65A">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六、分项报价明细表</w:t>
      </w:r>
    </w:p>
    <w:p w14:paraId="507E85AC">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七、采购需求响应</w:t>
      </w:r>
    </w:p>
    <w:p w14:paraId="002738AE">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八、商务、合同条款偏离表</w:t>
      </w:r>
    </w:p>
    <w:p w14:paraId="4918E932">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九、采购需求偏离表</w:t>
      </w:r>
    </w:p>
    <w:p w14:paraId="21D05D06">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十、投标服务符合招标文件规定的证明文件</w:t>
      </w:r>
    </w:p>
    <w:p w14:paraId="36CC1B43">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十</w:t>
      </w:r>
      <w:r>
        <w:rPr>
          <w:rFonts w:hint="eastAsia" w:ascii="宋体" w:hAnsi="宋体"/>
          <w:color w:val="000000"/>
          <w:szCs w:val="21"/>
          <w:lang w:val="en-US" w:eastAsia="zh-CN"/>
        </w:rPr>
        <w:t>一</w:t>
      </w:r>
      <w:r>
        <w:rPr>
          <w:rFonts w:hint="eastAsia" w:ascii="宋体" w:hAnsi="宋体"/>
          <w:color w:val="000000"/>
          <w:szCs w:val="21"/>
        </w:rPr>
        <w:t>、投标人认为需提供的其他资料</w:t>
      </w:r>
    </w:p>
    <w:p w14:paraId="2CD970F0">
      <w:pPr>
        <w:adjustRightInd w:val="0"/>
        <w:snapToGrid w:val="0"/>
        <w:spacing w:before="156" w:beforeLines="50" w:line="360" w:lineRule="auto"/>
        <w:ind w:firstLine="420" w:firstLineChars="200"/>
        <w:jc w:val="left"/>
        <w:rPr>
          <w:rFonts w:hint="eastAsia" w:ascii="宋体" w:hAnsi="宋体"/>
          <w:color w:val="000000"/>
          <w:szCs w:val="21"/>
        </w:rPr>
      </w:pPr>
      <w:r>
        <w:rPr>
          <w:rFonts w:hint="eastAsia" w:ascii="宋体" w:hAnsi="宋体"/>
          <w:color w:val="000000"/>
          <w:szCs w:val="21"/>
        </w:rPr>
        <w:t>注：投标人可编制资格审查索引表、符合性审查索引表、评审索引表，并</w:t>
      </w:r>
      <w:r>
        <w:rPr>
          <w:rFonts w:hint="eastAsia" w:ascii="宋体" w:hAnsi="宋体"/>
          <w:b/>
          <w:color w:val="000000"/>
          <w:szCs w:val="21"/>
        </w:rPr>
        <w:t>将资格审查索引表置于“资格证明文件”的第一页</w:t>
      </w:r>
      <w:r>
        <w:rPr>
          <w:rFonts w:hint="eastAsia" w:ascii="宋体" w:hAnsi="宋体"/>
          <w:color w:val="000000"/>
          <w:szCs w:val="21"/>
        </w:rPr>
        <w:t>，</w:t>
      </w:r>
      <w:r>
        <w:rPr>
          <w:rFonts w:hint="eastAsia" w:ascii="宋体" w:hAnsi="宋体"/>
          <w:b/>
          <w:color w:val="000000"/>
          <w:szCs w:val="21"/>
        </w:rPr>
        <w:t>将符合性审查索引表、评审索引表置于“商务技术文件”的第一、二页</w:t>
      </w:r>
      <w:r>
        <w:rPr>
          <w:rFonts w:hint="eastAsia" w:ascii="宋体" w:hAnsi="宋体"/>
          <w:color w:val="000000"/>
          <w:szCs w:val="21"/>
        </w:rPr>
        <w:t>，以便采购人及采购代理机构资格审查和评标委员会评审。</w:t>
      </w:r>
    </w:p>
    <w:p w14:paraId="2D675D91">
      <w:pPr>
        <w:adjustRightInd w:val="0"/>
        <w:snapToGrid w:val="0"/>
        <w:spacing w:line="360" w:lineRule="auto"/>
        <w:jc w:val="center"/>
        <w:rPr>
          <w:rFonts w:hint="eastAsia" w:ascii="仿宋_GB2312" w:hAnsi="宋体" w:eastAsia="仿宋_GB2312"/>
          <w:color w:val="000000"/>
          <w:szCs w:val="21"/>
        </w:rPr>
      </w:pPr>
    </w:p>
    <w:p w14:paraId="1BF72861">
      <w:pPr>
        <w:adjustRightInd w:val="0"/>
        <w:snapToGrid w:val="0"/>
        <w:spacing w:line="360" w:lineRule="auto"/>
        <w:jc w:val="center"/>
        <w:rPr>
          <w:rFonts w:ascii="黑体" w:eastAsia="黑体"/>
          <w:color w:val="000000"/>
          <w:sz w:val="32"/>
          <w:szCs w:val="32"/>
        </w:rPr>
      </w:pPr>
      <w:r>
        <w:rPr>
          <w:rFonts w:ascii="仿宋_GB2312" w:hAnsi="宋体" w:eastAsia="仿宋_GB2312"/>
          <w:color w:val="000000"/>
          <w:szCs w:val="21"/>
        </w:rPr>
        <w:br w:type="page"/>
      </w:r>
    </w:p>
    <w:p w14:paraId="328497EB">
      <w:pPr>
        <w:adjustRightInd w:val="0"/>
        <w:snapToGrid w:val="0"/>
        <w:spacing w:line="360" w:lineRule="auto"/>
        <w:rPr>
          <w:rFonts w:ascii="黑体" w:eastAsia="黑体"/>
          <w:color w:val="000000"/>
          <w:sz w:val="32"/>
          <w:szCs w:val="32"/>
        </w:rPr>
      </w:pPr>
    </w:p>
    <w:p w14:paraId="126B1E64">
      <w:pPr>
        <w:pStyle w:val="25"/>
        <w:adjustRightInd w:val="0"/>
        <w:snapToGrid w:val="0"/>
        <w:spacing w:line="360" w:lineRule="auto"/>
        <w:jc w:val="center"/>
        <w:rPr>
          <w:rFonts w:hint="eastAsia" w:hAnsi="宋体"/>
          <w:b/>
          <w:bCs/>
          <w:color w:val="000000"/>
          <w:sz w:val="72"/>
          <w:szCs w:val="72"/>
        </w:rPr>
      </w:pPr>
      <w:r>
        <w:rPr>
          <w:rFonts w:hint="eastAsia" w:hAnsi="宋体"/>
          <w:b/>
          <w:bCs/>
          <w:color w:val="000000"/>
          <w:sz w:val="72"/>
          <w:szCs w:val="72"/>
        </w:rPr>
        <w:t>政府采购</w:t>
      </w:r>
    </w:p>
    <w:p w14:paraId="32B12C04">
      <w:pPr>
        <w:adjustRightInd w:val="0"/>
        <w:snapToGrid w:val="0"/>
        <w:spacing w:line="360" w:lineRule="auto"/>
        <w:jc w:val="center"/>
        <w:rPr>
          <w:rFonts w:hint="eastAsia" w:ascii="宋体" w:hAnsi="宋体"/>
          <w:b/>
          <w:bCs/>
          <w:color w:val="000000"/>
          <w:sz w:val="84"/>
          <w:szCs w:val="84"/>
        </w:rPr>
      </w:pPr>
      <w:r>
        <w:rPr>
          <w:rFonts w:hint="eastAsia" w:ascii="宋体" w:hAnsi="宋体"/>
          <w:b/>
          <w:bCs/>
          <w:color w:val="000000"/>
          <w:sz w:val="84"/>
          <w:szCs w:val="84"/>
        </w:rPr>
        <w:t>投 标 文 件</w:t>
      </w:r>
    </w:p>
    <w:p w14:paraId="294FC3D9">
      <w:pPr>
        <w:pStyle w:val="3"/>
        <w:adjustRightInd w:val="0"/>
        <w:snapToGrid w:val="0"/>
        <w:jc w:val="center"/>
        <w:rPr>
          <w:rFonts w:hint="eastAsia" w:ascii="黑体" w:hAnsi="黑体" w:eastAsia="黑体"/>
          <w:color w:val="000000"/>
          <w:sz w:val="44"/>
          <w:szCs w:val="44"/>
        </w:rPr>
      </w:pPr>
      <w:bookmarkStart w:id="112" w:name="_Toc28107"/>
      <w:r>
        <w:rPr>
          <w:rFonts w:hint="eastAsia" w:ascii="黑体" w:hAnsi="黑体" w:eastAsia="黑体"/>
          <w:color w:val="000000"/>
          <w:sz w:val="44"/>
          <w:szCs w:val="44"/>
        </w:rPr>
        <w:t>第一部分 资格证明文件</w:t>
      </w:r>
      <w:bookmarkEnd w:id="112"/>
    </w:p>
    <w:p w14:paraId="10D4392D">
      <w:pPr>
        <w:adjustRightInd w:val="0"/>
        <w:snapToGrid w:val="0"/>
        <w:spacing w:line="360" w:lineRule="auto"/>
        <w:rPr>
          <w:rFonts w:hint="eastAsia" w:ascii="黑体" w:hAnsi="黑体" w:eastAsia="黑体"/>
          <w:b/>
          <w:color w:val="000000"/>
          <w:sz w:val="32"/>
          <w:szCs w:val="32"/>
        </w:rPr>
      </w:pPr>
    </w:p>
    <w:p w14:paraId="0A12FDD9">
      <w:pPr>
        <w:adjustRightInd w:val="0"/>
        <w:snapToGrid w:val="0"/>
        <w:spacing w:line="360" w:lineRule="auto"/>
        <w:rPr>
          <w:rFonts w:hint="eastAsia" w:ascii="宋体" w:hAnsi="宋体"/>
          <w:b/>
          <w:color w:val="000000"/>
          <w:sz w:val="30"/>
          <w:szCs w:val="30"/>
        </w:rPr>
      </w:pPr>
    </w:p>
    <w:p w14:paraId="4E784BD1">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rPr>
        <w:t>采购项目名称:</w:t>
      </w:r>
    </w:p>
    <w:p w14:paraId="17E1F0B5">
      <w:pPr>
        <w:pStyle w:val="25"/>
        <w:adjustRightInd w:val="0"/>
        <w:snapToGrid w:val="0"/>
        <w:spacing w:line="360" w:lineRule="auto"/>
        <w:ind w:firstLine="1988" w:firstLineChars="660"/>
        <w:rPr>
          <w:rFonts w:hint="eastAsia" w:hAnsi="宋体"/>
          <w:b/>
          <w:bCs/>
          <w:color w:val="000000"/>
          <w:sz w:val="30"/>
          <w:szCs w:val="30"/>
        </w:rPr>
      </w:pPr>
      <w:r>
        <w:rPr>
          <w:rFonts w:hint="eastAsia" w:hAnsi="宋体"/>
          <w:b/>
          <w:bCs/>
          <w:color w:val="000000"/>
          <w:sz w:val="30"/>
          <w:szCs w:val="30"/>
        </w:rPr>
        <w:t>采   购   人：</w:t>
      </w:r>
    </w:p>
    <w:p w14:paraId="11EA2638">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lang w:eastAsia="zh-CN"/>
        </w:rPr>
        <w:t>政府采购计划编号</w:t>
      </w:r>
      <w:r>
        <w:rPr>
          <w:rFonts w:hint="eastAsia" w:hAnsi="宋体"/>
          <w:b/>
          <w:bCs/>
          <w:color w:val="000000"/>
          <w:sz w:val="30"/>
          <w:szCs w:val="30"/>
        </w:rPr>
        <w:t>:</w:t>
      </w:r>
    </w:p>
    <w:p w14:paraId="7B5CADFD">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lang w:eastAsia="zh-CN"/>
        </w:rPr>
        <w:t>委托代理编号</w:t>
      </w:r>
      <w:r>
        <w:rPr>
          <w:rFonts w:hint="eastAsia" w:hAnsi="宋体"/>
          <w:b/>
          <w:bCs/>
          <w:color w:val="000000"/>
          <w:sz w:val="30"/>
          <w:szCs w:val="30"/>
        </w:rPr>
        <w:t>:</w:t>
      </w:r>
    </w:p>
    <w:p w14:paraId="2031248A">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rPr>
        <w:t>采购代理机构：</w:t>
      </w:r>
    </w:p>
    <w:p w14:paraId="0320B23B">
      <w:pPr>
        <w:adjustRightInd w:val="0"/>
        <w:snapToGrid w:val="0"/>
        <w:spacing w:line="360" w:lineRule="auto"/>
        <w:jc w:val="both"/>
        <w:rPr>
          <w:rFonts w:hint="eastAsia" w:ascii="黑体" w:hAnsi="宋体" w:eastAsia="黑体"/>
          <w:color w:val="000000"/>
          <w:sz w:val="30"/>
          <w:szCs w:val="30"/>
        </w:rPr>
      </w:pPr>
    </w:p>
    <w:p w14:paraId="3808CCFC">
      <w:pPr>
        <w:adjustRightInd w:val="0"/>
        <w:snapToGrid w:val="0"/>
        <w:spacing w:line="360" w:lineRule="auto"/>
        <w:rPr>
          <w:rFonts w:hint="eastAsia" w:ascii="黑体" w:hAnsi="宋体" w:eastAsia="黑体"/>
          <w:color w:val="000000"/>
          <w:sz w:val="30"/>
          <w:szCs w:val="30"/>
        </w:rPr>
      </w:pPr>
    </w:p>
    <w:p w14:paraId="6E10283B">
      <w:pPr>
        <w:adjustRightInd w:val="0"/>
        <w:snapToGrid w:val="0"/>
        <w:spacing w:line="360" w:lineRule="auto"/>
        <w:ind w:firstLine="1984" w:firstLineChars="620"/>
        <w:rPr>
          <w:rFonts w:hint="eastAsia" w:ascii="黑体" w:hAnsi="宋体" w:eastAsia="黑体"/>
          <w:color w:val="000000"/>
          <w:sz w:val="32"/>
          <w:szCs w:val="32"/>
        </w:rPr>
      </w:pPr>
      <w:r>
        <w:rPr>
          <w:rFonts w:hint="eastAsia" w:ascii="黑体" w:hAnsi="宋体" w:eastAsia="黑体"/>
          <w:color w:val="000000"/>
          <w:sz w:val="32"/>
          <w:szCs w:val="32"/>
        </w:rPr>
        <w:t>投标人</w:t>
      </w:r>
    </w:p>
    <w:p w14:paraId="73A3D513">
      <w:pPr>
        <w:pStyle w:val="45"/>
        <w:ind w:firstLine="640"/>
        <w:rPr>
          <w:rFonts w:hint="eastAsia" w:ascii="黑体" w:hAnsi="宋体" w:eastAsia="黑体"/>
          <w:color w:val="000000"/>
          <w:sz w:val="32"/>
          <w:szCs w:val="32"/>
        </w:rPr>
      </w:pPr>
    </w:p>
    <w:p w14:paraId="3D0EE707">
      <w:pPr>
        <w:adjustRightInd w:val="0"/>
        <w:snapToGrid w:val="0"/>
        <w:spacing w:line="360" w:lineRule="auto"/>
        <w:rPr>
          <w:rFonts w:ascii="黑体" w:eastAsia="黑体"/>
          <w:color w:val="000000"/>
          <w:sz w:val="28"/>
          <w:szCs w:val="28"/>
        </w:rPr>
      </w:pPr>
      <w:r>
        <w:rPr>
          <w:rFonts w:hint="eastAsia" w:ascii="黑体" w:hAnsi="宋体" w:eastAsia="黑体"/>
          <w:color w:val="000000"/>
          <w:sz w:val="32"/>
          <w:szCs w:val="32"/>
        </w:rPr>
        <w:t xml:space="preserve">                            年  月  日</w:t>
      </w:r>
      <w:r>
        <w:rPr>
          <w:rFonts w:ascii="黑体" w:eastAsia="黑体"/>
          <w:color w:val="000000"/>
          <w:sz w:val="28"/>
          <w:szCs w:val="28"/>
        </w:rPr>
        <w:br w:type="page"/>
      </w:r>
    </w:p>
    <w:p w14:paraId="704D5210">
      <w:pPr>
        <w:pStyle w:val="5"/>
        <w:adjustRightInd w:val="0"/>
        <w:snapToGrid w:val="0"/>
        <w:spacing w:before="156" w:beforeLines="50" w:after="0" w:line="360" w:lineRule="auto"/>
        <w:jc w:val="left"/>
        <w:rPr>
          <w:rFonts w:hint="eastAsia" w:ascii="黑体" w:hAnsi="黑体"/>
          <w:b w:val="0"/>
          <w:color w:val="000000"/>
          <w:sz w:val="21"/>
          <w:szCs w:val="21"/>
        </w:rPr>
      </w:pPr>
      <w:bookmarkStart w:id="113" w:name="_Toc27172"/>
      <w:bookmarkStart w:id="114" w:name="_Toc18627"/>
      <w:r>
        <w:rPr>
          <w:rFonts w:hint="eastAsia" w:ascii="黑体" w:hAnsi="黑体"/>
          <w:b w:val="0"/>
          <w:color w:val="000000"/>
          <w:sz w:val="21"/>
          <w:szCs w:val="21"/>
        </w:rPr>
        <w:t>索引表1 资格审查索引表</w:t>
      </w:r>
      <w:bookmarkEnd w:id="113"/>
      <w:bookmarkEnd w:id="114"/>
    </w:p>
    <w:p w14:paraId="0928178C">
      <w:pPr>
        <w:adjustRightInd w:val="0"/>
        <w:snapToGrid w:val="0"/>
        <w:spacing w:before="156" w:beforeLines="50" w:line="360" w:lineRule="auto"/>
        <w:jc w:val="center"/>
        <w:rPr>
          <w:rFonts w:hint="eastAsia" w:ascii="黑体" w:hAnsi="黑体" w:eastAsia="黑体"/>
          <w:color w:val="000000"/>
          <w:sz w:val="28"/>
          <w:szCs w:val="28"/>
        </w:rPr>
      </w:pPr>
      <w:r>
        <w:rPr>
          <w:rFonts w:hint="eastAsia" w:ascii="黑体" w:hAnsi="黑体" w:eastAsia="黑体"/>
          <w:color w:val="000000"/>
          <w:sz w:val="28"/>
          <w:szCs w:val="28"/>
        </w:rPr>
        <w:t>资格审查索引表</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338E76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vAlign w:val="center"/>
          </w:tcPr>
          <w:p w14:paraId="6211165C">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序号</w:t>
            </w:r>
          </w:p>
        </w:tc>
        <w:tc>
          <w:tcPr>
            <w:tcW w:w="1871" w:type="dxa"/>
            <w:tcBorders>
              <w:right w:val="single" w:color="auto" w:sz="4" w:space="0"/>
            </w:tcBorders>
            <w:vAlign w:val="center"/>
          </w:tcPr>
          <w:p w14:paraId="7C202683">
            <w:pPr>
              <w:adjustRightInd w:val="0"/>
              <w:snapToGrid w:val="0"/>
              <w:spacing w:before="156" w:beforeLines="50" w:line="360" w:lineRule="auto"/>
              <w:jc w:val="center"/>
              <w:rPr>
                <w:rFonts w:hint="eastAsia" w:ascii="宋体" w:hAnsi="宋体"/>
                <w:b/>
                <w:color w:val="000000"/>
                <w:kern w:val="0"/>
                <w:sz w:val="20"/>
                <w:szCs w:val="21"/>
              </w:rPr>
            </w:pPr>
            <w:r>
              <w:rPr>
                <w:rFonts w:hint="eastAsia" w:ascii="宋体" w:hAnsi="宋体"/>
                <w:b/>
                <w:color w:val="000000"/>
                <w:kern w:val="0"/>
                <w:sz w:val="20"/>
                <w:szCs w:val="21"/>
              </w:rPr>
              <w:t>招标文件条款号</w:t>
            </w:r>
          </w:p>
        </w:tc>
        <w:tc>
          <w:tcPr>
            <w:tcW w:w="2551" w:type="dxa"/>
            <w:tcBorders>
              <w:left w:val="single" w:color="auto" w:sz="4" w:space="0"/>
            </w:tcBorders>
            <w:vAlign w:val="center"/>
          </w:tcPr>
          <w:p w14:paraId="35F138FB">
            <w:pPr>
              <w:adjustRightInd w:val="0"/>
              <w:snapToGrid w:val="0"/>
              <w:spacing w:before="156" w:beforeLines="50" w:line="360" w:lineRule="auto"/>
              <w:jc w:val="center"/>
              <w:rPr>
                <w:rFonts w:hint="eastAsia" w:ascii="宋体" w:hAnsi="宋体"/>
                <w:b/>
                <w:color w:val="000000"/>
                <w:kern w:val="0"/>
                <w:sz w:val="20"/>
                <w:szCs w:val="21"/>
              </w:rPr>
            </w:pPr>
            <w:r>
              <w:rPr>
                <w:rFonts w:hint="eastAsia" w:ascii="宋体" w:hAnsi="宋体"/>
                <w:b/>
                <w:color w:val="000000"/>
                <w:kern w:val="0"/>
                <w:szCs w:val="21"/>
              </w:rPr>
              <w:t>资格审查标准</w:t>
            </w:r>
          </w:p>
        </w:tc>
        <w:tc>
          <w:tcPr>
            <w:tcW w:w="2127" w:type="dxa"/>
            <w:vAlign w:val="center"/>
          </w:tcPr>
          <w:p w14:paraId="7D078386">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证明材料</w:t>
            </w:r>
          </w:p>
        </w:tc>
        <w:tc>
          <w:tcPr>
            <w:tcW w:w="1722" w:type="dxa"/>
            <w:vAlign w:val="center"/>
          </w:tcPr>
          <w:p w14:paraId="038786BB">
            <w:pPr>
              <w:adjustRightInd w:val="0"/>
              <w:snapToGrid w:val="0"/>
              <w:spacing w:before="156" w:beforeLines="50" w:line="360" w:lineRule="auto"/>
              <w:jc w:val="center"/>
              <w:rPr>
                <w:rFonts w:hint="eastAsia" w:ascii="宋体" w:hAnsi="宋体"/>
                <w:b/>
                <w:color w:val="000000"/>
                <w:kern w:val="0"/>
                <w:sz w:val="20"/>
                <w:szCs w:val="21"/>
              </w:rPr>
            </w:pPr>
            <w:r>
              <w:rPr>
                <w:rFonts w:hint="eastAsia" w:ascii="宋体" w:hAnsi="宋体"/>
                <w:b/>
                <w:color w:val="000000"/>
                <w:kern w:val="0"/>
                <w:szCs w:val="21"/>
              </w:rPr>
              <w:t>投标文件对应内容的册及页码</w:t>
            </w:r>
          </w:p>
        </w:tc>
      </w:tr>
      <w:tr w14:paraId="7E9AD4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69C4F254">
            <w:pPr>
              <w:adjustRightInd w:val="0"/>
              <w:snapToGrid w:val="0"/>
              <w:spacing w:before="156" w:beforeLines="50" w:line="360" w:lineRule="auto"/>
              <w:jc w:val="center"/>
              <w:rPr>
                <w:rFonts w:hint="eastAsia" w:ascii="宋体" w:hAnsi="宋体"/>
                <w:color w:val="000000"/>
                <w:kern w:val="0"/>
                <w:szCs w:val="21"/>
              </w:rPr>
            </w:pPr>
          </w:p>
        </w:tc>
        <w:tc>
          <w:tcPr>
            <w:tcW w:w="1871" w:type="dxa"/>
            <w:tcBorders>
              <w:right w:val="single" w:color="auto" w:sz="4" w:space="0"/>
            </w:tcBorders>
          </w:tcPr>
          <w:p w14:paraId="39AC507B">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4F757E06">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77AB72F3">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148BB091">
            <w:pPr>
              <w:adjustRightInd w:val="0"/>
              <w:snapToGrid w:val="0"/>
              <w:spacing w:before="156" w:beforeLines="50" w:line="360" w:lineRule="auto"/>
              <w:jc w:val="center"/>
              <w:rPr>
                <w:rFonts w:hint="eastAsia" w:ascii="宋体" w:hAnsi="宋体"/>
                <w:color w:val="000000"/>
                <w:kern w:val="0"/>
                <w:sz w:val="20"/>
                <w:szCs w:val="21"/>
              </w:rPr>
            </w:pPr>
          </w:p>
        </w:tc>
      </w:tr>
      <w:tr w14:paraId="3A1A7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F03BCDD">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2FADF3AA">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331AA79D">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0700A93D">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0B457EB0">
            <w:pPr>
              <w:adjustRightInd w:val="0"/>
              <w:snapToGrid w:val="0"/>
              <w:spacing w:before="156" w:beforeLines="50" w:line="360" w:lineRule="auto"/>
              <w:jc w:val="center"/>
              <w:rPr>
                <w:rFonts w:hint="eastAsia" w:ascii="宋体" w:hAnsi="宋体"/>
                <w:color w:val="000000"/>
                <w:kern w:val="0"/>
                <w:sz w:val="20"/>
                <w:szCs w:val="21"/>
              </w:rPr>
            </w:pPr>
          </w:p>
        </w:tc>
      </w:tr>
      <w:tr w14:paraId="5DB63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48BDAFFC">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0A0ACEC4">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4A06D176">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69B2181E">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74EDD7DB">
            <w:pPr>
              <w:adjustRightInd w:val="0"/>
              <w:snapToGrid w:val="0"/>
              <w:spacing w:before="156" w:beforeLines="50" w:line="360" w:lineRule="auto"/>
              <w:jc w:val="center"/>
              <w:rPr>
                <w:rFonts w:hint="eastAsia" w:ascii="宋体" w:hAnsi="宋体"/>
                <w:color w:val="000000"/>
                <w:kern w:val="0"/>
                <w:sz w:val="20"/>
                <w:szCs w:val="21"/>
              </w:rPr>
            </w:pPr>
          </w:p>
        </w:tc>
      </w:tr>
      <w:tr w14:paraId="09A324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615431B2">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46AA75A5">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1E33C834">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509B1C6A">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4DA86EED">
            <w:pPr>
              <w:adjustRightInd w:val="0"/>
              <w:snapToGrid w:val="0"/>
              <w:spacing w:before="156" w:beforeLines="50" w:line="360" w:lineRule="auto"/>
              <w:jc w:val="center"/>
              <w:rPr>
                <w:rFonts w:hint="eastAsia" w:ascii="宋体" w:hAnsi="宋体"/>
                <w:color w:val="000000"/>
                <w:kern w:val="0"/>
                <w:sz w:val="20"/>
                <w:szCs w:val="21"/>
              </w:rPr>
            </w:pPr>
          </w:p>
        </w:tc>
      </w:tr>
      <w:tr w14:paraId="444B2F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08C96183">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7FEAAE97">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726EC9DC">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5F3D7602">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0BD9ADA2">
            <w:pPr>
              <w:adjustRightInd w:val="0"/>
              <w:snapToGrid w:val="0"/>
              <w:spacing w:before="156" w:beforeLines="50" w:line="360" w:lineRule="auto"/>
              <w:jc w:val="center"/>
              <w:rPr>
                <w:rFonts w:hint="eastAsia" w:ascii="宋体" w:hAnsi="宋体"/>
                <w:color w:val="000000"/>
                <w:kern w:val="0"/>
                <w:sz w:val="20"/>
                <w:szCs w:val="21"/>
              </w:rPr>
            </w:pPr>
          </w:p>
        </w:tc>
      </w:tr>
      <w:tr w14:paraId="73959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F890EC0">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6A2E05A3">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667434A7">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6DFAA4A7">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376C799D">
            <w:pPr>
              <w:adjustRightInd w:val="0"/>
              <w:snapToGrid w:val="0"/>
              <w:spacing w:before="156" w:beforeLines="50" w:line="360" w:lineRule="auto"/>
              <w:jc w:val="center"/>
              <w:rPr>
                <w:rFonts w:hint="eastAsia" w:ascii="宋体" w:hAnsi="宋体"/>
                <w:color w:val="000000"/>
                <w:kern w:val="0"/>
                <w:sz w:val="20"/>
                <w:szCs w:val="21"/>
              </w:rPr>
            </w:pPr>
          </w:p>
        </w:tc>
      </w:tr>
      <w:tr w14:paraId="2C0E6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124EB871">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1CA06E52">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6C537646">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72C60623">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28C21040">
            <w:pPr>
              <w:adjustRightInd w:val="0"/>
              <w:snapToGrid w:val="0"/>
              <w:spacing w:before="156" w:beforeLines="50" w:line="360" w:lineRule="auto"/>
              <w:jc w:val="center"/>
              <w:rPr>
                <w:rFonts w:hint="eastAsia" w:ascii="宋体" w:hAnsi="宋体"/>
                <w:color w:val="000000"/>
                <w:kern w:val="0"/>
                <w:sz w:val="20"/>
                <w:szCs w:val="21"/>
              </w:rPr>
            </w:pPr>
          </w:p>
        </w:tc>
      </w:tr>
      <w:tr w14:paraId="0D50B3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4D1F4D2">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1C6AD93E">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377D19F4">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22E2AC38">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32F9D252">
            <w:pPr>
              <w:adjustRightInd w:val="0"/>
              <w:snapToGrid w:val="0"/>
              <w:spacing w:before="156" w:beforeLines="50" w:line="360" w:lineRule="auto"/>
              <w:jc w:val="center"/>
              <w:rPr>
                <w:rFonts w:hint="eastAsia" w:ascii="宋体" w:hAnsi="宋体"/>
                <w:color w:val="000000"/>
                <w:kern w:val="0"/>
                <w:sz w:val="20"/>
                <w:szCs w:val="21"/>
              </w:rPr>
            </w:pPr>
          </w:p>
        </w:tc>
      </w:tr>
      <w:tr w14:paraId="6F8296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6DCAC4DE">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38B2878E">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046527EC">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4D13CCF4">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56067033">
            <w:pPr>
              <w:adjustRightInd w:val="0"/>
              <w:snapToGrid w:val="0"/>
              <w:spacing w:before="156" w:beforeLines="50" w:line="360" w:lineRule="auto"/>
              <w:jc w:val="center"/>
              <w:rPr>
                <w:rFonts w:hint="eastAsia" w:ascii="宋体" w:hAnsi="宋体"/>
                <w:color w:val="000000"/>
                <w:kern w:val="0"/>
                <w:sz w:val="20"/>
                <w:szCs w:val="21"/>
              </w:rPr>
            </w:pPr>
          </w:p>
        </w:tc>
      </w:tr>
      <w:tr w14:paraId="0680D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676E6217">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0C9A86E8">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58EC30BB">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47C29F8C">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35E632B4">
            <w:pPr>
              <w:adjustRightInd w:val="0"/>
              <w:snapToGrid w:val="0"/>
              <w:spacing w:before="156" w:beforeLines="50" w:line="360" w:lineRule="auto"/>
              <w:jc w:val="center"/>
              <w:rPr>
                <w:rFonts w:hint="eastAsia" w:ascii="宋体" w:hAnsi="宋体"/>
                <w:color w:val="000000"/>
                <w:kern w:val="0"/>
                <w:sz w:val="20"/>
                <w:szCs w:val="21"/>
              </w:rPr>
            </w:pPr>
          </w:p>
        </w:tc>
      </w:tr>
      <w:tr w14:paraId="432758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tcPr>
          <w:p w14:paraId="08FABE2B">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6E88CA55">
            <w:pPr>
              <w:adjustRightInd w:val="0"/>
              <w:snapToGrid w:val="0"/>
              <w:spacing w:before="156" w:beforeLines="50" w:line="360" w:lineRule="auto"/>
              <w:jc w:val="center"/>
              <w:rPr>
                <w:rFonts w:hint="eastAsia" w:ascii="宋体" w:hAnsi="宋体"/>
                <w:color w:val="000000"/>
                <w:kern w:val="0"/>
                <w:sz w:val="20"/>
                <w:szCs w:val="21"/>
              </w:rPr>
            </w:pPr>
          </w:p>
        </w:tc>
        <w:tc>
          <w:tcPr>
            <w:tcW w:w="2551" w:type="dxa"/>
            <w:tcBorders>
              <w:left w:val="single" w:color="auto" w:sz="4" w:space="0"/>
            </w:tcBorders>
          </w:tcPr>
          <w:p w14:paraId="51C86B84">
            <w:pPr>
              <w:adjustRightInd w:val="0"/>
              <w:snapToGrid w:val="0"/>
              <w:spacing w:before="156" w:beforeLines="50" w:line="360" w:lineRule="auto"/>
              <w:jc w:val="center"/>
              <w:rPr>
                <w:rFonts w:hint="eastAsia" w:ascii="宋体" w:hAnsi="宋体"/>
                <w:color w:val="000000"/>
                <w:kern w:val="0"/>
                <w:sz w:val="20"/>
                <w:szCs w:val="21"/>
              </w:rPr>
            </w:pPr>
          </w:p>
        </w:tc>
        <w:tc>
          <w:tcPr>
            <w:tcW w:w="2127" w:type="dxa"/>
          </w:tcPr>
          <w:p w14:paraId="12584FA4">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4B55877C">
            <w:pPr>
              <w:adjustRightInd w:val="0"/>
              <w:snapToGrid w:val="0"/>
              <w:spacing w:before="156" w:beforeLines="50" w:line="360" w:lineRule="auto"/>
              <w:jc w:val="center"/>
              <w:rPr>
                <w:rFonts w:hint="eastAsia" w:ascii="宋体" w:hAnsi="宋体"/>
                <w:color w:val="000000"/>
                <w:kern w:val="0"/>
                <w:sz w:val="20"/>
                <w:szCs w:val="21"/>
              </w:rPr>
            </w:pPr>
          </w:p>
        </w:tc>
      </w:tr>
    </w:tbl>
    <w:p w14:paraId="395E1C24">
      <w:r>
        <w:br w:type="page"/>
      </w:r>
    </w:p>
    <w:p w14:paraId="41AC0D3B">
      <w:pPr>
        <w:pStyle w:val="4"/>
        <w:numPr>
          <w:ilvl w:val="0"/>
          <w:numId w:val="9"/>
        </w:numPr>
        <w:adjustRightInd w:val="0"/>
        <w:snapToGrid w:val="0"/>
        <w:spacing w:before="0" w:after="0" w:line="360" w:lineRule="auto"/>
        <w:jc w:val="center"/>
        <w:rPr>
          <w:rFonts w:hint="eastAsia" w:ascii="黑体" w:hAnsi="宋体" w:eastAsia="黑体"/>
          <w:color w:val="000000"/>
          <w:sz w:val="28"/>
          <w:szCs w:val="28"/>
        </w:rPr>
      </w:pPr>
      <w:bookmarkStart w:id="115" w:name="_Toc14022"/>
      <w:bookmarkStart w:id="116" w:name="_Toc12589"/>
      <w:r>
        <w:rPr>
          <w:rFonts w:hint="eastAsia" w:ascii="黑体" w:hAnsi="宋体" w:eastAsia="黑体"/>
          <w:color w:val="000000"/>
          <w:sz w:val="28"/>
          <w:szCs w:val="28"/>
        </w:rPr>
        <w:t>开标一览表</w:t>
      </w:r>
      <w:bookmarkEnd w:id="115"/>
      <w:bookmarkEnd w:id="116"/>
    </w:p>
    <w:p w14:paraId="1CD77D5A">
      <w:pPr>
        <w:pStyle w:val="64"/>
      </w:pPr>
    </w:p>
    <w:p w14:paraId="2E605F0F">
      <w:pPr>
        <w:adjustRightInd w:val="0"/>
        <w:snapToGrid w:val="0"/>
        <w:spacing w:line="360" w:lineRule="auto"/>
        <w:rPr>
          <w:rFonts w:hint="eastAsia" w:ascii="宋体" w:hAnsi="宋体"/>
          <w:szCs w:val="21"/>
        </w:rPr>
      </w:pPr>
      <w:r>
        <w:rPr>
          <w:rFonts w:hint="eastAsia" w:ascii="宋体" w:hAnsi="宋体"/>
          <w:szCs w:val="21"/>
          <w:lang w:eastAsia="zh-CN"/>
        </w:rPr>
        <w:t>政府采购计划编号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tbl>
      <w:tblPr>
        <w:tblStyle w:val="46"/>
        <w:tblW w:w="882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87"/>
        <w:gridCol w:w="1566"/>
      </w:tblGrid>
      <w:tr w14:paraId="44E7A8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74849E2B">
            <w:pPr>
              <w:adjustRightInd w:val="0"/>
              <w:snapToGrid w:val="0"/>
              <w:spacing w:line="360" w:lineRule="auto"/>
              <w:jc w:val="center"/>
              <w:rPr>
                <w:rFonts w:hint="eastAsia" w:ascii="宋体" w:hAnsi="宋体"/>
                <w:b/>
                <w:kern w:val="0"/>
                <w:sz w:val="20"/>
                <w:szCs w:val="21"/>
              </w:rPr>
            </w:pPr>
            <w:r>
              <w:rPr>
                <w:rFonts w:hint="eastAsia" w:ascii="宋体" w:hAnsi="宋体"/>
                <w:b/>
                <w:kern w:val="0"/>
                <w:szCs w:val="21"/>
              </w:rPr>
              <w:t>投标报价</w:t>
            </w:r>
          </w:p>
        </w:tc>
        <w:tc>
          <w:tcPr>
            <w:tcW w:w="1587" w:type="dxa"/>
            <w:vAlign w:val="center"/>
          </w:tcPr>
          <w:p w14:paraId="59435958">
            <w:pPr>
              <w:adjustRightInd w:val="0"/>
              <w:snapToGrid w:val="0"/>
              <w:spacing w:line="360" w:lineRule="auto"/>
              <w:jc w:val="center"/>
              <w:rPr>
                <w:rFonts w:hint="eastAsia" w:ascii="宋体" w:hAnsi="宋体"/>
                <w:b/>
                <w:kern w:val="0"/>
                <w:szCs w:val="21"/>
              </w:rPr>
            </w:pPr>
            <w:r>
              <w:rPr>
                <w:rFonts w:hint="eastAsia"/>
                <w:b/>
                <w:bCs/>
                <w:sz w:val="22"/>
                <w:szCs w:val="22"/>
                <w:lang w:val="en-US" w:eastAsia="zh-CN"/>
              </w:rPr>
              <w:t>服务</w:t>
            </w:r>
            <w:r>
              <w:rPr>
                <w:rFonts w:hint="eastAsia" w:ascii="Times New Roman" w:eastAsia="宋体"/>
                <w:b/>
                <w:bCs/>
                <w:sz w:val="22"/>
                <w:szCs w:val="22"/>
                <w:lang w:val="en-US" w:eastAsia="zh-CN"/>
              </w:rPr>
              <w:t>期限</w:t>
            </w:r>
          </w:p>
        </w:tc>
        <w:tc>
          <w:tcPr>
            <w:tcW w:w="1566" w:type="dxa"/>
            <w:vAlign w:val="center"/>
          </w:tcPr>
          <w:p w14:paraId="3AC101CB">
            <w:pPr>
              <w:adjustRightInd w:val="0"/>
              <w:snapToGrid w:val="0"/>
              <w:spacing w:line="360" w:lineRule="auto"/>
              <w:jc w:val="center"/>
              <w:rPr>
                <w:rFonts w:hint="eastAsia" w:ascii="宋体" w:hAnsi="宋体"/>
                <w:b/>
                <w:kern w:val="0"/>
                <w:szCs w:val="21"/>
              </w:rPr>
            </w:pPr>
            <w:r>
              <w:rPr>
                <w:rFonts w:hint="eastAsia" w:ascii="宋体" w:hAnsi="宋体"/>
                <w:b/>
                <w:kern w:val="0"/>
                <w:szCs w:val="21"/>
              </w:rPr>
              <w:t>其他内容</w:t>
            </w:r>
          </w:p>
        </w:tc>
      </w:tr>
      <w:tr w14:paraId="46263E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75C28415">
            <w:pPr>
              <w:adjustRightInd w:val="0"/>
              <w:snapToGrid w:val="0"/>
              <w:spacing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D5A79CE">
            <w:pPr>
              <w:adjustRightInd w:val="0"/>
              <w:snapToGrid w:val="0"/>
              <w:spacing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249369EB">
            <w:pPr>
              <w:adjustRightInd w:val="0"/>
              <w:snapToGrid w:val="0"/>
              <w:spacing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1587" w:type="dxa"/>
            <w:vAlign w:val="center"/>
          </w:tcPr>
          <w:p w14:paraId="4D1AC3EF">
            <w:pPr>
              <w:adjustRightInd w:val="0"/>
              <w:snapToGrid w:val="0"/>
              <w:spacing w:line="360" w:lineRule="auto"/>
              <w:jc w:val="center"/>
              <w:rPr>
                <w:rFonts w:hint="eastAsia" w:ascii="宋体" w:hAnsi="宋体"/>
                <w:kern w:val="0"/>
                <w:szCs w:val="21"/>
              </w:rPr>
            </w:pPr>
          </w:p>
        </w:tc>
        <w:tc>
          <w:tcPr>
            <w:tcW w:w="1566" w:type="dxa"/>
            <w:vAlign w:val="center"/>
          </w:tcPr>
          <w:p w14:paraId="00E13A6E">
            <w:pPr>
              <w:adjustRightInd w:val="0"/>
              <w:snapToGrid w:val="0"/>
              <w:spacing w:line="360" w:lineRule="auto"/>
              <w:jc w:val="center"/>
              <w:rPr>
                <w:rFonts w:hint="eastAsia" w:ascii="宋体" w:hAnsi="宋体"/>
                <w:kern w:val="0"/>
                <w:szCs w:val="21"/>
              </w:rPr>
            </w:pPr>
          </w:p>
        </w:tc>
      </w:tr>
    </w:tbl>
    <w:p w14:paraId="35BCA1AD">
      <w:pPr>
        <w:adjustRightInd w:val="0"/>
        <w:snapToGrid w:val="0"/>
        <w:spacing w:line="360" w:lineRule="auto"/>
        <w:rPr>
          <w:rFonts w:hint="eastAsia" w:ascii="宋体" w:hAnsi="宋体"/>
          <w:szCs w:val="21"/>
        </w:rPr>
      </w:pPr>
      <w:r>
        <w:rPr>
          <w:rFonts w:hint="eastAsia" w:ascii="宋体" w:hAnsi="宋体"/>
          <w:bCs/>
          <w:szCs w:val="21"/>
        </w:rPr>
        <w:t>注：</w:t>
      </w:r>
      <w:r>
        <w:rPr>
          <w:rFonts w:hint="eastAsia" w:ascii="宋体" w:hAnsi="宋体"/>
          <w:szCs w:val="21"/>
        </w:rPr>
        <w:t>1.本表须按包填写，一个“包号”一份。</w:t>
      </w:r>
    </w:p>
    <w:p w14:paraId="1D0A7496">
      <w:pPr>
        <w:adjustRightInd w:val="0"/>
        <w:snapToGrid w:val="0"/>
        <w:spacing w:line="360" w:lineRule="auto"/>
        <w:ind w:firstLine="420" w:firstLineChars="200"/>
        <w:rPr>
          <w:rFonts w:hint="eastAsia" w:ascii="宋体" w:hAnsi="宋体"/>
          <w:szCs w:val="21"/>
        </w:rPr>
      </w:pPr>
      <w:r>
        <w:rPr>
          <w:rFonts w:hint="eastAsia" w:ascii="宋体" w:hAnsi="宋体"/>
          <w:szCs w:val="21"/>
        </w:rPr>
        <w:t>2.</w:t>
      </w:r>
      <w:r>
        <w:rPr>
          <w:rFonts w:hint="eastAsia" w:ascii="宋体" w:hAnsi="宋体"/>
        </w:rPr>
        <w:t>投标人对采购项目内容只允许有一个投标报价，否则其</w:t>
      </w:r>
      <w:r>
        <w:rPr>
          <w:rFonts w:hint="eastAsia" w:ascii="宋体" w:hAnsi="宋体"/>
          <w:b/>
        </w:rPr>
        <w:t>投标无效</w:t>
      </w:r>
      <w:r>
        <w:rPr>
          <w:rFonts w:hint="eastAsia" w:ascii="宋体" w:hAnsi="宋体"/>
          <w:szCs w:val="21"/>
        </w:rPr>
        <w:t>。</w:t>
      </w:r>
    </w:p>
    <w:p w14:paraId="3214241F">
      <w:pPr>
        <w:adjustRightInd w:val="0"/>
        <w:snapToGrid w:val="0"/>
        <w:spacing w:line="360" w:lineRule="auto"/>
        <w:ind w:firstLine="420" w:firstLineChars="200"/>
        <w:jc w:val="left"/>
        <w:rPr>
          <w:rFonts w:hint="eastAsia" w:ascii="宋体" w:hAnsi="宋体"/>
        </w:rPr>
      </w:pPr>
      <w:r>
        <w:rPr>
          <w:rFonts w:hint="eastAsia" w:ascii="宋体" w:hAnsi="宋体"/>
          <w:szCs w:val="21"/>
        </w:rPr>
        <w:t>3.</w:t>
      </w:r>
      <w:r>
        <w:rPr>
          <w:rFonts w:hint="eastAsia" w:ascii="宋体" w:hAnsi="宋体"/>
        </w:rPr>
        <w:t>投标人在投标截止时间前修改“开标一览表”中的投标报价的，应同时修改投标文件“分项报价明细表”“享受政府采购政策优惠的证明资料”以及“联合体协议书”（如果影响）等相关内容。</w:t>
      </w:r>
    </w:p>
    <w:p w14:paraId="7B09347F">
      <w:pPr>
        <w:adjustRightInd w:val="0"/>
        <w:snapToGrid w:val="0"/>
        <w:spacing w:line="360" w:lineRule="auto"/>
        <w:ind w:firstLine="420" w:firstLineChars="200"/>
        <w:rPr>
          <w:rFonts w:hint="eastAsia" w:ascii="宋体" w:hAnsi="宋体"/>
          <w:szCs w:val="21"/>
        </w:rPr>
      </w:pPr>
    </w:p>
    <w:p w14:paraId="365F6458">
      <w:pPr>
        <w:adjustRightInd w:val="0"/>
        <w:snapToGrid w:val="0"/>
        <w:spacing w:line="360" w:lineRule="auto"/>
        <w:ind w:firstLine="420" w:firstLineChars="200"/>
        <w:rPr>
          <w:rFonts w:hint="eastAsia" w:ascii="宋体" w:hAnsi="宋体"/>
          <w:szCs w:val="21"/>
        </w:rPr>
      </w:pPr>
    </w:p>
    <w:p w14:paraId="6414756A">
      <w:pPr>
        <w:adjustRightInd w:val="0"/>
        <w:snapToGrid w:val="0"/>
        <w:spacing w:line="360" w:lineRule="auto"/>
        <w:rPr>
          <w:rFonts w:hint="eastAsia" w:ascii="宋体" w:hAnsi="宋体"/>
          <w:szCs w:val="21"/>
        </w:rPr>
      </w:pPr>
    </w:p>
    <w:p w14:paraId="588F336B">
      <w:pPr>
        <w:adjustRightInd w:val="0"/>
        <w:snapToGrid w:val="0"/>
        <w:spacing w:line="360" w:lineRule="auto"/>
        <w:rPr>
          <w:rFonts w:hint="eastAsia" w:ascii="宋体" w:hAnsi="宋体"/>
          <w:szCs w:val="21"/>
        </w:rPr>
      </w:pPr>
      <w:r>
        <w:rPr>
          <w:rFonts w:hint="eastAsia" w:ascii="宋体" w:hAnsi="宋体"/>
          <w:szCs w:val="21"/>
        </w:rPr>
        <w:t>投标人名称（盖单位章）：</w:t>
      </w:r>
    </w:p>
    <w:p w14:paraId="02DD2B60">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11D3A01F">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color w:val="000000"/>
          <w:szCs w:val="21"/>
        </w:rPr>
        <w:br w:type="page"/>
      </w:r>
    </w:p>
    <w:p w14:paraId="7518DDC3">
      <w:pPr>
        <w:widowControl/>
        <w:jc w:val="left"/>
        <w:rPr>
          <w:rFonts w:hint="eastAsia" w:ascii="黑体" w:hAnsi="黑体" w:eastAsia="黑体"/>
          <w:sz w:val="28"/>
          <w:szCs w:val="28"/>
        </w:rPr>
      </w:pPr>
      <w:bookmarkStart w:id="117" w:name="_Toc20651246"/>
      <w:r>
        <w:rPr>
          <w:rFonts w:hint="eastAsia" w:ascii="黑体" w:hAnsi="黑体" w:eastAsia="黑体"/>
          <w:sz w:val="28"/>
          <w:szCs w:val="28"/>
        </w:rPr>
        <w:t>二、法定代表人（单位负责人）身份证明</w:t>
      </w:r>
      <w:bookmarkEnd w:id="117"/>
    </w:p>
    <w:p w14:paraId="7093D80F">
      <w:pPr>
        <w:tabs>
          <w:tab w:val="left" w:pos="3880"/>
        </w:tabs>
        <w:autoSpaceDE w:val="0"/>
        <w:autoSpaceDN w:val="0"/>
        <w:adjustRightInd w:val="0"/>
        <w:snapToGrid w:val="0"/>
        <w:spacing w:line="360" w:lineRule="auto"/>
        <w:ind w:left="100" w:right="-20"/>
        <w:jc w:val="left"/>
        <w:rPr>
          <w:rFonts w:hint="eastAsia" w:ascii="宋体" w:hAnsi="宋体" w:cs="微软雅黑"/>
          <w:kern w:val="0"/>
          <w:position w:val="-4"/>
          <w:szCs w:val="21"/>
        </w:rPr>
      </w:pPr>
    </w:p>
    <w:p w14:paraId="11EAA134">
      <w:pPr>
        <w:tabs>
          <w:tab w:val="left" w:pos="3880"/>
        </w:tabs>
        <w:autoSpaceDE w:val="0"/>
        <w:autoSpaceDN w:val="0"/>
        <w:adjustRightInd w:val="0"/>
        <w:snapToGrid w:val="0"/>
        <w:spacing w:line="360" w:lineRule="auto"/>
        <w:ind w:left="100" w:right="-20"/>
        <w:jc w:val="left"/>
        <w:rPr>
          <w:rFonts w:hint="eastAsia"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18BD1AB6">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22CC2F62">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5F91F103">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eastAsia"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01D4181A">
      <w:pPr>
        <w:autoSpaceDE w:val="0"/>
        <w:autoSpaceDN w:val="0"/>
        <w:adjustRightInd w:val="0"/>
        <w:snapToGrid w:val="0"/>
        <w:spacing w:line="360" w:lineRule="auto"/>
        <w:ind w:left="520" w:right="-20"/>
        <w:jc w:val="left"/>
        <w:rPr>
          <w:rFonts w:hint="eastAsia"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0E68D88C">
      <w:pPr>
        <w:autoSpaceDE w:val="0"/>
        <w:autoSpaceDN w:val="0"/>
        <w:adjustRightInd w:val="0"/>
        <w:snapToGrid w:val="0"/>
        <w:spacing w:line="360" w:lineRule="auto"/>
        <w:ind w:left="100" w:right="4231"/>
        <w:jc w:val="left"/>
        <w:rPr>
          <w:rFonts w:hint="eastAsia"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r>
        <w:rPr>
          <w:rFonts w:hint="eastAsia" w:ascii="宋体" w:hAnsi="宋体" w:cs="微软雅黑"/>
          <w:kern w:val="0"/>
          <w:szCs w:val="21"/>
        </w:rPr>
        <w:t>。</w:t>
      </w:r>
    </w:p>
    <w:tbl>
      <w:tblPr>
        <w:tblStyle w:val="145"/>
        <w:tblW w:w="795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9"/>
        <w:gridCol w:w="3980"/>
      </w:tblGrid>
      <w:tr w14:paraId="53E1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2" w:hRule="atLeast"/>
        </w:trPr>
        <w:tc>
          <w:tcPr>
            <w:tcW w:w="3979" w:type="dxa"/>
            <w:vAlign w:val="center"/>
          </w:tcPr>
          <w:p w14:paraId="2DC4268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980" w:type="dxa"/>
            <w:vAlign w:val="center"/>
          </w:tcPr>
          <w:p w14:paraId="7D795D0A">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6F1667A6">
      <w:pPr>
        <w:adjustRightInd w:val="0"/>
        <w:snapToGrid w:val="0"/>
        <w:spacing w:line="360" w:lineRule="auto"/>
        <w:rPr>
          <w:rFonts w:hint="eastAsia" w:ascii="宋体" w:hAnsi="宋体"/>
          <w:szCs w:val="21"/>
        </w:rPr>
      </w:pPr>
    </w:p>
    <w:p w14:paraId="13E52979">
      <w:pPr>
        <w:adjustRightInd w:val="0"/>
        <w:snapToGrid w:val="0"/>
        <w:spacing w:line="360" w:lineRule="auto"/>
        <w:rPr>
          <w:rFonts w:hint="eastAsia" w:ascii="宋体" w:hAnsi="宋体"/>
          <w:szCs w:val="21"/>
        </w:rPr>
      </w:pPr>
      <w:r>
        <w:rPr>
          <w:rFonts w:hint="eastAsia" w:ascii="宋体" w:hAnsi="宋体"/>
          <w:szCs w:val="21"/>
        </w:rPr>
        <w:t>注：投标人代表为法定代表人（单位负责人）的提供。</w:t>
      </w:r>
    </w:p>
    <w:p w14:paraId="359229ED">
      <w:pPr>
        <w:adjustRightInd w:val="0"/>
        <w:snapToGrid w:val="0"/>
        <w:spacing w:line="360" w:lineRule="auto"/>
        <w:rPr>
          <w:rFonts w:hint="eastAsia" w:ascii="宋体" w:hAnsi="宋体"/>
          <w:szCs w:val="21"/>
        </w:rPr>
      </w:pPr>
    </w:p>
    <w:p w14:paraId="7CC18F93">
      <w:pPr>
        <w:adjustRightInd w:val="0"/>
        <w:snapToGrid w:val="0"/>
        <w:spacing w:line="360" w:lineRule="auto"/>
        <w:rPr>
          <w:rFonts w:hint="eastAsia" w:ascii="宋体" w:hAnsi="宋体"/>
          <w:szCs w:val="21"/>
        </w:rPr>
      </w:pPr>
      <w:r>
        <w:rPr>
          <w:rFonts w:hint="eastAsia" w:ascii="宋体" w:hAnsi="宋体"/>
          <w:szCs w:val="21"/>
        </w:rPr>
        <w:t>投标人名称（盖单位章）：</w:t>
      </w:r>
    </w:p>
    <w:p w14:paraId="4D762CB6">
      <w:pPr>
        <w:adjustRightInd w:val="0"/>
        <w:snapToGrid w:val="0"/>
        <w:spacing w:line="360" w:lineRule="auto"/>
        <w:ind w:right="420"/>
        <w:rPr>
          <w:rFonts w:hint="eastAsia" w:ascii="宋体" w:hAnsi="宋体"/>
          <w:szCs w:val="21"/>
        </w:rPr>
      </w:pPr>
      <w:r>
        <w:rPr>
          <w:rFonts w:hint="eastAsia" w:ascii="宋体" w:hAnsi="宋体" w:cs="宋体"/>
          <w:szCs w:val="21"/>
        </w:rPr>
        <w:t>日期：</w:t>
      </w:r>
      <w:r>
        <w:rPr>
          <w:rFonts w:hint="eastAsia" w:ascii="宋体" w:hAnsi="宋体" w:cs="宋体"/>
          <w:szCs w:val="21"/>
          <w:lang w:val="en-US" w:eastAsia="zh-CN"/>
        </w:rPr>
        <w:t xml:space="preserve">     </w:t>
      </w: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p>
    <w:p w14:paraId="256625E7">
      <w:pPr>
        <w:widowControl/>
        <w:jc w:val="left"/>
        <w:rPr>
          <w:rFonts w:hint="eastAsia" w:ascii="黑体" w:hAnsi="宋体" w:eastAsia="黑体"/>
          <w:b/>
          <w:bCs/>
          <w:sz w:val="28"/>
          <w:szCs w:val="28"/>
        </w:rPr>
      </w:pPr>
      <w:bookmarkStart w:id="118" w:name="_Toc20651247"/>
      <w:r>
        <w:rPr>
          <w:rFonts w:ascii="黑体" w:hAnsi="宋体" w:eastAsia="黑体"/>
          <w:b/>
          <w:bCs/>
          <w:sz w:val="28"/>
          <w:szCs w:val="28"/>
        </w:rPr>
        <w:br w:type="page"/>
      </w:r>
    </w:p>
    <w:p w14:paraId="1F6554AB">
      <w:pPr>
        <w:keepNext/>
        <w:keepLines/>
        <w:adjustRightInd w:val="0"/>
        <w:snapToGrid w:val="0"/>
        <w:spacing w:line="360" w:lineRule="auto"/>
        <w:jc w:val="center"/>
        <w:outlineLvl w:val="2"/>
        <w:rPr>
          <w:rFonts w:hint="eastAsia" w:ascii="黑体" w:hAnsi="宋体" w:eastAsia="黑体"/>
          <w:b/>
          <w:bCs/>
          <w:sz w:val="28"/>
          <w:szCs w:val="28"/>
        </w:rPr>
      </w:pPr>
      <w:bookmarkStart w:id="119" w:name="_Toc20853"/>
      <w:bookmarkStart w:id="120" w:name="_Toc25990"/>
      <w:r>
        <w:rPr>
          <w:rFonts w:hint="eastAsia" w:ascii="黑体" w:hAnsi="宋体" w:eastAsia="黑体"/>
          <w:b/>
          <w:bCs/>
          <w:sz w:val="28"/>
          <w:szCs w:val="28"/>
        </w:rPr>
        <w:t>三、授权委托书</w:t>
      </w:r>
      <w:bookmarkEnd w:id="118"/>
      <w:bookmarkEnd w:id="119"/>
      <w:bookmarkEnd w:id="120"/>
    </w:p>
    <w:p w14:paraId="6C2255BA">
      <w:pPr>
        <w:autoSpaceDE w:val="0"/>
        <w:autoSpaceDN w:val="0"/>
        <w:adjustRightInd w:val="0"/>
        <w:snapToGrid w:val="0"/>
        <w:spacing w:line="360" w:lineRule="auto"/>
        <w:ind w:firstLine="446" w:firstLineChars="200"/>
        <w:jc w:val="left"/>
        <w:rPr>
          <w:rFonts w:hint="eastAsia" w:ascii="宋体" w:hAnsi="宋体"/>
          <w:b/>
          <w:spacing w:val="6"/>
          <w:szCs w:val="21"/>
        </w:rPr>
      </w:pPr>
    </w:p>
    <w:p w14:paraId="6A482024">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lang w:eastAsia="zh-CN"/>
        </w:rPr>
        <w:t>（</w:t>
      </w:r>
      <w:r>
        <w:rPr>
          <w:rFonts w:hint="eastAsia" w:ascii="宋体" w:hAnsi="宋体" w:cs="宋体"/>
          <w:kern w:val="0"/>
          <w:szCs w:val="21"/>
          <w:lang w:val="en-US" w:eastAsia="zh-CN"/>
        </w:rPr>
        <w:t>包号）</w:t>
      </w:r>
      <w:r>
        <w:rPr>
          <w:rFonts w:hint="eastAsia" w:ascii="宋体" w:hAnsi="宋体" w:cs="宋体"/>
          <w:kern w:val="0"/>
          <w:szCs w:val="21"/>
        </w:rPr>
        <w:t>（</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rPr>
        <w:t>委托代理编号：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2BED0444">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308828B6">
      <w:pPr>
        <w:adjustRightInd w:val="0"/>
        <w:snapToGrid w:val="0"/>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14:paraId="6342AA93">
      <w:pPr>
        <w:adjustRightInd w:val="0"/>
        <w:snapToGrid w:val="0"/>
        <w:spacing w:line="360" w:lineRule="auto"/>
        <w:ind w:firstLine="435"/>
        <w:rPr>
          <w:rFonts w:hint="eastAsia"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46"/>
        <w:tblW w:w="803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9"/>
        <w:gridCol w:w="4020"/>
      </w:tblGrid>
      <w:tr w14:paraId="4764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4019" w:type="dxa"/>
            <w:tcBorders>
              <w:top w:val="single" w:color="auto" w:sz="4" w:space="0"/>
              <w:left w:val="single" w:color="auto" w:sz="4" w:space="0"/>
              <w:bottom w:val="single" w:color="auto" w:sz="4" w:space="0"/>
              <w:right w:val="single" w:color="auto" w:sz="4" w:space="0"/>
            </w:tcBorders>
            <w:shd w:val="clear" w:color="auto" w:fill="auto"/>
            <w:vAlign w:val="center"/>
          </w:tcPr>
          <w:p w14:paraId="63BB6D34">
            <w:pPr>
              <w:adjustRightInd w:val="0"/>
              <w:snapToGrid w:val="0"/>
              <w:spacing w:line="360" w:lineRule="auto"/>
              <w:jc w:val="center"/>
              <w:rPr>
                <w:rFonts w:hint="eastAsia" w:ascii="宋体" w:hAnsi="宋体"/>
                <w:szCs w:val="21"/>
              </w:rPr>
            </w:pPr>
            <w:r>
              <w:rPr>
                <w:rFonts w:hint="eastAsia" w:ascii="宋体" w:hAnsi="宋体"/>
                <w:szCs w:val="21"/>
              </w:rPr>
              <w:t>委托代理人身份证（正面）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077082C3">
            <w:pPr>
              <w:adjustRightInd w:val="0"/>
              <w:snapToGrid w:val="0"/>
              <w:spacing w:line="360" w:lineRule="auto"/>
              <w:jc w:val="center"/>
              <w:rPr>
                <w:rFonts w:hint="eastAsia" w:ascii="宋体" w:hAnsi="宋体"/>
                <w:szCs w:val="21"/>
              </w:rPr>
            </w:pPr>
            <w:r>
              <w:rPr>
                <w:rFonts w:hint="eastAsia" w:ascii="宋体" w:hAnsi="宋体"/>
                <w:szCs w:val="21"/>
              </w:rPr>
              <w:t>委托代理人身份证（反面）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r w14:paraId="749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4019" w:type="dxa"/>
            <w:tcBorders>
              <w:top w:val="single" w:color="auto" w:sz="4" w:space="0"/>
              <w:left w:val="single" w:color="auto" w:sz="4" w:space="0"/>
              <w:bottom w:val="single" w:color="auto" w:sz="4" w:space="0"/>
              <w:right w:val="single" w:color="auto" w:sz="4" w:space="0"/>
            </w:tcBorders>
            <w:shd w:val="clear" w:color="auto" w:fill="auto"/>
            <w:vAlign w:val="center"/>
          </w:tcPr>
          <w:p w14:paraId="0CDFACD0">
            <w:pPr>
              <w:adjustRightInd w:val="0"/>
              <w:snapToGrid w:val="0"/>
              <w:spacing w:line="360" w:lineRule="auto"/>
              <w:jc w:val="center"/>
              <w:rPr>
                <w:rFonts w:hint="eastAsia" w:ascii="宋体" w:hAnsi="宋体"/>
                <w:szCs w:val="21"/>
              </w:rPr>
            </w:pPr>
            <w:r>
              <w:rPr>
                <w:rFonts w:hint="eastAsia" w:ascii="宋体" w:hAnsi="宋体"/>
                <w:szCs w:val="21"/>
              </w:rPr>
              <w:t>法定代表人身份证（正面）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4020" w:type="dxa"/>
            <w:tcBorders>
              <w:top w:val="single" w:color="auto" w:sz="4" w:space="0"/>
              <w:left w:val="single" w:color="auto" w:sz="4" w:space="0"/>
              <w:bottom w:val="single" w:color="auto" w:sz="4" w:space="0"/>
              <w:right w:val="single" w:color="auto" w:sz="4" w:space="0"/>
            </w:tcBorders>
            <w:shd w:val="clear" w:color="auto" w:fill="auto"/>
            <w:vAlign w:val="center"/>
          </w:tcPr>
          <w:p w14:paraId="612B44E5">
            <w:pPr>
              <w:adjustRightInd w:val="0"/>
              <w:snapToGrid w:val="0"/>
              <w:spacing w:line="360" w:lineRule="auto"/>
              <w:jc w:val="center"/>
              <w:rPr>
                <w:rFonts w:hint="eastAsia" w:ascii="宋体" w:hAnsi="宋体"/>
                <w:szCs w:val="21"/>
              </w:rPr>
            </w:pPr>
            <w:r>
              <w:rPr>
                <w:rFonts w:hint="eastAsia" w:ascii="宋体" w:hAnsi="宋体"/>
                <w:szCs w:val="21"/>
              </w:rPr>
              <w:t>法定代表人身份证（反面）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1F876370">
      <w:pPr>
        <w:adjustRightInd w:val="0"/>
        <w:snapToGrid w:val="0"/>
        <w:spacing w:line="360" w:lineRule="auto"/>
        <w:ind w:firstLine="420" w:firstLineChars="200"/>
        <w:rPr>
          <w:rFonts w:hint="eastAsia" w:ascii="宋体" w:hAnsi="宋体"/>
          <w:szCs w:val="21"/>
        </w:rPr>
      </w:pPr>
    </w:p>
    <w:p w14:paraId="39551C8B">
      <w:pPr>
        <w:adjustRightInd w:val="0"/>
        <w:snapToGrid w:val="0"/>
        <w:spacing w:line="360" w:lineRule="auto"/>
        <w:ind w:firstLine="420" w:firstLineChars="200"/>
        <w:rPr>
          <w:rFonts w:hint="eastAsia" w:ascii="宋体" w:hAnsi="宋体"/>
          <w:szCs w:val="21"/>
        </w:rPr>
      </w:pPr>
    </w:p>
    <w:p w14:paraId="57153213">
      <w:pPr>
        <w:adjustRightInd w:val="0"/>
        <w:snapToGrid w:val="0"/>
        <w:spacing w:line="360" w:lineRule="auto"/>
        <w:rPr>
          <w:rFonts w:hint="eastAsia" w:ascii="宋体" w:hAnsi="宋体"/>
          <w:szCs w:val="21"/>
        </w:rPr>
      </w:pPr>
      <w:r>
        <w:rPr>
          <w:rFonts w:hint="eastAsia" w:ascii="宋体" w:hAnsi="宋体"/>
          <w:szCs w:val="21"/>
        </w:rPr>
        <w:t>注：投标人代表不是投标人的法定代表人（单位负责人）的提供。</w:t>
      </w:r>
    </w:p>
    <w:p w14:paraId="1A430415">
      <w:pPr>
        <w:adjustRightInd w:val="0"/>
        <w:snapToGrid w:val="0"/>
        <w:spacing w:line="360" w:lineRule="auto"/>
        <w:ind w:firstLine="420" w:firstLineChars="200"/>
        <w:rPr>
          <w:rFonts w:hint="eastAsia" w:ascii="宋体" w:hAnsi="宋体"/>
          <w:szCs w:val="21"/>
        </w:rPr>
      </w:pPr>
    </w:p>
    <w:p w14:paraId="1E44A9B7">
      <w:pPr>
        <w:adjustRightInd w:val="0"/>
        <w:snapToGrid w:val="0"/>
        <w:spacing w:line="360" w:lineRule="auto"/>
        <w:ind w:firstLine="420" w:firstLineChars="200"/>
        <w:rPr>
          <w:rFonts w:hint="eastAsia" w:ascii="宋体" w:hAnsi="宋体"/>
          <w:szCs w:val="21"/>
        </w:rPr>
      </w:pPr>
    </w:p>
    <w:p w14:paraId="1EE508AB">
      <w:pPr>
        <w:adjustRightInd w:val="0"/>
        <w:snapToGrid w:val="0"/>
        <w:spacing w:line="360" w:lineRule="auto"/>
        <w:rPr>
          <w:rFonts w:hint="eastAsia" w:ascii="宋体" w:hAnsi="宋体"/>
          <w:szCs w:val="21"/>
        </w:rPr>
      </w:pPr>
      <w:r>
        <w:rPr>
          <w:rFonts w:hint="eastAsia" w:ascii="宋体" w:hAnsi="宋体"/>
          <w:szCs w:val="21"/>
        </w:rPr>
        <w:t>投标人名称（盖单位章）：</w:t>
      </w:r>
    </w:p>
    <w:p w14:paraId="1E472FBB">
      <w:pPr>
        <w:adjustRightInd w:val="0"/>
        <w:snapToGrid w:val="0"/>
        <w:spacing w:line="360" w:lineRule="auto"/>
        <w:ind w:right="420"/>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p>
    <w:p w14:paraId="1952D3B1">
      <w:pPr>
        <w:adjustRightInd w:val="0"/>
        <w:snapToGrid w:val="0"/>
        <w:spacing w:line="360" w:lineRule="auto"/>
        <w:ind w:right="420"/>
        <w:rPr>
          <w:rFonts w:hint="eastAsia" w:ascii="宋体" w:hAnsi="宋体"/>
          <w:szCs w:val="21"/>
        </w:rPr>
      </w:pPr>
      <w:r>
        <w:rPr>
          <w:rFonts w:hint="eastAsia" w:ascii="宋体" w:hAnsi="宋体"/>
          <w:szCs w:val="21"/>
        </w:rPr>
        <w:t>委托代理人（签字或印章）：</w:t>
      </w:r>
    </w:p>
    <w:p w14:paraId="6704D061">
      <w:pPr>
        <w:adjustRightInd w:val="0"/>
        <w:snapToGrid w:val="0"/>
        <w:spacing w:line="360" w:lineRule="auto"/>
        <w:ind w:right="420"/>
        <w:rPr>
          <w:rFonts w:hint="eastAsia" w:ascii="宋体" w:hAnsi="宋体"/>
          <w:szCs w:val="21"/>
        </w:rPr>
      </w:pPr>
      <w:r>
        <w:rPr>
          <w:rFonts w:hint="eastAsia" w:ascii="宋体" w:hAnsi="宋体" w:cs="宋体"/>
          <w:szCs w:val="21"/>
        </w:rPr>
        <w:t>日期：</w:t>
      </w:r>
      <w:r>
        <w:rPr>
          <w:rFonts w:hint="eastAsia" w:ascii="宋体" w:hAnsi="宋体" w:cs="宋体"/>
          <w:szCs w:val="21"/>
          <w:lang w:val="en-US" w:eastAsia="zh-CN"/>
        </w:rPr>
        <w:t xml:space="preserve">    </w:t>
      </w: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p>
    <w:p w14:paraId="4DEE131B">
      <w:pPr>
        <w:adjustRightInd w:val="0"/>
        <w:snapToGrid w:val="0"/>
        <w:spacing w:line="360" w:lineRule="auto"/>
        <w:ind w:right="420"/>
        <w:rPr>
          <w:rFonts w:hint="eastAsia" w:ascii="黑体" w:hAnsi="宋体" w:eastAsia="黑体"/>
          <w:color w:val="000000"/>
          <w:sz w:val="28"/>
          <w:szCs w:val="28"/>
        </w:rPr>
      </w:pPr>
    </w:p>
    <w:p w14:paraId="62CDA937">
      <w:pPr>
        <w:pStyle w:val="45"/>
      </w:pPr>
    </w:p>
    <w:p w14:paraId="05AA72CB">
      <w:pPr>
        <w:adjustRightInd w:val="0"/>
        <w:snapToGrid w:val="0"/>
        <w:spacing w:line="360" w:lineRule="auto"/>
        <w:ind w:right="420" w:firstLine="280" w:firstLineChars="100"/>
        <w:rPr>
          <w:rFonts w:hint="eastAsia" w:ascii="黑体" w:hAnsi="宋体" w:eastAsia="黑体"/>
          <w:color w:val="000000"/>
          <w:sz w:val="28"/>
          <w:szCs w:val="28"/>
        </w:rPr>
      </w:pPr>
      <w:r>
        <w:rPr>
          <w:rFonts w:hint="eastAsia" w:ascii="黑体" w:hAnsi="宋体" w:eastAsia="黑体"/>
          <w:color w:val="000000"/>
          <w:sz w:val="28"/>
          <w:szCs w:val="28"/>
        </w:rPr>
        <w:t>四、投标人提供的资格证明文件</w:t>
      </w:r>
      <w:bookmarkStart w:id="121" w:name="_Toc294186060"/>
      <w:bookmarkStart w:id="122" w:name="_Toc294206743"/>
    </w:p>
    <w:p w14:paraId="4DF11E3C">
      <w:pPr>
        <w:pStyle w:val="25"/>
        <w:adjustRightInd w:val="0"/>
        <w:snapToGrid w:val="0"/>
        <w:spacing w:line="360" w:lineRule="auto"/>
        <w:jc w:val="center"/>
        <w:rPr>
          <w:rFonts w:hint="eastAsia" w:hAnsi="宋体" w:cs="Times New Roman"/>
          <w:b/>
          <w:bCs/>
          <w:color w:val="000000"/>
          <w:sz w:val="24"/>
          <w:szCs w:val="24"/>
        </w:rPr>
      </w:pPr>
    </w:p>
    <w:bookmarkEnd w:id="121"/>
    <w:bookmarkEnd w:id="122"/>
    <w:p w14:paraId="19344CD5">
      <w:pPr>
        <w:pStyle w:val="25"/>
        <w:adjustRightInd w:val="0"/>
        <w:snapToGrid w:val="0"/>
        <w:spacing w:line="360" w:lineRule="auto"/>
        <w:jc w:val="center"/>
        <w:rPr>
          <w:rFonts w:hint="eastAsia" w:ascii="黑体" w:hAnsi="黑体" w:eastAsia="黑体" w:cs="Times New Roman"/>
          <w:b/>
          <w:bCs/>
          <w:sz w:val="28"/>
          <w:szCs w:val="28"/>
        </w:rPr>
      </w:pPr>
      <w:r>
        <w:rPr>
          <w:rFonts w:hint="eastAsia" w:ascii="黑体" w:hAnsi="黑体" w:eastAsia="黑体" w:cs="Times New Roman"/>
          <w:b/>
          <w:bCs/>
          <w:sz w:val="28"/>
          <w:szCs w:val="28"/>
        </w:rPr>
        <w:t>须  知</w:t>
      </w:r>
    </w:p>
    <w:p w14:paraId="54211E64">
      <w:pPr>
        <w:tabs>
          <w:tab w:val="left" w:pos="4725"/>
        </w:tabs>
        <w:adjustRightInd w:val="0"/>
        <w:snapToGrid w:val="0"/>
        <w:spacing w:before="156" w:beforeLines="50" w:line="360" w:lineRule="auto"/>
        <w:ind w:firstLine="422" w:firstLineChars="200"/>
        <w:rPr>
          <w:rFonts w:hint="eastAsia" w:ascii="宋体" w:hAnsi="宋体"/>
          <w:b/>
          <w:bCs/>
          <w:szCs w:val="21"/>
        </w:rPr>
      </w:pPr>
      <w:r>
        <w:rPr>
          <w:rFonts w:hint="eastAsia" w:ascii="宋体" w:hAnsi="宋体"/>
          <w:b/>
          <w:szCs w:val="21"/>
        </w:rPr>
        <w:t>1、投标人</w:t>
      </w:r>
      <w:r>
        <w:rPr>
          <w:rFonts w:hint="eastAsia" w:ascii="宋体" w:hAnsi="宋体"/>
          <w:b/>
          <w:bCs/>
          <w:szCs w:val="21"/>
        </w:rPr>
        <w:t>应按第二章第1</w:t>
      </w:r>
      <w:r>
        <w:rPr>
          <w:rFonts w:hint="eastAsia" w:ascii="宋体" w:hAnsi="宋体"/>
          <w:b/>
          <w:bCs/>
          <w:szCs w:val="21"/>
          <w:lang w:val="en-US" w:eastAsia="zh-CN"/>
        </w:rPr>
        <w:t>4</w:t>
      </w:r>
      <w:r>
        <w:rPr>
          <w:rFonts w:hint="eastAsia" w:ascii="宋体" w:hAnsi="宋体"/>
          <w:b/>
          <w:bCs/>
          <w:szCs w:val="21"/>
        </w:rPr>
        <w:t>.1款要求提供下列的证明材料</w:t>
      </w:r>
    </w:p>
    <w:p w14:paraId="245500EB">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rPr>
        <w:t>附件4-1 投标人资格声明(格式)</w:t>
      </w:r>
    </w:p>
    <w:p w14:paraId="2283F58D">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rPr>
        <w:t>附件4-2 法人或者其他组织的营业执照等主体资格证明文件，自然人的身份证明</w:t>
      </w:r>
    </w:p>
    <w:p w14:paraId="4F506DB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rPr>
        <w:t>附件4-3 湖南省政府采购供应商资格承诺函(格式)</w:t>
      </w:r>
    </w:p>
    <w:p w14:paraId="5B8864C0">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rPr>
        <w:t xml:space="preserve">附件4-4 </w:t>
      </w:r>
      <w:r>
        <w:rPr>
          <w:rFonts w:hint="eastAsia" w:ascii="宋体" w:hAnsi="宋体"/>
          <w:szCs w:val="21"/>
          <w:lang w:eastAsia="zh-CN"/>
        </w:rPr>
        <w:t>中小企业声明</w:t>
      </w:r>
      <w:r>
        <w:rPr>
          <w:rFonts w:hint="eastAsia" w:ascii="宋体" w:hAnsi="宋体"/>
          <w:szCs w:val="21"/>
        </w:rPr>
        <w:t>函</w:t>
      </w:r>
      <w:r>
        <w:rPr>
          <w:rFonts w:hint="eastAsia" w:ascii="宋体" w:hAnsi="宋体"/>
          <w:szCs w:val="21"/>
          <w:lang w:eastAsia="zh-CN"/>
        </w:rPr>
        <w:t>（</w:t>
      </w:r>
      <w:r>
        <w:rPr>
          <w:rFonts w:hint="eastAsia" w:ascii="宋体" w:hAnsi="宋体"/>
          <w:szCs w:val="21"/>
          <w:lang w:val="en-US" w:eastAsia="zh-CN"/>
        </w:rPr>
        <w:t>格式）</w:t>
      </w:r>
    </w:p>
    <w:p w14:paraId="6BCEA41D">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rPr>
        <w:t>附件4-</w:t>
      </w:r>
      <w:r>
        <w:rPr>
          <w:rFonts w:hint="eastAsia" w:ascii="宋体" w:hAnsi="宋体"/>
          <w:szCs w:val="21"/>
          <w:lang w:val="en-US" w:eastAsia="zh-CN"/>
        </w:rPr>
        <w:t>5</w:t>
      </w:r>
      <w:r>
        <w:rPr>
          <w:rFonts w:hint="eastAsia" w:ascii="宋体" w:hAnsi="宋体"/>
          <w:szCs w:val="21"/>
        </w:rPr>
        <w:t xml:space="preserve"> 符合特定资格条件证明材料复印件或者情况说明</w:t>
      </w:r>
    </w:p>
    <w:p w14:paraId="74CCC749">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rPr>
        <w:t>附件4-</w:t>
      </w:r>
      <w:r>
        <w:rPr>
          <w:rFonts w:hint="eastAsia" w:ascii="宋体" w:hAnsi="宋体"/>
          <w:szCs w:val="21"/>
          <w:lang w:val="en-US" w:eastAsia="zh-CN"/>
        </w:rPr>
        <w:t>6</w:t>
      </w:r>
      <w:r>
        <w:rPr>
          <w:rFonts w:hint="eastAsia" w:ascii="宋体" w:hAnsi="宋体"/>
          <w:szCs w:val="21"/>
        </w:rPr>
        <w:t xml:space="preserve"> 联合体协议书（格式）（联合体形式投标的提供）</w:t>
      </w:r>
    </w:p>
    <w:p w14:paraId="739FFBD8">
      <w:pPr>
        <w:tabs>
          <w:tab w:val="left" w:pos="4725"/>
        </w:tabs>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投标人以联合体形式投标的，除应提交联合协议书(本节附4-</w:t>
      </w:r>
      <w:r>
        <w:rPr>
          <w:rFonts w:hint="eastAsia" w:ascii="宋体" w:hAnsi="宋体" w:cs="宋体"/>
          <w:szCs w:val="21"/>
          <w:lang w:val="en-US" w:eastAsia="zh-CN"/>
        </w:rPr>
        <w:t>6</w:t>
      </w:r>
      <w:r>
        <w:rPr>
          <w:rFonts w:hint="eastAsia" w:ascii="宋体" w:hAnsi="宋体" w:cs="宋体"/>
          <w:szCs w:val="21"/>
        </w:rPr>
        <w:t>)外，参加联合体的各方均应提交上款资格证明材料。</w:t>
      </w:r>
    </w:p>
    <w:p w14:paraId="389F88D9">
      <w:pPr>
        <w:tabs>
          <w:tab w:val="left" w:pos="4725"/>
        </w:tabs>
        <w:adjustRightInd w:val="0"/>
        <w:snapToGrid w:val="0"/>
        <w:spacing w:before="156" w:beforeLines="50" w:line="360" w:lineRule="auto"/>
        <w:ind w:firstLine="840" w:firstLineChars="400"/>
        <w:rPr>
          <w:rFonts w:hint="eastAsia" w:ascii="宋体" w:hAnsi="宋体" w:eastAsia="宋体"/>
          <w:szCs w:val="21"/>
          <w:lang w:eastAsia="zh-CN"/>
        </w:rPr>
      </w:pPr>
      <w:r>
        <w:rPr>
          <w:rFonts w:hint="eastAsia" w:ascii="宋体" w:hAnsi="宋体"/>
          <w:szCs w:val="21"/>
        </w:rPr>
        <w:t>附件4-</w:t>
      </w:r>
      <w:r>
        <w:rPr>
          <w:rFonts w:hint="eastAsia" w:ascii="宋体" w:hAnsi="宋体"/>
          <w:szCs w:val="21"/>
          <w:lang w:val="en-US" w:eastAsia="zh-CN"/>
        </w:rPr>
        <w:t>7</w:t>
      </w:r>
      <w:r>
        <w:rPr>
          <w:rFonts w:hint="eastAsia" w:ascii="宋体" w:hAnsi="宋体"/>
          <w:szCs w:val="21"/>
        </w:rPr>
        <w:t xml:space="preserve"> </w:t>
      </w:r>
      <w:r>
        <w:rPr>
          <w:rFonts w:hint="eastAsia" w:ascii="宋体" w:hAnsi="宋体"/>
          <w:szCs w:val="21"/>
          <w:lang w:eastAsia="zh-CN"/>
        </w:rPr>
        <w:t>不良信用记录查询</w:t>
      </w:r>
    </w:p>
    <w:p w14:paraId="606AD03A">
      <w:pPr>
        <w:tabs>
          <w:tab w:val="left" w:pos="4725"/>
        </w:tabs>
        <w:adjustRightInd w:val="0"/>
        <w:snapToGrid w:val="0"/>
        <w:spacing w:before="156" w:beforeLines="50" w:line="360" w:lineRule="auto"/>
        <w:rPr>
          <w:rFonts w:hint="eastAsia" w:ascii="宋体" w:hAnsi="宋体"/>
          <w:szCs w:val="21"/>
        </w:rPr>
      </w:pPr>
    </w:p>
    <w:p w14:paraId="3AE0FC3B">
      <w:pPr>
        <w:pStyle w:val="64"/>
      </w:pPr>
    </w:p>
    <w:p w14:paraId="5A2B66DD">
      <w:pPr>
        <w:tabs>
          <w:tab w:val="left" w:pos="4725"/>
        </w:tabs>
        <w:adjustRightInd w:val="0"/>
        <w:snapToGrid w:val="0"/>
        <w:spacing w:line="360" w:lineRule="auto"/>
        <w:rPr>
          <w:rFonts w:hint="eastAsia" w:ascii="宋体" w:hAnsi="宋体" w:cs="宋体"/>
          <w:szCs w:val="21"/>
        </w:rPr>
      </w:pPr>
    </w:p>
    <w:p w14:paraId="2CD04C2A">
      <w:pPr>
        <w:widowControl/>
        <w:adjustRightInd w:val="0"/>
        <w:snapToGrid w:val="0"/>
        <w:spacing w:line="360" w:lineRule="auto"/>
        <w:jc w:val="left"/>
        <w:rPr>
          <w:rFonts w:hint="eastAsia" w:ascii="黑体" w:hAnsi="仿宋" w:eastAsia="黑体" w:cs="宋体"/>
          <w:sz w:val="10"/>
          <w:szCs w:val="10"/>
        </w:rPr>
      </w:pPr>
      <w:r>
        <w:rPr>
          <w:rFonts w:ascii="黑体" w:hAnsi="仿宋" w:eastAsia="黑体" w:cs="宋体"/>
          <w:szCs w:val="21"/>
        </w:rPr>
        <w:br w:type="page"/>
      </w:r>
    </w:p>
    <w:p w14:paraId="69C4800C">
      <w:pPr>
        <w:keepNext/>
        <w:keepLines/>
        <w:adjustRightInd w:val="0"/>
        <w:snapToGrid w:val="0"/>
        <w:spacing w:before="156" w:beforeLines="50" w:line="360" w:lineRule="auto"/>
        <w:outlineLvl w:val="3"/>
        <w:rPr>
          <w:rFonts w:hint="eastAsia" w:ascii="黑体" w:hAnsi="仿宋" w:eastAsia="黑体" w:cs="宋体"/>
          <w:bCs/>
          <w:color w:val="000000" w:themeColor="text1"/>
          <w:szCs w:val="21"/>
          <w14:textFill>
            <w14:solidFill>
              <w14:schemeClr w14:val="tx1"/>
            </w14:solidFill>
          </w14:textFill>
        </w:rPr>
      </w:pPr>
      <w:bookmarkStart w:id="123" w:name="_Toc13069"/>
      <w:bookmarkStart w:id="124" w:name="_Toc24591"/>
      <w:bookmarkStart w:id="125" w:name="_Toc7690"/>
      <w:bookmarkStart w:id="126" w:name="_Toc20651250"/>
      <w:bookmarkStart w:id="127" w:name="_Toc590"/>
      <w:r>
        <w:rPr>
          <w:rFonts w:hint="eastAsia" w:ascii="黑体" w:hAnsi="仿宋" w:eastAsia="黑体" w:cs="宋体"/>
          <w:bCs/>
          <w:color w:val="000000" w:themeColor="text1"/>
          <w:szCs w:val="21"/>
          <w14:textFill>
            <w14:solidFill>
              <w14:schemeClr w14:val="tx1"/>
            </w14:solidFill>
          </w14:textFill>
        </w:rPr>
        <w:t>附件4-1 投标人资格声明(格式)</w:t>
      </w:r>
      <w:bookmarkEnd w:id="123"/>
      <w:bookmarkEnd w:id="124"/>
      <w:bookmarkEnd w:id="125"/>
      <w:bookmarkEnd w:id="126"/>
    </w:p>
    <w:p w14:paraId="5E138E20">
      <w:pPr>
        <w:widowControl/>
        <w:adjustRightInd w:val="0"/>
        <w:snapToGrid w:val="0"/>
        <w:spacing w:before="156" w:beforeLines="50" w:line="360" w:lineRule="auto"/>
        <w:jc w:val="center"/>
        <w:rPr>
          <w:rFonts w:hint="eastAsia" w:ascii="宋体" w:hAnsi="宋体" w:cs="宋体"/>
          <w:color w:val="000000" w:themeColor="text1"/>
          <w:szCs w:val="21"/>
          <w14:textFill>
            <w14:solidFill>
              <w14:schemeClr w14:val="tx1"/>
            </w14:solidFill>
          </w14:textFill>
        </w:rPr>
      </w:pPr>
      <w:r>
        <w:rPr>
          <w:rFonts w:hint="eastAsia" w:ascii="黑体" w:hAnsi="仿宋" w:eastAsia="黑体" w:cs="宋体"/>
          <w:b/>
          <w:color w:val="000000" w:themeColor="text1"/>
          <w:sz w:val="28"/>
          <w:szCs w:val="28"/>
          <w14:textFill>
            <w14:solidFill>
              <w14:schemeClr w14:val="tx1"/>
            </w14:solidFill>
          </w14:textFill>
        </w:rPr>
        <w:t>投标人资格声明(格式)</w:t>
      </w:r>
    </w:p>
    <w:p w14:paraId="3BA13799">
      <w:pPr>
        <w:widowControl/>
        <w:adjustRightInd w:val="0"/>
        <w:snapToGrid w:val="0"/>
        <w:spacing w:before="156" w:beforeLines="50" w:line="36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致(采购人、采购代理机构)：</w:t>
      </w:r>
    </w:p>
    <w:p w14:paraId="3A6C6AA0">
      <w:pPr>
        <w:widowControl/>
        <w:adjustRightInd w:val="0"/>
        <w:snapToGrid w:val="0"/>
        <w:spacing w:before="156" w:beforeLines="50"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按照《中华人民共和国政府采购法》第二十二条和招标文件的规定，我单位郑重声明如下：</w:t>
      </w:r>
    </w:p>
    <w:p w14:paraId="14525A36">
      <w:pPr>
        <w:widowControl/>
        <w:adjustRightInd w:val="0"/>
        <w:snapToGrid w:val="0"/>
        <w:spacing w:before="156" w:beforeLines="50"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一、我单位是按照中华人民共和国法律规定登记注册的，注册地点为</w:t>
      </w:r>
      <w:r>
        <w:rPr>
          <w:rFonts w:hint="eastAsia" w:ascii="宋体" w:hAnsi="宋体" w:cs="宋体"/>
          <w:color w:val="000000" w:themeColor="text1"/>
          <w:szCs w:val="21"/>
          <w:u w:val="single"/>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，全称为</w:t>
      </w:r>
      <w:r>
        <w:rPr>
          <w:rFonts w:hint="eastAsia" w:ascii="宋体" w:hAnsi="宋体" w:cs="宋体"/>
          <w:color w:val="000000" w:themeColor="text1"/>
          <w:szCs w:val="21"/>
          <w:u w:val="single"/>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，统一社会信用代码为</w:t>
      </w:r>
      <w:r>
        <w:rPr>
          <w:rFonts w:hint="eastAsia" w:ascii="宋体" w:hAnsi="宋体" w:cs="宋体"/>
          <w:color w:val="000000" w:themeColor="text1"/>
          <w:szCs w:val="21"/>
          <w:u w:val="single"/>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，法定代表人</w:t>
      </w:r>
      <w:r>
        <w:rPr>
          <w:rFonts w:hint="eastAsia" w:ascii="宋体" w:hAnsi="宋体" w:cs="微软雅黑"/>
          <w:color w:val="000000" w:themeColor="text1"/>
          <w:kern w:val="0"/>
          <w:szCs w:val="21"/>
          <w14:textFill>
            <w14:solidFill>
              <w14:schemeClr w14:val="tx1"/>
            </w14:solidFill>
          </w14:textFill>
        </w:rPr>
        <w:t>（</w:t>
      </w:r>
      <w:r>
        <w:rPr>
          <w:rFonts w:hint="eastAsia" w:ascii="宋体" w:hAnsi="宋体" w:cs="微软雅黑"/>
          <w:color w:val="000000" w:themeColor="text1"/>
          <w:spacing w:val="-2"/>
          <w:kern w:val="0"/>
          <w:szCs w:val="21"/>
          <w14:textFill>
            <w14:solidFill>
              <w14:schemeClr w14:val="tx1"/>
            </w14:solidFill>
          </w14:textFill>
        </w:rPr>
        <w:t>单</w:t>
      </w:r>
      <w:r>
        <w:rPr>
          <w:rFonts w:hint="eastAsia" w:ascii="宋体" w:hAnsi="宋体" w:cs="微软雅黑"/>
          <w:color w:val="000000" w:themeColor="text1"/>
          <w:kern w:val="0"/>
          <w:szCs w:val="21"/>
          <w14:textFill>
            <w14:solidFill>
              <w14:schemeClr w14:val="tx1"/>
            </w14:solidFill>
          </w14:textFill>
        </w:rPr>
        <w:t>位</w:t>
      </w:r>
      <w:r>
        <w:rPr>
          <w:rFonts w:hint="eastAsia" w:ascii="宋体" w:hAnsi="宋体" w:cs="微软雅黑"/>
          <w:color w:val="000000" w:themeColor="text1"/>
          <w:spacing w:val="-2"/>
          <w:kern w:val="0"/>
          <w:szCs w:val="21"/>
          <w14:textFill>
            <w14:solidFill>
              <w14:schemeClr w14:val="tx1"/>
            </w14:solidFill>
          </w14:textFill>
        </w:rPr>
        <w:t>负</w:t>
      </w:r>
      <w:r>
        <w:rPr>
          <w:rFonts w:hint="eastAsia" w:ascii="宋体" w:hAnsi="宋体" w:cs="微软雅黑"/>
          <w:color w:val="000000" w:themeColor="text1"/>
          <w:kern w:val="0"/>
          <w:szCs w:val="21"/>
          <w14:textFill>
            <w14:solidFill>
              <w14:schemeClr w14:val="tx1"/>
            </w14:solidFill>
          </w14:textFill>
        </w:rPr>
        <w:t>责人</w:t>
      </w:r>
      <w:r>
        <w:rPr>
          <w:rFonts w:hint="eastAsia" w:ascii="宋体" w:hAnsi="宋体" w:cs="微软雅黑"/>
          <w:color w:val="000000" w:themeColor="text1"/>
          <w:spacing w:val="-2"/>
          <w:kern w:val="0"/>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为</w:t>
      </w:r>
      <w:r>
        <w:rPr>
          <w:rFonts w:hint="eastAsia" w:ascii="宋体" w:hAnsi="宋体" w:cs="宋体"/>
          <w:color w:val="000000" w:themeColor="text1"/>
          <w:szCs w:val="21"/>
          <w:u w:val="single"/>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r>
        <w:rPr>
          <w:rFonts w:hint="eastAsia" w:ascii="宋体" w:hAnsi="宋体" w:cs="宋体"/>
          <w:szCs w:val="21"/>
        </w:rPr>
        <w:t>企业规模为</w:t>
      </w:r>
      <w:r>
        <w:rPr>
          <w:rFonts w:hint="eastAsia" w:ascii="宋体" w:hAnsi="宋体" w:cs="宋体"/>
          <w:szCs w:val="21"/>
          <w:u w:val="single"/>
          <w:lang w:val="en-US" w:eastAsia="zh-CN"/>
        </w:rPr>
        <w:t xml:space="preserve">      </w:t>
      </w:r>
      <w:r>
        <w:rPr>
          <w:rFonts w:hint="eastAsia" w:ascii="宋体" w:hAnsi="宋体" w:cs="宋体"/>
          <w:color w:val="000000" w:themeColor="text1"/>
          <w:szCs w:val="21"/>
          <w14:textFill>
            <w14:solidFill>
              <w14:schemeClr w14:val="tx1"/>
            </w14:solidFill>
          </w14:textFill>
        </w:rPr>
        <w:t>，具有独立承担民事责任的能力。</w:t>
      </w:r>
    </w:p>
    <w:p w14:paraId="378222B6">
      <w:pPr>
        <w:widowControl/>
        <w:adjustRightInd w:val="0"/>
        <w:snapToGrid w:val="0"/>
        <w:spacing w:before="156" w:beforeLines="50"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二、我单位未被</w:t>
      </w:r>
      <w:r>
        <w:rPr>
          <w:rFonts w:hint="eastAsia" w:ascii="华文中宋" w:hAnsi="华文中宋" w:eastAsia="华文中宋"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国家企业信用信息系统</w:t>
      </w:r>
      <w:r>
        <w:rPr>
          <w:rFonts w:hint="eastAsia" w:ascii="华文中宋" w:hAnsi="华文中宋" w:eastAsia="华文中宋"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列入经营异常名录或者严重违法企业名单。</w:t>
      </w:r>
    </w:p>
    <w:p w14:paraId="5C8A6687">
      <w:pPr>
        <w:widowControl/>
        <w:adjustRightInd w:val="0"/>
        <w:snapToGrid w:val="0"/>
        <w:spacing w:before="156" w:beforeLines="50"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三、</w:t>
      </w:r>
      <w:r>
        <w:rPr>
          <w:rFonts w:hint="eastAsia" w:ascii="宋体" w:hAnsi="宋体" w:cs="宋体"/>
          <w:color w:val="000000" w:themeColor="text1"/>
          <w:szCs w:val="21"/>
          <w14:textFill>
            <w14:solidFill>
              <w14:schemeClr w14:val="tx1"/>
            </w14:solidFill>
          </w14:textFill>
        </w:rPr>
        <w:t>我单位具有良好的商业信誉和健全的财务会计制度。</w:t>
      </w:r>
    </w:p>
    <w:p w14:paraId="63612556">
      <w:pPr>
        <w:widowControl/>
        <w:adjustRightInd w:val="0"/>
        <w:snapToGrid w:val="0"/>
        <w:spacing w:before="156" w:beforeLines="50"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四、我</w:t>
      </w:r>
      <w:r>
        <w:rPr>
          <w:rFonts w:hint="eastAsia" w:ascii="宋体" w:hAnsi="宋体" w:cs="宋体"/>
          <w:color w:val="000000" w:themeColor="text1"/>
          <w:szCs w:val="21"/>
          <w14:textFill>
            <w14:solidFill>
              <w14:schemeClr w14:val="tx1"/>
            </w14:solidFill>
          </w14:textFill>
        </w:rPr>
        <w:t>单位</w:t>
      </w:r>
      <w:r>
        <w:rPr>
          <w:rFonts w:hint="eastAsia" w:ascii="宋体" w:hAnsi="宋体" w:cs="宋体"/>
          <w:color w:val="000000" w:themeColor="text1"/>
          <w:kern w:val="0"/>
          <w:szCs w:val="21"/>
          <w14:textFill>
            <w14:solidFill>
              <w14:schemeClr w14:val="tx1"/>
            </w14:solidFill>
          </w14:textFill>
        </w:rPr>
        <w:t>依法进行纳税和社会保险申报并实际履行了义务。</w:t>
      </w:r>
    </w:p>
    <w:p w14:paraId="44FDFD07">
      <w:pPr>
        <w:widowControl/>
        <w:adjustRightInd w:val="0"/>
        <w:snapToGrid w:val="0"/>
        <w:spacing w:before="156" w:beforeLines="50"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五、我单位具有履行本项目采购合同所必需的设备和专业技术能力，并具有履行合同的良好</w:t>
      </w:r>
      <w:r>
        <w:rPr>
          <w:rFonts w:ascii="宋体" w:hAnsi="宋体"/>
          <w:color w:val="000000" w:themeColor="text1"/>
          <w:szCs w:val="21"/>
          <w14:textFill>
            <w14:solidFill>
              <w14:schemeClr w14:val="tx1"/>
            </w14:solidFill>
          </w14:textFill>
        </w:rPr>
        <w:t>记录</w:t>
      </w:r>
      <w:r>
        <w:rPr>
          <w:rFonts w:hint="eastAsia" w:ascii="宋体" w:hAnsi="宋体" w:cs="宋体"/>
          <w:color w:val="000000" w:themeColor="text1"/>
          <w:szCs w:val="21"/>
          <w14:textFill>
            <w14:solidFill>
              <w14:schemeClr w14:val="tx1"/>
            </w14:solidFill>
          </w14:textFill>
        </w:rPr>
        <w:t>。</w:t>
      </w:r>
    </w:p>
    <w:p w14:paraId="028123DC">
      <w:pPr>
        <w:widowControl/>
        <w:adjustRightInd w:val="0"/>
        <w:snapToGrid w:val="0"/>
        <w:spacing w:before="156" w:beforeLines="50"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2DE6A014">
      <w:pPr>
        <w:widowControl/>
        <w:adjustRightInd w:val="0"/>
        <w:snapToGrid w:val="0"/>
        <w:spacing w:before="156" w:beforeLines="50"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供应商在参加政府采购活动前3年内因违法经营被禁止在一定期限内参加政府采购活动，期限届满的，可以参加政府采购活动。</w:t>
      </w:r>
    </w:p>
    <w:p w14:paraId="25674F8C">
      <w:pPr>
        <w:widowControl/>
        <w:adjustRightInd w:val="0"/>
        <w:snapToGrid w:val="0"/>
        <w:spacing w:before="156" w:beforeLines="50"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七、我单位具备法律、行政法规规定的其他条件。</w:t>
      </w:r>
    </w:p>
    <w:p w14:paraId="4733402D">
      <w:pPr>
        <w:widowControl/>
        <w:adjustRightInd w:val="0"/>
        <w:snapToGrid w:val="0"/>
        <w:spacing w:before="156" w:beforeLines="50" w:line="360" w:lineRule="auto"/>
        <w:ind w:firstLine="420" w:firstLineChars="200"/>
        <w:jc w:val="left"/>
        <w:rPr>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八、</w:t>
      </w:r>
      <w:r>
        <w:rPr>
          <w:rFonts w:hint="eastAsia"/>
          <w:color w:val="000000" w:themeColor="text1"/>
          <w:szCs w:val="21"/>
          <w14:textFill>
            <w14:solidFill>
              <w14:schemeClr w14:val="tx1"/>
            </w14:solidFill>
          </w14:textFill>
        </w:rPr>
        <w:t>与我单位存在“单位负责人为同一人或者存在直接控股、管理关系”的其他单位信息如下（如无，填写“无”）：</w:t>
      </w:r>
    </w:p>
    <w:p w14:paraId="5DAF3B00">
      <w:pPr>
        <w:adjustRightInd w:val="0"/>
        <w:snapToGrid w:val="0"/>
        <w:spacing w:before="156" w:beforeLines="50" w:line="360" w:lineRule="auto"/>
        <w:ind w:firstLine="420" w:firstLineChars="20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与我单位的法定代表人（单位负责人）为同一人的其他单位如下：</w:t>
      </w:r>
    </w:p>
    <w:p w14:paraId="300C11B7">
      <w:pPr>
        <w:adjustRightInd w:val="0"/>
        <w:snapToGrid w:val="0"/>
        <w:spacing w:before="156" w:beforeLines="50"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2、我</w:t>
      </w:r>
      <w:r>
        <w:rPr>
          <w:rFonts w:hint="eastAsia"/>
          <w:color w:val="000000" w:themeColor="text1"/>
          <w:szCs w:val="21"/>
          <w14:textFill>
            <w14:solidFill>
              <w14:schemeClr w14:val="tx1"/>
            </w14:solidFill>
          </w14:textFill>
        </w:rPr>
        <w:t>单位</w:t>
      </w:r>
      <w:r>
        <w:rPr>
          <w:rFonts w:hint="eastAsia" w:ascii="宋体" w:hAnsi="宋体"/>
          <w:color w:val="000000" w:themeColor="text1"/>
          <w:szCs w:val="21"/>
          <w14:textFill>
            <w14:solidFill>
              <w14:schemeClr w14:val="tx1"/>
            </w14:solidFill>
          </w14:textFill>
        </w:rPr>
        <w:t>直接控股的其他单位如下：</w:t>
      </w:r>
    </w:p>
    <w:p w14:paraId="07E43139">
      <w:pPr>
        <w:adjustRightInd w:val="0"/>
        <w:snapToGrid w:val="0"/>
        <w:spacing w:before="156" w:beforeLines="50" w:line="360" w:lineRule="auto"/>
        <w:ind w:firstLine="420" w:firstLineChars="20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3、与我</w:t>
      </w:r>
      <w:r>
        <w:rPr>
          <w:rFonts w:hint="eastAsia"/>
          <w:color w:val="000000" w:themeColor="text1"/>
          <w:szCs w:val="21"/>
          <w14:textFill>
            <w14:solidFill>
              <w14:schemeClr w14:val="tx1"/>
            </w14:solidFill>
          </w14:textFill>
        </w:rPr>
        <w:t>单位存在</w:t>
      </w:r>
      <w:r>
        <w:rPr>
          <w:rFonts w:hint="eastAsia" w:ascii="宋体" w:hAnsi="宋体"/>
          <w:color w:val="000000" w:themeColor="text1"/>
          <w:szCs w:val="21"/>
          <w14:textFill>
            <w14:solidFill>
              <w14:schemeClr w14:val="tx1"/>
            </w14:solidFill>
          </w14:textFill>
        </w:rPr>
        <w:t>管理关系的其他单位如下：</w:t>
      </w:r>
    </w:p>
    <w:p w14:paraId="5D9CE981">
      <w:pPr>
        <w:widowControl/>
        <w:adjustRightInd w:val="0"/>
        <w:snapToGrid w:val="0"/>
        <w:spacing w:before="156" w:beforeLines="50" w:line="360" w:lineRule="auto"/>
        <w:ind w:firstLine="420" w:firstLineChars="200"/>
        <w:jc w:val="left"/>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九、</w:t>
      </w:r>
      <w:r>
        <w:rPr>
          <w:rFonts w:ascii="宋体" w:hAnsi="宋体"/>
          <w:color w:val="000000" w:themeColor="text1"/>
          <w:szCs w:val="21"/>
          <w14:textFill>
            <w14:solidFill>
              <w14:schemeClr w14:val="tx1"/>
            </w14:solidFill>
          </w14:textFill>
        </w:rPr>
        <w:t>我</w:t>
      </w:r>
      <w:r>
        <w:rPr>
          <w:rFonts w:hint="eastAsia" w:ascii="宋体" w:hAnsi="宋体"/>
          <w:color w:val="000000" w:themeColor="text1"/>
          <w:szCs w:val="21"/>
          <w14:textFill>
            <w14:solidFill>
              <w14:schemeClr w14:val="tx1"/>
            </w14:solidFill>
          </w14:textFill>
        </w:rPr>
        <w:t>单位</w:t>
      </w:r>
      <w:r>
        <w:rPr>
          <w:rFonts w:ascii="宋体" w:hAnsi="宋体"/>
          <w:color w:val="000000" w:themeColor="text1"/>
          <w:szCs w:val="21"/>
          <w14:textFill>
            <w14:solidFill>
              <w14:schemeClr w14:val="tx1"/>
            </w14:solidFill>
          </w14:textFill>
        </w:rPr>
        <w:t>不属于为本项目提供整体设计、规范编制或者项目管理、监理、检测等服务的投标人。</w:t>
      </w:r>
    </w:p>
    <w:p w14:paraId="2077985B">
      <w:pPr>
        <w:widowControl/>
        <w:adjustRightInd w:val="0"/>
        <w:snapToGrid w:val="0"/>
        <w:spacing w:before="156" w:beforeLines="50"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w:t>
      </w:r>
      <w:r>
        <w:rPr>
          <w:rFonts w:ascii="宋体" w:hAnsi="宋体"/>
          <w:color w:val="000000" w:themeColor="text1"/>
          <w:szCs w:val="21"/>
          <w14:textFill>
            <w14:solidFill>
              <w14:schemeClr w14:val="tx1"/>
            </w14:solidFill>
          </w14:textFill>
        </w:rPr>
        <w:t>我单位无以下不良信用记录情形：</w:t>
      </w:r>
    </w:p>
    <w:p w14:paraId="03912F37">
      <w:pPr>
        <w:widowControl/>
        <w:adjustRightInd w:val="0"/>
        <w:snapToGrid w:val="0"/>
        <w:spacing w:before="156" w:beforeLines="50" w:line="360" w:lineRule="auto"/>
        <w:ind w:firstLine="420" w:firstLineChars="200"/>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、在</w:t>
      </w:r>
      <w:r>
        <w:rPr>
          <w:rFonts w:hint="eastAsia" w:ascii="宋体" w:hAnsi="宋体" w:cs="宋体"/>
          <w:color w:val="000000" w:themeColor="text1"/>
          <w:szCs w:val="21"/>
          <w14:textFill>
            <w14:solidFill>
              <w14:schemeClr w14:val="tx1"/>
            </w14:solidFill>
          </w14:textFill>
        </w:rPr>
        <w:t>“信用中国”网站被列入失信被执行人和重大税收违法案件当事人名单；</w:t>
      </w:r>
    </w:p>
    <w:p w14:paraId="7260244A">
      <w:pPr>
        <w:widowControl/>
        <w:adjustRightInd w:val="0"/>
        <w:snapToGrid w:val="0"/>
        <w:spacing w:before="156" w:beforeLines="50" w:line="360" w:lineRule="auto"/>
        <w:ind w:firstLine="420" w:firstLineChars="200"/>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、在</w:t>
      </w:r>
      <w:r>
        <w:rPr>
          <w:rFonts w:hint="eastAsia" w:ascii="宋体" w:hAnsi="宋体" w:cs="宋体"/>
          <w:color w:val="000000" w:themeColor="text1"/>
          <w:szCs w:val="21"/>
          <w14:textFill>
            <w14:solidFill>
              <w14:schemeClr w14:val="tx1"/>
            </w14:solidFill>
          </w14:textFill>
        </w:rPr>
        <w:t>“中国政府采购网”网站被列入政府采购严重违法失信行为记录名单；</w:t>
      </w:r>
    </w:p>
    <w:p w14:paraId="1873B89C">
      <w:pPr>
        <w:widowControl/>
        <w:adjustRightInd w:val="0"/>
        <w:snapToGrid w:val="0"/>
        <w:spacing w:before="156" w:beforeLines="50" w:line="360" w:lineRule="auto"/>
        <w:ind w:firstLine="420" w:firstLineChars="200"/>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不符合《政府采购法》第二十二条规定的条件。</w:t>
      </w:r>
    </w:p>
    <w:p w14:paraId="77EE5C40">
      <w:pPr>
        <w:widowControl/>
        <w:adjustRightInd w:val="0"/>
        <w:snapToGrid w:val="0"/>
        <w:spacing w:before="156" w:beforeLines="50" w:line="360" w:lineRule="auto"/>
        <w:ind w:firstLine="420" w:firstLineChars="200"/>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我单位保证上述声明的事项都是真实的，如有虚假，我单位愿意承担相应的法律责任，并承担因此所造成的一切损失。</w:t>
      </w:r>
    </w:p>
    <w:p w14:paraId="3E5EA75E">
      <w:pPr>
        <w:widowControl/>
        <w:adjustRightInd w:val="0"/>
        <w:snapToGrid w:val="0"/>
        <w:spacing w:before="156" w:beforeLines="50" w:line="360" w:lineRule="auto"/>
        <w:jc w:val="left"/>
        <w:rPr>
          <w:rFonts w:hint="eastAsia" w:ascii="宋体" w:hAnsi="宋体" w:cs="宋体"/>
          <w:color w:val="000000" w:themeColor="text1"/>
          <w:szCs w:val="21"/>
          <w14:textFill>
            <w14:solidFill>
              <w14:schemeClr w14:val="tx1"/>
            </w14:solidFill>
          </w14:textFill>
        </w:rPr>
      </w:pPr>
    </w:p>
    <w:p w14:paraId="11BDB4B5">
      <w:pPr>
        <w:widowControl/>
        <w:adjustRightInd w:val="0"/>
        <w:snapToGrid w:val="0"/>
        <w:spacing w:before="156" w:beforeLines="50"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注：第三条“良好的商业信誉”是指投标人经营状况良好，无本资格声明第十条情形。</w:t>
      </w:r>
    </w:p>
    <w:p w14:paraId="0BBCADA0">
      <w:pPr>
        <w:widowControl/>
        <w:adjustRightInd w:val="0"/>
        <w:snapToGrid w:val="0"/>
        <w:spacing w:before="156" w:beforeLines="50" w:line="360" w:lineRule="auto"/>
        <w:jc w:val="left"/>
        <w:rPr>
          <w:rFonts w:hint="eastAsia" w:ascii="宋体" w:hAnsi="宋体" w:cs="宋体"/>
          <w:color w:val="000000" w:themeColor="text1"/>
          <w:szCs w:val="21"/>
          <w14:textFill>
            <w14:solidFill>
              <w14:schemeClr w14:val="tx1"/>
            </w14:solidFill>
          </w14:textFill>
        </w:rPr>
      </w:pPr>
    </w:p>
    <w:p w14:paraId="434B51CC">
      <w:pPr>
        <w:widowControl/>
        <w:adjustRightInd w:val="0"/>
        <w:snapToGrid w:val="0"/>
        <w:spacing w:line="360" w:lineRule="auto"/>
        <w:jc w:val="lef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投标人名称（盖单位公章）：</w:t>
      </w:r>
    </w:p>
    <w:p w14:paraId="45186664">
      <w:pPr>
        <w:widowControl/>
        <w:adjustRightInd w:val="0"/>
        <w:snapToGrid w:val="0"/>
        <w:spacing w:line="360" w:lineRule="auto"/>
        <w:jc w:val="left"/>
        <w:rPr>
          <w:rFonts w:hint="eastAsia" w:ascii="宋体" w:hAnsi="宋体" w:cs="宋体"/>
          <w:b/>
          <w:bCs/>
          <w:color w:val="000000" w:themeColor="text1"/>
          <w:kern w:val="0"/>
          <w:sz w:val="44"/>
          <w:szCs w:val="44"/>
          <w14:textFill>
            <w14:solidFill>
              <w14:schemeClr w14:val="tx1"/>
            </w14:solidFill>
          </w14:textFill>
        </w:rPr>
      </w:pPr>
      <w:r>
        <w:rPr>
          <w:rFonts w:hint="eastAsia" w:ascii="宋体" w:hAnsi="宋体" w:cs="微软雅黑"/>
          <w:color w:val="000000" w:themeColor="text1"/>
          <w:spacing w:val="-2"/>
          <w:kern w:val="0"/>
          <w:szCs w:val="21"/>
          <w14:textFill>
            <w14:solidFill>
              <w14:schemeClr w14:val="tx1"/>
            </w14:solidFill>
          </w14:textFill>
        </w:rPr>
        <w:t>法</w:t>
      </w:r>
      <w:r>
        <w:rPr>
          <w:rFonts w:hint="eastAsia" w:ascii="宋体" w:hAnsi="宋体" w:cs="微软雅黑"/>
          <w:color w:val="000000" w:themeColor="text1"/>
          <w:kern w:val="0"/>
          <w:szCs w:val="21"/>
          <w14:textFill>
            <w14:solidFill>
              <w14:schemeClr w14:val="tx1"/>
            </w14:solidFill>
          </w14:textFill>
        </w:rPr>
        <w:t>定</w:t>
      </w:r>
      <w:r>
        <w:rPr>
          <w:rFonts w:hint="eastAsia" w:ascii="宋体" w:hAnsi="宋体" w:cs="微软雅黑"/>
          <w:color w:val="000000" w:themeColor="text1"/>
          <w:spacing w:val="-2"/>
          <w:kern w:val="0"/>
          <w:szCs w:val="21"/>
          <w14:textFill>
            <w14:solidFill>
              <w14:schemeClr w14:val="tx1"/>
            </w14:solidFill>
          </w14:textFill>
        </w:rPr>
        <w:t>代</w:t>
      </w:r>
      <w:r>
        <w:rPr>
          <w:rFonts w:hint="eastAsia" w:ascii="宋体" w:hAnsi="宋体" w:cs="微软雅黑"/>
          <w:color w:val="000000" w:themeColor="text1"/>
          <w:kern w:val="0"/>
          <w:szCs w:val="21"/>
          <w14:textFill>
            <w14:solidFill>
              <w14:schemeClr w14:val="tx1"/>
            </w14:solidFill>
          </w14:textFill>
        </w:rPr>
        <w:t>表</w:t>
      </w:r>
      <w:r>
        <w:rPr>
          <w:rFonts w:hint="eastAsia" w:ascii="宋体" w:hAnsi="宋体" w:cs="微软雅黑"/>
          <w:color w:val="000000" w:themeColor="text1"/>
          <w:spacing w:val="-2"/>
          <w:kern w:val="0"/>
          <w:szCs w:val="21"/>
          <w14:textFill>
            <w14:solidFill>
              <w14:schemeClr w14:val="tx1"/>
            </w14:solidFill>
          </w14:textFill>
        </w:rPr>
        <w:t>人</w:t>
      </w:r>
      <w:r>
        <w:rPr>
          <w:rFonts w:hint="eastAsia" w:ascii="宋体" w:hAnsi="宋体" w:cs="微软雅黑"/>
          <w:color w:val="000000" w:themeColor="text1"/>
          <w:kern w:val="0"/>
          <w:szCs w:val="21"/>
          <w14:textFill>
            <w14:solidFill>
              <w14:schemeClr w14:val="tx1"/>
            </w14:solidFill>
          </w14:textFill>
        </w:rPr>
        <w:t>（</w:t>
      </w:r>
      <w:r>
        <w:rPr>
          <w:rFonts w:hint="eastAsia" w:ascii="宋体" w:hAnsi="宋体" w:cs="微软雅黑"/>
          <w:color w:val="000000" w:themeColor="text1"/>
          <w:spacing w:val="-2"/>
          <w:kern w:val="0"/>
          <w:szCs w:val="21"/>
          <w14:textFill>
            <w14:solidFill>
              <w14:schemeClr w14:val="tx1"/>
            </w14:solidFill>
          </w14:textFill>
        </w:rPr>
        <w:t>单</w:t>
      </w:r>
      <w:r>
        <w:rPr>
          <w:rFonts w:hint="eastAsia" w:ascii="宋体" w:hAnsi="宋体" w:cs="微软雅黑"/>
          <w:color w:val="000000" w:themeColor="text1"/>
          <w:kern w:val="0"/>
          <w:szCs w:val="21"/>
          <w14:textFill>
            <w14:solidFill>
              <w14:schemeClr w14:val="tx1"/>
            </w14:solidFill>
          </w14:textFill>
        </w:rPr>
        <w:t>位</w:t>
      </w:r>
      <w:r>
        <w:rPr>
          <w:rFonts w:hint="eastAsia" w:ascii="宋体" w:hAnsi="宋体" w:cs="微软雅黑"/>
          <w:color w:val="000000" w:themeColor="text1"/>
          <w:spacing w:val="-2"/>
          <w:kern w:val="0"/>
          <w:szCs w:val="21"/>
          <w14:textFill>
            <w14:solidFill>
              <w14:schemeClr w14:val="tx1"/>
            </w14:solidFill>
          </w14:textFill>
        </w:rPr>
        <w:t>负</w:t>
      </w:r>
      <w:r>
        <w:rPr>
          <w:rFonts w:hint="eastAsia" w:ascii="宋体" w:hAnsi="宋体" w:cs="微软雅黑"/>
          <w:color w:val="000000" w:themeColor="text1"/>
          <w:kern w:val="0"/>
          <w:szCs w:val="21"/>
          <w14:textFill>
            <w14:solidFill>
              <w14:schemeClr w14:val="tx1"/>
            </w14:solidFill>
          </w14:textFill>
        </w:rPr>
        <w:t>责人</w:t>
      </w:r>
      <w:r>
        <w:rPr>
          <w:rFonts w:hint="eastAsia" w:ascii="宋体" w:hAnsi="宋体" w:cs="微软雅黑"/>
          <w:color w:val="000000" w:themeColor="text1"/>
          <w:spacing w:val="-2"/>
          <w:kern w:val="0"/>
          <w:szCs w:val="21"/>
          <w14:textFill>
            <w14:solidFill>
              <w14:schemeClr w14:val="tx1"/>
            </w14:solidFill>
          </w14:textFill>
        </w:rPr>
        <w:t>）</w:t>
      </w:r>
      <w:r>
        <w:rPr>
          <w:rFonts w:hint="eastAsia" w:ascii="宋体" w:hAnsi="宋体"/>
          <w:color w:val="000000" w:themeColor="text1"/>
          <w14:textFill>
            <w14:solidFill>
              <w14:schemeClr w14:val="tx1"/>
            </w14:solidFill>
          </w14:textFill>
        </w:rPr>
        <w:t>或委托代理人：（签字或印章）</w:t>
      </w:r>
    </w:p>
    <w:p w14:paraId="533A0F57">
      <w:pPr>
        <w:widowControl/>
        <w:adjustRightInd w:val="0"/>
        <w:snapToGrid w:val="0"/>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日期：年月日</w:t>
      </w:r>
    </w:p>
    <w:p w14:paraId="582F8418">
      <w:pPr>
        <w:rPr>
          <w:rFonts w:hint="eastAsia" w:ascii="黑体" w:hAnsi="仿宋" w:cs="宋体"/>
          <w:szCs w:val="21"/>
        </w:rPr>
      </w:pPr>
      <w:r>
        <w:rPr>
          <w:rFonts w:hint="eastAsia" w:ascii="黑体" w:hAnsi="仿宋" w:cs="宋体"/>
          <w:szCs w:val="21"/>
        </w:rPr>
        <w:br w:type="page"/>
      </w:r>
    </w:p>
    <w:p w14:paraId="59ADBEA1">
      <w:pPr>
        <w:pStyle w:val="5"/>
        <w:rPr>
          <w:rFonts w:hint="eastAsia" w:ascii="黑体" w:hAnsi="仿宋" w:cs="宋体"/>
          <w:b w:val="0"/>
          <w:sz w:val="21"/>
          <w:szCs w:val="21"/>
        </w:rPr>
      </w:pPr>
      <w:bookmarkStart w:id="128" w:name="_Toc23634"/>
      <w:bookmarkStart w:id="129" w:name="_Toc13811"/>
      <w:r>
        <w:rPr>
          <w:rFonts w:hint="eastAsia" w:ascii="黑体" w:hAnsi="仿宋" w:cs="宋体"/>
          <w:b w:val="0"/>
          <w:sz w:val="21"/>
          <w:szCs w:val="21"/>
        </w:rPr>
        <w:t>附件4-2 法人或者其他组织的营业执照等主体资格证明文件</w:t>
      </w:r>
      <w:bookmarkEnd w:id="127"/>
      <w:bookmarkEnd w:id="128"/>
      <w:bookmarkEnd w:id="129"/>
    </w:p>
    <w:p w14:paraId="509A270A">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14:paraId="50E9EFD7">
      <w:pPr>
        <w:widowControl/>
        <w:adjustRightInd w:val="0"/>
        <w:snapToGrid w:val="0"/>
        <w:spacing w:before="156" w:beforeLines="50" w:line="360" w:lineRule="auto"/>
        <w:ind w:firstLine="420" w:firstLineChars="200"/>
        <w:jc w:val="left"/>
        <w:rPr>
          <w:rFonts w:hint="eastAsia" w:ascii="宋体" w:hAnsi="宋体" w:cs="宋体"/>
          <w:szCs w:val="21"/>
        </w:rPr>
      </w:pPr>
    </w:p>
    <w:p w14:paraId="02C1FDFC">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（1）项要求提供。</w:t>
      </w:r>
    </w:p>
    <w:p w14:paraId="326AA0D7">
      <w:pPr>
        <w:adjustRightInd w:val="0"/>
        <w:snapToGrid w:val="0"/>
        <w:spacing w:before="156" w:beforeLines="50" w:line="360" w:lineRule="auto"/>
        <w:ind w:firstLine="420" w:firstLineChars="200"/>
        <w:rPr>
          <w:rFonts w:hint="eastAsia" w:ascii="宋体" w:hAnsi="宋体"/>
        </w:rPr>
      </w:pPr>
      <w:r>
        <w:rPr>
          <w:rFonts w:hint="eastAsia" w:ascii="宋体" w:hAnsi="宋体" w:cs="宋体"/>
          <w:szCs w:val="21"/>
        </w:rPr>
        <w:t>（1）</w:t>
      </w:r>
      <w:r>
        <w:rPr>
          <w:rFonts w:hint="eastAsia" w:ascii="宋体" w:hAnsi="宋体"/>
        </w:rPr>
        <w:t>投标人为法人的，应提交营业执照或法人登记证书的复印件；</w:t>
      </w:r>
    </w:p>
    <w:p w14:paraId="150755C6">
      <w:pPr>
        <w:adjustRightInd w:val="0"/>
        <w:snapToGrid w:val="0"/>
        <w:spacing w:before="156" w:beforeLines="50" w:line="360" w:lineRule="auto"/>
        <w:ind w:firstLine="420" w:firstLineChars="200"/>
        <w:rPr>
          <w:rFonts w:hint="eastAsia" w:ascii="宋体" w:hAnsi="宋体"/>
        </w:rPr>
      </w:pPr>
      <w:r>
        <w:rPr>
          <w:rFonts w:hint="eastAsia" w:ascii="宋体" w:hAnsi="宋体" w:cs="宋体"/>
          <w:szCs w:val="21"/>
        </w:rPr>
        <w:t>（2）</w:t>
      </w:r>
      <w:r>
        <w:rPr>
          <w:rFonts w:hint="eastAsia" w:ascii="宋体" w:hAnsi="宋体"/>
        </w:rPr>
        <w:t>投标人为非法人组织的，应提交依法登记证书复印件；</w:t>
      </w:r>
    </w:p>
    <w:p w14:paraId="2D4A68D0">
      <w:pPr>
        <w:adjustRightInd w:val="0"/>
        <w:snapToGrid w:val="0"/>
        <w:spacing w:before="156" w:beforeLines="50" w:line="360" w:lineRule="auto"/>
        <w:ind w:firstLine="420" w:firstLineChars="200"/>
        <w:rPr>
          <w:rFonts w:hint="eastAsia" w:ascii="宋体" w:hAnsi="宋体"/>
        </w:rPr>
      </w:pPr>
      <w:r>
        <w:rPr>
          <w:rFonts w:hint="eastAsia" w:ascii="宋体" w:hAnsi="宋体" w:cs="宋体"/>
          <w:szCs w:val="21"/>
        </w:rPr>
        <w:t>（3）</w:t>
      </w:r>
      <w:r>
        <w:rPr>
          <w:rFonts w:hint="eastAsia" w:ascii="宋体" w:hAnsi="宋体"/>
        </w:rPr>
        <w:t>投标人为个体工商户的，应提交个体工商户营业执照复印件；</w:t>
      </w:r>
    </w:p>
    <w:p w14:paraId="1B5C8431">
      <w:pPr>
        <w:adjustRightInd w:val="0"/>
        <w:snapToGrid w:val="0"/>
        <w:spacing w:before="156" w:beforeLines="50" w:line="360" w:lineRule="auto"/>
        <w:ind w:firstLine="420" w:firstLineChars="200"/>
        <w:rPr>
          <w:rFonts w:hint="eastAsia" w:ascii="宋体" w:hAnsi="宋体"/>
        </w:rPr>
      </w:pPr>
      <w:r>
        <w:rPr>
          <w:rFonts w:hint="eastAsia" w:ascii="宋体" w:hAnsi="宋体" w:cs="宋体"/>
          <w:szCs w:val="21"/>
        </w:rPr>
        <w:t>（4）</w:t>
      </w:r>
      <w:r>
        <w:rPr>
          <w:rFonts w:hint="eastAsia" w:ascii="宋体" w:hAnsi="宋体"/>
        </w:rPr>
        <w:t>投标人为自然人的，应提交自然人的身份证明复印件。</w:t>
      </w:r>
    </w:p>
    <w:p w14:paraId="34329597">
      <w:pPr>
        <w:widowControl/>
        <w:jc w:val="left"/>
        <w:rPr>
          <w:rFonts w:hint="eastAsia" w:ascii="黑体" w:hAnsi="仿宋" w:eastAsia="黑体" w:cs="宋体"/>
          <w:bCs/>
          <w:sz w:val="10"/>
          <w:szCs w:val="10"/>
        </w:rPr>
      </w:pPr>
      <w:r>
        <w:rPr>
          <w:rFonts w:ascii="黑体" w:hAnsi="仿宋" w:cs="宋体"/>
          <w:b/>
          <w:szCs w:val="21"/>
        </w:rPr>
        <w:br w:type="page"/>
      </w:r>
    </w:p>
    <w:p w14:paraId="5EBBE51B">
      <w:pPr>
        <w:pStyle w:val="5"/>
        <w:adjustRightInd w:val="0"/>
        <w:snapToGrid w:val="0"/>
        <w:spacing w:before="156" w:beforeLines="50" w:after="0" w:line="360" w:lineRule="auto"/>
        <w:rPr>
          <w:rFonts w:hint="eastAsia" w:ascii="黑体" w:hAnsi="仿宋" w:cs="宋体"/>
          <w:b w:val="0"/>
          <w:sz w:val="21"/>
          <w:szCs w:val="21"/>
        </w:rPr>
      </w:pPr>
      <w:bookmarkStart w:id="130" w:name="_Toc10555"/>
      <w:bookmarkStart w:id="131" w:name="_Toc24449"/>
      <w:bookmarkStart w:id="132" w:name="_Toc25872"/>
      <w:r>
        <w:rPr>
          <w:rFonts w:hint="eastAsia" w:ascii="黑体" w:hAnsi="仿宋" w:cs="宋体"/>
          <w:b w:val="0"/>
          <w:sz w:val="21"/>
          <w:szCs w:val="21"/>
        </w:rPr>
        <w:t>附件4-3 湖南省政府采购供应商资格承诺函(格式)</w:t>
      </w:r>
      <w:bookmarkEnd w:id="130"/>
      <w:bookmarkEnd w:id="131"/>
      <w:bookmarkEnd w:id="132"/>
    </w:p>
    <w:p w14:paraId="136AE21E">
      <w:pPr>
        <w:widowControl/>
        <w:adjustRightInd w:val="0"/>
        <w:snapToGrid w:val="0"/>
        <w:spacing w:before="468" w:beforeLines="150" w:line="360" w:lineRule="auto"/>
        <w:jc w:val="center"/>
        <w:rPr>
          <w:rFonts w:hint="eastAsia" w:ascii="宋体" w:hAnsi="宋体" w:cs="宋体"/>
          <w:szCs w:val="21"/>
        </w:rPr>
      </w:pPr>
      <w:r>
        <w:rPr>
          <w:rFonts w:hint="eastAsia" w:ascii="黑体" w:hAnsi="仿宋" w:eastAsia="黑体" w:cs="宋体"/>
          <w:b/>
          <w:sz w:val="28"/>
          <w:szCs w:val="28"/>
        </w:rPr>
        <w:t>湖南省政府采购供应商资格承诺函(格式)</w:t>
      </w:r>
    </w:p>
    <w:p w14:paraId="761D3075">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B42382C">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按照《政府采购促进中小企业发展管理办法》(财库〔2020〕46号),本公司企业规模为: 大型□中型□小型□微型□。</w:t>
      </w:r>
    </w:p>
    <w:p w14:paraId="757149CB">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1EB08331">
      <w:pPr>
        <w:widowControl/>
        <w:spacing w:before="156" w:beforeLines="50" w:line="360" w:lineRule="auto"/>
        <w:ind w:firstLine="420" w:firstLineChars="200"/>
        <w:jc w:val="left"/>
        <w:rPr>
          <w:rFonts w:hint="eastAsia" w:ascii="宋体" w:hAnsi="宋体" w:cs="宋体"/>
          <w:szCs w:val="21"/>
        </w:rPr>
      </w:pPr>
    </w:p>
    <w:p w14:paraId="69ACE596">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公司(单位)名称(盖章)：</w:t>
      </w:r>
    </w:p>
    <w:p w14:paraId="6EFBBC75">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机构代码、注册登记机构、日期、有效期、注册资本、地 址、经济行业、经济性质</w:t>
      </w:r>
    </w:p>
    <w:p w14:paraId="4D3D0394">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法定代表人(负责人)姓名(签字)、身份证号、手机号:</w:t>
      </w:r>
    </w:p>
    <w:p w14:paraId="57512C97">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授权代表人姓名(签字)、身份证号、手机号:</w:t>
      </w:r>
    </w:p>
    <w:p w14:paraId="215C2EA2">
      <w:pPr>
        <w:widowControl/>
        <w:spacing w:before="156" w:beforeLines="50" w:line="360" w:lineRule="auto"/>
        <w:ind w:firstLine="420" w:firstLineChars="200"/>
        <w:jc w:val="left"/>
        <w:rPr>
          <w:rFonts w:hint="eastAsia" w:ascii="宋体" w:hAnsi="宋体" w:cs="宋体"/>
          <w:szCs w:val="21"/>
        </w:rPr>
      </w:pPr>
    </w:p>
    <w:p w14:paraId="1BBCBD39">
      <w:pPr>
        <w:widowControl/>
        <w:spacing w:line="360" w:lineRule="auto"/>
        <w:ind w:firstLine="422" w:firstLineChars="200"/>
        <w:jc w:val="left"/>
        <w:rPr>
          <w:rFonts w:hint="eastAsia" w:ascii="黑体" w:hAnsi="仿宋" w:eastAsia="黑体" w:cs="宋体"/>
          <w:bCs/>
          <w:sz w:val="10"/>
          <w:szCs w:val="10"/>
        </w:rPr>
      </w:pPr>
      <w:r>
        <w:rPr>
          <w:rFonts w:ascii="黑体" w:hAnsi="仿宋" w:cs="宋体"/>
          <w:b/>
          <w:szCs w:val="21"/>
        </w:rPr>
        <w:br w:type="page"/>
      </w:r>
    </w:p>
    <w:p w14:paraId="33D3B60E">
      <w:pPr>
        <w:pStyle w:val="5"/>
        <w:spacing w:before="0"/>
        <w:rPr>
          <w:rFonts w:hint="default" w:ascii="黑体" w:hAnsi="仿宋" w:eastAsia="黑体" w:cs="宋体"/>
          <w:b w:val="0"/>
          <w:sz w:val="21"/>
          <w:szCs w:val="21"/>
          <w:lang w:val="en-US" w:eastAsia="zh-CN"/>
        </w:rPr>
      </w:pPr>
      <w:bookmarkStart w:id="133" w:name="_Toc22748"/>
      <w:bookmarkStart w:id="134" w:name="_Toc13891"/>
      <w:bookmarkStart w:id="135" w:name="_Toc12545"/>
      <w:bookmarkStart w:id="136" w:name="_Toc24616"/>
      <w:r>
        <w:rPr>
          <w:rFonts w:hint="eastAsia" w:ascii="黑体" w:hAnsi="仿宋" w:cs="宋体"/>
          <w:b w:val="0"/>
          <w:sz w:val="21"/>
          <w:szCs w:val="21"/>
        </w:rPr>
        <w:t>附件4-</w:t>
      </w:r>
      <w:r>
        <w:rPr>
          <w:rFonts w:hint="eastAsia" w:ascii="黑体" w:hAnsi="仿宋" w:cs="宋体"/>
          <w:b w:val="0"/>
          <w:sz w:val="21"/>
          <w:szCs w:val="21"/>
          <w:lang w:val="en-US" w:eastAsia="zh-CN"/>
        </w:rPr>
        <w:t>4</w:t>
      </w:r>
      <w:r>
        <w:rPr>
          <w:rFonts w:hint="eastAsia" w:ascii="黑体" w:hAnsi="仿宋" w:cs="宋体"/>
          <w:b w:val="0"/>
          <w:sz w:val="21"/>
          <w:szCs w:val="21"/>
        </w:rPr>
        <w:t xml:space="preserve"> 中小企业声明函</w:t>
      </w:r>
      <w:r>
        <w:rPr>
          <w:rFonts w:hint="eastAsia" w:ascii="黑体" w:hAnsi="仿宋" w:cs="宋体"/>
          <w:b w:val="0"/>
          <w:sz w:val="21"/>
          <w:szCs w:val="21"/>
          <w:lang w:eastAsia="zh-CN"/>
        </w:rPr>
        <w:t>（</w:t>
      </w:r>
      <w:r>
        <w:rPr>
          <w:rFonts w:hint="eastAsia" w:ascii="黑体" w:hAnsi="仿宋" w:cs="宋体"/>
          <w:b w:val="0"/>
          <w:sz w:val="21"/>
          <w:szCs w:val="21"/>
          <w:lang w:val="en-US" w:eastAsia="zh-CN"/>
        </w:rPr>
        <w:t>格式）</w:t>
      </w:r>
      <w:bookmarkEnd w:id="133"/>
    </w:p>
    <w:p w14:paraId="00242390">
      <w:pPr>
        <w:widowControl/>
        <w:adjustRightInd w:val="0"/>
        <w:snapToGrid w:val="0"/>
        <w:spacing w:line="360" w:lineRule="auto"/>
        <w:jc w:val="center"/>
        <w:rPr>
          <w:rFonts w:ascii="黑体" w:hAnsi="黑体" w:eastAsia="黑体" w:cs="宋体"/>
          <w:b/>
          <w:bCs/>
          <w:spacing w:val="6"/>
          <w:kern w:val="0"/>
          <w:sz w:val="28"/>
          <w:szCs w:val="28"/>
        </w:rPr>
      </w:pPr>
      <w:r>
        <w:rPr>
          <w:rFonts w:hint="eastAsia" w:ascii="黑体" w:hAnsi="黑体" w:eastAsia="黑体" w:cs="黑体"/>
          <w:b/>
          <w:bCs/>
          <w:spacing w:val="6"/>
          <w:kern w:val="0"/>
          <w:sz w:val="28"/>
          <w:szCs w:val="28"/>
        </w:rPr>
        <w:t>中小企业声明函（服务类）</w:t>
      </w:r>
    </w:p>
    <w:p w14:paraId="60B7479D">
      <w:pPr>
        <w:pStyle w:val="370"/>
        <w:ind w:firstLine="446"/>
        <w:jc w:val="center"/>
        <w:rPr>
          <w:rFonts w:hint="eastAsia" w:ascii="黑体" w:hAnsi="宋体" w:eastAsia="黑体"/>
          <w:sz w:val="32"/>
          <w:szCs w:val="32"/>
        </w:rPr>
      </w:pPr>
    </w:p>
    <w:p w14:paraId="5F22C837">
      <w:pPr>
        <w:pStyle w:val="370"/>
        <w:spacing w:line="360" w:lineRule="auto"/>
        <w:ind w:firstLine="420"/>
        <w:rPr>
          <w:rFonts w:hint="eastAsia" w:ascii="宋体" w:hAnsi="宋体"/>
          <w:szCs w:val="21"/>
        </w:rPr>
      </w:pPr>
      <w:r>
        <w:rPr>
          <w:rFonts w:hint="eastAsia" w:ascii="宋体" w:hAnsi="宋体"/>
          <w:szCs w:val="21"/>
        </w:rPr>
        <w:t>本公司(联合体)郑重声明，根据《政府采购促进中小企业发展管理办法》(财库(2020)46号)的规定，本公司(联合体)参加</w:t>
      </w:r>
      <w:r>
        <w:rPr>
          <w:rFonts w:hint="eastAsia" w:ascii="宋体" w:hAnsi="宋体"/>
          <w:szCs w:val="21"/>
          <w:u w:val="single"/>
        </w:rPr>
        <w:t xml:space="preserve">(单位名称)      </w:t>
      </w:r>
      <w:r>
        <w:rPr>
          <w:rFonts w:hint="eastAsia" w:ascii="宋体" w:hAnsi="宋体"/>
          <w:szCs w:val="21"/>
        </w:rPr>
        <w:t>的</w:t>
      </w:r>
      <w:r>
        <w:rPr>
          <w:rFonts w:hint="eastAsia" w:ascii="宋体" w:hAnsi="宋体"/>
          <w:szCs w:val="21"/>
          <w:u w:val="single"/>
        </w:rPr>
        <w:t xml:space="preserve">(项目名称)           </w:t>
      </w:r>
      <w:r>
        <w:rPr>
          <w:rFonts w:hint="eastAsia" w:ascii="宋体" w:hAnsi="宋体"/>
          <w:szCs w:val="21"/>
        </w:rPr>
        <w:t>采购活动，工程的施工单位全部为符合政策要求的中小企业(或者:服务全部由符合政策要求的中小企业承接)。相关企业(含联合体中的中小企业、签订分包意向协议的中小企业)的具体情况如下</w:t>
      </w:r>
    </w:p>
    <w:p w14:paraId="57940F32">
      <w:pPr>
        <w:pStyle w:val="370"/>
        <w:spacing w:line="360" w:lineRule="auto"/>
        <w:ind w:firstLine="420"/>
        <w:rPr>
          <w:rFonts w:hint="eastAsia" w:ascii="宋体" w:hAnsi="宋体"/>
          <w:szCs w:val="21"/>
          <w:u w:val="single"/>
        </w:rPr>
      </w:pPr>
      <w:r>
        <w:rPr>
          <w:rFonts w:hint="eastAsia" w:ascii="宋体" w:hAnsi="宋体"/>
          <w:szCs w:val="21"/>
        </w:rPr>
        <w:t>1.</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(采购文件中明确的所属行业）</w:t>
      </w:r>
      <w:r>
        <w:rPr>
          <w:rFonts w:hint="eastAsia" w:ascii="宋体" w:hAnsi="宋体"/>
          <w:szCs w:val="21"/>
        </w:rPr>
        <w:t>承建(承接)企业为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p>
    <w:p w14:paraId="2ABB8F87">
      <w:pPr>
        <w:pStyle w:val="370"/>
        <w:spacing w:line="360" w:lineRule="auto"/>
        <w:ind w:firstLine="420"/>
        <w:rPr>
          <w:rFonts w:hint="eastAsia" w:ascii="宋体" w:hAnsi="宋体"/>
          <w:szCs w:val="21"/>
          <w:u w:val="single"/>
        </w:rPr>
      </w:pPr>
      <w:r>
        <w:rPr>
          <w:rFonts w:hint="eastAsia" w:ascii="宋体" w:hAnsi="宋体"/>
          <w:szCs w:val="21"/>
        </w:rPr>
        <w:t>2.</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(采购文件中明确的所属行业）</w:t>
      </w:r>
      <w:r>
        <w:rPr>
          <w:rFonts w:hint="eastAsia" w:ascii="宋体" w:hAnsi="宋体"/>
          <w:szCs w:val="21"/>
        </w:rPr>
        <w:t>承建(承接)企业为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p>
    <w:p w14:paraId="7EDC7F61">
      <w:pPr>
        <w:pStyle w:val="370"/>
        <w:spacing w:line="360" w:lineRule="auto"/>
        <w:ind w:firstLine="420"/>
        <w:rPr>
          <w:rFonts w:hint="eastAsia"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1297B577">
      <w:pPr>
        <w:pStyle w:val="370"/>
        <w:spacing w:line="360" w:lineRule="auto"/>
        <w:ind w:firstLine="420"/>
        <w:rPr>
          <w:rFonts w:hint="eastAsia" w:ascii="宋体" w:hAnsi="宋体"/>
          <w:szCs w:val="21"/>
        </w:rPr>
      </w:pPr>
      <w:r>
        <w:rPr>
          <w:rFonts w:hint="eastAsia" w:ascii="宋体" w:hAnsi="宋体"/>
          <w:szCs w:val="21"/>
        </w:rPr>
        <w:t xml:space="preserve">    本企业对上述声明内容的真实性负责。如有虚假，将依法承担相应责任。</w:t>
      </w:r>
    </w:p>
    <w:p w14:paraId="0B698439">
      <w:pPr>
        <w:pStyle w:val="370"/>
        <w:spacing w:line="360" w:lineRule="auto"/>
        <w:ind w:firstLine="420"/>
        <w:jc w:val="center"/>
        <w:rPr>
          <w:rFonts w:hint="eastAsia" w:ascii="宋体" w:hAnsi="宋体"/>
          <w:szCs w:val="21"/>
        </w:rPr>
      </w:pPr>
    </w:p>
    <w:p w14:paraId="43D83191">
      <w:pPr>
        <w:pStyle w:val="370"/>
        <w:spacing w:line="360" w:lineRule="auto"/>
        <w:ind w:firstLine="420"/>
        <w:jc w:val="center"/>
        <w:rPr>
          <w:rFonts w:hint="eastAsia" w:ascii="宋体" w:hAnsi="宋体"/>
          <w:szCs w:val="21"/>
        </w:rPr>
      </w:pPr>
      <w:r>
        <w:rPr>
          <w:rFonts w:hint="eastAsia" w:ascii="宋体" w:hAnsi="宋体"/>
          <w:szCs w:val="21"/>
        </w:rPr>
        <w:t xml:space="preserve">                             企业名称(盖章)：</w:t>
      </w:r>
    </w:p>
    <w:p w14:paraId="1812D074">
      <w:pPr>
        <w:pStyle w:val="370"/>
        <w:spacing w:line="360" w:lineRule="auto"/>
        <w:ind w:firstLine="420"/>
        <w:jc w:val="center"/>
        <w:rPr>
          <w:rFonts w:hint="eastAsia" w:ascii="宋体" w:hAnsi="宋体"/>
          <w:szCs w:val="21"/>
        </w:rPr>
      </w:pPr>
      <w:r>
        <w:rPr>
          <w:rFonts w:hint="eastAsia" w:ascii="宋体" w:hAnsi="宋体"/>
          <w:szCs w:val="21"/>
        </w:rPr>
        <w:t xml:space="preserve">                           日期：</w:t>
      </w:r>
    </w:p>
    <w:p w14:paraId="562F3892">
      <w:pPr>
        <w:pStyle w:val="5"/>
        <w:numPr>
          <w:ilvl w:val="0"/>
          <w:numId w:val="0"/>
        </w:numPr>
        <w:spacing w:before="0"/>
        <w:rPr>
          <w:rFonts w:hint="eastAsia" w:ascii="宋体" w:hAnsi="宋体" w:eastAsia="宋体" w:cs="宋体"/>
          <w:b w:val="0"/>
          <w:bCs w:val="0"/>
          <w:sz w:val="21"/>
          <w:szCs w:val="21"/>
        </w:rPr>
      </w:pPr>
    </w:p>
    <w:p w14:paraId="5C63883F">
      <w:pPr>
        <w:pStyle w:val="5"/>
        <w:spacing w:before="0"/>
        <w:rPr>
          <w:rFonts w:hint="eastAsia" w:ascii="宋体" w:hAnsi="宋体" w:eastAsia="宋体" w:cs="宋体"/>
          <w:b w:val="0"/>
          <w:bCs w:val="0"/>
          <w:sz w:val="21"/>
          <w:szCs w:val="21"/>
        </w:rPr>
      </w:pPr>
      <w:bookmarkStart w:id="137" w:name="_Toc16888"/>
      <w:r>
        <w:rPr>
          <w:rFonts w:hint="eastAsia" w:ascii="宋体" w:hAnsi="宋体" w:eastAsia="宋体" w:cs="宋体"/>
          <w:b w:val="0"/>
          <w:bCs w:val="0"/>
          <w:sz w:val="21"/>
          <w:szCs w:val="21"/>
        </w:rPr>
        <w:t>说明：从业人员、营业收入、资产总额填报上一年度数据；无上一年度数据的新成立的公司可不填报。</w:t>
      </w:r>
      <w:bookmarkEnd w:id="137"/>
    </w:p>
    <w:p w14:paraId="1B103BAE">
      <w:pPr>
        <w:rPr>
          <w:rFonts w:hint="eastAsia" w:ascii="宋体" w:hAnsi="宋体" w:eastAsia="宋体" w:cs="宋体"/>
          <w:b w:val="0"/>
          <w:bCs w:val="0"/>
          <w:sz w:val="21"/>
          <w:szCs w:val="21"/>
        </w:rPr>
      </w:pPr>
    </w:p>
    <w:p w14:paraId="622EB335">
      <w:pPr>
        <w:rPr>
          <w:rFonts w:hint="eastAsia" w:ascii="宋体" w:hAnsi="宋体" w:eastAsia="宋体" w:cs="宋体"/>
          <w:b w:val="0"/>
          <w:bCs w:val="0"/>
          <w:sz w:val="21"/>
          <w:szCs w:val="21"/>
        </w:rPr>
      </w:pPr>
    </w:p>
    <w:p w14:paraId="53CBE731">
      <w:pPr>
        <w:rPr>
          <w:rFonts w:hint="eastAsia" w:ascii="宋体" w:hAnsi="宋体" w:eastAsia="宋体" w:cs="宋体"/>
          <w:b w:val="0"/>
          <w:bCs w:val="0"/>
          <w:sz w:val="21"/>
          <w:szCs w:val="21"/>
        </w:rPr>
      </w:pPr>
    </w:p>
    <w:p w14:paraId="3D79DEC3">
      <w:pPr>
        <w:pStyle w:val="5"/>
        <w:spacing w:before="0"/>
        <w:rPr>
          <w:rFonts w:hint="eastAsia" w:ascii="黑体" w:hAnsi="仿宋" w:cs="宋体"/>
          <w:b w:val="0"/>
          <w:sz w:val="21"/>
          <w:szCs w:val="21"/>
        </w:rPr>
      </w:pPr>
      <w:r>
        <w:rPr>
          <w:rFonts w:hint="eastAsia" w:ascii="黑体" w:hAnsi="仿宋" w:cs="宋体"/>
          <w:b w:val="0"/>
          <w:sz w:val="21"/>
          <w:szCs w:val="21"/>
        </w:rPr>
        <w:t>附件4-</w:t>
      </w:r>
      <w:r>
        <w:rPr>
          <w:rFonts w:hint="eastAsia" w:ascii="黑体" w:hAnsi="仿宋" w:cs="宋体"/>
          <w:b w:val="0"/>
          <w:sz w:val="21"/>
          <w:szCs w:val="21"/>
          <w:lang w:val="en-US" w:eastAsia="zh-CN"/>
        </w:rPr>
        <w:t>5</w:t>
      </w:r>
      <w:r>
        <w:rPr>
          <w:rFonts w:hint="eastAsia" w:ascii="黑体" w:hAnsi="仿宋" w:cs="宋体"/>
          <w:b w:val="0"/>
          <w:sz w:val="21"/>
          <w:szCs w:val="21"/>
        </w:rPr>
        <w:t xml:space="preserve"> 符合特定资格条件证明材料复印件或者情况说明</w:t>
      </w:r>
      <w:bookmarkEnd w:id="134"/>
      <w:bookmarkEnd w:id="135"/>
      <w:bookmarkEnd w:id="136"/>
    </w:p>
    <w:p w14:paraId="1BA65A6C">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符合特定资格条件证明材料复印件或者情况说明</w:t>
      </w:r>
    </w:p>
    <w:p w14:paraId="6155FDA6">
      <w:pPr>
        <w:widowControl/>
        <w:adjustRightInd w:val="0"/>
        <w:snapToGrid w:val="0"/>
        <w:spacing w:line="360" w:lineRule="auto"/>
        <w:ind w:firstLine="560" w:firstLineChars="200"/>
        <w:jc w:val="left"/>
        <w:rPr>
          <w:rFonts w:hint="eastAsia" w:ascii="黑体" w:hAnsi="仿宋" w:eastAsia="黑体" w:cs="宋体"/>
          <w:sz w:val="28"/>
          <w:szCs w:val="28"/>
        </w:rPr>
      </w:pPr>
    </w:p>
    <w:p w14:paraId="420E7D01">
      <w:pPr>
        <w:widowControl/>
        <w:adjustRightInd w:val="0"/>
        <w:snapToGrid w:val="0"/>
        <w:spacing w:line="360" w:lineRule="auto"/>
        <w:ind w:firstLine="422" w:firstLineChars="200"/>
        <w:jc w:val="left"/>
        <w:rPr>
          <w:rFonts w:hint="eastAsia" w:ascii="宋体" w:hAnsi="宋体" w:cs="宋体"/>
          <w:b/>
          <w:bCs/>
          <w:szCs w:val="21"/>
        </w:rPr>
      </w:pPr>
      <w:r>
        <w:rPr>
          <w:rFonts w:hint="eastAsia" w:ascii="宋体" w:hAnsi="宋体" w:cs="宋体"/>
          <w:b/>
          <w:bCs/>
          <w:szCs w:val="21"/>
        </w:rPr>
        <w:t>注：1.按第二章第</w:t>
      </w:r>
      <w:r>
        <w:rPr>
          <w:rFonts w:ascii="宋体" w:hAnsi="宋体" w:cs="宋体"/>
          <w:b/>
          <w:bCs/>
          <w:szCs w:val="21"/>
        </w:rPr>
        <w:t>1</w:t>
      </w:r>
      <w:r>
        <w:rPr>
          <w:rFonts w:hint="eastAsia" w:ascii="宋体" w:hAnsi="宋体" w:cs="宋体"/>
          <w:b/>
          <w:bCs/>
          <w:szCs w:val="21"/>
        </w:rPr>
        <w:t>4</w:t>
      </w:r>
      <w:r>
        <w:rPr>
          <w:rFonts w:ascii="宋体" w:hAnsi="宋体" w:cs="宋体"/>
          <w:b/>
          <w:bCs/>
          <w:szCs w:val="21"/>
        </w:rPr>
        <w:t>.1</w:t>
      </w:r>
      <w:r>
        <w:rPr>
          <w:rFonts w:hint="eastAsia" w:ascii="宋体" w:hAnsi="宋体" w:cs="宋体"/>
          <w:b/>
          <w:bCs/>
          <w:szCs w:val="21"/>
        </w:rPr>
        <w:t>（3）项要求提供。</w:t>
      </w:r>
    </w:p>
    <w:p w14:paraId="17EA9E96">
      <w:pPr>
        <w:widowControl/>
        <w:adjustRightInd w:val="0"/>
        <w:snapToGrid w:val="0"/>
        <w:spacing w:line="360" w:lineRule="auto"/>
        <w:ind w:firstLine="422" w:firstLineChars="200"/>
        <w:jc w:val="left"/>
        <w:rPr>
          <w:rFonts w:hint="eastAsia" w:ascii="宋体" w:hAnsi="宋体" w:cs="宋体"/>
          <w:szCs w:val="21"/>
        </w:rPr>
      </w:pPr>
      <w:r>
        <w:rPr>
          <w:rFonts w:hint="eastAsia" w:ascii="宋体" w:hAnsi="宋体" w:cs="宋体"/>
          <w:b/>
          <w:bCs/>
          <w:kern w:val="2"/>
          <w:sz w:val="21"/>
          <w:szCs w:val="21"/>
        </w:rPr>
        <w:t>2.若本项目未设置特定资格条件的，为保证标书的完整和连贯性，本项可提供加盖投标单位公章的空白页。</w:t>
      </w:r>
    </w:p>
    <w:p w14:paraId="7E9C9489">
      <w:pPr>
        <w:widowControl/>
        <w:jc w:val="left"/>
        <w:rPr>
          <w:rFonts w:hint="eastAsia" w:ascii="黑体" w:hAnsi="仿宋" w:eastAsia="黑体" w:cs="宋体"/>
          <w:sz w:val="10"/>
          <w:szCs w:val="10"/>
        </w:rPr>
      </w:pPr>
      <w:r>
        <w:rPr>
          <w:rFonts w:ascii="黑体" w:hAnsi="仿宋" w:eastAsia="黑体" w:cs="宋体"/>
          <w:szCs w:val="21"/>
        </w:rPr>
        <w:br w:type="page"/>
      </w:r>
    </w:p>
    <w:p w14:paraId="000423D8">
      <w:pPr>
        <w:pStyle w:val="5"/>
        <w:spacing w:before="0"/>
        <w:rPr>
          <w:rFonts w:hint="eastAsia" w:ascii="黑体" w:hAnsi="宋体" w:cs="宋体"/>
          <w:b w:val="0"/>
          <w:kern w:val="0"/>
          <w:sz w:val="21"/>
          <w:szCs w:val="21"/>
        </w:rPr>
      </w:pPr>
      <w:bookmarkStart w:id="138" w:name="_Toc11547"/>
      <w:bookmarkStart w:id="139" w:name="_Toc18401"/>
      <w:bookmarkStart w:id="140" w:name="_Toc15109"/>
      <w:r>
        <w:rPr>
          <w:rFonts w:hint="eastAsia" w:ascii="黑体" w:hAnsi="仿宋" w:cs="宋体"/>
          <w:b w:val="0"/>
          <w:sz w:val="21"/>
          <w:szCs w:val="21"/>
        </w:rPr>
        <w:t>附件4-</w:t>
      </w:r>
      <w:r>
        <w:rPr>
          <w:rFonts w:hint="eastAsia" w:ascii="黑体" w:hAnsi="仿宋" w:cs="宋体"/>
          <w:b w:val="0"/>
          <w:sz w:val="21"/>
          <w:szCs w:val="21"/>
          <w:lang w:val="en-US" w:eastAsia="zh-CN"/>
        </w:rPr>
        <w:t>6</w:t>
      </w:r>
      <w:r>
        <w:rPr>
          <w:rFonts w:hint="eastAsia" w:ascii="黑体" w:hAnsi="仿宋" w:cs="宋体"/>
          <w:b w:val="0"/>
          <w:sz w:val="21"/>
          <w:szCs w:val="21"/>
        </w:rPr>
        <w:t xml:space="preserve"> 联合体协议书（格式）</w:t>
      </w:r>
      <w:bookmarkEnd w:id="138"/>
      <w:bookmarkEnd w:id="139"/>
      <w:bookmarkEnd w:id="140"/>
    </w:p>
    <w:p w14:paraId="0CE93D71">
      <w:pPr>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联合体协议书（格式）</w:t>
      </w:r>
    </w:p>
    <w:p w14:paraId="4E261064">
      <w:pPr>
        <w:adjustRightInd w:val="0"/>
        <w:snapToGrid w:val="0"/>
        <w:spacing w:line="360" w:lineRule="auto"/>
        <w:jc w:val="center"/>
        <w:rPr>
          <w:rFonts w:hint="eastAsia" w:ascii="黑体" w:hAnsi="仿宋" w:eastAsia="黑体" w:cs="宋体"/>
          <w:b/>
          <w:sz w:val="28"/>
          <w:szCs w:val="28"/>
        </w:rPr>
      </w:pPr>
      <w:r>
        <w:rPr>
          <w:rFonts w:hint="eastAsia" w:ascii="宋体" w:hAnsi="宋体"/>
          <w:szCs w:val="21"/>
        </w:rPr>
        <w:t>（联合体形式投标的提供）</w:t>
      </w:r>
    </w:p>
    <w:p w14:paraId="08A51E25">
      <w:pPr>
        <w:adjustRightInd w:val="0"/>
        <w:snapToGrid w:val="0"/>
        <w:spacing w:line="360" w:lineRule="auto"/>
        <w:rPr>
          <w:rFonts w:hint="eastAsia" w:ascii="宋体" w:hAnsi="宋体"/>
          <w:szCs w:val="21"/>
        </w:rPr>
      </w:pPr>
    </w:p>
    <w:p w14:paraId="4033D258">
      <w:pPr>
        <w:adjustRightInd w:val="0"/>
        <w:snapToGrid w:val="0"/>
        <w:spacing w:line="360" w:lineRule="auto"/>
        <w:rPr>
          <w:rFonts w:hint="eastAsia" w:ascii="宋体" w:hAnsi="宋体"/>
          <w:szCs w:val="21"/>
        </w:rPr>
      </w:pPr>
      <w:r>
        <w:rPr>
          <w:rFonts w:hint="eastAsia" w:ascii="宋体" w:hAnsi="宋体"/>
          <w:szCs w:val="21"/>
        </w:rPr>
        <w:t>致（采购人、采购代理机构）：</w:t>
      </w:r>
    </w:p>
    <w:p w14:paraId="0BBC5159">
      <w:pPr>
        <w:adjustRightInd w:val="0"/>
        <w:snapToGrid w:val="0"/>
        <w:spacing w:line="360" w:lineRule="auto"/>
        <w:ind w:firstLine="420" w:firstLineChars="200"/>
        <w:rPr>
          <w:rFonts w:hint="eastAsia" w:ascii="宋体" w:hAnsi="宋体"/>
          <w:szCs w:val="21"/>
        </w:rPr>
      </w:pPr>
      <w:r>
        <w:rPr>
          <w:rFonts w:hint="eastAsia" w:ascii="宋体" w:hAnsi="宋体"/>
          <w:szCs w:val="21"/>
        </w:rPr>
        <w:t>经研究，我们决定自愿组成联合体共同参加（项目名称</w:t>
      </w:r>
      <w:r>
        <w:rPr>
          <w:rFonts w:ascii="宋体" w:hAnsi="宋体"/>
          <w:szCs w:val="21"/>
        </w:rPr>
        <w:t>）</w:t>
      </w:r>
      <w:r>
        <w:rPr>
          <w:rFonts w:hint="eastAsia" w:ascii="宋体" w:hAnsi="宋体"/>
          <w:szCs w:val="21"/>
          <w:lang w:eastAsia="zh-CN"/>
        </w:rPr>
        <w:t>（</w:t>
      </w:r>
      <w:r>
        <w:rPr>
          <w:rFonts w:hint="eastAsia" w:ascii="宋体" w:hAnsi="宋体"/>
          <w:szCs w:val="21"/>
          <w:lang w:val="en-US" w:eastAsia="zh-CN"/>
        </w:rPr>
        <w:t>包号）</w:t>
      </w:r>
      <w:r>
        <w:rPr>
          <w:rFonts w:hint="eastAsia" w:ascii="宋体" w:hAnsi="宋体"/>
          <w:szCs w:val="21"/>
        </w:rPr>
        <w:t>（政府采购计划编号： ）项目的投标。现就联合体投标事宜订立如下协议：</w:t>
      </w:r>
    </w:p>
    <w:p w14:paraId="0E0FD8B1">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一、联合体基本信息：（各方公司名称、地址、注册资金、营业执照、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14:paraId="5249EBD6">
      <w:pPr>
        <w:adjustRightInd w:val="0"/>
        <w:snapToGrid w:val="0"/>
        <w:spacing w:line="360" w:lineRule="auto"/>
        <w:ind w:firstLine="420" w:firstLineChars="200"/>
        <w:rPr>
          <w:rFonts w:hint="eastAsia" w:ascii="宋体" w:hAnsi="宋体"/>
          <w:szCs w:val="21"/>
        </w:rPr>
      </w:pPr>
      <w:r>
        <w:rPr>
          <w:rFonts w:hint="eastAsia" w:ascii="宋体" w:hAnsi="宋体"/>
          <w:szCs w:val="21"/>
        </w:rPr>
        <w:t>二、（某成员单位名称）为（联合体名称）牵头人。</w:t>
      </w:r>
    </w:p>
    <w:p w14:paraId="36B9B114">
      <w:pPr>
        <w:adjustRightInd w:val="0"/>
        <w:snapToGrid w:val="0"/>
        <w:spacing w:line="360" w:lineRule="auto"/>
        <w:ind w:firstLine="420" w:firstLineChars="200"/>
        <w:rPr>
          <w:rFonts w:hint="eastAsia"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B3B5929">
      <w:pPr>
        <w:adjustRightInd w:val="0"/>
        <w:snapToGrid w:val="0"/>
        <w:spacing w:line="360" w:lineRule="auto"/>
        <w:ind w:firstLine="420" w:firstLineChars="200"/>
        <w:rPr>
          <w:rFonts w:hint="eastAsia"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14:paraId="02538CB9">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五、联合体各成员单位内部的职责分工如下：。按照本条上述分工，联合体各成员的协议合同金额占联合体协议合同总金额比例如下：。</w:t>
      </w:r>
    </w:p>
    <w:p w14:paraId="6E43AE89">
      <w:pPr>
        <w:adjustRightInd w:val="0"/>
        <w:snapToGrid w:val="0"/>
        <w:spacing w:line="360" w:lineRule="auto"/>
        <w:ind w:firstLine="420" w:firstLineChars="200"/>
        <w:rPr>
          <w:rFonts w:hint="eastAsia" w:ascii="宋体" w:hAnsi="宋体"/>
          <w:szCs w:val="21"/>
        </w:rPr>
      </w:pPr>
      <w:r>
        <w:rPr>
          <w:rFonts w:hint="eastAsia" w:ascii="宋体" w:hAnsi="宋体"/>
          <w:szCs w:val="21"/>
        </w:rPr>
        <w:t>六、本协议书自签署之日起生效，合同履行完毕后自动失效。</w:t>
      </w:r>
    </w:p>
    <w:p w14:paraId="0A5404AB">
      <w:pPr>
        <w:adjustRightInd w:val="0"/>
        <w:snapToGrid w:val="0"/>
        <w:spacing w:line="360" w:lineRule="auto"/>
        <w:ind w:firstLine="420" w:firstLineChars="200"/>
        <w:rPr>
          <w:rFonts w:hint="eastAsia" w:ascii="宋体" w:hAnsi="宋体"/>
          <w:szCs w:val="21"/>
        </w:rPr>
      </w:pPr>
      <w:r>
        <w:rPr>
          <w:rFonts w:hint="eastAsia" w:ascii="宋体" w:hAnsi="宋体"/>
          <w:szCs w:val="21"/>
        </w:rPr>
        <w:t>七、本协议书一式份，联合体成员和采购人各执一份。</w:t>
      </w:r>
    </w:p>
    <w:p w14:paraId="16D3A734">
      <w:pPr>
        <w:adjustRightInd w:val="0"/>
        <w:snapToGrid w:val="0"/>
        <w:spacing w:line="360" w:lineRule="auto"/>
        <w:rPr>
          <w:rFonts w:hint="eastAsia" w:ascii="宋体" w:hAnsi="宋体"/>
          <w:szCs w:val="21"/>
        </w:rPr>
      </w:pPr>
    </w:p>
    <w:p w14:paraId="2EF134BD">
      <w:pPr>
        <w:adjustRightInd w:val="0"/>
        <w:snapToGrid w:val="0"/>
        <w:spacing w:line="360" w:lineRule="auto"/>
        <w:rPr>
          <w:rFonts w:hint="eastAsia" w:ascii="宋体" w:hAnsi="宋体"/>
          <w:szCs w:val="21"/>
        </w:rPr>
      </w:pPr>
      <w:r>
        <w:rPr>
          <w:rFonts w:hint="eastAsia" w:ascii="宋体" w:hAnsi="宋体"/>
          <w:szCs w:val="21"/>
        </w:rPr>
        <w:t>牵头人名称（盖单位章）：</w:t>
      </w:r>
    </w:p>
    <w:p w14:paraId="22A6D98D">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14:paraId="39E13788">
      <w:pPr>
        <w:adjustRightInd w:val="0"/>
        <w:snapToGrid w:val="0"/>
        <w:spacing w:line="360" w:lineRule="auto"/>
        <w:rPr>
          <w:rFonts w:hint="eastAsia" w:ascii="宋体" w:hAnsi="宋体"/>
          <w:szCs w:val="21"/>
        </w:rPr>
      </w:pPr>
    </w:p>
    <w:p w14:paraId="716D2EB3">
      <w:pPr>
        <w:adjustRightInd w:val="0"/>
        <w:snapToGrid w:val="0"/>
        <w:spacing w:line="360" w:lineRule="auto"/>
        <w:rPr>
          <w:rFonts w:hint="eastAsia" w:ascii="宋体" w:hAnsi="宋体"/>
          <w:szCs w:val="21"/>
        </w:rPr>
      </w:pPr>
      <w:r>
        <w:rPr>
          <w:rFonts w:hint="eastAsia" w:ascii="宋体" w:hAnsi="宋体"/>
          <w:szCs w:val="21"/>
        </w:rPr>
        <w:t>成员1名称（盖单位章）：</w:t>
      </w:r>
    </w:p>
    <w:p w14:paraId="5D3A3FE2">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14:paraId="658EDDA9">
      <w:pPr>
        <w:adjustRightInd w:val="0"/>
        <w:snapToGrid w:val="0"/>
        <w:spacing w:line="360" w:lineRule="auto"/>
        <w:rPr>
          <w:rFonts w:hint="eastAsia" w:ascii="宋体" w:hAnsi="宋体"/>
          <w:szCs w:val="21"/>
        </w:rPr>
      </w:pPr>
      <w:r>
        <w:rPr>
          <w:rFonts w:hint="eastAsia" w:ascii="宋体" w:hAnsi="宋体"/>
          <w:szCs w:val="21"/>
        </w:rPr>
        <w:t>成员2名称（盖单位章）：</w:t>
      </w:r>
    </w:p>
    <w:p w14:paraId="3B854BDA">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14:paraId="662914C7">
      <w:pPr>
        <w:adjustRightInd w:val="0"/>
        <w:snapToGrid w:val="0"/>
        <w:spacing w:line="360" w:lineRule="auto"/>
        <w:rPr>
          <w:rFonts w:hint="eastAsia" w:ascii="宋体" w:hAnsi="宋体"/>
          <w:szCs w:val="21"/>
        </w:rPr>
      </w:pPr>
      <w:r>
        <w:rPr>
          <w:rFonts w:ascii="宋体" w:hAnsi="宋体"/>
          <w:szCs w:val="21"/>
        </w:rPr>
        <w:t>…</w:t>
      </w:r>
    </w:p>
    <w:p w14:paraId="0A6E3556">
      <w:pPr>
        <w:adjustRightInd w:val="0"/>
        <w:snapToGrid w:val="0"/>
        <w:spacing w:line="360" w:lineRule="auto"/>
        <w:rPr>
          <w:rFonts w:hint="eastAsia" w:ascii="宋体" w:hAnsi="宋体"/>
          <w:szCs w:val="21"/>
        </w:rPr>
      </w:pPr>
      <w:r>
        <w:rPr>
          <w:rFonts w:hint="eastAsia" w:ascii="宋体" w:hAnsi="宋体"/>
          <w:szCs w:val="21"/>
        </w:rPr>
        <w:t xml:space="preserve">日期：年月日  </w:t>
      </w:r>
    </w:p>
    <w:p w14:paraId="39AFB9A2">
      <w:pPr>
        <w:widowControl/>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注：1.</w:t>
      </w:r>
      <w:r>
        <w:rPr>
          <w:rFonts w:hint="eastAsia" w:ascii="宋体" w:hAnsi="宋体"/>
          <w:szCs w:val="21"/>
        </w:rPr>
        <w:t>本协议书由委托代理人签字的，应附授权委托书。</w:t>
      </w:r>
    </w:p>
    <w:p w14:paraId="0594347B">
      <w:pPr>
        <w:widowControl/>
        <w:adjustRightInd w:val="0"/>
        <w:snapToGrid w:val="0"/>
        <w:spacing w:line="360" w:lineRule="auto"/>
        <w:ind w:firstLine="420" w:firstLineChars="200"/>
        <w:jc w:val="left"/>
        <w:rPr>
          <w:rFonts w:hint="eastAsia" w:ascii="宋体" w:hAnsi="宋体"/>
          <w:szCs w:val="21"/>
        </w:rPr>
      </w:pPr>
      <w:r>
        <w:rPr>
          <w:rFonts w:hint="eastAsia" w:ascii="宋体" w:hAnsi="宋体"/>
          <w:szCs w:val="21"/>
        </w:rPr>
        <w:t>2.投标人在提交投标文件的截止时间前修改“开标一览表”中的投标报价，影响本协议书第五条的，应同时修改本协议书第五条。否则，评审时价格评审优惠不予以考虑。</w:t>
      </w:r>
    </w:p>
    <w:p w14:paraId="5C0FDA67">
      <w:pPr>
        <w:pStyle w:val="64"/>
        <w:ind w:firstLine="0" w:firstLineChars="0"/>
        <w:rPr>
          <w:sz w:val="10"/>
          <w:szCs w:val="10"/>
        </w:rPr>
      </w:pPr>
    </w:p>
    <w:p w14:paraId="20CB6FC8">
      <w:pPr>
        <w:pStyle w:val="5"/>
        <w:spacing w:before="156"/>
        <w:rPr>
          <w:rFonts w:hint="eastAsia" w:ascii="黑体" w:hAnsi="仿宋" w:cs="宋体"/>
          <w:b w:val="0"/>
          <w:sz w:val="21"/>
          <w:szCs w:val="21"/>
        </w:rPr>
      </w:pPr>
      <w:bookmarkStart w:id="141" w:name="_Toc17757"/>
      <w:bookmarkStart w:id="142" w:name="_Toc10587"/>
      <w:r>
        <w:rPr>
          <w:rFonts w:hint="eastAsia" w:ascii="黑体" w:hAnsi="仿宋" w:cs="宋体"/>
          <w:b w:val="0"/>
          <w:sz w:val="21"/>
          <w:szCs w:val="21"/>
        </w:rPr>
        <w:t>附件4-</w:t>
      </w:r>
      <w:r>
        <w:rPr>
          <w:rFonts w:hint="eastAsia" w:ascii="黑体" w:hAnsi="仿宋" w:cs="宋体"/>
          <w:b w:val="0"/>
          <w:sz w:val="21"/>
          <w:szCs w:val="21"/>
          <w:lang w:val="en-US" w:eastAsia="zh-CN"/>
        </w:rPr>
        <w:t>7</w:t>
      </w:r>
      <w:r>
        <w:rPr>
          <w:rFonts w:hint="eastAsia" w:ascii="黑体" w:hAnsi="仿宋" w:cs="宋体"/>
          <w:b w:val="0"/>
          <w:sz w:val="21"/>
          <w:szCs w:val="21"/>
        </w:rPr>
        <w:t>不良信用记录查询</w:t>
      </w:r>
      <w:bookmarkEnd w:id="141"/>
      <w:bookmarkEnd w:id="142"/>
    </w:p>
    <w:p w14:paraId="2D8E6B7E">
      <w:pPr>
        <w:pStyle w:val="64"/>
        <w:ind w:firstLine="0" w:firstLineChars="0"/>
      </w:pPr>
    </w:p>
    <w:p w14:paraId="3ACB6C21">
      <w:pPr>
        <w:pStyle w:val="64"/>
      </w:pPr>
    </w:p>
    <w:p w14:paraId="7BC8E64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（1）信用信息查询的查询渠道：供应商须提供信用中国网（www.creditchina.gov.cn）和中国政府采购网（www.ccgp.gov.cn）</w:t>
      </w:r>
      <w:r>
        <w:rPr>
          <w:rFonts w:hint="eastAsia" w:ascii="宋体" w:hAnsi="宋体"/>
          <w:bCs/>
          <w:iCs/>
        </w:rPr>
        <w:t>的查询中无重大失信等被禁止投标记录，提供查询结果截图打印件加盖公章</w:t>
      </w:r>
      <w:r>
        <w:rPr>
          <w:rFonts w:hint="eastAsia" w:ascii="宋体" w:hAnsi="宋体"/>
          <w:szCs w:val="21"/>
        </w:rPr>
        <w:t>；</w:t>
      </w:r>
    </w:p>
    <w:p w14:paraId="04BF595C">
      <w:pPr>
        <w:pStyle w:val="45"/>
        <w:ind w:left="0" w:leftChars="0"/>
      </w:pPr>
      <w:r>
        <w:rPr>
          <w:rFonts w:hint="eastAsia" w:ascii="宋体" w:hAnsi="宋体"/>
          <w:szCs w:val="21"/>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42B2AE1B">
      <w:pPr>
        <w:adjustRightInd w:val="0"/>
        <w:snapToGrid w:val="0"/>
        <w:spacing w:line="360" w:lineRule="auto"/>
        <w:jc w:val="center"/>
        <w:rPr>
          <w:rFonts w:ascii="黑体" w:eastAsia="黑体"/>
          <w:color w:val="000000"/>
          <w:sz w:val="32"/>
          <w:szCs w:val="32"/>
        </w:rPr>
      </w:pPr>
    </w:p>
    <w:p w14:paraId="791AAA62">
      <w:pPr>
        <w:pStyle w:val="45"/>
        <w:ind w:firstLine="640"/>
        <w:rPr>
          <w:rFonts w:ascii="黑体" w:eastAsia="黑体"/>
          <w:color w:val="000000"/>
          <w:sz w:val="32"/>
          <w:szCs w:val="32"/>
        </w:rPr>
      </w:pPr>
    </w:p>
    <w:p w14:paraId="182DD70A">
      <w:pPr>
        <w:pStyle w:val="12"/>
        <w:rPr>
          <w:rFonts w:ascii="黑体" w:eastAsia="黑体"/>
          <w:color w:val="000000"/>
          <w:sz w:val="32"/>
          <w:szCs w:val="32"/>
        </w:rPr>
      </w:pPr>
    </w:p>
    <w:p w14:paraId="5CA0CDD7">
      <w:pPr>
        <w:pStyle w:val="13"/>
        <w:rPr>
          <w:color w:val="000000"/>
          <w:sz w:val="32"/>
          <w:szCs w:val="32"/>
        </w:rPr>
      </w:pPr>
    </w:p>
    <w:p w14:paraId="5F5183AD">
      <w:pPr>
        <w:pStyle w:val="13"/>
        <w:rPr>
          <w:color w:val="000000"/>
          <w:sz w:val="32"/>
          <w:szCs w:val="32"/>
        </w:rPr>
      </w:pPr>
    </w:p>
    <w:p w14:paraId="483C0631">
      <w:pPr>
        <w:pStyle w:val="13"/>
        <w:rPr>
          <w:color w:val="000000"/>
          <w:sz w:val="32"/>
          <w:szCs w:val="32"/>
        </w:rPr>
      </w:pPr>
    </w:p>
    <w:p w14:paraId="62BC10B0">
      <w:pPr>
        <w:pStyle w:val="13"/>
        <w:rPr>
          <w:color w:val="000000"/>
          <w:sz w:val="32"/>
          <w:szCs w:val="32"/>
        </w:rPr>
      </w:pPr>
    </w:p>
    <w:p w14:paraId="424555BD">
      <w:pPr>
        <w:pStyle w:val="13"/>
        <w:rPr>
          <w:color w:val="000000"/>
          <w:sz w:val="32"/>
          <w:szCs w:val="32"/>
        </w:rPr>
      </w:pPr>
    </w:p>
    <w:p w14:paraId="14F77BCD">
      <w:pPr>
        <w:pStyle w:val="13"/>
        <w:rPr>
          <w:color w:val="000000"/>
          <w:sz w:val="32"/>
          <w:szCs w:val="32"/>
        </w:rPr>
      </w:pPr>
    </w:p>
    <w:p w14:paraId="6F713B73">
      <w:pPr>
        <w:pStyle w:val="13"/>
        <w:rPr>
          <w:color w:val="000000"/>
          <w:sz w:val="32"/>
          <w:szCs w:val="32"/>
        </w:rPr>
      </w:pPr>
    </w:p>
    <w:p w14:paraId="2D2B8F0C">
      <w:pPr>
        <w:pStyle w:val="13"/>
        <w:rPr>
          <w:color w:val="000000"/>
          <w:sz w:val="32"/>
          <w:szCs w:val="32"/>
        </w:rPr>
      </w:pPr>
    </w:p>
    <w:p w14:paraId="13073481">
      <w:pPr>
        <w:pStyle w:val="13"/>
        <w:rPr>
          <w:color w:val="000000"/>
          <w:sz w:val="32"/>
          <w:szCs w:val="32"/>
        </w:rPr>
      </w:pPr>
    </w:p>
    <w:p w14:paraId="5BACB20E">
      <w:pPr>
        <w:pStyle w:val="13"/>
        <w:rPr>
          <w:color w:val="000000"/>
          <w:sz w:val="32"/>
          <w:szCs w:val="32"/>
        </w:rPr>
      </w:pPr>
    </w:p>
    <w:p w14:paraId="7E9C0419">
      <w:pPr>
        <w:pStyle w:val="13"/>
        <w:rPr>
          <w:color w:val="000000"/>
          <w:sz w:val="32"/>
          <w:szCs w:val="32"/>
        </w:rPr>
      </w:pPr>
    </w:p>
    <w:p w14:paraId="2084C607">
      <w:pPr>
        <w:pStyle w:val="13"/>
        <w:rPr>
          <w:color w:val="000000"/>
          <w:sz w:val="32"/>
          <w:szCs w:val="32"/>
        </w:rPr>
      </w:pPr>
    </w:p>
    <w:p w14:paraId="11C6342E">
      <w:pPr>
        <w:pStyle w:val="13"/>
        <w:rPr>
          <w:color w:val="000000"/>
          <w:sz w:val="32"/>
          <w:szCs w:val="32"/>
        </w:rPr>
      </w:pPr>
    </w:p>
    <w:p w14:paraId="0F492FB3">
      <w:pPr>
        <w:pStyle w:val="25"/>
        <w:adjustRightInd w:val="0"/>
        <w:snapToGrid w:val="0"/>
        <w:spacing w:line="360" w:lineRule="auto"/>
        <w:jc w:val="center"/>
        <w:rPr>
          <w:rFonts w:hint="eastAsia" w:ascii="华文中宋" w:hAnsi="华文中宋" w:eastAsia="华文中宋"/>
          <w:bCs/>
          <w:color w:val="000000"/>
          <w:sz w:val="72"/>
          <w:szCs w:val="72"/>
        </w:rPr>
      </w:pPr>
      <w:r>
        <w:rPr>
          <w:rFonts w:hint="eastAsia" w:ascii="华文中宋" w:hAnsi="华文中宋" w:eastAsia="华文中宋"/>
          <w:bCs/>
          <w:color w:val="000000"/>
          <w:sz w:val="72"/>
          <w:szCs w:val="72"/>
        </w:rPr>
        <w:t>政府采购</w:t>
      </w:r>
    </w:p>
    <w:p w14:paraId="3DC47A1E">
      <w:pPr>
        <w:adjustRightInd w:val="0"/>
        <w:snapToGrid w:val="0"/>
        <w:spacing w:line="360" w:lineRule="auto"/>
        <w:jc w:val="center"/>
        <w:rPr>
          <w:rFonts w:hint="eastAsia" w:ascii="宋体" w:hAnsi="宋体"/>
          <w:b/>
          <w:bCs/>
          <w:color w:val="000000"/>
          <w:sz w:val="84"/>
          <w:szCs w:val="84"/>
        </w:rPr>
      </w:pPr>
      <w:r>
        <w:rPr>
          <w:rFonts w:hint="eastAsia" w:ascii="宋体" w:hAnsi="宋体"/>
          <w:b/>
          <w:bCs/>
          <w:color w:val="000000"/>
          <w:sz w:val="84"/>
          <w:szCs w:val="84"/>
        </w:rPr>
        <w:t>投 标 文 件</w:t>
      </w:r>
    </w:p>
    <w:p w14:paraId="175E7EB4">
      <w:pPr>
        <w:pStyle w:val="3"/>
        <w:adjustRightInd w:val="0"/>
        <w:snapToGrid w:val="0"/>
        <w:jc w:val="center"/>
        <w:rPr>
          <w:rFonts w:hint="eastAsia" w:ascii="黑体" w:hAnsi="黑体" w:eastAsia="黑体"/>
          <w:color w:val="000000"/>
          <w:sz w:val="44"/>
          <w:szCs w:val="44"/>
        </w:rPr>
      </w:pPr>
      <w:bookmarkStart w:id="143" w:name="_Toc13058"/>
      <w:r>
        <w:rPr>
          <w:rFonts w:hint="eastAsia" w:ascii="黑体" w:hAnsi="黑体" w:eastAsia="黑体"/>
          <w:color w:val="000000"/>
          <w:sz w:val="44"/>
          <w:szCs w:val="44"/>
        </w:rPr>
        <w:t>第二部分 商务技术文件</w:t>
      </w:r>
      <w:bookmarkEnd w:id="143"/>
    </w:p>
    <w:p w14:paraId="78829844">
      <w:pPr>
        <w:adjustRightInd w:val="0"/>
        <w:snapToGrid w:val="0"/>
        <w:spacing w:line="360" w:lineRule="auto"/>
        <w:rPr>
          <w:rFonts w:hint="eastAsia" w:ascii="宋体" w:hAnsi="宋体"/>
          <w:color w:val="000000"/>
          <w:sz w:val="32"/>
          <w:szCs w:val="32"/>
        </w:rPr>
      </w:pPr>
    </w:p>
    <w:p w14:paraId="47DC96FA">
      <w:pPr>
        <w:pStyle w:val="25"/>
        <w:adjustRightInd w:val="0"/>
        <w:snapToGrid w:val="0"/>
        <w:spacing w:line="360" w:lineRule="auto"/>
        <w:ind w:firstLine="1988" w:firstLineChars="660"/>
        <w:rPr>
          <w:rFonts w:hint="eastAsia" w:hAnsi="宋体"/>
          <w:b/>
          <w:bCs/>
          <w:color w:val="000000"/>
          <w:sz w:val="30"/>
          <w:szCs w:val="30"/>
        </w:rPr>
      </w:pPr>
    </w:p>
    <w:p w14:paraId="370BC21C">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rPr>
        <w:t>采购项目名称:</w:t>
      </w:r>
    </w:p>
    <w:p w14:paraId="02710EFB">
      <w:pPr>
        <w:pStyle w:val="25"/>
        <w:adjustRightInd w:val="0"/>
        <w:snapToGrid w:val="0"/>
        <w:spacing w:line="360" w:lineRule="auto"/>
        <w:ind w:firstLine="1988" w:firstLineChars="660"/>
        <w:rPr>
          <w:rFonts w:hint="eastAsia" w:hAnsi="宋体"/>
          <w:b/>
          <w:bCs/>
          <w:color w:val="000000"/>
          <w:sz w:val="30"/>
          <w:szCs w:val="30"/>
        </w:rPr>
      </w:pPr>
      <w:r>
        <w:rPr>
          <w:rFonts w:hint="eastAsia" w:hAnsi="宋体"/>
          <w:b/>
          <w:bCs/>
          <w:color w:val="000000"/>
          <w:sz w:val="30"/>
          <w:szCs w:val="30"/>
        </w:rPr>
        <w:t>采   购   人：</w:t>
      </w:r>
    </w:p>
    <w:p w14:paraId="47E0844D">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lang w:eastAsia="zh-CN"/>
        </w:rPr>
        <w:t>政府采购计划编号</w:t>
      </w:r>
      <w:r>
        <w:rPr>
          <w:rFonts w:hint="eastAsia" w:hAnsi="宋体"/>
          <w:b/>
          <w:bCs/>
          <w:color w:val="000000"/>
          <w:sz w:val="30"/>
          <w:szCs w:val="30"/>
        </w:rPr>
        <w:t>:</w:t>
      </w:r>
    </w:p>
    <w:p w14:paraId="30EAB641">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lang w:eastAsia="zh-CN"/>
        </w:rPr>
        <w:t>委托代理编号</w:t>
      </w:r>
      <w:r>
        <w:rPr>
          <w:rFonts w:hint="eastAsia" w:hAnsi="宋体"/>
          <w:b/>
          <w:bCs/>
          <w:color w:val="000000"/>
          <w:sz w:val="30"/>
          <w:szCs w:val="30"/>
        </w:rPr>
        <w:t>:</w:t>
      </w:r>
    </w:p>
    <w:p w14:paraId="13F607D9">
      <w:pPr>
        <w:pStyle w:val="25"/>
        <w:adjustRightInd w:val="0"/>
        <w:snapToGrid w:val="0"/>
        <w:spacing w:line="360" w:lineRule="auto"/>
        <w:ind w:firstLine="1988" w:firstLineChars="660"/>
        <w:rPr>
          <w:rFonts w:hint="eastAsia" w:hAnsi="宋体"/>
          <w:b/>
          <w:bCs/>
          <w:color w:val="000000"/>
          <w:sz w:val="30"/>
          <w:szCs w:val="30"/>
          <w:u w:val="single"/>
        </w:rPr>
      </w:pPr>
      <w:r>
        <w:rPr>
          <w:rFonts w:hint="eastAsia" w:hAnsi="宋体"/>
          <w:b/>
          <w:bCs/>
          <w:color w:val="000000"/>
          <w:sz w:val="30"/>
          <w:szCs w:val="30"/>
        </w:rPr>
        <w:t>采购代理机构：</w:t>
      </w:r>
    </w:p>
    <w:p w14:paraId="673E3C97">
      <w:pPr>
        <w:adjustRightInd w:val="0"/>
        <w:snapToGrid w:val="0"/>
        <w:spacing w:line="360" w:lineRule="auto"/>
        <w:rPr>
          <w:rFonts w:hint="eastAsia" w:ascii="宋体" w:hAnsi="宋体"/>
          <w:color w:val="000000"/>
          <w:sz w:val="30"/>
          <w:szCs w:val="30"/>
        </w:rPr>
      </w:pPr>
    </w:p>
    <w:p w14:paraId="6258A20C">
      <w:pPr>
        <w:adjustRightInd w:val="0"/>
        <w:snapToGrid w:val="0"/>
        <w:spacing w:line="360" w:lineRule="auto"/>
        <w:rPr>
          <w:rFonts w:hint="eastAsia" w:ascii="宋体" w:hAnsi="宋体"/>
          <w:color w:val="000000"/>
          <w:sz w:val="30"/>
          <w:szCs w:val="30"/>
        </w:rPr>
      </w:pPr>
    </w:p>
    <w:p w14:paraId="43D951E1">
      <w:pPr>
        <w:adjustRightInd w:val="0"/>
        <w:snapToGrid w:val="0"/>
        <w:spacing w:line="360" w:lineRule="auto"/>
        <w:rPr>
          <w:rFonts w:hint="eastAsia" w:ascii="宋体" w:hAnsi="宋体"/>
          <w:color w:val="000000"/>
          <w:sz w:val="30"/>
          <w:szCs w:val="30"/>
        </w:rPr>
      </w:pPr>
    </w:p>
    <w:p w14:paraId="0800D2D7">
      <w:pPr>
        <w:adjustRightInd w:val="0"/>
        <w:snapToGrid w:val="0"/>
        <w:spacing w:line="360" w:lineRule="auto"/>
        <w:rPr>
          <w:rFonts w:hint="eastAsia" w:ascii="宋体" w:hAnsi="宋体"/>
          <w:color w:val="000000"/>
          <w:sz w:val="30"/>
          <w:szCs w:val="30"/>
        </w:rPr>
      </w:pPr>
    </w:p>
    <w:p w14:paraId="699A8795">
      <w:pPr>
        <w:adjustRightInd w:val="0"/>
        <w:snapToGrid w:val="0"/>
        <w:spacing w:line="360" w:lineRule="auto"/>
        <w:ind w:left="1273" w:leftChars="606" w:firstLine="2"/>
        <w:rPr>
          <w:rFonts w:hint="eastAsia" w:ascii="宋体" w:hAnsi="宋体"/>
          <w:color w:val="000000"/>
          <w:sz w:val="32"/>
          <w:szCs w:val="32"/>
          <w:u w:val="single"/>
        </w:rPr>
      </w:pPr>
      <w:r>
        <w:rPr>
          <w:rFonts w:hint="eastAsia" w:ascii="宋体" w:hAnsi="宋体"/>
          <w:color w:val="000000"/>
          <w:sz w:val="32"/>
          <w:szCs w:val="32"/>
        </w:rPr>
        <w:t>投标人</w:t>
      </w:r>
    </w:p>
    <w:p w14:paraId="72476925">
      <w:pPr>
        <w:adjustRightInd w:val="0"/>
        <w:snapToGrid w:val="0"/>
        <w:spacing w:line="360" w:lineRule="auto"/>
        <w:jc w:val="center"/>
        <w:rPr>
          <w:rFonts w:hint="eastAsia" w:ascii="宋体" w:hAnsi="宋体"/>
          <w:color w:val="000000"/>
          <w:sz w:val="32"/>
          <w:szCs w:val="32"/>
        </w:rPr>
      </w:pPr>
      <w:r>
        <w:rPr>
          <w:rFonts w:hint="eastAsia" w:ascii="宋体" w:hAnsi="宋体"/>
          <w:color w:val="000000"/>
          <w:sz w:val="32"/>
          <w:szCs w:val="32"/>
        </w:rPr>
        <w:t>年  月  日</w:t>
      </w:r>
    </w:p>
    <w:p w14:paraId="43E49856">
      <w:pPr>
        <w:pStyle w:val="5"/>
        <w:adjustRightInd w:val="0"/>
        <w:spacing w:before="156" w:beforeLines="50" w:after="0" w:line="360" w:lineRule="auto"/>
        <w:jc w:val="left"/>
        <w:rPr>
          <w:rFonts w:hint="eastAsia" w:ascii="黑体" w:hAnsi="黑体"/>
          <w:b w:val="0"/>
          <w:color w:val="000000"/>
          <w:sz w:val="21"/>
          <w:szCs w:val="21"/>
        </w:rPr>
      </w:pPr>
      <w:r>
        <w:rPr>
          <w:rFonts w:ascii="宋体" w:hAnsi="宋体"/>
          <w:color w:val="000000"/>
          <w:u w:val="single"/>
        </w:rPr>
        <w:br w:type="page"/>
      </w:r>
      <w:bookmarkStart w:id="144" w:name="_Toc30347"/>
      <w:bookmarkStart w:id="145" w:name="_Toc249"/>
      <w:r>
        <w:rPr>
          <w:rFonts w:hint="eastAsia" w:ascii="黑体" w:hAnsi="黑体"/>
          <w:b w:val="0"/>
          <w:color w:val="000000"/>
          <w:sz w:val="21"/>
          <w:szCs w:val="21"/>
        </w:rPr>
        <w:t>索引表2 符合性审查索引表</w:t>
      </w:r>
      <w:bookmarkEnd w:id="144"/>
      <w:bookmarkEnd w:id="145"/>
    </w:p>
    <w:p w14:paraId="3C9368F1">
      <w:pPr>
        <w:adjustRightInd w:val="0"/>
        <w:spacing w:before="156" w:beforeLines="50" w:line="360" w:lineRule="auto"/>
        <w:jc w:val="center"/>
        <w:rPr>
          <w:rFonts w:hint="eastAsia" w:ascii="黑体" w:hAnsi="黑体" w:eastAsia="黑体"/>
          <w:b/>
          <w:color w:val="000000"/>
          <w:sz w:val="28"/>
          <w:szCs w:val="28"/>
        </w:rPr>
      </w:pPr>
      <w:r>
        <w:rPr>
          <w:rFonts w:hint="eastAsia" w:ascii="黑体" w:hAnsi="黑体" w:eastAsia="黑体"/>
          <w:b/>
          <w:color w:val="000000"/>
          <w:sz w:val="28"/>
          <w:szCs w:val="28"/>
        </w:rPr>
        <w:t>符合性审查索引表</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0E63D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vAlign w:val="center"/>
          </w:tcPr>
          <w:p w14:paraId="79A6BF43">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序号</w:t>
            </w:r>
          </w:p>
        </w:tc>
        <w:tc>
          <w:tcPr>
            <w:tcW w:w="1871" w:type="dxa"/>
            <w:tcBorders>
              <w:right w:val="single" w:color="auto" w:sz="4" w:space="0"/>
            </w:tcBorders>
            <w:vAlign w:val="center"/>
          </w:tcPr>
          <w:p w14:paraId="16BCDDC2">
            <w:pPr>
              <w:adjustRightInd w:val="0"/>
              <w:snapToGrid w:val="0"/>
              <w:spacing w:before="156" w:beforeLines="50" w:line="360" w:lineRule="auto"/>
              <w:jc w:val="center"/>
              <w:rPr>
                <w:rFonts w:hint="eastAsia" w:ascii="宋体" w:hAnsi="宋体"/>
                <w:b/>
                <w:color w:val="000000"/>
                <w:kern w:val="0"/>
                <w:sz w:val="20"/>
                <w:szCs w:val="21"/>
              </w:rPr>
            </w:pPr>
            <w:r>
              <w:rPr>
                <w:rFonts w:hint="eastAsia" w:ascii="宋体" w:hAnsi="宋体"/>
                <w:b/>
                <w:color w:val="000000"/>
                <w:kern w:val="0"/>
                <w:sz w:val="20"/>
                <w:szCs w:val="21"/>
              </w:rPr>
              <w:t>招标文件条款号</w:t>
            </w:r>
          </w:p>
        </w:tc>
        <w:tc>
          <w:tcPr>
            <w:tcW w:w="2410" w:type="dxa"/>
            <w:tcBorders>
              <w:left w:val="single" w:color="auto" w:sz="4" w:space="0"/>
            </w:tcBorders>
            <w:vAlign w:val="center"/>
          </w:tcPr>
          <w:p w14:paraId="741FBC2D">
            <w:pPr>
              <w:adjustRightInd w:val="0"/>
              <w:snapToGrid w:val="0"/>
              <w:spacing w:before="156" w:beforeLines="50" w:line="360" w:lineRule="auto"/>
              <w:jc w:val="center"/>
              <w:rPr>
                <w:rFonts w:hint="eastAsia" w:ascii="宋体" w:hAnsi="宋体"/>
                <w:b/>
                <w:color w:val="000000"/>
                <w:kern w:val="0"/>
                <w:sz w:val="20"/>
                <w:szCs w:val="21"/>
              </w:rPr>
            </w:pPr>
            <w:r>
              <w:rPr>
                <w:rFonts w:hint="eastAsia" w:ascii="宋体" w:hAnsi="宋体"/>
                <w:b/>
                <w:color w:val="000000"/>
                <w:kern w:val="0"/>
                <w:szCs w:val="21"/>
              </w:rPr>
              <w:t>审查内容及标准</w:t>
            </w:r>
          </w:p>
        </w:tc>
        <w:tc>
          <w:tcPr>
            <w:tcW w:w="2268" w:type="dxa"/>
            <w:vAlign w:val="center"/>
          </w:tcPr>
          <w:p w14:paraId="55CDCD85">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投标响应及证明材料</w:t>
            </w:r>
          </w:p>
        </w:tc>
        <w:tc>
          <w:tcPr>
            <w:tcW w:w="1722" w:type="dxa"/>
            <w:vAlign w:val="center"/>
          </w:tcPr>
          <w:p w14:paraId="1993C04C">
            <w:pPr>
              <w:adjustRightInd w:val="0"/>
              <w:snapToGrid w:val="0"/>
              <w:spacing w:before="156" w:beforeLines="50" w:line="360" w:lineRule="auto"/>
              <w:jc w:val="center"/>
              <w:rPr>
                <w:rFonts w:hint="eastAsia" w:ascii="宋体" w:hAnsi="宋体"/>
                <w:b/>
                <w:color w:val="000000"/>
                <w:kern w:val="0"/>
                <w:sz w:val="20"/>
                <w:szCs w:val="21"/>
              </w:rPr>
            </w:pPr>
            <w:r>
              <w:rPr>
                <w:rFonts w:hint="eastAsia" w:ascii="宋体" w:hAnsi="宋体"/>
                <w:b/>
                <w:color w:val="000000"/>
                <w:kern w:val="0"/>
                <w:szCs w:val="21"/>
              </w:rPr>
              <w:t>投标文件对应内容的册及页码</w:t>
            </w:r>
          </w:p>
        </w:tc>
      </w:tr>
      <w:tr w14:paraId="59F51A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4B7F02A">
            <w:pPr>
              <w:adjustRightInd w:val="0"/>
              <w:snapToGrid w:val="0"/>
              <w:spacing w:before="156" w:beforeLines="50" w:line="360" w:lineRule="auto"/>
              <w:jc w:val="center"/>
              <w:rPr>
                <w:rFonts w:hint="eastAsia" w:ascii="宋体" w:hAnsi="宋体"/>
                <w:color w:val="000000"/>
                <w:kern w:val="0"/>
                <w:szCs w:val="21"/>
              </w:rPr>
            </w:pPr>
          </w:p>
        </w:tc>
        <w:tc>
          <w:tcPr>
            <w:tcW w:w="1871" w:type="dxa"/>
            <w:tcBorders>
              <w:right w:val="single" w:color="auto" w:sz="4" w:space="0"/>
            </w:tcBorders>
          </w:tcPr>
          <w:p w14:paraId="0F411FAF">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489CCFD4">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72A406D5">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77966107">
            <w:pPr>
              <w:adjustRightInd w:val="0"/>
              <w:snapToGrid w:val="0"/>
              <w:spacing w:before="156" w:beforeLines="50" w:line="360" w:lineRule="auto"/>
              <w:jc w:val="center"/>
              <w:rPr>
                <w:rFonts w:hint="eastAsia" w:ascii="宋体" w:hAnsi="宋体"/>
                <w:color w:val="000000"/>
                <w:kern w:val="0"/>
                <w:sz w:val="20"/>
                <w:szCs w:val="21"/>
              </w:rPr>
            </w:pPr>
          </w:p>
        </w:tc>
      </w:tr>
      <w:tr w14:paraId="0D949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7AD86928">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7FBE2457">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0E36608B">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12B9371B">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76CCB342">
            <w:pPr>
              <w:adjustRightInd w:val="0"/>
              <w:snapToGrid w:val="0"/>
              <w:spacing w:before="156" w:beforeLines="50" w:line="360" w:lineRule="auto"/>
              <w:jc w:val="center"/>
              <w:rPr>
                <w:rFonts w:hint="eastAsia" w:ascii="宋体" w:hAnsi="宋体"/>
                <w:color w:val="000000"/>
                <w:kern w:val="0"/>
                <w:sz w:val="20"/>
                <w:szCs w:val="21"/>
              </w:rPr>
            </w:pPr>
          </w:p>
        </w:tc>
      </w:tr>
      <w:tr w14:paraId="59284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0F075B40">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49D5F24C">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3746112A">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1A94293D">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495E9E78">
            <w:pPr>
              <w:adjustRightInd w:val="0"/>
              <w:snapToGrid w:val="0"/>
              <w:spacing w:before="156" w:beforeLines="50" w:line="360" w:lineRule="auto"/>
              <w:jc w:val="center"/>
              <w:rPr>
                <w:rFonts w:hint="eastAsia" w:ascii="宋体" w:hAnsi="宋体"/>
                <w:color w:val="000000"/>
                <w:kern w:val="0"/>
                <w:sz w:val="20"/>
                <w:szCs w:val="21"/>
              </w:rPr>
            </w:pPr>
          </w:p>
        </w:tc>
      </w:tr>
      <w:tr w14:paraId="2DB28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76DAF9A3">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64C0D354">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02DFD39C">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52A43B30">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32A4C4BF">
            <w:pPr>
              <w:adjustRightInd w:val="0"/>
              <w:snapToGrid w:val="0"/>
              <w:spacing w:before="156" w:beforeLines="50" w:line="360" w:lineRule="auto"/>
              <w:jc w:val="center"/>
              <w:rPr>
                <w:rFonts w:hint="eastAsia" w:ascii="宋体" w:hAnsi="宋体"/>
                <w:color w:val="000000"/>
                <w:kern w:val="0"/>
                <w:sz w:val="20"/>
                <w:szCs w:val="21"/>
              </w:rPr>
            </w:pPr>
          </w:p>
        </w:tc>
      </w:tr>
      <w:tr w14:paraId="6098AE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0015074">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2362188D">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06102F9A">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4BAD9000">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280AFE9D">
            <w:pPr>
              <w:adjustRightInd w:val="0"/>
              <w:snapToGrid w:val="0"/>
              <w:spacing w:before="156" w:beforeLines="50" w:line="360" w:lineRule="auto"/>
              <w:jc w:val="center"/>
              <w:rPr>
                <w:rFonts w:hint="eastAsia" w:ascii="宋体" w:hAnsi="宋体"/>
                <w:color w:val="000000"/>
                <w:kern w:val="0"/>
                <w:sz w:val="20"/>
                <w:szCs w:val="21"/>
              </w:rPr>
            </w:pPr>
          </w:p>
        </w:tc>
      </w:tr>
      <w:tr w14:paraId="7B221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135A4BE2">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7662B809">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7E55A66C">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1ED5EE00">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0A92C285">
            <w:pPr>
              <w:adjustRightInd w:val="0"/>
              <w:snapToGrid w:val="0"/>
              <w:spacing w:before="156" w:beforeLines="50" w:line="360" w:lineRule="auto"/>
              <w:jc w:val="center"/>
              <w:rPr>
                <w:rFonts w:hint="eastAsia" w:ascii="宋体" w:hAnsi="宋体"/>
                <w:color w:val="000000"/>
                <w:kern w:val="0"/>
                <w:sz w:val="20"/>
                <w:szCs w:val="21"/>
              </w:rPr>
            </w:pPr>
          </w:p>
        </w:tc>
      </w:tr>
      <w:tr w14:paraId="2AE29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7361A9F4">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797CDA01">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4C9B2886">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51A2052B">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7010C7BD">
            <w:pPr>
              <w:adjustRightInd w:val="0"/>
              <w:snapToGrid w:val="0"/>
              <w:spacing w:before="156" w:beforeLines="50" w:line="360" w:lineRule="auto"/>
              <w:jc w:val="center"/>
              <w:rPr>
                <w:rFonts w:hint="eastAsia" w:ascii="宋体" w:hAnsi="宋体"/>
                <w:color w:val="000000"/>
                <w:kern w:val="0"/>
                <w:sz w:val="20"/>
                <w:szCs w:val="21"/>
              </w:rPr>
            </w:pPr>
          </w:p>
        </w:tc>
      </w:tr>
      <w:tr w14:paraId="103CC4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41ABCFFF">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7B6E65D6">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4DA41278">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4A1CE7C2">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4D1E4722">
            <w:pPr>
              <w:adjustRightInd w:val="0"/>
              <w:snapToGrid w:val="0"/>
              <w:spacing w:before="156" w:beforeLines="50" w:line="360" w:lineRule="auto"/>
              <w:jc w:val="center"/>
              <w:rPr>
                <w:rFonts w:hint="eastAsia" w:ascii="宋体" w:hAnsi="宋体"/>
                <w:color w:val="000000"/>
                <w:kern w:val="0"/>
                <w:sz w:val="20"/>
                <w:szCs w:val="21"/>
              </w:rPr>
            </w:pPr>
          </w:p>
        </w:tc>
      </w:tr>
      <w:tr w14:paraId="6652E4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25F049C0">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51BBB363">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6C783ED4">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1109E490">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450F87F8">
            <w:pPr>
              <w:adjustRightInd w:val="0"/>
              <w:snapToGrid w:val="0"/>
              <w:spacing w:before="156" w:beforeLines="50" w:line="360" w:lineRule="auto"/>
              <w:jc w:val="center"/>
              <w:rPr>
                <w:rFonts w:hint="eastAsia" w:ascii="宋体" w:hAnsi="宋体"/>
                <w:color w:val="000000"/>
                <w:kern w:val="0"/>
                <w:sz w:val="20"/>
                <w:szCs w:val="21"/>
              </w:rPr>
            </w:pPr>
          </w:p>
        </w:tc>
      </w:tr>
      <w:tr w14:paraId="0CEBB6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5CA75C6B">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5C0409DD">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18E50FAB">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57FC2C0D">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1B5B87D0">
            <w:pPr>
              <w:adjustRightInd w:val="0"/>
              <w:snapToGrid w:val="0"/>
              <w:spacing w:before="156" w:beforeLines="50" w:line="360" w:lineRule="auto"/>
              <w:jc w:val="center"/>
              <w:rPr>
                <w:rFonts w:hint="eastAsia" w:ascii="宋体" w:hAnsi="宋体"/>
                <w:color w:val="000000"/>
                <w:kern w:val="0"/>
                <w:sz w:val="20"/>
                <w:szCs w:val="21"/>
              </w:rPr>
            </w:pPr>
          </w:p>
        </w:tc>
      </w:tr>
      <w:tr w14:paraId="469410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tcPr>
          <w:p w14:paraId="2DAEB8F9">
            <w:pPr>
              <w:adjustRightInd w:val="0"/>
              <w:snapToGrid w:val="0"/>
              <w:spacing w:before="156" w:beforeLines="50" w:line="360" w:lineRule="auto"/>
              <w:jc w:val="center"/>
              <w:rPr>
                <w:rFonts w:hint="eastAsia" w:ascii="宋体" w:hAnsi="宋体"/>
                <w:color w:val="000000"/>
                <w:kern w:val="0"/>
                <w:sz w:val="20"/>
                <w:szCs w:val="21"/>
              </w:rPr>
            </w:pPr>
          </w:p>
        </w:tc>
        <w:tc>
          <w:tcPr>
            <w:tcW w:w="1871" w:type="dxa"/>
            <w:tcBorders>
              <w:right w:val="single" w:color="auto" w:sz="4" w:space="0"/>
            </w:tcBorders>
          </w:tcPr>
          <w:p w14:paraId="66106193">
            <w:pPr>
              <w:adjustRightInd w:val="0"/>
              <w:snapToGrid w:val="0"/>
              <w:spacing w:before="156" w:beforeLines="50" w:line="360" w:lineRule="auto"/>
              <w:jc w:val="center"/>
              <w:rPr>
                <w:rFonts w:hint="eastAsia" w:ascii="宋体" w:hAnsi="宋体"/>
                <w:color w:val="000000"/>
                <w:kern w:val="0"/>
                <w:sz w:val="20"/>
                <w:szCs w:val="21"/>
              </w:rPr>
            </w:pPr>
          </w:p>
        </w:tc>
        <w:tc>
          <w:tcPr>
            <w:tcW w:w="2410" w:type="dxa"/>
            <w:tcBorders>
              <w:left w:val="single" w:color="auto" w:sz="4" w:space="0"/>
            </w:tcBorders>
          </w:tcPr>
          <w:p w14:paraId="44C32431">
            <w:pPr>
              <w:adjustRightInd w:val="0"/>
              <w:snapToGrid w:val="0"/>
              <w:spacing w:before="156" w:beforeLines="50" w:line="360" w:lineRule="auto"/>
              <w:jc w:val="center"/>
              <w:rPr>
                <w:rFonts w:hint="eastAsia" w:ascii="宋体" w:hAnsi="宋体"/>
                <w:color w:val="000000"/>
                <w:kern w:val="0"/>
                <w:sz w:val="20"/>
                <w:szCs w:val="21"/>
              </w:rPr>
            </w:pPr>
          </w:p>
        </w:tc>
        <w:tc>
          <w:tcPr>
            <w:tcW w:w="2268" w:type="dxa"/>
          </w:tcPr>
          <w:p w14:paraId="51654631">
            <w:pPr>
              <w:adjustRightInd w:val="0"/>
              <w:snapToGrid w:val="0"/>
              <w:spacing w:before="156" w:beforeLines="50" w:line="360" w:lineRule="auto"/>
              <w:jc w:val="center"/>
              <w:rPr>
                <w:rFonts w:hint="eastAsia" w:ascii="宋体" w:hAnsi="宋体"/>
                <w:color w:val="000000"/>
                <w:kern w:val="0"/>
                <w:sz w:val="20"/>
                <w:szCs w:val="21"/>
              </w:rPr>
            </w:pPr>
          </w:p>
        </w:tc>
        <w:tc>
          <w:tcPr>
            <w:tcW w:w="1722" w:type="dxa"/>
          </w:tcPr>
          <w:p w14:paraId="3F2B0C58">
            <w:pPr>
              <w:adjustRightInd w:val="0"/>
              <w:snapToGrid w:val="0"/>
              <w:spacing w:before="156" w:beforeLines="50" w:line="360" w:lineRule="auto"/>
              <w:jc w:val="center"/>
              <w:rPr>
                <w:rFonts w:hint="eastAsia" w:ascii="宋体" w:hAnsi="宋体"/>
                <w:color w:val="000000"/>
                <w:kern w:val="0"/>
                <w:sz w:val="20"/>
                <w:szCs w:val="21"/>
              </w:rPr>
            </w:pPr>
          </w:p>
        </w:tc>
      </w:tr>
    </w:tbl>
    <w:p w14:paraId="67EEF6BD">
      <w:pPr>
        <w:rPr>
          <w:color w:val="000000"/>
        </w:rPr>
      </w:pPr>
    </w:p>
    <w:p w14:paraId="33940668">
      <w:pPr>
        <w:widowControl/>
        <w:jc w:val="left"/>
        <w:rPr>
          <w:rFonts w:ascii="Arial" w:hAnsi="Arial" w:eastAsia="黑体"/>
          <w:b/>
          <w:bCs/>
          <w:color w:val="000000"/>
          <w:sz w:val="28"/>
          <w:szCs w:val="28"/>
        </w:rPr>
      </w:pPr>
      <w:r>
        <w:rPr>
          <w:color w:val="000000"/>
        </w:rPr>
        <w:br w:type="page"/>
      </w:r>
    </w:p>
    <w:p w14:paraId="35058D51">
      <w:pPr>
        <w:pStyle w:val="5"/>
        <w:adjustRightInd w:val="0"/>
        <w:snapToGrid w:val="0"/>
        <w:spacing w:before="156" w:beforeLines="50" w:after="0" w:line="360" w:lineRule="auto"/>
        <w:jc w:val="left"/>
        <w:rPr>
          <w:rFonts w:hint="eastAsia" w:ascii="黑体" w:hAnsi="黑体"/>
          <w:b w:val="0"/>
          <w:color w:val="000000"/>
          <w:sz w:val="21"/>
          <w:szCs w:val="21"/>
        </w:rPr>
      </w:pPr>
      <w:bookmarkStart w:id="146" w:name="_Toc11158"/>
      <w:bookmarkStart w:id="147" w:name="_Toc20351"/>
      <w:r>
        <w:rPr>
          <w:rFonts w:hint="eastAsia" w:ascii="黑体" w:hAnsi="黑体"/>
          <w:b w:val="0"/>
          <w:color w:val="000000"/>
          <w:sz w:val="21"/>
          <w:szCs w:val="21"/>
        </w:rPr>
        <w:t>索引表3 评标索引表</w:t>
      </w:r>
      <w:bookmarkEnd w:id="146"/>
      <w:bookmarkEnd w:id="147"/>
    </w:p>
    <w:p w14:paraId="6A8A6585">
      <w:pPr>
        <w:adjustRightInd w:val="0"/>
        <w:snapToGrid w:val="0"/>
        <w:spacing w:before="156" w:beforeLines="50" w:line="360" w:lineRule="auto"/>
        <w:jc w:val="center"/>
        <w:rPr>
          <w:rFonts w:hint="eastAsia" w:ascii="黑体" w:hAnsi="黑体" w:eastAsia="黑体"/>
          <w:b/>
          <w:color w:val="000000"/>
          <w:sz w:val="28"/>
          <w:szCs w:val="28"/>
        </w:rPr>
      </w:pPr>
      <w:r>
        <w:rPr>
          <w:rFonts w:hint="eastAsia" w:ascii="黑体" w:hAnsi="黑体" w:eastAsia="黑体"/>
          <w:b/>
          <w:color w:val="000000"/>
          <w:sz w:val="28"/>
          <w:szCs w:val="28"/>
        </w:rPr>
        <w:t>评标索引表</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22FA5D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36321A8F">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序号</w:t>
            </w:r>
          </w:p>
        </w:tc>
        <w:tc>
          <w:tcPr>
            <w:tcW w:w="1701" w:type="dxa"/>
            <w:tcBorders>
              <w:right w:val="single" w:color="auto" w:sz="4" w:space="0"/>
            </w:tcBorders>
            <w:vAlign w:val="center"/>
          </w:tcPr>
          <w:p w14:paraId="3EC52138">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 w:val="20"/>
                <w:szCs w:val="21"/>
              </w:rPr>
              <w:t>招标文件</w:t>
            </w:r>
            <w:r>
              <w:rPr>
                <w:rFonts w:hint="eastAsia" w:ascii="宋体" w:hAnsi="宋体"/>
                <w:b/>
                <w:color w:val="000000"/>
                <w:kern w:val="0"/>
                <w:szCs w:val="21"/>
              </w:rPr>
              <w:t>条款号</w:t>
            </w:r>
          </w:p>
        </w:tc>
        <w:tc>
          <w:tcPr>
            <w:tcW w:w="1134" w:type="dxa"/>
            <w:tcBorders>
              <w:left w:val="single" w:color="auto" w:sz="4" w:space="0"/>
              <w:right w:val="single" w:color="auto" w:sz="4" w:space="0"/>
            </w:tcBorders>
            <w:vAlign w:val="center"/>
          </w:tcPr>
          <w:p w14:paraId="676CD141">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评审因素</w:t>
            </w:r>
          </w:p>
        </w:tc>
        <w:tc>
          <w:tcPr>
            <w:tcW w:w="1418" w:type="dxa"/>
            <w:tcBorders>
              <w:left w:val="single" w:color="auto" w:sz="4" w:space="0"/>
            </w:tcBorders>
            <w:vAlign w:val="center"/>
          </w:tcPr>
          <w:p w14:paraId="674A9CF2">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评标标准</w:t>
            </w:r>
          </w:p>
        </w:tc>
        <w:tc>
          <w:tcPr>
            <w:tcW w:w="2410" w:type="dxa"/>
            <w:vAlign w:val="center"/>
          </w:tcPr>
          <w:p w14:paraId="59E48199">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投标响应及证明材料</w:t>
            </w:r>
          </w:p>
        </w:tc>
        <w:tc>
          <w:tcPr>
            <w:tcW w:w="1722" w:type="dxa"/>
            <w:vAlign w:val="center"/>
          </w:tcPr>
          <w:p w14:paraId="13E3C53A">
            <w:pPr>
              <w:adjustRightInd w:val="0"/>
              <w:snapToGrid w:val="0"/>
              <w:spacing w:before="156" w:beforeLines="50" w:line="360" w:lineRule="auto"/>
              <w:jc w:val="center"/>
              <w:rPr>
                <w:rFonts w:hint="eastAsia" w:ascii="宋体" w:hAnsi="宋体"/>
                <w:b/>
                <w:color w:val="000000"/>
                <w:kern w:val="0"/>
                <w:szCs w:val="21"/>
              </w:rPr>
            </w:pPr>
            <w:r>
              <w:rPr>
                <w:rFonts w:hint="eastAsia" w:ascii="宋体" w:hAnsi="宋体"/>
                <w:b/>
                <w:color w:val="000000"/>
                <w:kern w:val="0"/>
                <w:szCs w:val="21"/>
              </w:rPr>
              <w:t>投标文件对应内容的册及页码</w:t>
            </w:r>
          </w:p>
        </w:tc>
      </w:tr>
      <w:tr w14:paraId="70343C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635C7B44">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0CDC86ED">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6A0AAE6E">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044FA21C">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7355080B">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0181FFCB">
            <w:pPr>
              <w:adjustRightInd w:val="0"/>
              <w:snapToGrid w:val="0"/>
              <w:spacing w:before="156" w:beforeLines="50" w:line="360" w:lineRule="auto"/>
              <w:jc w:val="center"/>
              <w:rPr>
                <w:rFonts w:hint="eastAsia" w:ascii="宋体" w:hAnsi="宋体"/>
                <w:color w:val="000000"/>
                <w:kern w:val="0"/>
                <w:szCs w:val="21"/>
              </w:rPr>
            </w:pPr>
          </w:p>
        </w:tc>
      </w:tr>
      <w:tr w14:paraId="47D05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80EC6C9">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4D10C144">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6279641E">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6CA00164">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26FD427D">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4D92ED7B">
            <w:pPr>
              <w:adjustRightInd w:val="0"/>
              <w:snapToGrid w:val="0"/>
              <w:spacing w:before="156" w:beforeLines="50" w:line="360" w:lineRule="auto"/>
              <w:jc w:val="center"/>
              <w:rPr>
                <w:rFonts w:hint="eastAsia" w:ascii="宋体" w:hAnsi="宋体"/>
                <w:color w:val="000000"/>
                <w:kern w:val="0"/>
                <w:szCs w:val="21"/>
              </w:rPr>
            </w:pPr>
          </w:p>
        </w:tc>
      </w:tr>
      <w:tr w14:paraId="3B4077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358B031">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4563D188">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725C6E7B">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585DE6A1">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67119E5D">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75BF0860">
            <w:pPr>
              <w:adjustRightInd w:val="0"/>
              <w:snapToGrid w:val="0"/>
              <w:spacing w:before="156" w:beforeLines="50" w:line="360" w:lineRule="auto"/>
              <w:jc w:val="center"/>
              <w:rPr>
                <w:rFonts w:hint="eastAsia" w:ascii="宋体" w:hAnsi="宋体"/>
                <w:color w:val="000000"/>
                <w:kern w:val="0"/>
                <w:szCs w:val="21"/>
              </w:rPr>
            </w:pPr>
          </w:p>
        </w:tc>
      </w:tr>
      <w:tr w14:paraId="434D6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665C023E">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5940187A">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4632CB3C">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1FDA54C1">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2D38D0C0">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71A14D33">
            <w:pPr>
              <w:adjustRightInd w:val="0"/>
              <w:snapToGrid w:val="0"/>
              <w:spacing w:before="156" w:beforeLines="50" w:line="360" w:lineRule="auto"/>
              <w:jc w:val="center"/>
              <w:rPr>
                <w:rFonts w:hint="eastAsia" w:ascii="宋体" w:hAnsi="宋体"/>
                <w:color w:val="000000"/>
                <w:kern w:val="0"/>
                <w:szCs w:val="21"/>
              </w:rPr>
            </w:pPr>
          </w:p>
        </w:tc>
      </w:tr>
      <w:tr w14:paraId="04A7A6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0EF7874">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4394D8FD">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1BEFE740">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6A9FF962">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2A07CF73">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6C3C7815">
            <w:pPr>
              <w:adjustRightInd w:val="0"/>
              <w:snapToGrid w:val="0"/>
              <w:spacing w:before="156" w:beforeLines="50" w:line="360" w:lineRule="auto"/>
              <w:jc w:val="center"/>
              <w:rPr>
                <w:rFonts w:hint="eastAsia" w:ascii="宋体" w:hAnsi="宋体"/>
                <w:color w:val="000000"/>
                <w:kern w:val="0"/>
                <w:szCs w:val="21"/>
              </w:rPr>
            </w:pPr>
          </w:p>
        </w:tc>
      </w:tr>
      <w:tr w14:paraId="5118BC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61046079">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59153556">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05D9BD61">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31743EB2">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3580E2A7">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00CDD5BA">
            <w:pPr>
              <w:adjustRightInd w:val="0"/>
              <w:snapToGrid w:val="0"/>
              <w:spacing w:before="156" w:beforeLines="50" w:line="360" w:lineRule="auto"/>
              <w:jc w:val="center"/>
              <w:rPr>
                <w:rFonts w:hint="eastAsia" w:ascii="宋体" w:hAnsi="宋体"/>
                <w:color w:val="000000"/>
                <w:kern w:val="0"/>
                <w:szCs w:val="21"/>
              </w:rPr>
            </w:pPr>
          </w:p>
        </w:tc>
      </w:tr>
      <w:tr w14:paraId="3479D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7315B8">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0D187A33">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2151F3CB">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429F6B34">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194BBCD4">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0D5A5DBA">
            <w:pPr>
              <w:adjustRightInd w:val="0"/>
              <w:snapToGrid w:val="0"/>
              <w:spacing w:before="156" w:beforeLines="50" w:line="360" w:lineRule="auto"/>
              <w:jc w:val="center"/>
              <w:rPr>
                <w:rFonts w:hint="eastAsia" w:ascii="宋体" w:hAnsi="宋体"/>
                <w:color w:val="000000"/>
                <w:kern w:val="0"/>
                <w:szCs w:val="21"/>
              </w:rPr>
            </w:pPr>
          </w:p>
        </w:tc>
      </w:tr>
      <w:tr w14:paraId="4124B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668175E3">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618D2606">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51999AE4">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238CCDD1">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0F84F07B">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53356CA9">
            <w:pPr>
              <w:adjustRightInd w:val="0"/>
              <w:snapToGrid w:val="0"/>
              <w:spacing w:before="156" w:beforeLines="50" w:line="360" w:lineRule="auto"/>
              <w:jc w:val="center"/>
              <w:rPr>
                <w:rFonts w:hint="eastAsia" w:ascii="宋体" w:hAnsi="宋体"/>
                <w:color w:val="000000"/>
                <w:kern w:val="0"/>
                <w:szCs w:val="21"/>
              </w:rPr>
            </w:pPr>
          </w:p>
        </w:tc>
      </w:tr>
      <w:tr w14:paraId="3C9410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C40A999">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1ACCEAA2">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152AE9C4">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35AA0153">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4EA008A0">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4D880255">
            <w:pPr>
              <w:adjustRightInd w:val="0"/>
              <w:snapToGrid w:val="0"/>
              <w:spacing w:before="156" w:beforeLines="50" w:line="360" w:lineRule="auto"/>
              <w:jc w:val="center"/>
              <w:rPr>
                <w:rFonts w:hint="eastAsia" w:ascii="宋体" w:hAnsi="宋体"/>
                <w:color w:val="000000"/>
                <w:kern w:val="0"/>
                <w:szCs w:val="21"/>
              </w:rPr>
            </w:pPr>
          </w:p>
        </w:tc>
      </w:tr>
      <w:tr w14:paraId="63F8C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A093B90">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135F6D81">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520DFA55">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7800ADE6">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6DA32CD7">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5E552730">
            <w:pPr>
              <w:adjustRightInd w:val="0"/>
              <w:snapToGrid w:val="0"/>
              <w:spacing w:before="156" w:beforeLines="50" w:line="360" w:lineRule="auto"/>
              <w:jc w:val="center"/>
              <w:rPr>
                <w:rFonts w:hint="eastAsia" w:ascii="宋体" w:hAnsi="宋体"/>
                <w:color w:val="000000"/>
                <w:kern w:val="0"/>
                <w:szCs w:val="21"/>
              </w:rPr>
            </w:pPr>
          </w:p>
        </w:tc>
      </w:tr>
      <w:tr w14:paraId="35168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250F7049">
            <w:pPr>
              <w:adjustRightInd w:val="0"/>
              <w:snapToGrid w:val="0"/>
              <w:spacing w:before="156" w:beforeLines="50" w:line="360" w:lineRule="auto"/>
              <w:jc w:val="center"/>
              <w:rPr>
                <w:rFonts w:hint="eastAsia" w:ascii="宋体" w:hAnsi="宋体"/>
                <w:color w:val="000000"/>
                <w:kern w:val="0"/>
                <w:szCs w:val="21"/>
              </w:rPr>
            </w:pPr>
          </w:p>
        </w:tc>
        <w:tc>
          <w:tcPr>
            <w:tcW w:w="1701" w:type="dxa"/>
            <w:tcBorders>
              <w:right w:val="single" w:color="auto" w:sz="4" w:space="0"/>
            </w:tcBorders>
          </w:tcPr>
          <w:p w14:paraId="4495DF61">
            <w:pPr>
              <w:adjustRightInd w:val="0"/>
              <w:snapToGrid w:val="0"/>
              <w:spacing w:before="156" w:beforeLines="50" w:line="360" w:lineRule="auto"/>
              <w:jc w:val="center"/>
              <w:rPr>
                <w:rFonts w:hint="eastAsia" w:ascii="宋体" w:hAnsi="宋体"/>
                <w:color w:val="000000"/>
                <w:kern w:val="0"/>
                <w:szCs w:val="21"/>
              </w:rPr>
            </w:pPr>
          </w:p>
        </w:tc>
        <w:tc>
          <w:tcPr>
            <w:tcW w:w="1134" w:type="dxa"/>
            <w:tcBorders>
              <w:left w:val="single" w:color="auto" w:sz="4" w:space="0"/>
              <w:right w:val="single" w:color="auto" w:sz="4" w:space="0"/>
            </w:tcBorders>
          </w:tcPr>
          <w:p w14:paraId="24B7DE6D">
            <w:pPr>
              <w:adjustRightInd w:val="0"/>
              <w:snapToGrid w:val="0"/>
              <w:spacing w:before="156" w:beforeLines="50" w:line="360" w:lineRule="auto"/>
              <w:jc w:val="center"/>
              <w:rPr>
                <w:rFonts w:hint="eastAsia" w:ascii="宋体" w:hAnsi="宋体"/>
                <w:color w:val="000000"/>
                <w:kern w:val="0"/>
                <w:szCs w:val="21"/>
              </w:rPr>
            </w:pPr>
          </w:p>
        </w:tc>
        <w:tc>
          <w:tcPr>
            <w:tcW w:w="1418" w:type="dxa"/>
            <w:tcBorders>
              <w:left w:val="single" w:color="auto" w:sz="4" w:space="0"/>
            </w:tcBorders>
          </w:tcPr>
          <w:p w14:paraId="03688CB4">
            <w:pPr>
              <w:adjustRightInd w:val="0"/>
              <w:snapToGrid w:val="0"/>
              <w:spacing w:before="156" w:beforeLines="50" w:line="360" w:lineRule="auto"/>
              <w:jc w:val="center"/>
              <w:rPr>
                <w:rFonts w:hint="eastAsia" w:ascii="宋体" w:hAnsi="宋体"/>
                <w:color w:val="000000"/>
                <w:kern w:val="0"/>
                <w:szCs w:val="21"/>
              </w:rPr>
            </w:pPr>
          </w:p>
        </w:tc>
        <w:tc>
          <w:tcPr>
            <w:tcW w:w="2410" w:type="dxa"/>
          </w:tcPr>
          <w:p w14:paraId="40E38324">
            <w:pPr>
              <w:adjustRightInd w:val="0"/>
              <w:snapToGrid w:val="0"/>
              <w:spacing w:before="156" w:beforeLines="50" w:line="360" w:lineRule="auto"/>
              <w:jc w:val="center"/>
              <w:rPr>
                <w:rFonts w:hint="eastAsia" w:ascii="宋体" w:hAnsi="宋体"/>
                <w:color w:val="000000"/>
                <w:kern w:val="0"/>
                <w:szCs w:val="21"/>
              </w:rPr>
            </w:pPr>
          </w:p>
        </w:tc>
        <w:tc>
          <w:tcPr>
            <w:tcW w:w="1722" w:type="dxa"/>
          </w:tcPr>
          <w:p w14:paraId="29B4B4DD">
            <w:pPr>
              <w:adjustRightInd w:val="0"/>
              <w:snapToGrid w:val="0"/>
              <w:spacing w:before="156" w:beforeLines="50" w:line="360" w:lineRule="auto"/>
              <w:jc w:val="center"/>
              <w:rPr>
                <w:rFonts w:hint="eastAsia" w:ascii="宋体" w:hAnsi="宋体"/>
                <w:color w:val="000000"/>
                <w:kern w:val="0"/>
                <w:szCs w:val="21"/>
              </w:rPr>
            </w:pPr>
          </w:p>
        </w:tc>
      </w:tr>
    </w:tbl>
    <w:p w14:paraId="51931A9E">
      <w:pPr>
        <w:rPr>
          <w:color w:val="000000"/>
        </w:rPr>
      </w:pPr>
    </w:p>
    <w:p w14:paraId="7698652F">
      <w:pPr>
        <w:widowControl/>
        <w:jc w:val="left"/>
        <w:rPr>
          <w:rFonts w:hint="eastAsia" w:ascii="黑体" w:hAnsi="宋体" w:eastAsia="黑体"/>
          <w:b/>
          <w:bCs/>
          <w:color w:val="000000"/>
          <w:sz w:val="28"/>
          <w:szCs w:val="28"/>
        </w:rPr>
      </w:pPr>
      <w:r>
        <w:rPr>
          <w:rFonts w:ascii="黑体" w:hAnsi="宋体" w:eastAsia="黑体"/>
          <w:color w:val="000000"/>
          <w:sz w:val="28"/>
          <w:szCs w:val="28"/>
        </w:rPr>
        <w:br w:type="page"/>
      </w:r>
    </w:p>
    <w:p w14:paraId="76614F8C">
      <w:pPr>
        <w:widowControl/>
        <w:jc w:val="center"/>
        <w:rPr>
          <w:rFonts w:hint="eastAsia" w:ascii="黑体" w:hAnsi="宋体" w:eastAsia="黑体"/>
          <w:b/>
          <w:bCs/>
          <w:sz w:val="28"/>
          <w:szCs w:val="28"/>
        </w:rPr>
      </w:pPr>
      <w:bookmarkStart w:id="148" w:name="_Toc20651256"/>
      <w:r>
        <w:rPr>
          <w:rFonts w:hint="eastAsia" w:ascii="黑体" w:hAnsi="宋体" w:eastAsia="黑体"/>
          <w:b/>
          <w:bCs/>
          <w:sz w:val="28"/>
          <w:szCs w:val="28"/>
          <w:lang w:eastAsia="zh-CN"/>
        </w:rPr>
        <w:t>五</w:t>
      </w:r>
      <w:r>
        <w:rPr>
          <w:rFonts w:hint="eastAsia" w:ascii="黑体" w:hAnsi="宋体" w:eastAsia="黑体"/>
          <w:b/>
          <w:bCs/>
          <w:sz w:val="28"/>
          <w:szCs w:val="28"/>
        </w:rPr>
        <w:t>、投标函</w:t>
      </w:r>
      <w:bookmarkEnd w:id="148"/>
    </w:p>
    <w:p w14:paraId="7E29196D">
      <w:pPr>
        <w:adjustRightInd w:val="0"/>
        <w:snapToGrid w:val="0"/>
        <w:spacing w:before="156" w:beforeLines="50" w:line="360" w:lineRule="auto"/>
        <w:rPr>
          <w:rFonts w:hint="eastAsia" w:ascii="宋体" w:hAnsi="宋体"/>
          <w:szCs w:val="21"/>
        </w:rPr>
      </w:pPr>
      <w:r>
        <w:rPr>
          <w:rFonts w:hint="eastAsia" w:ascii="宋体" w:hAnsi="宋体"/>
          <w:szCs w:val="21"/>
        </w:rPr>
        <w:t>致：（采购人、采购代理机构）：</w:t>
      </w:r>
    </w:p>
    <w:p w14:paraId="521F1A05">
      <w:pPr>
        <w:adjustRightInd w:val="0"/>
        <w:snapToGrid w:val="0"/>
        <w:spacing w:before="156" w:beforeLines="50" w:line="360" w:lineRule="auto"/>
        <w:ind w:firstLine="435"/>
        <w:rPr>
          <w:rFonts w:hint="eastAsia"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（项目名称）的投标邀请（</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rPr>
        <w:t xml:space="preserve">），签字代表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（姓名、职务）经正式授权并代表投标人</w:t>
      </w:r>
      <w:r>
        <w:rPr>
          <w:rFonts w:hint="eastAsia" w:ascii="宋体" w:hAnsi="宋体"/>
          <w:szCs w:val="21"/>
          <w:u w:val="single"/>
        </w:rPr>
        <w:t xml:space="preserve">       </w:t>
      </w:r>
      <w:r>
        <w:rPr>
          <w:rFonts w:hint="eastAsia" w:ascii="宋体" w:hAnsi="宋体"/>
          <w:szCs w:val="21"/>
        </w:rPr>
        <w:t xml:space="preserve"> （投标人名称）提交下述投标文件</w:t>
      </w:r>
      <w:r>
        <w:rPr>
          <w:rFonts w:hint="eastAsia" w:ascii="宋体" w:hAnsi="宋体" w:cs="宋体"/>
          <w:szCs w:val="21"/>
        </w:rPr>
        <w:t>电子文档：一份</w:t>
      </w:r>
      <w:r>
        <w:rPr>
          <w:rFonts w:hint="eastAsia" w:ascii="宋体" w:hAnsi="宋体"/>
          <w:szCs w:val="21"/>
        </w:rPr>
        <w:t>（上传至指定平台）</w:t>
      </w:r>
      <w:r>
        <w:rPr>
          <w:rFonts w:hint="eastAsia" w:ascii="宋体" w:hAnsi="宋体" w:cs="宋体"/>
          <w:szCs w:val="21"/>
        </w:rPr>
        <w:t>，</w:t>
      </w:r>
      <w:r>
        <w:rPr>
          <w:rFonts w:hint="eastAsia" w:ascii="宋体" w:hAnsi="宋体"/>
          <w:szCs w:val="21"/>
        </w:rPr>
        <w:t>并在此声明，所递交的投标文件内容完整、真实。</w:t>
      </w:r>
    </w:p>
    <w:p w14:paraId="408B2E60">
      <w:pPr>
        <w:adjustRightInd w:val="0"/>
        <w:snapToGrid w:val="0"/>
        <w:spacing w:before="156" w:beforeLines="50" w:line="360" w:lineRule="auto"/>
        <w:ind w:firstLine="422" w:firstLineChars="200"/>
        <w:rPr>
          <w:rFonts w:hint="eastAsia" w:ascii="宋体" w:hAnsi="宋体"/>
          <w:b/>
          <w:szCs w:val="21"/>
        </w:rPr>
      </w:pPr>
      <w:r>
        <w:rPr>
          <w:rFonts w:hint="eastAsia" w:ascii="宋体" w:hAnsi="宋体"/>
          <w:b/>
          <w:szCs w:val="21"/>
        </w:rPr>
        <w:t>第一部分 资格证明文件</w:t>
      </w:r>
    </w:p>
    <w:p w14:paraId="54748491">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一、开标一览表</w:t>
      </w:r>
    </w:p>
    <w:p w14:paraId="64025AD3">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二、法定代表人（单位负责人）身份证明</w:t>
      </w:r>
    </w:p>
    <w:p w14:paraId="20D1F856">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三、法定代表人授权委托书</w:t>
      </w:r>
    </w:p>
    <w:p w14:paraId="355CA06B">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四、投标人提供的资格证明文件</w:t>
      </w:r>
    </w:p>
    <w:p w14:paraId="6B8D17D4">
      <w:pPr>
        <w:adjustRightInd w:val="0"/>
        <w:snapToGrid w:val="0"/>
        <w:spacing w:before="156" w:beforeLines="50" w:line="360" w:lineRule="auto"/>
        <w:ind w:firstLine="422" w:firstLineChars="200"/>
        <w:rPr>
          <w:rFonts w:hint="eastAsia" w:ascii="宋体" w:hAnsi="宋体"/>
          <w:b/>
          <w:szCs w:val="21"/>
        </w:rPr>
      </w:pPr>
      <w:r>
        <w:rPr>
          <w:rFonts w:hint="eastAsia" w:ascii="宋体" w:hAnsi="宋体"/>
          <w:b/>
          <w:szCs w:val="21"/>
        </w:rPr>
        <w:t>第二部分 商务技术文件</w:t>
      </w:r>
    </w:p>
    <w:p w14:paraId="7B3F5B30">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五、投标函</w:t>
      </w:r>
    </w:p>
    <w:p w14:paraId="72F5BF34">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六、分项报价</w:t>
      </w:r>
    </w:p>
    <w:p w14:paraId="3989A52A">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七、采购需求响应</w:t>
      </w:r>
    </w:p>
    <w:p w14:paraId="34A8753B">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八、合同条款偏离表</w:t>
      </w:r>
    </w:p>
    <w:p w14:paraId="6D8BEB5E">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九、采购需求偏离表</w:t>
      </w:r>
    </w:p>
    <w:p w14:paraId="51577775">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十、投标</w:t>
      </w:r>
      <w:r>
        <w:rPr>
          <w:rFonts w:hint="eastAsia" w:ascii="宋体" w:hAnsi="宋体"/>
          <w:szCs w:val="21"/>
          <w:lang w:eastAsia="zh-CN"/>
        </w:rPr>
        <w:t>服务</w:t>
      </w:r>
      <w:r>
        <w:rPr>
          <w:rFonts w:hint="eastAsia" w:ascii="宋体" w:hAnsi="宋体"/>
          <w:szCs w:val="21"/>
        </w:rPr>
        <w:t>符合招标文件规定的证明文件</w:t>
      </w:r>
    </w:p>
    <w:p w14:paraId="2A80393C">
      <w:pPr>
        <w:adjustRightInd w:val="0"/>
        <w:snapToGrid w:val="0"/>
        <w:spacing w:before="156" w:beforeLines="50" w:line="360" w:lineRule="auto"/>
        <w:ind w:firstLine="630" w:firstLineChars="300"/>
        <w:rPr>
          <w:rFonts w:hint="eastAsia" w:ascii="宋体" w:hAnsi="宋体"/>
          <w:szCs w:val="21"/>
        </w:rPr>
      </w:pPr>
      <w:r>
        <w:rPr>
          <w:rFonts w:hint="eastAsia" w:ascii="宋体" w:hAnsi="宋体"/>
          <w:szCs w:val="21"/>
        </w:rPr>
        <w:t>十</w:t>
      </w:r>
      <w:r>
        <w:rPr>
          <w:rFonts w:hint="eastAsia" w:ascii="宋体" w:hAnsi="宋体"/>
          <w:szCs w:val="21"/>
          <w:lang w:val="en-US" w:eastAsia="zh-CN"/>
        </w:rPr>
        <w:t>一</w:t>
      </w:r>
      <w:r>
        <w:rPr>
          <w:rFonts w:hint="eastAsia" w:ascii="宋体" w:hAnsi="宋体"/>
          <w:szCs w:val="21"/>
        </w:rPr>
        <w:t>、投标人认为需提供的其他资料</w:t>
      </w:r>
    </w:p>
    <w:p w14:paraId="66A29171">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在此，签字代表宣布同意如下：</w:t>
      </w:r>
    </w:p>
    <w:p w14:paraId="56848D1A">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1、投标人严格按照招标文件的规定报价，见《开标一览表》。</w:t>
      </w:r>
    </w:p>
    <w:p w14:paraId="111A0350">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2、投标人将按招标文件的规定履行合同责任和义务。</w:t>
      </w:r>
    </w:p>
    <w:p w14:paraId="2D42759D">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3、投标人已详细审查招标文件。我们完全理解并同意放弃对这方面有不明及误解的权力。</w:t>
      </w:r>
    </w:p>
    <w:p w14:paraId="29E246AD">
      <w:pPr>
        <w:adjustRightInd w:val="0"/>
        <w:snapToGrid w:val="0"/>
        <w:spacing w:before="156" w:beforeLines="50" w:line="360" w:lineRule="auto"/>
        <w:ind w:firstLine="420" w:firstLineChars="200"/>
        <w:rPr>
          <w:rFonts w:hint="eastAsia" w:ascii="宋体" w:hAnsi="宋体"/>
        </w:rPr>
      </w:pPr>
      <w:r>
        <w:rPr>
          <w:rFonts w:hint="eastAsia" w:ascii="宋体" w:hAnsi="宋体"/>
          <w:szCs w:val="21"/>
        </w:rPr>
        <w:t>4、本投标有效期为自招标文件规定的提交投标文件截止之日起</w:t>
      </w:r>
      <w:r>
        <w:rPr>
          <w:rFonts w:hint="eastAsia" w:ascii="宋体" w:hAnsi="宋体"/>
          <w:szCs w:val="21"/>
          <w:u w:val="single"/>
        </w:rPr>
        <w:t xml:space="preserve">    </w:t>
      </w:r>
      <w:r>
        <w:rPr>
          <w:rFonts w:hint="eastAsia" w:ascii="宋体" w:hAnsi="宋体"/>
          <w:szCs w:val="21"/>
        </w:rPr>
        <w:t>个日历日。在投标有效期内，</w:t>
      </w:r>
      <w:r>
        <w:rPr>
          <w:rFonts w:hint="eastAsia" w:ascii="宋体" w:hAnsi="宋体"/>
        </w:rPr>
        <w:t>投标人同意遵守本</w:t>
      </w:r>
      <w:r>
        <w:rPr>
          <w:rFonts w:hint="eastAsia" w:ascii="宋体" w:hAnsi="宋体"/>
          <w:szCs w:val="21"/>
        </w:rPr>
        <w:t>投标</w:t>
      </w:r>
      <w:r>
        <w:rPr>
          <w:rFonts w:hint="eastAsia" w:ascii="宋体" w:hAnsi="宋体"/>
        </w:rPr>
        <w:t>文件中的承诺且在此期限期满之前</w:t>
      </w:r>
      <w:r>
        <w:rPr>
          <w:rFonts w:hint="eastAsia" w:ascii="宋体" w:hAnsi="宋体"/>
          <w:szCs w:val="21"/>
        </w:rPr>
        <w:t>投标</w:t>
      </w:r>
      <w:r>
        <w:rPr>
          <w:rFonts w:hint="eastAsia" w:ascii="宋体" w:hAnsi="宋体"/>
        </w:rPr>
        <w:t>文件</w:t>
      </w:r>
      <w:r>
        <w:rPr>
          <w:rFonts w:hint="eastAsia" w:ascii="宋体" w:hAnsi="宋体"/>
          <w:szCs w:val="21"/>
        </w:rPr>
        <w:t>对我方具有法律约束力</w:t>
      </w:r>
      <w:r>
        <w:rPr>
          <w:rFonts w:hint="eastAsia" w:ascii="宋体" w:hAnsi="宋体"/>
        </w:rPr>
        <w:t>。</w:t>
      </w:r>
    </w:p>
    <w:p w14:paraId="12DD3D7A">
      <w:pPr>
        <w:adjustRightInd w:val="0"/>
        <w:snapToGrid w:val="0"/>
        <w:spacing w:before="156" w:beforeLines="50" w:line="360" w:lineRule="auto"/>
        <w:ind w:firstLine="420" w:firstLineChars="200"/>
        <w:rPr>
          <w:rFonts w:hint="eastAsia" w:ascii="宋体" w:hAnsi="宋体"/>
        </w:rPr>
      </w:pPr>
      <w:r>
        <w:rPr>
          <w:rFonts w:hint="eastAsia" w:ascii="宋体" w:hAnsi="宋体"/>
        </w:rPr>
        <w:t>5、</w:t>
      </w:r>
      <w:r>
        <w:rPr>
          <w:rFonts w:hint="eastAsia" w:ascii="宋体" w:hAnsi="宋体"/>
          <w:szCs w:val="21"/>
        </w:rPr>
        <w:t>同意提供贵方可能要求的与其投标有关的一切数据或资料。</w:t>
      </w:r>
    </w:p>
    <w:p w14:paraId="1EBA9D2C">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6、与本投标有关的一切正式往来信函请寄：</w:t>
      </w:r>
    </w:p>
    <w:p w14:paraId="08C21F3B">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地址：；邮编： ；电话：；电子邮箱： 。</w:t>
      </w:r>
    </w:p>
    <w:p w14:paraId="66D44DAE">
      <w:pPr>
        <w:adjustRightInd w:val="0"/>
        <w:snapToGrid w:val="0"/>
        <w:spacing w:before="156" w:beforeLines="50" w:line="360" w:lineRule="auto"/>
        <w:ind w:firstLine="420" w:firstLineChars="200"/>
        <w:rPr>
          <w:rFonts w:hint="eastAsia" w:ascii="宋体" w:hAnsi="宋体"/>
          <w:szCs w:val="21"/>
        </w:rPr>
      </w:pPr>
    </w:p>
    <w:p w14:paraId="0ABD49D2">
      <w:pPr>
        <w:adjustRightInd w:val="0"/>
        <w:snapToGrid w:val="0"/>
        <w:spacing w:before="156" w:beforeLines="50" w:line="360" w:lineRule="auto"/>
        <w:rPr>
          <w:rFonts w:hint="eastAsia" w:ascii="宋体" w:hAnsi="宋体" w:cs="Courier New"/>
          <w:szCs w:val="21"/>
        </w:rPr>
      </w:pPr>
    </w:p>
    <w:p w14:paraId="7F02C09B">
      <w:pPr>
        <w:adjustRightInd w:val="0"/>
        <w:snapToGrid w:val="0"/>
        <w:spacing w:before="156" w:beforeLines="50" w:line="360" w:lineRule="auto"/>
        <w:rPr>
          <w:rFonts w:hint="eastAsia" w:ascii="宋体" w:hAnsi="宋体" w:cs="Courier New"/>
          <w:szCs w:val="21"/>
        </w:rPr>
      </w:pPr>
      <w:r>
        <w:rPr>
          <w:rFonts w:hint="eastAsia" w:ascii="宋体" w:hAnsi="宋体" w:cs="Courier New"/>
          <w:szCs w:val="21"/>
        </w:rPr>
        <w:t xml:space="preserve">投标人名称（盖单位章）：                       </w:t>
      </w:r>
    </w:p>
    <w:p w14:paraId="6F8606E8">
      <w:pPr>
        <w:adjustRightInd w:val="0"/>
        <w:snapToGrid w:val="0"/>
        <w:spacing w:before="156" w:beforeLines="50" w:line="360" w:lineRule="auto"/>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0F6414F1">
      <w:pPr>
        <w:pStyle w:val="45"/>
      </w:pPr>
    </w:p>
    <w:p w14:paraId="312E0BF0">
      <w:pPr>
        <w:rPr>
          <w:rFonts w:hint="eastAsia" w:ascii="宋体" w:hAnsi="宋体"/>
          <w:szCs w:val="21"/>
        </w:rPr>
      </w:pPr>
      <w:bookmarkStart w:id="149" w:name="_Toc4842"/>
      <w:bookmarkStart w:id="150" w:name="_Toc50031825"/>
      <w:r>
        <w:rPr>
          <w:rFonts w:hint="eastAsia" w:ascii="宋体" w:hAnsi="宋体"/>
          <w:szCs w:val="21"/>
        </w:rPr>
        <w:t>日期：</w:t>
      </w:r>
      <w:r>
        <w:rPr>
          <w:rFonts w:hint="eastAsia" w:ascii="宋体" w:hAnsi="宋体"/>
          <w:szCs w:val="21"/>
          <w:lang w:val="en-US" w:eastAsia="zh-CN"/>
        </w:rPr>
        <w:t xml:space="preserve">   </w:t>
      </w:r>
      <w:r>
        <w:rPr>
          <w:rFonts w:hint="eastAsia" w:ascii="宋体" w:hAnsi="宋体"/>
          <w:szCs w:val="21"/>
        </w:rPr>
        <w:t>年</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日</w:t>
      </w:r>
      <w:bookmarkEnd w:id="149"/>
      <w:bookmarkEnd w:id="150"/>
    </w:p>
    <w:p w14:paraId="70E804A9">
      <w:pPr>
        <w:widowControl/>
        <w:jc w:val="left"/>
        <w:rPr>
          <w:rFonts w:hint="eastAsia" w:ascii="宋体" w:hAnsi="宋体"/>
          <w:szCs w:val="21"/>
        </w:rPr>
      </w:pPr>
      <w:r>
        <w:rPr>
          <w:rFonts w:ascii="宋体" w:hAnsi="宋体"/>
          <w:b/>
          <w:bCs/>
          <w:szCs w:val="21"/>
        </w:rPr>
        <w:br w:type="page"/>
      </w:r>
    </w:p>
    <w:p w14:paraId="2D70B9E1">
      <w:pPr>
        <w:pStyle w:val="4"/>
        <w:adjustRightInd w:val="0"/>
        <w:snapToGrid w:val="0"/>
        <w:spacing w:before="0" w:after="0" w:line="360" w:lineRule="auto"/>
        <w:jc w:val="center"/>
        <w:rPr>
          <w:rFonts w:hint="eastAsia" w:ascii="黑体" w:hAnsi="宋体" w:eastAsia="黑体"/>
          <w:color w:val="000000"/>
          <w:sz w:val="28"/>
          <w:szCs w:val="28"/>
        </w:rPr>
      </w:pPr>
      <w:bookmarkStart w:id="151" w:name="_Toc8872"/>
      <w:r>
        <w:rPr>
          <w:rFonts w:hint="eastAsia" w:ascii="黑体" w:hAnsi="宋体" w:eastAsia="黑体"/>
          <w:color w:val="000000"/>
          <w:sz w:val="28"/>
          <w:szCs w:val="28"/>
          <w:lang w:eastAsia="zh-CN"/>
        </w:rPr>
        <w:t>六</w:t>
      </w:r>
      <w:r>
        <w:rPr>
          <w:rFonts w:hint="eastAsia" w:ascii="黑体" w:hAnsi="宋体" w:eastAsia="黑体"/>
          <w:color w:val="000000"/>
          <w:sz w:val="28"/>
          <w:szCs w:val="28"/>
        </w:rPr>
        <w:t>、分项报价</w:t>
      </w:r>
      <w:bookmarkEnd w:id="151"/>
    </w:p>
    <w:p w14:paraId="2A9D9D2D">
      <w:pPr>
        <w:pStyle w:val="5"/>
        <w:jc w:val="left"/>
        <w:rPr>
          <w:rFonts w:hint="eastAsia" w:ascii="宋体" w:hAnsi="宋体"/>
          <w:b w:val="0"/>
          <w:sz w:val="21"/>
        </w:rPr>
      </w:pPr>
    </w:p>
    <w:p w14:paraId="43501E7E">
      <w:pPr>
        <w:adjustRightInd w:val="0"/>
        <w:snapToGrid w:val="0"/>
        <w:spacing w:line="360" w:lineRule="auto"/>
        <w:jc w:val="center"/>
        <w:rPr>
          <w:rFonts w:hint="eastAsia" w:ascii="宋体" w:hAnsi="宋体"/>
          <w:b/>
          <w:kern w:val="0"/>
          <w:position w:val="-3"/>
          <w:sz w:val="28"/>
        </w:rPr>
      </w:pPr>
      <w:r>
        <w:rPr>
          <w:rFonts w:hint="eastAsia" w:ascii="宋体" w:hAnsi="宋体"/>
          <w:b/>
          <w:spacing w:val="-2"/>
          <w:kern w:val="0"/>
          <w:position w:val="-3"/>
          <w:sz w:val="28"/>
        </w:rPr>
        <w:t>分</w:t>
      </w:r>
      <w:r>
        <w:rPr>
          <w:rFonts w:hint="eastAsia" w:ascii="宋体" w:hAnsi="宋体"/>
          <w:b/>
          <w:kern w:val="0"/>
          <w:position w:val="-3"/>
          <w:sz w:val="28"/>
        </w:rPr>
        <w:t>项</w:t>
      </w:r>
      <w:r>
        <w:rPr>
          <w:rFonts w:hint="eastAsia" w:ascii="宋体" w:hAnsi="宋体"/>
          <w:b/>
          <w:spacing w:val="-2"/>
          <w:kern w:val="0"/>
          <w:position w:val="-3"/>
          <w:sz w:val="28"/>
        </w:rPr>
        <w:t>报</w:t>
      </w:r>
      <w:r>
        <w:rPr>
          <w:rFonts w:hint="eastAsia" w:ascii="宋体" w:hAnsi="宋体"/>
          <w:b/>
          <w:kern w:val="0"/>
          <w:position w:val="-3"/>
          <w:sz w:val="28"/>
        </w:rPr>
        <w:t>价明细表</w:t>
      </w:r>
    </w:p>
    <w:p w14:paraId="19F35545">
      <w:pPr>
        <w:adjustRightInd w:val="0"/>
        <w:snapToGrid w:val="0"/>
        <w:spacing w:line="360" w:lineRule="auto"/>
        <w:jc w:val="center"/>
        <w:rPr>
          <w:rFonts w:hint="eastAsia" w:ascii="宋体" w:hAnsi="宋体"/>
          <w:b/>
          <w:kern w:val="0"/>
          <w:position w:val="-3"/>
          <w:sz w:val="28"/>
        </w:rPr>
      </w:pPr>
    </w:p>
    <w:p w14:paraId="20840A63">
      <w:pPr>
        <w:adjustRightInd w:val="0"/>
        <w:snapToGrid w:val="0"/>
        <w:spacing w:line="360" w:lineRule="auto"/>
        <w:rPr>
          <w:rFonts w:hint="eastAsia" w:ascii="宋体" w:hAnsi="宋体"/>
        </w:rPr>
      </w:pPr>
      <w:r>
        <w:rPr>
          <w:rFonts w:hint="eastAsia" w:ascii="宋体" w:hAnsi="宋体"/>
          <w:szCs w:val="21"/>
        </w:rPr>
        <w:t>政府采购计划编号</w:t>
      </w:r>
      <w:r>
        <w:rPr>
          <w:rFonts w:hint="eastAsia" w:ascii="宋体" w:hAnsi="宋体"/>
        </w:rPr>
        <w:t>：</w:t>
      </w:r>
      <w:r>
        <w:rPr>
          <w:rFonts w:hint="eastAsia" w:ascii="宋体" w:hAnsi="宋体"/>
          <w:u w:val="single"/>
        </w:rPr>
        <w:t xml:space="preserve">           </w:t>
      </w:r>
      <w:r>
        <w:rPr>
          <w:rFonts w:hint="eastAsia" w:ascii="宋体" w:hAnsi="宋体"/>
        </w:rPr>
        <w:t xml:space="preserve">                       项目名称：</w:t>
      </w:r>
      <w:r>
        <w:rPr>
          <w:rFonts w:hint="eastAsia" w:ascii="宋体" w:hAnsi="宋体"/>
          <w:u w:val="single"/>
        </w:rPr>
        <w:t xml:space="preserve">                </w:t>
      </w:r>
      <w:r>
        <w:rPr>
          <w:rFonts w:hint="eastAsia" w:ascii="宋体" w:hAnsi="宋体"/>
        </w:rPr>
        <w:t xml:space="preserve">  </w:t>
      </w:r>
    </w:p>
    <w:tbl>
      <w:tblPr>
        <w:tblStyle w:val="46"/>
        <w:tblW w:w="886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631"/>
        <w:gridCol w:w="1667"/>
        <w:gridCol w:w="1086"/>
        <w:gridCol w:w="975"/>
        <w:gridCol w:w="1211"/>
        <w:gridCol w:w="1451"/>
      </w:tblGrid>
      <w:tr w14:paraId="4B70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2" w:hRule="atLeast"/>
          <w:jc w:val="center"/>
        </w:trPr>
        <w:tc>
          <w:tcPr>
            <w:tcW w:w="840" w:type="dxa"/>
            <w:tcBorders>
              <w:top w:val="single" w:color="auto" w:sz="6" w:space="0"/>
              <w:left w:val="single" w:color="auto" w:sz="6" w:space="0"/>
              <w:bottom w:val="double" w:color="auto" w:sz="4" w:space="0"/>
              <w:right w:val="single" w:color="auto" w:sz="6" w:space="0"/>
            </w:tcBorders>
            <w:noWrap/>
            <w:vAlign w:val="center"/>
          </w:tcPr>
          <w:p w14:paraId="0ACD0113">
            <w:pPr>
              <w:adjustRightInd w:val="0"/>
              <w:snapToGrid w:val="0"/>
              <w:spacing w:line="360" w:lineRule="auto"/>
              <w:jc w:val="center"/>
              <w:rPr>
                <w:rFonts w:hint="eastAsia" w:ascii="宋体" w:hAnsi="宋体"/>
              </w:rPr>
            </w:pPr>
            <w:r>
              <w:rPr>
                <w:rFonts w:hint="eastAsia" w:ascii="宋体" w:hAnsi="宋体"/>
              </w:rPr>
              <w:t>1</w:t>
            </w:r>
          </w:p>
        </w:tc>
        <w:tc>
          <w:tcPr>
            <w:tcW w:w="1631" w:type="dxa"/>
            <w:tcBorders>
              <w:top w:val="single" w:color="auto" w:sz="6" w:space="0"/>
              <w:left w:val="single" w:color="auto" w:sz="6" w:space="0"/>
              <w:bottom w:val="double" w:color="auto" w:sz="4" w:space="0"/>
              <w:right w:val="single" w:color="auto" w:sz="6" w:space="0"/>
            </w:tcBorders>
            <w:noWrap/>
            <w:vAlign w:val="center"/>
          </w:tcPr>
          <w:p w14:paraId="2F76AE4A">
            <w:pPr>
              <w:adjustRightInd w:val="0"/>
              <w:snapToGrid w:val="0"/>
              <w:spacing w:line="360" w:lineRule="auto"/>
              <w:jc w:val="center"/>
              <w:rPr>
                <w:rFonts w:hint="eastAsia" w:ascii="宋体" w:hAnsi="宋体"/>
              </w:rPr>
            </w:pPr>
            <w:r>
              <w:rPr>
                <w:rFonts w:hint="eastAsia" w:ascii="宋体" w:hAnsi="宋体"/>
              </w:rPr>
              <w:t>2</w:t>
            </w:r>
          </w:p>
        </w:tc>
        <w:tc>
          <w:tcPr>
            <w:tcW w:w="1667" w:type="dxa"/>
            <w:tcBorders>
              <w:top w:val="single" w:color="auto" w:sz="6" w:space="0"/>
              <w:left w:val="single" w:color="auto" w:sz="6" w:space="0"/>
              <w:bottom w:val="double" w:color="auto" w:sz="4" w:space="0"/>
              <w:right w:val="single" w:color="auto" w:sz="6" w:space="0"/>
            </w:tcBorders>
            <w:noWrap/>
            <w:vAlign w:val="center"/>
          </w:tcPr>
          <w:p w14:paraId="0FC3496E">
            <w:pPr>
              <w:adjustRightInd w:val="0"/>
              <w:snapToGrid w:val="0"/>
              <w:spacing w:line="360" w:lineRule="auto"/>
              <w:jc w:val="center"/>
              <w:rPr>
                <w:rFonts w:hint="eastAsia" w:ascii="宋体" w:hAnsi="宋体"/>
              </w:rPr>
            </w:pPr>
            <w:r>
              <w:rPr>
                <w:rFonts w:hint="eastAsia" w:ascii="宋体" w:hAnsi="宋体"/>
              </w:rPr>
              <w:t>3</w:t>
            </w:r>
          </w:p>
        </w:tc>
        <w:tc>
          <w:tcPr>
            <w:tcW w:w="1086" w:type="dxa"/>
            <w:tcBorders>
              <w:top w:val="single" w:color="auto" w:sz="6" w:space="0"/>
              <w:left w:val="single" w:color="auto" w:sz="6" w:space="0"/>
              <w:bottom w:val="double" w:color="auto" w:sz="4" w:space="0"/>
              <w:right w:val="single" w:color="auto" w:sz="6" w:space="0"/>
            </w:tcBorders>
            <w:noWrap/>
            <w:vAlign w:val="center"/>
          </w:tcPr>
          <w:p w14:paraId="6A1E9CE2">
            <w:pPr>
              <w:adjustRightInd w:val="0"/>
              <w:snapToGrid w:val="0"/>
              <w:spacing w:line="360" w:lineRule="auto"/>
              <w:jc w:val="center"/>
              <w:rPr>
                <w:rFonts w:hint="eastAsia" w:ascii="宋体" w:hAnsi="宋体"/>
              </w:rPr>
            </w:pPr>
            <w:r>
              <w:rPr>
                <w:rFonts w:hint="eastAsia" w:ascii="宋体" w:hAnsi="宋体"/>
              </w:rPr>
              <w:t>4</w:t>
            </w:r>
          </w:p>
        </w:tc>
        <w:tc>
          <w:tcPr>
            <w:tcW w:w="975" w:type="dxa"/>
            <w:tcBorders>
              <w:top w:val="single" w:color="auto" w:sz="6" w:space="0"/>
              <w:left w:val="single" w:color="auto" w:sz="6" w:space="0"/>
              <w:bottom w:val="double" w:color="auto" w:sz="4" w:space="0"/>
              <w:right w:val="single" w:color="auto" w:sz="6" w:space="0"/>
            </w:tcBorders>
            <w:noWrap/>
            <w:vAlign w:val="center"/>
          </w:tcPr>
          <w:p w14:paraId="11212EDA">
            <w:pPr>
              <w:adjustRightInd w:val="0"/>
              <w:snapToGrid w:val="0"/>
              <w:spacing w:line="360" w:lineRule="auto"/>
              <w:jc w:val="center"/>
              <w:rPr>
                <w:rFonts w:hint="eastAsia" w:ascii="宋体" w:hAnsi="宋体"/>
              </w:rPr>
            </w:pPr>
            <w:r>
              <w:rPr>
                <w:rFonts w:hint="eastAsia" w:ascii="宋体" w:hAnsi="宋体"/>
              </w:rPr>
              <w:t>5</w:t>
            </w:r>
          </w:p>
        </w:tc>
        <w:tc>
          <w:tcPr>
            <w:tcW w:w="1211" w:type="dxa"/>
            <w:tcBorders>
              <w:top w:val="single" w:color="auto" w:sz="6" w:space="0"/>
              <w:left w:val="single" w:color="auto" w:sz="6" w:space="0"/>
              <w:bottom w:val="double" w:color="auto" w:sz="4" w:space="0"/>
              <w:right w:val="single" w:color="auto" w:sz="6" w:space="0"/>
            </w:tcBorders>
            <w:noWrap/>
            <w:vAlign w:val="center"/>
          </w:tcPr>
          <w:p w14:paraId="7549D3B5">
            <w:pPr>
              <w:adjustRightInd w:val="0"/>
              <w:snapToGrid w:val="0"/>
              <w:spacing w:line="360" w:lineRule="auto"/>
              <w:jc w:val="center"/>
              <w:rPr>
                <w:rFonts w:hint="eastAsia" w:ascii="宋体" w:hAnsi="宋体"/>
              </w:rPr>
            </w:pPr>
            <w:r>
              <w:rPr>
                <w:rFonts w:hint="eastAsia" w:ascii="宋体" w:hAnsi="宋体"/>
              </w:rPr>
              <w:t>6</w:t>
            </w:r>
          </w:p>
        </w:tc>
        <w:tc>
          <w:tcPr>
            <w:tcW w:w="1451" w:type="dxa"/>
            <w:tcBorders>
              <w:top w:val="single" w:color="auto" w:sz="6" w:space="0"/>
              <w:left w:val="single" w:color="auto" w:sz="6" w:space="0"/>
              <w:bottom w:val="double" w:color="auto" w:sz="4" w:space="0"/>
              <w:right w:val="single" w:color="auto" w:sz="6" w:space="0"/>
            </w:tcBorders>
            <w:noWrap/>
            <w:vAlign w:val="top"/>
          </w:tcPr>
          <w:p w14:paraId="12BA5CAA">
            <w:pPr>
              <w:adjustRightInd w:val="0"/>
              <w:snapToGrid w:val="0"/>
              <w:spacing w:line="360" w:lineRule="auto"/>
              <w:jc w:val="center"/>
              <w:rPr>
                <w:rFonts w:hint="eastAsia" w:ascii="宋体" w:hAnsi="宋体"/>
              </w:rPr>
            </w:pPr>
            <w:r>
              <w:rPr>
                <w:rFonts w:hint="eastAsia" w:ascii="宋体" w:hAnsi="宋体"/>
              </w:rPr>
              <w:t>7</w:t>
            </w:r>
          </w:p>
        </w:tc>
      </w:tr>
      <w:tr w14:paraId="5ECC3F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840" w:type="dxa"/>
            <w:tcBorders>
              <w:top w:val="single" w:color="auto" w:sz="6" w:space="0"/>
              <w:left w:val="single" w:color="auto" w:sz="6" w:space="0"/>
              <w:bottom w:val="double" w:color="auto" w:sz="4" w:space="0"/>
              <w:right w:val="single" w:color="auto" w:sz="6" w:space="0"/>
            </w:tcBorders>
            <w:noWrap/>
            <w:vAlign w:val="center"/>
          </w:tcPr>
          <w:p w14:paraId="247217CB">
            <w:pPr>
              <w:adjustRightInd w:val="0"/>
              <w:snapToGrid w:val="0"/>
              <w:spacing w:line="360" w:lineRule="auto"/>
              <w:jc w:val="center"/>
              <w:rPr>
                <w:rFonts w:hint="eastAsia" w:ascii="宋体" w:hAnsi="宋体"/>
              </w:rPr>
            </w:pPr>
            <w:r>
              <w:rPr>
                <w:rFonts w:hint="eastAsia" w:ascii="宋体" w:hAnsi="宋体"/>
              </w:rPr>
              <w:t>序号</w:t>
            </w:r>
          </w:p>
        </w:tc>
        <w:tc>
          <w:tcPr>
            <w:tcW w:w="1631" w:type="dxa"/>
            <w:tcBorders>
              <w:top w:val="single" w:color="auto" w:sz="6" w:space="0"/>
              <w:left w:val="single" w:color="auto" w:sz="6" w:space="0"/>
              <w:bottom w:val="double" w:color="auto" w:sz="4" w:space="0"/>
              <w:right w:val="single" w:color="auto" w:sz="6" w:space="0"/>
            </w:tcBorders>
            <w:noWrap/>
            <w:vAlign w:val="center"/>
          </w:tcPr>
          <w:p w14:paraId="09A319C6">
            <w:pPr>
              <w:adjustRightInd w:val="0"/>
              <w:snapToGrid w:val="0"/>
              <w:spacing w:line="360" w:lineRule="auto"/>
              <w:jc w:val="center"/>
              <w:rPr>
                <w:rFonts w:hint="eastAsia" w:ascii="宋体" w:hAnsi="宋体"/>
              </w:rPr>
            </w:pPr>
            <w:r>
              <w:rPr>
                <w:rFonts w:hint="eastAsia" w:ascii="宋体" w:hAnsi="宋体"/>
              </w:rPr>
              <w:t>服务内容</w:t>
            </w:r>
          </w:p>
        </w:tc>
        <w:tc>
          <w:tcPr>
            <w:tcW w:w="1667" w:type="dxa"/>
            <w:tcBorders>
              <w:top w:val="single" w:color="auto" w:sz="6" w:space="0"/>
              <w:left w:val="single" w:color="auto" w:sz="6" w:space="0"/>
              <w:bottom w:val="double" w:color="auto" w:sz="4" w:space="0"/>
              <w:right w:val="single" w:color="auto" w:sz="6" w:space="0"/>
            </w:tcBorders>
            <w:noWrap/>
            <w:vAlign w:val="center"/>
          </w:tcPr>
          <w:p w14:paraId="38B7B350">
            <w:pPr>
              <w:adjustRightInd w:val="0"/>
              <w:snapToGrid w:val="0"/>
              <w:spacing w:line="360" w:lineRule="auto"/>
              <w:jc w:val="center"/>
              <w:rPr>
                <w:rFonts w:hint="eastAsia" w:ascii="宋体" w:hAnsi="宋体"/>
              </w:rPr>
            </w:pPr>
            <w:r>
              <w:rPr>
                <w:rFonts w:hint="eastAsia" w:ascii="宋体" w:hAnsi="宋体"/>
              </w:rPr>
              <w:t>费用明细</w:t>
            </w:r>
          </w:p>
        </w:tc>
        <w:tc>
          <w:tcPr>
            <w:tcW w:w="1086" w:type="dxa"/>
            <w:tcBorders>
              <w:top w:val="single" w:color="auto" w:sz="6" w:space="0"/>
              <w:left w:val="single" w:color="auto" w:sz="6" w:space="0"/>
              <w:bottom w:val="double" w:color="auto" w:sz="4" w:space="0"/>
              <w:right w:val="single" w:color="auto" w:sz="6" w:space="0"/>
            </w:tcBorders>
            <w:noWrap/>
            <w:vAlign w:val="center"/>
          </w:tcPr>
          <w:p w14:paraId="453F110A">
            <w:pPr>
              <w:adjustRightInd w:val="0"/>
              <w:snapToGrid w:val="0"/>
              <w:spacing w:line="360" w:lineRule="auto"/>
              <w:jc w:val="center"/>
              <w:rPr>
                <w:rFonts w:hint="eastAsia" w:ascii="宋体" w:hAnsi="宋体"/>
              </w:rPr>
            </w:pPr>
            <w:r>
              <w:rPr>
                <w:rFonts w:hint="eastAsia" w:ascii="宋体" w:hAnsi="宋体"/>
              </w:rPr>
              <w:t>单价</w:t>
            </w:r>
          </w:p>
        </w:tc>
        <w:tc>
          <w:tcPr>
            <w:tcW w:w="975" w:type="dxa"/>
            <w:tcBorders>
              <w:top w:val="single" w:color="auto" w:sz="6" w:space="0"/>
              <w:left w:val="single" w:color="auto" w:sz="6" w:space="0"/>
              <w:bottom w:val="double" w:color="auto" w:sz="4" w:space="0"/>
              <w:right w:val="single" w:color="auto" w:sz="6" w:space="0"/>
            </w:tcBorders>
            <w:noWrap/>
            <w:vAlign w:val="center"/>
          </w:tcPr>
          <w:p w14:paraId="5C65B9FE">
            <w:pPr>
              <w:adjustRightInd w:val="0"/>
              <w:snapToGrid w:val="0"/>
              <w:spacing w:line="360" w:lineRule="auto"/>
              <w:jc w:val="center"/>
              <w:rPr>
                <w:rFonts w:hint="eastAsia" w:ascii="宋体" w:hAnsi="宋体"/>
              </w:rPr>
            </w:pPr>
            <w:r>
              <w:rPr>
                <w:rFonts w:hint="eastAsia" w:ascii="宋体" w:hAnsi="宋体"/>
              </w:rPr>
              <w:t>数量</w:t>
            </w:r>
          </w:p>
        </w:tc>
        <w:tc>
          <w:tcPr>
            <w:tcW w:w="1211" w:type="dxa"/>
            <w:tcBorders>
              <w:top w:val="single" w:color="auto" w:sz="6" w:space="0"/>
              <w:left w:val="single" w:color="auto" w:sz="6" w:space="0"/>
              <w:bottom w:val="double" w:color="auto" w:sz="4" w:space="0"/>
              <w:right w:val="single" w:color="auto" w:sz="6" w:space="0"/>
            </w:tcBorders>
            <w:noWrap/>
            <w:vAlign w:val="center"/>
          </w:tcPr>
          <w:p w14:paraId="5076A2B2">
            <w:pPr>
              <w:adjustRightInd w:val="0"/>
              <w:snapToGrid w:val="0"/>
              <w:spacing w:line="360" w:lineRule="auto"/>
              <w:jc w:val="center"/>
              <w:rPr>
                <w:rFonts w:hint="eastAsia" w:ascii="宋体" w:hAnsi="宋体"/>
              </w:rPr>
            </w:pPr>
            <w:r>
              <w:rPr>
                <w:rFonts w:hint="eastAsia" w:ascii="宋体" w:hAnsi="宋体"/>
              </w:rPr>
              <w:t>合计</w:t>
            </w:r>
          </w:p>
        </w:tc>
        <w:tc>
          <w:tcPr>
            <w:tcW w:w="1451" w:type="dxa"/>
            <w:tcBorders>
              <w:top w:val="single" w:color="auto" w:sz="6" w:space="0"/>
              <w:left w:val="single" w:color="auto" w:sz="6" w:space="0"/>
              <w:bottom w:val="double" w:color="auto" w:sz="4" w:space="0"/>
              <w:right w:val="single" w:color="auto" w:sz="6" w:space="0"/>
            </w:tcBorders>
            <w:noWrap/>
            <w:vAlign w:val="center"/>
          </w:tcPr>
          <w:p w14:paraId="32F2F55F">
            <w:pPr>
              <w:adjustRightInd w:val="0"/>
              <w:snapToGrid w:val="0"/>
              <w:spacing w:line="360" w:lineRule="auto"/>
              <w:jc w:val="center"/>
              <w:rPr>
                <w:rFonts w:hint="eastAsia" w:ascii="宋体" w:hAnsi="宋体"/>
              </w:rPr>
            </w:pPr>
            <w:r>
              <w:rPr>
                <w:rFonts w:hint="eastAsia" w:ascii="宋体" w:hAnsi="宋体"/>
              </w:rPr>
              <w:t>备注</w:t>
            </w:r>
          </w:p>
        </w:tc>
      </w:tr>
      <w:tr w14:paraId="24F273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840" w:type="dxa"/>
            <w:tcBorders>
              <w:top w:val="single" w:color="auto" w:sz="6" w:space="0"/>
              <w:left w:val="single" w:color="auto" w:sz="6" w:space="0"/>
              <w:bottom w:val="double" w:color="auto" w:sz="4" w:space="0"/>
              <w:right w:val="single" w:color="auto" w:sz="6" w:space="0"/>
            </w:tcBorders>
            <w:noWrap/>
            <w:vAlign w:val="center"/>
          </w:tcPr>
          <w:p w14:paraId="7A4DDE58">
            <w:pPr>
              <w:adjustRightInd w:val="0"/>
              <w:snapToGrid w:val="0"/>
              <w:spacing w:line="360" w:lineRule="auto"/>
              <w:jc w:val="center"/>
              <w:rPr>
                <w:rFonts w:hint="eastAsia" w:ascii="宋体" w:hAnsi="宋体"/>
              </w:rPr>
            </w:pPr>
          </w:p>
        </w:tc>
        <w:tc>
          <w:tcPr>
            <w:tcW w:w="1631" w:type="dxa"/>
            <w:tcBorders>
              <w:top w:val="single" w:color="auto" w:sz="6" w:space="0"/>
              <w:left w:val="single" w:color="auto" w:sz="6" w:space="0"/>
              <w:bottom w:val="double" w:color="auto" w:sz="4" w:space="0"/>
              <w:right w:val="single" w:color="auto" w:sz="6" w:space="0"/>
            </w:tcBorders>
            <w:noWrap/>
            <w:vAlign w:val="center"/>
          </w:tcPr>
          <w:p w14:paraId="38A5BFFA">
            <w:pPr>
              <w:adjustRightInd w:val="0"/>
              <w:snapToGrid w:val="0"/>
              <w:spacing w:line="360" w:lineRule="auto"/>
              <w:jc w:val="center"/>
              <w:rPr>
                <w:rFonts w:hint="eastAsia" w:ascii="宋体" w:hAnsi="宋体"/>
              </w:rPr>
            </w:pPr>
          </w:p>
        </w:tc>
        <w:tc>
          <w:tcPr>
            <w:tcW w:w="1667" w:type="dxa"/>
            <w:tcBorders>
              <w:top w:val="single" w:color="auto" w:sz="6" w:space="0"/>
              <w:left w:val="single" w:color="auto" w:sz="6" w:space="0"/>
              <w:bottom w:val="double" w:color="auto" w:sz="4" w:space="0"/>
              <w:right w:val="single" w:color="auto" w:sz="6" w:space="0"/>
            </w:tcBorders>
            <w:noWrap/>
            <w:vAlign w:val="center"/>
          </w:tcPr>
          <w:p w14:paraId="078DFF00">
            <w:pPr>
              <w:adjustRightInd w:val="0"/>
              <w:snapToGrid w:val="0"/>
              <w:spacing w:line="360" w:lineRule="auto"/>
              <w:jc w:val="center"/>
              <w:rPr>
                <w:rFonts w:hint="eastAsia" w:ascii="宋体" w:hAnsi="宋体"/>
              </w:rPr>
            </w:pPr>
          </w:p>
        </w:tc>
        <w:tc>
          <w:tcPr>
            <w:tcW w:w="1086" w:type="dxa"/>
            <w:tcBorders>
              <w:top w:val="single" w:color="auto" w:sz="6" w:space="0"/>
              <w:left w:val="single" w:color="auto" w:sz="6" w:space="0"/>
              <w:bottom w:val="double" w:color="auto" w:sz="4" w:space="0"/>
              <w:right w:val="single" w:color="auto" w:sz="6" w:space="0"/>
            </w:tcBorders>
            <w:noWrap/>
            <w:vAlign w:val="center"/>
          </w:tcPr>
          <w:p w14:paraId="09F25BBD">
            <w:pPr>
              <w:adjustRightInd w:val="0"/>
              <w:snapToGrid w:val="0"/>
              <w:spacing w:line="360" w:lineRule="auto"/>
              <w:jc w:val="center"/>
              <w:rPr>
                <w:rFonts w:hint="eastAsia" w:ascii="宋体" w:hAnsi="宋体"/>
              </w:rPr>
            </w:pPr>
          </w:p>
        </w:tc>
        <w:tc>
          <w:tcPr>
            <w:tcW w:w="975" w:type="dxa"/>
            <w:tcBorders>
              <w:top w:val="single" w:color="auto" w:sz="6" w:space="0"/>
              <w:left w:val="single" w:color="auto" w:sz="6" w:space="0"/>
              <w:bottom w:val="double" w:color="auto" w:sz="4" w:space="0"/>
              <w:right w:val="single" w:color="auto" w:sz="6" w:space="0"/>
            </w:tcBorders>
            <w:noWrap/>
            <w:vAlign w:val="center"/>
          </w:tcPr>
          <w:p w14:paraId="26524B59">
            <w:pPr>
              <w:adjustRightInd w:val="0"/>
              <w:snapToGrid w:val="0"/>
              <w:spacing w:line="360" w:lineRule="auto"/>
              <w:jc w:val="center"/>
              <w:rPr>
                <w:rFonts w:hint="eastAsia" w:ascii="宋体" w:hAnsi="宋体"/>
              </w:rPr>
            </w:pPr>
          </w:p>
        </w:tc>
        <w:tc>
          <w:tcPr>
            <w:tcW w:w="1211" w:type="dxa"/>
            <w:tcBorders>
              <w:top w:val="single" w:color="auto" w:sz="6" w:space="0"/>
              <w:left w:val="single" w:color="auto" w:sz="6" w:space="0"/>
              <w:bottom w:val="double" w:color="auto" w:sz="4" w:space="0"/>
              <w:right w:val="single" w:color="auto" w:sz="6" w:space="0"/>
            </w:tcBorders>
            <w:noWrap/>
            <w:vAlign w:val="center"/>
          </w:tcPr>
          <w:p w14:paraId="021A53DE">
            <w:pPr>
              <w:adjustRightInd w:val="0"/>
              <w:snapToGrid w:val="0"/>
              <w:spacing w:line="360" w:lineRule="auto"/>
              <w:jc w:val="center"/>
              <w:rPr>
                <w:rFonts w:hint="eastAsia" w:ascii="宋体" w:hAnsi="宋体"/>
              </w:rPr>
            </w:pPr>
          </w:p>
        </w:tc>
        <w:tc>
          <w:tcPr>
            <w:tcW w:w="1451" w:type="dxa"/>
            <w:tcBorders>
              <w:top w:val="single" w:color="auto" w:sz="6" w:space="0"/>
              <w:left w:val="single" w:color="auto" w:sz="6" w:space="0"/>
              <w:bottom w:val="double" w:color="auto" w:sz="4" w:space="0"/>
              <w:right w:val="single" w:color="auto" w:sz="6" w:space="0"/>
            </w:tcBorders>
            <w:noWrap/>
            <w:vAlign w:val="top"/>
          </w:tcPr>
          <w:p w14:paraId="75042C03">
            <w:pPr>
              <w:adjustRightInd w:val="0"/>
              <w:snapToGrid w:val="0"/>
              <w:spacing w:line="360" w:lineRule="auto"/>
              <w:jc w:val="center"/>
              <w:rPr>
                <w:rFonts w:hint="eastAsia" w:ascii="宋体" w:hAnsi="宋体"/>
              </w:rPr>
            </w:pPr>
          </w:p>
        </w:tc>
      </w:tr>
      <w:tr w14:paraId="733689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840" w:type="dxa"/>
            <w:tcBorders>
              <w:top w:val="single" w:color="auto" w:sz="6" w:space="0"/>
              <w:left w:val="single" w:color="auto" w:sz="6" w:space="0"/>
              <w:bottom w:val="double" w:color="auto" w:sz="4" w:space="0"/>
              <w:right w:val="single" w:color="auto" w:sz="6" w:space="0"/>
            </w:tcBorders>
            <w:noWrap/>
            <w:vAlign w:val="center"/>
          </w:tcPr>
          <w:p w14:paraId="65BCF506">
            <w:pPr>
              <w:adjustRightInd w:val="0"/>
              <w:snapToGrid w:val="0"/>
              <w:spacing w:line="360" w:lineRule="auto"/>
              <w:jc w:val="center"/>
              <w:rPr>
                <w:rFonts w:hint="eastAsia" w:ascii="宋体" w:hAnsi="宋体"/>
              </w:rPr>
            </w:pPr>
          </w:p>
        </w:tc>
        <w:tc>
          <w:tcPr>
            <w:tcW w:w="1631" w:type="dxa"/>
            <w:tcBorders>
              <w:top w:val="single" w:color="auto" w:sz="6" w:space="0"/>
              <w:left w:val="single" w:color="auto" w:sz="6" w:space="0"/>
              <w:bottom w:val="double" w:color="auto" w:sz="4" w:space="0"/>
              <w:right w:val="single" w:color="auto" w:sz="6" w:space="0"/>
            </w:tcBorders>
            <w:noWrap/>
            <w:vAlign w:val="center"/>
          </w:tcPr>
          <w:p w14:paraId="6A11F36F">
            <w:pPr>
              <w:adjustRightInd w:val="0"/>
              <w:snapToGrid w:val="0"/>
              <w:spacing w:line="360" w:lineRule="auto"/>
              <w:jc w:val="center"/>
              <w:rPr>
                <w:rFonts w:hint="eastAsia" w:ascii="宋体" w:hAnsi="宋体"/>
              </w:rPr>
            </w:pPr>
          </w:p>
        </w:tc>
        <w:tc>
          <w:tcPr>
            <w:tcW w:w="1667" w:type="dxa"/>
            <w:tcBorders>
              <w:top w:val="single" w:color="auto" w:sz="6" w:space="0"/>
              <w:left w:val="single" w:color="auto" w:sz="6" w:space="0"/>
              <w:bottom w:val="double" w:color="auto" w:sz="4" w:space="0"/>
              <w:right w:val="single" w:color="auto" w:sz="6" w:space="0"/>
            </w:tcBorders>
            <w:noWrap/>
            <w:vAlign w:val="center"/>
          </w:tcPr>
          <w:p w14:paraId="6BC14920">
            <w:pPr>
              <w:adjustRightInd w:val="0"/>
              <w:snapToGrid w:val="0"/>
              <w:spacing w:line="360" w:lineRule="auto"/>
              <w:jc w:val="center"/>
              <w:rPr>
                <w:rFonts w:hint="eastAsia" w:ascii="宋体" w:hAnsi="宋体"/>
              </w:rPr>
            </w:pPr>
          </w:p>
        </w:tc>
        <w:tc>
          <w:tcPr>
            <w:tcW w:w="1086" w:type="dxa"/>
            <w:tcBorders>
              <w:top w:val="single" w:color="auto" w:sz="6" w:space="0"/>
              <w:left w:val="single" w:color="auto" w:sz="6" w:space="0"/>
              <w:bottom w:val="double" w:color="auto" w:sz="4" w:space="0"/>
              <w:right w:val="single" w:color="auto" w:sz="6" w:space="0"/>
            </w:tcBorders>
            <w:noWrap/>
            <w:vAlign w:val="center"/>
          </w:tcPr>
          <w:p w14:paraId="43BAE452">
            <w:pPr>
              <w:adjustRightInd w:val="0"/>
              <w:snapToGrid w:val="0"/>
              <w:spacing w:line="360" w:lineRule="auto"/>
              <w:jc w:val="center"/>
              <w:rPr>
                <w:rFonts w:hint="eastAsia" w:ascii="宋体" w:hAnsi="宋体"/>
              </w:rPr>
            </w:pPr>
          </w:p>
        </w:tc>
        <w:tc>
          <w:tcPr>
            <w:tcW w:w="975" w:type="dxa"/>
            <w:tcBorders>
              <w:top w:val="single" w:color="auto" w:sz="6" w:space="0"/>
              <w:left w:val="single" w:color="auto" w:sz="6" w:space="0"/>
              <w:bottom w:val="double" w:color="auto" w:sz="4" w:space="0"/>
              <w:right w:val="single" w:color="auto" w:sz="6" w:space="0"/>
            </w:tcBorders>
            <w:noWrap/>
            <w:vAlign w:val="center"/>
          </w:tcPr>
          <w:p w14:paraId="7716AC37">
            <w:pPr>
              <w:adjustRightInd w:val="0"/>
              <w:snapToGrid w:val="0"/>
              <w:spacing w:line="360" w:lineRule="auto"/>
              <w:jc w:val="center"/>
              <w:rPr>
                <w:rFonts w:hint="eastAsia" w:ascii="宋体" w:hAnsi="宋体"/>
              </w:rPr>
            </w:pPr>
          </w:p>
        </w:tc>
        <w:tc>
          <w:tcPr>
            <w:tcW w:w="1211" w:type="dxa"/>
            <w:tcBorders>
              <w:top w:val="single" w:color="auto" w:sz="6" w:space="0"/>
              <w:left w:val="single" w:color="auto" w:sz="6" w:space="0"/>
              <w:bottom w:val="double" w:color="auto" w:sz="4" w:space="0"/>
              <w:right w:val="single" w:color="auto" w:sz="6" w:space="0"/>
            </w:tcBorders>
            <w:noWrap/>
            <w:vAlign w:val="center"/>
          </w:tcPr>
          <w:p w14:paraId="71D5CB1D">
            <w:pPr>
              <w:adjustRightInd w:val="0"/>
              <w:snapToGrid w:val="0"/>
              <w:spacing w:line="360" w:lineRule="auto"/>
              <w:jc w:val="center"/>
              <w:rPr>
                <w:rFonts w:hint="eastAsia" w:ascii="宋体" w:hAnsi="宋体"/>
              </w:rPr>
            </w:pPr>
          </w:p>
        </w:tc>
        <w:tc>
          <w:tcPr>
            <w:tcW w:w="1451" w:type="dxa"/>
            <w:tcBorders>
              <w:top w:val="single" w:color="auto" w:sz="6" w:space="0"/>
              <w:left w:val="single" w:color="auto" w:sz="6" w:space="0"/>
              <w:bottom w:val="double" w:color="auto" w:sz="4" w:space="0"/>
              <w:right w:val="single" w:color="auto" w:sz="6" w:space="0"/>
            </w:tcBorders>
            <w:noWrap/>
            <w:vAlign w:val="top"/>
          </w:tcPr>
          <w:p w14:paraId="42EF922F">
            <w:pPr>
              <w:adjustRightInd w:val="0"/>
              <w:snapToGrid w:val="0"/>
              <w:spacing w:line="360" w:lineRule="auto"/>
              <w:jc w:val="center"/>
              <w:rPr>
                <w:rFonts w:hint="eastAsia" w:ascii="宋体" w:hAnsi="宋体"/>
              </w:rPr>
            </w:pPr>
          </w:p>
        </w:tc>
      </w:tr>
      <w:tr w14:paraId="763B28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840" w:type="dxa"/>
            <w:tcBorders>
              <w:top w:val="single" w:color="auto" w:sz="6" w:space="0"/>
              <w:left w:val="single" w:color="auto" w:sz="6" w:space="0"/>
              <w:bottom w:val="double" w:color="auto" w:sz="4" w:space="0"/>
              <w:right w:val="single" w:color="auto" w:sz="6" w:space="0"/>
            </w:tcBorders>
            <w:noWrap/>
            <w:vAlign w:val="center"/>
          </w:tcPr>
          <w:p w14:paraId="46B5D324">
            <w:pPr>
              <w:adjustRightInd w:val="0"/>
              <w:snapToGrid w:val="0"/>
              <w:spacing w:line="360" w:lineRule="auto"/>
              <w:jc w:val="center"/>
              <w:rPr>
                <w:rFonts w:hint="eastAsia" w:ascii="宋体" w:hAnsi="宋体"/>
              </w:rPr>
            </w:pPr>
          </w:p>
        </w:tc>
        <w:tc>
          <w:tcPr>
            <w:tcW w:w="1631" w:type="dxa"/>
            <w:tcBorders>
              <w:top w:val="single" w:color="auto" w:sz="6" w:space="0"/>
              <w:left w:val="single" w:color="auto" w:sz="6" w:space="0"/>
              <w:bottom w:val="double" w:color="auto" w:sz="4" w:space="0"/>
              <w:right w:val="single" w:color="auto" w:sz="6" w:space="0"/>
            </w:tcBorders>
            <w:noWrap/>
            <w:vAlign w:val="center"/>
          </w:tcPr>
          <w:p w14:paraId="39EAEAD5">
            <w:pPr>
              <w:adjustRightInd w:val="0"/>
              <w:snapToGrid w:val="0"/>
              <w:spacing w:line="360" w:lineRule="auto"/>
              <w:jc w:val="center"/>
              <w:rPr>
                <w:rFonts w:hint="eastAsia" w:ascii="宋体" w:hAnsi="宋体"/>
              </w:rPr>
            </w:pPr>
          </w:p>
        </w:tc>
        <w:tc>
          <w:tcPr>
            <w:tcW w:w="1667" w:type="dxa"/>
            <w:tcBorders>
              <w:top w:val="single" w:color="auto" w:sz="6" w:space="0"/>
              <w:left w:val="single" w:color="auto" w:sz="6" w:space="0"/>
              <w:bottom w:val="double" w:color="auto" w:sz="4" w:space="0"/>
              <w:right w:val="single" w:color="auto" w:sz="6" w:space="0"/>
            </w:tcBorders>
            <w:noWrap/>
            <w:vAlign w:val="center"/>
          </w:tcPr>
          <w:p w14:paraId="51F072B7">
            <w:pPr>
              <w:adjustRightInd w:val="0"/>
              <w:snapToGrid w:val="0"/>
              <w:spacing w:line="360" w:lineRule="auto"/>
              <w:jc w:val="center"/>
              <w:rPr>
                <w:rFonts w:hint="eastAsia" w:ascii="宋体" w:hAnsi="宋体"/>
              </w:rPr>
            </w:pPr>
          </w:p>
        </w:tc>
        <w:tc>
          <w:tcPr>
            <w:tcW w:w="1086" w:type="dxa"/>
            <w:tcBorders>
              <w:top w:val="single" w:color="auto" w:sz="6" w:space="0"/>
              <w:left w:val="single" w:color="auto" w:sz="6" w:space="0"/>
              <w:bottom w:val="double" w:color="auto" w:sz="4" w:space="0"/>
              <w:right w:val="single" w:color="auto" w:sz="6" w:space="0"/>
            </w:tcBorders>
            <w:noWrap/>
            <w:vAlign w:val="center"/>
          </w:tcPr>
          <w:p w14:paraId="389C567C">
            <w:pPr>
              <w:adjustRightInd w:val="0"/>
              <w:snapToGrid w:val="0"/>
              <w:spacing w:line="360" w:lineRule="auto"/>
              <w:jc w:val="center"/>
              <w:rPr>
                <w:rFonts w:hint="eastAsia" w:ascii="宋体" w:hAnsi="宋体"/>
              </w:rPr>
            </w:pPr>
          </w:p>
        </w:tc>
        <w:tc>
          <w:tcPr>
            <w:tcW w:w="975" w:type="dxa"/>
            <w:tcBorders>
              <w:top w:val="single" w:color="auto" w:sz="6" w:space="0"/>
              <w:left w:val="single" w:color="auto" w:sz="6" w:space="0"/>
              <w:bottom w:val="double" w:color="auto" w:sz="4" w:space="0"/>
              <w:right w:val="single" w:color="auto" w:sz="6" w:space="0"/>
            </w:tcBorders>
            <w:noWrap/>
            <w:vAlign w:val="center"/>
          </w:tcPr>
          <w:p w14:paraId="3989A367">
            <w:pPr>
              <w:adjustRightInd w:val="0"/>
              <w:snapToGrid w:val="0"/>
              <w:spacing w:line="360" w:lineRule="auto"/>
              <w:jc w:val="center"/>
              <w:rPr>
                <w:rFonts w:hint="eastAsia" w:ascii="宋体" w:hAnsi="宋体"/>
              </w:rPr>
            </w:pPr>
          </w:p>
        </w:tc>
        <w:tc>
          <w:tcPr>
            <w:tcW w:w="1211" w:type="dxa"/>
            <w:tcBorders>
              <w:top w:val="single" w:color="auto" w:sz="6" w:space="0"/>
              <w:left w:val="single" w:color="auto" w:sz="6" w:space="0"/>
              <w:bottom w:val="double" w:color="auto" w:sz="4" w:space="0"/>
              <w:right w:val="single" w:color="auto" w:sz="6" w:space="0"/>
            </w:tcBorders>
            <w:noWrap/>
            <w:vAlign w:val="center"/>
          </w:tcPr>
          <w:p w14:paraId="0E354CC0">
            <w:pPr>
              <w:adjustRightInd w:val="0"/>
              <w:snapToGrid w:val="0"/>
              <w:spacing w:line="360" w:lineRule="auto"/>
              <w:jc w:val="center"/>
              <w:rPr>
                <w:rFonts w:hint="eastAsia" w:ascii="宋体" w:hAnsi="宋体"/>
              </w:rPr>
            </w:pPr>
          </w:p>
        </w:tc>
        <w:tc>
          <w:tcPr>
            <w:tcW w:w="1451" w:type="dxa"/>
            <w:tcBorders>
              <w:top w:val="single" w:color="auto" w:sz="6" w:space="0"/>
              <w:left w:val="single" w:color="auto" w:sz="6" w:space="0"/>
              <w:bottom w:val="double" w:color="auto" w:sz="4" w:space="0"/>
              <w:right w:val="single" w:color="auto" w:sz="6" w:space="0"/>
            </w:tcBorders>
            <w:noWrap/>
            <w:vAlign w:val="top"/>
          </w:tcPr>
          <w:p w14:paraId="4FAEA769">
            <w:pPr>
              <w:adjustRightInd w:val="0"/>
              <w:snapToGrid w:val="0"/>
              <w:spacing w:line="360" w:lineRule="auto"/>
              <w:jc w:val="center"/>
              <w:rPr>
                <w:rFonts w:hint="eastAsia" w:ascii="宋体" w:hAnsi="宋体"/>
              </w:rPr>
            </w:pPr>
          </w:p>
        </w:tc>
      </w:tr>
      <w:tr w14:paraId="472303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840" w:type="dxa"/>
            <w:tcBorders>
              <w:top w:val="single" w:color="auto" w:sz="6" w:space="0"/>
              <w:left w:val="single" w:color="auto" w:sz="6" w:space="0"/>
              <w:bottom w:val="double" w:color="auto" w:sz="4" w:space="0"/>
              <w:right w:val="single" w:color="auto" w:sz="6" w:space="0"/>
            </w:tcBorders>
            <w:noWrap/>
            <w:vAlign w:val="center"/>
          </w:tcPr>
          <w:p w14:paraId="734F3E66">
            <w:pPr>
              <w:adjustRightInd w:val="0"/>
              <w:snapToGrid w:val="0"/>
              <w:spacing w:line="360" w:lineRule="auto"/>
              <w:jc w:val="center"/>
              <w:rPr>
                <w:rFonts w:hint="eastAsia" w:ascii="宋体" w:hAnsi="宋体"/>
              </w:rPr>
            </w:pPr>
            <w:r>
              <w:rPr>
                <w:rFonts w:hint="eastAsia" w:ascii="宋体" w:hAnsi="宋体"/>
              </w:rPr>
              <w:t>合计</w:t>
            </w:r>
          </w:p>
        </w:tc>
        <w:tc>
          <w:tcPr>
            <w:tcW w:w="1631" w:type="dxa"/>
            <w:tcBorders>
              <w:top w:val="single" w:color="auto" w:sz="6" w:space="0"/>
              <w:left w:val="single" w:color="auto" w:sz="6" w:space="0"/>
              <w:bottom w:val="double" w:color="auto" w:sz="4" w:space="0"/>
              <w:right w:val="single" w:color="auto" w:sz="6" w:space="0"/>
            </w:tcBorders>
            <w:noWrap/>
            <w:vAlign w:val="center"/>
          </w:tcPr>
          <w:p w14:paraId="69E60D06">
            <w:pPr>
              <w:adjustRightInd w:val="0"/>
              <w:snapToGrid w:val="0"/>
              <w:spacing w:line="360" w:lineRule="auto"/>
              <w:jc w:val="center"/>
              <w:rPr>
                <w:rFonts w:hint="eastAsia" w:ascii="宋体" w:hAnsi="宋体"/>
              </w:rPr>
            </w:pPr>
            <w:r>
              <w:rPr>
                <w:rFonts w:hint="eastAsia" w:ascii="宋体" w:hAnsi="宋体"/>
              </w:rPr>
              <w:t>/</w:t>
            </w:r>
          </w:p>
        </w:tc>
        <w:tc>
          <w:tcPr>
            <w:tcW w:w="1667" w:type="dxa"/>
            <w:tcBorders>
              <w:top w:val="single" w:color="auto" w:sz="6" w:space="0"/>
              <w:left w:val="single" w:color="auto" w:sz="6" w:space="0"/>
              <w:bottom w:val="double" w:color="auto" w:sz="4" w:space="0"/>
              <w:right w:val="single" w:color="auto" w:sz="6" w:space="0"/>
            </w:tcBorders>
            <w:noWrap/>
            <w:vAlign w:val="center"/>
          </w:tcPr>
          <w:p w14:paraId="686568BF">
            <w:pPr>
              <w:adjustRightInd w:val="0"/>
              <w:snapToGrid w:val="0"/>
              <w:spacing w:line="360" w:lineRule="auto"/>
              <w:jc w:val="center"/>
              <w:rPr>
                <w:rFonts w:hint="eastAsia" w:ascii="宋体" w:hAnsi="宋体"/>
              </w:rPr>
            </w:pPr>
            <w:r>
              <w:rPr>
                <w:rFonts w:hint="eastAsia" w:ascii="宋体" w:hAnsi="宋体"/>
              </w:rPr>
              <w:t>/</w:t>
            </w:r>
          </w:p>
        </w:tc>
        <w:tc>
          <w:tcPr>
            <w:tcW w:w="1086" w:type="dxa"/>
            <w:tcBorders>
              <w:top w:val="single" w:color="auto" w:sz="6" w:space="0"/>
              <w:left w:val="single" w:color="auto" w:sz="6" w:space="0"/>
              <w:bottom w:val="double" w:color="auto" w:sz="4" w:space="0"/>
              <w:right w:val="single" w:color="auto" w:sz="6" w:space="0"/>
            </w:tcBorders>
            <w:noWrap/>
            <w:vAlign w:val="center"/>
          </w:tcPr>
          <w:p w14:paraId="276CC721">
            <w:pPr>
              <w:adjustRightInd w:val="0"/>
              <w:snapToGrid w:val="0"/>
              <w:spacing w:line="360" w:lineRule="auto"/>
              <w:jc w:val="center"/>
              <w:rPr>
                <w:rFonts w:hint="eastAsia" w:ascii="宋体" w:hAnsi="宋体"/>
              </w:rPr>
            </w:pPr>
            <w:r>
              <w:rPr>
                <w:rFonts w:hint="eastAsia" w:ascii="宋体" w:hAnsi="宋体"/>
              </w:rPr>
              <w:t>/</w:t>
            </w:r>
          </w:p>
        </w:tc>
        <w:tc>
          <w:tcPr>
            <w:tcW w:w="975" w:type="dxa"/>
            <w:tcBorders>
              <w:top w:val="single" w:color="auto" w:sz="6" w:space="0"/>
              <w:left w:val="single" w:color="auto" w:sz="6" w:space="0"/>
              <w:bottom w:val="double" w:color="auto" w:sz="4" w:space="0"/>
              <w:right w:val="single" w:color="auto" w:sz="6" w:space="0"/>
            </w:tcBorders>
            <w:noWrap/>
            <w:vAlign w:val="center"/>
          </w:tcPr>
          <w:p w14:paraId="67422D19">
            <w:pPr>
              <w:adjustRightInd w:val="0"/>
              <w:snapToGrid w:val="0"/>
              <w:spacing w:line="360" w:lineRule="auto"/>
              <w:jc w:val="center"/>
              <w:rPr>
                <w:rFonts w:hint="eastAsia" w:ascii="宋体" w:hAnsi="宋体"/>
              </w:rPr>
            </w:pPr>
            <w:r>
              <w:rPr>
                <w:rFonts w:hint="eastAsia" w:ascii="宋体" w:hAnsi="宋体"/>
              </w:rPr>
              <w:t>/</w:t>
            </w:r>
          </w:p>
        </w:tc>
        <w:tc>
          <w:tcPr>
            <w:tcW w:w="1211" w:type="dxa"/>
            <w:tcBorders>
              <w:top w:val="single" w:color="auto" w:sz="6" w:space="0"/>
              <w:left w:val="single" w:color="auto" w:sz="6" w:space="0"/>
              <w:bottom w:val="double" w:color="auto" w:sz="4" w:space="0"/>
              <w:right w:val="single" w:color="auto" w:sz="6" w:space="0"/>
            </w:tcBorders>
            <w:noWrap/>
            <w:vAlign w:val="center"/>
          </w:tcPr>
          <w:p w14:paraId="4B25ACAF">
            <w:pPr>
              <w:adjustRightInd w:val="0"/>
              <w:snapToGrid w:val="0"/>
              <w:spacing w:line="360" w:lineRule="auto"/>
              <w:jc w:val="center"/>
              <w:rPr>
                <w:rFonts w:hint="eastAsia" w:ascii="宋体" w:hAnsi="宋体"/>
              </w:rPr>
            </w:pPr>
          </w:p>
        </w:tc>
        <w:tc>
          <w:tcPr>
            <w:tcW w:w="1451" w:type="dxa"/>
            <w:tcBorders>
              <w:top w:val="single" w:color="auto" w:sz="6" w:space="0"/>
              <w:left w:val="single" w:color="auto" w:sz="6" w:space="0"/>
              <w:bottom w:val="double" w:color="auto" w:sz="4" w:space="0"/>
              <w:right w:val="single" w:color="auto" w:sz="6" w:space="0"/>
            </w:tcBorders>
            <w:noWrap/>
            <w:vAlign w:val="top"/>
          </w:tcPr>
          <w:p w14:paraId="7CB4746A">
            <w:pPr>
              <w:adjustRightInd w:val="0"/>
              <w:snapToGrid w:val="0"/>
              <w:spacing w:line="360" w:lineRule="auto"/>
              <w:jc w:val="center"/>
              <w:rPr>
                <w:rFonts w:hint="eastAsia" w:ascii="宋体" w:hAnsi="宋体"/>
              </w:rPr>
            </w:pPr>
          </w:p>
        </w:tc>
      </w:tr>
    </w:tbl>
    <w:p w14:paraId="41EA1499">
      <w:pPr>
        <w:adjustRightInd w:val="0"/>
        <w:snapToGrid w:val="0"/>
        <w:spacing w:line="360" w:lineRule="auto"/>
        <w:rPr>
          <w:rFonts w:hint="eastAsia" w:ascii="宋体" w:hAnsi="宋体"/>
        </w:rPr>
      </w:pPr>
    </w:p>
    <w:p w14:paraId="0ED685CB">
      <w:pPr>
        <w:adjustRightInd w:val="0"/>
        <w:snapToGrid w:val="0"/>
        <w:spacing w:line="360" w:lineRule="auto"/>
        <w:rPr>
          <w:rFonts w:hint="eastAsia" w:ascii="宋体" w:hAnsi="宋体"/>
          <w:b/>
        </w:rPr>
      </w:pPr>
      <w:r>
        <w:rPr>
          <w:rFonts w:hint="eastAsia" w:ascii="宋体" w:hAnsi="宋体"/>
        </w:rPr>
        <w:t>备注：</w:t>
      </w:r>
    </w:p>
    <w:p w14:paraId="0CF159EB">
      <w:pPr>
        <w:numPr>
          <w:ilvl w:val="0"/>
          <w:numId w:val="10"/>
        </w:numPr>
        <w:adjustRightInd w:val="0"/>
        <w:snapToGrid w:val="0"/>
        <w:spacing w:line="360" w:lineRule="auto"/>
        <w:ind w:firstLine="420" w:firstLineChars="200"/>
        <w:rPr>
          <w:rFonts w:hint="eastAsia" w:ascii="宋体" w:hAnsi="宋体"/>
          <w:b w:val="0"/>
          <w:bCs/>
        </w:rPr>
      </w:pPr>
      <w:r>
        <w:rPr>
          <w:rFonts w:hint="eastAsia" w:ascii="宋体" w:hAnsi="宋体"/>
          <w:b w:val="0"/>
          <w:bCs/>
        </w:rPr>
        <w:t>本表应对应“开标一览表”</w:t>
      </w:r>
      <w:r>
        <w:rPr>
          <w:rFonts w:hint="eastAsia" w:ascii="宋体" w:hAnsi="宋体"/>
          <w:b w:val="0"/>
          <w:bCs/>
          <w:lang w:eastAsia="zh-CN"/>
        </w:rPr>
        <w:t>，</w:t>
      </w:r>
      <w:r>
        <w:rPr>
          <w:rFonts w:hint="eastAsia" w:ascii="宋体" w:hAnsi="宋体"/>
          <w:b w:val="0"/>
          <w:bCs/>
          <w:lang w:val="en-US" w:eastAsia="zh-CN"/>
        </w:rPr>
        <w:t>按包</w:t>
      </w:r>
      <w:r>
        <w:rPr>
          <w:rFonts w:hint="eastAsia" w:ascii="宋体" w:hAnsi="宋体"/>
          <w:b w:val="0"/>
          <w:bCs/>
        </w:rPr>
        <w:t>填写</w:t>
      </w:r>
      <w:r>
        <w:rPr>
          <w:rFonts w:hint="eastAsia" w:ascii="宋体" w:hAnsi="宋体"/>
          <w:b w:val="0"/>
          <w:bCs/>
          <w:lang w:eastAsia="zh-CN"/>
        </w:rPr>
        <w:t>。</w:t>
      </w:r>
      <w:r>
        <w:rPr>
          <w:rFonts w:hint="eastAsia" w:ascii="宋体" w:hAnsi="宋体"/>
          <w:b w:val="0"/>
          <w:bCs/>
        </w:rPr>
        <w:t>投标人应根据采购需求及招标内容进行分项报价</w:t>
      </w:r>
      <w:r>
        <w:rPr>
          <w:rFonts w:hint="eastAsia" w:ascii="宋体" w:hAnsi="宋体"/>
          <w:b w:val="0"/>
          <w:bCs/>
          <w:lang w:eastAsia="zh-CN"/>
        </w:rPr>
        <w:t>，</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14:paraId="2B5D3EA0">
      <w:pPr>
        <w:numPr>
          <w:ilvl w:val="0"/>
          <w:numId w:val="10"/>
        </w:numPr>
        <w:adjustRightInd w:val="0"/>
        <w:snapToGrid w:val="0"/>
        <w:spacing w:line="360" w:lineRule="auto"/>
        <w:ind w:firstLine="420" w:firstLineChars="200"/>
        <w:rPr>
          <w:rFonts w:hint="eastAsia" w:ascii="宋体" w:hAnsi="宋体"/>
        </w:rPr>
      </w:pPr>
      <w:r>
        <w:rPr>
          <w:rFonts w:hint="eastAsia" w:ascii="宋体" w:hAnsi="宋体"/>
        </w:rPr>
        <w:t>不得填写“免费”或“赠与”，也不得进行“零”报价，否则</w:t>
      </w:r>
      <w:r>
        <w:rPr>
          <w:rFonts w:hint="eastAsia" w:ascii="宋体" w:hAnsi="宋体"/>
          <w:b/>
        </w:rPr>
        <w:t>投标无效</w:t>
      </w:r>
      <w:r>
        <w:rPr>
          <w:rFonts w:hint="eastAsia" w:ascii="宋体" w:hAnsi="宋体"/>
        </w:rPr>
        <w:t>。</w:t>
      </w:r>
    </w:p>
    <w:p w14:paraId="368C77F7">
      <w:pPr>
        <w:adjustRightInd w:val="0"/>
        <w:snapToGrid w:val="0"/>
        <w:spacing w:line="360" w:lineRule="auto"/>
        <w:ind w:firstLine="420" w:firstLineChars="200"/>
        <w:rPr>
          <w:rFonts w:hint="eastAsia" w:ascii="宋体" w:hAnsi="宋体"/>
        </w:rPr>
      </w:pPr>
      <w:r>
        <w:rPr>
          <w:rFonts w:hint="eastAsia" w:ascii="宋体" w:hAnsi="宋体"/>
        </w:rPr>
        <w:t>（3）如果开标一览表内容与本表内容不一致的，以开标一览表内容为准。</w:t>
      </w:r>
    </w:p>
    <w:p w14:paraId="0A8E0DF3">
      <w:pPr>
        <w:adjustRightInd w:val="0"/>
        <w:snapToGrid w:val="0"/>
        <w:spacing w:line="360" w:lineRule="auto"/>
        <w:ind w:firstLine="420" w:firstLineChars="200"/>
        <w:rPr>
          <w:rFonts w:hint="eastAsia" w:ascii="宋体" w:hAnsi="宋体"/>
        </w:rPr>
      </w:pPr>
      <w:r>
        <w:rPr>
          <w:rFonts w:hint="eastAsia" w:ascii="宋体" w:hAnsi="宋体"/>
        </w:rPr>
        <w:t>（4）投标人在投标截止时间前修改“开标一览表”中的投标报价的，应按第二章第13.7款规定修改本表相应内容。否则，本表相应内容按投标报价修改的相同比例进行调整。</w:t>
      </w:r>
    </w:p>
    <w:p w14:paraId="05A27608">
      <w:pPr>
        <w:adjustRightInd w:val="0"/>
        <w:snapToGrid w:val="0"/>
        <w:spacing w:line="360" w:lineRule="auto"/>
        <w:ind w:firstLine="422" w:firstLineChars="200"/>
        <w:rPr>
          <w:rFonts w:hint="eastAsia" w:ascii="宋体" w:hAnsi="宋体"/>
          <w:b/>
        </w:rPr>
      </w:pPr>
    </w:p>
    <w:p w14:paraId="4B084825">
      <w:pPr>
        <w:adjustRightInd w:val="0"/>
        <w:snapToGrid w:val="0"/>
        <w:spacing w:line="360" w:lineRule="auto"/>
        <w:ind w:firstLine="422" w:firstLineChars="200"/>
        <w:rPr>
          <w:rFonts w:hint="eastAsia" w:ascii="宋体" w:hAnsi="宋体"/>
          <w:b/>
        </w:rPr>
      </w:pPr>
    </w:p>
    <w:p w14:paraId="26FF219E">
      <w:pPr>
        <w:adjustRightInd w:val="0"/>
        <w:snapToGrid w:val="0"/>
        <w:spacing w:line="360" w:lineRule="auto"/>
        <w:rPr>
          <w:rFonts w:hint="eastAsia" w:ascii="宋体" w:hAnsi="宋体"/>
        </w:rPr>
      </w:pPr>
    </w:p>
    <w:p w14:paraId="1F826BCE">
      <w:pPr>
        <w:adjustRightInd w:val="0"/>
        <w:snapToGrid w:val="0"/>
        <w:spacing w:line="360" w:lineRule="auto"/>
        <w:rPr>
          <w:rFonts w:hint="eastAsia" w:ascii="宋体" w:hAnsi="宋体"/>
        </w:rPr>
      </w:pPr>
      <w:r>
        <w:rPr>
          <w:rFonts w:hint="eastAsia" w:ascii="宋体" w:hAnsi="宋体"/>
        </w:rPr>
        <w:t>投标人名称（盖单位章）：</w:t>
      </w:r>
    </w:p>
    <w:p w14:paraId="170807A6">
      <w:pPr>
        <w:adjustRightInd w:val="0"/>
        <w:snapToGrid w:val="0"/>
        <w:spacing w:line="360" w:lineRule="auto"/>
        <w:rPr>
          <w:rFonts w:hint="eastAsia" w:ascii="宋体" w:hAnsi="宋体"/>
        </w:rPr>
      </w:pPr>
      <w:r>
        <w:rPr>
          <w:rFonts w:hint="eastAsia" w:ascii="宋体" w:hAnsi="宋体"/>
          <w:spacing w:val="-2"/>
          <w:kern w:val="0"/>
        </w:rPr>
        <w:t>法</w:t>
      </w:r>
      <w:r>
        <w:rPr>
          <w:rFonts w:hint="eastAsia" w:ascii="宋体" w:hAnsi="宋体"/>
          <w:kern w:val="0"/>
        </w:rPr>
        <w:t>定</w:t>
      </w:r>
      <w:r>
        <w:rPr>
          <w:rFonts w:hint="eastAsia" w:ascii="宋体" w:hAnsi="宋体"/>
          <w:spacing w:val="-2"/>
          <w:kern w:val="0"/>
        </w:rPr>
        <w:t>代</w:t>
      </w:r>
      <w:r>
        <w:rPr>
          <w:rFonts w:hint="eastAsia" w:ascii="宋体" w:hAnsi="宋体"/>
          <w:kern w:val="0"/>
        </w:rPr>
        <w:t>表</w:t>
      </w:r>
      <w:r>
        <w:rPr>
          <w:rFonts w:hint="eastAsia" w:ascii="宋体" w:hAnsi="宋体"/>
          <w:spacing w:val="-2"/>
          <w:kern w:val="0"/>
        </w:rPr>
        <w:t>人</w:t>
      </w:r>
      <w:r>
        <w:rPr>
          <w:rFonts w:hint="eastAsia" w:ascii="宋体" w:hAnsi="宋体"/>
          <w:kern w:val="0"/>
        </w:rPr>
        <w:t>（</w:t>
      </w:r>
      <w:r>
        <w:rPr>
          <w:rFonts w:hint="eastAsia" w:ascii="宋体" w:hAnsi="宋体"/>
          <w:spacing w:val="-2"/>
          <w:kern w:val="0"/>
        </w:rPr>
        <w:t>单</w:t>
      </w:r>
      <w:r>
        <w:rPr>
          <w:rFonts w:hint="eastAsia" w:ascii="宋体" w:hAnsi="宋体"/>
          <w:kern w:val="0"/>
        </w:rPr>
        <w:t>位</w:t>
      </w:r>
      <w:r>
        <w:rPr>
          <w:rFonts w:hint="eastAsia" w:ascii="宋体" w:hAnsi="宋体"/>
          <w:spacing w:val="-2"/>
          <w:kern w:val="0"/>
        </w:rPr>
        <w:t>负</w:t>
      </w:r>
      <w:r>
        <w:rPr>
          <w:rFonts w:hint="eastAsia" w:ascii="宋体" w:hAnsi="宋体"/>
          <w:kern w:val="0"/>
        </w:rPr>
        <w:t>责人</w:t>
      </w:r>
      <w:r>
        <w:rPr>
          <w:rFonts w:hint="eastAsia" w:ascii="宋体" w:hAnsi="宋体"/>
          <w:spacing w:val="-2"/>
          <w:kern w:val="0"/>
        </w:rPr>
        <w:t>）</w:t>
      </w:r>
      <w:r>
        <w:rPr>
          <w:rFonts w:hint="eastAsia" w:ascii="宋体" w:hAnsi="宋体"/>
        </w:rPr>
        <w:t>或其授权的代理人（签字</w:t>
      </w:r>
      <w:r>
        <w:rPr>
          <w:rFonts w:hint="eastAsia" w:ascii="宋体" w:hAnsi="宋体"/>
          <w:szCs w:val="21"/>
        </w:rPr>
        <w:t>或</w:t>
      </w:r>
      <w:r>
        <w:rPr>
          <w:rFonts w:hint="eastAsia" w:ascii="宋体" w:hAnsi="宋体"/>
        </w:rPr>
        <w:t>印章）：</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7166F411">
      <w:pPr>
        <w:adjustRightInd w:val="0"/>
        <w:snapToGrid w:val="0"/>
        <w:spacing w:line="360" w:lineRule="auto"/>
        <w:rPr>
          <w:rFonts w:hint="eastAsia" w:ascii="宋体" w:hAnsi="宋体"/>
        </w:rPr>
      </w:pP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408A665F">
      <w:pPr>
        <w:pStyle w:val="44"/>
        <w:rPr>
          <w:rFonts w:hint="eastAsia" w:ascii="宋体" w:hAnsi="宋体"/>
          <w:color w:val="000000"/>
          <w:szCs w:val="21"/>
        </w:rPr>
      </w:pPr>
    </w:p>
    <w:p w14:paraId="1B40BB13">
      <w:pPr>
        <w:jc w:val="center"/>
        <w:rPr>
          <w:rFonts w:hint="eastAsia" w:ascii="黑体" w:hAnsi="宋体" w:eastAsia="黑体"/>
          <w:color w:val="000000"/>
          <w:sz w:val="28"/>
          <w:szCs w:val="28"/>
        </w:rPr>
      </w:pPr>
      <w:r>
        <w:rPr>
          <w:rFonts w:hint="eastAsia" w:ascii="黑体" w:hAnsi="宋体" w:eastAsia="黑体"/>
          <w:color w:val="000000"/>
          <w:sz w:val="28"/>
          <w:szCs w:val="28"/>
          <w:lang w:eastAsia="zh-CN"/>
        </w:rPr>
        <w:t>七</w:t>
      </w:r>
      <w:r>
        <w:rPr>
          <w:rFonts w:hint="eastAsia" w:ascii="黑体" w:hAnsi="宋体" w:eastAsia="黑体"/>
          <w:color w:val="000000"/>
          <w:sz w:val="28"/>
          <w:szCs w:val="28"/>
        </w:rPr>
        <w:t>、采购需求响应</w:t>
      </w:r>
    </w:p>
    <w:p w14:paraId="469EA5BC">
      <w:pPr>
        <w:adjustRightInd w:val="0"/>
        <w:snapToGrid w:val="0"/>
        <w:spacing w:line="360" w:lineRule="auto"/>
        <w:rPr>
          <w:rFonts w:hint="eastAsia" w:ascii="宋体" w:hAnsi="宋体"/>
          <w:b/>
          <w:color w:val="000000"/>
          <w:szCs w:val="21"/>
        </w:rPr>
      </w:pPr>
    </w:p>
    <w:p w14:paraId="163469E2">
      <w:pPr>
        <w:adjustRightInd w:val="0"/>
        <w:snapToGrid w:val="0"/>
        <w:spacing w:line="360" w:lineRule="auto"/>
        <w:rPr>
          <w:rFonts w:hint="eastAsia"/>
          <w:b/>
        </w:rPr>
      </w:pPr>
      <w:r>
        <w:rPr>
          <w:rFonts w:hint="eastAsia" w:asciiTheme="minorEastAsia" w:hAnsiTheme="minorEastAsia" w:eastAsiaTheme="minorEastAsia"/>
          <w:b/>
          <w:szCs w:val="21"/>
        </w:rPr>
        <w:t>编制说明</w:t>
      </w:r>
      <w:r>
        <w:rPr>
          <w:rFonts w:hint="eastAsia" w:asciiTheme="minorEastAsia" w:hAnsiTheme="minorEastAsia" w:eastAsiaTheme="minorEastAsia"/>
          <w:bCs/>
          <w:szCs w:val="21"/>
        </w:rPr>
        <w:t>：</w:t>
      </w:r>
      <w:r>
        <w:rPr>
          <w:rFonts w:hint="eastAsia"/>
          <w:b/>
        </w:rPr>
        <w:t>投标人应按招标文件第五章采购需求自行编写采购需求响应文件（其内容可包括，且不限于详细的技术指标和性能、售后服务和技术服务的组织及保证措施等，格式自拟）。</w:t>
      </w:r>
    </w:p>
    <w:p w14:paraId="29266A02">
      <w:pPr>
        <w:adjustRightInd w:val="0"/>
        <w:snapToGrid w:val="0"/>
        <w:spacing w:line="360" w:lineRule="auto"/>
        <w:rPr>
          <w:rFonts w:hint="default" w:eastAsia="宋体"/>
          <w:b/>
          <w:lang w:val="en-US" w:eastAsia="zh-CN"/>
        </w:rPr>
      </w:pPr>
    </w:p>
    <w:p w14:paraId="5EE22254">
      <w:pPr>
        <w:pStyle w:val="27"/>
        <w:adjustRightInd w:val="0"/>
        <w:snapToGrid w:val="0"/>
        <w:spacing w:line="360" w:lineRule="auto"/>
        <w:ind w:left="-88" w:leftChars="-42"/>
        <w:rPr>
          <w:rFonts w:hint="eastAsia" w:ascii="宋体" w:hAnsi="宋体"/>
          <w:bCs/>
          <w:sz w:val="21"/>
          <w:szCs w:val="21"/>
        </w:rPr>
      </w:pPr>
    </w:p>
    <w:p w14:paraId="422B6460"/>
    <w:p w14:paraId="442A1DBC"/>
    <w:p w14:paraId="6628E918">
      <w:pPr>
        <w:pStyle w:val="27"/>
        <w:tabs>
          <w:tab w:val="left" w:pos="6208"/>
        </w:tabs>
        <w:adjustRightInd w:val="0"/>
        <w:snapToGrid w:val="0"/>
        <w:spacing w:line="360" w:lineRule="auto"/>
        <w:ind w:left="-88" w:leftChars="-42"/>
        <w:rPr>
          <w:rFonts w:hint="eastAsia" w:ascii="宋体" w:hAnsi="宋体"/>
          <w:bCs/>
          <w:sz w:val="21"/>
          <w:szCs w:val="21"/>
        </w:rPr>
      </w:pPr>
    </w:p>
    <w:p w14:paraId="6B0B76E6">
      <w:pPr>
        <w:adjustRightInd w:val="0"/>
        <w:snapToGrid w:val="0"/>
        <w:spacing w:line="360" w:lineRule="auto"/>
        <w:rPr>
          <w:rFonts w:hint="eastAsia" w:ascii="宋体" w:hAnsi="宋体"/>
          <w:szCs w:val="21"/>
        </w:rPr>
      </w:pPr>
    </w:p>
    <w:p w14:paraId="1928EF0C">
      <w:pPr>
        <w:adjustRightInd w:val="0"/>
        <w:snapToGrid w:val="0"/>
        <w:spacing w:line="360" w:lineRule="auto"/>
        <w:rPr>
          <w:rFonts w:hint="eastAsia" w:ascii="宋体" w:hAnsi="宋体"/>
          <w:szCs w:val="21"/>
        </w:rPr>
      </w:pPr>
      <w:r>
        <w:rPr>
          <w:rFonts w:hint="eastAsia" w:ascii="宋体" w:hAnsi="宋体"/>
          <w:szCs w:val="21"/>
        </w:rPr>
        <w:t>投标人名称（</w:t>
      </w:r>
      <w:r>
        <w:rPr>
          <w:rFonts w:hint="eastAsia" w:ascii="宋体" w:hAnsi="宋体"/>
        </w:rPr>
        <w:t>盖单位章</w:t>
      </w:r>
      <w:r>
        <w:rPr>
          <w:rFonts w:hint="eastAsia" w:ascii="宋体" w:hAnsi="宋体"/>
          <w:szCs w:val="21"/>
        </w:rPr>
        <w:t>）：</w:t>
      </w:r>
    </w:p>
    <w:p w14:paraId="0933342D">
      <w:pPr>
        <w:adjustRightInd w:val="0"/>
        <w:snapToGrid w:val="0"/>
        <w:spacing w:line="360" w:lineRule="auto"/>
        <w:rPr>
          <w:rFonts w:hint="eastAsia" w:ascii="宋体" w:hAnsi="宋体"/>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w:t>
      </w:r>
      <w:r>
        <w:rPr>
          <w:rFonts w:hint="eastAsia" w:ascii="宋体" w:hAnsi="宋体"/>
        </w:rPr>
        <w:t>签字</w:t>
      </w:r>
      <w:r>
        <w:rPr>
          <w:rFonts w:hint="eastAsia" w:ascii="宋体" w:hAnsi="宋体"/>
          <w:szCs w:val="21"/>
        </w:rPr>
        <w:t>或</w:t>
      </w:r>
      <w:r>
        <w:rPr>
          <w:rFonts w:hint="eastAsia" w:ascii="宋体" w:hAnsi="宋体"/>
        </w:rPr>
        <w:t>印章</w:t>
      </w:r>
      <w:r>
        <w:rPr>
          <w:rFonts w:hint="eastAsia" w:ascii="宋体" w:hAnsi="宋体"/>
          <w:szCs w:val="21"/>
        </w:rPr>
        <w:t>）：</w:t>
      </w:r>
    </w:p>
    <w:p w14:paraId="59CC453F">
      <w:pPr>
        <w:adjustRightInd w:val="0"/>
        <w:snapToGrid w:val="0"/>
        <w:spacing w:line="360" w:lineRule="auto"/>
        <w:rPr>
          <w:rFonts w:hint="eastAsia" w:ascii="宋体" w:hAnsi="宋体"/>
          <w:szCs w:val="21"/>
        </w:rPr>
      </w:pPr>
      <w:r>
        <w:rPr>
          <w:rFonts w:hint="eastAsia" w:ascii="宋体" w:hAnsi="宋体"/>
          <w:szCs w:val="21"/>
        </w:rPr>
        <w:t>日期：年月日</w:t>
      </w:r>
    </w:p>
    <w:p w14:paraId="1A1AD06D"/>
    <w:p w14:paraId="0EC78678"/>
    <w:p w14:paraId="4B562F51">
      <w:pPr>
        <w:rPr>
          <w:color w:val="000000"/>
        </w:rPr>
      </w:pPr>
    </w:p>
    <w:p w14:paraId="0B8660B8">
      <w:pPr>
        <w:rPr>
          <w:color w:val="000000"/>
        </w:rPr>
      </w:pPr>
    </w:p>
    <w:p w14:paraId="0C04654D">
      <w:pPr>
        <w:widowControl/>
        <w:jc w:val="left"/>
        <w:rPr>
          <w:rFonts w:hint="eastAsia" w:ascii="黑体" w:hAnsi="黑体" w:eastAsia="黑体"/>
          <w:color w:val="000000"/>
          <w:sz w:val="28"/>
          <w:szCs w:val="28"/>
        </w:rPr>
      </w:pPr>
      <w:r>
        <w:rPr>
          <w:color w:val="000000"/>
        </w:rPr>
        <w:br w:type="page"/>
      </w:r>
    </w:p>
    <w:p w14:paraId="45D2E5D6">
      <w:pPr>
        <w:pStyle w:val="4"/>
        <w:adjustRightInd w:val="0"/>
        <w:snapToGrid w:val="0"/>
        <w:spacing w:before="156" w:beforeLines="50" w:after="0" w:line="360" w:lineRule="auto"/>
        <w:ind w:firstLine="843" w:firstLineChars="300"/>
        <w:jc w:val="center"/>
        <w:rPr>
          <w:rFonts w:hint="eastAsia" w:ascii="黑体" w:hAnsi="黑体" w:eastAsia="黑体"/>
          <w:color w:val="000000"/>
          <w:sz w:val="28"/>
          <w:szCs w:val="28"/>
        </w:rPr>
      </w:pPr>
      <w:bookmarkStart w:id="152" w:name="_Toc12734"/>
      <w:r>
        <w:rPr>
          <w:rFonts w:hint="eastAsia" w:ascii="黑体" w:hAnsi="黑体" w:eastAsia="黑体"/>
          <w:color w:val="000000"/>
          <w:sz w:val="28"/>
          <w:szCs w:val="28"/>
          <w:lang w:eastAsia="zh-CN"/>
        </w:rPr>
        <w:t>八</w:t>
      </w:r>
      <w:r>
        <w:rPr>
          <w:rFonts w:hint="eastAsia" w:ascii="黑体" w:hAnsi="黑体" w:eastAsia="黑体"/>
          <w:color w:val="000000"/>
          <w:sz w:val="28"/>
          <w:szCs w:val="28"/>
        </w:rPr>
        <w:t>、合同条款偏离表</w:t>
      </w:r>
      <w:bookmarkEnd w:id="152"/>
    </w:p>
    <w:p w14:paraId="316E6B80">
      <w:pPr>
        <w:adjustRightInd w:val="0"/>
        <w:snapToGrid w:val="0"/>
        <w:spacing w:line="360" w:lineRule="auto"/>
        <w:rPr>
          <w:rFonts w:hint="eastAsia" w:ascii="宋体" w:hAnsi="宋体"/>
          <w:color w:val="000000"/>
          <w:szCs w:val="21"/>
          <w:lang w:eastAsia="zh-CN"/>
        </w:rPr>
      </w:pPr>
    </w:p>
    <w:p w14:paraId="3E5CD502">
      <w:pPr>
        <w:adjustRightInd w:val="0"/>
        <w:snapToGrid w:val="0"/>
        <w:spacing w:line="360" w:lineRule="auto"/>
        <w:rPr>
          <w:rFonts w:hint="eastAsia" w:ascii="宋体" w:hAnsi="宋体"/>
          <w:color w:val="000000"/>
          <w:szCs w:val="21"/>
        </w:rPr>
      </w:pPr>
      <w:r>
        <w:rPr>
          <w:rFonts w:hint="eastAsia" w:ascii="宋体" w:hAnsi="宋体"/>
          <w:szCs w:val="21"/>
        </w:rPr>
        <w:t>政府采购计划编号</w:t>
      </w:r>
      <w:r>
        <w:rPr>
          <w:rFonts w:hint="eastAsia" w:ascii="宋体" w:hAnsi="宋体"/>
          <w:color w:val="000000"/>
          <w:szCs w:val="21"/>
        </w:rPr>
        <w:t xml:space="preserve">：                       </w:t>
      </w:r>
      <w:r>
        <w:rPr>
          <w:rFonts w:hint="eastAsia" w:ascii="宋体" w:hAnsi="宋体"/>
          <w:color w:val="000000"/>
          <w:szCs w:val="21"/>
          <w:lang w:val="en-US" w:eastAsia="zh-CN"/>
        </w:rPr>
        <w:t xml:space="preserve">           </w:t>
      </w:r>
      <w:r>
        <w:rPr>
          <w:rFonts w:hint="eastAsia" w:ascii="宋体" w:hAnsi="宋体"/>
          <w:color w:val="000000"/>
          <w:szCs w:val="21"/>
        </w:rPr>
        <w:t>项目名称：</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2DD96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3F48D29">
            <w:pPr>
              <w:adjustRightInd w:val="0"/>
              <w:snapToGrid w:val="0"/>
              <w:spacing w:before="50" w:line="360" w:lineRule="auto"/>
              <w:ind w:left="-88" w:leftChars="-42"/>
              <w:jc w:val="center"/>
              <w:rPr>
                <w:rFonts w:hint="eastAsia" w:ascii="宋体" w:hAnsi="宋体"/>
                <w:color w:val="000000"/>
                <w:szCs w:val="21"/>
              </w:rPr>
            </w:pPr>
            <w:r>
              <w:rPr>
                <w:rFonts w:hint="eastAsia" w:ascii="宋体" w:hAnsi="宋体"/>
                <w:bCs/>
                <w:color w:val="000000"/>
                <w:szCs w:val="21"/>
              </w:rPr>
              <w:t>序</w:t>
            </w:r>
            <w:r>
              <w:rPr>
                <w:rFonts w:hint="eastAsia" w:ascii="宋体" w:hAnsi="宋体"/>
                <w:color w:val="000000"/>
                <w:szCs w:val="21"/>
              </w:rPr>
              <w:t>号</w:t>
            </w:r>
          </w:p>
        </w:tc>
        <w:tc>
          <w:tcPr>
            <w:tcW w:w="2410" w:type="dxa"/>
            <w:vAlign w:val="center"/>
          </w:tcPr>
          <w:p w14:paraId="77C68174">
            <w:pPr>
              <w:adjustRightInd w:val="0"/>
              <w:snapToGrid w:val="0"/>
              <w:spacing w:before="50" w:line="360" w:lineRule="auto"/>
              <w:ind w:left="-88" w:leftChars="-42"/>
              <w:jc w:val="center"/>
              <w:rPr>
                <w:rFonts w:hint="eastAsia" w:ascii="宋体" w:hAnsi="宋体"/>
                <w:color w:val="000000"/>
                <w:szCs w:val="21"/>
              </w:rPr>
            </w:pPr>
            <w:r>
              <w:rPr>
                <w:rFonts w:hint="eastAsia" w:ascii="宋体" w:hAnsi="宋体"/>
                <w:color w:val="000000"/>
                <w:szCs w:val="21"/>
              </w:rPr>
              <w:t>招标文件章节</w:t>
            </w:r>
            <w:r>
              <w:rPr>
                <w:rFonts w:hint="eastAsia" w:ascii="宋体" w:hAnsi="宋体"/>
                <w:bCs/>
                <w:color w:val="000000"/>
                <w:szCs w:val="21"/>
              </w:rPr>
              <w:t>条</w:t>
            </w:r>
            <w:r>
              <w:rPr>
                <w:rFonts w:hint="eastAsia" w:ascii="宋体" w:hAnsi="宋体"/>
                <w:color w:val="000000"/>
                <w:szCs w:val="21"/>
              </w:rPr>
              <w:t>款号</w:t>
            </w:r>
          </w:p>
        </w:tc>
        <w:tc>
          <w:tcPr>
            <w:tcW w:w="1985" w:type="dxa"/>
            <w:vAlign w:val="center"/>
          </w:tcPr>
          <w:p w14:paraId="197CA367">
            <w:pPr>
              <w:adjustRightInd w:val="0"/>
              <w:snapToGrid w:val="0"/>
              <w:spacing w:before="50" w:line="360" w:lineRule="auto"/>
              <w:ind w:left="-88" w:leftChars="-42"/>
              <w:jc w:val="center"/>
              <w:rPr>
                <w:rFonts w:hint="eastAsia" w:ascii="宋体" w:hAnsi="宋体"/>
                <w:color w:val="000000"/>
                <w:szCs w:val="21"/>
              </w:rPr>
            </w:pPr>
            <w:r>
              <w:rPr>
                <w:rFonts w:hint="eastAsia"/>
                <w:color w:val="000000"/>
              </w:rPr>
              <w:t>招标文件要求</w:t>
            </w:r>
          </w:p>
        </w:tc>
        <w:tc>
          <w:tcPr>
            <w:tcW w:w="2082" w:type="dxa"/>
            <w:tcBorders>
              <w:right w:val="single" w:color="auto" w:sz="4" w:space="0"/>
            </w:tcBorders>
            <w:vAlign w:val="center"/>
          </w:tcPr>
          <w:p w14:paraId="2E7C4940">
            <w:pPr>
              <w:adjustRightInd w:val="0"/>
              <w:snapToGrid w:val="0"/>
              <w:spacing w:before="50" w:line="360" w:lineRule="auto"/>
              <w:jc w:val="center"/>
              <w:rPr>
                <w:rFonts w:hint="eastAsia" w:ascii="宋体" w:hAnsi="宋体"/>
                <w:color w:val="000000"/>
                <w:szCs w:val="21"/>
              </w:rPr>
            </w:pPr>
            <w:r>
              <w:rPr>
                <w:rFonts w:hint="eastAsia"/>
                <w:color w:val="000000"/>
              </w:rPr>
              <w:t>投标文件的应答</w:t>
            </w:r>
          </w:p>
        </w:tc>
        <w:tc>
          <w:tcPr>
            <w:tcW w:w="1942" w:type="dxa"/>
            <w:tcBorders>
              <w:left w:val="single" w:color="auto" w:sz="4" w:space="0"/>
            </w:tcBorders>
            <w:vAlign w:val="center"/>
          </w:tcPr>
          <w:p w14:paraId="02AFF0CF">
            <w:pPr>
              <w:adjustRightInd w:val="0"/>
              <w:snapToGrid w:val="0"/>
              <w:spacing w:before="50" w:line="360" w:lineRule="auto"/>
              <w:ind w:left="-88" w:leftChars="-42"/>
              <w:jc w:val="center"/>
              <w:rPr>
                <w:rFonts w:hint="eastAsia" w:ascii="宋体" w:hAnsi="宋体"/>
                <w:color w:val="000000"/>
                <w:szCs w:val="21"/>
              </w:rPr>
            </w:pPr>
            <w:r>
              <w:rPr>
                <w:rFonts w:hint="eastAsia" w:ascii="宋体" w:hAnsi="宋体"/>
                <w:color w:val="000000"/>
                <w:szCs w:val="21"/>
              </w:rPr>
              <w:t>偏离说明</w:t>
            </w:r>
          </w:p>
        </w:tc>
      </w:tr>
      <w:tr w14:paraId="507D33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333399D">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0E6409E2">
            <w:pPr>
              <w:adjustRightInd w:val="0"/>
              <w:snapToGrid w:val="0"/>
              <w:spacing w:before="50" w:line="360" w:lineRule="auto"/>
              <w:ind w:left="-88" w:leftChars="-42"/>
              <w:jc w:val="center"/>
              <w:rPr>
                <w:rFonts w:hint="eastAsia" w:ascii="宋体" w:hAnsi="宋体"/>
                <w:color w:val="000000"/>
                <w:szCs w:val="21"/>
              </w:rPr>
            </w:pPr>
          </w:p>
        </w:tc>
        <w:tc>
          <w:tcPr>
            <w:tcW w:w="1985" w:type="dxa"/>
          </w:tcPr>
          <w:p w14:paraId="2D7CE59B">
            <w:pPr>
              <w:adjustRightInd w:val="0"/>
              <w:snapToGrid w:val="0"/>
              <w:spacing w:before="50" w:line="360" w:lineRule="auto"/>
              <w:rPr>
                <w:color w:val="000000"/>
              </w:rPr>
            </w:pPr>
          </w:p>
        </w:tc>
        <w:tc>
          <w:tcPr>
            <w:tcW w:w="2082" w:type="dxa"/>
            <w:tcBorders>
              <w:right w:val="single" w:color="auto" w:sz="4" w:space="0"/>
            </w:tcBorders>
          </w:tcPr>
          <w:p w14:paraId="47836905">
            <w:pPr>
              <w:adjustRightInd w:val="0"/>
              <w:snapToGrid w:val="0"/>
              <w:spacing w:before="50" w:line="360" w:lineRule="auto"/>
              <w:rPr>
                <w:color w:val="000000"/>
              </w:rPr>
            </w:pPr>
          </w:p>
        </w:tc>
        <w:tc>
          <w:tcPr>
            <w:tcW w:w="1942" w:type="dxa"/>
            <w:tcBorders>
              <w:left w:val="single" w:color="auto" w:sz="4" w:space="0"/>
            </w:tcBorders>
          </w:tcPr>
          <w:p w14:paraId="20B7CB9C">
            <w:pPr>
              <w:adjustRightInd w:val="0"/>
              <w:snapToGrid w:val="0"/>
              <w:spacing w:before="50" w:line="360" w:lineRule="auto"/>
              <w:ind w:left="-88" w:leftChars="-42"/>
              <w:jc w:val="center"/>
              <w:rPr>
                <w:rFonts w:hint="eastAsia" w:ascii="宋体" w:hAnsi="宋体"/>
                <w:color w:val="000000"/>
                <w:szCs w:val="21"/>
              </w:rPr>
            </w:pPr>
          </w:p>
        </w:tc>
      </w:tr>
      <w:tr w14:paraId="03A86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5041C79">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0B076C5A">
            <w:pPr>
              <w:adjustRightInd w:val="0"/>
              <w:snapToGrid w:val="0"/>
              <w:spacing w:before="50" w:line="360" w:lineRule="auto"/>
              <w:ind w:left="-88" w:leftChars="-42"/>
              <w:jc w:val="center"/>
              <w:rPr>
                <w:rFonts w:hint="eastAsia" w:ascii="宋体" w:hAnsi="宋体"/>
                <w:color w:val="000000"/>
                <w:szCs w:val="21"/>
              </w:rPr>
            </w:pPr>
          </w:p>
        </w:tc>
        <w:tc>
          <w:tcPr>
            <w:tcW w:w="1985" w:type="dxa"/>
            <w:vAlign w:val="center"/>
          </w:tcPr>
          <w:p w14:paraId="4A19F0CE">
            <w:pPr>
              <w:adjustRightInd w:val="0"/>
              <w:snapToGrid w:val="0"/>
              <w:spacing w:before="50" w:line="360" w:lineRule="auto"/>
              <w:ind w:left="-88" w:leftChars="-42"/>
              <w:jc w:val="center"/>
              <w:rPr>
                <w:rFonts w:hint="eastAsia" w:ascii="宋体" w:hAnsi="宋体"/>
                <w:color w:val="000000"/>
                <w:szCs w:val="21"/>
              </w:rPr>
            </w:pPr>
          </w:p>
        </w:tc>
        <w:tc>
          <w:tcPr>
            <w:tcW w:w="2082" w:type="dxa"/>
            <w:tcBorders>
              <w:right w:val="single" w:color="auto" w:sz="4" w:space="0"/>
            </w:tcBorders>
            <w:vAlign w:val="center"/>
          </w:tcPr>
          <w:p w14:paraId="4B23C0F2">
            <w:pPr>
              <w:adjustRightInd w:val="0"/>
              <w:snapToGrid w:val="0"/>
              <w:spacing w:before="50" w:line="360" w:lineRule="auto"/>
              <w:ind w:left="-88" w:leftChars="-42"/>
              <w:jc w:val="center"/>
              <w:rPr>
                <w:rFonts w:hint="eastAsia" w:ascii="宋体" w:hAnsi="宋体"/>
                <w:color w:val="000000"/>
                <w:szCs w:val="21"/>
              </w:rPr>
            </w:pPr>
          </w:p>
        </w:tc>
        <w:tc>
          <w:tcPr>
            <w:tcW w:w="1942" w:type="dxa"/>
            <w:tcBorders>
              <w:left w:val="single" w:color="auto" w:sz="4" w:space="0"/>
            </w:tcBorders>
            <w:vAlign w:val="center"/>
          </w:tcPr>
          <w:p w14:paraId="34F106B5">
            <w:pPr>
              <w:adjustRightInd w:val="0"/>
              <w:snapToGrid w:val="0"/>
              <w:spacing w:before="50" w:line="360" w:lineRule="auto"/>
              <w:ind w:left="-88" w:leftChars="-42"/>
              <w:jc w:val="center"/>
              <w:rPr>
                <w:rFonts w:hint="eastAsia" w:ascii="宋体" w:hAnsi="宋体"/>
                <w:color w:val="000000"/>
                <w:szCs w:val="21"/>
              </w:rPr>
            </w:pPr>
          </w:p>
        </w:tc>
      </w:tr>
      <w:tr w14:paraId="35AC4C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DB0DEC4">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79E425A3">
            <w:pPr>
              <w:adjustRightInd w:val="0"/>
              <w:snapToGrid w:val="0"/>
              <w:spacing w:before="50" w:line="360" w:lineRule="auto"/>
              <w:ind w:left="-88" w:leftChars="-42"/>
              <w:jc w:val="center"/>
              <w:rPr>
                <w:rFonts w:hint="eastAsia" w:ascii="宋体" w:hAnsi="宋体"/>
                <w:color w:val="000000"/>
                <w:szCs w:val="21"/>
              </w:rPr>
            </w:pPr>
          </w:p>
        </w:tc>
        <w:tc>
          <w:tcPr>
            <w:tcW w:w="1985" w:type="dxa"/>
            <w:vAlign w:val="center"/>
          </w:tcPr>
          <w:p w14:paraId="6A30209B">
            <w:pPr>
              <w:adjustRightInd w:val="0"/>
              <w:snapToGrid w:val="0"/>
              <w:spacing w:before="50" w:line="360" w:lineRule="auto"/>
              <w:ind w:left="-88" w:leftChars="-42"/>
              <w:jc w:val="center"/>
              <w:rPr>
                <w:rFonts w:hint="eastAsia" w:ascii="宋体" w:hAnsi="宋体"/>
                <w:color w:val="000000"/>
                <w:szCs w:val="21"/>
              </w:rPr>
            </w:pPr>
          </w:p>
        </w:tc>
        <w:tc>
          <w:tcPr>
            <w:tcW w:w="2082" w:type="dxa"/>
            <w:tcBorders>
              <w:right w:val="single" w:color="auto" w:sz="4" w:space="0"/>
            </w:tcBorders>
            <w:vAlign w:val="center"/>
          </w:tcPr>
          <w:p w14:paraId="2826FCA9">
            <w:pPr>
              <w:adjustRightInd w:val="0"/>
              <w:snapToGrid w:val="0"/>
              <w:spacing w:before="50" w:line="360" w:lineRule="auto"/>
              <w:ind w:left="-88" w:leftChars="-42"/>
              <w:jc w:val="center"/>
              <w:rPr>
                <w:rFonts w:hint="eastAsia" w:ascii="宋体" w:hAnsi="宋体"/>
                <w:color w:val="000000"/>
                <w:szCs w:val="21"/>
              </w:rPr>
            </w:pPr>
          </w:p>
        </w:tc>
        <w:tc>
          <w:tcPr>
            <w:tcW w:w="1942" w:type="dxa"/>
            <w:tcBorders>
              <w:left w:val="single" w:color="auto" w:sz="4" w:space="0"/>
            </w:tcBorders>
            <w:vAlign w:val="center"/>
          </w:tcPr>
          <w:p w14:paraId="3C8E75E6">
            <w:pPr>
              <w:adjustRightInd w:val="0"/>
              <w:snapToGrid w:val="0"/>
              <w:spacing w:before="50" w:line="360" w:lineRule="auto"/>
              <w:ind w:left="-88" w:leftChars="-42"/>
              <w:jc w:val="center"/>
              <w:rPr>
                <w:rFonts w:hint="eastAsia" w:ascii="宋体" w:hAnsi="宋体"/>
                <w:color w:val="000000"/>
                <w:szCs w:val="21"/>
              </w:rPr>
            </w:pPr>
          </w:p>
        </w:tc>
      </w:tr>
      <w:tr w14:paraId="65E7EB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C12D959">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172B2B6F">
            <w:pPr>
              <w:adjustRightInd w:val="0"/>
              <w:snapToGrid w:val="0"/>
              <w:spacing w:before="50" w:line="360" w:lineRule="auto"/>
              <w:ind w:left="-88" w:leftChars="-42"/>
              <w:jc w:val="center"/>
              <w:rPr>
                <w:rFonts w:hint="eastAsia" w:ascii="宋体" w:hAnsi="宋体"/>
                <w:color w:val="000000"/>
                <w:szCs w:val="21"/>
              </w:rPr>
            </w:pPr>
          </w:p>
        </w:tc>
        <w:tc>
          <w:tcPr>
            <w:tcW w:w="1985" w:type="dxa"/>
            <w:vAlign w:val="center"/>
          </w:tcPr>
          <w:p w14:paraId="6171D157">
            <w:pPr>
              <w:adjustRightInd w:val="0"/>
              <w:snapToGrid w:val="0"/>
              <w:spacing w:before="50" w:line="360" w:lineRule="auto"/>
              <w:ind w:left="-88" w:leftChars="-42"/>
              <w:jc w:val="center"/>
              <w:rPr>
                <w:rFonts w:hint="eastAsia" w:ascii="宋体" w:hAnsi="宋体"/>
                <w:color w:val="000000"/>
                <w:szCs w:val="21"/>
              </w:rPr>
            </w:pPr>
          </w:p>
        </w:tc>
        <w:tc>
          <w:tcPr>
            <w:tcW w:w="2082" w:type="dxa"/>
            <w:tcBorders>
              <w:right w:val="single" w:color="auto" w:sz="4" w:space="0"/>
            </w:tcBorders>
            <w:vAlign w:val="center"/>
          </w:tcPr>
          <w:p w14:paraId="2B632692">
            <w:pPr>
              <w:adjustRightInd w:val="0"/>
              <w:snapToGrid w:val="0"/>
              <w:spacing w:before="50" w:line="360" w:lineRule="auto"/>
              <w:ind w:left="-88" w:leftChars="-42"/>
              <w:jc w:val="center"/>
              <w:rPr>
                <w:rFonts w:hint="eastAsia" w:ascii="宋体" w:hAnsi="宋体"/>
                <w:color w:val="000000"/>
                <w:szCs w:val="21"/>
              </w:rPr>
            </w:pPr>
          </w:p>
        </w:tc>
        <w:tc>
          <w:tcPr>
            <w:tcW w:w="1942" w:type="dxa"/>
            <w:tcBorders>
              <w:left w:val="single" w:color="auto" w:sz="4" w:space="0"/>
            </w:tcBorders>
            <w:vAlign w:val="center"/>
          </w:tcPr>
          <w:p w14:paraId="196CF890">
            <w:pPr>
              <w:adjustRightInd w:val="0"/>
              <w:snapToGrid w:val="0"/>
              <w:spacing w:before="50" w:line="360" w:lineRule="auto"/>
              <w:ind w:left="-88" w:leftChars="-42"/>
              <w:jc w:val="center"/>
              <w:rPr>
                <w:rFonts w:hint="eastAsia" w:ascii="宋体" w:hAnsi="宋体"/>
                <w:color w:val="000000"/>
                <w:szCs w:val="21"/>
              </w:rPr>
            </w:pPr>
          </w:p>
        </w:tc>
      </w:tr>
      <w:tr w14:paraId="4BA81A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52C77E4">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514E5586">
            <w:pPr>
              <w:adjustRightInd w:val="0"/>
              <w:snapToGrid w:val="0"/>
              <w:spacing w:before="50" w:line="360" w:lineRule="auto"/>
              <w:ind w:left="-88" w:leftChars="-42"/>
              <w:jc w:val="center"/>
              <w:rPr>
                <w:rFonts w:hint="eastAsia" w:ascii="宋体" w:hAnsi="宋体"/>
                <w:color w:val="000000"/>
                <w:szCs w:val="21"/>
              </w:rPr>
            </w:pPr>
          </w:p>
        </w:tc>
        <w:tc>
          <w:tcPr>
            <w:tcW w:w="1985" w:type="dxa"/>
            <w:vAlign w:val="center"/>
          </w:tcPr>
          <w:p w14:paraId="687D4B34">
            <w:pPr>
              <w:adjustRightInd w:val="0"/>
              <w:snapToGrid w:val="0"/>
              <w:spacing w:before="50" w:line="360" w:lineRule="auto"/>
              <w:ind w:left="-88" w:leftChars="-42"/>
              <w:jc w:val="center"/>
              <w:rPr>
                <w:rFonts w:hint="eastAsia" w:ascii="宋体" w:hAnsi="宋体"/>
                <w:color w:val="000000"/>
                <w:szCs w:val="21"/>
              </w:rPr>
            </w:pPr>
          </w:p>
        </w:tc>
        <w:tc>
          <w:tcPr>
            <w:tcW w:w="2082" w:type="dxa"/>
            <w:tcBorders>
              <w:right w:val="single" w:color="auto" w:sz="4" w:space="0"/>
            </w:tcBorders>
            <w:vAlign w:val="center"/>
          </w:tcPr>
          <w:p w14:paraId="2A72AAFA">
            <w:pPr>
              <w:adjustRightInd w:val="0"/>
              <w:snapToGrid w:val="0"/>
              <w:spacing w:before="50" w:line="360" w:lineRule="auto"/>
              <w:ind w:left="-88" w:leftChars="-42"/>
              <w:jc w:val="center"/>
              <w:rPr>
                <w:rFonts w:hint="eastAsia" w:ascii="宋体" w:hAnsi="宋体"/>
                <w:color w:val="000000"/>
                <w:szCs w:val="21"/>
              </w:rPr>
            </w:pPr>
          </w:p>
        </w:tc>
        <w:tc>
          <w:tcPr>
            <w:tcW w:w="1942" w:type="dxa"/>
            <w:tcBorders>
              <w:left w:val="single" w:color="auto" w:sz="4" w:space="0"/>
            </w:tcBorders>
            <w:vAlign w:val="center"/>
          </w:tcPr>
          <w:p w14:paraId="56E1CF58">
            <w:pPr>
              <w:adjustRightInd w:val="0"/>
              <w:snapToGrid w:val="0"/>
              <w:spacing w:before="50" w:line="360" w:lineRule="auto"/>
              <w:ind w:left="-88" w:leftChars="-42"/>
              <w:jc w:val="center"/>
              <w:rPr>
                <w:rFonts w:hint="eastAsia" w:ascii="宋体" w:hAnsi="宋体"/>
                <w:color w:val="000000"/>
                <w:szCs w:val="21"/>
              </w:rPr>
            </w:pPr>
          </w:p>
        </w:tc>
      </w:tr>
      <w:tr w14:paraId="0944E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4BD45D4">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170AAC81">
            <w:pPr>
              <w:adjustRightInd w:val="0"/>
              <w:snapToGrid w:val="0"/>
              <w:spacing w:before="50" w:line="360" w:lineRule="auto"/>
              <w:ind w:left="-88" w:leftChars="-42"/>
              <w:jc w:val="center"/>
              <w:rPr>
                <w:rFonts w:hint="eastAsia" w:ascii="宋体" w:hAnsi="宋体"/>
                <w:color w:val="000000"/>
                <w:szCs w:val="21"/>
              </w:rPr>
            </w:pPr>
          </w:p>
        </w:tc>
        <w:tc>
          <w:tcPr>
            <w:tcW w:w="1985" w:type="dxa"/>
            <w:vAlign w:val="center"/>
          </w:tcPr>
          <w:p w14:paraId="66A8C1AB">
            <w:pPr>
              <w:adjustRightInd w:val="0"/>
              <w:snapToGrid w:val="0"/>
              <w:spacing w:before="50" w:line="360" w:lineRule="auto"/>
              <w:ind w:left="-88" w:leftChars="-42"/>
              <w:jc w:val="center"/>
              <w:rPr>
                <w:rFonts w:hint="eastAsia" w:ascii="宋体" w:hAnsi="宋体"/>
                <w:color w:val="000000"/>
                <w:szCs w:val="21"/>
              </w:rPr>
            </w:pPr>
          </w:p>
        </w:tc>
        <w:tc>
          <w:tcPr>
            <w:tcW w:w="2082" w:type="dxa"/>
            <w:tcBorders>
              <w:right w:val="single" w:color="auto" w:sz="4" w:space="0"/>
            </w:tcBorders>
            <w:vAlign w:val="center"/>
          </w:tcPr>
          <w:p w14:paraId="4C1A6857">
            <w:pPr>
              <w:adjustRightInd w:val="0"/>
              <w:snapToGrid w:val="0"/>
              <w:spacing w:before="50" w:line="360" w:lineRule="auto"/>
              <w:ind w:left="-88" w:leftChars="-42"/>
              <w:jc w:val="center"/>
              <w:rPr>
                <w:rFonts w:hint="eastAsia" w:ascii="宋体" w:hAnsi="宋体"/>
                <w:color w:val="000000"/>
                <w:szCs w:val="21"/>
              </w:rPr>
            </w:pPr>
          </w:p>
        </w:tc>
        <w:tc>
          <w:tcPr>
            <w:tcW w:w="1942" w:type="dxa"/>
            <w:tcBorders>
              <w:left w:val="single" w:color="auto" w:sz="4" w:space="0"/>
            </w:tcBorders>
            <w:vAlign w:val="center"/>
          </w:tcPr>
          <w:p w14:paraId="287AA0F4">
            <w:pPr>
              <w:adjustRightInd w:val="0"/>
              <w:snapToGrid w:val="0"/>
              <w:spacing w:before="50" w:line="360" w:lineRule="auto"/>
              <w:ind w:left="-88" w:leftChars="-42"/>
              <w:jc w:val="center"/>
              <w:rPr>
                <w:rFonts w:hint="eastAsia" w:ascii="宋体" w:hAnsi="宋体"/>
                <w:color w:val="000000"/>
                <w:szCs w:val="21"/>
              </w:rPr>
            </w:pPr>
          </w:p>
        </w:tc>
      </w:tr>
      <w:tr w14:paraId="5A17C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CF0B7F">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72B82CBF">
            <w:pPr>
              <w:adjustRightInd w:val="0"/>
              <w:snapToGrid w:val="0"/>
              <w:spacing w:before="50" w:line="360" w:lineRule="auto"/>
              <w:ind w:left="-88" w:leftChars="-42"/>
              <w:jc w:val="center"/>
              <w:rPr>
                <w:rFonts w:hint="eastAsia" w:ascii="宋体" w:hAnsi="宋体"/>
                <w:color w:val="000000"/>
                <w:szCs w:val="21"/>
              </w:rPr>
            </w:pPr>
          </w:p>
        </w:tc>
        <w:tc>
          <w:tcPr>
            <w:tcW w:w="1985" w:type="dxa"/>
            <w:vAlign w:val="center"/>
          </w:tcPr>
          <w:p w14:paraId="23821432">
            <w:pPr>
              <w:adjustRightInd w:val="0"/>
              <w:snapToGrid w:val="0"/>
              <w:spacing w:before="50" w:line="360" w:lineRule="auto"/>
              <w:ind w:left="-88" w:leftChars="-42"/>
              <w:jc w:val="center"/>
              <w:rPr>
                <w:rFonts w:hint="eastAsia" w:ascii="宋体" w:hAnsi="宋体"/>
                <w:color w:val="000000"/>
                <w:szCs w:val="21"/>
              </w:rPr>
            </w:pPr>
          </w:p>
        </w:tc>
        <w:tc>
          <w:tcPr>
            <w:tcW w:w="4024" w:type="dxa"/>
            <w:gridSpan w:val="2"/>
            <w:vAlign w:val="center"/>
          </w:tcPr>
          <w:p w14:paraId="36E7293F">
            <w:pPr>
              <w:adjustRightInd w:val="0"/>
              <w:snapToGrid w:val="0"/>
              <w:spacing w:before="50" w:line="360" w:lineRule="auto"/>
              <w:ind w:firstLine="422" w:firstLineChars="200"/>
              <w:jc w:val="left"/>
              <w:rPr>
                <w:rFonts w:hint="eastAsia" w:ascii="宋体" w:hAnsi="宋体"/>
                <w:b/>
                <w:color w:val="000000"/>
                <w:szCs w:val="21"/>
              </w:rPr>
            </w:pPr>
            <w:r>
              <w:rPr>
                <w:rFonts w:hint="eastAsia" w:ascii="宋体" w:hAnsi="宋体"/>
                <w:b/>
                <w:color w:val="000000"/>
                <w:szCs w:val="21"/>
              </w:rPr>
              <w:t>投标人保证：除本合同条款偏离表列出的偏离外，我单位对招标文件的其他商务、合同条款完全响应，无偏离。</w:t>
            </w:r>
          </w:p>
        </w:tc>
      </w:tr>
    </w:tbl>
    <w:p w14:paraId="7EE3C4F6">
      <w:pPr>
        <w:adjustRightInd w:val="0"/>
        <w:snapToGrid w:val="0"/>
        <w:spacing w:before="50" w:line="360" w:lineRule="auto"/>
        <w:ind w:left="-88" w:leftChars="-42"/>
        <w:rPr>
          <w:rFonts w:hint="eastAsia" w:ascii="宋体" w:hAnsi="宋体"/>
          <w:color w:val="000000"/>
          <w:szCs w:val="21"/>
        </w:rPr>
      </w:pPr>
      <w:r>
        <w:rPr>
          <w:rFonts w:hint="eastAsia" w:ascii="宋体" w:hAnsi="宋体"/>
          <w:b/>
          <w:color w:val="000000"/>
          <w:szCs w:val="21"/>
        </w:rPr>
        <w:t>备注</w:t>
      </w:r>
      <w:r>
        <w:rPr>
          <w:rFonts w:hint="eastAsia" w:ascii="宋体" w:hAnsi="宋体"/>
          <w:color w:val="000000"/>
          <w:szCs w:val="21"/>
        </w:rPr>
        <w:t>：（1）投标人应根据招标文件第二章投标须知及第六章政府采购合同填写本表；</w:t>
      </w:r>
    </w:p>
    <w:p w14:paraId="71758890">
      <w:pPr>
        <w:adjustRightInd w:val="0"/>
        <w:snapToGrid w:val="0"/>
        <w:spacing w:before="50" w:line="360" w:lineRule="auto"/>
        <w:ind w:left="-88" w:leftChars="-42" w:firstLine="420" w:firstLineChars="200"/>
        <w:rPr>
          <w:rFonts w:hint="eastAsia" w:ascii="宋体" w:hAnsi="宋体"/>
          <w:b/>
          <w:color w:val="000000"/>
          <w:szCs w:val="21"/>
        </w:rPr>
      </w:pPr>
      <w:r>
        <w:rPr>
          <w:rFonts w:hint="eastAsia" w:ascii="宋体" w:hAnsi="宋体"/>
          <w:color w:val="000000"/>
          <w:szCs w:val="21"/>
        </w:rPr>
        <w:t>（2）</w:t>
      </w:r>
      <w:r>
        <w:rPr>
          <w:rFonts w:hint="eastAsia" w:ascii="宋体" w:hAnsi="宋体"/>
          <w:b/>
          <w:color w:val="auto"/>
          <w:szCs w:val="21"/>
        </w:rPr>
        <w:t>投标人如果对招标文件第六章“政府采购合同”的响应有偏离，应将偏离条款逐条如实应答，并作出说明</w:t>
      </w:r>
      <w:r>
        <w:rPr>
          <w:rFonts w:hint="eastAsia" w:ascii="宋体" w:hAnsi="宋体"/>
          <w:b/>
          <w:color w:val="000000"/>
          <w:szCs w:val="21"/>
        </w:rPr>
        <w:t>；</w:t>
      </w:r>
    </w:p>
    <w:p w14:paraId="78D0616D">
      <w:pPr>
        <w:adjustRightInd w:val="0"/>
        <w:snapToGrid w:val="0"/>
        <w:spacing w:before="50" w:line="360" w:lineRule="auto"/>
        <w:ind w:left="-88" w:leftChars="-42" w:firstLine="420" w:firstLineChars="200"/>
        <w:rPr>
          <w:rFonts w:hint="eastAsia" w:ascii="宋体" w:hAnsi="宋体"/>
          <w:color w:val="000000"/>
          <w:szCs w:val="21"/>
        </w:rPr>
      </w:pPr>
      <w:r>
        <w:rPr>
          <w:rFonts w:hint="eastAsia" w:ascii="宋体" w:hAnsi="宋体"/>
          <w:color w:val="000000"/>
          <w:szCs w:val="21"/>
        </w:rPr>
        <w:t>（3）如不提供此表，则视为投标人不满足招标文件第六章的所有条款要求，其投标无效。</w:t>
      </w:r>
    </w:p>
    <w:p w14:paraId="25F26A7B">
      <w:pPr>
        <w:adjustRightInd w:val="0"/>
        <w:snapToGrid w:val="0"/>
        <w:spacing w:before="50" w:line="360" w:lineRule="auto"/>
        <w:ind w:left="-88" w:leftChars="-42" w:firstLine="420" w:firstLineChars="200"/>
        <w:rPr>
          <w:rFonts w:hint="eastAsia" w:ascii="宋体" w:hAnsi="宋体"/>
          <w:color w:val="000000"/>
          <w:szCs w:val="21"/>
        </w:rPr>
      </w:pPr>
      <w:r>
        <w:rPr>
          <w:rFonts w:hint="eastAsia" w:ascii="宋体" w:hAnsi="宋体"/>
          <w:color w:val="000000"/>
          <w:szCs w:val="21"/>
        </w:rPr>
        <w:t>（4）</w:t>
      </w:r>
      <w:r>
        <w:rPr>
          <w:rFonts w:hint="eastAsia" w:ascii="宋体" w:hAnsi="宋体" w:eastAsia="宋体"/>
          <w:color w:val="auto"/>
          <w:szCs w:val="21"/>
        </w:rPr>
        <w:t>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09BB0381">
      <w:pPr>
        <w:adjustRightInd w:val="0"/>
        <w:snapToGrid w:val="0"/>
        <w:spacing w:before="50" w:line="360" w:lineRule="auto"/>
        <w:rPr>
          <w:rFonts w:hint="eastAsia" w:ascii="宋体" w:hAnsi="宋体"/>
          <w:color w:val="000000"/>
          <w:szCs w:val="21"/>
        </w:rPr>
      </w:pPr>
    </w:p>
    <w:p w14:paraId="4C43D051">
      <w:pPr>
        <w:adjustRightInd w:val="0"/>
        <w:snapToGrid w:val="0"/>
        <w:spacing w:before="50" w:line="360" w:lineRule="auto"/>
        <w:rPr>
          <w:rFonts w:hint="eastAsia" w:ascii="宋体" w:hAnsi="宋体"/>
          <w:color w:val="000000"/>
          <w:szCs w:val="21"/>
        </w:rPr>
      </w:pPr>
    </w:p>
    <w:p w14:paraId="55D5621E">
      <w:pPr>
        <w:adjustRightInd w:val="0"/>
        <w:snapToGrid w:val="0"/>
        <w:spacing w:before="50" w:line="360" w:lineRule="auto"/>
        <w:rPr>
          <w:rFonts w:hint="eastAsia" w:ascii="宋体" w:hAnsi="宋体"/>
          <w:color w:val="000000"/>
          <w:szCs w:val="21"/>
        </w:rPr>
      </w:pPr>
      <w:r>
        <w:rPr>
          <w:rFonts w:hint="eastAsia" w:ascii="宋体" w:hAnsi="宋体"/>
          <w:color w:val="000000"/>
          <w:szCs w:val="21"/>
        </w:rPr>
        <w:t>投标人名称（盖单位章）：</w:t>
      </w:r>
    </w:p>
    <w:p w14:paraId="05A66896">
      <w:pPr>
        <w:adjustRightInd w:val="0"/>
        <w:snapToGrid w:val="0"/>
        <w:spacing w:before="50" w:line="360" w:lineRule="auto"/>
        <w:rPr>
          <w:rFonts w:hint="eastAsia" w:ascii="宋体" w:hAnsi="宋体"/>
          <w:color w:val="000000"/>
          <w:szCs w:val="21"/>
        </w:rPr>
      </w:pPr>
      <w:r>
        <w:rPr>
          <w:rFonts w:hint="eastAsia" w:ascii="宋体" w:hAnsi="宋体"/>
          <w:color w:val="000000"/>
          <w:szCs w:val="21"/>
        </w:rPr>
        <w:t>法定代表人或其授权的代理人（签字或印章）：</w:t>
      </w:r>
    </w:p>
    <w:p w14:paraId="74FDFFD0">
      <w:pPr>
        <w:adjustRightInd w:val="0"/>
        <w:snapToGrid w:val="0"/>
        <w:spacing w:before="50" w:line="360" w:lineRule="auto"/>
        <w:rPr>
          <w:rFonts w:hint="eastAsia" w:ascii="黑体" w:hAnsi="宋体" w:eastAsia="黑体"/>
          <w:b/>
          <w:bCs/>
          <w:color w:val="000000"/>
          <w:sz w:val="28"/>
          <w:szCs w:val="28"/>
        </w:rPr>
      </w:pPr>
      <w:r>
        <w:rPr>
          <w:rFonts w:hint="eastAsia" w:ascii="宋体" w:hAnsi="宋体"/>
          <w:color w:val="000000"/>
          <w:szCs w:val="21"/>
        </w:rPr>
        <w:t>日       期：年月_日</w:t>
      </w:r>
      <w:r>
        <w:rPr>
          <w:rFonts w:ascii="黑体" w:hAnsi="宋体" w:eastAsia="黑体"/>
          <w:color w:val="000000"/>
          <w:sz w:val="28"/>
          <w:szCs w:val="28"/>
        </w:rPr>
        <w:br w:type="page"/>
      </w:r>
    </w:p>
    <w:p w14:paraId="15160025">
      <w:pPr>
        <w:pStyle w:val="4"/>
        <w:adjustRightInd w:val="0"/>
        <w:snapToGrid w:val="0"/>
        <w:spacing w:before="156" w:beforeLines="50" w:after="0" w:line="360" w:lineRule="auto"/>
        <w:jc w:val="center"/>
        <w:rPr>
          <w:rFonts w:hint="eastAsia" w:ascii="黑体" w:hAnsi="宋体" w:eastAsia="黑体"/>
          <w:color w:val="000000"/>
          <w:sz w:val="28"/>
          <w:szCs w:val="28"/>
        </w:rPr>
      </w:pPr>
      <w:bookmarkStart w:id="153" w:name="_Toc18342"/>
      <w:r>
        <w:rPr>
          <w:rFonts w:hint="eastAsia" w:ascii="黑体" w:hAnsi="宋体" w:eastAsia="黑体"/>
          <w:color w:val="000000"/>
          <w:sz w:val="28"/>
          <w:szCs w:val="28"/>
          <w:lang w:eastAsia="zh-CN"/>
        </w:rPr>
        <w:t>九</w:t>
      </w:r>
      <w:r>
        <w:rPr>
          <w:rFonts w:hint="eastAsia" w:ascii="黑体" w:hAnsi="宋体" w:eastAsia="黑体"/>
          <w:color w:val="000000"/>
          <w:sz w:val="28"/>
          <w:szCs w:val="28"/>
        </w:rPr>
        <w:t>、采购需求偏离表</w:t>
      </w:r>
      <w:bookmarkEnd w:id="153"/>
    </w:p>
    <w:p w14:paraId="4A55186A">
      <w:pPr>
        <w:adjustRightInd w:val="0"/>
        <w:snapToGrid w:val="0"/>
        <w:spacing w:line="360" w:lineRule="auto"/>
        <w:rPr>
          <w:rFonts w:hint="eastAsia" w:ascii="宋体" w:hAnsi="宋体"/>
          <w:color w:val="000000"/>
          <w:szCs w:val="21"/>
          <w:lang w:eastAsia="zh-CN"/>
        </w:rPr>
      </w:pPr>
    </w:p>
    <w:p w14:paraId="43B274E6">
      <w:pPr>
        <w:adjustRightInd w:val="0"/>
        <w:snapToGrid w:val="0"/>
        <w:spacing w:line="360" w:lineRule="auto"/>
        <w:rPr>
          <w:rFonts w:hint="eastAsia" w:ascii="宋体" w:hAnsi="宋体"/>
          <w:color w:val="000000"/>
          <w:szCs w:val="21"/>
        </w:rPr>
      </w:pPr>
      <w:r>
        <w:rPr>
          <w:rFonts w:hint="eastAsia" w:ascii="宋体" w:hAnsi="宋体"/>
          <w:szCs w:val="21"/>
        </w:rPr>
        <w:t>政府采购计划编号</w:t>
      </w:r>
      <w:r>
        <w:rPr>
          <w:rFonts w:hint="eastAsia" w:ascii="宋体" w:hAnsi="宋体"/>
          <w:color w:val="000000"/>
          <w:szCs w:val="21"/>
        </w:rPr>
        <w:t xml:space="preserve">：                       </w:t>
      </w:r>
      <w:r>
        <w:rPr>
          <w:rFonts w:hint="eastAsia" w:ascii="宋体" w:hAnsi="宋体"/>
          <w:color w:val="000000"/>
          <w:szCs w:val="21"/>
          <w:lang w:val="en-US" w:eastAsia="zh-CN"/>
        </w:rPr>
        <w:t xml:space="preserve">           </w:t>
      </w:r>
      <w:r>
        <w:rPr>
          <w:rFonts w:hint="eastAsia" w:ascii="宋体" w:hAnsi="宋体"/>
          <w:color w:val="000000"/>
          <w:szCs w:val="21"/>
        </w:rPr>
        <w:t>项目名称：</w:t>
      </w:r>
    </w:p>
    <w:tbl>
      <w:tblPr>
        <w:tblStyle w:val="4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7CDE3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1D43876F">
            <w:pPr>
              <w:adjustRightInd w:val="0"/>
              <w:snapToGrid w:val="0"/>
              <w:spacing w:before="50" w:line="360" w:lineRule="auto"/>
              <w:ind w:left="-88" w:leftChars="-42"/>
              <w:jc w:val="center"/>
              <w:rPr>
                <w:rFonts w:hint="eastAsia" w:ascii="宋体" w:hAnsi="宋体"/>
                <w:color w:val="000000"/>
                <w:szCs w:val="21"/>
              </w:rPr>
            </w:pPr>
            <w:r>
              <w:rPr>
                <w:rFonts w:hint="eastAsia" w:ascii="宋体" w:hAnsi="宋体"/>
                <w:bCs/>
                <w:color w:val="000000"/>
                <w:szCs w:val="21"/>
              </w:rPr>
              <w:t>序</w:t>
            </w:r>
            <w:r>
              <w:rPr>
                <w:rFonts w:hint="eastAsia" w:ascii="宋体" w:hAnsi="宋体"/>
                <w:color w:val="000000"/>
                <w:szCs w:val="21"/>
              </w:rPr>
              <w:t>号</w:t>
            </w:r>
          </w:p>
        </w:tc>
        <w:tc>
          <w:tcPr>
            <w:tcW w:w="2410" w:type="dxa"/>
            <w:vAlign w:val="center"/>
          </w:tcPr>
          <w:p w14:paraId="137E866D">
            <w:pPr>
              <w:adjustRightInd w:val="0"/>
              <w:snapToGrid w:val="0"/>
              <w:spacing w:before="50" w:line="360" w:lineRule="auto"/>
              <w:ind w:left="-88" w:leftChars="-42"/>
              <w:jc w:val="center"/>
              <w:rPr>
                <w:rFonts w:hint="eastAsia" w:ascii="宋体" w:hAnsi="宋体"/>
                <w:color w:val="000000"/>
                <w:szCs w:val="21"/>
              </w:rPr>
            </w:pPr>
            <w:r>
              <w:rPr>
                <w:rFonts w:hint="eastAsia" w:ascii="宋体" w:hAnsi="宋体"/>
                <w:color w:val="000000"/>
                <w:szCs w:val="21"/>
              </w:rPr>
              <w:t>招标文件章节</w:t>
            </w:r>
            <w:r>
              <w:rPr>
                <w:rFonts w:hint="eastAsia" w:ascii="宋体" w:hAnsi="宋体"/>
                <w:bCs/>
                <w:color w:val="000000"/>
                <w:szCs w:val="21"/>
              </w:rPr>
              <w:t>条</w:t>
            </w:r>
            <w:r>
              <w:rPr>
                <w:rFonts w:hint="eastAsia" w:ascii="宋体" w:hAnsi="宋体"/>
                <w:color w:val="000000"/>
                <w:szCs w:val="21"/>
              </w:rPr>
              <w:t>款号</w:t>
            </w:r>
          </w:p>
        </w:tc>
        <w:tc>
          <w:tcPr>
            <w:tcW w:w="1985" w:type="dxa"/>
            <w:tcBorders>
              <w:right w:val="single" w:color="auto" w:sz="4" w:space="0"/>
            </w:tcBorders>
          </w:tcPr>
          <w:p w14:paraId="21CFC71F">
            <w:pPr>
              <w:adjustRightInd w:val="0"/>
              <w:snapToGrid w:val="0"/>
              <w:spacing w:before="50" w:line="360" w:lineRule="auto"/>
              <w:jc w:val="center"/>
              <w:rPr>
                <w:color w:val="000000"/>
              </w:rPr>
            </w:pPr>
            <w:r>
              <w:rPr>
                <w:rFonts w:hint="eastAsia"/>
                <w:color w:val="000000"/>
              </w:rPr>
              <w:t>招标文件要求</w:t>
            </w:r>
          </w:p>
        </w:tc>
        <w:tc>
          <w:tcPr>
            <w:tcW w:w="2126" w:type="dxa"/>
            <w:tcBorders>
              <w:left w:val="single" w:color="auto" w:sz="4" w:space="0"/>
            </w:tcBorders>
          </w:tcPr>
          <w:p w14:paraId="73275A22">
            <w:pPr>
              <w:adjustRightInd w:val="0"/>
              <w:snapToGrid w:val="0"/>
              <w:spacing w:before="50" w:line="360" w:lineRule="auto"/>
              <w:jc w:val="center"/>
              <w:rPr>
                <w:color w:val="000000"/>
              </w:rPr>
            </w:pPr>
            <w:r>
              <w:rPr>
                <w:rFonts w:hint="eastAsia"/>
                <w:color w:val="000000"/>
              </w:rPr>
              <w:t>投标文件应答</w:t>
            </w:r>
          </w:p>
        </w:tc>
        <w:tc>
          <w:tcPr>
            <w:tcW w:w="1756" w:type="dxa"/>
            <w:vAlign w:val="center"/>
          </w:tcPr>
          <w:p w14:paraId="42275132">
            <w:pPr>
              <w:adjustRightInd w:val="0"/>
              <w:snapToGrid w:val="0"/>
              <w:spacing w:before="50" w:line="360" w:lineRule="auto"/>
              <w:ind w:left="-88" w:leftChars="-42"/>
              <w:jc w:val="center"/>
              <w:rPr>
                <w:rFonts w:hint="eastAsia" w:ascii="宋体" w:hAnsi="宋体"/>
                <w:color w:val="000000"/>
                <w:szCs w:val="21"/>
              </w:rPr>
            </w:pPr>
            <w:r>
              <w:rPr>
                <w:rFonts w:hint="eastAsia" w:ascii="宋体" w:hAnsi="宋体"/>
                <w:color w:val="000000"/>
                <w:szCs w:val="21"/>
              </w:rPr>
              <w:t>偏离说明</w:t>
            </w:r>
          </w:p>
        </w:tc>
      </w:tr>
      <w:tr w14:paraId="4E4337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31C8D1B">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0ED08A70">
            <w:pPr>
              <w:adjustRightInd w:val="0"/>
              <w:snapToGrid w:val="0"/>
              <w:spacing w:before="50" w:line="360" w:lineRule="auto"/>
              <w:ind w:left="-88" w:leftChars="-42"/>
              <w:jc w:val="center"/>
              <w:rPr>
                <w:rFonts w:hint="eastAsia" w:ascii="宋体" w:hAnsi="宋体"/>
                <w:color w:val="000000"/>
                <w:szCs w:val="21"/>
              </w:rPr>
            </w:pPr>
          </w:p>
        </w:tc>
        <w:tc>
          <w:tcPr>
            <w:tcW w:w="1985" w:type="dxa"/>
            <w:tcBorders>
              <w:right w:val="single" w:color="auto" w:sz="4" w:space="0"/>
            </w:tcBorders>
            <w:vAlign w:val="center"/>
          </w:tcPr>
          <w:p w14:paraId="0E790429">
            <w:pPr>
              <w:adjustRightInd w:val="0"/>
              <w:snapToGrid w:val="0"/>
              <w:spacing w:before="50" w:line="360" w:lineRule="auto"/>
              <w:ind w:left="-88" w:leftChars="-42"/>
              <w:jc w:val="center"/>
              <w:rPr>
                <w:rFonts w:hint="eastAsia" w:ascii="宋体" w:hAnsi="宋体"/>
                <w:color w:val="000000"/>
                <w:szCs w:val="21"/>
              </w:rPr>
            </w:pPr>
          </w:p>
        </w:tc>
        <w:tc>
          <w:tcPr>
            <w:tcW w:w="2126" w:type="dxa"/>
            <w:tcBorders>
              <w:left w:val="single" w:color="auto" w:sz="4" w:space="0"/>
            </w:tcBorders>
            <w:vAlign w:val="center"/>
          </w:tcPr>
          <w:p w14:paraId="3F3E1962">
            <w:pPr>
              <w:adjustRightInd w:val="0"/>
              <w:snapToGrid w:val="0"/>
              <w:spacing w:before="50" w:line="360" w:lineRule="auto"/>
              <w:ind w:left="-88" w:leftChars="-42"/>
              <w:jc w:val="center"/>
              <w:rPr>
                <w:rFonts w:hint="eastAsia" w:ascii="宋体" w:hAnsi="宋体"/>
                <w:color w:val="000000"/>
                <w:szCs w:val="21"/>
              </w:rPr>
            </w:pPr>
          </w:p>
        </w:tc>
        <w:tc>
          <w:tcPr>
            <w:tcW w:w="1756" w:type="dxa"/>
            <w:vAlign w:val="center"/>
          </w:tcPr>
          <w:p w14:paraId="39EE21C0">
            <w:pPr>
              <w:adjustRightInd w:val="0"/>
              <w:snapToGrid w:val="0"/>
              <w:spacing w:before="50" w:line="360" w:lineRule="auto"/>
              <w:ind w:left="-88" w:leftChars="-42"/>
              <w:jc w:val="center"/>
              <w:rPr>
                <w:rFonts w:hint="eastAsia" w:ascii="宋体" w:hAnsi="宋体"/>
                <w:color w:val="000000"/>
                <w:szCs w:val="21"/>
              </w:rPr>
            </w:pPr>
          </w:p>
        </w:tc>
      </w:tr>
      <w:tr w14:paraId="14E322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A7A908E">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4CE5DB76">
            <w:pPr>
              <w:adjustRightInd w:val="0"/>
              <w:snapToGrid w:val="0"/>
              <w:spacing w:before="50" w:line="360" w:lineRule="auto"/>
              <w:ind w:left="-88" w:leftChars="-42"/>
              <w:jc w:val="center"/>
              <w:rPr>
                <w:rFonts w:hint="eastAsia" w:ascii="宋体" w:hAnsi="宋体"/>
                <w:color w:val="000000"/>
                <w:szCs w:val="21"/>
              </w:rPr>
            </w:pPr>
          </w:p>
        </w:tc>
        <w:tc>
          <w:tcPr>
            <w:tcW w:w="1985" w:type="dxa"/>
            <w:tcBorders>
              <w:right w:val="single" w:color="auto" w:sz="4" w:space="0"/>
            </w:tcBorders>
            <w:vAlign w:val="center"/>
          </w:tcPr>
          <w:p w14:paraId="24E016C0">
            <w:pPr>
              <w:adjustRightInd w:val="0"/>
              <w:snapToGrid w:val="0"/>
              <w:spacing w:before="50" w:line="360" w:lineRule="auto"/>
              <w:ind w:left="-88" w:leftChars="-42"/>
              <w:jc w:val="center"/>
              <w:rPr>
                <w:rFonts w:hint="eastAsia" w:ascii="宋体" w:hAnsi="宋体"/>
                <w:color w:val="000000"/>
                <w:szCs w:val="21"/>
              </w:rPr>
            </w:pPr>
          </w:p>
        </w:tc>
        <w:tc>
          <w:tcPr>
            <w:tcW w:w="2126" w:type="dxa"/>
            <w:tcBorders>
              <w:left w:val="single" w:color="auto" w:sz="4" w:space="0"/>
            </w:tcBorders>
            <w:vAlign w:val="center"/>
          </w:tcPr>
          <w:p w14:paraId="39C0CB52">
            <w:pPr>
              <w:adjustRightInd w:val="0"/>
              <w:snapToGrid w:val="0"/>
              <w:spacing w:before="50" w:line="360" w:lineRule="auto"/>
              <w:ind w:left="-88" w:leftChars="-42"/>
              <w:jc w:val="center"/>
              <w:rPr>
                <w:rFonts w:hint="eastAsia" w:ascii="宋体" w:hAnsi="宋体"/>
                <w:color w:val="000000"/>
                <w:szCs w:val="21"/>
              </w:rPr>
            </w:pPr>
          </w:p>
        </w:tc>
        <w:tc>
          <w:tcPr>
            <w:tcW w:w="1756" w:type="dxa"/>
            <w:vAlign w:val="center"/>
          </w:tcPr>
          <w:p w14:paraId="22E01806">
            <w:pPr>
              <w:adjustRightInd w:val="0"/>
              <w:snapToGrid w:val="0"/>
              <w:spacing w:before="50" w:line="360" w:lineRule="auto"/>
              <w:ind w:left="-88" w:leftChars="-42"/>
              <w:jc w:val="center"/>
              <w:rPr>
                <w:rFonts w:hint="eastAsia" w:ascii="宋体" w:hAnsi="宋体"/>
                <w:color w:val="000000"/>
                <w:szCs w:val="21"/>
              </w:rPr>
            </w:pPr>
          </w:p>
        </w:tc>
      </w:tr>
      <w:tr w14:paraId="5341E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A723641">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7A257D7E">
            <w:pPr>
              <w:adjustRightInd w:val="0"/>
              <w:snapToGrid w:val="0"/>
              <w:spacing w:before="50" w:line="360" w:lineRule="auto"/>
              <w:ind w:left="-88" w:leftChars="-42"/>
              <w:jc w:val="center"/>
              <w:rPr>
                <w:rFonts w:hint="eastAsia" w:ascii="宋体" w:hAnsi="宋体"/>
                <w:color w:val="000000"/>
                <w:szCs w:val="21"/>
              </w:rPr>
            </w:pPr>
          </w:p>
        </w:tc>
        <w:tc>
          <w:tcPr>
            <w:tcW w:w="1985" w:type="dxa"/>
            <w:tcBorders>
              <w:right w:val="single" w:color="auto" w:sz="4" w:space="0"/>
            </w:tcBorders>
            <w:vAlign w:val="center"/>
          </w:tcPr>
          <w:p w14:paraId="723D3174">
            <w:pPr>
              <w:adjustRightInd w:val="0"/>
              <w:snapToGrid w:val="0"/>
              <w:spacing w:before="50" w:line="360" w:lineRule="auto"/>
              <w:ind w:left="-88" w:leftChars="-42"/>
              <w:jc w:val="center"/>
              <w:rPr>
                <w:rFonts w:hint="eastAsia" w:ascii="宋体" w:hAnsi="宋体"/>
                <w:color w:val="000000"/>
                <w:szCs w:val="21"/>
              </w:rPr>
            </w:pPr>
          </w:p>
        </w:tc>
        <w:tc>
          <w:tcPr>
            <w:tcW w:w="2126" w:type="dxa"/>
            <w:tcBorders>
              <w:left w:val="single" w:color="auto" w:sz="4" w:space="0"/>
            </w:tcBorders>
            <w:vAlign w:val="center"/>
          </w:tcPr>
          <w:p w14:paraId="6A342C10">
            <w:pPr>
              <w:adjustRightInd w:val="0"/>
              <w:snapToGrid w:val="0"/>
              <w:spacing w:before="50" w:line="360" w:lineRule="auto"/>
              <w:ind w:left="-88" w:leftChars="-42"/>
              <w:jc w:val="center"/>
              <w:rPr>
                <w:rFonts w:hint="eastAsia" w:ascii="宋体" w:hAnsi="宋体"/>
                <w:color w:val="000000"/>
                <w:szCs w:val="21"/>
              </w:rPr>
            </w:pPr>
          </w:p>
        </w:tc>
        <w:tc>
          <w:tcPr>
            <w:tcW w:w="1756" w:type="dxa"/>
            <w:vAlign w:val="center"/>
          </w:tcPr>
          <w:p w14:paraId="2EE17440">
            <w:pPr>
              <w:adjustRightInd w:val="0"/>
              <w:snapToGrid w:val="0"/>
              <w:spacing w:before="50" w:line="360" w:lineRule="auto"/>
              <w:ind w:left="-88" w:leftChars="-42"/>
              <w:jc w:val="center"/>
              <w:rPr>
                <w:rFonts w:hint="eastAsia" w:ascii="宋体" w:hAnsi="宋体"/>
                <w:color w:val="000000"/>
                <w:szCs w:val="21"/>
              </w:rPr>
            </w:pPr>
          </w:p>
        </w:tc>
      </w:tr>
      <w:tr w14:paraId="3FC98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4FDC070">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34AB6C50">
            <w:pPr>
              <w:adjustRightInd w:val="0"/>
              <w:snapToGrid w:val="0"/>
              <w:spacing w:before="50" w:line="360" w:lineRule="auto"/>
              <w:ind w:left="-88" w:leftChars="-42"/>
              <w:jc w:val="center"/>
              <w:rPr>
                <w:rFonts w:hint="eastAsia" w:ascii="宋体" w:hAnsi="宋体"/>
                <w:color w:val="000000"/>
                <w:szCs w:val="21"/>
              </w:rPr>
            </w:pPr>
          </w:p>
        </w:tc>
        <w:tc>
          <w:tcPr>
            <w:tcW w:w="1985" w:type="dxa"/>
            <w:tcBorders>
              <w:right w:val="single" w:color="auto" w:sz="4" w:space="0"/>
            </w:tcBorders>
            <w:vAlign w:val="center"/>
          </w:tcPr>
          <w:p w14:paraId="33E584B9">
            <w:pPr>
              <w:adjustRightInd w:val="0"/>
              <w:snapToGrid w:val="0"/>
              <w:spacing w:before="50" w:line="360" w:lineRule="auto"/>
              <w:ind w:left="-88" w:leftChars="-42"/>
              <w:jc w:val="center"/>
              <w:rPr>
                <w:rFonts w:hint="eastAsia" w:ascii="宋体" w:hAnsi="宋体"/>
                <w:color w:val="000000"/>
                <w:szCs w:val="21"/>
              </w:rPr>
            </w:pPr>
          </w:p>
        </w:tc>
        <w:tc>
          <w:tcPr>
            <w:tcW w:w="2126" w:type="dxa"/>
            <w:tcBorders>
              <w:left w:val="single" w:color="auto" w:sz="4" w:space="0"/>
            </w:tcBorders>
            <w:vAlign w:val="center"/>
          </w:tcPr>
          <w:p w14:paraId="5D75DBF5">
            <w:pPr>
              <w:adjustRightInd w:val="0"/>
              <w:snapToGrid w:val="0"/>
              <w:spacing w:before="50" w:line="360" w:lineRule="auto"/>
              <w:ind w:left="-88" w:leftChars="-42"/>
              <w:jc w:val="center"/>
              <w:rPr>
                <w:rFonts w:hint="eastAsia" w:ascii="宋体" w:hAnsi="宋体"/>
                <w:color w:val="000000"/>
                <w:szCs w:val="21"/>
              </w:rPr>
            </w:pPr>
          </w:p>
        </w:tc>
        <w:tc>
          <w:tcPr>
            <w:tcW w:w="1756" w:type="dxa"/>
            <w:vAlign w:val="center"/>
          </w:tcPr>
          <w:p w14:paraId="611984D0">
            <w:pPr>
              <w:adjustRightInd w:val="0"/>
              <w:snapToGrid w:val="0"/>
              <w:spacing w:before="50" w:line="360" w:lineRule="auto"/>
              <w:ind w:left="-88" w:leftChars="-42"/>
              <w:jc w:val="center"/>
              <w:rPr>
                <w:rFonts w:hint="eastAsia" w:ascii="宋体" w:hAnsi="宋体"/>
                <w:color w:val="000000"/>
                <w:szCs w:val="21"/>
              </w:rPr>
            </w:pPr>
          </w:p>
        </w:tc>
      </w:tr>
      <w:tr w14:paraId="0B957D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6993FB6">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599BF45D">
            <w:pPr>
              <w:adjustRightInd w:val="0"/>
              <w:snapToGrid w:val="0"/>
              <w:spacing w:before="50" w:line="360" w:lineRule="auto"/>
              <w:ind w:left="-88" w:leftChars="-42"/>
              <w:jc w:val="center"/>
              <w:rPr>
                <w:rFonts w:hint="eastAsia" w:ascii="宋体" w:hAnsi="宋体"/>
                <w:color w:val="000000"/>
                <w:szCs w:val="21"/>
              </w:rPr>
            </w:pPr>
          </w:p>
        </w:tc>
        <w:tc>
          <w:tcPr>
            <w:tcW w:w="1985" w:type="dxa"/>
            <w:tcBorders>
              <w:right w:val="single" w:color="auto" w:sz="4" w:space="0"/>
            </w:tcBorders>
            <w:vAlign w:val="center"/>
          </w:tcPr>
          <w:p w14:paraId="6DA21BE7">
            <w:pPr>
              <w:adjustRightInd w:val="0"/>
              <w:snapToGrid w:val="0"/>
              <w:spacing w:before="50" w:line="360" w:lineRule="auto"/>
              <w:ind w:left="-88" w:leftChars="-42"/>
              <w:jc w:val="center"/>
              <w:rPr>
                <w:rFonts w:hint="eastAsia" w:ascii="宋体" w:hAnsi="宋体"/>
                <w:color w:val="000000"/>
                <w:szCs w:val="21"/>
              </w:rPr>
            </w:pPr>
          </w:p>
        </w:tc>
        <w:tc>
          <w:tcPr>
            <w:tcW w:w="2126" w:type="dxa"/>
            <w:tcBorders>
              <w:left w:val="single" w:color="auto" w:sz="4" w:space="0"/>
            </w:tcBorders>
            <w:vAlign w:val="center"/>
          </w:tcPr>
          <w:p w14:paraId="246B4BBB">
            <w:pPr>
              <w:adjustRightInd w:val="0"/>
              <w:snapToGrid w:val="0"/>
              <w:spacing w:before="50" w:line="360" w:lineRule="auto"/>
              <w:ind w:left="-88" w:leftChars="-42"/>
              <w:jc w:val="center"/>
              <w:rPr>
                <w:rFonts w:hint="eastAsia" w:ascii="宋体" w:hAnsi="宋体"/>
                <w:color w:val="000000"/>
                <w:szCs w:val="21"/>
              </w:rPr>
            </w:pPr>
          </w:p>
        </w:tc>
        <w:tc>
          <w:tcPr>
            <w:tcW w:w="1756" w:type="dxa"/>
            <w:vAlign w:val="center"/>
          </w:tcPr>
          <w:p w14:paraId="5FD66400">
            <w:pPr>
              <w:adjustRightInd w:val="0"/>
              <w:snapToGrid w:val="0"/>
              <w:spacing w:before="50" w:line="360" w:lineRule="auto"/>
              <w:ind w:left="-88" w:leftChars="-42"/>
              <w:jc w:val="center"/>
              <w:rPr>
                <w:rFonts w:hint="eastAsia" w:ascii="宋体" w:hAnsi="宋体"/>
                <w:color w:val="000000"/>
                <w:szCs w:val="21"/>
              </w:rPr>
            </w:pPr>
          </w:p>
        </w:tc>
      </w:tr>
      <w:tr w14:paraId="7E95E5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5441C3C">
            <w:pPr>
              <w:adjustRightInd w:val="0"/>
              <w:snapToGrid w:val="0"/>
              <w:spacing w:before="50" w:line="360" w:lineRule="auto"/>
              <w:ind w:left="-88" w:leftChars="-42"/>
              <w:jc w:val="center"/>
              <w:rPr>
                <w:rFonts w:hint="eastAsia" w:ascii="宋体" w:hAnsi="宋体"/>
                <w:color w:val="000000"/>
                <w:szCs w:val="21"/>
              </w:rPr>
            </w:pPr>
          </w:p>
        </w:tc>
        <w:tc>
          <w:tcPr>
            <w:tcW w:w="2410" w:type="dxa"/>
            <w:vAlign w:val="center"/>
          </w:tcPr>
          <w:p w14:paraId="61FE083A">
            <w:pPr>
              <w:adjustRightInd w:val="0"/>
              <w:snapToGrid w:val="0"/>
              <w:spacing w:before="50" w:line="360" w:lineRule="auto"/>
              <w:ind w:left="-88" w:leftChars="-42"/>
              <w:jc w:val="center"/>
              <w:rPr>
                <w:rFonts w:hint="eastAsia" w:ascii="宋体" w:hAnsi="宋体"/>
                <w:color w:val="000000"/>
                <w:szCs w:val="21"/>
              </w:rPr>
            </w:pPr>
          </w:p>
        </w:tc>
        <w:tc>
          <w:tcPr>
            <w:tcW w:w="1985" w:type="dxa"/>
            <w:tcBorders>
              <w:right w:val="single" w:color="auto" w:sz="4" w:space="0"/>
            </w:tcBorders>
            <w:vAlign w:val="center"/>
          </w:tcPr>
          <w:p w14:paraId="4D722A81">
            <w:pPr>
              <w:adjustRightInd w:val="0"/>
              <w:snapToGrid w:val="0"/>
              <w:spacing w:before="50" w:line="360" w:lineRule="auto"/>
              <w:ind w:left="-88" w:leftChars="-42"/>
              <w:jc w:val="center"/>
              <w:rPr>
                <w:rFonts w:hint="eastAsia" w:ascii="宋体" w:hAnsi="宋体"/>
                <w:color w:val="000000"/>
                <w:szCs w:val="21"/>
              </w:rPr>
            </w:pPr>
          </w:p>
        </w:tc>
        <w:tc>
          <w:tcPr>
            <w:tcW w:w="3882" w:type="dxa"/>
            <w:gridSpan w:val="2"/>
            <w:tcBorders>
              <w:left w:val="single" w:color="auto" w:sz="4" w:space="0"/>
            </w:tcBorders>
            <w:vAlign w:val="center"/>
          </w:tcPr>
          <w:p w14:paraId="13ED145D">
            <w:pPr>
              <w:adjustRightInd w:val="0"/>
              <w:snapToGrid w:val="0"/>
              <w:spacing w:before="50" w:line="360" w:lineRule="auto"/>
              <w:ind w:firstLine="422" w:firstLineChars="200"/>
              <w:rPr>
                <w:rFonts w:hint="eastAsia" w:ascii="宋体" w:hAnsi="宋体"/>
                <w:color w:val="000000"/>
                <w:szCs w:val="21"/>
              </w:rPr>
            </w:pPr>
            <w:r>
              <w:rPr>
                <w:rFonts w:hint="eastAsia" w:ascii="宋体" w:hAnsi="宋体"/>
                <w:b/>
                <w:color w:val="000000"/>
                <w:szCs w:val="21"/>
              </w:rPr>
              <w:t>投标人保证：除本采购需求偏离表列出的偏离外，我单位对招标文件的其他采购需求条款完全响应，无偏离。</w:t>
            </w:r>
          </w:p>
        </w:tc>
      </w:tr>
    </w:tbl>
    <w:p w14:paraId="37DC9921">
      <w:pPr>
        <w:adjustRightInd w:val="0"/>
        <w:snapToGrid w:val="0"/>
        <w:spacing w:before="50" w:line="360" w:lineRule="auto"/>
        <w:ind w:left="-88" w:leftChars="-42"/>
        <w:rPr>
          <w:rFonts w:hint="eastAsia" w:ascii="宋体" w:hAnsi="宋体"/>
          <w:color w:val="000000"/>
          <w:szCs w:val="21"/>
        </w:rPr>
      </w:pPr>
      <w:r>
        <w:rPr>
          <w:rFonts w:hint="eastAsia" w:ascii="宋体" w:hAnsi="宋体"/>
          <w:b/>
          <w:color w:val="000000"/>
          <w:szCs w:val="21"/>
        </w:rPr>
        <w:t>备注</w:t>
      </w:r>
      <w:r>
        <w:rPr>
          <w:rFonts w:hint="eastAsia" w:ascii="宋体" w:hAnsi="宋体"/>
          <w:color w:val="000000"/>
          <w:szCs w:val="21"/>
        </w:rPr>
        <w:t>：（1）投标人应根据招标文件第五章中采购需求填写本表；</w:t>
      </w:r>
    </w:p>
    <w:p w14:paraId="52E4434A">
      <w:pPr>
        <w:adjustRightInd w:val="0"/>
        <w:snapToGrid w:val="0"/>
        <w:spacing w:before="50" w:line="360" w:lineRule="auto"/>
        <w:ind w:left="-88" w:leftChars="-42" w:firstLine="420" w:firstLineChars="200"/>
        <w:rPr>
          <w:rFonts w:hint="eastAsia" w:ascii="宋体" w:hAnsi="宋体"/>
          <w:color w:val="000000"/>
          <w:szCs w:val="21"/>
        </w:rPr>
      </w:pPr>
      <w:r>
        <w:rPr>
          <w:rFonts w:hint="eastAsia" w:ascii="宋体" w:hAnsi="宋体"/>
          <w:color w:val="000000"/>
          <w:szCs w:val="21"/>
        </w:rPr>
        <w:t>（2）</w:t>
      </w:r>
      <w:r>
        <w:rPr>
          <w:rFonts w:hint="eastAsia" w:ascii="宋体" w:hAnsi="宋体"/>
          <w:b/>
          <w:color w:val="000000"/>
          <w:szCs w:val="21"/>
        </w:rPr>
        <w:t>投标人如果对招标文件第五章中采购需求的响应有偏离，应将偏离条款逐条如实应答，并作出说明</w:t>
      </w:r>
      <w:r>
        <w:rPr>
          <w:rFonts w:hint="eastAsia" w:ascii="宋体" w:hAnsi="宋体"/>
          <w:color w:val="000000"/>
          <w:szCs w:val="21"/>
        </w:rPr>
        <w:t>；</w:t>
      </w:r>
    </w:p>
    <w:p w14:paraId="30C39FB8">
      <w:pPr>
        <w:adjustRightInd w:val="0"/>
        <w:snapToGrid w:val="0"/>
        <w:spacing w:before="50" w:line="360" w:lineRule="auto"/>
        <w:ind w:left="-88" w:leftChars="-42" w:firstLine="420" w:firstLineChars="200"/>
        <w:rPr>
          <w:rFonts w:hint="eastAsia" w:ascii="宋体" w:hAnsi="宋体"/>
          <w:color w:val="000000"/>
          <w:szCs w:val="21"/>
        </w:rPr>
      </w:pPr>
      <w:r>
        <w:rPr>
          <w:rFonts w:hint="eastAsia" w:ascii="宋体" w:hAnsi="宋体"/>
          <w:color w:val="000000"/>
          <w:szCs w:val="21"/>
        </w:rPr>
        <w:t>（3）如不提供此表，则视为投标人不满足招标文件第五章的所有条款要求，其投标无效。</w:t>
      </w:r>
    </w:p>
    <w:p w14:paraId="066DACE6">
      <w:pPr>
        <w:adjustRightInd w:val="0"/>
        <w:snapToGrid w:val="0"/>
        <w:spacing w:before="50" w:line="360" w:lineRule="auto"/>
        <w:ind w:left="-88" w:leftChars="-42" w:firstLine="420" w:firstLineChars="200"/>
        <w:rPr>
          <w:rFonts w:hint="eastAsia" w:ascii="宋体" w:hAnsi="宋体"/>
          <w:color w:val="000000"/>
          <w:szCs w:val="21"/>
        </w:rPr>
      </w:pPr>
      <w:r>
        <w:rPr>
          <w:rFonts w:hint="eastAsia" w:ascii="宋体" w:hAnsi="宋体"/>
          <w:color w:val="000000"/>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155A3466">
      <w:pPr>
        <w:adjustRightInd w:val="0"/>
        <w:snapToGrid w:val="0"/>
        <w:spacing w:before="50" w:line="360" w:lineRule="auto"/>
        <w:rPr>
          <w:rFonts w:hint="eastAsia" w:ascii="宋体" w:hAnsi="宋体"/>
          <w:color w:val="000000"/>
          <w:szCs w:val="21"/>
        </w:rPr>
      </w:pPr>
    </w:p>
    <w:p w14:paraId="492CF206">
      <w:pPr>
        <w:adjustRightInd w:val="0"/>
        <w:snapToGrid w:val="0"/>
        <w:spacing w:before="50" w:line="360" w:lineRule="auto"/>
        <w:rPr>
          <w:rFonts w:hint="eastAsia" w:ascii="宋体" w:hAnsi="宋体"/>
          <w:color w:val="000000"/>
          <w:szCs w:val="21"/>
        </w:rPr>
      </w:pPr>
    </w:p>
    <w:p w14:paraId="1805547A">
      <w:pPr>
        <w:adjustRightInd w:val="0"/>
        <w:snapToGrid w:val="0"/>
        <w:spacing w:before="50" w:line="360" w:lineRule="auto"/>
        <w:rPr>
          <w:rFonts w:hint="eastAsia" w:ascii="宋体" w:hAnsi="宋体"/>
          <w:color w:val="000000"/>
          <w:szCs w:val="21"/>
        </w:rPr>
      </w:pPr>
      <w:r>
        <w:rPr>
          <w:rFonts w:hint="eastAsia" w:ascii="宋体" w:hAnsi="宋体"/>
          <w:color w:val="000000"/>
          <w:szCs w:val="21"/>
        </w:rPr>
        <w:t>投标人名称（盖单位章）：</w:t>
      </w:r>
    </w:p>
    <w:p w14:paraId="4663B28B">
      <w:pPr>
        <w:adjustRightInd w:val="0"/>
        <w:snapToGrid w:val="0"/>
        <w:spacing w:before="50" w:line="360" w:lineRule="auto"/>
        <w:rPr>
          <w:rFonts w:hint="eastAsia" w:ascii="宋体" w:hAnsi="宋体"/>
          <w:color w:val="000000"/>
          <w:szCs w:val="21"/>
        </w:rPr>
      </w:pPr>
      <w:r>
        <w:rPr>
          <w:rFonts w:hint="eastAsia" w:ascii="宋体" w:hAnsi="宋体"/>
          <w:color w:val="000000"/>
          <w:szCs w:val="21"/>
        </w:rPr>
        <w:t>法定代表人或其授权的代理人（签字或印章）：</w:t>
      </w:r>
    </w:p>
    <w:p w14:paraId="3A7F776E">
      <w:pPr>
        <w:adjustRightInd w:val="0"/>
        <w:snapToGrid w:val="0"/>
        <w:spacing w:before="50" w:line="360" w:lineRule="auto"/>
        <w:rPr>
          <w:rFonts w:hint="eastAsia" w:ascii="宋体" w:hAnsi="宋体"/>
          <w:color w:val="000000"/>
          <w:szCs w:val="21"/>
        </w:rPr>
      </w:pPr>
      <w:r>
        <w:rPr>
          <w:rFonts w:hint="eastAsia" w:ascii="宋体" w:hAnsi="宋体"/>
          <w:color w:val="000000"/>
          <w:szCs w:val="21"/>
        </w:rPr>
        <w:t>日      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月_日</w:t>
      </w:r>
    </w:p>
    <w:p w14:paraId="75BE0504">
      <w:pPr>
        <w:adjustRightInd w:val="0"/>
        <w:snapToGrid w:val="0"/>
        <w:spacing w:line="360" w:lineRule="auto"/>
        <w:rPr>
          <w:rFonts w:hint="eastAsia" w:ascii="黑体" w:hAnsi="华文中宋" w:eastAsia="黑体" w:cs="宋体"/>
          <w:bCs/>
          <w:spacing w:val="6"/>
          <w:kern w:val="0"/>
          <w:szCs w:val="21"/>
        </w:rPr>
      </w:pPr>
      <w:r>
        <w:rPr>
          <w:rFonts w:ascii="宋体" w:hAnsi="宋体"/>
          <w:color w:val="000000"/>
          <w:szCs w:val="21"/>
        </w:rPr>
        <w:br w:type="page"/>
      </w:r>
    </w:p>
    <w:p w14:paraId="03A933A7">
      <w:pPr>
        <w:pStyle w:val="4"/>
        <w:adjustRightInd w:val="0"/>
        <w:snapToGrid w:val="0"/>
        <w:spacing w:before="0" w:after="0" w:line="360" w:lineRule="auto"/>
        <w:jc w:val="center"/>
        <w:rPr>
          <w:rFonts w:hint="eastAsia" w:ascii="黑体" w:hAnsi="宋体" w:eastAsia="黑体"/>
          <w:sz w:val="28"/>
          <w:szCs w:val="28"/>
        </w:rPr>
      </w:pPr>
      <w:bookmarkStart w:id="154" w:name="_Toc29913976"/>
      <w:bookmarkStart w:id="155" w:name="_Toc31068"/>
      <w:r>
        <w:rPr>
          <w:rFonts w:hint="eastAsia" w:ascii="黑体" w:hAnsi="宋体" w:eastAsia="黑体"/>
          <w:sz w:val="28"/>
          <w:szCs w:val="28"/>
        </w:rPr>
        <w:t>十、投标服务符合招标文件规定的证明文件</w:t>
      </w:r>
      <w:bookmarkEnd w:id="154"/>
      <w:bookmarkEnd w:id="155"/>
    </w:p>
    <w:p w14:paraId="69EE2D92">
      <w:pPr>
        <w:adjustRightInd w:val="0"/>
        <w:snapToGrid w:val="0"/>
        <w:spacing w:line="360" w:lineRule="auto"/>
        <w:rPr>
          <w:rFonts w:hint="eastAsia" w:asciiTheme="minorEastAsia" w:hAnsiTheme="minorEastAsia" w:eastAsiaTheme="minorEastAsia"/>
          <w:szCs w:val="21"/>
        </w:rPr>
      </w:pPr>
    </w:p>
    <w:p w14:paraId="208456CB">
      <w:pPr>
        <w:adjustRightInd w:val="0"/>
        <w:snapToGrid w:val="0"/>
        <w:spacing w:line="360" w:lineRule="auto"/>
        <w:rPr>
          <w:rFonts w:hint="eastAsia" w:asciiTheme="minorEastAsia" w:hAnsiTheme="minorEastAsia" w:eastAsiaTheme="minorEastAsia"/>
        </w:rPr>
      </w:pPr>
      <w:r>
        <w:rPr>
          <w:rFonts w:hint="eastAsia" w:asciiTheme="minorEastAsia" w:hAnsiTheme="minorEastAsia" w:eastAsiaTheme="minorEastAsia"/>
          <w:szCs w:val="21"/>
        </w:rPr>
        <w:t>备注：提供第五章规定的证明材料复印件。</w:t>
      </w:r>
    </w:p>
    <w:p w14:paraId="3FB7325C">
      <w:pPr>
        <w:widowControl/>
        <w:jc w:val="left"/>
        <w:rPr>
          <w:rFonts w:ascii="黑体" w:eastAsia="黑体"/>
          <w:sz w:val="28"/>
          <w:szCs w:val="28"/>
        </w:rPr>
      </w:pPr>
      <w:r>
        <w:rPr>
          <w:rFonts w:ascii="黑体" w:eastAsia="黑体"/>
          <w:b/>
          <w:bCs/>
          <w:sz w:val="28"/>
          <w:szCs w:val="28"/>
        </w:rPr>
        <w:br w:type="page"/>
      </w:r>
    </w:p>
    <w:p w14:paraId="4FB1F224">
      <w:pPr>
        <w:pStyle w:val="4"/>
        <w:adjustRightInd w:val="0"/>
        <w:snapToGrid w:val="0"/>
        <w:spacing w:before="0" w:after="0" w:line="360" w:lineRule="auto"/>
        <w:jc w:val="center"/>
        <w:rPr>
          <w:rFonts w:hint="eastAsia" w:ascii="黑体" w:hAnsi="宋体" w:eastAsia="黑体"/>
          <w:sz w:val="28"/>
          <w:szCs w:val="28"/>
        </w:rPr>
      </w:pPr>
      <w:bookmarkStart w:id="156" w:name="_Toc29913977"/>
      <w:bookmarkStart w:id="157" w:name="_Toc21839"/>
      <w:r>
        <w:rPr>
          <w:rFonts w:hint="eastAsia" w:ascii="黑体" w:hAnsi="宋体" w:eastAsia="黑体"/>
          <w:sz w:val="28"/>
          <w:szCs w:val="28"/>
        </w:rPr>
        <w:t>十</w:t>
      </w:r>
      <w:r>
        <w:rPr>
          <w:rFonts w:hint="eastAsia" w:ascii="黑体" w:hAnsi="宋体" w:eastAsia="黑体"/>
          <w:sz w:val="28"/>
          <w:szCs w:val="28"/>
          <w:lang w:val="en-US" w:eastAsia="zh-CN"/>
        </w:rPr>
        <w:t>一</w:t>
      </w:r>
      <w:r>
        <w:rPr>
          <w:rFonts w:hint="eastAsia" w:ascii="黑体" w:hAnsi="宋体" w:eastAsia="黑体"/>
          <w:sz w:val="28"/>
          <w:szCs w:val="28"/>
        </w:rPr>
        <w:t>、投标人认为需提供的其他资料</w:t>
      </w:r>
      <w:bookmarkEnd w:id="156"/>
      <w:bookmarkEnd w:id="157"/>
    </w:p>
    <w:p w14:paraId="57102B44">
      <w:pPr>
        <w:adjustRightInd w:val="0"/>
        <w:snapToGrid w:val="0"/>
        <w:spacing w:before="156" w:beforeLines="50" w:line="360" w:lineRule="auto"/>
        <w:rPr>
          <w:rFonts w:hint="eastAsia" w:asciiTheme="minorEastAsia" w:hAnsiTheme="minorEastAsia" w:eastAsiaTheme="minorEastAsia"/>
        </w:rPr>
      </w:pPr>
    </w:p>
    <w:p w14:paraId="65AADF4C">
      <w:pPr>
        <w:adjustRightInd w:val="0"/>
        <w:snapToGrid w:val="0"/>
        <w:spacing w:before="156" w:beforeLines="50" w:line="360" w:lineRule="auto"/>
        <w:rPr>
          <w:rFonts w:hint="eastAsia" w:asciiTheme="minorEastAsia" w:hAnsiTheme="minorEastAsia" w:eastAsiaTheme="minorEastAsia"/>
        </w:rPr>
      </w:pPr>
      <w:r>
        <w:rPr>
          <w:rFonts w:hint="eastAsia" w:asciiTheme="minorEastAsia" w:hAnsiTheme="minorEastAsia" w:eastAsiaTheme="minorEastAsia"/>
        </w:rPr>
        <w:t>备注：投标人认为需提供的其他资料包括：</w:t>
      </w:r>
    </w:p>
    <w:p w14:paraId="2CB4228E">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（1）招标文件第五章采购需求要求的其他资料；</w:t>
      </w:r>
    </w:p>
    <w:p w14:paraId="51E3A322">
      <w:pPr>
        <w:widowControl/>
        <w:ind w:firstLine="420" w:firstLineChars="200"/>
        <w:jc w:val="left"/>
        <w:rPr>
          <w:rFonts w:hint="eastAsia" w:ascii="宋体" w:hAnsi="宋体"/>
          <w:color w:val="000000"/>
          <w:szCs w:val="21"/>
        </w:rPr>
      </w:pPr>
      <w:r>
        <w:rPr>
          <w:rFonts w:hint="eastAsia" w:asciiTheme="minorEastAsia" w:hAnsiTheme="minorEastAsia" w:eastAsiaTheme="minorEastAsia"/>
        </w:rPr>
        <w:t>（2）招标文件第四章评标方法及标准要求的其他相关资料。</w:t>
      </w:r>
    </w:p>
    <w:sectPr>
      <w:headerReference r:id="rId10" w:type="default"/>
      <w:footerReference r:id="rId11" w:type="default"/>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华文宋体">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9BAD3">
    <w:pPr>
      <w:pStyle w:val="30"/>
      <w:bidi w:val="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C26EF">
    <w:pPr>
      <w:pStyle w:val="30"/>
      <w:jc w:val="center"/>
    </w:pPr>
  </w:p>
  <w:p w14:paraId="19F1D9B5">
    <w:pPr>
      <w:pStyle w:val="30"/>
      <w:bidi w:val="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C3EFF">
    <w:pPr>
      <w:pStyle w:val="30"/>
      <w:bidi w:val="0"/>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D10A92">
                          <w:pPr>
                            <w:pStyle w:val="3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29D10A92">
                    <w:pPr>
                      <w:pStyle w:val="3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60054">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70FCC53">
                          <w:pPr>
                            <w:pStyle w:val="30"/>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oaYJL0wAAAAUBAAAPAAAAAAAAAAEA&#10;IAAAACIAAABkcnMvZG93bnJldi54bWxQSwECFAAUAAAACACHTuJANqosaNsBAAC0AwAADgAAAAAA&#10;AAABACAAAAAiAQAAZHJzL2Uyb0RvYy54bWxQSwUGAAAAAAYABgBZAQAAbwUAAAAA&#10;">
              <v:fill on="f" focussize="0,0"/>
              <v:stroke on="f" weight="1.25pt"/>
              <v:imagedata o:title=""/>
              <o:lock v:ext="edit" aspectratio="f"/>
              <v:textbox inset="0mm,0mm,0mm,0mm" style="mso-fit-shape-to-text:t;">
                <w:txbxContent>
                  <w:p w14:paraId="170FCC53">
                    <w:pPr>
                      <w:pStyle w:val="30"/>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p>
  <w:p w14:paraId="318DEC99">
    <w:pPr>
      <w:pStyle w:val="30"/>
      <w:pBdr>
        <w:top w:val="single" w:color="auto" w:sz="4" w:space="1"/>
      </w:pBdr>
      <w:rPr>
        <w:rFonts w:hint="eastAsia" w:ascii="宋体" w:hAnsi="宋体"/>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B4265">
    <w:pPr>
      <w:pStyle w:val="30"/>
      <w:ind w:right="96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D55E50">
                          <w:pPr>
                            <w:pStyle w:val="30"/>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06D55E50">
                    <w:pPr>
                      <w:pStyle w:val="30"/>
                    </w:pPr>
                    <w:r>
                      <w:fldChar w:fldCharType="begin"/>
                    </w:r>
                    <w:r>
                      <w:instrText xml:space="preserve"> PAGE  \* MERGEFORMAT </w:instrText>
                    </w:r>
                    <w:r>
                      <w:fldChar w:fldCharType="separate"/>
                    </w:r>
                    <w:r>
                      <w:t>94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9A70F">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B814A">
    <w:pPr>
      <w:pStyle w:val="32"/>
      <w:pBdr>
        <w:bottom w:val="none" w:color="auto" w:sz="0" w:space="0"/>
      </w:pBdr>
      <w:ind w:right="340"/>
      <w:jc w:val="both"/>
      <w:rPr>
        <w:sz w:val="15"/>
        <w:szCs w:val="1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AF68A">
    <w:pPr>
      <w:pStyle w:val="32"/>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EA57F">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588C20"/>
    <w:multiLevelType w:val="singleLevel"/>
    <w:tmpl w:val="CB588C20"/>
    <w:lvl w:ilvl="0" w:tentative="0">
      <w:start w:val="1"/>
      <w:numFmt w:val="chineseCounting"/>
      <w:suff w:val="space"/>
      <w:lvlText w:val="第%1节"/>
      <w:lvlJc w:val="left"/>
      <w:rPr>
        <w:rFonts w:hint="eastAsia"/>
      </w:rPr>
    </w:lvl>
  </w:abstractNum>
  <w:abstractNum w:abstractNumId="1">
    <w:nsid w:val="EB679A96"/>
    <w:multiLevelType w:val="singleLevel"/>
    <w:tmpl w:val="EB679A96"/>
    <w:lvl w:ilvl="0" w:tentative="0">
      <w:start w:val="1"/>
      <w:numFmt w:val="decimal"/>
      <w:suff w:val="nothing"/>
      <w:lvlText w:val="%1、"/>
      <w:lvlJc w:val="left"/>
    </w:lvl>
  </w:abstractNum>
  <w:abstractNum w:abstractNumId="2">
    <w:nsid w:val="0ECD2209"/>
    <w:multiLevelType w:val="singleLevel"/>
    <w:tmpl w:val="0ECD2209"/>
    <w:lvl w:ilvl="0" w:tentative="0">
      <w:start w:val="1"/>
      <w:numFmt w:val="chineseCounting"/>
      <w:pStyle w:val="135"/>
      <w:suff w:val="nothing"/>
      <w:lvlText w:val="%1、"/>
      <w:lvlJc w:val="left"/>
      <w:rPr>
        <w:rFonts w:hint="eastAsia"/>
      </w:rPr>
    </w:lvl>
  </w:abstractNum>
  <w:abstractNum w:abstractNumId="3">
    <w:nsid w:val="0FDCC8D7"/>
    <w:multiLevelType w:val="singleLevel"/>
    <w:tmpl w:val="0FDCC8D7"/>
    <w:lvl w:ilvl="0" w:tentative="0">
      <w:start w:val="1"/>
      <w:numFmt w:val="decimal"/>
      <w:suff w:val="nothing"/>
      <w:lvlText w:val="（%1）"/>
      <w:lvlJc w:val="left"/>
    </w:lvl>
  </w:abstractNum>
  <w:abstractNum w:abstractNumId="4">
    <w:nsid w:val="32355F81"/>
    <w:multiLevelType w:val="multilevel"/>
    <w:tmpl w:val="32355F81"/>
    <w:lvl w:ilvl="0" w:tentative="0">
      <w:start w:val="1"/>
      <w:numFmt w:val="japaneseCounting"/>
      <w:lvlText w:val="%1、"/>
      <w:lvlJc w:val="left"/>
      <w:pPr>
        <w:ind w:left="945" w:hanging="630"/>
      </w:pPr>
      <w:rPr>
        <w:rFonts w:hint="default" w:ascii="Calibri" w:hAnsi="Calibri" w:cs="Times New Roman"/>
        <w:b/>
        <w:sz w:val="30"/>
      </w:rPr>
    </w:lvl>
    <w:lvl w:ilvl="1" w:tentative="0">
      <w:start w:val="1"/>
      <w:numFmt w:val="lowerLetter"/>
      <w:pStyle w:val="217"/>
      <w:lvlText w:val="%2)"/>
      <w:lvlJc w:val="left"/>
      <w:pPr>
        <w:ind w:left="1155" w:hanging="420"/>
      </w:pPr>
      <w:rPr>
        <w:rFonts w:cs="Times New Roman"/>
      </w:rPr>
    </w:lvl>
    <w:lvl w:ilvl="2" w:tentative="0">
      <w:start w:val="1"/>
      <w:numFmt w:val="lowerRoman"/>
      <w:pStyle w:val="214"/>
      <w:lvlText w:val="%3."/>
      <w:lvlJc w:val="right"/>
      <w:pPr>
        <w:ind w:left="1575" w:hanging="420"/>
      </w:pPr>
      <w:rPr>
        <w:rFonts w:cs="Times New Roman"/>
      </w:rPr>
    </w:lvl>
    <w:lvl w:ilvl="3" w:tentative="0">
      <w:start w:val="1"/>
      <w:numFmt w:val="decimal"/>
      <w:pStyle w:val="213"/>
      <w:lvlText w:val="%4."/>
      <w:lvlJc w:val="left"/>
      <w:pPr>
        <w:ind w:left="1995" w:hanging="420"/>
      </w:pPr>
      <w:rPr>
        <w:rFonts w:cs="Times New Roman"/>
      </w:rPr>
    </w:lvl>
    <w:lvl w:ilvl="4" w:tentative="0">
      <w:start w:val="1"/>
      <w:numFmt w:val="lowerLetter"/>
      <w:pStyle w:val="216"/>
      <w:lvlText w:val="%5)"/>
      <w:lvlJc w:val="left"/>
      <w:pPr>
        <w:ind w:left="2415" w:hanging="420"/>
      </w:pPr>
      <w:rPr>
        <w:rFonts w:cs="Times New Roman"/>
      </w:rPr>
    </w:lvl>
    <w:lvl w:ilvl="5" w:tentative="0">
      <w:start w:val="1"/>
      <w:numFmt w:val="lowerRoman"/>
      <w:lvlText w:val="%6."/>
      <w:lvlJc w:val="right"/>
      <w:pPr>
        <w:ind w:left="2835" w:hanging="420"/>
      </w:pPr>
      <w:rPr>
        <w:rFonts w:cs="Times New Roman"/>
      </w:rPr>
    </w:lvl>
    <w:lvl w:ilvl="6" w:tentative="0">
      <w:start w:val="1"/>
      <w:numFmt w:val="decimal"/>
      <w:lvlText w:val="%7."/>
      <w:lvlJc w:val="left"/>
      <w:pPr>
        <w:ind w:left="3255" w:hanging="420"/>
      </w:pPr>
      <w:rPr>
        <w:rFonts w:cs="Times New Roman"/>
      </w:rPr>
    </w:lvl>
    <w:lvl w:ilvl="7" w:tentative="0">
      <w:start w:val="1"/>
      <w:numFmt w:val="lowerLetter"/>
      <w:lvlText w:val="%8)"/>
      <w:lvlJc w:val="left"/>
      <w:pPr>
        <w:ind w:left="3675" w:hanging="420"/>
      </w:pPr>
      <w:rPr>
        <w:rFonts w:cs="Times New Roman"/>
      </w:rPr>
    </w:lvl>
    <w:lvl w:ilvl="8" w:tentative="0">
      <w:start w:val="1"/>
      <w:numFmt w:val="lowerRoman"/>
      <w:lvlText w:val="%9."/>
      <w:lvlJc w:val="right"/>
      <w:pPr>
        <w:ind w:left="4095" w:hanging="420"/>
      </w:pPr>
      <w:rPr>
        <w:rFonts w:cs="Times New Roman"/>
      </w:rPr>
    </w:lvl>
  </w:abstractNum>
  <w:abstractNum w:abstractNumId="5">
    <w:nsid w:val="484C7524"/>
    <w:multiLevelType w:val="singleLevel"/>
    <w:tmpl w:val="484C7524"/>
    <w:lvl w:ilvl="0" w:tentative="0">
      <w:start w:val="1"/>
      <w:numFmt w:val="chineseCounting"/>
      <w:suff w:val="nothing"/>
      <w:lvlText w:val="%1、"/>
      <w:lvlJc w:val="left"/>
      <w:rPr>
        <w:rFonts w:hint="eastAsia"/>
      </w:rPr>
    </w:lvl>
  </w:abstractNum>
  <w:abstractNum w:abstractNumId="6">
    <w:nsid w:val="5C8C4870"/>
    <w:multiLevelType w:val="singleLevel"/>
    <w:tmpl w:val="5C8C4870"/>
    <w:lvl w:ilvl="0" w:tentative="0">
      <w:start w:val="1"/>
      <w:numFmt w:val="decimal"/>
      <w:suff w:val="nothing"/>
      <w:lvlText w:val="%1、"/>
      <w:lvlJc w:val="left"/>
    </w:lvl>
  </w:abstractNum>
  <w:abstractNum w:abstractNumId="7">
    <w:nsid w:val="6FAC91BE"/>
    <w:multiLevelType w:val="singleLevel"/>
    <w:tmpl w:val="6FAC91BE"/>
    <w:lvl w:ilvl="0" w:tentative="0">
      <w:start w:val="1"/>
      <w:numFmt w:val="decimal"/>
      <w:suff w:val="nothing"/>
      <w:lvlText w:val="%1、"/>
      <w:lvlJc w:val="left"/>
    </w:lvl>
  </w:abstractNum>
  <w:abstractNum w:abstractNumId="8">
    <w:nsid w:val="71F3F263"/>
    <w:multiLevelType w:val="singleLevel"/>
    <w:tmpl w:val="71F3F263"/>
    <w:lvl w:ilvl="0" w:tentative="0">
      <w:start w:val="1"/>
      <w:numFmt w:val="chineseCounting"/>
      <w:suff w:val="space"/>
      <w:lvlText w:val="第%1章"/>
      <w:lvlJc w:val="left"/>
      <w:rPr>
        <w:rFonts w:hint="eastAsia"/>
      </w:rPr>
    </w:lvl>
  </w:abstractNum>
  <w:abstractNum w:abstractNumId="9">
    <w:nsid w:val="7A044399"/>
    <w:multiLevelType w:val="multilevel"/>
    <w:tmpl w:val="7A044399"/>
    <w:lvl w:ilvl="0" w:tentative="0">
      <w:start w:val="1"/>
      <w:numFmt w:val="japaneseCounting"/>
      <w:pStyle w:val="67"/>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9"/>
  </w:num>
  <w:num w:numId="2">
    <w:abstractNumId w:val="2"/>
  </w:num>
  <w:num w:numId="3">
    <w:abstractNumId w:val="4"/>
  </w:num>
  <w:num w:numId="4">
    <w:abstractNumId w:val="8"/>
  </w:num>
  <w:num w:numId="5">
    <w:abstractNumId w:val="1"/>
  </w:num>
  <w:num w:numId="6">
    <w:abstractNumId w:val="7"/>
  </w:num>
  <w:num w:numId="7">
    <w:abstractNumId w:val="6"/>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0NjRjMDkzZWVjMzk0YmY3YTk0NzRkODU3NmVhMjMifQ=="/>
  </w:docVars>
  <w:rsids>
    <w:rsidRoot w:val="00B84A4B"/>
    <w:rsid w:val="000015DD"/>
    <w:rsid w:val="00026835"/>
    <w:rsid w:val="00030582"/>
    <w:rsid w:val="0003294F"/>
    <w:rsid w:val="00035D5C"/>
    <w:rsid w:val="00041942"/>
    <w:rsid w:val="00041CD2"/>
    <w:rsid w:val="0004578B"/>
    <w:rsid w:val="00050EEC"/>
    <w:rsid w:val="00051B1A"/>
    <w:rsid w:val="00057008"/>
    <w:rsid w:val="0006338E"/>
    <w:rsid w:val="000706BB"/>
    <w:rsid w:val="00076791"/>
    <w:rsid w:val="00081D38"/>
    <w:rsid w:val="00091629"/>
    <w:rsid w:val="00095019"/>
    <w:rsid w:val="00096117"/>
    <w:rsid w:val="000B1470"/>
    <w:rsid w:val="000B6712"/>
    <w:rsid w:val="000C059D"/>
    <w:rsid w:val="000C3027"/>
    <w:rsid w:val="000E70AF"/>
    <w:rsid w:val="000F4807"/>
    <w:rsid w:val="000F5645"/>
    <w:rsid w:val="00102F42"/>
    <w:rsid w:val="00105184"/>
    <w:rsid w:val="001201E7"/>
    <w:rsid w:val="00121A6F"/>
    <w:rsid w:val="00122417"/>
    <w:rsid w:val="0012271E"/>
    <w:rsid w:val="00132C07"/>
    <w:rsid w:val="0015332D"/>
    <w:rsid w:val="0015519B"/>
    <w:rsid w:val="00161561"/>
    <w:rsid w:val="00163C70"/>
    <w:rsid w:val="00170ECC"/>
    <w:rsid w:val="00172E78"/>
    <w:rsid w:val="00180382"/>
    <w:rsid w:val="00181147"/>
    <w:rsid w:val="001835F2"/>
    <w:rsid w:val="00186255"/>
    <w:rsid w:val="00197DCA"/>
    <w:rsid w:val="001A5707"/>
    <w:rsid w:val="001B0D45"/>
    <w:rsid w:val="001F1B4C"/>
    <w:rsid w:val="00212E28"/>
    <w:rsid w:val="002134D3"/>
    <w:rsid w:val="0021427F"/>
    <w:rsid w:val="00245C1D"/>
    <w:rsid w:val="00246DCE"/>
    <w:rsid w:val="00255A72"/>
    <w:rsid w:val="002609C3"/>
    <w:rsid w:val="002657DD"/>
    <w:rsid w:val="00266A35"/>
    <w:rsid w:val="00272B0D"/>
    <w:rsid w:val="00280134"/>
    <w:rsid w:val="00282169"/>
    <w:rsid w:val="002871A7"/>
    <w:rsid w:val="00293EF5"/>
    <w:rsid w:val="002A2229"/>
    <w:rsid w:val="002B07F1"/>
    <w:rsid w:val="002B1DBE"/>
    <w:rsid w:val="002C07C3"/>
    <w:rsid w:val="002D1934"/>
    <w:rsid w:val="002D68B1"/>
    <w:rsid w:val="00303635"/>
    <w:rsid w:val="0030371A"/>
    <w:rsid w:val="00304572"/>
    <w:rsid w:val="0033161E"/>
    <w:rsid w:val="00331647"/>
    <w:rsid w:val="003334ED"/>
    <w:rsid w:val="00335C6B"/>
    <w:rsid w:val="00336804"/>
    <w:rsid w:val="00336AC3"/>
    <w:rsid w:val="00341094"/>
    <w:rsid w:val="0034212E"/>
    <w:rsid w:val="003509DA"/>
    <w:rsid w:val="00354690"/>
    <w:rsid w:val="00354AD9"/>
    <w:rsid w:val="00356889"/>
    <w:rsid w:val="00356A92"/>
    <w:rsid w:val="00357714"/>
    <w:rsid w:val="00361D17"/>
    <w:rsid w:val="00361E03"/>
    <w:rsid w:val="003725BE"/>
    <w:rsid w:val="00375652"/>
    <w:rsid w:val="00377076"/>
    <w:rsid w:val="0038022E"/>
    <w:rsid w:val="00380F84"/>
    <w:rsid w:val="003B74F9"/>
    <w:rsid w:val="003C4CDD"/>
    <w:rsid w:val="003C7FEB"/>
    <w:rsid w:val="003E2E1D"/>
    <w:rsid w:val="00414603"/>
    <w:rsid w:val="00422D04"/>
    <w:rsid w:val="00422E69"/>
    <w:rsid w:val="004237A9"/>
    <w:rsid w:val="004265A8"/>
    <w:rsid w:val="00427CED"/>
    <w:rsid w:val="004305AD"/>
    <w:rsid w:val="0043296A"/>
    <w:rsid w:val="00455762"/>
    <w:rsid w:val="0045705A"/>
    <w:rsid w:val="00457E7C"/>
    <w:rsid w:val="00460409"/>
    <w:rsid w:val="00486E2B"/>
    <w:rsid w:val="00487C0F"/>
    <w:rsid w:val="004A0E19"/>
    <w:rsid w:val="004A5264"/>
    <w:rsid w:val="004C11FC"/>
    <w:rsid w:val="004C7F25"/>
    <w:rsid w:val="004D22F7"/>
    <w:rsid w:val="004D2938"/>
    <w:rsid w:val="004F285C"/>
    <w:rsid w:val="004F3C7A"/>
    <w:rsid w:val="0050153F"/>
    <w:rsid w:val="0051434B"/>
    <w:rsid w:val="00514E85"/>
    <w:rsid w:val="0053128C"/>
    <w:rsid w:val="0053309B"/>
    <w:rsid w:val="00537C28"/>
    <w:rsid w:val="005736D2"/>
    <w:rsid w:val="00576E64"/>
    <w:rsid w:val="00577E0E"/>
    <w:rsid w:val="00584A9B"/>
    <w:rsid w:val="00592783"/>
    <w:rsid w:val="00595646"/>
    <w:rsid w:val="005A0AA8"/>
    <w:rsid w:val="005A2591"/>
    <w:rsid w:val="005B1198"/>
    <w:rsid w:val="005C317C"/>
    <w:rsid w:val="005C49FB"/>
    <w:rsid w:val="005E2E34"/>
    <w:rsid w:val="005F4F42"/>
    <w:rsid w:val="005F5019"/>
    <w:rsid w:val="00620403"/>
    <w:rsid w:val="00620C73"/>
    <w:rsid w:val="0062225F"/>
    <w:rsid w:val="00622D2B"/>
    <w:rsid w:val="00631D50"/>
    <w:rsid w:val="00633590"/>
    <w:rsid w:val="00641065"/>
    <w:rsid w:val="0064342A"/>
    <w:rsid w:val="00656DD2"/>
    <w:rsid w:val="006729F8"/>
    <w:rsid w:val="00672F50"/>
    <w:rsid w:val="00673DAE"/>
    <w:rsid w:val="00684C44"/>
    <w:rsid w:val="006A0A3E"/>
    <w:rsid w:val="006A65A5"/>
    <w:rsid w:val="006A6753"/>
    <w:rsid w:val="006D2F2D"/>
    <w:rsid w:val="006E3091"/>
    <w:rsid w:val="006E3B32"/>
    <w:rsid w:val="006E6810"/>
    <w:rsid w:val="006F2707"/>
    <w:rsid w:val="006F5181"/>
    <w:rsid w:val="006F5EAE"/>
    <w:rsid w:val="007007DA"/>
    <w:rsid w:val="00703362"/>
    <w:rsid w:val="00703809"/>
    <w:rsid w:val="0070642F"/>
    <w:rsid w:val="007366FF"/>
    <w:rsid w:val="007402CA"/>
    <w:rsid w:val="00750624"/>
    <w:rsid w:val="00752E1B"/>
    <w:rsid w:val="00755B8D"/>
    <w:rsid w:val="00755FBE"/>
    <w:rsid w:val="00760EAB"/>
    <w:rsid w:val="00766EC5"/>
    <w:rsid w:val="00771C19"/>
    <w:rsid w:val="007819E6"/>
    <w:rsid w:val="00783968"/>
    <w:rsid w:val="00794288"/>
    <w:rsid w:val="00794504"/>
    <w:rsid w:val="00795212"/>
    <w:rsid w:val="007B3121"/>
    <w:rsid w:val="007B4D1C"/>
    <w:rsid w:val="007B5718"/>
    <w:rsid w:val="007C7051"/>
    <w:rsid w:val="007E166D"/>
    <w:rsid w:val="007E48B9"/>
    <w:rsid w:val="007E6402"/>
    <w:rsid w:val="00801138"/>
    <w:rsid w:val="00801E2F"/>
    <w:rsid w:val="00801E47"/>
    <w:rsid w:val="00806267"/>
    <w:rsid w:val="00820C38"/>
    <w:rsid w:val="00825520"/>
    <w:rsid w:val="008334EF"/>
    <w:rsid w:val="0083351F"/>
    <w:rsid w:val="0083481E"/>
    <w:rsid w:val="0083685D"/>
    <w:rsid w:val="008544A2"/>
    <w:rsid w:val="008631F8"/>
    <w:rsid w:val="00863427"/>
    <w:rsid w:val="00871835"/>
    <w:rsid w:val="00872E1D"/>
    <w:rsid w:val="008732E1"/>
    <w:rsid w:val="00890285"/>
    <w:rsid w:val="008913CB"/>
    <w:rsid w:val="008A4344"/>
    <w:rsid w:val="008B5979"/>
    <w:rsid w:val="008D104E"/>
    <w:rsid w:val="008D57EE"/>
    <w:rsid w:val="008D5FB1"/>
    <w:rsid w:val="008E2A0E"/>
    <w:rsid w:val="008E321A"/>
    <w:rsid w:val="008F02DF"/>
    <w:rsid w:val="008F17BE"/>
    <w:rsid w:val="008F4C62"/>
    <w:rsid w:val="009060BF"/>
    <w:rsid w:val="009111DA"/>
    <w:rsid w:val="00917D33"/>
    <w:rsid w:val="00921C6E"/>
    <w:rsid w:val="0092211E"/>
    <w:rsid w:val="00930024"/>
    <w:rsid w:val="00946AD2"/>
    <w:rsid w:val="009B6D07"/>
    <w:rsid w:val="009C063E"/>
    <w:rsid w:val="009C6403"/>
    <w:rsid w:val="009C70C1"/>
    <w:rsid w:val="009D1C63"/>
    <w:rsid w:val="009D552D"/>
    <w:rsid w:val="009E5752"/>
    <w:rsid w:val="009F3A21"/>
    <w:rsid w:val="009F69CE"/>
    <w:rsid w:val="00A10993"/>
    <w:rsid w:val="00A1241C"/>
    <w:rsid w:val="00A12AC6"/>
    <w:rsid w:val="00A24588"/>
    <w:rsid w:val="00A24F5E"/>
    <w:rsid w:val="00A32311"/>
    <w:rsid w:val="00A352C4"/>
    <w:rsid w:val="00A41A2E"/>
    <w:rsid w:val="00A41A61"/>
    <w:rsid w:val="00A42294"/>
    <w:rsid w:val="00A448A9"/>
    <w:rsid w:val="00A57ED8"/>
    <w:rsid w:val="00A60505"/>
    <w:rsid w:val="00A70DB5"/>
    <w:rsid w:val="00A727E4"/>
    <w:rsid w:val="00A73664"/>
    <w:rsid w:val="00A7582B"/>
    <w:rsid w:val="00A83EF3"/>
    <w:rsid w:val="00A92F04"/>
    <w:rsid w:val="00AB3BA5"/>
    <w:rsid w:val="00AB762F"/>
    <w:rsid w:val="00AB7A64"/>
    <w:rsid w:val="00AC26BE"/>
    <w:rsid w:val="00AC2D8F"/>
    <w:rsid w:val="00AE08B0"/>
    <w:rsid w:val="00AE444A"/>
    <w:rsid w:val="00AF57FD"/>
    <w:rsid w:val="00B018A4"/>
    <w:rsid w:val="00B0403A"/>
    <w:rsid w:val="00B07B47"/>
    <w:rsid w:val="00B20685"/>
    <w:rsid w:val="00B2752C"/>
    <w:rsid w:val="00B27E66"/>
    <w:rsid w:val="00B379F2"/>
    <w:rsid w:val="00B42FEE"/>
    <w:rsid w:val="00B53C9B"/>
    <w:rsid w:val="00B70E93"/>
    <w:rsid w:val="00B779B2"/>
    <w:rsid w:val="00B84A4B"/>
    <w:rsid w:val="00B875D9"/>
    <w:rsid w:val="00B942BE"/>
    <w:rsid w:val="00BB10B7"/>
    <w:rsid w:val="00BB6668"/>
    <w:rsid w:val="00BB7429"/>
    <w:rsid w:val="00BC1207"/>
    <w:rsid w:val="00BD4068"/>
    <w:rsid w:val="00BD5E0D"/>
    <w:rsid w:val="00BE4A2E"/>
    <w:rsid w:val="00C04B2D"/>
    <w:rsid w:val="00C062A8"/>
    <w:rsid w:val="00C07343"/>
    <w:rsid w:val="00C2727E"/>
    <w:rsid w:val="00C34041"/>
    <w:rsid w:val="00C37DB6"/>
    <w:rsid w:val="00C43ED9"/>
    <w:rsid w:val="00C44338"/>
    <w:rsid w:val="00C444F2"/>
    <w:rsid w:val="00C51A52"/>
    <w:rsid w:val="00C74171"/>
    <w:rsid w:val="00C820C7"/>
    <w:rsid w:val="00C8295F"/>
    <w:rsid w:val="00C8546F"/>
    <w:rsid w:val="00C96347"/>
    <w:rsid w:val="00C96474"/>
    <w:rsid w:val="00C97100"/>
    <w:rsid w:val="00CA3AF3"/>
    <w:rsid w:val="00CC1002"/>
    <w:rsid w:val="00CC134E"/>
    <w:rsid w:val="00CC49C3"/>
    <w:rsid w:val="00CC575D"/>
    <w:rsid w:val="00CE1B5E"/>
    <w:rsid w:val="00CE6D32"/>
    <w:rsid w:val="00CF7126"/>
    <w:rsid w:val="00D00927"/>
    <w:rsid w:val="00D01B9E"/>
    <w:rsid w:val="00D06D69"/>
    <w:rsid w:val="00D16B49"/>
    <w:rsid w:val="00D20FC9"/>
    <w:rsid w:val="00D30BA2"/>
    <w:rsid w:val="00D44D67"/>
    <w:rsid w:val="00D66D94"/>
    <w:rsid w:val="00D77E75"/>
    <w:rsid w:val="00D82261"/>
    <w:rsid w:val="00D866B9"/>
    <w:rsid w:val="00D86C9A"/>
    <w:rsid w:val="00D87120"/>
    <w:rsid w:val="00D87ECC"/>
    <w:rsid w:val="00D9245B"/>
    <w:rsid w:val="00D964FE"/>
    <w:rsid w:val="00DA6AD1"/>
    <w:rsid w:val="00DB7F96"/>
    <w:rsid w:val="00DC19C3"/>
    <w:rsid w:val="00DD7F49"/>
    <w:rsid w:val="00DE22A9"/>
    <w:rsid w:val="00DE5BDA"/>
    <w:rsid w:val="00DF0985"/>
    <w:rsid w:val="00DF1D75"/>
    <w:rsid w:val="00DF1F2C"/>
    <w:rsid w:val="00E0121A"/>
    <w:rsid w:val="00E02322"/>
    <w:rsid w:val="00E17158"/>
    <w:rsid w:val="00E24A77"/>
    <w:rsid w:val="00E31CAC"/>
    <w:rsid w:val="00E40880"/>
    <w:rsid w:val="00E43E6E"/>
    <w:rsid w:val="00E50075"/>
    <w:rsid w:val="00E52271"/>
    <w:rsid w:val="00E6714A"/>
    <w:rsid w:val="00E7770E"/>
    <w:rsid w:val="00E8085E"/>
    <w:rsid w:val="00EA44AC"/>
    <w:rsid w:val="00EA53E7"/>
    <w:rsid w:val="00EA6346"/>
    <w:rsid w:val="00EA7671"/>
    <w:rsid w:val="00EB02D5"/>
    <w:rsid w:val="00EB17D1"/>
    <w:rsid w:val="00EB6910"/>
    <w:rsid w:val="00EC2B7B"/>
    <w:rsid w:val="00EC5961"/>
    <w:rsid w:val="00EC5B4D"/>
    <w:rsid w:val="00EC6939"/>
    <w:rsid w:val="00ED0415"/>
    <w:rsid w:val="00ED4076"/>
    <w:rsid w:val="00EE4369"/>
    <w:rsid w:val="00F01958"/>
    <w:rsid w:val="00F11E6F"/>
    <w:rsid w:val="00F14637"/>
    <w:rsid w:val="00F259DE"/>
    <w:rsid w:val="00F35C0D"/>
    <w:rsid w:val="00F410B1"/>
    <w:rsid w:val="00F454B7"/>
    <w:rsid w:val="00F46CC1"/>
    <w:rsid w:val="00F506F6"/>
    <w:rsid w:val="00F90D7A"/>
    <w:rsid w:val="00F9570F"/>
    <w:rsid w:val="00F95882"/>
    <w:rsid w:val="00F963F7"/>
    <w:rsid w:val="00F97107"/>
    <w:rsid w:val="00FB487D"/>
    <w:rsid w:val="00FC2E38"/>
    <w:rsid w:val="00FC3F5C"/>
    <w:rsid w:val="01001B5E"/>
    <w:rsid w:val="010A6538"/>
    <w:rsid w:val="0118675A"/>
    <w:rsid w:val="01211AD4"/>
    <w:rsid w:val="01227446"/>
    <w:rsid w:val="013D79A5"/>
    <w:rsid w:val="01453FC9"/>
    <w:rsid w:val="014D28C9"/>
    <w:rsid w:val="01791910"/>
    <w:rsid w:val="018B2118"/>
    <w:rsid w:val="01A7022B"/>
    <w:rsid w:val="01A8449D"/>
    <w:rsid w:val="01E50D53"/>
    <w:rsid w:val="01EC5C3E"/>
    <w:rsid w:val="01F80A87"/>
    <w:rsid w:val="01FE3729"/>
    <w:rsid w:val="02094718"/>
    <w:rsid w:val="02497534"/>
    <w:rsid w:val="024C40A7"/>
    <w:rsid w:val="0273635F"/>
    <w:rsid w:val="02750329"/>
    <w:rsid w:val="02777BFD"/>
    <w:rsid w:val="028D7421"/>
    <w:rsid w:val="028E13EB"/>
    <w:rsid w:val="029307AF"/>
    <w:rsid w:val="029562D6"/>
    <w:rsid w:val="0297204E"/>
    <w:rsid w:val="029C1412"/>
    <w:rsid w:val="029C7664"/>
    <w:rsid w:val="02B7449E"/>
    <w:rsid w:val="02C80459"/>
    <w:rsid w:val="02D23086"/>
    <w:rsid w:val="02D92666"/>
    <w:rsid w:val="02DA63DE"/>
    <w:rsid w:val="02DF39F5"/>
    <w:rsid w:val="02E043CC"/>
    <w:rsid w:val="02E247B7"/>
    <w:rsid w:val="02EE3C38"/>
    <w:rsid w:val="02EE7E1C"/>
    <w:rsid w:val="030376E3"/>
    <w:rsid w:val="030518BB"/>
    <w:rsid w:val="03086AA8"/>
    <w:rsid w:val="030975F5"/>
    <w:rsid w:val="031511C4"/>
    <w:rsid w:val="032338E1"/>
    <w:rsid w:val="032E61EE"/>
    <w:rsid w:val="03327FC8"/>
    <w:rsid w:val="03362153"/>
    <w:rsid w:val="0341020B"/>
    <w:rsid w:val="03561F09"/>
    <w:rsid w:val="035E4919"/>
    <w:rsid w:val="03634626"/>
    <w:rsid w:val="036E271B"/>
    <w:rsid w:val="039604AE"/>
    <w:rsid w:val="03977E2B"/>
    <w:rsid w:val="03B24C65"/>
    <w:rsid w:val="03DB41BC"/>
    <w:rsid w:val="03EC0177"/>
    <w:rsid w:val="03F62DA4"/>
    <w:rsid w:val="040A1242"/>
    <w:rsid w:val="040E6340"/>
    <w:rsid w:val="04167B92"/>
    <w:rsid w:val="042C2C6A"/>
    <w:rsid w:val="0438160E"/>
    <w:rsid w:val="043A35D9"/>
    <w:rsid w:val="043E73FF"/>
    <w:rsid w:val="04402271"/>
    <w:rsid w:val="04461F7D"/>
    <w:rsid w:val="044E57D2"/>
    <w:rsid w:val="045526E5"/>
    <w:rsid w:val="04583D4C"/>
    <w:rsid w:val="045C354F"/>
    <w:rsid w:val="045D2E23"/>
    <w:rsid w:val="046C3066"/>
    <w:rsid w:val="046C750A"/>
    <w:rsid w:val="047563BF"/>
    <w:rsid w:val="047D34C5"/>
    <w:rsid w:val="047F0FEB"/>
    <w:rsid w:val="049031F8"/>
    <w:rsid w:val="04934A97"/>
    <w:rsid w:val="04956A61"/>
    <w:rsid w:val="049802FF"/>
    <w:rsid w:val="04A15406"/>
    <w:rsid w:val="04A22F2C"/>
    <w:rsid w:val="04A70542"/>
    <w:rsid w:val="04C82992"/>
    <w:rsid w:val="04D4681F"/>
    <w:rsid w:val="04DA0676"/>
    <w:rsid w:val="04E33A5F"/>
    <w:rsid w:val="04E84DE3"/>
    <w:rsid w:val="04EA6DAD"/>
    <w:rsid w:val="04F80D9E"/>
    <w:rsid w:val="04FC1BB6"/>
    <w:rsid w:val="05025778"/>
    <w:rsid w:val="050830CB"/>
    <w:rsid w:val="05177476"/>
    <w:rsid w:val="051A51B8"/>
    <w:rsid w:val="051E5925"/>
    <w:rsid w:val="05465FAD"/>
    <w:rsid w:val="054A4AC6"/>
    <w:rsid w:val="05524952"/>
    <w:rsid w:val="05551D4C"/>
    <w:rsid w:val="055E50A5"/>
    <w:rsid w:val="056401E1"/>
    <w:rsid w:val="056621AB"/>
    <w:rsid w:val="057E0BF7"/>
    <w:rsid w:val="058D14E6"/>
    <w:rsid w:val="05A64EA5"/>
    <w:rsid w:val="05A73B0A"/>
    <w:rsid w:val="05AC22B4"/>
    <w:rsid w:val="05BB24F7"/>
    <w:rsid w:val="05C55124"/>
    <w:rsid w:val="05CC7403"/>
    <w:rsid w:val="05D830A9"/>
    <w:rsid w:val="05E11832"/>
    <w:rsid w:val="05F55BF1"/>
    <w:rsid w:val="05FB6D97"/>
    <w:rsid w:val="06023C82"/>
    <w:rsid w:val="0607531C"/>
    <w:rsid w:val="06135E8F"/>
    <w:rsid w:val="061D0ABC"/>
    <w:rsid w:val="061F2A86"/>
    <w:rsid w:val="06242A00"/>
    <w:rsid w:val="06325EA8"/>
    <w:rsid w:val="06664D78"/>
    <w:rsid w:val="067803E8"/>
    <w:rsid w:val="067A5F0E"/>
    <w:rsid w:val="067B57E2"/>
    <w:rsid w:val="06913258"/>
    <w:rsid w:val="069B7C33"/>
    <w:rsid w:val="06A905A2"/>
    <w:rsid w:val="06AB091A"/>
    <w:rsid w:val="06B51059"/>
    <w:rsid w:val="06BB5C3F"/>
    <w:rsid w:val="06BC6527"/>
    <w:rsid w:val="06C13B3D"/>
    <w:rsid w:val="06E23AB3"/>
    <w:rsid w:val="06F55595"/>
    <w:rsid w:val="06F832D7"/>
    <w:rsid w:val="06F84D7D"/>
    <w:rsid w:val="06FF6413"/>
    <w:rsid w:val="071C5217"/>
    <w:rsid w:val="071F2612"/>
    <w:rsid w:val="07267E44"/>
    <w:rsid w:val="07292ACB"/>
    <w:rsid w:val="072E67C4"/>
    <w:rsid w:val="074B3AAB"/>
    <w:rsid w:val="075229E7"/>
    <w:rsid w:val="075A189C"/>
    <w:rsid w:val="075A7932"/>
    <w:rsid w:val="075D0068"/>
    <w:rsid w:val="07603356"/>
    <w:rsid w:val="076606C8"/>
    <w:rsid w:val="07682A8E"/>
    <w:rsid w:val="07762B7A"/>
    <w:rsid w:val="077E558A"/>
    <w:rsid w:val="07854B6B"/>
    <w:rsid w:val="07A33592"/>
    <w:rsid w:val="07AC578C"/>
    <w:rsid w:val="07AD5E6F"/>
    <w:rsid w:val="07B05960"/>
    <w:rsid w:val="07B471FE"/>
    <w:rsid w:val="07E01DA1"/>
    <w:rsid w:val="07E55609"/>
    <w:rsid w:val="08017F69"/>
    <w:rsid w:val="08031F33"/>
    <w:rsid w:val="08206641"/>
    <w:rsid w:val="08332819"/>
    <w:rsid w:val="08365E65"/>
    <w:rsid w:val="083D71F3"/>
    <w:rsid w:val="08422A5C"/>
    <w:rsid w:val="08687FE8"/>
    <w:rsid w:val="086E3851"/>
    <w:rsid w:val="087D7F38"/>
    <w:rsid w:val="0891753F"/>
    <w:rsid w:val="08935065"/>
    <w:rsid w:val="08962DF4"/>
    <w:rsid w:val="089963F4"/>
    <w:rsid w:val="089B6610"/>
    <w:rsid w:val="08AE6343"/>
    <w:rsid w:val="08B97637"/>
    <w:rsid w:val="08BC746A"/>
    <w:rsid w:val="08BD20E2"/>
    <w:rsid w:val="08BF22FE"/>
    <w:rsid w:val="08C43471"/>
    <w:rsid w:val="08C47915"/>
    <w:rsid w:val="08CC0577"/>
    <w:rsid w:val="08D00067"/>
    <w:rsid w:val="08EA137C"/>
    <w:rsid w:val="08F36CD7"/>
    <w:rsid w:val="08F5187C"/>
    <w:rsid w:val="08FE73FA"/>
    <w:rsid w:val="08FF6B9F"/>
    <w:rsid w:val="09187C60"/>
    <w:rsid w:val="0923288D"/>
    <w:rsid w:val="09300B06"/>
    <w:rsid w:val="094B1DE4"/>
    <w:rsid w:val="096B42BE"/>
    <w:rsid w:val="09862E1C"/>
    <w:rsid w:val="098D483B"/>
    <w:rsid w:val="099079F2"/>
    <w:rsid w:val="099362FF"/>
    <w:rsid w:val="099472E7"/>
    <w:rsid w:val="099A3533"/>
    <w:rsid w:val="099E0166"/>
    <w:rsid w:val="09AF4121"/>
    <w:rsid w:val="09B064D1"/>
    <w:rsid w:val="09B71227"/>
    <w:rsid w:val="09C120A6"/>
    <w:rsid w:val="09C83435"/>
    <w:rsid w:val="09D122E9"/>
    <w:rsid w:val="09E35B78"/>
    <w:rsid w:val="09F02440"/>
    <w:rsid w:val="09F54765"/>
    <w:rsid w:val="09F77876"/>
    <w:rsid w:val="09FC789C"/>
    <w:rsid w:val="09FD2B43"/>
    <w:rsid w:val="09FE0C04"/>
    <w:rsid w:val="0A0106F5"/>
    <w:rsid w:val="0A110938"/>
    <w:rsid w:val="0A187F18"/>
    <w:rsid w:val="0A1B5312"/>
    <w:rsid w:val="0A1E12A6"/>
    <w:rsid w:val="0A203553"/>
    <w:rsid w:val="0A356C1A"/>
    <w:rsid w:val="0A501B25"/>
    <w:rsid w:val="0A7669ED"/>
    <w:rsid w:val="0A7923B8"/>
    <w:rsid w:val="0A7D5FCD"/>
    <w:rsid w:val="0A851326"/>
    <w:rsid w:val="0A8A65F5"/>
    <w:rsid w:val="0A99282A"/>
    <w:rsid w:val="0A9B46A5"/>
    <w:rsid w:val="0A9F23E7"/>
    <w:rsid w:val="0AAA48E8"/>
    <w:rsid w:val="0AB87005"/>
    <w:rsid w:val="0AC77248"/>
    <w:rsid w:val="0ADA51CD"/>
    <w:rsid w:val="0ADB0F46"/>
    <w:rsid w:val="0AEA2F37"/>
    <w:rsid w:val="0B0E4E77"/>
    <w:rsid w:val="0B291CB1"/>
    <w:rsid w:val="0B2E29C5"/>
    <w:rsid w:val="0B332B30"/>
    <w:rsid w:val="0B381EF4"/>
    <w:rsid w:val="0B3C19E4"/>
    <w:rsid w:val="0B420FC5"/>
    <w:rsid w:val="0B446AEB"/>
    <w:rsid w:val="0B4D1E43"/>
    <w:rsid w:val="0B550CF8"/>
    <w:rsid w:val="0B571F49"/>
    <w:rsid w:val="0B5B5CFD"/>
    <w:rsid w:val="0B745622"/>
    <w:rsid w:val="0B8A46A4"/>
    <w:rsid w:val="0B901D30"/>
    <w:rsid w:val="0BD22349"/>
    <w:rsid w:val="0BD31C1D"/>
    <w:rsid w:val="0BD974DA"/>
    <w:rsid w:val="0BDB744F"/>
    <w:rsid w:val="0BDC4F75"/>
    <w:rsid w:val="0BDD0711"/>
    <w:rsid w:val="0BED2CDE"/>
    <w:rsid w:val="0BF010AC"/>
    <w:rsid w:val="0BF1721B"/>
    <w:rsid w:val="0C012C2E"/>
    <w:rsid w:val="0C020FC2"/>
    <w:rsid w:val="0C061FF2"/>
    <w:rsid w:val="0C0D3381"/>
    <w:rsid w:val="0C0F70F9"/>
    <w:rsid w:val="0C201306"/>
    <w:rsid w:val="0C2A7A8F"/>
    <w:rsid w:val="0C4F3999"/>
    <w:rsid w:val="0C5D2C42"/>
    <w:rsid w:val="0C655603"/>
    <w:rsid w:val="0C741652"/>
    <w:rsid w:val="0C776A4C"/>
    <w:rsid w:val="0C807FF6"/>
    <w:rsid w:val="0C917B0E"/>
    <w:rsid w:val="0CA23AC9"/>
    <w:rsid w:val="0CA27F6D"/>
    <w:rsid w:val="0CA43CE5"/>
    <w:rsid w:val="0CA737D5"/>
    <w:rsid w:val="0CBB2DDD"/>
    <w:rsid w:val="0CC003F3"/>
    <w:rsid w:val="0CC17636"/>
    <w:rsid w:val="0CCD48BE"/>
    <w:rsid w:val="0CE3494B"/>
    <w:rsid w:val="0CE42333"/>
    <w:rsid w:val="0CE560AB"/>
    <w:rsid w:val="0CE916F8"/>
    <w:rsid w:val="0CEF0CD8"/>
    <w:rsid w:val="0D0A4481"/>
    <w:rsid w:val="0D2B61B4"/>
    <w:rsid w:val="0D38267F"/>
    <w:rsid w:val="0D3A1F53"/>
    <w:rsid w:val="0D447276"/>
    <w:rsid w:val="0D5648B3"/>
    <w:rsid w:val="0D585753"/>
    <w:rsid w:val="0D605A69"/>
    <w:rsid w:val="0D617375"/>
    <w:rsid w:val="0D646FD0"/>
    <w:rsid w:val="0D676AC1"/>
    <w:rsid w:val="0D6E3C47"/>
    <w:rsid w:val="0D755681"/>
    <w:rsid w:val="0D837D9E"/>
    <w:rsid w:val="0DAE4FDC"/>
    <w:rsid w:val="0DAF6762"/>
    <w:rsid w:val="0DBC6E0C"/>
    <w:rsid w:val="0DC50BB6"/>
    <w:rsid w:val="0DDA0C7E"/>
    <w:rsid w:val="0DEE44D0"/>
    <w:rsid w:val="0DF239BD"/>
    <w:rsid w:val="0E1F1B4C"/>
    <w:rsid w:val="0E2624D8"/>
    <w:rsid w:val="0E2B7950"/>
    <w:rsid w:val="0E2F5830"/>
    <w:rsid w:val="0E372937"/>
    <w:rsid w:val="0E464928"/>
    <w:rsid w:val="0E5F2B0E"/>
    <w:rsid w:val="0E63197E"/>
    <w:rsid w:val="0E6359D8"/>
    <w:rsid w:val="0E635E0F"/>
    <w:rsid w:val="0E7B2823"/>
    <w:rsid w:val="0E855450"/>
    <w:rsid w:val="0E981627"/>
    <w:rsid w:val="0E9D4E13"/>
    <w:rsid w:val="0EA31D7A"/>
    <w:rsid w:val="0EAE4B7F"/>
    <w:rsid w:val="0EB16669"/>
    <w:rsid w:val="0EC0292C"/>
    <w:rsid w:val="0EC266A4"/>
    <w:rsid w:val="0ED42C39"/>
    <w:rsid w:val="0EDB1514"/>
    <w:rsid w:val="0EE632F1"/>
    <w:rsid w:val="0EE8142C"/>
    <w:rsid w:val="0EEA1757"/>
    <w:rsid w:val="0EF577C7"/>
    <w:rsid w:val="0EF64C2F"/>
    <w:rsid w:val="0EFD148A"/>
    <w:rsid w:val="0F085DE7"/>
    <w:rsid w:val="0F0F7410"/>
    <w:rsid w:val="0F135152"/>
    <w:rsid w:val="0F29227F"/>
    <w:rsid w:val="0F2F567F"/>
    <w:rsid w:val="0F3477A2"/>
    <w:rsid w:val="0F386966"/>
    <w:rsid w:val="0F3B6457"/>
    <w:rsid w:val="0F4470B9"/>
    <w:rsid w:val="0F5229B3"/>
    <w:rsid w:val="0F5F3EF3"/>
    <w:rsid w:val="0F5F5CA1"/>
    <w:rsid w:val="0F607C6B"/>
    <w:rsid w:val="0F687B07"/>
    <w:rsid w:val="0F692FC4"/>
    <w:rsid w:val="0F751969"/>
    <w:rsid w:val="0F76748F"/>
    <w:rsid w:val="0F7F6343"/>
    <w:rsid w:val="0F801AB6"/>
    <w:rsid w:val="0F8A6A96"/>
    <w:rsid w:val="0F9D4A1B"/>
    <w:rsid w:val="0FA22032"/>
    <w:rsid w:val="0FA67D74"/>
    <w:rsid w:val="0FB83603"/>
    <w:rsid w:val="0FC4644C"/>
    <w:rsid w:val="0FC65D20"/>
    <w:rsid w:val="0FD03043"/>
    <w:rsid w:val="0FD85A54"/>
    <w:rsid w:val="0FE12B5A"/>
    <w:rsid w:val="0FF4281C"/>
    <w:rsid w:val="100827DD"/>
    <w:rsid w:val="1008458B"/>
    <w:rsid w:val="100B407B"/>
    <w:rsid w:val="10233173"/>
    <w:rsid w:val="1025656E"/>
    <w:rsid w:val="102D2243"/>
    <w:rsid w:val="10410FE8"/>
    <w:rsid w:val="10445171"/>
    <w:rsid w:val="104D01F0"/>
    <w:rsid w:val="104D63B6"/>
    <w:rsid w:val="105A68A2"/>
    <w:rsid w:val="105B71E6"/>
    <w:rsid w:val="10611EED"/>
    <w:rsid w:val="10645539"/>
    <w:rsid w:val="1066305F"/>
    <w:rsid w:val="10741C20"/>
    <w:rsid w:val="10757746"/>
    <w:rsid w:val="108160EB"/>
    <w:rsid w:val="108300B5"/>
    <w:rsid w:val="10904705"/>
    <w:rsid w:val="10A047C3"/>
    <w:rsid w:val="10A1053B"/>
    <w:rsid w:val="10A2678D"/>
    <w:rsid w:val="10AB3168"/>
    <w:rsid w:val="10B1077E"/>
    <w:rsid w:val="10B10992"/>
    <w:rsid w:val="10B65D95"/>
    <w:rsid w:val="10C5422A"/>
    <w:rsid w:val="10CC380A"/>
    <w:rsid w:val="10D8146C"/>
    <w:rsid w:val="10E36DA6"/>
    <w:rsid w:val="10E55340"/>
    <w:rsid w:val="10EB4E5A"/>
    <w:rsid w:val="10ED552F"/>
    <w:rsid w:val="10F2081B"/>
    <w:rsid w:val="10F92125"/>
    <w:rsid w:val="10FB40F0"/>
    <w:rsid w:val="1102547E"/>
    <w:rsid w:val="110411F6"/>
    <w:rsid w:val="11082369"/>
    <w:rsid w:val="110C1E59"/>
    <w:rsid w:val="111451B1"/>
    <w:rsid w:val="111D5E14"/>
    <w:rsid w:val="11254CC9"/>
    <w:rsid w:val="112C6057"/>
    <w:rsid w:val="113D0264"/>
    <w:rsid w:val="11417C1B"/>
    <w:rsid w:val="11421D1E"/>
    <w:rsid w:val="11436881"/>
    <w:rsid w:val="11586E4C"/>
    <w:rsid w:val="115874AF"/>
    <w:rsid w:val="115B2DE0"/>
    <w:rsid w:val="115D0906"/>
    <w:rsid w:val="116E5EFD"/>
    <w:rsid w:val="117143B2"/>
    <w:rsid w:val="117F7B17"/>
    <w:rsid w:val="118724A7"/>
    <w:rsid w:val="11B84CE7"/>
    <w:rsid w:val="11C95F9C"/>
    <w:rsid w:val="11C97D4A"/>
    <w:rsid w:val="11CB5870"/>
    <w:rsid w:val="11CC0F24"/>
    <w:rsid w:val="11DA654F"/>
    <w:rsid w:val="11DE2F4A"/>
    <w:rsid w:val="11E44B84"/>
    <w:rsid w:val="11EA483A"/>
    <w:rsid w:val="11EE5A02"/>
    <w:rsid w:val="11F03528"/>
    <w:rsid w:val="11F36B75"/>
    <w:rsid w:val="120668A8"/>
    <w:rsid w:val="12072620"/>
    <w:rsid w:val="121324D0"/>
    <w:rsid w:val="121C60CC"/>
    <w:rsid w:val="123B77F4"/>
    <w:rsid w:val="123C2AA6"/>
    <w:rsid w:val="12463148"/>
    <w:rsid w:val="124E024F"/>
    <w:rsid w:val="12521AED"/>
    <w:rsid w:val="12524F46"/>
    <w:rsid w:val="125D5092"/>
    <w:rsid w:val="12614426"/>
    <w:rsid w:val="12617F82"/>
    <w:rsid w:val="12641821"/>
    <w:rsid w:val="12665599"/>
    <w:rsid w:val="126857B5"/>
    <w:rsid w:val="12706417"/>
    <w:rsid w:val="12721EF0"/>
    <w:rsid w:val="12942106"/>
    <w:rsid w:val="129465AA"/>
    <w:rsid w:val="129E4D32"/>
    <w:rsid w:val="12B427A8"/>
    <w:rsid w:val="12B46304"/>
    <w:rsid w:val="12BA2945"/>
    <w:rsid w:val="12CA1FD3"/>
    <w:rsid w:val="12DE7825"/>
    <w:rsid w:val="12E56E05"/>
    <w:rsid w:val="12E7492B"/>
    <w:rsid w:val="12EC0194"/>
    <w:rsid w:val="12F17558"/>
    <w:rsid w:val="13066480"/>
    <w:rsid w:val="133E6515"/>
    <w:rsid w:val="13547AE7"/>
    <w:rsid w:val="13631AD8"/>
    <w:rsid w:val="13743CE5"/>
    <w:rsid w:val="138C102F"/>
    <w:rsid w:val="1393060F"/>
    <w:rsid w:val="139D148E"/>
    <w:rsid w:val="13B81603"/>
    <w:rsid w:val="13C0517C"/>
    <w:rsid w:val="13D80718"/>
    <w:rsid w:val="13DA4490"/>
    <w:rsid w:val="13DF5603"/>
    <w:rsid w:val="13E250F3"/>
    <w:rsid w:val="13E56991"/>
    <w:rsid w:val="13E744B7"/>
    <w:rsid w:val="140C03C2"/>
    <w:rsid w:val="14172FEE"/>
    <w:rsid w:val="141E0211"/>
    <w:rsid w:val="142179C9"/>
    <w:rsid w:val="14425B91"/>
    <w:rsid w:val="14522278"/>
    <w:rsid w:val="14525B4B"/>
    <w:rsid w:val="145A2EDB"/>
    <w:rsid w:val="14641890"/>
    <w:rsid w:val="146D70B2"/>
    <w:rsid w:val="14832432"/>
    <w:rsid w:val="14972381"/>
    <w:rsid w:val="149A651C"/>
    <w:rsid w:val="14A23E45"/>
    <w:rsid w:val="14AF76CB"/>
    <w:rsid w:val="14B720DC"/>
    <w:rsid w:val="14C1376F"/>
    <w:rsid w:val="14C447F8"/>
    <w:rsid w:val="14C634B2"/>
    <w:rsid w:val="14DF0BF0"/>
    <w:rsid w:val="14EB6229"/>
    <w:rsid w:val="150A66AF"/>
    <w:rsid w:val="150D2643"/>
    <w:rsid w:val="15107A3E"/>
    <w:rsid w:val="15137E77"/>
    <w:rsid w:val="151640FA"/>
    <w:rsid w:val="152139F9"/>
    <w:rsid w:val="152754B3"/>
    <w:rsid w:val="15282FD9"/>
    <w:rsid w:val="153A7FCC"/>
    <w:rsid w:val="153C6A85"/>
    <w:rsid w:val="154C0C82"/>
    <w:rsid w:val="156B78F3"/>
    <w:rsid w:val="15793835"/>
    <w:rsid w:val="15961D78"/>
    <w:rsid w:val="15972A4A"/>
    <w:rsid w:val="15A07014"/>
    <w:rsid w:val="15AE34DE"/>
    <w:rsid w:val="15B8435D"/>
    <w:rsid w:val="15BB2B01"/>
    <w:rsid w:val="15CA22E2"/>
    <w:rsid w:val="15D60C87"/>
    <w:rsid w:val="15E0032C"/>
    <w:rsid w:val="15E51BCB"/>
    <w:rsid w:val="15EA64E1"/>
    <w:rsid w:val="15F710B6"/>
    <w:rsid w:val="15FC6940"/>
    <w:rsid w:val="16040B13"/>
    <w:rsid w:val="160C46A9"/>
    <w:rsid w:val="16105F47"/>
    <w:rsid w:val="161A6DC6"/>
    <w:rsid w:val="161D2209"/>
    <w:rsid w:val="162B2D81"/>
    <w:rsid w:val="162C39BB"/>
    <w:rsid w:val="16314110"/>
    <w:rsid w:val="163F05DA"/>
    <w:rsid w:val="16442095"/>
    <w:rsid w:val="164B3423"/>
    <w:rsid w:val="165A3666"/>
    <w:rsid w:val="166743F7"/>
    <w:rsid w:val="166C5148"/>
    <w:rsid w:val="16704C38"/>
    <w:rsid w:val="16826719"/>
    <w:rsid w:val="16907088"/>
    <w:rsid w:val="16970417"/>
    <w:rsid w:val="16A03762"/>
    <w:rsid w:val="16AB3EC2"/>
    <w:rsid w:val="16B74615"/>
    <w:rsid w:val="16BD0A63"/>
    <w:rsid w:val="16C409A8"/>
    <w:rsid w:val="16C805D0"/>
    <w:rsid w:val="16C92EF0"/>
    <w:rsid w:val="16CE195E"/>
    <w:rsid w:val="16D12D12"/>
    <w:rsid w:val="16D927DD"/>
    <w:rsid w:val="16F72C63"/>
    <w:rsid w:val="16FC31CB"/>
    <w:rsid w:val="17152505"/>
    <w:rsid w:val="172042F7"/>
    <w:rsid w:val="173473F5"/>
    <w:rsid w:val="175133A3"/>
    <w:rsid w:val="17571954"/>
    <w:rsid w:val="1767428D"/>
    <w:rsid w:val="17821343"/>
    <w:rsid w:val="178564C1"/>
    <w:rsid w:val="178D5376"/>
    <w:rsid w:val="1793171C"/>
    <w:rsid w:val="17935082"/>
    <w:rsid w:val="17982698"/>
    <w:rsid w:val="179B3F36"/>
    <w:rsid w:val="179B7A92"/>
    <w:rsid w:val="17A70B2D"/>
    <w:rsid w:val="17B80644"/>
    <w:rsid w:val="17C553AD"/>
    <w:rsid w:val="17D3547E"/>
    <w:rsid w:val="17D80CE7"/>
    <w:rsid w:val="17DA4A5F"/>
    <w:rsid w:val="17DF51AB"/>
    <w:rsid w:val="17F2219D"/>
    <w:rsid w:val="18001FEB"/>
    <w:rsid w:val="180A72FE"/>
    <w:rsid w:val="180E4708"/>
    <w:rsid w:val="180E64B6"/>
    <w:rsid w:val="181C6036"/>
    <w:rsid w:val="181D494B"/>
    <w:rsid w:val="1820443C"/>
    <w:rsid w:val="182932F0"/>
    <w:rsid w:val="18297794"/>
    <w:rsid w:val="18300B23"/>
    <w:rsid w:val="18420856"/>
    <w:rsid w:val="184719C8"/>
    <w:rsid w:val="184E4D3B"/>
    <w:rsid w:val="18567E5D"/>
    <w:rsid w:val="185B02AF"/>
    <w:rsid w:val="18714C97"/>
    <w:rsid w:val="187A7FF0"/>
    <w:rsid w:val="187B4034"/>
    <w:rsid w:val="189576A6"/>
    <w:rsid w:val="18A24E51"/>
    <w:rsid w:val="18AA7E3A"/>
    <w:rsid w:val="18AE1A47"/>
    <w:rsid w:val="18BA663E"/>
    <w:rsid w:val="18BC4164"/>
    <w:rsid w:val="18C43019"/>
    <w:rsid w:val="18D23988"/>
    <w:rsid w:val="18EA6F23"/>
    <w:rsid w:val="18F733EE"/>
    <w:rsid w:val="18FA2EDF"/>
    <w:rsid w:val="1904793D"/>
    <w:rsid w:val="1908399E"/>
    <w:rsid w:val="19197809"/>
    <w:rsid w:val="19232435"/>
    <w:rsid w:val="193A01D5"/>
    <w:rsid w:val="19461C80"/>
    <w:rsid w:val="19524AC9"/>
    <w:rsid w:val="19704F4F"/>
    <w:rsid w:val="198B12DA"/>
    <w:rsid w:val="19915D0D"/>
    <w:rsid w:val="199926F8"/>
    <w:rsid w:val="19A30E80"/>
    <w:rsid w:val="19B80DD0"/>
    <w:rsid w:val="19C04A75"/>
    <w:rsid w:val="19C239FC"/>
    <w:rsid w:val="19CF6119"/>
    <w:rsid w:val="19DD25E4"/>
    <w:rsid w:val="19EC2827"/>
    <w:rsid w:val="1A0C4C78"/>
    <w:rsid w:val="1A1324AA"/>
    <w:rsid w:val="1A2F6BB8"/>
    <w:rsid w:val="1A3A1B8F"/>
    <w:rsid w:val="1A4C32C6"/>
    <w:rsid w:val="1A515AD2"/>
    <w:rsid w:val="1A5D0FA9"/>
    <w:rsid w:val="1A676352"/>
    <w:rsid w:val="1A6C5716"/>
    <w:rsid w:val="1A7239E6"/>
    <w:rsid w:val="1A845156"/>
    <w:rsid w:val="1A851A1F"/>
    <w:rsid w:val="1A8B0292"/>
    <w:rsid w:val="1A9A1477"/>
    <w:rsid w:val="1A9A2283"/>
    <w:rsid w:val="1A9B5FFB"/>
    <w:rsid w:val="1AEB0D31"/>
    <w:rsid w:val="1AF40879"/>
    <w:rsid w:val="1B027E29"/>
    <w:rsid w:val="1B1F4E7E"/>
    <w:rsid w:val="1B267FBB"/>
    <w:rsid w:val="1B290602"/>
    <w:rsid w:val="1B302BE8"/>
    <w:rsid w:val="1B3A75C2"/>
    <w:rsid w:val="1B3F75E1"/>
    <w:rsid w:val="1B6915C8"/>
    <w:rsid w:val="1B75684C"/>
    <w:rsid w:val="1B7E3953"/>
    <w:rsid w:val="1B99253B"/>
    <w:rsid w:val="1BBE01F3"/>
    <w:rsid w:val="1BBE6445"/>
    <w:rsid w:val="1BC31CAE"/>
    <w:rsid w:val="1BCA2C1F"/>
    <w:rsid w:val="1BCA4DEA"/>
    <w:rsid w:val="1BCF2401"/>
    <w:rsid w:val="1BD45C69"/>
    <w:rsid w:val="1BE13EE2"/>
    <w:rsid w:val="1BEC6B0F"/>
    <w:rsid w:val="1BFA676A"/>
    <w:rsid w:val="1BFE30EB"/>
    <w:rsid w:val="1C040106"/>
    <w:rsid w:val="1C077DEC"/>
    <w:rsid w:val="1C093B64"/>
    <w:rsid w:val="1C112A19"/>
    <w:rsid w:val="1C2454E8"/>
    <w:rsid w:val="1C314E69"/>
    <w:rsid w:val="1C3B1844"/>
    <w:rsid w:val="1C3F7586"/>
    <w:rsid w:val="1C4050AC"/>
    <w:rsid w:val="1C5172BA"/>
    <w:rsid w:val="1C737230"/>
    <w:rsid w:val="1C742586"/>
    <w:rsid w:val="1C782A98"/>
    <w:rsid w:val="1C8C02F2"/>
    <w:rsid w:val="1C8E406A"/>
    <w:rsid w:val="1C913B5A"/>
    <w:rsid w:val="1C921AB0"/>
    <w:rsid w:val="1C9B0535"/>
    <w:rsid w:val="1CBE3F27"/>
    <w:rsid w:val="1CBF4223"/>
    <w:rsid w:val="1CC96E50"/>
    <w:rsid w:val="1CD001DE"/>
    <w:rsid w:val="1CF17722"/>
    <w:rsid w:val="1CF57C45"/>
    <w:rsid w:val="1CFA1294"/>
    <w:rsid w:val="1CFB6E4A"/>
    <w:rsid w:val="1CFD2F9D"/>
    <w:rsid w:val="1CFF0AC4"/>
    <w:rsid w:val="1D0E0C5B"/>
    <w:rsid w:val="1D0E6F59"/>
    <w:rsid w:val="1D183AE6"/>
    <w:rsid w:val="1D1C1676"/>
    <w:rsid w:val="1D1F4CC2"/>
    <w:rsid w:val="1D2E5EB6"/>
    <w:rsid w:val="1D344C11"/>
    <w:rsid w:val="1D3A5FA0"/>
    <w:rsid w:val="1D412A0F"/>
    <w:rsid w:val="1D412E8A"/>
    <w:rsid w:val="1D423E17"/>
    <w:rsid w:val="1D44297A"/>
    <w:rsid w:val="1D50131F"/>
    <w:rsid w:val="1D554B87"/>
    <w:rsid w:val="1D5D20D6"/>
    <w:rsid w:val="1D5D57EA"/>
    <w:rsid w:val="1D7A45EE"/>
    <w:rsid w:val="1D84052E"/>
    <w:rsid w:val="1D8FB05F"/>
    <w:rsid w:val="1DA17DCD"/>
    <w:rsid w:val="1DA63635"/>
    <w:rsid w:val="1DA674A2"/>
    <w:rsid w:val="1DB23D88"/>
    <w:rsid w:val="1DC31AF1"/>
    <w:rsid w:val="1DCC4954"/>
    <w:rsid w:val="1DE71C83"/>
    <w:rsid w:val="1E040E61"/>
    <w:rsid w:val="1E0F11DA"/>
    <w:rsid w:val="1E171E3D"/>
    <w:rsid w:val="1E1B192D"/>
    <w:rsid w:val="1E28404A"/>
    <w:rsid w:val="1E3824DF"/>
    <w:rsid w:val="1E3D6AA8"/>
    <w:rsid w:val="1E5B61CE"/>
    <w:rsid w:val="1E605592"/>
    <w:rsid w:val="1E65148F"/>
    <w:rsid w:val="1E74728F"/>
    <w:rsid w:val="1E7E3C6A"/>
    <w:rsid w:val="1E973C94"/>
    <w:rsid w:val="1E994F6E"/>
    <w:rsid w:val="1ED65854"/>
    <w:rsid w:val="1EEC32CA"/>
    <w:rsid w:val="1EEE2B9E"/>
    <w:rsid w:val="1F1B770B"/>
    <w:rsid w:val="1F273494"/>
    <w:rsid w:val="1F3E4B44"/>
    <w:rsid w:val="1F4E5D32"/>
    <w:rsid w:val="1F5C2D2A"/>
    <w:rsid w:val="1F5F51A1"/>
    <w:rsid w:val="1F7E6617"/>
    <w:rsid w:val="1F7F7C9A"/>
    <w:rsid w:val="1FB21E1D"/>
    <w:rsid w:val="1FB45B95"/>
    <w:rsid w:val="1FBF453A"/>
    <w:rsid w:val="1FCF0692"/>
    <w:rsid w:val="1FD706C4"/>
    <w:rsid w:val="1FDB5818"/>
    <w:rsid w:val="1FE16BA6"/>
    <w:rsid w:val="1FF16DE9"/>
    <w:rsid w:val="1FF57F5C"/>
    <w:rsid w:val="1FFC12EA"/>
    <w:rsid w:val="1FFE5062"/>
    <w:rsid w:val="20120B0E"/>
    <w:rsid w:val="20146634"/>
    <w:rsid w:val="20196340"/>
    <w:rsid w:val="202645B9"/>
    <w:rsid w:val="20387A6B"/>
    <w:rsid w:val="203F5F2C"/>
    <w:rsid w:val="204247FD"/>
    <w:rsid w:val="20450EE3"/>
    <w:rsid w:val="20566C4C"/>
    <w:rsid w:val="20575593"/>
    <w:rsid w:val="205E1FA5"/>
    <w:rsid w:val="20631369"/>
    <w:rsid w:val="20745325"/>
    <w:rsid w:val="207C5E1E"/>
    <w:rsid w:val="20860308"/>
    <w:rsid w:val="208A0FEC"/>
    <w:rsid w:val="208C6B12"/>
    <w:rsid w:val="20947775"/>
    <w:rsid w:val="209A2F05"/>
    <w:rsid w:val="20B55BEA"/>
    <w:rsid w:val="20B734B4"/>
    <w:rsid w:val="20BA463F"/>
    <w:rsid w:val="20C51342"/>
    <w:rsid w:val="20C51B0E"/>
    <w:rsid w:val="20E22BD6"/>
    <w:rsid w:val="20F36B91"/>
    <w:rsid w:val="210112AE"/>
    <w:rsid w:val="210C7C53"/>
    <w:rsid w:val="211B1C44"/>
    <w:rsid w:val="211F1DE5"/>
    <w:rsid w:val="21274A8D"/>
    <w:rsid w:val="213304C1"/>
    <w:rsid w:val="21415B4F"/>
    <w:rsid w:val="214D7168"/>
    <w:rsid w:val="215C64E4"/>
    <w:rsid w:val="216142A5"/>
    <w:rsid w:val="216C09A3"/>
    <w:rsid w:val="216F7B69"/>
    <w:rsid w:val="21786DF7"/>
    <w:rsid w:val="2187594D"/>
    <w:rsid w:val="218D48F0"/>
    <w:rsid w:val="21976786"/>
    <w:rsid w:val="21B81BDF"/>
    <w:rsid w:val="21BF0821"/>
    <w:rsid w:val="21C1113B"/>
    <w:rsid w:val="21D20555"/>
    <w:rsid w:val="21D34D91"/>
    <w:rsid w:val="21DC7625"/>
    <w:rsid w:val="21E14C3C"/>
    <w:rsid w:val="21F66939"/>
    <w:rsid w:val="21FE134A"/>
    <w:rsid w:val="220953C2"/>
    <w:rsid w:val="220B7F0B"/>
    <w:rsid w:val="22171F6F"/>
    <w:rsid w:val="222330BA"/>
    <w:rsid w:val="22284619"/>
    <w:rsid w:val="222A0391"/>
    <w:rsid w:val="2234120F"/>
    <w:rsid w:val="22347461"/>
    <w:rsid w:val="22482FE8"/>
    <w:rsid w:val="22486A69"/>
    <w:rsid w:val="22576CAC"/>
    <w:rsid w:val="22590BC0"/>
    <w:rsid w:val="22592A24"/>
    <w:rsid w:val="227635D6"/>
    <w:rsid w:val="227930C6"/>
    <w:rsid w:val="22837AA1"/>
    <w:rsid w:val="229D5007"/>
    <w:rsid w:val="229E2B2D"/>
    <w:rsid w:val="22AD2F38"/>
    <w:rsid w:val="22BD1205"/>
    <w:rsid w:val="22C81958"/>
    <w:rsid w:val="22CD140F"/>
    <w:rsid w:val="22EC5646"/>
    <w:rsid w:val="22F97D63"/>
    <w:rsid w:val="22FD4067"/>
    <w:rsid w:val="22FF7A6F"/>
    <w:rsid w:val="230170DC"/>
    <w:rsid w:val="23076D1C"/>
    <w:rsid w:val="230961F8"/>
    <w:rsid w:val="230A5439"/>
    <w:rsid w:val="230E7CB2"/>
    <w:rsid w:val="23103A2A"/>
    <w:rsid w:val="231D7EF5"/>
    <w:rsid w:val="2323633B"/>
    <w:rsid w:val="232379AD"/>
    <w:rsid w:val="2326760F"/>
    <w:rsid w:val="23305591"/>
    <w:rsid w:val="23331A9D"/>
    <w:rsid w:val="23411E36"/>
    <w:rsid w:val="23522016"/>
    <w:rsid w:val="235A170F"/>
    <w:rsid w:val="235C7E38"/>
    <w:rsid w:val="235F0738"/>
    <w:rsid w:val="23607DE2"/>
    <w:rsid w:val="23627FFE"/>
    <w:rsid w:val="23675642"/>
    <w:rsid w:val="237856E2"/>
    <w:rsid w:val="2378680C"/>
    <w:rsid w:val="23867849"/>
    <w:rsid w:val="2389558B"/>
    <w:rsid w:val="238C0BD7"/>
    <w:rsid w:val="23902475"/>
    <w:rsid w:val="23A542DC"/>
    <w:rsid w:val="23AE0B4E"/>
    <w:rsid w:val="23B02286"/>
    <w:rsid w:val="23B859DC"/>
    <w:rsid w:val="23C12F77"/>
    <w:rsid w:val="23C71C0F"/>
    <w:rsid w:val="23D5257E"/>
    <w:rsid w:val="23D66E58"/>
    <w:rsid w:val="23EB1DA2"/>
    <w:rsid w:val="23FA1FE5"/>
    <w:rsid w:val="23FF75FB"/>
    <w:rsid w:val="24003A9F"/>
    <w:rsid w:val="24082954"/>
    <w:rsid w:val="240F3CE2"/>
    <w:rsid w:val="241D19DD"/>
    <w:rsid w:val="242332EA"/>
    <w:rsid w:val="24244B78"/>
    <w:rsid w:val="24253506"/>
    <w:rsid w:val="243F323B"/>
    <w:rsid w:val="244C2B64"/>
    <w:rsid w:val="246758CC"/>
    <w:rsid w:val="247C6E9E"/>
    <w:rsid w:val="247D56A8"/>
    <w:rsid w:val="248024EA"/>
    <w:rsid w:val="24844A2B"/>
    <w:rsid w:val="249266C1"/>
    <w:rsid w:val="249B4DA7"/>
    <w:rsid w:val="24A87C93"/>
    <w:rsid w:val="24AC1531"/>
    <w:rsid w:val="24B2466D"/>
    <w:rsid w:val="24BC729A"/>
    <w:rsid w:val="24CD76F9"/>
    <w:rsid w:val="24CF521F"/>
    <w:rsid w:val="24D26ABE"/>
    <w:rsid w:val="24D64800"/>
    <w:rsid w:val="24DE1906"/>
    <w:rsid w:val="24F954C4"/>
    <w:rsid w:val="24FF1C6C"/>
    <w:rsid w:val="250F7D12"/>
    <w:rsid w:val="2513335E"/>
    <w:rsid w:val="251D6AF8"/>
    <w:rsid w:val="251E3C59"/>
    <w:rsid w:val="254E083A"/>
    <w:rsid w:val="25504DEA"/>
    <w:rsid w:val="25554388"/>
    <w:rsid w:val="25565CCE"/>
    <w:rsid w:val="255F65A3"/>
    <w:rsid w:val="25627E42"/>
    <w:rsid w:val="256C2A6E"/>
    <w:rsid w:val="2571002B"/>
    <w:rsid w:val="25714529"/>
    <w:rsid w:val="25824926"/>
    <w:rsid w:val="25973F8F"/>
    <w:rsid w:val="259C15A5"/>
    <w:rsid w:val="25A04CE7"/>
    <w:rsid w:val="25AD3952"/>
    <w:rsid w:val="25B52667"/>
    <w:rsid w:val="25C460AF"/>
    <w:rsid w:val="25CE197B"/>
    <w:rsid w:val="25D52D09"/>
    <w:rsid w:val="25E42F4C"/>
    <w:rsid w:val="25E66CC5"/>
    <w:rsid w:val="25E72896"/>
    <w:rsid w:val="25F87EDC"/>
    <w:rsid w:val="26265313"/>
    <w:rsid w:val="262D48F3"/>
    <w:rsid w:val="262E5F76"/>
    <w:rsid w:val="26396DF4"/>
    <w:rsid w:val="263A0DBE"/>
    <w:rsid w:val="264377BE"/>
    <w:rsid w:val="264734FD"/>
    <w:rsid w:val="26647BE9"/>
    <w:rsid w:val="266F2816"/>
    <w:rsid w:val="267267AA"/>
    <w:rsid w:val="267B5FE7"/>
    <w:rsid w:val="268169ED"/>
    <w:rsid w:val="26866A53"/>
    <w:rsid w:val="2688227D"/>
    <w:rsid w:val="268B33C8"/>
    <w:rsid w:val="26946721"/>
    <w:rsid w:val="269E134D"/>
    <w:rsid w:val="26A16EB1"/>
    <w:rsid w:val="26B26BA7"/>
    <w:rsid w:val="26B7240F"/>
    <w:rsid w:val="26BB5A5B"/>
    <w:rsid w:val="26BD5C77"/>
    <w:rsid w:val="26E1123A"/>
    <w:rsid w:val="26F15921"/>
    <w:rsid w:val="26F82881"/>
    <w:rsid w:val="26FE3B9A"/>
    <w:rsid w:val="270C275B"/>
    <w:rsid w:val="271B185E"/>
    <w:rsid w:val="274118BB"/>
    <w:rsid w:val="274E7DD9"/>
    <w:rsid w:val="27563D37"/>
    <w:rsid w:val="276114BA"/>
    <w:rsid w:val="27653C19"/>
    <w:rsid w:val="276854B7"/>
    <w:rsid w:val="276D14FE"/>
    <w:rsid w:val="277125BE"/>
    <w:rsid w:val="277C7162"/>
    <w:rsid w:val="277F4CDB"/>
    <w:rsid w:val="278829F3"/>
    <w:rsid w:val="278D0AA1"/>
    <w:rsid w:val="2797294F"/>
    <w:rsid w:val="279B588D"/>
    <w:rsid w:val="27A961FC"/>
    <w:rsid w:val="27C5542E"/>
    <w:rsid w:val="27CC0C59"/>
    <w:rsid w:val="27D5792C"/>
    <w:rsid w:val="27E47234"/>
    <w:rsid w:val="27E62FAC"/>
    <w:rsid w:val="27F52DCC"/>
    <w:rsid w:val="27FA6A57"/>
    <w:rsid w:val="280478D6"/>
    <w:rsid w:val="281A0827"/>
    <w:rsid w:val="281A0EA7"/>
    <w:rsid w:val="281F026C"/>
    <w:rsid w:val="2829733C"/>
    <w:rsid w:val="283D6944"/>
    <w:rsid w:val="285A12A4"/>
    <w:rsid w:val="285A1E4A"/>
    <w:rsid w:val="286914E7"/>
    <w:rsid w:val="286B34B1"/>
    <w:rsid w:val="28771E56"/>
    <w:rsid w:val="288051AE"/>
    <w:rsid w:val="28893937"/>
    <w:rsid w:val="288E0F4E"/>
    <w:rsid w:val="28991DCC"/>
    <w:rsid w:val="28AA2846"/>
    <w:rsid w:val="28B8461D"/>
    <w:rsid w:val="28BA1D43"/>
    <w:rsid w:val="28CB21A2"/>
    <w:rsid w:val="28DB23E5"/>
    <w:rsid w:val="28EF40E2"/>
    <w:rsid w:val="28F2772E"/>
    <w:rsid w:val="28F80330"/>
    <w:rsid w:val="28FC05AD"/>
    <w:rsid w:val="29003BF9"/>
    <w:rsid w:val="290731DA"/>
    <w:rsid w:val="290A2CCA"/>
    <w:rsid w:val="290A4A78"/>
    <w:rsid w:val="290F6532"/>
    <w:rsid w:val="29257014"/>
    <w:rsid w:val="292C4C22"/>
    <w:rsid w:val="29310257"/>
    <w:rsid w:val="2951272C"/>
    <w:rsid w:val="295B3526"/>
    <w:rsid w:val="295B52D4"/>
    <w:rsid w:val="297B3BC8"/>
    <w:rsid w:val="29982084"/>
    <w:rsid w:val="29AE5D4B"/>
    <w:rsid w:val="29B844D4"/>
    <w:rsid w:val="29C70BBB"/>
    <w:rsid w:val="29C76E0D"/>
    <w:rsid w:val="29D11A3A"/>
    <w:rsid w:val="29D3130E"/>
    <w:rsid w:val="29DB01C2"/>
    <w:rsid w:val="29E277A3"/>
    <w:rsid w:val="29FC62CD"/>
    <w:rsid w:val="2A070FB7"/>
    <w:rsid w:val="2A092882"/>
    <w:rsid w:val="2A261D85"/>
    <w:rsid w:val="2A36189D"/>
    <w:rsid w:val="2A3A313B"/>
    <w:rsid w:val="2A475858"/>
    <w:rsid w:val="2A481CFC"/>
    <w:rsid w:val="2A4915D0"/>
    <w:rsid w:val="2A4E68EA"/>
    <w:rsid w:val="2A641FD4"/>
    <w:rsid w:val="2A677CA8"/>
    <w:rsid w:val="2A7101CB"/>
    <w:rsid w:val="2A8D5961"/>
    <w:rsid w:val="2A9A62D0"/>
    <w:rsid w:val="2AC1385C"/>
    <w:rsid w:val="2AC44FB2"/>
    <w:rsid w:val="2AC944BF"/>
    <w:rsid w:val="2ACB0237"/>
    <w:rsid w:val="2ADA451A"/>
    <w:rsid w:val="2AE00186"/>
    <w:rsid w:val="2AE0048D"/>
    <w:rsid w:val="2AF30CAB"/>
    <w:rsid w:val="2AFD1D93"/>
    <w:rsid w:val="2AFF3E43"/>
    <w:rsid w:val="2B0F281A"/>
    <w:rsid w:val="2B0F45C8"/>
    <w:rsid w:val="2B19387F"/>
    <w:rsid w:val="2B295E12"/>
    <w:rsid w:val="2B2D2CA0"/>
    <w:rsid w:val="2B2D4A4E"/>
    <w:rsid w:val="2B522E23"/>
    <w:rsid w:val="2B5B15BB"/>
    <w:rsid w:val="2B6C1A1A"/>
    <w:rsid w:val="2B6C37C8"/>
    <w:rsid w:val="2B6F5066"/>
    <w:rsid w:val="2B726905"/>
    <w:rsid w:val="2B764647"/>
    <w:rsid w:val="2B7B7EAF"/>
    <w:rsid w:val="2B844556"/>
    <w:rsid w:val="2B8C3E6A"/>
    <w:rsid w:val="2B9D45A2"/>
    <w:rsid w:val="2BA2543C"/>
    <w:rsid w:val="2BB331A5"/>
    <w:rsid w:val="2BC2788C"/>
    <w:rsid w:val="2BD317B0"/>
    <w:rsid w:val="2BD870AF"/>
    <w:rsid w:val="2BE45A54"/>
    <w:rsid w:val="2BE46810"/>
    <w:rsid w:val="2BE61D98"/>
    <w:rsid w:val="2BF51E44"/>
    <w:rsid w:val="2C0E4404"/>
    <w:rsid w:val="2C183950"/>
    <w:rsid w:val="2C237A9A"/>
    <w:rsid w:val="2C251BC9"/>
    <w:rsid w:val="2C253164"/>
    <w:rsid w:val="2C3047F6"/>
    <w:rsid w:val="2C31056E"/>
    <w:rsid w:val="2C3342E6"/>
    <w:rsid w:val="2C5001AC"/>
    <w:rsid w:val="2C5209F6"/>
    <w:rsid w:val="2C583D4C"/>
    <w:rsid w:val="2C626979"/>
    <w:rsid w:val="2C673F8F"/>
    <w:rsid w:val="2C6E3570"/>
    <w:rsid w:val="2C714E0E"/>
    <w:rsid w:val="2C7C3EDF"/>
    <w:rsid w:val="2C83526D"/>
    <w:rsid w:val="2C9034E6"/>
    <w:rsid w:val="2C9F3729"/>
    <w:rsid w:val="2CAD5E46"/>
    <w:rsid w:val="2CB05936"/>
    <w:rsid w:val="2CB26E8F"/>
    <w:rsid w:val="2CD77367"/>
    <w:rsid w:val="2CD95515"/>
    <w:rsid w:val="2CE27734"/>
    <w:rsid w:val="2CF0507D"/>
    <w:rsid w:val="2CF0667B"/>
    <w:rsid w:val="2D0438F4"/>
    <w:rsid w:val="2D141BAC"/>
    <w:rsid w:val="2D145EC5"/>
    <w:rsid w:val="2D157E8F"/>
    <w:rsid w:val="2D1C121E"/>
    <w:rsid w:val="2D306A77"/>
    <w:rsid w:val="2D346567"/>
    <w:rsid w:val="2D3622E0"/>
    <w:rsid w:val="2D3B0D02"/>
    <w:rsid w:val="2D3E73E6"/>
    <w:rsid w:val="2D4349FC"/>
    <w:rsid w:val="2D4F15F3"/>
    <w:rsid w:val="2D5C161A"/>
    <w:rsid w:val="2D60735C"/>
    <w:rsid w:val="2D6A3D37"/>
    <w:rsid w:val="2D775878"/>
    <w:rsid w:val="2D783662"/>
    <w:rsid w:val="2D795D83"/>
    <w:rsid w:val="2D7E77E3"/>
    <w:rsid w:val="2DA57465"/>
    <w:rsid w:val="2DB41456"/>
    <w:rsid w:val="2DB453E7"/>
    <w:rsid w:val="2DB45E04"/>
    <w:rsid w:val="2DBD47AF"/>
    <w:rsid w:val="2DCD3C14"/>
    <w:rsid w:val="2DDA637B"/>
    <w:rsid w:val="2DE55AB4"/>
    <w:rsid w:val="2DF61A6F"/>
    <w:rsid w:val="2DF80B12"/>
    <w:rsid w:val="2DFD0375"/>
    <w:rsid w:val="2E057F04"/>
    <w:rsid w:val="2E1B16B4"/>
    <w:rsid w:val="2E1B3283"/>
    <w:rsid w:val="2E1E4B22"/>
    <w:rsid w:val="2E220AB6"/>
    <w:rsid w:val="2E24038A"/>
    <w:rsid w:val="2E2A7E35"/>
    <w:rsid w:val="2E2E2FB7"/>
    <w:rsid w:val="2E422F06"/>
    <w:rsid w:val="2E4E7857"/>
    <w:rsid w:val="2E524C99"/>
    <w:rsid w:val="2E536EC1"/>
    <w:rsid w:val="2E6C245A"/>
    <w:rsid w:val="2E7330BF"/>
    <w:rsid w:val="2E744143"/>
    <w:rsid w:val="2E756E38"/>
    <w:rsid w:val="2E861045"/>
    <w:rsid w:val="2E900C6F"/>
    <w:rsid w:val="2E9279E9"/>
    <w:rsid w:val="2EAD4823"/>
    <w:rsid w:val="2EBA484A"/>
    <w:rsid w:val="2EC13592"/>
    <w:rsid w:val="2ED0406E"/>
    <w:rsid w:val="2ED420CE"/>
    <w:rsid w:val="2EE61AE3"/>
    <w:rsid w:val="2EFB081A"/>
    <w:rsid w:val="2EFF665F"/>
    <w:rsid w:val="2F0361F1"/>
    <w:rsid w:val="2F047853"/>
    <w:rsid w:val="2F2A7C22"/>
    <w:rsid w:val="2F3445FD"/>
    <w:rsid w:val="2F454A5C"/>
    <w:rsid w:val="2F4B7B98"/>
    <w:rsid w:val="2F4D56BE"/>
    <w:rsid w:val="2F5729E1"/>
    <w:rsid w:val="2F606B0F"/>
    <w:rsid w:val="2F685FFD"/>
    <w:rsid w:val="2F740E9D"/>
    <w:rsid w:val="2F776AE1"/>
    <w:rsid w:val="2F827A5E"/>
    <w:rsid w:val="2F860BD0"/>
    <w:rsid w:val="2F8F3F29"/>
    <w:rsid w:val="2F9028FF"/>
    <w:rsid w:val="2F950E14"/>
    <w:rsid w:val="2FA15A0A"/>
    <w:rsid w:val="2FA86D99"/>
    <w:rsid w:val="2FAA688C"/>
    <w:rsid w:val="2FAF45CB"/>
    <w:rsid w:val="2FB27C17"/>
    <w:rsid w:val="2FB35E69"/>
    <w:rsid w:val="2FB4250F"/>
    <w:rsid w:val="2FB90FA6"/>
    <w:rsid w:val="2FDB0F1C"/>
    <w:rsid w:val="2FF56B7F"/>
    <w:rsid w:val="2FF7637F"/>
    <w:rsid w:val="2FFA79E1"/>
    <w:rsid w:val="302D729E"/>
    <w:rsid w:val="30354AD0"/>
    <w:rsid w:val="30406FD1"/>
    <w:rsid w:val="3045283A"/>
    <w:rsid w:val="30470360"/>
    <w:rsid w:val="304E5B92"/>
    <w:rsid w:val="305A6B4F"/>
    <w:rsid w:val="307028C2"/>
    <w:rsid w:val="309C5337"/>
    <w:rsid w:val="309D08C8"/>
    <w:rsid w:val="30C61BCC"/>
    <w:rsid w:val="30C96FC7"/>
    <w:rsid w:val="30DA7426"/>
    <w:rsid w:val="31003887"/>
    <w:rsid w:val="31004119"/>
    <w:rsid w:val="310B75DF"/>
    <w:rsid w:val="311F3DC9"/>
    <w:rsid w:val="31215055"/>
    <w:rsid w:val="312E045E"/>
    <w:rsid w:val="313A6116"/>
    <w:rsid w:val="313F54DB"/>
    <w:rsid w:val="31464ABB"/>
    <w:rsid w:val="31541D0B"/>
    <w:rsid w:val="31634756"/>
    <w:rsid w:val="3163566D"/>
    <w:rsid w:val="316B6B25"/>
    <w:rsid w:val="31750EFD"/>
    <w:rsid w:val="31796C3F"/>
    <w:rsid w:val="3183186B"/>
    <w:rsid w:val="318F6462"/>
    <w:rsid w:val="31AB2B70"/>
    <w:rsid w:val="31B1462B"/>
    <w:rsid w:val="31BB2DB3"/>
    <w:rsid w:val="31C0486E"/>
    <w:rsid w:val="31C14803"/>
    <w:rsid w:val="31D60C88"/>
    <w:rsid w:val="31D976DD"/>
    <w:rsid w:val="31DB5204"/>
    <w:rsid w:val="31EB30E9"/>
    <w:rsid w:val="31EC7411"/>
    <w:rsid w:val="31F2079F"/>
    <w:rsid w:val="31F42769"/>
    <w:rsid w:val="31F44517"/>
    <w:rsid w:val="3200110E"/>
    <w:rsid w:val="32002B14"/>
    <w:rsid w:val="321220EE"/>
    <w:rsid w:val="321976F8"/>
    <w:rsid w:val="32221084"/>
    <w:rsid w:val="324E1E79"/>
    <w:rsid w:val="326E56D7"/>
    <w:rsid w:val="32967A40"/>
    <w:rsid w:val="32A65CCA"/>
    <w:rsid w:val="32B20603"/>
    <w:rsid w:val="32B617CD"/>
    <w:rsid w:val="32BA306B"/>
    <w:rsid w:val="32BD2B5B"/>
    <w:rsid w:val="32D00AE0"/>
    <w:rsid w:val="32D103B5"/>
    <w:rsid w:val="32D560F7"/>
    <w:rsid w:val="32DD055B"/>
    <w:rsid w:val="32E53E60"/>
    <w:rsid w:val="32E70230"/>
    <w:rsid w:val="32E77BD8"/>
    <w:rsid w:val="32F83B93"/>
    <w:rsid w:val="3307134F"/>
    <w:rsid w:val="330D19C5"/>
    <w:rsid w:val="33152997"/>
    <w:rsid w:val="3316226B"/>
    <w:rsid w:val="33264BA4"/>
    <w:rsid w:val="33274478"/>
    <w:rsid w:val="332F1685"/>
    <w:rsid w:val="3334161F"/>
    <w:rsid w:val="333D5A4A"/>
    <w:rsid w:val="334B63B9"/>
    <w:rsid w:val="3350577D"/>
    <w:rsid w:val="335334BF"/>
    <w:rsid w:val="336011D5"/>
    <w:rsid w:val="33616A9F"/>
    <w:rsid w:val="337771AE"/>
    <w:rsid w:val="33791178"/>
    <w:rsid w:val="339715FE"/>
    <w:rsid w:val="33A1422B"/>
    <w:rsid w:val="33A564BA"/>
    <w:rsid w:val="33B81BF3"/>
    <w:rsid w:val="33CD6DCE"/>
    <w:rsid w:val="33F407FF"/>
    <w:rsid w:val="34000F51"/>
    <w:rsid w:val="34056568"/>
    <w:rsid w:val="34190265"/>
    <w:rsid w:val="341E587B"/>
    <w:rsid w:val="34313801"/>
    <w:rsid w:val="34351D28"/>
    <w:rsid w:val="3438334C"/>
    <w:rsid w:val="344A2B14"/>
    <w:rsid w:val="34517E50"/>
    <w:rsid w:val="345D3E76"/>
    <w:rsid w:val="34763909"/>
    <w:rsid w:val="34784F8C"/>
    <w:rsid w:val="34863867"/>
    <w:rsid w:val="348778C8"/>
    <w:rsid w:val="34880F47"/>
    <w:rsid w:val="348C13E2"/>
    <w:rsid w:val="348E30A7"/>
    <w:rsid w:val="348F22D5"/>
    <w:rsid w:val="34930017"/>
    <w:rsid w:val="34A46DF0"/>
    <w:rsid w:val="34B2796D"/>
    <w:rsid w:val="34BC61DB"/>
    <w:rsid w:val="34C74165"/>
    <w:rsid w:val="34CD6267"/>
    <w:rsid w:val="34CF5E4D"/>
    <w:rsid w:val="34E16FD5"/>
    <w:rsid w:val="34E42621"/>
    <w:rsid w:val="34E6283D"/>
    <w:rsid w:val="34E97C37"/>
    <w:rsid w:val="34EB7E53"/>
    <w:rsid w:val="34FC0B21"/>
    <w:rsid w:val="35066A3B"/>
    <w:rsid w:val="35126DD7"/>
    <w:rsid w:val="351C000D"/>
    <w:rsid w:val="352D221A"/>
    <w:rsid w:val="35325A82"/>
    <w:rsid w:val="35431A3E"/>
    <w:rsid w:val="35466E38"/>
    <w:rsid w:val="355C48AD"/>
    <w:rsid w:val="356E2833"/>
    <w:rsid w:val="3574461D"/>
    <w:rsid w:val="3575596F"/>
    <w:rsid w:val="35780FBB"/>
    <w:rsid w:val="358A766C"/>
    <w:rsid w:val="35AB75E3"/>
    <w:rsid w:val="35D13A1A"/>
    <w:rsid w:val="35D42696"/>
    <w:rsid w:val="35E0728C"/>
    <w:rsid w:val="35E421F9"/>
    <w:rsid w:val="35E52AF5"/>
    <w:rsid w:val="35F26FC0"/>
    <w:rsid w:val="36016A60"/>
    <w:rsid w:val="360C62D3"/>
    <w:rsid w:val="36203B2D"/>
    <w:rsid w:val="36232064"/>
    <w:rsid w:val="36254176"/>
    <w:rsid w:val="36330659"/>
    <w:rsid w:val="3639699D"/>
    <w:rsid w:val="36405F7D"/>
    <w:rsid w:val="36514343"/>
    <w:rsid w:val="36562BDA"/>
    <w:rsid w:val="36573411"/>
    <w:rsid w:val="365F0DDD"/>
    <w:rsid w:val="36653C36"/>
    <w:rsid w:val="366C4FC4"/>
    <w:rsid w:val="3687595A"/>
    <w:rsid w:val="36877708"/>
    <w:rsid w:val="36883480"/>
    <w:rsid w:val="368A71F8"/>
    <w:rsid w:val="36963DEF"/>
    <w:rsid w:val="369E2CA4"/>
    <w:rsid w:val="36A31726"/>
    <w:rsid w:val="36A858D0"/>
    <w:rsid w:val="36B10C29"/>
    <w:rsid w:val="36BB0C95"/>
    <w:rsid w:val="36C22E36"/>
    <w:rsid w:val="36C4095C"/>
    <w:rsid w:val="36D36DF1"/>
    <w:rsid w:val="36E52680"/>
    <w:rsid w:val="36E903C3"/>
    <w:rsid w:val="36EE59D9"/>
    <w:rsid w:val="36EF34FF"/>
    <w:rsid w:val="36FE42BD"/>
    <w:rsid w:val="36FF3742"/>
    <w:rsid w:val="37076A9B"/>
    <w:rsid w:val="370F76FD"/>
    <w:rsid w:val="371F3DE4"/>
    <w:rsid w:val="37270EEB"/>
    <w:rsid w:val="37427AD3"/>
    <w:rsid w:val="37517D16"/>
    <w:rsid w:val="3758019E"/>
    <w:rsid w:val="3758440D"/>
    <w:rsid w:val="379C3B18"/>
    <w:rsid w:val="37A75B88"/>
    <w:rsid w:val="37AB38CA"/>
    <w:rsid w:val="37B26A07"/>
    <w:rsid w:val="37C16C4A"/>
    <w:rsid w:val="37CC2099"/>
    <w:rsid w:val="37D50947"/>
    <w:rsid w:val="37E62B54"/>
    <w:rsid w:val="37ED5C91"/>
    <w:rsid w:val="38064FA4"/>
    <w:rsid w:val="381551E7"/>
    <w:rsid w:val="381B27FE"/>
    <w:rsid w:val="38211DDE"/>
    <w:rsid w:val="3825542A"/>
    <w:rsid w:val="3840162B"/>
    <w:rsid w:val="38433B03"/>
    <w:rsid w:val="3854765D"/>
    <w:rsid w:val="38561A88"/>
    <w:rsid w:val="38610DB6"/>
    <w:rsid w:val="386D692E"/>
    <w:rsid w:val="387463B2"/>
    <w:rsid w:val="38795776"/>
    <w:rsid w:val="38871C41"/>
    <w:rsid w:val="388D4D7E"/>
    <w:rsid w:val="388E7474"/>
    <w:rsid w:val="38A26A7B"/>
    <w:rsid w:val="38BC3074"/>
    <w:rsid w:val="38C56C0D"/>
    <w:rsid w:val="38CF4814"/>
    <w:rsid w:val="38CF5396"/>
    <w:rsid w:val="38DD3EA4"/>
    <w:rsid w:val="38F23DA2"/>
    <w:rsid w:val="38F344BC"/>
    <w:rsid w:val="38FA68B7"/>
    <w:rsid w:val="38FC4989"/>
    <w:rsid w:val="38FE7A29"/>
    <w:rsid w:val="39050DB8"/>
    <w:rsid w:val="390708C7"/>
    <w:rsid w:val="390908A8"/>
    <w:rsid w:val="3922196A"/>
    <w:rsid w:val="392E6561"/>
    <w:rsid w:val="393578EF"/>
    <w:rsid w:val="393618B9"/>
    <w:rsid w:val="39447B32"/>
    <w:rsid w:val="39475874"/>
    <w:rsid w:val="394E09B1"/>
    <w:rsid w:val="39581830"/>
    <w:rsid w:val="39583B80"/>
    <w:rsid w:val="395D6E46"/>
    <w:rsid w:val="396E1053"/>
    <w:rsid w:val="396E2E01"/>
    <w:rsid w:val="39730417"/>
    <w:rsid w:val="39763A64"/>
    <w:rsid w:val="39803E26"/>
    <w:rsid w:val="3995213C"/>
    <w:rsid w:val="39A95BE7"/>
    <w:rsid w:val="39B27192"/>
    <w:rsid w:val="39B91B77"/>
    <w:rsid w:val="39D23390"/>
    <w:rsid w:val="39DE1D35"/>
    <w:rsid w:val="39E34348"/>
    <w:rsid w:val="39E9692C"/>
    <w:rsid w:val="39F06BFD"/>
    <w:rsid w:val="3A015A23"/>
    <w:rsid w:val="3A106389"/>
    <w:rsid w:val="3A214C12"/>
    <w:rsid w:val="3A414072"/>
    <w:rsid w:val="3A465B2C"/>
    <w:rsid w:val="3A6A181A"/>
    <w:rsid w:val="3A6A7A6C"/>
    <w:rsid w:val="3A7461F5"/>
    <w:rsid w:val="3A762B41"/>
    <w:rsid w:val="3A86417A"/>
    <w:rsid w:val="3A8A3C6B"/>
    <w:rsid w:val="3A8D375B"/>
    <w:rsid w:val="3AA80595"/>
    <w:rsid w:val="3AAF12DF"/>
    <w:rsid w:val="3AC70622"/>
    <w:rsid w:val="3AD76784"/>
    <w:rsid w:val="3AED5FA8"/>
    <w:rsid w:val="3AF5688F"/>
    <w:rsid w:val="3AFB06C4"/>
    <w:rsid w:val="3AFB6916"/>
    <w:rsid w:val="3B00217F"/>
    <w:rsid w:val="3B0E664A"/>
    <w:rsid w:val="3B131EB2"/>
    <w:rsid w:val="3B135A0E"/>
    <w:rsid w:val="3B1758B2"/>
    <w:rsid w:val="3B230436"/>
    <w:rsid w:val="3B3B4F65"/>
    <w:rsid w:val="3B3F2CA7"/>
    <w:rsid w:val="3B4007CD"/>
    <w:rsid w:val="3B491430"/>
    <w:rsid w:val="3B4A51A8"/>
    <w:rsid w:val="3B4E6A46"/>
    <w:rsid w:val="3B5D312D"/>
    <w:rsid w:val="3B5F6EA5"/>
    <w:rsid w:val="3B697D24"/>
    <w:rsid w:val="3B70073D"/>
    <w:rsid w:val="3B82342F"/>
    <w:rsid w:val="3B824942"/>
    <w:rsid w:val="3B8C3A12"/>
    <w:rsid w:val="3B936B4F"/>
    <w:rsid w:val="3BA23236"/>
    <w:rsid w:val="3BA35A50"/>
    <w:rsid w:val="3BB56AC5"/>
    <w:rsid w:val="3BC82C9D"/>
    <w:rsid w:val="3BEA764F"/>
    <w:rsid w:val="3BF35840"/>
    <w:rsid w:val="3BFE66BE"/>
    <w:rsid w:val="3C1D466B"/>
    <w:rsid w:val="3C3A5E97"/>
    <w:rsid w:val="3C410508"/>
    <w:rsid w:val="3C432323"/>
    <w:rsid w:val="3C45215F"/>
    <w:rsid w:val="3C4A1903"/>
    <w:rsid w:val="3C5207B8"/>
    <w:rsid w:val="3C636521"/>
    <w:rsid w:val="3C6A3D54"/>
    <w:rsid w:val="3C722C08"/>
    <w:rsid w:val="3C814BF9"/>
    <w:rsid w:val="3C8666B4"/>
    <w:rsid w:val="3C9B215F"/>
    <w:rsid w:val="3C9E1C4F"/>
    <w:rsid w:val="3CA01523"/>
    <w:rsid w:val="3CA134EE"/>
    <w:rsid w:val="3CAC611A"/>
    <w:rsid w:val="3CB60D47"/>
    <w:rsid w:val="3CC64D02"/>
    <w:rsid w:val="3CEB25C6"/>
    <w:rsid w:val="3D0A4BEF"/>
    <w:rsid w:val="3D1303B5"/>
    <w:rsid w:val="3D21137F"/>
    <w:rsid w:val="3D211F38"/>
    <w:rsid w:val="3D257A54"/>
    <w:rsid w:val="3D2866AF"/>
    <w:rsid w:val="3D3659E4"/>
    <w:rsid w:val="3D3A0B83"/>
    <w:rsid w:val="3D404AB5"/>
    <w:rsid w:val="3D472919"/>
    <w:rsid w:val="3D4E5423"/>
    <w:rsid w:val="3D51281E"/>
    <w:rsid w:val="3D566086"/>
    <w:rsid w:val="3D5F318D"/>
    <w:rsid w:val="3D7F382F"/>
    <w:rsid w:val="3D89020A"/>
    <w:rsid w:val="3D8C5F4C"/>
    <w:rsid w:val="3D8E3A72"/>
    <w:rsid w:val="3D977923"/>
    <w:rsid w:val="3D9F17DB"/>
    <w:rsid w:val="3DA35937"/>
    <w:rsid w:val="3DAA0180"/>
    <w:rsid w:val="3DAE5EC2"/>
    <w:rsid w:val="3DBA03C3"/>
    <w:rsid w:val="3DBA6615"/>
    <w:rsid w:val="3DC6320C"/>
    <w:rsid w:val="3DCE20C0"/>
    <w:rsid w:val="3DD764CD"/>
    <w:rsid w:val="3DE6565C"/>
    <w:rsid w:val="3DEA67CE"/>
    <w:rsid w:val="3DEE128D"/>
    <w:rsid w:val="3E096CF1"/>
    <w:rsid w:val="3E1026D9"/>
    <w:rsid w:val="3E135D25"/>
    <w:rsid w:val="3E210442"/>
    <w:rsid w:val="3E3B7BE9"/>
    <w:rsid w:val="3E410AE4"/>
    <w:rsid w:val="3E457116"/>
    <w:rsid w:val="3E5A1BA6"/>
    <w:rsid w:val="3E66054B"/>
    <w:rsid w:val="3E6B3DB3"/>
    <w:rsid w:val="3E7B15A4"/>
    <w:rsid w:val="3E892C78"/>
    <w:rsid w:val="3E8F7AA2"/>
    <w:rsid w:val="3E9729F3"/>
    <w:rsid w:val="3EB5502E"/>
    <w:rsid w:val="3EC611F6"/>
    <w:rsid w:val="3ED656D0"/>
    <w:rsid w:val="3ED75C4E"/>
    <w:rsid w:val="3ED95A51"/>
    <w:rsid w:val="3EE53B65"/>
    <w:rsid w:val="3EE6168C"/>
    <w:rsid w:val="3EE75F67"/>
    <w:rsid w:val="3EE92E4F"/>
    <w:rsid w:val="3EF416A3"/>
    <w:rsid w:val="3EF43DA9"/>
    <w:rsid w:val="3EF75647"/>
    <w:rsid w:val="3EFA1783"/>
    <w:rsid w:val="3F0D541E"/>
    <w:rsid w:val="3F171977"/>
    <w:rsid w:val="3F1F7D42"/>
    <w:rsid w:val="3F44125F"/>
    <w:rsid w:val="3F460BC0"/>
    <w:rsid w:val="3F4E21EB"/>
    <w:rsid w:val="3F512FA9"/>
    <w:rsid w:val="3F5D36FC"/>
    <w:rsid w:val="3F6C7DE3"/>
    <w:rsid w:val="3F7557F2"/>
    <w:rsid w:val="3F79409B"/>
    <w:rsid w:val="3F7B6278"/>
    <w:rsid w:val="3F84512C"/>
    <w:rsid w:val="3F9F3D14"/>
    <w:rsid w:val="3FA255B3"/>
    <w:rsid w:val="3FAA26B9"/>
    <w:rsid w:val="3FBE42E2"/>
    <w:rsid w:val="3FCC0881"/>
    <w:rsid w:val="3FDA4D4C"/>
    <w:rsid w:val="3FE536F1"/>
    <w:rsid w:val="3FEB6F5A"/>
    <w:rsid w:val="3FEF0B19"/>
    <w:rsid w:val="3FFD6C8D"/>
    <w:rsid w:val="4004001B"/>
    <w:rsid w:val="4004626D"/>
    <w:rsid w:val="400747A9"/>
    <w:rsid w:val="402E6F2B"/>
    <w:rsid w:val="40322DDA"/>
    <w:rsid w:val="403340B8"/>
    <w:rsid w:val="40384169"/>
    <w:rsid w:val="40534AFF"/>
    <w:rsid w:val="405424BD"/>
    <w:rsid w:val="406960D0"/>
    <w:rsid w:val="406A05F4"/>
    <w:rsid w:val="406C796F"/>
    <w:rsid w:val="409E3FCC"/>
    <w:rsid w:val="40A9471F"/>
    <w:rsid w:val="40AB0497"/>
    <w:rsid w:val="40B732E0"/>
    <w:rsid w:val="40BE466E"/>
    <w:rsid w:val="40D7128C"/>
    <w:rsid w:val="40D843E4"/>
    <w:rsid w:val="40DC68A2"/>
    <w:rsid w:val="40EB4D37"/>
    <w:rsid w:val="410302D3"/>
    <w:rsid w:val="410A1661"/>
    <w:rsid w:val="41140732"/>
    <w:rsid w:val="41195D48"/>
    <w:rsid w:val="41277CC4"/>
    <w:rsid w:val="412A2779"/>
    <w:rsid w:val="412C5A7C"/>
    <w:rsid w:val="41400D41"/>
    <w:rsid w:val="41401527"/>
    <w:rsid w:val="415B1EBD"/>
    <w:rsid w:val="41654AEA"/>
    <w:rsid w:val="4171666E"/>
    <w:rsid w:val="41742F7F"/>
    <w:rsid w:val="417C1E33"/>
    <w:rsid w:val="41A43864"/>
    <w:rsid w:val="41B15F81"/>
    <w:rsid w:val="41BB600D"/>
    <w:rsid w:val="41C77552"/>
    <w:rsid w:val="41C97639"/>
    <w:rsid w:val="41CE6B33"/>
    <w:rsid w:val="41CF6407"/>
    <w:rsid w:val="41D23FDA"/>
    <w:rsid w:val="41D36F6F"/>
    <w:rsid w:val="41F8693A"/>
    <w:rsid w:val="41FD4D22"/>
    <w:rsid w:val="42235998"/>
    <w:rsid w:val="423805B8"/>
    <w:rsid w:val="424B3CDF"/>
    <w:rsid w:val="42710A18"/>
    <w:rsid w:val="42895A99"/>
    <w:rsid w:val="428C5745"/>
    <w:rsid w:val="42A60A47"/>
    <w:rsid w:val="42AE24C0"/>
    <w:rsid w:val="42B86E9B"/>
    <w:rsid w:val="42C341BE"/>
    <w:rsid w:val="42CF2B62"/>
    <w:rsid w:val="42E31FF0"/>
    <w:rsid w:val="42F500EF"/>
    <w:rsid w:val="43086074"/>
    <w:rsid w:val="430A1DED"/>
    <w:rsid w:val="43144A19"/>
    <w:rsid w:val="43301127"/>
    <w:rsid w:val="434A02E4"/>
    <w:rsid w:val="434A043B"/>
    <w:rsid w:val="43655275"/>
    <w:rsid w:val="436B215F"/>
    <w:rsid w:val="436B5E9B"/>
    <w:rsid w:val="436C4AB4"/>
    <w:rsid w:val="43754D8C"/>
    <w:rsid w:val="43765FE9"/>
    <w:rsid w:val="4383047F"/>
    <w:rsid w:val="438D715F"/>
    <w:rsid w:val="438F40A0"/>
    <w:rsid w:val="439E2535"/>
    <w:rsid w:val="43A0005B"/>
    <w:rsid w:val="43AD2778"/>
    <w:rsid w:val="43B92ECB"/>
    <w:rsid w:val="43DB36F4"/>
    <w:rsid w:val="43F40958"/>
    <w:rsid w:val="43F7731F"/>
    <w:rsid w:val="43F81C45"/>
    <w:rsid w:val="43FF55FF"/>
    <w:rsid w:val="44017717"/>
    <w:rsid w:val="4407632C"/>
    <w:rsid w:val="440B5E1C"/>
    <w:rsid w:val="441023D1"/>
    <w:rsid w:val="441A605F"/>
    <w:rsid w:val="441D5B50"/>
    <w:rsid w:val="4436276D"/>
    <w:rsid w:val="443B7D84"/>
    <w:rsid w:val="44466E54"/>
    <w:rsid w:val="444A6219"/>
    <w:rsid w:val="444D2373"/>
    <w:rsid w:val="44507CD3"/>
    <w:rsid w:val="44615A3C"/>
    <w:rsid w:val="44780601"/>
    <w:rsid w:val="44882904"/>
    <w:rsid w:val="448D4A83"/>
    <w:rsid w:val="44A843A6"/>
    <w:rsid w:val="44B26298"/>
    <w:rsid w:val="44B9344A"/>
    <w:rsid w:val="44C210D8"/>
    <w:rsid w:val="44C304A5"/>
    <w:rsid w:val="44C4421D"/>
    <w:rsid w:val="44CD1E32"/>
    <w:rsid w:val="44CE0BF8"/>
    <w:rsid w:val="44DD0E3B"/>
    <w:rsid w:val="44DD4721"/>
    <w:rsid w:val="44E65F41"/>
    <w:rsid w:val="44E977E0"/>
    <w:rsid w:val="44EF0D10"/>
    <w:rsid w:val="44F87A23"/>
    <w:rsid w:val="44FA7C3F"/>
    <w:rsid w:val="44FF34A7"/>
    <w:rsid w:val="45012D7B"/>
    <w:rsid w:val="45034D45"/>
    <w:rsid w:val="450512D4"/>
    <w:rsid w:val="450C60FD"/>
    <w:rsid w:val="450D222F"/>
    <w:rsid w:val="450E5498"/>
    <w:rsid w:val="451A698D"/>
    <w:rsid w:val="451F3201"/>
    <w:rsid w:val="45232CF2"/>
    <w:rsid w:val="45486BFC"/>
    <w:rsid w:val="45594965"/>
    <w:rsid w:val="455B692F"/>
    <w:rsid w:val="45617CBE"/>
    <w:rsid w:val="4566771C"/>
    <w:rsid w:val="45717F01"/>
    <w:rsid w:val="4572252E"/>
    <w:rsid w:val="45774DEB"/>
    <w:rsid w:val="457F1EF2"/>
    <w:rsid w:val="457F787C"/>
    <w:rsid w:val="45800549"/>
    <w:rsid w:val="458A0FC3"/>
    <w:rsid w:val="45913CC0"/>
    <w:rsid w:val="459D6604"/>
    <w:rsid w:val="45A1630C"/>
    <w:rsid w:val="45A22BBD"/>
    <w:rsid w:val="45A55DFD"/>
    <w:rsid w:val="45AF27D7"/>
    <w:rsid w:val="45C1250B"/>
    <w:rsid w:val="45C762CF"/>
    <w:rsid w:val="45D3248E"/>
    <w:rsid w:val="45EE4F87"/>
    <w:rsid w:val="45F823D0"/>
    <w:rsid w:val="45F8417E"/>
    <w:rsid w:val="460536F8"/>
    <w:rsid w:val="46116FEE"/>
    <w:rsid w:val="461566C0"/>
    <w:rsid w:val="46160AA8"/>
    <w:rsid w:val="461D3BE5"/>
    <w:rsid w:val="4629258A"/>
    <w:rsid w:val="46333408"/>
    <w:rsid w:val="46342CDD"/>
    <w:rsid w:val="463D26D7"/>
    <w:rsid w:val="46445615"/>
    <w:rsid w:val="464473C4"/>
    <w:rsid w:val="4665733A"/>
    <w:rsid w:val="466C06C8"/>
    <w:rsid w:val="466C691A"/>
    <w:rsid w:val="46853538"/>
    <w:rsid w:val="468772B0"/>
    <w:rsid w:val="4695114F"/>
    <w:rsid w:val="469F0A9E"/>
    <w:rsid w:val="46A14816"/>
    <w:rsid w:val="46A240EA"/>
    <w:rsid w:val="46A5118B"/>
    <w:rsid w:val="46A8534E"/>
    <w:rsid w:val="46C2478C"/>
    <w:rsid w:val="46CFC4FE"/>
    <w:rsid w:val="46D83FB0"/>
    <w:rsid w:val="46D85D5E"/>
    <w:rsid w:val="46DB28CC"/>
    <w:rsid w:val="46E97F6B"/>
    <w:rsid w:val="46EB5A91"/>
    <w:rsid w:val="46F10BCE"/>
    <w:rsid w:val="46F74A13"/>
    <w:rsid w:val="46FC1A4C"/>
    <w:rsid w:val="47134FE8"/>
    <w:rsid w:val="4714323A"/>
    <w:rsid w:val="473311E6"/>
    <w:rsid w:val="4734568A"/>
    <w:rsid w:val="474D674C"/>
    <w:rsid w:val="47571818"/>
    <w:rsid w:val="47645658"/>
    <w:rsid w:val="476725FC"/>
    <w:rsid w:val="476937DB"/>
    <w:rsid w:val="47745A86"/>
    <w:rsid w:val="477E06B3"/>
    <w:rsid w:val="47867568"/>
    <w:rsid w:val="479003E6"/>
    <w:rsid w:val="47947ED7"/>
    <w:rsid w:val="47AF2F63"/>
    <w:rsid w:val="47B73BC5"/>
    <w:rsid w:val="47C14A44"/>
    <w:rsid w:val="47D40916"/>
    <w:rsid w:val="47D44585"/>
    <w:rsid w:val="47EA519C"/>
    <w:rsid w:val="47EF15B1"/>
    <w:rsid w:val="47F6649C"/>
    <w:rsid w:val="480145EA"/>
    <w:rsid w:val="480A63EB"/>
    <w:rsid w:val="48147269"/>
    <w:rsid w:val="483B2A48"/>
    <w:rsid w:val="48474F49"/>
    <w:rsid w:val="48491A36"/>
    <w:rsid w:val="485419BB"/>
    <w:rsid w:val="48545C43"/>
    <w:rsid w:val="485B2CE0"/>
    <w:rsid w:val="48621D83"/>
    <w:rsid w:val="48623B31"/>
    <w:rsid w:val="486A550F"/>
    <w:rsid w:val="486C2C02"/>
    <w:rsid w:val="486D5DD0"/>
    <w:rsid w:val="48822425"/>
    <w:rsid w:val="48895562"/>
    <w:rsid w:val="48931F3C"/>
    <w:rsid w:val="48B87BF5"/>
    <w:rsid w:val="48BB043D"/>
    <w:rsid w:val="48C16476"/>
    <w:rsid w:val="48C90054"/>
    <w:rsid w:val="48CC18F2"/>
    <w:rsid w:val="48E1714C"/>
    <w:rsid w:val="48F21359"/>
    <w:rsid w:val="490948F4"/>
    <w:rsid w:val="492928A1"/>
    <w:rsid w:val="492F3120"/>
    <w:rsid w:val="49380D36"/>
    <w:rsid w:val="493A2D00"/>
    <w:rsid w:val="493A4AAE"/>
    <w:rsid w:val="493C25D4"/>
    <w:rsid w:val="493E459E"/>
    <w:rsid w:val="49437E06"/>
    <w:rsid w:val="494A4D03"/>
    <w:rsid w:val="49507E2D"/>
    <w:rsid w:val="495739BD"/>
    <w:rsid w:val="495A61FC"/>
    <w:rsid w:val="49634005"/>
    <w:rsid w:val="4972249A"/>
    <w:rsid w:val="49793828"/>
    <w:rsid w:val="498702B5"/>
    <w:rsid w:val="49995C78"/>
    <w:rsid w:val="49A87C69"/>
    <w:rsid w:val="49B26AE0"/>
    <w:rsid w:val="49DB6CF1"/>
    <w:rsid w:val="49DC6C42"/>
    <w:rsid w:val="49DC7913"/>
    <w:rsid w:val="49E746D0"/>
    <w:rsid w:val="49F033BE"/>
    <w:rsid w:val="49F20EE5"/>
    <w:rsid w:val="49F904C5"/>
    <w:rsid w:val="49F96717"/>
    <w:rsid w:val="4A0A0924"/>
    <w:rsid w:val="4A107458"/>
    <w:rsid w:val="4A111FEF"/>
    <w:rsid w:val="4A183041"/>
    <w:rsid w:val="4A317C5F"/>
    <w:rsid w:val="4A3D4856"/>
    <w:rsid w:val="4A4079D7"/>
    <w:rsid w:val="4A4845FE"/>
    <w:rsid w:val="4A4C2F78"/>
    <w:rsid w:val="4A5308FE"/>
    <w:rsid w:val="4A6F4C2B"/>
    <w:rsid w:val="4A887B27"/>
    <w:rsid w:val="4A8E50B1"/>
    <w:rsid w:val="4A8F4985"/>
    <w:rsid w:val="4A946440"/>
    <w:rsid w:val="4AA2295B"/>
    <w:rsid w:val="4AAA17BF"/>
    <w:rsid w:val="4AB34B18"/>
    <w:rsid w:val="4AB64608"/>
    <w:rsid w:val="4AB92BFF"/>
    <w:rsid w:val="4ABB577A"/>
    <w:rsid w:val="4AD056CA"/>
    <w:rsid w:val="4AD36F68"/>
    <w:rsid w:val="4AF3760A"/>
    <w:rsid w:val="4AFD2237"/>
    <w:rsid w:val="4AFE3E0E"/>
    <w:rsid w:val="4B0C247A"/>
    <w:rsid w:val="4B1C6BD2"/>
    <w:rsid w:val="4B1D4687"/>
    <w:rsid w:val="4B201A81"/>
    <w:rsid w:val="4B2257F9"/>
    <w:rsid w:val="4B296B88"/>
    <w:rsid w:val="4B38501D"/>
    <w:rsid w:val="4B3B2D08"/>
    <w:rsid w:val="4B4149CF"/>
    <w:rsid w:val="4B4B1FAE"/>
    <w:rsid w:val="4B4E7B82"/>
    <w:rsid w:val="4B577B99"/>
    <w:rsid w:val="4B5F6A4E"/>
    <w:rsid w:val="4B6127C6"/>
    <w:rsid w:val="4B775E78"/>
    <w:rsid w:val="4B814C16"/>
    <w:rsid w:val="4B92472D"/>
    <w:rsid w:val="4B9B022A"/>
    <w:rsid w:val="4BA95F1B"/>
    <w:rsid w:val="4BB548C0"/>
    <w:rsid w:val="4BB74194"/>
    <w:rsid w:val="4BB74317"/>
    <w:rsid w:val="4BBA1ED6"/>
    <w:rsid w:val="4BBA3C84"/>
    <w:rsid w:val="4BC207D7"/>
    <w:rsid w:val="4BCE772F"/>
    <w:rsid w:val="4BD20FCE"/>
    <w:rsid w:val="4BEA4569"/>
    <w:rsid w:val="4BF23503"/>
    <w:rsid w:val="4BFA0524"/>
    <w:rsid w:val="4C017B05"/>
    <w:rsid w:val="4C2A0E0A"/>
    <w:rsid w:val="4C4C6FD2"/>
    <w:rsid w:val="4C5639AD"/>
    <w:rsid w:val="4C6205A3"/>
    <w:rsid w:val="4C63256E"/>
    <w:rsid w:val="4C63431C"/>
    <w:rsid w:val="4C6952D3"/>
    <w:rsid w:val="4C71246E"/>
    <w:rsid w:val="4C76404F"/>
    <w:rsid w:val="4C79769B"/>
    <w:rsid w:val="4C8C73CE"/>
    <w:rsid w:val="4C96024D"/>
    <w:rsid w:val="4CAD5597"/>
    <w:rsid w:val="4CAE37E9"/>
    <w:rsid w:val="4CB42DC9"/>
    <w:rsid w:val="4CB608EF"/>
    <w:rsid w:val="4CBF5E47"/>
    <w:rsid w:val="4CC76658"/>
    <w:rsid w:val="4CC9478E"/>
    <w:rsid w:val="4CD46FC7"/>
    <w:rsid w:val="4CE162F0"/>
    <w:rsid w:val="4CFB6302"/>
    <w:rsid w:val="4CFF2296"/>
    <w:rsid w:val="4CFF5756"/>
    <w:rsid w:val="4D0004BB"/>
    <w:rsid w:val="4D063625"/>
    <w:rsid w:val="4D0D6D01"/>
    <w:rsid w:val="4D0F7FFF"/>
    <w:rsid w:val="4D146768"/>
    <w:rsid w:val="4D1B0752"/>
    <w:rsid w:val="4D1B4BF6"/>
    <w:rsid w:val="4D1D271C"/>
    <w:rsid w:val="4D2D42BA"/>
    <w:rsid w:val="4D2E66D8"/>
    <w:rsid w:val="4D3006A2"/>
    <w:rsid w:val="4D4E28D6"/>
    <w:rsid w:val="4D587BF8"/>
    <w:rsid w:val="4D695962"/>
    <w:rsid w:val="4D981DA3"/>
    <w:rsid w:val="4DAB7D28"/>
    <w:rsid w:val="4DBB5BDA"/>
    <w:rsid w:val="4DBE471D"/>
    <w:rsid w:val="4DC30DBD"/>
    <w:rsid w:val="4DC84563"/>
    <w:rsid w:val="4DD03C33"/>
    <w:rsid w:val="4DD728CB"/>
    <w:rsid w:val="4DEB6377"/>
    <w:rsid w:val="4DF416CF"/>
    <w:rsid w:val="4DF70F35"/>
    <w:rsid w:val="4E08517B"/>
    <w:rsid w:val="4E116CCD"/>
    <w:rsid w:val="4E2D4BE1"/>
    <w:rsid w:val="4E485577"/>
    <w:rsid w:val="4E5B34FC"/>
    <w:rsid w:val="4E704A2F"/>
    <w:rsid w:val="4E724CEA"/>
    <w:rsid w:val="4E8C5DAC"/>
    <w:rsid w:val="4E944C60"/>
    <w:rsid w:val="4E9C58C3"/>
    <w:rsid w:val="4EAA4484"/>
    <w:rsid w:val="4EBB043F"/>
    <w:rsid w:val="4EBE5F19"/>
    <w:rsid w:val="4EC2357B"/>
    <w:rsid w:val="4EC30082"/>
    <w:rsid w:val="4EC310A1"/>
    <w:rsid w:val="4EC44EDA"/>
    <w:rsid w:val="4ECA68D4"/>
    <w:rsid w:val="4ECC230F"/>
    <w:rsid w:val="4ECC264C"/>
    <w:rsid w:val="4ECF7517"/>
    <w:rsid w:val="4EDB463D"/>
    <w:rsid w:val="4EE41BA1"/>
    <w:rsid w:val="4EE55131"/>
    <w:rsid w:val="4EE554BC"/>
    <w:rsid w:val="4EF23735"/>
    <w:rsid w:val="4EF31987"/>
    <w:rsid w:val="4EF70D4B"/>
    <w:rsid w:val="4EFD0A57"/>
    <w:rsid w:val="4F073684"/>
    <w:rsid w:val="4F1E452A"/>
    <w:rsid w:val="4F275AD4"/>
    <w:rsid w:val="4F302690"/>
    <w:rsid w:val="4F3B2459"/>
    <w:rsid w:val="4F3D70A6"/>
    <w:rsid w:val="4F462F44"/>
    <w:rsid w:val="4F4E7ABA"/>
    <w:rsid w:val="4F552D33"/>
    <w:rsid w:val="4F6208BA"/>
    <w:rsid w:val="4F672375"/>
    <w:rsid w:val="4F860A4D"/>
    <w:rsid w:val="4F9C201E"/>
    <w:rsid w:val="4F9D5D96"/>
    <w:rsid w:val="4F9F38BD"/>
    <w:rsid w:val="4FA04B8A"/>
    <w:rsid w:val="4FAE7B44"/>
    <w:rsid w:val="4FB355BA"/>
    <w:rsid w:val="4FB56C3C"/>
    <w:rsid w:val="4FC155E1"/>
    <w:rsid w:val="4FC5212F"/>
    <w:rsid w:val="4FD35314"/>
    <w:rsid w:val="4FDA2B47"/>
    <w:rsid w:val="4FE23299"/>
    <w:rsid w:val="4FE633A7"/>
    <w:rsid w:val="4FEC63D6"/>
    <w:rsid w:val="4FFC114C"/>
    <w:rsid w:val="500424AF"/>
    <w:rsid w:val="50083210"/>
    <w:rsid w:val="5012408F"/>
    <w:rsid w:val="501778F7"/>
    <w:rsid w:val="502913D8"/>
    <w:rsid w:val="5031572D"/>
    <w:rsid w:val="5032028D"/>
    <w:rsid w:val="50376ABF"/>
    <w:rsid w:val="505446A7"/>
    <w:rsid w:val="50616DC4"/>
    <w:rsid w:val="50642410"/>
    <w:rsid w:val="50700DB5"/>
    <w:rsid w:val="507C68AE"/>
    <w:rsid w:val="508036EE"/>
    <w:rsid w:val="508F3931"/>
    <w:rsid w:val="509251CF"/>
    <w:rsid w:val="509C191A"/>
    <w:rsid w:val="509C6AB8"/>
    <w:rsid w:val="50AC6291"/>
    <w:rsid w:val="50B56CF8"/>
    <w:rsid w:val="50C23D07"/>
    <w:rsid w:val="50D37CC2"/>
    <w:rsid w:val="50FD6AED"/>
    <w:rsid w:val="5100482F"/>
    <w:rsid w:val="510D2AA8"/>
    <w:rsid w:val="511B6F73"/>
    <w:rsid w:val="512A5408"/>
    <w:rsid w:val="51363DAD"/>
    <w:rsid w:val="513A6339"/>
    <w:rsid w:val="513D3E90"/>
    <w:rsid w:val="51491D32"/>
    <w:rsid w:val="515661FD"/>
    <w:rsid w:val="515D3EAD"/>
    <w:rsid w:val="51621046"/>
    <w:rsid w:val="516224E5"/>
    <w:rsid w:val="51652AA4"/>
    <w:rsid w:val="5167665C"/>
    <w:rsid w:val="516C3C72"/>
    <w:rsid w:val="51714DE5"/>
    <w:rsid w:val="5184720E"/>
    <w:rsid w:val="51894824"/>
    <w:rsid w:val="519311FF"/>
    <w:rsid w:val="51986815"/>
    <w:rsid w:val="51AF7DB0"/>
    <w:rsid w:val="51C23892"/>
    <w:rsid w:val="51CB0999"/>
    <w:rsid w:val="51CC64BF"/>
    <w:rsid w:val="51D81308"/>
    <w:rsid w:val="51D9099E"/>
    <w:rsid w:val="51EE4687"/>
    <w:rsid w:val="51EE5A73"/>
    <w:rsid w:val="51F021AD"/>
    <w:rsid w:val="51F223CA"/>
    <w:rsid w:val="51F53C68"/>
    <w:rsid w:val="51FA302C"/>
    <w:rsid w:val="52067C23"/>
    <w:rsid w:val="521D4F6D"/>
    <w:rsid w:val="522006A3"/>
    <w:rsid w:val="5224454D"/>
    <w:rsid w:val="52320A18"/>
    <w:rsid w:val="523E73BD"/>
    <w:rsid w:val="52421D16"/>
    <w:rsid w:val="52497B10"/>
    <w:rsid w:val="52514ED2"/>
    <w:rsid w:val="5251711B"/>
    <w:rsid w:val="52694D68"/>
    <w:rsid w:val="5285471B"/>
    <w:rsid w:val="529B01B6"/>
    <w:rsid w:val="529F1014"/>
    <w:rsid w:val="52A15B9E"/>
    <w:rsid w:val="52A42F98"/>
    <w:rsid w:val="52A93101"/>
    <w:rsid w:val="52CA29FF"/>
    <w:rsid w:val="52CF44B9"/>
    <w:rsid w:val="52D52AB2"/>
    <w:rsid w:val="52DB4C0C"/>
    <w:rsid w:val="52E11882"/>
    <w:rsid w:val="52E82EC7"/>
    <w:rsid w:val="52EF6909"/>
    <w:rsid w:val="52F15C61"/>
    <w:rsid w:val="5302488E"/>
    <w:rsid w:val="53035F10"/>
    <w:rsid w:val="532760A3"/>
    <w:rsid w:val="5334256E"/>
    <w:rsid w:val="5342088B"/>
    <w:rsid w:val="53470BCF"/>
    <w:rsid w:val="53485D1A"/>
    <w:rsid w:val="53672943"/>
    <w:rsid w:val="53690E1E"/>
    <w:rsid w:val="536B3582"/>
    <w:rsid w:val="5371731E"/>
    <w:rsid w:val="53746E0E"/>
    <w:rsid w:val="53935897"/>
    <w:rsid w:val="539B1E34"/>
    <w:rsid w:val="53A304DF"/>
    <w:rsid w:val="53A96AB8"/>
    <w:rsid w:val="53AE0572"/>
    <w:rsid w:val="53C25DCC"/>
    <w:rsid w:val="53DB0C3B"/>
    <w:rsid w:val="53E45D42"/>
    <w:rsid w:val="53E53868"/>
    <w:rsid w:val="54041398"/>
    <w:rsid w:val="540B1521"/>
    <w:rsid w:val="540C5299"/>
    <w:rsid w:val="54102FDB"/>
    <w:rsid w:val="54322F51"/>
    <w:rsid w:val="54332825"/>
    <w:rsid w:val="543C3DD0"/>
    <w:rsid w:val="544D38E7"/>
    <w:rsid w:val="54656DB3"/>
    <w:rsid w:val="546B1FBF"/>
    <w:rsid w:val="546E385E"/>
    <w:rsid w:val="546F3DD3"/>
    <w:rsid w:val="5479292E"/>
    <w:rsid w:val="548337AD"/>
    <w:rsid w:val="549459BA"/>
    <w:rsid w:val="54A43689"/>
    <w:rsid w:val="54AA0D3A"/>
    <w:rsid w:val="54AB1879"/>
    <w:rsid w:val="54AF6350"/>
    <w:rsid w:val="54B020C8"/>
    <w:rsid w:val="54FB1595"/>
    <w:rsid w:val="550B72FE"/>
    <w:rsid w:val="550D751A"/>
    <w:rsid w:val="550E2318"/>
    <w:rsid w:val="551F0CB5"/>
    <w:rsid w:val="552F56E3"/>
    <w:rsid w:val="552F7491"/>
    <w:rsid w:val="55342CF9"/>
    <w:rsid w:val="5539030F"/>
    <w:rsid w:val="554C0043"/>
    <w:rsid w:val="555870C3"/>
    <w:rsid w:val="555C53C5"/>
    <w:rsid w:val="556C2493"/>
    <w:rsid w:val="557C7E48"/>
    <w:rsid w:val="55985036"/>
    <w:rsid w:val="55C0633B"/>
    <w:rsid w:val="55C23FC2"/>
    <w:rsid w:val="55D65961"/>
    <w:rsid w:val="55DC1E2D"/>
    <w:rsid w:val="55E0312B"/>
    <w:rsid w:val="55E55DA1"/>
    <w:rsid w:val="55E738C7"/>
    <w:rsid w:val="55EC5382"/>
    <w:rsid w:val="55F120F5"/>
    <w:rsid w:val="55F12998"/>
    <w:rsid w:val="55FB7373"/>
    <w:rsid w:val="56032DAA"/>
    <w:rsid w:val="560764DF"/>
    <w:rsid w:val="56076719"/>
    <w:rsid w:val="560C332E"/>
    <w:rsid w:val="56101826"/>
    <w:rsid w:val="561623FF"/>
    <w:rsid w:val="561F5757"/>
    <w:rsid w:val="562468CA"/>
    <w:rsid w:val="562D0D3B"/>
    <w:rsid w:val="56312D95"/>
    <w:rsid w:val="563F1E76"/>
    <w:rsid w:val="565847C5"/>
    <w:rsid w:val="565F7902"/>
    <w:rsid w:val="56600BB1"/>
    <w:rsid w:val="566C50E8"/>
    <w:rsid w:val="566F7082"/>
    <w:rsid w:val="56707D61"/>
    <w:rsid w:val="567E44EA"/>
    <w:rsid w:val="56837A94"/>
    <w:rsid w:val="56861391"/>
    <w:rsid w:val="569F0646"/>
    <w:rsid w:val="56B714EC"/>
    <w:rsid w:val="56C34335"/>
    <w:rsid w:val="56CF2CD9"/>
    <w:rsid w:val="56D36709"/>
    <w:rsid w:val="56E91A0C"/>
    <w:rsid w:val="56F50266"/>
    <w:rsid w:val="56F72230"/>
    <w:rsid w:val="56FF337D"/>
    <w:rsid w:val="56FF3F10"/>
    <w:rsid w:val="570F757A"/>
    <w:rsid w:val="57174680"/>
    <w:rsid w:val="571903F8"/>
    <w:rsid w:val="57274B20"/>
    <w:rsid w:val="572B1EDA"/>
    <w:rsid w:val="57323268"/>
    <w:rsid w:val="573C65BE"/>
    <w:rsid w:val="573E1C0D"/>
    <w:rsid w:val="574A2360"/>
    <w:rsid w:val="578507C0"/>
    <w:rsid w:val="57863218"/>
    <w:rsid w:val="57882E88"/>
    <w:rsid w:val="579A7BCC"/>
    <w:rsid w:val="57A25CD3"/>
    <w:rsid w:val="57A7215B"/>
    <w:rsid w:val="57B343A9"/>
    <w:rsid w:val="57CD149A"/>
    <w:rsid w:val="57D12A81"/>
    <w:rsid w:val="57E01E2C"/>
    <w:rsid w:val="57FE2B69"/>
    <w:rsid w:val="580764A3"/>
    <w:rsid w:val="580B5F93"/>
    <w:rsid w:val="58164938"/>
    <w:rsid w:val="581806B0"/>
    <w:rsid w:val="581B3F0F"/>
    <w:rsid w:val="582E3A30"/>
    <w:rsid w:val="582F1556"/>
    <w:rsid w:val="584047B0"/>
    <w:rsid w:val="584B2951"/>
    <w:rsid w:val="58525EEF"/>
    <w:rsid w:val="5855720E"/>
    <w:rsid w:val="586E6522"/>
    <w:rsid w:val="58792193"/>
    <w:rsid w:val="587C40A9"/>
    <w:rsid w:val="589046EA"/>
    <w:rsid w:val="58986B2A"/>
    <w:rsid w:val="58B2640F"/>
    <w:rsid w:val="58D376CA"/>
    <w:rsid w:val="58D75E75"/>
    <w:rsid w:val="58E93DFA"/>
    <w:rsid w:val="58F9403E"/>
    <w:rsid w:val="590E3C20"/>
    <w:rsid w:val="591075D9"/>
    <w:rsid w:val="591E759F"/>
    <w:rsid w:val="59254E33"/>
    <w:rsid w:val="59381C91"/>
    <w:rsid w:val="595219A0"/>
    <w:rsid w:val="5955323E"/>
    <w:rsid w:val="595E20F3"/>
    <w:rsid w:val="595E6596"/>
    <w:rsid w:val="597D27A7"/>
    <w:rsid w:val="59814033"/>
    <w:rsid w:val="5991071A"/>
    <w:rsid w:val="599124C8"/>
    <w:rsid w:val="5996188C"/>
    <w:rsid w:val="59AA5338"/>
    <w:rsid w:val="59BA27B4"/>
    <w:rsid w:val="59BF60D2"/>
    <w:rsid w:val="59C4289D"/>
    <w:rsid w:val="59EB47F2"/>
    <w:rsid w:val="5A054C64"/>
    <w:rsid w:val="5A1B4488"/>
    <w:rsid w:val="5A1B7FE4"/>
    <w:rsid w:val="5A2055FA"/>
    <w:rsid w:val="5A23719E"/>
    <w:rsid w:val="5A2A1B16"/>
    <w:rsid w:val="5A355549"/>
    <w:rsid w:val="5A4968FF"/>
    <w:rsid w:val="5A4E660B"/>
    <w:rsid w:val="5A59088E"/>
    <w:rsid w:val="5A621D4A"/>
    <w:rsid w:val="5A6B2D19"/>
    <w:rsid w:val="5A767910"/>
    <w:rsid w:val="5A771EDB"/>
    <w:rsid w:val="5A785436"/>
    <w:rsid w:val="5A8A1FB8"/>
    <w:rsid w:val="5A8B33BB"/>
    <w:rsid w:val="5AAD17DD"/>
    <w:rsid w:val="5AB81CD6"/>
    <w:rsid w:val="5ABA3CA0"/>
    <w:rsid w:val="5ACD132B"/>
    <w:rsid w:val="5ACE5056"/>
    <w:rsid w:val="5AD703AE"/>
    <w:rsid w:val="5ADE1E7A"/>
    <w:rsid w:val="5B0373F5"/>
    <w:rsid w:val="5B0647F0"/>
    <w:rsid w:val="5B090AE7"/>
    <w:rsid w:val="5B0B62AA"/>
    <w:rsid w:val="5B0D5B7E"/>
    <w:rsid w:val="5B0F5D9A"/>
    <w:rsid w:val="5B1909C7"/>
    <w:rsid w:val="5B1F3B03"/>
    <w:rsid w:val="5B1F58B2"/>
    <w:rsid w:val="5B2251E4"/>
    <w:rsid w:val="5B246F01"/>
    <w:rsid w:val="5B2B4256"/>
    <w:rsid w:val="5B3B50F4"/>
    <w:rsid w:val="5B3F10B7"/>
    <w:rsid w:val="5B6F365C"/>
    <w:rsid w:val="5B81656C"/>
    <w:rsid w:val="5B901375"/>
    <w:rsid w:val="5B9C077F"/>
    <w:rsid w:val="5BA02E96"/>
    <w:rsid w:val="5BA109BC"/>
    <w:rsid w:val="5BD91F40"/>
    <w:rsid w:val="5BE32D83"/>
    <w:rsid w:val="5C0056E3"/>
    <w:rsid w:val="5C0A47B4"/>
    <w:rsid w:val="5C0E6052"/>
    <w:rsid w:val="5C221AFD"/>
    <w:rsid w:val="5C245875"/>
    <w:rsid w:val="5C272000"/>
    <w:rsid w:val="5C2A2760"/>
    <w:rsid w:val="5C381321"/>
    <w:rsid w:val="5C4C379D"/>
    <w:rsid w:val="5C5B33F1"/>
    <w:rsid w:val="5C763BF7"/>
    <w:rsid w:val="5C78171D"/>
    <w:rsid w:val="5C7B2FBB"/>
    <w:rsid w:val="5C7D6D34"/>
    <w:rsid w:val="5C830F1D"/>
    <w:rsid w:val="5C8C51C9"/>
    <w:rsid w:val="5C8E0F41"/>
    <w:rsid w:val="5C961BA3"/>
    <w:rsid w:val="5C974299"/>
    <w:rsid w:val="5C9B540C"/>
    <w:rsid w:val="5C9C15F8"/>
    <w:rsid w:val="5CA263B9"/>
    <w:rsid w:val="5CAC7D41"/>
    <w:rsid w:val="5CB0535B"/>
    <w:rsid w:val="5CBB327F"/>
    <w:rsid w:val="5CC91F79"/>
    <w:rsid w:val="5CD526CC"/>
    <w:rsid w:val="5CD715FB"/>
    <w:rsid w:val="5CDC6150"/>
    <w:rsid w:val="5CE63072"/>
    <w:rsid w:val="5CE84AF5"/>
    <w:rsid w:val="5CF214D0"/>
    <w:rsid w:val="5CFC40FC"/>
    <w:rsid w:val="5D046FE8"/>
    <w:rsid w:val="5D2418A5"/>
    <w:rsid w:val="5D2D4044"/>
    <w:rsid w:val="5D3540BA"/>
    <w:rsid w:val="5D577585"/>
    <w:rsid w:val="5D5A7075"/>
    <w:rsid w:val="5D6677C8"/>
    <w:rsid w:val="5D6B1282"/>
    <w:rsid w:val="5D752101"/>
    <w:rsid w:val="5D777C27"/>
    <w:rsid w:val="5D7D3CA0"/>
    <w:rsid w:val="5D852344"/>
    <w:rsid w:val="5D881E34"/>
    <w:rsid w:val="5D8F31C2"/>
    <w:rsid w:val="5D902A97"/>
    <w:rsid w:val="5D995DEF"/>
    <w:rsid w:val="5D9C143B"/>
    <w:rsid w:val="5D9F2CDA"/>
    <w:rsid w:val="5DA017F6"/>
    <w:rsid w:val="5DA17CFD"/>
    <w:rsid w:val="5DA84284"/>
    <w:rsid w:val="5DAB7CD0"/>
    <w:rsid w:val="5DAF116F"/>
    <w:rsid w:val="5DC7295C"/>
    <w:rsid w:val="5DCD715C"/>
    <w:rsid w:val="5DD25814"/>
    <w:rsid w:val="5DD60DF1"/>
    <w:rsid w:val="5DEA03F9"/>
    <w:rsid w:val="5DED7EE9"/>
    <w:rsid w:val="5DF30202"/>
    <w:rsid w:val="5E007240"/>
    <w:rsid w:val="5E015742"/>
    <w:rsid w:val="5E021200"/>
    <w:rsid w:val="5E082F75"/>
    <w:rsid w:val="5E0E40DE"/>
    <w:rsid w:val="5E113BD7"/>
    <w:rsid w:val="5E115985"/>
    <w:rsid w:val="5E2C27BF"/>
    <w:rsid w:val="5E2D4789"/>
    <w:rsid w:val="5E323F84"/>
    <w:rsid w:val="5E341674"/>
    <w:rsid w:val="5E36363E"/>
    <w:rsid w:val="5E3F762C"/>
    <w:rsid w:val="5E413D91"/>
    <w:rsid w:val="5E47584B"/>
    <w:rsid w:val="5E4C10B3"/>
    <w:rsid w:val="5E5A37D0"/>
    <w:rsid w:val="5E652175"/>
    <w:rsid w:val="5E6D4B86"/>
    <w:rsid w:val="5E7A5C21"/>
    <w:rsid w:val="5E826883"/>
    <w:rsid w:val="5E875C48"/>
    <w:rsid w:val="5E95598A"/>
    <w:rsid w:val="5EA7453C"/>
    <w:rsid w:val="5EA902B4"/>
    <w:rsid w:val="5EB97DCB"/>
    <w:rsid w:val="5EC63E15"/>
    <w:rsid w:val="5ED15115"/>
    <w:rsid w:val="5ED8015D"/>
    <w:rsid w:val="5EDC648C"/>
    <w:rsid w:val="5EF534F9"/>
    <w:rsid w:val="5F0C6F32"/>
    <w:rsid w:val="5F105C3D"/>
    <w:rsid w:val="5F1D028B"/>
    <w:rsid w:val="5F1E158B"/>
    <w:rsid w:val="5F281E50"/>
    <w:rsid w:val="5F2B6F1B"/>
    <w:rsid w:val="5F2C4044"/>
    <w:rsid w:val="5F2E2567"/>
    <w:rsid w:val="5F36141C"/>
    <w:rsid w:val="5F4B66D6"/>
    <w:rsid w:val="5F5350D7"/>
    <w:rsid w:val="5F683CCB"/>
    <w:rsid w:val="5F697A43"/>
    <w:rsid w:val="5F6D6B0D"/>
    <w:rsid w:val="5F7316DF"/>
    <w:rsid w:val="5F9920D6"/>
    <w:rsid w:val="5F993E84"/>
    <w:rsid w:val="5FA36AB1"/>
    <w:rsid w:val="5FB41AF3"/>
    <w:rsid w:val="5FC52ECB"/>
    <w:rsid w:val="5FCD3B2E"/>
    <w:rsid w:val="5FD24A33"/>
    <w:rsid w:val="5FD50C35"/>
    <w:rsid w:val="5FD56E87"/>
    <w:rsid w:val="5FDA449D"/>
    <w:rsid w:val="5FE62E42"/>
    <w:rsid w:val="5FED3759"/>
    <w:rsid w:val="5FEF7F48"/>
    <w:rsid w:val="5FF27A39"/>
    <w:rsid w:val="5FF76DFD"/>
    <w:rsid w:val="5FFE018B"/>
    <w:rsid w:val="60116111"/>
    <w:rsid w:val="602B4347"/>
    <w:rsid w:val="602E1B5A"/>
    <w:rsid w:val="602F7A1C"/>
    <w:rsid w:val="603D6F06"/>
    <w:rsid w:val="604162CA"/>
    <w:rsid w:val="604858AA"/>
    <w:rsid w:val="604A1752"/>
    <w:rsid w:val="605204D7"/>
    <w:rsid w:val="6065020A"/>
    <w:rsid w:val="60651E2E"/>
    <w:rsid w:val="60675D31"/>
    <w:rsid w:val="606F7EDF"/>
    <w:rsid w:val="607E751E"/>
    <w:rsid w:val="60803296"/>
    <w:rsid w:val="60813C60"/>
    <w:rsid w:val="60842F80"/>
    <w:rsid w:val="608C39E9"/>
    <w:rsid w:val="60AB2AFB"/>
    <w:rsid w:val="60AC408B"/>
    <w:rsid w:val="60C56EFB"/>
    <w:rsid w:val="60C57A73"/>
    <w:rsid w:val="60CC64DC"/>
    <w:rsid w:val="60DF620F"/>
    <w:rsid w:val="60EA79FB"/>
    <w:rsid w:val="61023CAB"/>
    <w:rsid w:val="61174A66"/>
    <w:rsid w:val="6126021E"/>
    <w:rsid w:val="612B3202"/>
    <w:rsid w:val="612C0D28"/>
    <w:rsid w:val="613227E3"/>
    <w:rsid w:val="613A1697"/>
    <w:rsid w:val="61493688"/>
    <w:rsid w:val="614C3178"/>
    <w:rsid w:val="6157593F"/>
    <w:rsid w:val="615D2AE2"/>
    <w:rsid w:val="616109D2"/>
    <w:rsid w:val="61785396"/>
    <w:rsid w:val="617C1CB0"/>
    <w:rsid w:val="618648DC"/>
    <w:rsid w:val="618D5C6B"/>
    <w:rsid w:val="61A82AA5"/>
    <w:rsid w:val="61B2122D"/>
    <w:rsid w:val="61C62F2B"/>
    <w:rsid w:val="61C86CA3"/>
    <w:rsid w:val="61CD7278"/>
    <w:rsid w:val="61CE1DDF"/>
    <w:rsid w:val="61D513C0"/>
    <w:rsid w:val="61DF3FED"/>
    <w:rsid w:val="61EE5FDE"/>
    <w:rsid w:val="620C267E"/>
    <w:rsid w:val="62160145"/>
    <w:rsid w:val="621A6DD3"/>
    <w:rsid w:val="62206ADF"/>
    <w:rsid w:val="622540F5"/>
    <w:rsid w:val="62261C1B"/>
    <w:rsid w:val="6229704E"/>
    <w:rsid w:val="623F6839"/>
    <w:rsid w:val="624B3430"/>
    <w:rsid w:val="625422E5"/>
    <w:rsid w:val="6264621F"/>
    <w:rsid w:val="62664D85"/>
    <w:rsid w:val="626C3AD2"/>
    <w:rsid w:val="62742987"/>
    <w:rsid w:val="629902C0"/>
    <w:rsid w:val="62AE5E99"/>
    <w:rsid w:val="62AF7E63"/>
    <w:rsid w:val="62B15989"/>
    <w:rsid w:val="62BB4EB3"/>
    <w:rsid w:val="62BD2580"/>
    <w:rsid w:val="62CE653B"/>
    <w:rsid w:val="62F6339C"/>
    <w:rsid w:val="62FA10DE"/>
    <w:rsid w:val="63021D41"/>
    <w:rsid w:val="63114B4B"/>
    <w:rsid w:val="63116428"/>
    <w:rsid w:val="63161C90"/>
    <w:rsid w:val="632C14B3"/>
    <w:rsid w:val="63416D0D"/>
    <w:rsid w:val="635F3637"/>
    <w:rsid w:val="637075F2"/>
    <w:rsid w:val="63770981"/>
    <w:rsid w:val="637D3ABD"/>
    <w:rsid w:val="63984451"/>
    <w:rsid w:val="639E415F"/>
    <w:rsid w:val="63AE3C76"/>
    <w:rsid w:val="63B15515"/>
    <w:rsid w:val="63B3709F"/>
    <w:rsid w:val="63BD210C"/>
    <w:rsid w:val="63C45248"/>
    <w:rsid w:val="63D95197"/>
    <w:rsid w:val="63E65CA9"/>
    <w:rsid w:val="63E94CAF"/>
    <w:rsid w:val="63FC70D8"/>
    <w:rsid w:val="64047D3A"/>
    <w:rsid w:val="640A35A3"/>
    <w:rsid w:val="64155AA4"/>
    <w:rsid w:val="641E5244"/>
    <w:rsid w:val="641F73BF"/>
    <w:rsid w:val="642C3C79"/>
    <w:rsid w:val="64395952"/>
    <w:rsid w:val="645E744B"/>
    <w:rsid w:val="64616F3B"/>
    <w:rsid w:val="64665A47"/>
    <w:rsid w:val="64722EF6"/>
    <w:rsid w:val="6477050C"/>
    <w:rsid w:val="64803865"/>
    <w:rsid w:val="64820575"/>
    <w:rsid w:val="64A646BB"/>
    <w:rsid w:val="64C356D5"/>
    <w:rsid w:val="64D4595F"/>
    <w:rsid w:val="64DC1FF7"/>
    <w:rsid w:val="64F47DAF"/>
    <w:rsid w:val="64F733FB"/>
    <w:rsid w:val="64FB738F"/>
    <w:rsid w:val="65006754"/>
    <w:rsid w:val="65031DA0"/>
    <w:rsid w:val="65092F13"/>
    <w:rsid w:val="65181CEF"/>
    <w:rsid w:val="652507F9"/>
    <w:rsid w:val="653A7EB8"/>
    <w:rsid w:val="653D3504"/>
    <w:rsid w:val="65424FBE"/>
    <w:rsid w:val="654B4CC5"/>
    <w:rsid w:val="654C75F6"/>
    <w:rsid w:val="6554084E"/>
    <w:rsid w:val="656E190F"/>
    <w:rsid w:val="65717652"/>
    <w:rsid w:val="65736F26"/>
    <w:rsid w:val="6578453C"/>
    <w:rsid w:val="657F3A60"/>
    <w:rsid w:val="658630FD"/>
    <w:rsid w:val="659F5F6D"/>
    <w:rsid w:val="65A13A93"/>
    <w:rsid w:val="65C7337C"/>
    <w:rsid w:val="65DD1420"/>
    <w:rsid w:val="65F80F47"/>
    <w:rsid w:val="66074602"/>
    <w:rsid w:val="66120692"/>
    <w:rsid w:val="6623094C"/>
    <w:rsid w:val="66294B6C"/>
    <w:rsid w:val="663E3465"/>
    <w:rsid w:val="6647794F"/>
    <w:rsid w:val="66540B05"/>
    <w:rsid w:val="66562638"/>
    <w:rsid w:val="665C3E5E"/>
    <w:rsid w:val="66770C98"/>
    <w:rsid w:val="667C005C"/>
    <w:rsid w:val="667C5132"/>
    <w:rsid w:val="66846F11"/>
    <w:rsid w:val="668F1B3D"/>
    <w:rsid w:val="668F7D8F"/>
    <w:rsid w:val="66967370"/>
    <w:rsid w:val="66AA6E03"/>
    <w:rsid w:val="66CE78A5"/>
    <w:rsid w:val="66DE0D17"/>
    <w:rsid w:val="66E856F1"/>
    <w:rsid w:val="66EA1469"/>
    <w:rsid w:val="66EA3218"/>
    <w:rsid w:val="66F14E12"/>
    <w:rsid w:val="670A0F75"/>
    <w:rsid w:val="67114C48"/>
    <w:rsid w:val="671771FC"/>
    <w:rsid w:val="672030DD"/>
    <w:rsid w:val="672C55DE"/>
    <w:rsid w:val="673152EA"/>
    <w:rsid w:val="67363412"/>
    <w:rsid w:val="673E3563"/>
    <w:rsid w:val="67401089"/>
    <w:rsid w:val="67564D51"/>
    <w:rsid w:val="675656E0"/>
    <w:rsid w:val="675F3C06"/>
    <w:rsid w:val="676A67F3"/>
    <w:rsid w:val="676E3E49"/>
    <w:rsid w:val="6774176D"/>
    <w:rsid w:val="677A27ED"/>
    <w:rsid w:val="678B67C2"/>
    <w:rsid w:val="67917B37"/>
    <w:rsid w:val="67A755AC"/>
    <w:rsid w:val="67B155B0"/>
    <w:rsid w:val="67B6396A"/>
    <w:rsid w:val="67CD47A8"/>
    <w:rsid w:val="67CD5013"/>
    <w:rsid w:val="67DD4B2A"/>
    <w:rsid w:val="67E1537A"/>
    <w:rsid w:val="67EE6D37"/>
    <w:rsid w:val="67FD51CC"/>
    <w:rsid w:val="680853DA"/>
    <w:rsid w:val="681542C4"/>
    <w:rsid w:val="68346AAE"/>
    <w:rsid w:val="683926A8"/>
    <w:rsid w:val="684305CC"/>
    <w:rsid w:val="684855A0"/>
    <w:rsid w:val="68541290"/>
    <w:rsid w:val="68572B2F"/>
    <w:rsid w:val="68664B20"/>
    <w:rsid w:val="688A033D"/>
    <w:rsid w:val="688A4CB2"/>
    <w:rsid w:val="68AB2E7A"/>
    <w:rsid w:val="68BE495C"/>
    <w:rsid w:val="68BE670A"/>
    <w:rsid w:val="68C31F72"/>
    <w:rsid w:val="68CD4B9F"/>
    <w:rsid w:val="68D777CC"/>
    <w:rsid w:val="68DE0B5A"/>
    <w:rsid w:val="68E1689C"/>
    <w:rsid w:val="68E91413"/>
    <w:rsid w:val="68FC50BE"/>
    <w:rsid w:val="69076303"/>
    <w:rsid w:val="690E58E3"/>
    <w:rsid w:val="6922138F"/>
    <w:rsid w:val="693115D2"/>
    <w:rsid w:val="693764BC"/>
    <w:rsid w:val="69470DF5"/>
    <w:rsid w:val="69472BA3"/>
    <w:rsid w:val="69562DE6"/>
    <w:rsid w:val="69564B94"/>
    <w:rsid w:val="696C358D"/>
    <w:rsid w:val="698E65B1"/>
    <w:rsid w:val="69916D1A"/>
    <w:rsid w:val="69A022B3"/>
    <w:rsid w:val="69A03414"/>
    <w:rsid w:val="69A973BA"/>
    <w:rsid w:val="69BB2D02"/>
    <w:rsid w:val="69BD2E65"/>
    <w:rsid w:val="69CA10DE"/>
    <w:rsid w:val="69CA7330"/>
    <w:rsid w:val="69D00DEB"/>
    <w:rsid w:val="69E1767B"/>
    <w:rsid w:val="69E228CC"/>
    <w:rsid w:val="69E91EAC"/>
    <w:rsid w:val="69F50060"/>
    <w:rsid w:val="69F70EDB"/>
    <w:rsid w:val="6A0171F6"/>
    <w:rsid w:val="6A1567FD"/>
    <w:rsid w:val="6A222CC8"/>
    <w:rsid w:val="6A266C5C"/>
    <w:rsid w:val="6A3B3D8A"/>
    <w:rsid w:val="6A4E1D0F"/>
    <w:rsid w:val="6A564E8E"/>
    <w:rsid w:val="6A647785"/>
    <w:rsid w:val="6A7259FE"/>
    <w:rsid w:val="6A77474D"/>
    <w:rsid w:val="6A7C1846"/>
    <w:rsid w:val="6A9736B6"/>
    <w:rsid w:val="6A9774F1"/>
    <w:rsid w:val="6A9863F4"/>
    <w:rsid w:val="6A9E4A45"/>
    <w:rsid w:val="6A9E67F3"/>
    <w:rsid w:val="6AA638F9"/>
    <w:rsid w:val="6AB54047"/>
    <w:rsid w:val="6ABA73A5"/>
    <w:rsid w:val="6ABB2BA8"/>
    <w:rsid w:val="6AC00E5F"/>
    <w:rsid w:val="6AC83870"/>
    <w:rsid w:val="6ACA583A"/>
    <w:rsid w:val="6ACB22C2"/>
    <w:rsid w:val="6ACB3360"/>
    <w:rsid w:val="6AD77F57"/>
    <w:rsid w:val="6ADB7A47"/>
    <w:rsid w:val="6AF86608"/>
    <w:rsid w:val="6B061D23"/>
    <w:rsid w:val="6B2F0327"/>
    <w:rsid w:val="6B3158B9"/>
    <w:rsid w:val="6B363AD7"/>
    <w:rsid w:val="6B423F9E"/>
    <w:rsid w:val="6B4C26F3"/>
    <w:rsid w:val="6B512341"/>
    <w:rsid w:val="6B623CC4"/>
    <w:rsid w:val="6B6317EA"/>
    <w:rsid w:val="6B686E01"/>
    <w:rsid w:val="6B841E8D"/>
    <w:rsid w:val="6B8425F1"/>
    <w:rsid w:val="6B98396B"/>
    <w:rsid w:val="6B9A16B0"/>
    <w:rsid w:val="6B9B0F84"/>
    <w:rsid w:val="6BA73DCD"/>
    <w:rsid w:val="6BA75B7B"/>
    <w:rsid w:val="6BC52540"/>
    <w:rsid w:val="6BDE05C0"/>
    <w:rsid w:val="6BE05AB1"/>
    <w:rsid w:val="6BEC5C84"/>
    <w:rsid w:val="6BF863D7"/>
    <w:rsid w:val="6BFD579B"/>
    <w:rsid w:val="6BFF59B7"/>
    <w:rsid w:val="6C007039"/>
    <w:rsid w:val="6C0703C8"/>
    <w:rsid w:val="6C07486C"/>
    <w:rsid w:val="6C341462"/>
    <w:rsid w:val="6C4922BD"/>
    <w:rsid w:val="6C5C4BB7"/>
    <w:rsid w:val="6C5D448C"/>
    <w:rsid w:val="6C700663"/>
    <w:rsid w:val="6C7402DA"/>
    <w:rsid w:val="6C7517D5"/>
    <w:rsid w:val="6C7707BD"/>
    <w:rsid w:val="6C7D4B2E"/>
    <w:rsid w:val="6C841A18"/>
    <w:rsid w:val="6C8B56E3"/>
    <w:rsid w:val="6C9500C9"/>
    <w:rsid w:val="6C97799E"/>
    <w:rsid w:val="6C9A123C"/>
    <w:rsid w:val="6CA16F4D"/>
    <w:rsid w:val="6CA200F0"/>
    <w:rsid w:val="6CA4030D"/>
    <w:rsid w:val="6CAF118B"/>
    <w:rsid w:val="6CB87914"/>
    <w:rsid w:val="6CBD0550"/>
    <w:rsid w:val="6CC158A9"/>
    <w:rsid w:val="6CD02EB0"/>
    <w:rsid w:val="6CD3474E"/>
    <w:rsid w:val="6CDA788A"/>
    <w:rsid w:val="6CE40709"/>
    <w:rsid w:val="6CE4695B"/>
    <w:rsid w:val="6D01750D"/>
    <w:rsid w:val="6D06067F"/>
    <w:rsid w:val="6D142D9C"/>
    <w:rsid w:val="6D2D3E5E"/>
    <w:rsid w:val="6D5835D1"/>
    <w:rsid w:val="6D5910F7"/>
    <w:rsid w:val="6D5E495F"/>
    <w:rsid w:val="6D6A6E60"/>
    <w:rsid w:val="6D7B2F76"/>
    <w:rsid w:val="6D8E61F1"/>
    <w:rsid w:val="6DA4006D"/>
    <w:rsid w:val="6DB12CE1"/>
    <w:rsid w:val="6DC1343A"/>
    <w:rsid w:val="6DC17AF6"/>
    <w:rsid w:val="6DC522E8"/>
    <w:rsid w:val="6DC72505"/>
    <w:rsid w:val="6DCD73EF"/>
    <w:rsid w:val="6DCF3167"/>
    <w:rsid w:val="6DD44E29"/>
    <w:rsid w:val="6DF42BCE"/>
    <w:rsid w:val="6E032E11"/>
    <w:rsid w:val="6E054E72"/>
    <w:rsid w:val="6E0C43BB"/>
    <w:rsid w:val="6E296D1B"/>
    <w:rsid w:val="6E4C0EED"/>
    <w:rsid w:val="6E535B46"/>
    <w:rsid w:val="6E586EDC"/>
    <w:rsid w:val="6E5B18FB"/>
    <w:rsid w:val="6E602011"/>
    <w:rsid w:val="6E641B01"/>
    <w:rsid w:val="6E6A16B7"/>
    <w:rsid w:val="6E71421E"/>
    <w:rsid w:val="6E7E2E43"/>
    <w:rsid w:val="6E895A0C"/>
    <w:rsid w:val="6E965EE2"/>
    <w:rsid w:val="6E9817AB"/>
    <w:rsid w:val="6E99032E"/>
    <w:rsid w:val="6EA11F65"/>
    <w:rsid w:val="6EB20ABF"/>
    <w:rsid w:val="6EBE3907"/>
    <w:rsid w:val="6EC42A9E"/>
    <w:rsid w:val="6ED50C51"/>
    <w:rsid w:val="6EDF2A47"/>
    <w:rsid w:val="6EE82732"/>
    <w:rsid w:val="6EFA2466"/>
    <w:rsid w:val="6F003BAD"/>
    <w:rsid w:val="6F0F4163"/>
    <w:rsid w:val="6F1D043C"/>
    <w:rsid w:val="6F321C00"/>
    <w:rsid w:val="6F40256E"/>
    <w:rsid w:val="6F433206"/>
    <w:rsid w:val="6F47081E"/>
    <w:rsid w:val="6F6B6EC0"/>
    <w:rsid w:val="6F783503"/>
    <w:rsid w:val="6F7B35A7"/>
    <w:rsid w:val="6F8C57B4"/>
    <w:rsid w:val="6F8F0E00"/>
    <w:rsid w:val="6F912DCA"/>
    <w:rsid w:val="6FA33473"/>
    <w:rsid w:val="6FAB550E"/>
    <w:rsid w:val="6FAC7C04"/>
    <w:rsid w:val="6FBC771B"/>
    <w:rsid w:val="6FDD600F"/>
    <w:rsid w:val="6FEA4288"/>
    <w:rsid w:val="70117A67"/>
    <w:rsid w:val="701337DF"/>
    <w:rsid w:val="7023269E"/>
    <w:rsid w:val="70243BB3"/>
    <w:rsid w:val="702F7D5E"/>
    <w:rsid w:val="703674CE"/>
    <w:rsid w:val="703A6FBE"/>
    <w:rsid w:val="703B2D36"/>
    <w:rsid w:val="70422316"/>
    <w:rsid w:val="70460FEE"/>
    <w:rsid w:val="704970DA"/>
    <w:rsid w:val="704E2A69"/>
    <w:rsid w:val="705E1E1A"/>
    <w:rsid w:val="706109EE"/>
    <w:rsid w:val="706978A3"/>
    <w:rsid w:val="70761ED4"/>
    <w:rsid w:val="70812E3F"/>
    <w:rsid w:val="70814BED"/>
    <w:rsid w:val="70B30B1E"/>
    <w:rsid w:val="70BF3967"/>
    <w:rsid w:val="70C6715C"/>
    <w:rsid w:val="70FA674D"/>
    <w:rsid w:val="71107D1F"/>
    <w:rsid w:val="711315BD"/>
    <w:rsid w:val="71237A52"/>
    <w:rsid w:val="71265794"/>
    <w:rsid w:val="7141612A"/>
    <w:rsid w:val="71451B23"/>
    <w:rsid w:val="714D2D21"/>
    <w:rsid w:val="715144B4"/>
    <w:rsid w:val="7163322D"/>
    <w:rsid w:val="71665B90"/>
    <w:rsid w:val="716C614A"/>
    <w:rsid w:val="71772B87"/>
    <w:rsid w:val="717E737E"/>
    <w:rsid w:val="7189187F"/>
    <w:rsid w:val="718D5813"/>
    <w:rsid w:val="719B7F30"/>
    <w:rsid w:val="71A87F57"/>
    <w:rsid w:val="71BE777B"/>
    <w:rsid w:val="71D13952"/>
    <w:rsid w:val="71D21478"/>
    <w:rsid w:val="71DB657E"/>
    <w:rsid w:val="71E01DE7"/>
    <w:rsid w:val="71E573FD"/>
    <w:rsid w:val="71E847F7"/>
    <w:rsid w:val="71ED1E0E"/>
    <w:rsid w:val="71F92EA9"/>
    <w:rsid w:val="720158B9"/>
    <w:rsid w:val="72084E9A"/>
    <w:rsid w:val="720E0702"/>
    <w:rsid w:val="72115F01"/>
    <w:rsid w:val="721344E8"/>
    <w:rsid w:val="72141A90"/>
    <w:rsid w:val="721421ED"/>
    <w:rsid w:val="72227D09"/>
    <w:rsid w:val="72231CD3"/>
    <w:rsid w:val="724C4ED7"/>
    <w:rsid w:val="724D3C26"/>
    <w:rsid w:val="72587BCF"/>
    <w:rsid w:val="725D51E5"/>
    <w:rsid w:val="7265409A"/>
    <w:rsid w:val="726B5B54"/>
    <w:rsid w:val="72807126"/>
    <w:rsid w:val="72864D99"/>
    <w:rsid w:val="728E0759"/>
    <w:rsid w:val="729130E1"/>
    <w:rsid w:val="729606F7"/>
    <w:rsid w:val="729624A5"/>
    <w:rsid w:val="729C5A44"/>
    <w:rsid w:val="729D55E2"/>
    <w:rsid w:val="72B839D1"/>
    <w:rsid w:val="72CD3357"/>
    <w:rsid w:val="730058BB"/>
    <w:rsid w:val="730241D7"/>
    <w:rsid w:val="7311518A"/>
    <w:rsid w:val="73171838"/>
    <w:rsid w:val="7318501D"/>
    <w:rsid w:val="734F1051"/>
    <w:rsid w:val="73522870"/>
    <w:rsid w:val="73661E78"/>
    <w:rsid w:val="73702CF6"/>
    <w:rsid w:val="737C169B"/>
    <w:rsid w:val="737E5DC6"/>
    <w:rsid w:val="7386076C"/>
    <w:rsid w:val="7388650C"/>
    <w:rsid w:val="738E13CF"/>
    <w:rsid w:val="73927111"/>
    <w:rsid w:val="73A62BBC"/>
    <w:rsid w:val="73AB1F81"/>
    <w:rsid w:val="73AF381F"/>
    <w:rsid w:val="73B07597"/>
    <w:rsid w:val="73B13A3B"/>
    <w:rsid w:val="73CD1EF7"/>
    <w:rsid w:val="73F43927"/>
    <w:rsid w:val="74100036"/>
    <w:rsid w:val="74275AAB"/>
    <w:rsid w:val="7434641A"/>
    <w:rsid w:val="74381A66"/>
    <w:rsid w:val="74393A30"/>
    <w:rsid w:val="743C7FDE"/>
    <w:rsid w:val="743F553E"/>
    <w:rsid w:val="744D4DE6"/>
    <w:rsid w:val="74510D7A"/>
    <w:rsid w:val="7452064E"/>
    <w:rsid w:val="745919DD"/>
    <w:rsid w:val="745B39A7"/>
    <w:rsid w:val="74600FBD"/>
    <w:rsid w:val="747405C4"/>
    <w:rsid w:val="747B7BA5"/>
    <w:rsid w:val="74866EE8"/>
    <w:rsid w:val="749874CC"/>
    <w:rsid w:val="74B15375"/>
    <w:rsid w:val="74B20186"/>
    <w:rsid w:val="74B86703"/>
    <w:rsid w:val="74B9247B"/>
    <w:rsid w:val="74C46829"/>
    <w:rsid w:val="74CC34B0"/>
    <w:rsid w:val="74CE5F27"/>
    <w:rsid w:val="74D13C69"/>
    <w:rsid w:val="74DB6895"/>
    <w:rsid w:val="74E064DA"/>
    <w:rsid w:val="750B29B8"/>
    <w:rsid w:val="75183646"/>
    <w:rsid w:val="751F6782"/>
    <w:rsid w:val="754601B3"/>
    <w:rsid w:val="754B57C9"/>
    <w:rsid w:val="754E0E15"/>
    <w:rsid w:val="75660855"/>
    <w:rsid w:val="757545F4"/>
    <w:rsid w:val="757758AD"/>
    <w:rsid w:val="757A7E5C"/>
    <w:rsid w:val="75812F99"/>
    <w:rsid w:val="758B206A"/>
    <w:rsid w:val="758D193E"/>
    <w:rsid w:val="75A03D67"/>
    <w:rsid w:val="75A1188D"/>
    <w:rsid w:val="75B94E29"/>
    <w:rsid w:val="75C5369F"/>
    <w:rsid w:val="75CF01A8"/>
    <w:rsid w:val="75CF63FA"/>
    <w:rsid w:val="75D21A46"/>
    <w:rsid w:val="75D5070A"/>
    <w:rsid w:val="75F9252F"/>
    <w:rsid w:val="76053BCA"/>
    <w:rsid w:val="760A5684"/>
    <w:rsid w:val="76397D18"/>
    <w:rsid w:val="764566BC"/>
    <w:rsid w:val="764865AE"/>
    <w:rsid w:val="764F12E9"/>
    <w:rsid w:val="76602C6C"/>
    <w:rsid w:val="766052A4"/>
    <w:rsid w:val="766D79C1"/>
    <w:rsid w:val="76740D50"/>
    <w:rsid w:val="76746FA2"/>
    <w:rsid w:val="76880357"/>
    <w:rsid w:val="769136B0"/>
    <w:rsid w:val="769B452E"/>
    <w:rsid w:val="769F401E"/>
    <w:rsid w:val="76A333E3"/>
    <w:rsid w:val="76B80988"/>
    <w:rsid w:val="76BD44A5"/>
    <w:rsid w:val="76BF19AD"/>
    <w:rsid w:val="76C175A2"/>
    <w:rsid w:val="76C53359"/>
    <w:rsid w:val="76F7541E"/>
    <w:rsid w:val="770B16B4"/>
    <w:rsid w:val="771F2A69"/>
    <w:rsid w:val="7720175B"/>
    <w:rsid w:val="772774BF"/>
    <w:rsid w:val="772A140E"/>
    <w:rsid w:val="773724A9"/>
    <w:rsid w:val="77510F5D"/>
    <w:rsid w:val="7755292F"/>
    <w:rsid w:val="775E2C2B"/>
    <w:rsid w:val="776963DA"/>
    <w:rsid w:val="7770362E"/>
    <w:rsid w:val="77731007"/>
    <w:rsid w:val="77737F33"/>
    <w:rsid w:val="7778661E"/>
    <w:rsid w:val="777D59E2"/>
    <w:rsid w:val="779F1DFC"/>
    <w:rsid w:val="77B238DE"/>
    <w:rsid w:val="77B77F64"/>
    <w:rsid w:val="77B84C6C"/>
    <w:rsid w:val="77BB1834"/>
    <w:rsid w:val="77C17FC5"/>
    <w:rsid w:val="77C47AB5"/>
    <w:rsid w:val="77CD6969"/>
    <w:rsid w:val="77CE088D"/>
    <w:rsid w:val="77D10102"/>
    <w:rsid w:val="77E837A3"/>
    <w:rsid w:val="77EA751B"/>
    <w:rsid w:val="77F75794"/>
    <w:rsid w:val="77FA76E3"/>
    <w:rsid w:val="78016613"/>
    <w:rsid w:val="78020B48"/>
    <w:rsid w:val="780B56E4"/>
    <w:rsid w:val="781A1483"/>
    <w:rsid w:val="782A62FB"/>
    <w:rsid w:val="782EDB21"/>
    <w:rsid w:val="78397C7B"/>
    <w:rsid w:val="784B5AE0"/>
    <w:rsid w:val="784C1F84"/>
    <w:rsid w:val="784F175E"/>
    <w:rsid w:val="785D0317"/>
    <w:rsid w:val="785D3BAC"/>
    <w:rsid w:val="787943FB"/>
    <w:rsid w:val="78880AE2"/>
    <w:rsid w:val="78A02FA0"/>
    <w:rsid w:val="78B5371C"/>
    <w:rsid w:val="78CE2999"/>
    <w:rsid w:val="78D06FFE"/>
    <w:rsid w:val="78E26444"/>
    <w:rsid w:val="78F543CA"/>
    <w:rsid w:val="78FF0DA4"/>
    <w:rsid w:val="79080B60"/>
    <w:rsid w:val="790A599B"/>
    <w:rsid w:val="790C526F"/>
    <w:rsid w:val="79142376"/>
    <w:rsid w:val="79167A55"/>
    <w:rsid w:val="791800B8"/>
    <w:rsid w:val="79224A93"/>
    <w:rsid w:val="79295E21"/>
    <w:rsid w:val="792B7DEB"/>
    <w:rsid w:val="79300350"/>
    <w:rsid w:val="79314CD6"/>
    <w:rsid w:val="794B223C"/>
    <w:rsid w:val="794E5888"/>
    <w:rsid w:val="79515505"/>
    <w:rsid w:val="79674B9C"/>
    <w:rsid w:val="7967694A"/>
    <w:rsid w:val="796C5D0E"/>
    <w:rsid w:val="798269EF"/>
    <w:rsid w:val="798B2638"/>
    <w:rsid w:val="79A951B4"/>
    <w:rsid w:val="79B41C03"/>
    <w:rsid w:val="79BA4A61"/>
    <w:rsid w:val="79C913B2"/>
    <w:rsid w:val="79D00993"/>
    <w:rsid w:val="79DA711C"/>
    <w:rsid w:val="79E63D12"/>
    <w:rsid w:val="79EF706B"/>
    <w:rsid w:val="7A08012D"/>
    <w:rsid w:val="7A150154"/>
    <w:rsid w:val="7A1B688B"/>
    <w:rsid w:val="7A1B68CA"/>
    <w:rsid w:val="7A293BFF"/>
    <w:rsid w:val="7A4007BD"/>
    <w:rsid w:val="7A5275FA"/>
    <w:rsid w:val="7A5B64AE"/>
    <w:rsid w:val="7A666C01"/>
    <w:rsid w:val="7A6C06BC"/>
    <w:rsid w:val="7A6E38A0"/>
    <w:rsid w:val="7A796935"/>
    <w:rsid w:val="7A965738"/>
    <w:rsid w:val="7AA53BCD"/>
    <w:rsid w:val="7AA86067"/>
    <w:rsid w:val="7AB14320"/>
    <w:rsid w:val="7AC35E02"/>
    <w:rsid w:val="7ACA7190"/>
    <w:rsid w:val="7ADB3D1A"/>
    <w:rsid w:val="7ADE49EA"/>
    <w:rsid w:val="7AE75F94"/>
    <w:rsid w:val="7AE83ABA"/>
    <w:rsid w:val="7AFB559C"/>
    <w:rsid w:val="7B0F54EB"/>
    <w:rsid w:val="7B1235CC"/>
    <w:rsid w:val="7B133490"/>
    <w:rsid w:val="7B205002"/>
    <w:rsid w:val="7B3137A6"/>
    <w:rsid w:val="7B4909FD"/>
    <w:rsid w:val="7B4B7ACD"/>
    <w:rsid w:val="7B4F751B"/>
    <w:rsid w:val="7B57638E"/>
    <w:rsid w:val="7B6273C9"/>
    <w:rsid w:val="7B694AFF"/>
    <w:rsid w:val="7B6E0463"/>
    <w:rsid w:val="7B762E74"/>
    <w:rsid w:val="7B912A5E"/>
    <w:rsid w:val="7B9854E0"/>
    <w:rsid w:val="7B9B0E30"/>
    <w:rsid w:val="7BA43E85"/>
    <w:rsid w:val="7BA7127F"/>
    <w:rsid w:val="7BAB0D70"/>
    <w:rsid w:val="7BC73D60"/>
    <w:rsid w:val="7BE769D5"/>
    <w:rsid w:val="7BEF228A"/>
    <w:rsid w:val="7BF929D4"/>
    <w:rsid w:val="7BFD2AAE"/>
    <w:rsid w:val="7BFF0695"/>
    <w:rsid w:val="7BFF10BB"/>
    <w:rsid w:val="7C044924"/>
    <w:rsid w:val="7C0A7918"/>
    <w:rsid w:val="7C120DEF"/>
    <w:rsid w:val="7C13613E"/>
    <w:rsid w:val="7C266648"/>
    <w:rsid w:val="7C283298"/>
    <w:rsid w:val="7C320AAE"/>
    <w:rsid w:val="7C330D65"/>
    <w:rsid w:val="7C354ADD"/>
    <w:rsid w:val="7C38637B"/>
    <w:rsid w:val="7C3F3BAE"/>
    <w:rsid w:val="7C43369E"/>
    <w:rsid w:val="7C51362C"/>
    <w:rsid w:val="7C5F32C3"/>
    <w:rsid w:val="7C613B24"/>
    <w:rsid w:val="7C662EE9"/>
    <w:rsid w:val="7C7575D0"/>
    <w:rsid w:val="7C9061B7"/>
    <w:rsid w:val="7CA26617"/>
    <w:rsid w:val="7CAD4FBB"/>
    <w:rsid w:val="7CCA791B"/>
    <w:rsid w:val="7CD24A22"/>
    <w:rsid w:val="7CD372E6"/>
    <w:rsid w:val="7CDD5BF6"/>
    <w:rsid w:val="7CE47772"/>
    <w:rsid w:val="7CEA3B1A"/>
    <w:rsid w:val="7CEE4349"/>
    <w:rsid w:val="7CF90201"/>
    <w:rsid w:val="7D09317D"/>
    <w:rsid w:val="7D0C1CE2"/>
    <w:rsid w:val="7D230DDA"/>
    <w:rsid w:val="7D360B0D"/>
    <w:rsid w:val="7D376633"/>
    <w:rsid w:val="7D3F5588"/>
    <w:rsid w:val="7D450D50"/>
    <w:rsid w:val="7D626810"/>
    <w:rsid w:val="7D657644"/>
    <w:rsid w:val="7D7653AD"/>
    <w:rsid w:val="7D7E4262"/>
    <w:rsid w:val="7D845D1C"/>
    <w:rsid w:val="7D8B70AB"/>
    <w:rsid w:val="7D8BD8F8"/>
    <w:rsid w:val="7D8E6B9B"/>
    <w:rsid w:val="7D921C5C"/>
    <w:rsid w:val="7D9359A6"/>
    <w:rsid w:val="7D9D7A11"/>
    <w:rsid w:val="7DA0242A"/>
    <w:rsid w:val="7DAA3C60"/>
    <w:rsid w:val="7DBF0735"/>
    <w:rsid w:val="7DC66335"/>
    <w:rsid w:val="7DD047CF"/>
    <w:rsid w:val="7DE44A0D"/>
    <w:rsid w:val="7DE5081A"/>
    <w:rsid w:val="7DEA3972"/>
    <w:rsid w:val="7E0C6639"/>
    <w:rsid w:val="7E1C41A7"/>
    <w:rsid w:val="7E264A54"/>
    <w:rsid w:val="7E386B07"/>
    <w:rsid w:val="7E3A5223"/>
    <w:rsid w:val="7E3F60E7"/>
    <w:rsid w:val="7E53749D"/>
    <w:rsid w:val="7E5F5E41"/>
    <w:rsid w:val="7E665422"/>
    <w:rsid w:val="7E783983"/>
    <w:rsid w:val="7E7A711F"/>
    <w:rsid w:val="7E9332AF"/>
    <w:rsid w:val="7EA803AE"/>
    <w:rsid w:val="7EC860DC"/>
    <w:rsid w:val="7ECF1219"/>
    <w:rsid w:val="7ED405DD"/>
    <w:rsid w:val="7ED700CE"/>
    <w:rsid w:val="7EE8052D"/>
    <w:rsid w:val="7F016EF9"/>
    <w:rsid w:val="7F0D1D41"/>
    <w:rsid w:val="7F104D4B"/>
    <w:rsid w:val="7F182BC0"/>
    <w:rsid w:val="7F2D1B6C"/>
    <w:rsid w:val="7F2F1CB8"/>
    <w:rsid w:val="7F405C73"/>
    <w:rsid w:val="7F4A129D"/>
    <w:rsid w:val="7F565496"/>
    <w:rsid w:val="7F590AE3"/>
    <w:rsid w:val="7F65392B"/>
    <w:rsid w:val="7F875650"/>
    <w:rsid w:val="7F9560E2"/>
    <w:rsid w:val="7F9B45FF"/>
    <w:rsid w:val="7F9D30C5"/>
    <w:rsid w:val="7FAA57E2"/>
    <w:rsid w:val="7FB623D9"/>
    <w:rsid w:val="7FC11ABB"/>
    <w:rsid w:val="7FCC7507"/>
    <w:rsid w:val="7FCE327F"/>
    <w:rsid w:val="7FD50AB1"/>
    <w:rsid w:val="7FDF5867"/>
    <w:rsid w:val="7FDF723A"/>
    <w:rsid w:val="7FE03CA7"/>
    <w:rsid w:val="7FE912DF"/>
    <w:rsid w:val="7FF453E2"/>
    <w:rsid w:val="7FF52F01"/>
    <w:rsid w:val="7FF802FC"/>
    <w:rsid w:val="7FFC4290"/>
    <w:rsid w:val="9BFF09DD"/>
    <w:rsid w:val="AB5E4611"/>
    <w:rsid w:val="ECAF73CD"/>
    <w:rsid w:val="FEDDAB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99"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nhideWhenUsed="0" w:uiPriority="99"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99" w:semiHidden="0" w:name="HTML Preformatted"/>
    <w:lsdException w:qFormat="1" w:uiPriority="0" w:name="HTML Sample"/>
    <w:lsdException w:uiPriority="0" w:name="HTML Typewriter"/>
    <w:lsdException w:qFormat="1" w:uiPriority="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7"/>
    <w:autoRedefine/>
    <w:qFormat/>
    <w:uiPriority w:val="99"/>
    <w:pPr>
      <w:keepNext/>
      <w:jc w:val="center"/>
      <w:outlineLvl w:val="0"/>
    </w:pPr>
    <w:rPr>
      <w:b/>
      <w:bCs/>
      <w:sz w:val="24"/>
      <w:szCs w:val="20"/>
    </w:rPr>
  </w:style>
  <w:style w:type="paragraph" w:styleId="3">
    <w:name w:val="heading 2"/>
    <w:basedOn w:val="1"/>
    <w:next w:val="1"/>
    <w:link w:val="98"/>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9"/>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100"/>
    <w:autoRedefine/>
    <w:qFormat/>
    <w:uiPriority w:val="99"/>
    <w:pPr>
      <w:keepNext/>
      <w:keepLines/>
      <w:spacing w:before="280" w:after="290" w:line="376" w:lineRule="auto"/>
      <w:outlineLvl w:val="3"/>
    </w:pPr>
    <w:rPr>
      <w:rFonts w:ascii="Arial" w:hAnsi="Arial"/>
      <w:b/>
      <w:bCs/>
      <w:sz w:val="28"/>
      <w:szCs w:val="28"/>
    </w:rPr>
  </w:style>
  <w:style w:type="paragraph" w:styleId="6">
    <w:name w:val="heading 5"/>
    <w:basedOn w:val="1"/>
    <w:next w:val="1"/>
    <w:link w:val="101"/>
    <w:autoRedefine/>
    <w:qFormat/>
    <w:uiPriority w:val="99"/>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02"/>
    <w:autoRedefine/>
    <w:qFormat/>
    <w:uiPriority w:val="99"/>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03"/>
    <w:autoRedefine/>
    <w:qFormat/>
    <w:uiPriority w:val="99"/>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04"/>
    <w:autoRedefine/>
    <w:qFormat/>
    <w:uiPriority w:val="9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05"/>
    <w:autoRedefine/>
    <w:qFormat/>
    <w:uiPriority w:val="99"/>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2520" w:leftChars="1200"/>
    </w:pPr>
    <w:rPr>
      <w:rFonts w:ascii="Calibri" w:hAnsi="Calibri" w:cs="黑体"/>
      <w:szCs w:val="22"/>
    </w:rPr>
  </w:style>
  <w:style w:type="paragraph" w:styleId="12">
    <w:name w:val="Normal Indent"/>
    <w:basedOn w:val="1"/>
    <w:next w:val="13"/>
    <w:link w:val="138"/>
    <w:autoRedefine/>
    <w:qFormat/>
    <w:uiPriority w:val="99"/>
    <w:pPr>
      <w:widowControl/>
      <w:ind w:firstLine="420"/>
      <w:jc w:val="left"/>
    </w:pPr>
    <w:rPr>
      <w:kern w:val="0"/>
      <w:sz w:val="20"/>
      <w:szCs w:val="20"/>
    </w:rPr>
  </w:style>
  <w:style w:type="paragraph" w:customStyle="1" w:styleId="13">
    <w:name w:val="Default"/>
    <w:autoRedefine/>
    <w:qFormat/>
    <w:uiPriority w:val="99"/>
    <w:pPr>
      <w:widowControl w:val="0"/>
      <w:autoSpaceDE w:val="0"/>
      <w:autoSpaceDN w:val="0"/>
      <w:adjustRightInd w:val="0"/>
    </w:pPr>
    <w:rPr>
      <w:rFonts w:ascii="黑体" w:hAnsi="Times New Roman" w:eastAsia="黑体" w:cs="Times New Roman"/>
      <w:lang w:val="en-US" w:eastAsia="zh-CN" w:bidi="ar-SA"/>
    </w:rPr>
  </w:style>
  <w:style w:type="paragraph" w:styleId="14">
    <w:name w:val="caption"/>
    <w:basedOn w:val="1"/>
    <w:next w:val="1"/>
    <w:link w:val="139"/>
    <w:autoRedefine/>
    <w:qFormat/>
    <w:uiPriority w:val="0"/>
    <w:pPr>
      <w:spacing w:before="152" w:afterLines="100" w:line="360" w:lineRule="auto"/>
      <w:ind w:firstLine="200" w:firstLineChars="200"/>
      <w:jc w:val="center"/>
    </w:pPr>
    <w:rPr>
      <w:rFonts w:ascii="Arial" w:hAnsi="Arial" w:cs="Arial"/>
      <w:b/>
      <w:kern w:val="0"/>
      <w:sz w:val="24"/>
      <w:szCs w:val="20"/>
    </w:rPr>
  </w:style>
  <w:style w:type="paragraph" w:styleId="15">
    <w:name w:val="Document Map"/>
    <w:basedOn w:val="1"/>
    <w:link w:val="119"/>
    <w:autoRedefine/>
    <w:semiHidden/>
    <w:qFormat/>
    <w:uiPriority w:val="99"/>
    <w:pPr>
      <w:shd w:val="clear" w:color="auto" w:fill="000080"/>
    </w:pPr>
  </w:style>
  <w:style w:type="paragraph" w:styleId="16">
    <w:name w:val="toa heading"/>
    <w:basedOn w:val="1"/>
    <w:next w:val="1"/>
    <w:autoRedefine/>
    <w:qFormat/>
    <w:uiPriority w:val="0"/>
    <w:rPr>
      <w:rFonts w:ascii="Arial" w:hAnsi="Arial"/>
      <w:sz w:val="24"/>
    </w:rPr>
  </w:style>
  <w:style w:type="paragraph" w:styleId="17">
    <w:name w:val="annotation text"/>
    <w:basedOn w:val="1"/>
    <w:link w:val="111"/>
    <w:autoRedefine/>
    <w:qFormat/>
    <w:uiPriority w:val="99"/>
    <w:pPr>
      <w:jc w:val="left"/>
    </w:pPr>
  </w:style>
  <w:style w:type="paragraph" w:styleId="18">
    <w:name w:val="Salutation"/>
    <w:basedOn w:val="1"/>
    <w:next w:val="1"/>
    <w:link w:val="113"/>
    <w:autoRedefine/>
    <w:qFormat/>
    <w:uiPriority w:val="0"/>
    <w:rPr>
      <w:rFonts w:ascii="仿宋_GB2312" w:eastAsia="仿宋_GB2312"/>
      <w:sz w:val="24"/>
    </w:rPr>
  </w:style>
  <w:style w:type="paragraph" w:styleId="19">
    <w:name w:val="Body Text"/>
    <w:basedOn w:val="1"/>
    <w:next w:val="1"/>
    <w:link w:val="106"/>
    <w:autoRedefine/>
    <w:qFormat/>
    <w:uiPriority w:val="99"/>
    <w:pPr>
      <w:spacing w:after="120"/>
    </w:pPr>
  </w:style>
  <w:style w:type="paragraph" w:styleId="20">
    <w:name w:val="Body Text Indent"/>
    <w:basedOn w:val="1"/>
    <w:next w:val="21"/>
    <w:link w:val="109"/>
    <w:autoRedefine/>
    <w:qFormat/>
    <w:uiPriority w:val="99"/>
    <w:pPr>
      <w:spacing w:after="120"/>
      <w:ind w:left="420" w:leftChars="200"/>
    </w:pPr>
  </w:style>
  <w:style w:type="paragraph" w:styleId="21">
    <w:name w:val="annotation subject"/>
    <w:basedOn w:val="17"/>
    <w:next w:val="1"/>
    <w:link w:val="120"/>
    <w:autoRedefine/>
    <w:qFormat/>
    <w:uiPriority w:val="99"/>
    <w:rPr>
      <w:b/>
      <w:bCs/>
    </w:rPr>
  </w:style>
  <w:style w:type="paragraph" w:styleId="22">
    <w:name w:val="Block Text"/>
    <w:basedOn w:val="1"/>
    <w:autoRedefine/>
    <w:qFormat/>
    <w:uiPriority w:val="0"/>
    <w:pPr>
      <w:ind w:left="1171" w:right="91" w:hanging="1080"/>
    </w:pPr>
    <w:rPr>
      <w:rFonts w:eastAsia="楷体_GB2312"/>
      <w:szCs w:val="20"/>
    </w:rPr>
  </w:style>
  <w:style w:type="paragraph" w:styleId="23">
    <w:name w:val="toc 5"/>
    <w:basedOn w:val="1"/>
    <w:next w:val="1"/>
    <w:autoRedefine/>
    <w:unhideWhenUsed/>
    <w:qFormat/>
    <w:uiPriority w:val="39"/>
    <w:pPr>
      <w:ind w:left="1680" w:leftChars="800"/>
    </w:pPr>
    <w:rPr>
      <w:rFonts w:ascii="Calibri" w:hAnsi="Calibri" w:cs="黑体"/>
      <w:szCs w:val="22"/>
    </w:rPr>
  </w:style>
  <w:style w:type="paragraph" w:styleId="24">
    <w:name w:val="toc 3"/>
    <w:basedOn w:val="1"/>
    <w:next w:val="1"/>
    <w:autoRedefine/>
    <w:unhideWhenUsed/>
    <w:qFormat/>
    <w:uiPriority w:val="39"/>
    <w:pPr>
      <w:adjustRightInd w:val="0"/>
      <w:snapToGrid w:val="0"/>
      <w:spacing w:line="360" w:lineRule="auto"/>
      <w:ind w:left="400" w:leftChars="400"/>
    </w:pPr>
    <w:rPr>
      <w:b/>
    </w:rPr>
  </w:style>
  <w:style w:type="paragraph" w:styleId="25">
    <w:name w:val="Plain Text"/>
    <w:basedOn w:val="1"/>
    <w:next w:val="1"/>
    <w:link w:val="110"/>
    <w:autoRedefine/>
    <w:qFormat/>
    <w:uiPriority w:val="0"/>
    <w:rPr>
      <w:rFonts w:ascii="宋体" w:hAnsi="Courier New" w:cs="Courier New"/>
      <w:szCs w:val="21"/>
    </w:rPr>
  </w:style>
  <w:style w:type="paragraph" w:styleId="26">
    <w:name w:val="toc 8"/>
    <w:basedOn w:val="1"/>
    <w:next w:val="1"/>
    <w:autoRedefine/>
    <w:unhideWhenUsed/>
    <w:qFormat/>
    <w:uiPriority w:val="39"/>
    <w:pPr>
      <w:ind w:left="2940" w:leftChars="1400"/>
    </w:pPr>
    <w:rPr>
      <w:rFonts w:ascii="Calibri" w:hAnsi="Calibri" w:cs="黑体"/>
      <w:szCs w:val="22"/>
    </w:rPr>
  </w:style>
  <w:style w:type="paragraph" w:styleId="27">
    <w:name w:val="Date"/>
    <w:basedOn w:val="1"/>
    <w:next w:val="1"/>
    <w:link w:val="117"/>
    <w:autoRedefine/>
    <w:qFormat/>
    <w:uiPriority w:val="99"/>
    <w:rPr>
      <w:sz w:val="24"/>
      <w:szCs w:val="20"/>
    </w:rPr>
  </w:style>
  <w:style w:type="paragraph" w:styleId="28">
    <w:name w:val="Body Text Indent 2"/>
    <w:basedOn w:val="1"/>
    <w:link w:val="115"/>
    <w:autoRedefine/>
    <w:qFormat/>
    <w:uiPriority w:val="0"/>
    <w:pPr>
      <w:spacing w:after="120" w:line="480" w:lineRule="auto"/>
      <w:ind w:left="420" w:leftChars="200"/>
    </w:pPr>
  </w:style>
  <w:style w:type="paragraph" w:styleId="29">
    <w:name w:val="Balloon Text"/>
    <w:basedOn w:val="1"/>
    <w:link w:val="121"/>
    <w:autoRedefine/>
    <w:qFormat/>
    <w:uiPriority w:val="99"/>
    <w:rPr>
      <w:sz w:val="18"/>
      <w:szCs w:val="18"/>
    </w:rPr>
  </w:style>
  <w:style w:type="paragraph" w:styleId="30">
    <w:name w:val="footer"/>
    <w:basedOn w:val="1"/>
    <w:link w:val="107"/>
    <w:autoRedefine/>
    <w:qFormat/>
    <w:uiPriority w:val="0"/>
    <w:pPr>
      <w:tabs>
        <w:tab w:val="center" w:pos="4153"/>
        <w:tab w:val="right" w:pos="8306"/>
      </w:tabs>
      <w:snapToGrid w:val="0"/>
      <w:jc w:val="left"/>
    </w:pPr>
    <w:rPr>
      <w:sz w:val="18"/>
      <w:szCs w:val="18"/>
    </w:rPr>
  </w:style>
  <w:style w:type="paragraph" w:styleId="31">
    <w:name w:val="envelope return"/>
    <w:basedOn w:val="1"/>
    <w:unhideWhenUsed/>
    <w:qFormat/>
    <w:uiPriority w:val="99"/>
    <w:pPr>
      <w:kinsoku w:val="0"/>
      <w:autoSpaceDE w:val="0"/>
      <w:autoSpaceDN w:val="0"/>
      <w:adjustRightInd w:val="0"/>
      <w:snapToGrid w:val="0"/>
      <w:spacing w:line="240" w:lineRule="auto"/>
      <w:jc w:val="left"/>
      <w:textAlignment w:val="baseline"/>
    </w:pPr>
    <w:rPr>
      <w:rFonts w:hint="eastAsia" w:ascii="Arial" w:hAnsi="Arial" w:eastAsia="Arial" w:cs="Arial"/>
      <w:snapToGrid w:val="0"/>
      <w:color w:val="000000"/>
      <w:kern w:val="0"/>
      <w:sz w:val="21"/>
      <w:szCs w:val="21"/>
      <w:lang w:val="en-US" w:eastAsia="en-US" w:bidi="ar-SA"/>
    </w:rPr>
  </w:style>
  <w:style w:type="paragraph" w:styleId="32">
    <w:name w:val="header"/>
    <w:basedOn w:val="1"/>
    <w:link w:val="108"/>
    <w:autoRedefine/>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spacing w:line="360" w:lineRule="auto"/>
    </w:pPr>
    <w:rPr>
      <w:rFonts w:ascii="宋体" w:hAnsi="宋体"/>
      <w:b/>
      <w:sz w:val="24"/>
      <w:szCs w:val="21"/>
    </w:rPr>
  </w:style>
  <w:style w:type="paragraph" w:styleId="34">
    <w:name w:val="toc 4"/>
    <w:basedOn w:val="1"/>
    <w:next w:val="1"/>
    <w:autoRedefine/>
    <w:unhideWhenUsed/>
    <w:qFormat/>
    <w:uiPriority w:val="39"/>
    <w:pPr>
      <w:adjustRightInd w:val="0"/>
      <w:snapToGrid w:val="0"/>
      <w:spacing w:line="360" w:lineRule="auto"/>
      <w:ind w:left="600" w:leftChars="600"/>
    </w:pPr>
    <w:rPr>
      <w:rFonts w:ascii="Calibri" w:hAnsi="Calibri" w:cs="宋体"/>
      <w:b/>
      <w:szCs w:val="22"/>
    </w:rPr>
  </w:style>
  <w:style w:type="paragraph" w:styleId="35">
    <w:name w:val="toc 6"/>
    <w:basedOn w:val="1"/>
    <w:next w:val="1"/>
    <w:autoRedefine/>
    <w:qFormat/>
    <w:uiPriority w:val="39"/>
    <w:pPr>
      <w:ind w:left="2100"/>
    </w:pPr>
    <w:rPr>
      <w:szCs w:val="20"/>
    </w:rPr>
  </w:style>
  <w:style w:type="paragraph" w:styleId="36">
    <w:name w:val="Body Text Indent 3"/>
    <w:basedOn w:val="1"/>
    <w:link w:val="116"/>
    <w:autoRedefine/>
    <w:qFormat/>
    <w:uiPriority w:val="0"/>
    <w:pPr>
      <w:spacing w:after="120"/>
      <w:ind w:left="420" w:leftChars="200"/>
    </w:pPr>
    <w:rPr>
      <w:sz w:val="16"/>
      <w:szCs w:val="16"/>
    </w:rPr>
  </w:style>
  <w:style w:type="paragraph" w:styleId="37">
    <w:name w:val="toc 2"/>
    <w:basedOn w:val="1"/>
    <w:next w:val="1"/>
    <w:autoRedefine/>
    <w:unhideWhenUsed/>
    <w:qFormat/>
    <w:uiPriority w:val="39"/>
    <w:pPr>
      <w:spacing w:line="360" w:lineRule="auto"/>
      <w:ind w:left="200" w:leftChars="200"/>
    </w:pPr>
    <w:rPr>
      <w:b/>
    </w:rPr>
  </w:style>
  <w:style w:type="paragraph" w:styleId="38">
    <w:name w:val="toc 9"/>
    <w:basedOn w:val="1"/>
    <w:next w:val="1"/>
    <w:autoRedefine/>
    <w:unhideWhenUsed/>
    <w:qFormat/>
    <w:uiPriority w:val="39"/>
    <w:pPr>
      <w:ind w:left="3360" w:leftChars="1600"/>
    </w:pPr>
    <w:rPr>
      <w:rFonts w:ascii="Calibri" w:hAnsi="Calibri" w:cs="黑体"/>
      <w:szCs w:val="22"/>
    </w:rPr>
  </w:style>
  <w:style w:type="paragraph" w:styleId="39">
    <w:name w:val="Body Text 2"/>
    <w:basedOn w:val="1"/>
    <w:next w:val="19"/>
    <w:link w:val="114"/>
    <w:autoRedefine/>
    <w:qFormat/>
    <w:uiPriority w:val="99"/>
    <w:pPr>
      <w:spacing w:after="120" w:line="480" w:lineRule="auto"/>
    </w:pPr>
  </w:style>
  <w:style w:type="paragraph" w:styleId="40">
    <w:name w:val="HTML Preformatted"/>
    <w:basedOn w:val="1"/>
    <w:link w:val="112"/>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1">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autoRedefine/>
    <w:qFormat/>
    <w:uiPriority w:val="0"/>
    <w:pPr>
      <w:spacing w:line="220" w:lineRule="exact"/>
      <w:jc w:val="center"/>
    </w:pPr>
    <w:rPr>
      <w:rFonts w:ascii="仿宋_GB2312" w:eastAsia="仿宋_GB2312"/>
      <w:szCs w:val="20"/>
    </w:rPr>
  </w:style>
  <w:style w:type="paragraph" w:styleId="43">
    <w:name w:val="Title"/>
    <w:basedOn w:val="1"/>
    <w:next w:val="1"/>
    <w:link w:val="127"/>
    <w:autoRedefine/>
    <w:qFormat/>
    <w:uiPriority w:val="99"/>
    <w:pPr>
      <w:jc w:val="center"/>
      <w:outlineLvl w:val="0"/>
    </w:pPr>
    <w:rPr>
      <w:rFonts w:ascii="Calibri" w:hAnsi="Calibri" w:cs="黑体"/>
      <w:b/>
      <w:sz w:val="32"/>
      <w:szCs w:val="22"/>
    </w:rPr>
  </w:style>
  <w:style w:type="paragraph" w:styleId="44">
    <w:name w:val="Body Text First Indent"/>
    <w:basedOn w:val="19"/>
    <w:autoRedefine/>
    <w:qFormat/>
    <w:uiPriority w:val="0"/>
    <w:pPr>
      <w:adjustRightInd w:val="0"/>
      <w:ind w:firstLine="425"/>
      <w:textAlignment w:val="baseline"/>
    </w:pPr>
    <w:rPr>
      <w:kern w:val="0"/>
      <w:szCs w:val="20"/>
    </w:rPr>
  </w:style>
  <w:style w:type="paragraph" w:styleId="45">
    <w:name w:val="Body Text First Indent 2"/>
    <w:basedOn w:val="20"/>
    <w:next w:val="12"/>
    <w:link w:val="201"/>
    <w:autoRedefine/>
    <w:qFormat/>
    <w:uiPriority w:val="99"/>
    <w:pPr>
      <w:ind w:firstLine="420" w:firstLineChars="200"/>
    </w:pPr>
  </w:style>
  <w:style w:type="table" w:styleId="47">
    <w:name w:val="Table Grid"/>
    <w:basedOn w:val="4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autoRedefine/>
    <w:qFormat/>
    <w:uiPriority w:val="99"/>
    <w:rPr>
      <w:b/>
      <w:bCs/>
    </w:rPr>
  </w:style>
  <w:style w:type="character" w:styleId="50">
    <w:name w:val="page number"/>
    <w:basedOn w:val="48"/>
    <w:autoRedefine/>
    <w:qFormat/>
    <w:uiPriority w:val="99"/>
  </w:style>
  <w:style w:type="character" w:styleId="51">
    <w:name w:val="FollowedHyperlink"/>
    <w:basedOn w:val="48"/>
    <w:autoRedefine/>
    <w:qFormat/>
    <w:uiPriority w:val="99"/>
    <w:rPr>
      <w:color w:val="333333"/>
      <w:u w:val="none"/>
    </w:rPr>
  </w:style>
  <w:style w:type="character" w:styleId="52">
    <w:name w:val="Emphasis"/>
    <w:basedOn w:val="48"/>
    <w:autoRedefine/>
    <w:qFormat/>
    <w:uiPriority w:val="20"/>
  </w:style>
  <w:style w:type="character" w:styleId="53">
    <w:name w:val="HTML Definition"/>
    <w:basedOn w:val="48"/>
    <w:autoRedefine/>
    <w:semiHidden/>
    <w:unhideWhenUsed/>
    <w:qFormat/>
    <w:uiPriority w:val="0"/>
  </w:style>
  <w:style w:type="character" w:styleId="54">
    <w:name w:val="HTML Variable"/>
    <w:basedOn w:val="48"/>
    <w:autoRedefine/>
    <w:semiHidden/>
    <w:unhideWhenUsed/>
    <w:qFormat/>
    <w:uiPriority w:val="0"/>
  </w:style>
  <w:style w:type="character" w:styleId="55">
    <w:name w:val="Hyperlink"/>
    <w:basedOn w:val="48"/>
    <w:autoRedefine/>
    <w:qFormat/>
    <w:uiPriority w:val="99"/>
    <w:rPr>
      <w:color w:val="136EC2"/>
      <w:u w:val="single"/>
    </w:rPr>
  </w:style>
  <w:style w:type="character" w:styleId="56">
    <w:name w:val="HTML Code"/>
    <w:basedOn w:val="48"/>
    <w:autoRedefine/>
    <w:semiHidden/>
    <w:unhideWhenUsed/>
    <w:qFormat/>
    <w:uiPriority w:val="0"/>
    <w:rPr>
      <w:rFonts w:hint="default" w:ascii="Consolas" w:hAnsi="Consolas" w:eastAsia="Consolas" w:cs="Consolas"/>
      <w:color w:val="C7254E"/>
      <w:sz w:val="21"/>
      <w:szCs w:val="21"/>
      <w:shd w:val="clear" w:color="auto" w:fill="F9F2F4"/>
    </w:rPr>
  </w:style>
  <w:style w:type="character" w:styleId="57">
    <w:name w:val="annotation reference"/>
    <w:autoRedefine/>
    <w:qFormat/>
    <w:uiPriority w:val="99"/>
    <w:rPr>
      <w:sz w:val="21"/>
      <w:szCs w:val="21"/>
    </w:rPr>
  </w:style>
  <w:style w:type="character" w:styleId="58">
    <w:name w:val="HTML Cite"/>
    <w:basedOn w:val="48"/>
    <w:autoRedefine/>
    <w:semiHidden/>
    <w:unhideWhenUsed/>
    <w:qFormat/>
    <w:uiPriority w:val="0"/>
  </w:style>
  <w:style w:type="character" w:styleId="59">
    <w:name w:val="HTML Keyboard"/>
    <w:basedOn w:val="48"/>
    <w:autoRedefine/>
    <w:semiHidden/>
    <w:unhideWhenUsed/>
    <w:qFormat/>
    <w:uiPriority w:val="0"/>
    <w:rPr>
      <w:rFonts w:hint="default" w:ascii="Consolas" w:hAnsi="Consolas" w:eastAsia="Consolas" w:cs="Consolas"/>
      <w:color w:val="FFFFFF"/>
      <w:sz w:val="21"/>
      <w:szCs w:val="21"/>
      <w:shd w:val="clear" w:color="auto" w:fill="333333"/>
    </w:rPr>
  </w:style>
  <w:style w:type="character" w:styleId="60">
    <w:name w:val="HTML Sample"/>
    <w:basedOn w:val="48"/>
    <w:autoRedefine/>
    <w:semiHidden/>
    <w:unhideWhenUsed/>
    <w:qFormat/>
    <w:uiPriority w:val="0"/>
    <w:rPr>
      <w:rFonts w:ascii="Consolas" w:hAnsi="Consolas" w:eastAsia="Consolas" w:cs="Consolas"/>
      <w:sz w:val="21"/>
      <w:szCs w:val="21"/>
    </w:rPr>
  </w:style>
  <w:style w:type="paragraph" w:customStyle="1" w:styleId="61">
    <w:name w:val="正文1"/>
    <w:next w:val="62"/>
    <w:autoRedefine/>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62">
    <w:name w:val="脚注文本1"/>
    <w:basedOn w:val="61"/>
    <w:next w:val="63"/>
    <w:autoRedefine/>
    <w:qFormat/>
    <w:uiPriority w:val="0"/>
    <w:pPr>
      <w:jc w:val="left"/>
    </w:pPr>
    <w:rPr>
      <w:rFonts w:ascii="宋体" w:eastAsia="Times New Roman"/>
      <w:sz w:val="18"/>
      <w:szCs w:val="18"/>
    </w:rPr>
  </w:style>
  <w:style w:type="paragraph" w:customStyle="1" w:styleId="63">
    <w:name w:val="索引 51"/>
    <w:basedOn w:val="61"/>
    <w:next w:val="61"/>
    <w:autoRedefine/>
    <w:qFormat/>
    <w:uiPriority w:val="0"/>
    <w:pPr>
      <w:ind w:left="798"/>
      <w:jc w:val="left"/>
    </w:pPr>
    <w:rPr>
      <w:rFonts w:ascii="Calibri" w:hAnsi="Calibri"/>
    </w:rPr>
  </w:style>
  <w:style w:type="paragraph" w:customStyle="1" w:styleId="64">
    <w:name w:val="列出段落1"/>
    <w:basedOn w:val="61"/>
    <w:link w:val="126"/>
    <w:autoRedefine/>
    <w:qFormat/>
    <w:uiPriority w:val="99"/>
    <w:pPr>
      <w:ind w:firstLine="420" w:firstLineChars="200"/>
    </w:pPr>
  </w:style>
  <w:style w:type="paragraph" w:styleId="65">
    <w:name w:val="Intense Quote"/>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66">
    <w:name w:val="样式2"/>
    <w:basedOn w:val="67"/>
    <w:next w:val="1"/>
    <w:qFormat/>
    <w:uiPriority w:val="0"/>
    <w:pPr>
      <w:jc w:val="left"/>
    </w:pPr>
    <w:rPr>
      <w:rFonts w:ascii="Times New Roman" w:hAnsi="Times New Roman"/>
      <w:kern w:val="2"/>
      <w:sz w:val="28"/>
      <w:szCs w:val="21"/>
    </w:rPr>
  </w:style>
  <w:style w:type="paragraph" w:styleId="67">
    <w:name w:val="List Paragraph"/>
    <w:basedOn w:val="1"/>
    <w:autoRedefine/>
    <w:unhideWhenUsed/>
    <w:qFormat/>
    <w:uiPriority w:val="99"/>
    <w:pPr>
      <w:numPr>
        <w:ilvl w:val="0"/>
        <w:numId w:val="1"/>
      </w:numPr>
      <w:jc w:val="left"/>
    </w:pPr>
    <w:rPr>
      <w:rFonts w:ascii="宋体" w:hAnsi="宋体" w:cs="宋体"/>
      <w:b/>
      <w:bCs/>
      <w:szCs w:val="21"/>
    </w:rPr>
  </w:style>
  <w:style w:type="paragraph" w:customStyle="1" w:styleId="68">
    <w:name w:val="UserStyle_0"/>
    <w:basedOn w:val="1"/>
    <w:autoRedefine/>
    <w:qFormat/>
    <w:uiPriority w:val="0"/>
    <w:pPr>
      <w:ind w:firstLine="420" w:firstLineChars="200"/>
      <w:textAlignment w:val="baseline"/>
    </w:pPr>
    <w:rPr>
      <w:szCs w:val="22"/>
    </w:rPr>
  </w:style>
  <w:style w:type="paragraph" w:customStyle="1" w:styleId="69">
    <w:name w:val="页脚1"/>
    <w:basedOn w:val="1"/>
    <w:autoRedefine/>
    <w:qFormat/>
    <w:uiPriority w:val="0"/>
    <w:pPr>
      <w:tabs>
        <w:tab w:val="center" w:pos="4153"/>
        <w:tab w:val="right" w:pos="8306"/>
      </w:tabs>
      <w:snapToGrid w:val="0"/>
      <w:jc w:val="left"/>
    </w:pPr>
    <w:rPr>
      <w:sz w:val="18"/>
      <w:szCs w:val="18"/>
    </w:rPr>
  </w:style>
  <w:style w:type="paragraph" w:customStyle="1" w:styleId="70">
    <w:name w:val="正文_4"/>
    <w:next w:val="7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文本_4"/>
    <w:basedOn w:val="70"/>
    <w:autoRedefine/>
    <w:qFormat/>
    <w:uiPriority w:val="0"/>
    <w:pPr>
      <w:spacing w:after="120"/>
    </w:pPr>
  </w:style>
  <w:style w:type="paragraph" w:customStyle="1" w:styleId="72">
    <w:name w:val="表格内容"/>
    <w:basedOn w:val="19"/>
    <w:autoRedefine/>
    <w:qFormat/>
    <w:uiPriority w:val="0"/>
    <w:pPr>
      <w:suppressLineNumbers/>
      <w:suppressAutoHyphens/>
      <w:jc w:val="left"/>
    </w:pPr>
    <w:rPr>
      <w:rFonts w:cs="Tahoma"/>
      <w:kern w:val="0"/>
      <w:sz w:val="24"/>
    </w:rPr>
  </w:style>
  <w:style w:type="paragraph" w:customStyle="1" w:styleId="73">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74">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75">
    <w:name w:val="Char Char Char"/>
    <w:basedOn w:val="1"/>
    <w:autoRedefine/>
    <w:qFormat/>
    <w:uiPriority w:val="0"/>
    <w:rPr>
      <w:rFonts w:ascii="宋体" w:hAnsi="宋体"/>
      <w:b/>
      <w:sz w:val="28"/>
      <w:szCs w:val="28"/>
    </w:rPr>
  </w:style>
  <w:style w:type="paragraph" w:customStyle="1" w:styleId="76">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77">
    <w:name w:val="Char"/>
    <w:basedOn w:val="1"/>
    <w:autoRedefine/>
    <w:qFormat/>
    <w:uiPriority w:val="0"/>
    <w:pPr>
      <w:tabs>
        <w:tab w:val="left" w:pos="360"/>
      </w:tabs>
      <w:ind w:left="360" w:hanging="360" w:hangingChars="200"/>
    </w:pPr>
    <w:rPr>
      <w:sz w:val="24"/>
    </w:rPr>
  </w:style>
  <w:style w:type="paragraph" w:customStyle="1" w:styleId="78">
    <w:name w:val="样式1"/>
    <w:basedOn w:val="1"/>
    <w:link w:val="129"/>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79">
    <w:name w:val="p0"/>
    <w:basedOn w:val="1"/>
    <w:link w:val="118"/>
    <w:autoRedefine/>
    <w:qFormat/>
    <w:uiPriority w:val="0"/>
    <w:pPr>
      <w:widowControl/>
    </w:pPr>
    <w:rPr>
      <w:rFonts w:ascii="Calibri" w:hAnsi="Calibri" w:cs="黑体"/>
      <w:szCs w:val="21"/>
    </w:rPr>
  </w:style>
  <w:style w:type="paragraph" w:customStyle="1" w:styleId="80">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1">
    <w:name w:val="Char Char1 Char Char Char Char Char1 Char Char Char Char"/>
    <w:basedOn w:val="15"/>
    <w:autoRedefine/>
    <w:qFormat/>
    <w:uiPriority w:val="0"/>
    <w:rPr>
      <w:rFonts w:ascii="Tahoma" w:hAnsi="Tahoma"/>
    </w:rPr>
  </w:style>
  <w:style w:type="paragraph" w:customStyle="1" w:styleId="8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83">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84">
    <w:name w:val="1"/>
    <w:basedOn w:val="1"/>
    <w:autoRedefine/>
    <w:qFormat/>
    <w:uiPriority w:val="0"/>
    <w:pPr>
      <w:spacing w:afterLines="50" w:line="360" w:lineRule="auto"/>
    </w:pPr>
    <w:rPr>
      <w:rFonts w:ascii="宋体" w:hAnsi="宋体"/>
      <w:b/>
      <w:sz w:val="30"/>
      <w:szCs w:val="21"/>
    </w:rPr>
  </w:style>
  <w:style w:type="paragraph" w:customStyle="1" w:styleId="85">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86">
    <w:name w:val="标题 1 +"/>
    <w:basedOn w:val="2"/>
    <w:next w:val="1"/>
    <w:autoRedefine/>
    <w:qFormat/>
    <w:uiPriority w:val="0"/>
    <w:pPr>
      <w:keepLines/>
      <w:spacing w:line="600" w:lineRule="auto"/>
    </w:pPr>
    <w:rPr>
      <w:rFonts w:eastAsia="黑体"/>
      <w:kern w:val="0"/>
      <w:sz w:val="32"/>
      <w:szCs w:val="32"/>
    </w:rPr>
  </w:style>
  <w:style w:type="paragraph" w:customStyle="1" w:styleId="87">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88">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89">
    <w:name w:val="Char1 Char Char Char 字元 Char Char 字元 Char 字元 Char1 Char Char Char"/>
    <w:basedOn w:val="1"/>
    <w:autoRedefine/>
    <w:qFormat/>
    <w:uiPriority w:val="0"/>
    <w:rPr>
      <w:szCs w:val="20"/>
    </w:rPr>
  </w:style>
  <w:style w:type="paragraph" w:customStyle="1" w:styleId="90">
    <w:name w:val="p16"/>
    <w:basedOn w:val="1"/>
    <w:autoRedefine/>
    <w:qFormat/>
    <w:uiPriority w:val="0"/>
    <w:pPr>
      <w:widowControl/>
      <w:jc w:val="left"/>
    </w:pPr>
    <w:rPr>
      <w:kern w:val="0"/>
      <w:szCs w:val="21"/>
    </w:rPr>
  </w:style>
  <w:style w:type="paragraph" w:customStyle="1" w:styleId="91">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93">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4">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95">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96">
    <w:name w:val="TOC 标题1"/>
    <w:basedOn w:val="2"/>
    <w:next w:val="1"/>
    <w:autoRedefine/>
    <w:unhideWhenUsed/>
    <w:qFormat/>
    <w:uiPriority w:val="39"/>
    <w:pPr>
      <w:keepLines/>
      <w:widowControl/>
      <w:spacing w:before="480" w:line="276" w:lineRule="auto"/>
      <w:jc w:val="left"/>
      <w:outlineLvl w:val="9"/>
    </w:pPr>
    <w:rPr>
      <w:rFonts w:ascii="Cambria" w:hAnsi="Cambria" w:cs="黑体"/>
      <w:color w:val="365F90"/>
      <w:kern w:val="0"/>
      <w:sz w:val="28"/>
      <w:szCs w:val="28"/>
    </w:rPr>
  </w:style>
  <w:style w:type="character" w:customStyle="1" w:styleId="97">
    <w:name w:val="标题 1 字符1"/>
    <w:link w:val="2"/>
    <w:autoRedefine/>
    <w:qFormat/>
    <w:uiPriority w:val="99"/>
    <w:rPr>
      <w:rFonts w:ascii="Times New Roman" w:hAnsi="Times New Roman" w:eastAsia="宋体" w:cs="Times New Roman"/>
      <w:b/>
      <w:bCs/>
      <w:sz w:val="24"/>
      <w:szCs w:val="20"/>
    </w:rPr>
  </w:style>
  <w:style w:type="character" w:customStyle="1" w:styleId="98">
    <w:name w:val="标题 2 字符1"/>
    <w:link w:val="3"/>
    <w:autoRedefine/>
    <w:qFormat/>
    <w:uiPriority w:val="0"/>
    <w:rPr>
      <w:rFonts w:ascii="Arial" w:hAnsi="Arial" w:eastAsia="宋体" w:cs="Times New Roman"/>
      <w:b/>
      <w:bCs/>
      <w:sz w:val="24"/>
      <w:szCs w:val="32"/>
    </w:rPr>
  </w:style>
  <w:style w:type="character" w:customStyle="1" w:styleId="99">
    <w:name w:val="标题 3 字符"/>
    <w:link w:val="4"/>
    <w:autoRedefine/>
    <w:qFormat/>
    <w:uiPriority w:val="99"/>
    <w:rPr>
      <w:rFonts w:ascii="Times New Roman" w:hAnsi="Times New Roman" w:eastAsia="宋体" w:cs="Times New Roman"/>
      <w:b/>
      <w:bCs/>
      <w:sz w:val="32"/>
      <w:szCs w:val="32"/>
    </w:rPr>
  </w:style>
  <w:style w:type="character" w:customStyle="1" w:styleId="100">
    <w:name w:val="标题 4 字符"/>
    <w:link w:val="5"/>
    <w:autoRedefine/>
    <w:qFormat/>
    <w:uiPriority w:val="99"/>
    <w:rPr>
      <w:rFonts w:ascii="Arial" w:hAnsi="Arial" w:eastAsia="宋体" w:cs="Times New Roman"/>
      <w:b/>
      <w:bCs/>
      <w:sz w:val="28"/>
      <w:szCs w:val="28"/>
    </w:rPr>
  </w:style>
  <w:style w:type="character" w:customStyle="1" w:styleId="101">
    <w:name w:val="标题 5 字符"/>
    <w:link w:val="6"/>
    <w:autoRedefine/>
    <w:qFormat/>
    <w:uiPriority w:val="99"/>
    <w:rPr>
      <w:rFonts w:ascii="Times New Roman" w:hAnsi="Times New Roman" w:eastAsia="宋体" w:cs="Times New Roman"/>
      <w:b/>
      <w:bCs/>
      <w:kern w:val="0"/>
      <w:sz w:val="28"/>
      <w:szCs w:val="28"/>
    </w:rPr>
  </w:style>
  <w:style w:type="character" w:customStyle="1" w:styleId="102">
    <w:name w:val="标题 6 字符"/>
    <w:link w:val="7"/>
    <w:autoRedefine/>
    <w:qFormat/>
    <w:uiPriority w:val="99"/>
    <w:rPr>
      <w:rFonts w:ascii="Arial" w:hAnsi="Arial" w:eastAsia="黑体" w:cs="Times New Roman"/>
      <w:b/>
      <w:bCs/>
      <w:kern w:val="0"/>
      <w:sz w:val="24"/>
      <w:szCs w:val="24"/>
    </w:rPr>
  </w:style>
  <w:style w:type="character" w:customStyle="1" w:styleId="103">
    <w:name w:val="标题 7 字符"/>
    <w:link w:val="8"/>
    <w:autoRedefine/>
    <w:qFormat/>
    <w:uiPriority w:val="99"/>
    <w:rPr>
      <w:rFonts w:ascii="Times New Roman" w:hAnsi="Times New Roman" w:eastAsia="宋体" w:cs="Times New Roman"/>
      <w:b/>
      <w:bCs/>
      <w:kern w:val="0"/>
      <w:sz w:val="24"/>
      <w:szCs w:val="24"/>
    </w:rPr>
  </w:style>
  <w:style w:type="character" w:customStyle="1" w:styleId="104">
    <w:name w:val="标题 8 字符"/>
    <w:link w:val="9"/>
    <w:autoRedefine/>
    <w:qFormat/>
    <w:uiPriority w:val="99"/>
    <w:rPr>
      <w:rFonts w:ascii="Arial" w:hAnsi="Arial" w:eastAsia="黑体" w:cs="Times New Roman"/>
      <w:kern w:val="0"/>
      <w:sz w:val="24"/>
      <w:szCs w:val="24"/>
    </w:rPr>
  </w:style>
  <w:style w:type="character" w:customStyle="1" w:styleId="105">
    <w:name w:val="标题 9 字符"/>
    <w:link w:val="10"/>
    <w:autoRedefine/>
    <w:qFormat/>
    <w:uiPriority w:val="99"/>
    <w:rPr>
      <w:rFonts w:ascii="Arial" w:hAnsi="Arial" w:eastAsia="黑体" w:cs="Times New Roman"/>
      <w:kern w:val="0"/>
      <w:szCs w:val="21"/>
    </w:rPr>
  </w:style>
  <w:style w:type="character" w:customStyle="1" w:styleId="106">
    <w:name w:val="正文文本 字符"/>
    <w:link w:val="19"/>
    <w:autoRedefine/>
    <w:qFormat/>
    <w:uiPriority w:val="99"/>
    <w:rPr>
      <w:rFonts w:ascii="Times New Roman" w:hAnsi="Times New Roman" w:eastAsia="宋体" w:cs="Times New Roman"/>
      <w:szCs w:val="24"/>
    </w:rPr>
  </w:style>
  <w:style w:type="character" w:customStyle="1" w:styleId="107">
    <w:name w:val="页脚 字符1"/>
    <w:link w:val="30"/>
    <w:autoRedefine/>
    <w:qFormat/>
    <w:uiPriority w:val="0"/>
    <w:rPr>
      <w:rFonts w:ascii="Times New Roman" w:hAnsi="Times New Roman" w:eastAsia="宋体" w:cs="Times New Roman"/>
      <w:sz w:val="18"/>
      <w:szCs w:val="18"/>
    </w:rPr>
  </w:style>
  <w:style w:type="character" w:customStyle="1" w:styleId="108">
    <w:name w:val="页眉 字符1"/>
    <w:link w:val="32"/>
    <w:autoRedefine/>
    <w:qFormat/>
    <w:uiPriority w:val="0"/>
    <w:rPr>
      <w:rFonts w:ascii="Times New Roman" w:hAnsi="Times New Roman" w:eastAsia="宋体" w:cs="Times New Roman"/>
      <w:sz w:val="18"/>
      <w:szCs w:val="18"/>
    </w:rPr>
  </w:style>
  <w:style w:type="character" w:customStyle="1" w:styleId="109">
    <w:name w:val="正文文本缩进 字符"/>
    <w:link w:val="20"/>
    <w:autoRedefine/>
    <w:qFormat/>
    <w:uiPriority w:val="99"/>
    <w:rPr>
      <w:rFonts w:ascii="Times New Roman" w:hAnsi="Times New Roman" w:eastAsia="宋体" w:cs="Times New Roman"/>
      <w:szCs w:val="24"/>
    </w:rPr>
  </w:style>
  <w:style w:type="character" w:customStyle="1" w:styleId="110">
    <w:name w:val="纯文本 字符"/>
    <w:link w:val="25"/>
    <w:autoRedefine/>
    <w:qFormat/>
    <w:uiPriority w:val="0"/>
    <w:rPr>
      <w:rFonts w:ascii="宋体" w:hAnsi="Courier New" w:eastAsia="宋体" w:cs="Courier New"/>
      <w:szCs w:val="21"/>
    </w:rPr>
  </w:style>
  <w:style w:type="character" w:customStyle="1" w:styleId="111">
    <w:name w:val="批注文字 字符1"/>
    <w:link w:val="17"/>
    <w:autoRedefine/>
    <w:semiHidden/>
    <w:qFormat/>
    <w:uiPriority w:val="99"/>
    <w:rPr>
      <w:rFonts w:ascii="Times New Roman" w:hAnsi="Times New Roman" w:eastAsia="宋体" w:cs="Times New Roman"/>
      <w:szCs w:val="24"/>
    </w:rPr>
  </w:style>
  <w:style w:type="character" w:customStyle="1" w:styleId="112">
    <w:name w:val="HTML 预设格式 字符"/>
    <w:link w:val="40"/>
    <w:autoRedefine/>
    <w:qFormat/>
    <w:uiPriority w:val="99"/>
    <w:rPr>
      <w:rFonts w:ascii="Arial" w:hAnsi="Arial" w:eastAsia="宋体" w:cs="Arial"/>
      <w:kern w:val="0"/>
      <w:sz w:val="24"/>
      <w:szCs w:val="24"/>
    </w:rPr>
  </w:style>
  <w:style w:type="character" w:customStyle="1" w:styleId="113">
    <w:name w:val="称呼 字符"/>
    <w:link w:val="18"/>
    <w:autoRedefine/>
    <w:qFormat/>
    <w:uiPriority w:val="0"/>
    <w:rPr>
      <w:rFonts w:ascii="仿宋_GB2312" w:hAnsi="Times New Roman" w:eastAsia="仿宋_GB2312" w:cs="Times New Roman"/>
      <w:sz w:val="24"/>
      <w:szCs w:val="24"/>
    </w:rPr>
  </w:style>
  <w:style w:type="character" w:customStyle="1" w:styleId="114">
    <w:name w:val="正文文本 2 字符"/>
    <w:link w:val="39"/>
    <w:autoRedefine/>
    <w:qFormat/>
    <w:uiPriority w:val="99"/>
    <w:rPr>
      <w:rFonts w:ascii="Times New Roman" w:hAnsi="Times New Roman" w:eastAsia="宋体" w:cs="Times New Roman"/>
      <w:szCs w:val="24"/>
    </w:rPr>
  </w:style>
  <w:style w:type="character" w:customStyle="1" w:styleId="115">
    <w:name w:val="正文文本缩进 2 字符"/>
    <w:link w:val="28"/>
    <w:autoRedefine/>
    <w:qFormat/>
    <w:uiPriority w:val="0"/>
    <w:rPr>
      <w:rFonts w:ascii="Times New Roman" w:hAnsi="Times New Roman" w:eastAsia="宋体" w:cs="Times New Roman"/>
      <w:szCs w:val="24"/>
    </w:rPr>
  </w:style>
  <w:style w:type="character" w:customStyle="1" w:styleId="116">
    <w:name w:val="正文文本缩进 3 字符"/>
    <w:link w:val="36"/>
    <w:autoRedefine/>
    <w:qFormat/>
    <w:uiPriority w:val="0"/>
    <w:rPr>
      <w:rFonts w:ascii="Times New Roman" w:hAnsi="Times New Roman" w:eastAsia="宋体" w:cs="Times New Roman"/>
      <w:sz w:val="16"/>
      <w:szCs w:val="16"/>
    </w:rPr>
  </w:style>
  <w:style w:type="character" w:customStyle="1" w:styleId="117">
    <w:name w:val="日期 字符"/>
    <w:link w:val="27"/>
    <w:autoRedefine/>
    <w:qFormat/>
    <w:uiPriority w:val="99"/>
    <w:rPr>
      <w:rFonts w:ascii="Times New Roman" w:hAnsi="Times New Roman" w:eastAsia="宋体" w:cs="Times New Roman"/>
      <w:sz w:val="24"/>
      <w:szCs w:val="20"/>
    </w:rPr>
  </w:style>
  <w:style w:type="character" w:customStyle="1" w:styleId="118">
    <w:name w:val="p0 Char"/>
    <w:link w:val="79"/>
    <w:autoRedefine/>
    <w:qFormat/>
    <w:uiPriority w:val="0"/>
    <w:rPr>
      <w:rFonts w:eastAsia="宋体"/>
      <w:szCs w:val="21"/>
    </w:rPr>
  </w:style>
  <w:style w:type="character" w:customStyle="1" w:styleId="119">
    <w:name w:val="文档结构图 字符"/>
    <w:link w:val="15"/>
    <w:autoRedefine/>
    <w:semiHidden/>
    <w:qFormat/>
    <w:uiPriority w:val="99"/>
    <w:rPr>
      <w:rFonts w:ascii="Times New Roman" w:hAnsi="Times New Roman" w:eastAsia="宋体" w:cs="Times New Roman"/>
      <w:szCs w:val="24"/>
      <w:shd w:val="clear" w:color="auto" w:fill="000080"/>
    </w:rPr>
  </w:style>
  <w:style w:type="character" w:customStyle="1" w:styleId="120">
    <w:name w:val="批注主题 字符"/>
    <w:link w:val="21"/>
    <w:autoRedefine/>
    <w:qFormat/>
    <w:uiPriority w:val="99"/>
    <w:rPr>
      <w:rFonts w:ascii="Times New Roman" w:hAnsi="Times New Roman" w:eastAsia="宋体" w:cs="Times New Roman"/>
      <w:b/>
      <w:bCs/>
      <w:szCs w:val="24"/>
    </w:rPr>
  </w:style>
  <w:style w:type="character" w:customStyle="1" w:styleId="121">
    <w:name w:val="批注框文本 字符"/>
    <w:link w:val="29"/>
    <w:autoRedefine/>
    <w:qFormat/>
    <w:uiPriority w:val="99"/>
    <w:rPr>
      <w:rFonts w:ascii="Times New Roman" w:hAnsi="Times New Roman" w:eastAsia="宋体" w:cs="Times New Roman"/>
      <w:sz w:val="18"/>
      <w:szCs w:val="18"/>
    </w:rPr>
  </w:style>
  <w:style w:type="character" w:customStyle="1" w:styleId="122">
    <w:name w:val="fontstyle01"/>
    <w:autoRedefine/>
    <w:qFormat/>
    <w:uiPriority w:val="0"/>
    <w:rPr>
      <w:rFonts w:hint="eastAsia" w:ascii="宋体" w:hAnsi="宋体" w:eastAsia="宋体"/>
      <w:color w:val="000000"/>
      <w:sz w:val="24"/>
      <w:szCs w:val="24"/>
    </w:rPr>
  </w:style>
  <w:style w:type="character" w:customStyle="1" w:styleId="123">
    <w:name w:val="fontstyle11"/>
    <w:autoRedefine/>
    <w:qFormat/>
    <w:uiPriority w:val="0"/>
    <w:rPr>
      <w:rFonts w:hint="default" w:ascii="TimesNewRomanPSMT" w:hAnsi="TimesNewRomanPSMT"/>
      <w:color w:val="000000"/>
      <w:sz w:val="24"/>
      <w:szCs w:val="24"/>
    </w:rPr>
  </w:style>
  <w:style w:type="character" w:customStyle="1" w:styleId="124">
    <w:name w:val="fontstyle21"/>
    <w:autoRedefine/>
    <w:qFormat/>
    <w:uiPriority w:val="0"/>
    <w:rPr>
      <w:rFonts w:hint="eastAsia" w:ascii="宋体" w:hAnsi="宋体" w:eastAsia="宋体"/>
      <w:color w:val="993300"/>
      <w:sz w:val="24"/>
      <w:szCs w:val="24"/>
    </w:rPr>
  </w:style>
  <w:style w:type="character" w:customStyle="1" w:styleId="125">
    <w:name w:val="fontstyle31"/>
    <w:autoRedefine/>
    <w:qFormat/>
    <w:uiPriority w:val="0"/>
    <w:rPr>
      <w:rFonts w:hint="default" w:ascii="Arial" w:hAnsi="Arial" w:cs="Arial"/>
      <w:color w:val="993300"/>
      <w:sz w:val="24"/>
      <w:szCs w:val="24"/>
    </w:rPr>
  </w:style>
  <w:style w:type="character" w:customStyle="1" w:styleId="126">
    <w:name w:val="列出段落 Char"/>
    <w:link w:val="64"/>
    <w:autoRedefine/>
    <w:qFormat/>
    <w:uiPriority w:val="99"/>
    <w:rPr>
      <w:rFonts w:ascii="Times New Roman" w:hAnsi="Times New Roman" w:eastAsia="宋体" w:cs="Times New Roman"/>
      <w:szCs w:val="24"/>
    </w:rPr>
  </w:style>
  <w:style w:type="character" w:customStyle="1" w:styleId="127">
    <w:name w:val="标题 字符"/>
    <w:link w:val="43"/>
    <w:autoRedefine/>
    <w:qFormat/>
    <w:uiPriority w:val="99"/>
    <w:rPr>
      <w:b/>
      <w:sz w:val="32"/>
    </w:rPr>
  </w:style>
  <w:style w:type="character" w:customStyle="1" w:styleId="128">
    <w:name w:val="标题 Char1"/>
    <w:autoRedefine/>
    <w:qFormat/>
    <w:uiPriority w:val="10"/>
    <w:rPr>
      <w:rFonts w:ascii="Cambria" w:hAnsi="Cambria" w:eastAsia="宋体" w:cs="黑体"/>
      <w:b/>
      <w:bCs/>
      <w:sz w:val="32"/>
      <w:szCs w:val="32"/>
    </w:rPr>
  </w:style>
  <w:style w:type="character" w:customStyle="1" w:styleId="129">
    <w:name w:val="样式1 Char Char"/>
    <w:link w:val="78"/>
    <w:autoRedefine/>
    <w:qFormat/>
    <w:uiPriority w:val="0"/>
    <w:rPr>
      <w:rFonts w:ascii="宋体" w:hAnsi="宋体" w:eastAsia="宋体" w:cs="Times New Roman"/>
      <w:kern w:val="0"/>
      <w:szCs w:val="21"/>
    </w:rPr>
  </w:style>
  <w:style w:type="character" w:customStyle="1" w:styleId="130">
    <w:name w:val="font21"/>
    <w:basedOn w:val="48"/>
    <w:autoRedefine/>
    <w:qFormat/>
    <w:uiPriority w:val="99"/>
    <w:rPr>
      <w:rFonts w:hint="eastAsia" w:ascii="宋体" w:hAnsi="宋体" w:eastAsia="宋体" w:cs="宋体"/>
      <w:color w:val="000000"/>
      <w:sz w:val="22"/>
      <w:szCs w:val="22"/>
      <w:u w:val="none"/>
    </w:rPr>
  </w:style>
  <w:style w:type="character" w:customStyle="1" w:styleId="131">
    <w:name w:val="NormalCharacter"/>
    <w:link w:val="132"/>
    <w:autoRedefine/>
    <w:semiHidden/>
    <w:qFormat/>
    <w:uiPriority w:val="99"/>
    <w:rPr>
      <w:rFonts w:ascii="Times New Roman" w:hAnsi="Times New Roman" w:eastAsia="宋体" w:cs="Times New Roman"/>
      <w:kern w:val="2"/>
      <w:sz w:val="21"/>
      <w:szCs w:val="24"/>
      <w:lang w:val="en-US" w:eastAsia="zh-CN" w:bidi="ar-SA"/>
    </w:rPr>
  </w:style>
  <w:style w:type="paragraph" w:customStyle="1" w:styleId="132">
    <w:name w:val="UserStyle_1"/>
    <w:basedOn w:val="1"/>
    <w:link w:val="131"/>
    <w:autoRedefine/>
    <w:qFormat/>
    <w:uiPriority w:val="99"/>
    <w:pPr>
      <w:widowControl/>
      <w:snapToGrid w:val="0"/>
      <w:spacing w:line="360" w:lineRule="auto"/>
      <w:ind w:firstLine="200" w:firstLineChars="200"/>
      <w:textAlignment w:val="baseline"/>
    </w:pPr>
    <w:rPr>
      <w:kern w:val="0"/>
      <w:sz w:val="20"/>
      <w:szCs w:val="20"/>
    </w:rPr>
  </w:style>
  <w:style w:type="character" w:customStyle="1" w:styleId="133">
    <w:name w:val="DMT-正文样式1 字符"/>
    <w:link w:val="134"/>
    <w:autoRedefine/>
    <w:qFormat/>
    <w:uiPriority w:val="0"/>
    <w:rPr>
      <w:sz w:val="28"/>
    </w:rPr>
  </w:style>
  <w:style w:type="paragraph" w:customStyle="1" w:styleId="134">
    <w:name w:val="DMT-正文样式1"/>
    <w:basedOn w:val="1"/>
    <w:link w:val="133"/>
    <w:autoRedefine/>
    <w:qFormat/>
    <w:uiPriority w:val="0"/>
    <w:pPr>
      <w:spacing w:beforeLines="50" w:afterLines="50" w:line="360" w:lineRule="auto"/>
      <w:ind w:firstLine="200" w:firstLineChars="200"/>
    </w:pPr>
    <w:rPr>
      <w:kern w:val="0"/>
      <w:sz w:val="28"/>
      <w:szCs w:val="20"/>
    </w:rPr>
  </w:style>
  <w:style w:type="paragraph" w:customStyle="1" w:styleId="135">
    <w:name w:val="样式 标题 1正文一级标题H1L1 Heading 1h11st levelh111st level1headi..."/>
    <w:basedOn w:val="2"/>
    <w:autoRedefine/>
    <w:qFormat/>
    <w:uiPriority w:val="0"/>
    <w:pPr>
      <w:keepLines/>
      <w:numPr>
        <w:ilvl w:val="0"/>
        <w:numId w:val="2"/>
      </w:numPr>
      <w:spacing w:before="340" w:after="330" w:line="360" w:lineRule="auto"/>
      <w:jc w:val="both"/>
    </w:pPr>
    <w:rPr>
      <w:rFonts w:eastAsia="黑体" w:cs="宋体"/>
      <w:kern w:val="44"/>
      <w:sz w:val="44"/>
    </w:rPr>
  </w:style>
  <w:style w:type="paragraph" w:customStyle="1" w:styleId="136">
    <w:name w:val="列出段落2"/>
    <w:basedOn w:val="1"/>
    <w:autoRedefine/>
    <w:qFormat/>
    <w:uiPriority w:val="99"/>
    <w:pPr>
      <w:ind w:firstLine="420" w:firstLineChars="200"/>
    </w:pPr>
    <w:rPr>
      <w:rFonts w:ascii="Arial" w:hAnsi="Arial" w:eastAsia="微软雅黑"/>
      <w:szCs w:val="22"/>
    </w:rPr>
  </w:style>
  <w:style w:type="table" w:customStyle="1" w:styleId="137">
    <w:name w:val="网格型1"/>
    <w:basedOn w:val="4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8">
    <w:name w:val="正文缩进 字符"/>
    <w:link w:val="12"/>
    <w:autoRedefine/>
    <w:qFormat/>
    <w:uiPriority w:val="0"/>
  </w:style>
  <w:style w:type="character" w:customStyle="1" w:styleId="139">
    <w:name w:val="题注 字符"/>
    <w:link w:val="14"/>
    <w:autoRedefine/>
    <w:qFormat/>
    <w:uiPriority w:val="0"/>
    <w:rPr>
      <w:rFonts w:ascii="Arial" w:hAnsi="Arial" w:cs="Arial"/>
      <w:b/>
      <w:sz w:val="24"/>
    </w:rPr>
  </w:style>
  <w:style w:type="character" w:customStyle="1" w:styleId="140">
    <w:name w:val="标题 2 Char1"/>
    <w:autoRedefine/>
    <w:qFormat/>
    <w:uiPriority w:val="9"/>
    <w:rPr>
      <w:rFonts w:ascii="Cambria" w:hAnsi="Cambria"/>
      <w:b/>
      <w:bCs/>
      <w:sz w:val="32"/>
      <w:szCs w:val="32"/>
      <w:lang w:bidi="ar-SA"/>
    </w:rPr>
  </w:style>
  <w:style w:type="character" w:customStyle="1" w:styleId="141">
    <w:name w:val="表格 Char Char"/>
    <w:link w:val="142"/>
    <w:autoRedefine/>
    <w:qFormat/>
    <w:uiPriority w:val="0"/>
  </w:style>
  <w:style w:type="paragraph" w:customStyle="1" w:styleId="142">
    <w:name w:val="表格"/>
    <w:basedOn w:val="1"/>
    <w:link w:val="141"/>
    <w:autoRedefine/>
    <w:qFormat/>
    <w:uiPriority w:val="0"/>
    <w:pPr>
      <w:adjustRightInd w:val="0"/>
      <w:spacing w:line="360" w:lineRule="atLeast"/>
      <w:textAlignment w:val="baseline"/>
    </w:pPr>
    <w:rPr>
      <w:kern w:val="0"/>
      <w:sz w:val="20"/>
      <w:szCs w:val="20"/>
    </w:rPr>
  </w:style>
  <w:style w:type="table" w:customStyle="1" w:styleId="143">
    <w:name w:val="网格型2"/>
    <w:basedOn w:val="4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4">
    <w:name w:val="网格型3"/>
    <w:basedOn w:val="4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网格型4"/>
    <w:basedOn w:val="4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
    <w:name w:val="网格型5"/>
    <w:basedOn w:val="4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7">
    <w:name w:val="列出段落11"/>
    <w:basedOn w:val="1"/>
    <w:autoRedefine/>
    <w:qFormat/>
    <w:uiPriority w:val="34"/>
    <w:pPr>
      <w:ind w:firstLine="420" w:firstLineChars="200"/>
    </w:pPr>
  </w:style>
  <w:style w:type="paragraph" w:customStyle="1" w:styleId="148">
    <w:name w:val="font5"/>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149">
    <w:name w:val="xl69"/>
    <w:basedOn w:val="1"/>
    <w:autoRedefine/>
    <w:qFormat/>
    <w:uiPriority w:val="0"/>
    <w:pPr>
      <w:widowControl/>
      <w:spacing w:before="100" w:beforeAutospacing="1" w:after="100" w:afterAutospacing="1"/>
      <w:jc w:val="center"/>
    </w:pPr>
    <w:rPr>
      <w:rFonts w:ascii="宋体" w:hAnsi="宋体" w:cs="宋体"/>
      <w:b/>
      <w:bCs/>
      <w:kern w:val="0"/>
      <w:sz w:val="24"/>
    </w:rPr>
  </w:style>
  <w:style w:type="paragraph" w:customStyle="1" w:styleId="150">
    <w:name w:val="xl70"/>
    <w:basedOn w:val="1"/>
    <w:autoRedefine/>
    <w:qFormat/>
    <w:uiPriority w:val="0"/>
    <w:pPr>
      <w:widowControl/>
      <w:spacing w:before="100" w:beforeAutospacing="1" w:after="100" w:afterAutospacing="1"/>
      <w:jc w:val="center"/>
    </w:pPr>
    <w:rPr>
      <w:rFonts w:ascii="宋体" w:hAnsi="宋体" w:cs="宋体"/>
      <w:kern w:val="0"/>
      <w:sz w:val="20"/>
      <w:szCs w:val="20"/>
    </w:rPr>
  </w:style>
  <w:style w:type="paragraph" w:customStyle="1" w:styleId="151">
    <w:name w:val="xl7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2">
    <w:name w:val="xl72"/>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53">
    <w:name w:val="xl73"/>
    <w:basedOn w:val="1"/>
    <w:autoRedefine/>
    <w:qFormat/>
    <w:uiPriority w:val="0"/>
    <w:pPr>
      <w:widowControl/>
      <w:spacing w:before="100" w:beforeAutospacing="1" w:after="100" w:afterAutospacing="1"/>
      <w:jc w:val="center"/>
    </w:pPr>
    <w:rPr>
      <w:rFonts w:ascii="宋体" w:hAnsi="宋体" w:cs="宋体"/>
      <w:kern w:val="0"/>
      <w:sz w:val="22"/>
      <w:szCs w:val="22"/>
    </w:rPr>
  </w:style>
  <w:style w:type="paragraph" w:customStyle="1" w:styleId="154">
    <w:name w:val="xl74"/>
    <w:basedOn w:val="1"/>
    <w:autoRedefine/>
    <w:qFormat/>
    <w:uiPriority w:val="0"/>
    <w:pPr>
      <w:widowControl/>
      <w:spacing w:before="100" w:beforeAutospacing="1" w:after="100" w:afterAutospacing="1"/>
      <w:jc w:val="left"/>
    </w:pPr>
    <w:rPr>
      <w:rFonts w:ascii="宋体" w:hAnsi="宋体" w:cs="宋体"/>
      <w:kern w:val="0"/>
      <w:sz w:val="22"/>
      <w:szCs w:val="22"/>
    </w:rPr>
  </w:style>
  <w:style w:type="paragraph" w:customStyle="1" w:styleId="155">
    <w:name w:val="xl75"/>
    <w:basedOn w:val="1"/>
    <w:autoRedefine/>
    <w:qFormat/>
    <w:uiPriority w:val="0"/>
    <w:pPr>
      <w:widowControl/>
      <w:spacing w:before="100" w:beforeAutospacing="1" w:after="100" w:afterAutospacing="1"/>
      <w:jc w:val="left"/>
    </w:pPr>
    <w:rPr>
      <w:rFonts w:ascii="宋体" w:hAnsi="宋体" w:cs="宋体"/>
      <w:kern w:val="0"/>
      <w:sz w:val="22"/>
      <w:szCs w:val="22"/>
    </w:rPr>
  </w:style>
  <w:style w:type="paragraph" w:customStyle="1" w:styleId="156">
    <w:name w:val="xl76"/>
    <w:basedOn w:val="1"/>
    <w:autoRedefine/>
    <w:qFormat/>
    <w:uiPriority w:val="0"/>
    <w:pPr>
      <w:widowControl/>
      <w:spacing w:before="100" w:beforeAutospacing="1" w:after="100" w:afterAutospacing="1"/>
      <w:jc w:val="left"/>
    </w:pPr>
    <w:rPr>
      <w:rFonts w:ascii="宋体" w:hAnsi="宋体" w:cs="宋体"/>
      <w:kern w:val="0"/>
      <w:sz w:val="22"/>
      <w:szCs w:val="22"/>
    </w:rPr>
  </w:style>
  <w:style w:type="paragraph" w:customStyle="1" w:styleId="157">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8">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9">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16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1">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2">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3">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4">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65">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66">
    <w:name w:val="xl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67">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68">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9">
    <w:name w:val="xl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70">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4"/>
    </w:rPr>
  </w:style>
  <w:style w:type="paragraph" w:customStyle="1" w:styleId="171">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172">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73">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4">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5">
    <w:name w:val="xl9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6">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7">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8">
    <w:name w:val="xl9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9">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0">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1">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2">
    <w:name w:val="xl10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3">
    <w:name w:val="xl10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4">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85">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86">
    <w:name w:val="xl1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87">
    <w:name w:val="xl10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88">
    <w:name w:val="xl1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9">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4"/>
    </w:rPr>
  </w:style>
  <w:style w:type="paragraph" w:customStyle="1" w:styleId="190">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91">
    <w:name w:val="xl11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2">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93">
    <w:name w:val="xl11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4">
    <w:name w:val="xl1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5">
    <w:name w:val="xl1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6">
    <w:name w:val="xl1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7">
    <w:name w:val="xl11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8">
    <w:name w:val="xl118"/>
    <w:basedOn w:val="1"/>
    <w:autoRedefine/>
    <w:qFormat/>
    <w:uiPriority w:val="0"/>
    <w:pPr>
      <w:widowControl/>
      <w:spacing w:before="100" w:beforeAutospacing="1" w:after="100" w:afterAutospacing="1"/>
      <w:jc w:val="center"/>
    </w:pPr>
    <w:rPr>
      <w:rFonts w:ascii="宋体" w:hAnsi="宋体" w:cs="宋体"/>
      <w:b/>
      <w:bCs/>
      <w:kern w:val="0"/>
      <w:sz w:val="32"/>
      <w:szCs w:val="32"/>
    </w:rPr>
  </w:style>
  <w:style w:type="paragraph" w:customStyle="1" w:styleId="199">
    <w:name w:val="xl119"/>
    <w:basedOn w:val="1"/>
    <w:autoRedefine/>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200">
    <w:name w:val="xl120"/>
    <w:basedOn w:val="1"/>
    <w:autoRedefine/>
    <w:qFormat/>
    <w:uiPriority w:val="0"/>
    <w:pPr>
      <w:widowControl/>
      <w:spacing w:before="100" w:beforeAutospacing="1" w:after="100" w:afterAutospacing="1"/>
      <w:jc w:val="center"/>
    </w:pPr>
    <w:rPr>
      <w:rFonts w:ascii="宋体" w:hAnsi="宋体" w:cs="宋体"/>
      <w:b/>
      <w:bCs/>
      <w:kern w:val="0"/>
      <w:sz w:val="32"/>
      <w:szCs w:val="32"/>
    </w:rPr>
  </w:style>
  <w:style w:type="character" w:customStyle="1" w:styleId="201">
    <w:name w:val="正文文本首行缩进 2 字符"/>
    <w:basedOn w:val="109"/>
    <w:link w:val="45"/>
    <w:autoRedefine/>
    <w:qFormat/>
    <w:uiPriority w:val="99"/>
    <w:rPr>
      <w:rFonts w:ascii="Times New Roman" w:hAnsi="Times New Roman" w:eastAsia="宋体" w:cs="Times New Roman"/>
      <w:kern w:val="2"/>
      <w:sz w:val="21"/>
      <w:szCs w:val="24"/>
    </w:rPr>
  </w:style>
  <w:style w:type="character" w:customStyle="1" w:styleId="202">
    <w:name w:val="Heading 3 Char"/>
    <w:basedOn w:val="48"/>
    <w:autoRedefine/>
    <w:semiHidden/>
    <w:qFormat/>
    <w:uiPriority w:val="9"/>
    <w:rPr>
      <w:rFonts w:ascii="Calibri" w:hAnsi="Calibri"/>
      <w:b/>
      <w:bCs/>
      <w:sz w:val="32"/>
      <w:szCs w:val="32"/>
    </w:rPr>
  </w:style>
  <w:style w:type="character" w:customStyle="1" w:styleId="203">
    <w:name w:val="Heading 4 Char"/>
    <w:basedOn w:val="48"/>
    <w:autoRedefine/>
    <w:semiHidden/>
    <w:qFormat/>
    <w:uiPriority w:val="9"/>
    <w:rPr>
      <w:rFonts w:ascii="Cambria" w:hAnsi="Cambria" w:eastAsia="宋体" w:cs="Times New Roman"/>
      <w:b/>
      <w:bCs/>
      <w:sz w:val="28"/>
      <w:szCs w:val="28"/>
    </w:rPr>
  </w:style>
  <w:style w:type="character" w:customStyle="1" w:styleId="204">
    <w:name w:val="Heading 5 Char"/>
    <w:basedOn w:val="48"/>
    <w:autoRedefine/>
    <w:semiHidden/>
    <w:qFormat/>
    <w:uiPriority w:val="9"/>
    <w:rPr>
      <w:rFonts w:ascii="Calibri" w:hAnsi="Calibri"/>
      <w:b/>
      <w:bCs/>
      <w:sz w:val="28"/>
      <w:szCs w:val="28"/>
    </w:rPr>
  </w:style>
  <w:style w:type="character" w:customStyle="1" w:styleId="205">
    <w:name w:val="Heading 6 Char"/>
    <w:basedOn w:val="48"/>
    <w:autoRedefine/>
    <w:semiHidden/>
    <w:qFormat/>
    <w:uiPriority w:val="9"/>
    <w:rPr>
      <w:rFonts w:ascii="Cambria" w:hAnsi="Cambria" w:eastAsia="宋体" w:cs="Times New Roman"/>
      <w:b/>
      <w:bCs/>
      <w:sz w:val="24"/>
      <w:szCs w:val="24"/>
    </w:rPr>
  </w:style>
  <w:style w:type="character" w:customStyle="1" w:styleId="206">
    <w:name w:val="Heading 7 Char"/>
    <w:basedOn w:val="48"/>
    <w:autoRedefine/>
    <w:semiHidden/>
    <w:qFormat/>
    <w:uiPriority w:val="9"/>
    <w:rPr>
      <w:rFonts w:ascii="Calibri" w:hAnsi="Calibri"/>
      <w:b/>
      <w:bCs/>
      <w:sz w:val="24"/>
      <w:szCs w:val="24"/>
    </w:rPr>
  </w:style>
  <w:style w:type="character" w:customStyle="1" w:styleId="207">
    <w:name w:val="Heading 8 Char"/>
    <w:basedOn w:val="48"/>
    <w:autoRedefine/>
    <w:semiHidden/>
    <w:qFormat/>
    <w:uiPriority w:val="9"/>
    <w:rPr>
      <w:rFonts w:ascii="Cambria" w:hAnsi="Cambria" w:eastAsia="宋体" w:cs="Times New Roman"/>
      <w:sz w:val="24"/>
      <w:szCs w:val="24"/>
    </w:rPr>
  </w:style>
  <w:style w:type="character" w:customStyle="1" w:styleId="208">
    <w:name w:val="Heading 9 Char"/>
    <w:basedOn w:val="48"/>
    <w:autoRedefine/>
    <w:semiHidden/>
    <w:qFormat/>
    <w:uiPriority w:val="9"/>
    <w:rPr>
      <w:rFonts w:ascii="Cambria" w:hAnsi="Cambria" w:eastAsia="宋体" w:cs="Times New Roman"/>
      <w:szCs w:val="21"/>
    </w:rPr>
  </w:style>
  <w:style w:type="table" w:customStyle="1" w:styleId="209">
    <w:name w:val="网格型6"/>
    <w:basedOn w:val="46"/>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0">
    <w:name w:val="Normal_3"/>
    <w:autoRedefine/>
    <w:qFormat/>
    <w:uiPriority w:val="99"/>
    <w:pPr>
      <w:spacing w:before="120" w:after="240"/>
      <w:jc w:val="both"/>
    </w:pPr>
    <w:rPr>
      <w:rFonts w:ascii="Times New Roman" w:hAnsi="Times New Roman" w:eastAsia="宋体" w:cs="Times New Roman"/>
      <w:sz w:val="22"/>
      <w:szCs w:val="22"/>
      <w:lang w:val="en-US" w:eastAsia="en-US" w:bidi="ar-SA"/>
    </w:rPr>
  </w:style>
  <w:style w:type="paragraph" w:styleId="211">
    <w:name w:val="No Spacing"/>
    <w:autoRedefine/>
    <w:qFormat/>
    <w:uiPriority w:val="99"/>
    <w:pPr>
      <w:widowControl w:val="0"/>
      <w:jc w:val="both"/>
    </w:pPr>
    <w:rPr>
      <w:rFonts w:ascii="Times New Roman" w:hAnsi="Times New Roman" w:eastAsia="微软雅黑" w:cs="Times New Roman"/>
      <w:kern w:val="2"/>
      <w:sz w:val="18"/>
      <w:szCs w:val="22"/>
      <w:lang w:val="en-US" w:eastAsia="zh-CN" w:bidi="ar-SA"/>
    </w:rPr>
  </w:style>
  <w:style w:type="character" w:customStyle="1" w:styleId="212">
    <w:name w:val="列出段落 字符"/>
    <w:autoRedefine/>
    <w:qFormat/>
    <w:locked/>
    <w:uiPriority w:val="99"/>
    <w:rPr>
      <w:kern w:val="2"/>
      <w:sz w:val="24"/>
    </w:rPr>
  </w:style>
  <w:style w:type="paragraph" w:customStyle="1" w:styleId="213">
    <w:name w:val="二级条标题"/>
    <w:basedOn w:val="214"/>
    <w:next w:val="215"/>
    <w:autoRedefine/>
    <w:qFormat/>
    <w:uiPriority w:val="99"/>
    <w:pPr>
      <w:numPr>
        <w:ilvl w:val="3"/>
      </w:numPr>
      <w:outlineLvl w:val="3"/>
    </w:pPr>
  </w:style>
  <w:style w:type="paragraph" w:customStyle="1" w:styleId="214">
    <w:name w:val="一级条标题"/>
    <w:next w:val="215"/>
    <w:autoRedefine/>
    <w:qFormat/>
    <w:uiPriority w:val="99"/>
    <w:pPr>
      <w:numPr>
        <w:ilvl w:val="2"/>
        <w:numId w:val="3"/>
      </w:numPr>
      <w:outlineLvl w:val="2"/>
    </w:pPr>
    <w:rPr>
      <w:rFonts w:ascii="Times New Roman" w:hAnsi="Times New Roman" w:eastAsia="黑体" w:cs="Times New Roman"/>
      <w:sz w:val="21"/>
      <w:lang w:val="en-US" w:eastAsia="zh-CN" w:bidi="ar-SA"/>
    </w:rPr>
  </w:style>
  <w:style w:type="paragraph" w:customStyle="1" w:styleId="215">
    <w:name w:val="段"/>
    <w:autoRedefine/>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6">
    <w:name w:val="三级条标题"/>
    <w:basedOn w:val="213"/>
    <w:next w:val="215"/>
    <w:autoRedefine/>
    <w:qFormat/>
    <w:uiPriority w:val="99"/>
    <w:pPr>
      <w:numPr>
        <w:ilvl w:val="4"/>
      </w:numPr>
      <w:outlineLvl w:val="4"/>
    </w:pPr>
  </w:style>
  <w:style w:type="paragraph" w:customStyle="1" w:styleId="217">
    <w:name w:val="章标题"/>
    <w:next w:val="215"/>
    <w:autoRedefine/>
    <w:qFormat/>
    <w:uiPriority w:val="99"/>
    <w:pPr>
      <w:numPr>
        <w:ilvl w:val="1"/>
        <w:numId w:val="3"/>
      </w:numPr>
      <w:spacing w:beforeLines="50" w:afterLines="50"/>
      <w:jc w:val="both"/>
      <w:outlineLvl w:val="1"/>
    </w:pPr>
    <w:rPr>
      <w:rFonts w:ascii="黑体" w:hAnsi="Times New Roman" w:eastAsia="黑体" w:cs="Times New Roman"/>
      <w:sz w:val="21"/>
      <w:lang w:val="en-US" w:eastAsia="zh-CN" w:bidi="ar-SA"/>
    </w:rPr>
  </w:style>
  <w:style w:type="character" w:customStyle="1" w:styleId="218">
    <w:name w:val="font11"/>
    <w:basedOn w:val="48"/>
    <w:autoRedefine/>
    <w:qFormat/>
    <w:uiPriority w:val="99"/>
    <w:rPr>
      <w:rFonts w:ascii="宋体" w:hAnsi="宋体" w:eastAsia="宋体" w:cs="宋体"/>
      <w:color w:val="000000"/>
      <w:sz w:val="22"/>
      <w:szCs w:val="22"/>
      <w:u w:val="none"/>
    </w:rPr>
  </w:style>
  <w:style w:type="character" w:customStyle="1" w:styleId="219">
    <w:name w:val="font01"/>
    <w:basedOn w:val="48"/>
    <w:autoRedefine/>
    <w:qFormat/>
    <w:uiPriority w:val="99"/>
    <w:rPr>
      <w:rFonts w:ascii="Tahoma" w:hAnsi="Tahoma" w:cs="Tahoma"/>
      <w:color w:val="000000"/>
      <w:sz w:val="22"/>
      <w:szCs w:val="22"/>
      <w:u w:val="none"/>
    </w:rPr>
  </w:style>
  <w:style w:type="character" w:customStyle="1" w:styleId="220">
    <w:name w:val="列表段落 字符"/>
    <w:link w:val="221"/>
    <w:autoRedefine/>
    <w:qFormat/>
    <w:locked/>
    <w:uiPriority w:val="99"/>
    <w:rPr>
      <w:sz w:val="21"/>
    </w:rPr>
  </w:style>
  <w:style w:type="paragraph" w:customStyle="1" w:styleId="221">
    <w:name w:val="列表段落1"/>
    <w:basedOn w:val="1"/>
    <w:link w:val="220"/>
    <w:autoRedefine/>
    <w:qFormat/>
    <w:uiPriority w:val="99"/>
    <w:pPr>
      <w:spacing w:line="360" w:lineRule="auto"/>
      <w:ind w:firstLine="420" w:firstLineChars="200"/>
    </w:pPr>
    <w:rPr>
      <w:kern w:val="0"/>
      <w:szCs w:val="20"/>
    </w:rPr>
  </w:style>
  <w:style w:type="character" w:customStyle="1" w:styleId="222">
    <w:name w:val="Comment Text Char1"/>
    <w:autoRedefine/>
    <w:qFormat/>
    <w:locked/>
    <w:uiPriority w:val="99"/>
    <w:rPr>
      <w:rFonts w:eastAsia="宋体"/>
      <w:sz w:val="21"/>
    </w:rPr>
  </w:style>
  <w:style w:type="character" w:customStyle="1" w:styleId="223">
    <w:name w:val="批注文字 Char1"/>
    <w:basedOn w:val="48"/>
    <w:autoRedefine/>
    <w:semiHidden/>
    <w:qFormat/>
    <w:locked/>
    <w:uiPriority w:val="99"/>
    <w:rPr>
      <w:rFonts w:ascii="Calibri" w:hAnsi="Calibri" w:cs="Times New Roman"/>
    </w:rPr>
  </w:style>
  <w:style w:type="character" w:customStyle="1" w:styleId="224">
    <w:name w:val="批注文字 字符"/>
    <w:autoRedefine/>
    <w:qFormat/>
    <w:uiPriority w:val="99"/>
    <w:rPr>
      <w:rFonts w:eastAsia="宋体"/>
      <w:sz w:val="21"/>
    </w:rPr>
  </w:style>
  <w:style w:type="character" w:customStyle="1" w:styleId="225">
    <w:name w:val="页脚 字符"/>
    <w:autoRedefine/>
    <w:qFormat/>
    <w:uiPriority w:val="99"/>
    <w:rPr>
      <w:rFonts w:eastAsia="宋体"/>
      <w:sz w:val="18"/>
    </w:rPr>
  </w:style>
  <w:style w:type="character" w:customStyle="1" w:styleId="226">
    <w:name w:val="页眉 字符"/>
    <w:autoRedefine/>
    <w:qFormat/>
    <w:uiPriority w:val="99"/>
    <w:rPr>
      <w:rFonts w:eastAsia="宋体"/>
      <w:sz w:val="18"/>
    </w:rPr>
  </w:style>
  <w:style w:type="character" w:customStyle="1" w:styleId="227">
    <w:name w:val="标题 1 字符"/>
    <w:autoRedefine/>
    <w:qFormat/>
    <w:uiPriority w:val="99"/>
    <w:rPr>
      <w:rFonts w:eastAsia="宋体"/>
      <w:b/>
      <w:kern w:val="44"/>
      <w:sz w:val="44"/>
    </w:rPr>
  </w:style>
  <w:style w:type="character" w:customStyle="1" w:styleId="228">
    <w:name w:val="标题 2 字符"/>
    <w:autoRedefine/>
    <w:qFormat/>
    <w:uiPriority w:val="99"/>
    <w:rPr>
      <w:rFonts w:ascii="宋体" w:eastAsia="宋体"/>
      <w:b/>
      <w:color w:val="000000"/>
      <w:kern w:val="2"/>
      <w:sz w:val="32"/>
    </w:rPr>
  </w:style>
  <w:style w:type="paragraph" w:customStyle="1" w:styleId="229">
    <w:name w:val="xl3546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0">
    <w:name w:val="xl3543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1">
    <w:name w:val="xl3545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2">
    <w:name w:val="xl3544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3">
    <w:name w:val="xl3544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4">
    <w:name w:val="xl3546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5">
    <w:name w:val="xl3545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6">
    <w:name w:val="xl3544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7">
    <w:name w:val="xl3545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8">
    <w:name w:val="xl3543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9">
    <w:name w:val="xl35471"/>
    <w:basedOn w:val="1"/>
    <w:autoRedefine/>
    <w:qFormat/>
    <w:uiPriority w:val="99"/>
    <w:pPr>
      <w:widowControl/>
      <w:spacing w:before="100" w:beforeAutospacing="1" w:after="100" w:afterAutospacing="1"/>
      <w:jc w:val="center"/>
    </w:pPr>
    <w:rPr>
      <w:rFonts w:ascii="宋体" w:hAnsi="宋体" w:cs="宋体"/>
      <w:kern w:val="0"/>
      <w:sz w:val="20"/>
      <w:szCs w:val="20"/>
    </w:rPr>
  </w:style>
  <w:style w:type="paragraph" w:customStyle="1" w:styleId="240">
    <w:name w:val="xl3544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1">
    <w:name w:val="xl3543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character" w:customStyle="1" w:styleId="242">
    <w:name w:val="Comment Subject Char"/>
    <w:basedOn w:val="223"/>
    <w:autoRedefine/>
    <w:semiHidden/>
    <w:qFormat/>
    <w:uiPriority w:val="99"/>
    <w:rPr>
      <w:rFonts w:ascii="Calibri" w:hAnsi="Calibri" w:cs="Times New Roman"/>
      <w:b/>
      <w:bCs/>
    </w:rPr>
  </w:style>
  <w:style w:type="paragraph" w:customStyle="1" w:styleId="243">
    <w:name w:val="xl3545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4">
    <w:name w:val="xl3544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5">
    <w:name w:val="4"/>
    <w:basedOn w:val="1"/>
    <w:next w:val="221"/>
    <w:autoRedefine/>
    <w:qFormat/>
    <w:uiPriority w:val="99"/>
    <w:pPr>
      <w:ind w:firstLine="420" w:firstLineChars="200"/>
    </w:pPr>
    <w:rPr>
      <w:rFonts w:ascii="Calibri" w:hAnsi="Calibri"/>
      <w:szCs w:val="22"/>
    </w:rPr>
  </w:style>
  <w:style w:type="paragraph" w:customStyle="1" w:styleId="246">
    <w:name w:val="xl3546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7">
    <w:name w:val="修订1"/>
    <w:autoRedefine/>
    <w:qFormat/>
    <w:uiPriority w:val="99"/>
    <w:rPr>
      <w:rFonts w:ascii="Calibri" w:hAnsi="Calibri" w:eastAsia="宋体" w:cs="Times New Roman"/>
      <w:kern w:val="2"/>
      <w:sz w:val="24"/>
      <w:szCs w:val="21"/>
      <w:lang w:val="en-US" w:eastAsia="zh-CN" w:bidi="ar-SA"/>
    </w:rPr>
  </w:style>
  <w:style w:type="paragraph" w:customStyle="1" w:styleId="248">
    <w:name w:val="xl3544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9">
    <w:name w:val="xl3546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0">
    <w:name w:val="xl3545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1">
    <w:name w:val="USE 1"/>
    <w:basedOn w:val="1"/>
    <w:autoRedefine/>
    <w:qFormat/>
    <w:uiPriority w:val="99"/>
    <w:pPr>
      <w:spacing w:line="200" w:lineRule="atLeast"/>
      <w:jc w:val="left"/>
    </w:pPr>
    <w:rPr>
      <w:rFonts w:ascii="宋体" w:hAnsi="宋体"/>
      <w:b/>
      <w:sz w:val="24"/>
      <w:szCs w:val="28"/>
    </w:rPr>
  </w:style>
  <w:style w:type="paragraph" w:customStyle="1" w:styleId="252">
    <w:name w:val="xl3545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3">
    <w:name w:val="xl3546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4">
    <w:name w:val="xl3543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5">
    <w:name w:val="xl3543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56">
    <w:name w:val="xl35470"/>
    <w:basedOn w:val="1"/>
    <w:autoRedefine/>
    <w:qFormat/>
    <w:uiPriority w:val="99"/>
    <w:pPr>
      <w:widowControl/>
      <w:spacing w:before="100" w:beforeAutospacing="1" w:after="100" w:afterAutospacing="1"/>
      <w:jc w:val="left"/>
    </w:pPr>
    <w:rPr>
      <w:rFonts w:ascii="宋体" w:hAnsi="宋体" w:cs="宋体"/>
      <w:kern w:val="0"/>
      <w:sz w:val="20"/>
      <w:szCs w:val="20"/>
    </w:rPr>
  </w:style>
  <w:style w:type="paragraph" w:customStyle="1" w:styleId="257">
    <w:name w:val="标准文本"/>
    <w:basedOn w:val="1"/>
    <w:autoRedefine/>
    <w:qFormat/>
    <w:uiPriority w:val="99"/>
    <w:pPr>
      <w:spacing w:line="360" w:lineRule="auto"/>
      <w:ind w:firstLine="480" w:firstLineChars="200"/>
    </w:pPr>
    <w:rPr>
      <w:rFonts w:ascii="Calibri" w:hAnsi="Calibri" w:cs="Calibri"/>
      <w:kern w:val="0"/>
      <w:sz w:val="24"/>
    </w:rPr>
  </w:style>
  <w:style w:type="character" w:customStyle="1" w:styleId="258">
    <w:name w:val="Balloon Text Char"/>
    <w:basedOn w:val="48"/>
    <w:autoRedefine/>
    <w:semiHidden/>
    <w:qFormat/>
    <w:uiPriority w:val="99"/>
    <w:rPr>
      <w:rFonts w:ascii="Calibri" w:hAnsi="Calibri"/>
      <w:sz w:val="0"/>
      <w:szCs w:val="0"/>
    </w:rPr>
  </w:style>
  <w:style w:type="character" w:customStyle="1" w:styleId="259">
    <w:name w:val="Title Char"/>
    <w:basedOn w:val="48"/>
    <w:autoRedefine/>
    <w:qFormat/>
    <w:uiPriority w:val="10"/>
    <w:rPr>
      <w:rFonts w:ascii="Cambria" w:hAnsi="Cambria" w:cs="Times New Roman"/>
      <w:b/>
      <w:bCs/>
      <w:sz w:val="32"/>
      <w:szCs w:val="32"/>
    </w:rPr>
  </w:style>
  <w:style w:type="paragraph" w:customStyle="1" w:styleId="260">
    <w:name w:val="xl3543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1">
    <w:name w:val="xl3545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2">
    <w:name w:val="xl3543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3">
    <w:name w:val="xl35469"/>
    <w:basedOn w:val="1"/>
    <w:autoRedefine/>
    <w:qFormat/>
    <w:uiPriority w:val="99"/>
    <w:pPr>
      <w:widowControl/>
      <w:spacing w:before="100" w:beforeAutospacing="1" w:after="100" w:afterAutospacing="1"/>
      <w:jc w:val="center"/>
    </w:pPr>
    <w:rPr>
      <w:rFonts w:ascii="宋体" w:hAnsi="宋体" w:cs="宋体"/>
      <w:kern w:val="0"/>
      <w:sz w:val="20"/>
      <w:szCs w:val="20"/>
    </w:rPr>
  </w:style>
  <w:style w:type="paragraph" w:customStyle="1" w:styleId="264">
    <w:name w:val="xl3546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5">
    <w:name w:val="xl3545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6">
    <w:name w:val="xl3544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7">
    <w:name w:val="xl3544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8">
    <w:name w:val="xl3542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69">
    <w:name w:val="xl3547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0">
    <w:name w:val="xl3547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1">
    <w:name w:val="列表段落11"/>
    <w:basedOn w:val="1"/>
    <w:autoRedefine/>
    <w:qFormat/>
    <w:uiPriority w:val="99"/>
    <w:pPr>
      <w:ind w:firstLine="420" w:firstLineChars="200"/>
    </w:pPr>
    <w:rPr>
      <w:szCs w:val="20"/>
    </w:rPr>
  </w:style>
  <w:style w:type="paragraph" w:customStyle="1" w:styleId="272">
    <w:name w:val="xl3545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3">
    <w:name w:val="xl3544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4">
    <w:name w:val="xl3543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5">
    <w:name w:val="xl3546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6">
    <w:name w:val="xl3543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7">
    <w:name w:val="xl3545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8">
    <w:name w:val="xl3546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9">
    <w:name w:val="xl3544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0">
    <w:name w:val="默认段落字体 Para Char Char Char1 Char Char Char Char Char Char Char"/>
    <w:basedOn w:val="1"/>
    <w:autoRedefine/>
    <w:qFormat/>
    <w:uiPriority w:val="99"/>
    <w:pPr>
      <w:widowControl/>
      <w:adjustRightInd w:val="0"/>
      <w:spacing w:line="360" w:lineRule="auto"/>
      <w:jc w:val="left"/>
    </w:pPr>
  </w:style>
  <w:style w:type="paragraph" w:customStyle="1" w:styleId="281">
    <w:name w:val="xl35477"/>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282">
    <w:name w:val="xl3547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83">
    <w:name w:val="xl3547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4">
    <w:name w:val="xl3547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5">
    <w:name w:val="xl3543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6">
    <w:name w:val="xl3546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7">
    <w:name w:val="UserStyle_11"/>
    <w:basedOn w:val="1"/>
    <w:autoRedefine/>
    <w:qFormat/>
    <w:uiPriority w:val="0"/>
    <w:pPr>
      <w:ind w:firstLine="420" w:firstLineChars="200"/>
    </w:pPr>
    <w:rPr>
      <w:kern w:val="0"/>
      <w:sz w:val="20"/>
    </w:rPr>
  </w:style>
  <w:style w:type="paragraph" w:customStyle="1" w:styleId="288">
    <w:name w:val="xl55"/>
    <w:basedOn w:val="1"/>
    <w:autoRedefine/>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289">
    <w:name w:val="xl3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character" w:customStyle="1" w:styleId="290">
    <w:name w:val="btn-print"/>
    <w:basedOn w:val="48"/>
    <w:autoRedefine/>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291">
    <w:name w:val="Table Paragraph"/>
    <w:basedOn w:val="1"/>
    <w:autoRedefine/>
    <w:qFormat/>
    <w:uiPriority w:val="1"/>
    <w:pPr>
      <w:jc w:val="left"/>
    </w:pPr>
    <w:rPr>
      <w:kern w:val="0"/>
      <w:sz w:val="22"/>
      <w:lang w:eastAsia="en-US"/>
    </w:rPr>
  </w:style>
  <w:style w:type="paragraph" w:customStyle="1" w:styleId="292">
    <w:name w:val="PlainText"/>
    <w:basedOn w:val="1"/>
    <w:autoRedefine/>
    <w:qFormat/>
    <w:uiPriority w:val="0"/>
    <w:rPr>
      <w:rFonts w:ascii="宋体" w:hAnsi="Courier New"/>
      <w:szCs w:val="20"/>
    </w:rPr>
  </w:style>
  <w:style w:type="character" w:customStyle="1" w:styleId="293">
    <w:name w:val="font31"/>
    <w:basedOn w:val="48"/>
    <w:autoRedefine/>
    <w:qFormat/>
    <w:uiPriority w:val="0"/>
    <w:rPr>
      <w:rFonts w:hint="eastAsia" w:ascii="宋体" w:hAnsi="宋体" w:eastAsia="宋体" w:cs="宋体"/>
      <w:b/>
      <w:bCs/>
      <w:color w:val="000000"/>
      <w:sz w:val="21"/>
      <w:szCs w:val="21"/>
      <w:u w:val="none"/>
    </w:rPr>
  </w:style>
  <w:style w:type="character" w:customStyle="1" w:styleId="294">
    <w:name w:val="font51"/>
    <w:basedOn w:val="48"/>
    <w:autoRedefine/>
    <w:qFormat/>
    <w:uiPriority w:val="0"/>
    <w:rPr>
      <w:rFonts w:hint="eastAsia" w:ascii="宋体" w:hAnsi="宋体" w:eastAsia="宋体" w:cs="宋体"/>
      <w:b/>
      <w:bCs/>
      <w:color w:val="000000"/>
      <w:sz w:val="21"/>
      <w:szCs w:val="21"/>
      <w:u w:val="single"/>
    </w:rPr>
  </w:style>
  <w:style w:type="character" w:customStyle="1" w:styleId="295">
    <w:name w:val="font41"/>
    <w:basedOn w:val="48"/>
    <w:autoRedefine/>
    <w:qFormat/>
    <w:uiPriority w:val="0"/>
    <w:rPr>
      <w:rFonts w:hint="eastAsia" w:ascii="宋体" w:hAnsi="宋体" w:eastAsia="宋体" w:cs="宋体"/>
      <w:b/>
      <w:bCs/>
      <w:color w:val="000000"/>
      <w:sz w:val="21"/>
      <w:szCs w:val="21"/>
      <w:u w:val="none"/>
    </w:rPr>
  </w:style>
  <w:style w:type="paragraph" w:customStyle="1" w:styleId="296">
    <w:name w:val="正文_0"/>
    <w:autoRedefine/>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297">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298">
    <w:name w:val="Normal_1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9">
    <w:name w:val="Normal_3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0">
    <w:name w:val="正文_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正文_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正文_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正文_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正文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5">
    <w:name w:val="正文_1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6">
    <w:name w:val="正文_1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7">
    <w:name w:val="正文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8">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
    <w:name w:val="正文_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
    <w:name w:val="正文_1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
    <w:name w:val="正文_16"/>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2">
    <w:name w:val="超链接_0"/>
    <w:basedOn w:val="48"/>
    <w:autoRedefine/>
    <w:unhideWhenUsed/>
    <w:qFormat/>
    <w:uiPriority w:val="99"/>
    <w:rPr>
      <w:color w:val="0000FF"/>
      <w:u w:val="single"/>
    </w:rPr>
  </w:style>
  <w:style w:type="paragraph" w:customStyle="1" w:styleId="313">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
    <w:name w:val="正文_1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
    <w:name w:val="正文_1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
    <w:name w:val="正文_2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
    <w:name w:val="正文_2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
    <w:name w:val="正文_2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9">
    <w:name w:val="正文_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
    <w:name w:val="正文_2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
    <w:name w:val="正文_2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正文_2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
    <w:name w:val="正文_2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
    <w:name w:val="正文_2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正文_2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正文_3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正文_3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
    <w:name w:val="正文_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正文_3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
    <w:name w:val="正文_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正文_3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
    <w:name w:val="正文首行缩进 2_0"/>
    <w:basedOn w:val="334"/>
    <w:autoRedefine/>
    <w:unhideWhenUsed/>
    <w:qFormat/>
    <w:uiPriority w:val="99"/>
    <w:pPr>
      <w:spacing w:before="100" w:beforeAutospacing="1"/>
      <w:ind w:firstLine="420" w:firstLineChars="200"/>
    </w:pPr>
    <w:rPr>
      <w:rFonts w:ascii="Calibri" w:hAnsi="Calibri" w:cs="宋体"/>
      <w:szCs w:val="21"/>
    </w:rPr>
  </w:style>
  <w:style w:type="paragraph" w:customStyle="1" w:styleId="334">
    <w:name w:val="正文文本缩进_1"/>
    <w:basedOn w:val="335"/>
    <w:autoRedefine/>
    <w:semiHidden/>
    <w:unhideWhenUsed/>
    <w:qFormat/>
    <w:uiPriority w:val="99"/>
    <w:pPr>
      <w:spacing w:after="120"/>
      <w:ind w:left="420" w:leftChars="200"/>
    </w:pPr>
  </w:style>
  <w:style w:type="paragraph" w:customStyle="1" w:styleId="335">
    <w:name w:val="正文_3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正文_3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
    <w:name w:val="正文_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
    <w:name w:val="正文_4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
    <w:name w:val="正文_4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0">
    <w:name w:val="正文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
    <w:name w:val="正文_4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
    <w:name w:val="正文_4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正文_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正文_4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
    <w:name w:val="正文_4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
    <w:name w:val="正文_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正文_4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
    <w:name w:val="正文_5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正文_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0">
    <w:name w:val="正文_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正文_5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5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
    <w:name w:val="正文_5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
    <w:name w:val="正文_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6">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
    <w:name w:val="正文_5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8">
    <w:name w:val="正文_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9">
    <w:name w:val="正文_6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
    <w:name w:val="正文_6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正文_6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
    <w:name w:val="正文_6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正文_66"/>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
    <w:name w:val="正文_6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
    <w:name w:val="Normal_8"/>
    <w:autoRedefine/>
    <w:qFormat/>
    <w:uiPriority w:val="0"/>
    <w:rPr>
      <w:rFonts w:ascii="Times New Roman" w:hAnsi="Times New Roman" w:eastAsia="Times New Roman" w:cs="Times New Roman"/>
      <w:sz w:val="24"/>
      <w:szCs w:val="24"/>
      <w:lang w:val="en-US" w:eastAsia="zh-CN" w:bidi="ar-SA"/>
    </w:rPr>
  </w:style>
  <w:style w:type="paragraph" w:customStyle="1" w:styleId="367">
    <w:name w:val="HtmlNormal"/>
    <w:basedOn w:val="1"/>
    <w:autoRedefine/>
    <w:qFormat/>
    <w:uiPriority w:val="0"/>
    <w:pPr>
      <w:spacing w:before="100" w:beforeAutospacing="1" w:after="100" w:afterAutospacing="1"/>
      <w:jc w:val="left"/>
    </w:pPr>
    <w:rPr>
      <w:rFonts w:ascii="宋体" w:hAnsi="宋体"/>
      <w:kern w:val="0"/>
      <w:sz w:val="24"/>
    </w:rPr>
  </w:style>
  <w:style w:type="paragraph" w:customStyle="1" w:styleId="368">
    <w:name w:val="无间隔1"/>
    <w:autoRedefine/>
    <w:qFormat/>
    <w:uiPriority w:val="99"/>
    <w:pPr>
      <w:widowControl w:val="0"/>
      <w:jc w:val="both"/>
    </w:pPr>
    <w:rPr>
      <w:rFonts w:ascii="Calibri" w:hAnsi="Calibri" w:eastAsia="宋体" w:cs="Calibri"/>
      <w:kern w:val="2"/>
      <w:sz w:val="21"/>
      <w:szCs w:val="21"/>
      <w:lang w:val="en-US" w:eastAsia="zh-CN" w:bidi="ar-SA"/>
    </w:rPr>
  </w:style>
  <w:style w:type="paragraph" w:customStyle="1" w:styleId="369">
    <w:name w:val="正文2"/>
    <w:autoRedefine/>
    <w:qFormat/>
    <w:uiPriority w:val="0"/>
    <w:pPr>
      <w:jc w:val="both"/>
    </w:pPr>
    <w:rPr>
      <w:rFonts w:ascii="Calibri" w:hAnsi="Calibri" w:eastAsia="宋体" w:cs="Calibri"/>
      <w:kern w:val="2"/>
      <w:sz w:val="21"/>
      <w:szCs w:val="21"/>
      <w:lang w:val="en-US" w:eastAsia="zh-CN" w:bidi="ar-SA"/>
    </w:rPr>
  </w:style>
  <w:style w:type="paragraph" w:customStyle="1" w:styleId="370">
    <w:name w:val="正文（缩进）"/>
    <w:basedOn w:val="1"/>
    <w:qFormat/>
    <w:uiPriority w:val="0"/>
    <w:pPr>
      <w:widowControl/>
      <w:spacing w:before="156" w:after="156"/>
      <w:ind w:firstLine="480" w:firstLineChars="200"/>
      <w:jc w:val="left"/>
    </w:pPr>
    <w:rPr>
      <w:rFonts w:ascii="仿宋_GB2312"/>
    </w:rPr>
  </w:style>
  <w:style w:type="paragraph" w:customStyle="1" w:styleId="371">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372">
    <w:name w:val="纯文本1"/>
    <w:basedOn w:val="1"/>
    <w:qFormat/>
    <w:uiPriority w:val="0"/>
    <w:rPr>
      <w:rFonts w:ascii="Arial" w:hAnsi="黑体" w:eastAsia="Arial"/>
    </w:rPr>
  </w:style>
  <w:style w:type="paragraph" w:customStyle="1" w:styleId="373">
    <w:name w:val="2"/>
    <w:basedOn w:val="1"/>
    <w:qFormat/>
    <w:uiPriority w:val="0"/>
    <w:pPr>
      <w:ind w:firstLine="640" w:firstLineChars="200"/>
      <w:jc w:val="left"/>
    </w:pPr>
    <w:rPr>
      <w:rFonts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87</Pages>
  <Words>25474</Words>
  <Characters>26744</Characters>
  <Lines>1298</Lines>
  <Paragraphs>1056</Paragraphs>
  <TotalTime>1</TotalTime>
  <ScaleCrop>false</ScaleCrop>
  <LinksUpToDate>false</LinksUpToDate>
  <CharactersWithSpaces>27243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2025-06-12T04:42:00Z</dcterms:created>
  <dc:creator>Windows 用户</dc:creator>
  <cp:lastModifiedBy>静默</cp:lastModifiedBy>
  <cp:lastPrinted>2025-11-07T07:38:00Z</cp:lastPrinted>
  <dcterms:modified xsi:type="dcterms:W3CDTF">2026-08-10T09:25:38Z</dcterms:modified>
  <dc:title>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A2F34E42FA774468B3B7EB4E3EBF33A2_13</vt:lpwstr>
  </property>
  <property fmtid="{D5CDD505-2E9C-101B-9397-08002B2CF9AE}" pid="4" name="KSOTemplateDocerSaveRecord">
    <vt:lpwstr>eyJoZGlkIjoiMzZjZmNlZThmNDJiNzc3NTVjMzc1ZjAzMDBmMDdkNjkiLCJ1c2VySWQiOiI0MzA0MzUwMzUifQ==</vt:lpwstr>
  </property>
</Properties>
</file>