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25F46">
      <w:pPr>
        <w:keepNext/>
        <w:widowControl w:val="0"/>
        <w:bidi w:val="0"/>
        <w:jc w:val="center"/>
        <w:outlineLvl w:val="0"/>
        <w:rPr>
          <w:rFonts w:hint="eastAsia" w:ascii="Times New Roman" w:hAnsi="Times New Roman" w:eastAsia="黑体" w:cs="Times New Roman"/>
          <w:b/>
          <w:bCs/>
          <w:kern w:val="44"/>
          <w:sz w:val="21"/>
          <w:szCs w:val="21"/>
          <w:lang w:val="en-US" w:eastAsia="zh-CN" w:bidi="ar-SA"/>
        </w:rPr>
      </w:pPr>
      <w:bookmarkStart w:id="3" w:name="_GoBack"/>
      <w:bookmarkEnd w:id="3"/>
      <w:bookmarkStart w:id="0" w:name="_Toc23336"/>
      <w:bookmarkStart w:id="1" w:name="_Toc72751776"/>
      <w:bookmarkStart w:id="2" w:name="_Toc6884"/>
      <w:r>
        <w:rPr>
          <w:rFonts w:hint="eastAsia" w:ascii="Times New Roman" w:hAnsi="Times New Roman" w:eastAsia="黑体" w:cs="Times New Roman"/>
          <w:b/>
          <w:bCs/>
          <w:kern w:val="44"/>
          <w:sz w:val="32"/>
          <w:szCs w:val="44"/>
          <w:lang w:val="en-US" w:eastAsia="zh-CN" w:bidi="ar-SA"/>
        </w:rPr>
        <w:t xml:space="preserve"> 采购需求</w:t>
      </w:r>
      <w:bookmarkEnd w:id="0"/>
      <w:bookmarkEnd w:id="1"/>
      <w:bookmarkEnd w:id="2"/>
    </w:p>
    <w:p w14:paraId="373115DF">
      <w:pPr>
        <w:rPr>
          <w:rFonts w:hint="eastAsia" w:ascii="Times New Roman" w:hAnsi="Times New Roman" w:eastAsia="宋体" w:cs="Times New Roman"/>
          <w:lang w:val="en-US" w:eastAsia="zh-CN"/>
        </w:rPr>
      </w:pPr>
    </w:p>
    <w:p w14:paraId="4C37D596">
      <w:pPr>
        <w:widowControl w:val="0"/>
        <w:spacing w:after="120"/>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一、项目基本信息</w:t>
      </w:r>
    </w:p>
    <w:p w14:paraId="6144408A">
      <w:pPr>
        <w:widowControl w:val="0"/>
        <w:spacing w:after="120" w:line="360" w:lineRule="auto"/>
        <w:ind w:firstLine="240" w:firstLineChars="1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i w:val="0"/>
          <w:iCs/>
          <w:color w:val="auto"/>
          <w:kern w:val="0"/>
          <w:sz w:val="24"/>
          <w:szCs w:val="24"/>
          <w:highlight w:val="none"/>
          <w:u w:val="none"/>
          <w:lang w:val="en-US" w:eastAsia="zh-CN" w:bidi="ar-SA"/>
        </w:rPr>
        <w:t>1.项目名称：桃矿街道办事处养老服务中心扩建装修改造工程</w:t>
      </w:r>
    </w:p>
    <w:p w14:paraId="36C259A2">
      <w:pPr>
        <w:widowControl w:val="0"/>
        <w:spacing w:after="120" w:line="360" w:lineRule="auto"/>
        <w:ind w:firstLine="240" w:firstLineChars="1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i w:val="0"/>
          <w:iCs/>
          <w:color w:val="auto"/>
          <w:kern w:val="0"/>
          <w:sz w:val="24"/>
          <w:szCs w:val="24"/>
          <w:highlight w:val="none"/>
          <w:u w:val="none"/>
          <w:lang w:val="en-US" w:eastAsia="zh-CN" w:bidi="ar-SA"/>
        </w:rPr>
        <w:t>2.项目建设地点：临湘市桃矿街道办事处</w:t>
      </w:r>
    </w:p>
    <w:p w14:paraId="3D1B4B05">
      <w:pPr>
        <w:widowControl w:val="0"/>
        <w:spacing w:after="120" w:line="360" w:lineRule="auto"/>
        <w:ind w:firstLine="240" w:firstLineChars="1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i w:val="0"/>
          <w:iCs/>
          <w:color w:val="auto"/>
          <w:kern w:val="0"/>
          <w:sz w:val="24"/>
          <w:szCs w:val="24"/>
          <w:highlight w:val="none"/>
          <w:u w:val="none"/>
          <w:lang w:val="en-US" w:eastAsia="zh-CN" w:bidi="ar-SA"/>
        </w:rPr>
        <w:t>3.项目概况及建设内容：本工程为临湘市桃矿街道办事处养老服务中心扩建装修改造工程，本项目主要为进一步提升桃矿街道养老服务水平，让老年人生活照料、精神慰藉、文体活动等养老需要得到就近、高效、规范的照护服务，建设内容为：房屋消防设施建设和室内外装修改造，装修改扩建养老床位共计80个，设敬老院食堂、公共淋浴间、洗衣房，并增设老人室外活动场、室外休憩廊亭、室内护理站、娱乐用房等相应设施。</w:t>
      </w:r>
    </w:p>
    <w:p w14:paraId="67FCA4F4">
      <w:pPr>
        <w:widowControl w:val="0"/>
        <w:spacing w:after="120"/>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二、质量标准及技术要求</w:t>
      </w:r>
    </w:p>
    <w:p w14:paraId="5358C4F8">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总体质量要求：本项目消防、装修、适老化配套等全部施工内容、材料设备、安装工艺，严格执行国家、行业、湖南省、岳阳市现行规范标准，工程整体质量达到合格标准，确保改造完成后养老机构可合规投入运营。</w:t>
      </w:r>
    </w:p>
    <w:p w14:paraId="06A2D924">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材料与设备要求：本项目所有装修建材、配套设施、采购设备均为全新合格产品。优先选用环保、防火阻燃、防滑耐磨、防磕碰的养老机构专用材料设备，做到无异味、无污染，满足公共场所消防安全、环保要求，适配入住老年人使用，保障居住安全与身心健康。</w:t>
      </w:r>
    </w:p>
    <w:p w14:paraId="2FEE53D8">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3.基础设施建设要求：完成项目消防、安防监控、给排水、强弱电系统升级改造，改造后各项指标满足现行规范，能够通过行业主管部门核查验收，满足养老机构合法运营条件；所有配套设备安装调试到位，运行稳定完好，可直接投入常态化养老服务使用。</w:t>
      </w:r>
    </w:p>
    <w:p w14:paraId="6587A910">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4.适老化改造要求：适老化改造充分匹配老年人生理特征、行为习惯，突出安全性、实用性、舒适性，有效防范摔倒、磕碰、走失等安全风险，适配养老机构日常护理、院区管理及老人长期居住使用。</w:t>
      </w:r>
    </w:p>
    <w:p w14:paraId="1CB5D48C">
      <w:pPr>
        <w:widowControl w:val="0"/>
        <w:numPr>
          <w:ilvl w:val="0"/>
          <w:numId w:val="0"/>
        </w:numPr>
        <w:spacing w:after="120" w:line="360" w:lineRule="auto"/>
        <w:ind w:firstLine="482" w:firstLineChars="2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三、工期要求：</w:t>
      </w:r>
      <w:r>
        <w:rPr>
          <w:rFonts w:hint="eastAsia" w:ascii="新宋体" w:hAnsi="新宋体" w:eastAsia="新宋体" w:cs="新宋体"/>
          <w:i w:val="0"/>
          <w:iCs/>
          <w:color w:val="auto"/>
          <w:kern w:val="0"/>
          <w:sz w:val="24"/>
          <w:szCs w:val="24"/>
          <w:highlight w:val="none"/>
          <w:u w:val="none"/>
          <w:lang w:val="en-US" w:eastAsia="zh-CN" w:bidi="ar-SA"/>
        </w:rPr>
        <w:t>45日历天</w:t>
      </w:r>
    </w:p>
    <w:p w14:paraId="2E1B072F">
      <w:pPr>
        <w:widowControl w:val="0"/>
        <w:numPr>
          <w:ilvl w:val="0"/>
          <w:numId w:val="0"/>
        </w:numPr>
        <w:spacing w:after="120" w:line="360" w:lineRule="auto"/>
        <w:ind w:left="360" w:leftChars="0" w:firstLine="241" w:firstLineChars="1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四、现场施工管理要求</w:t>
      </w:r>
    </w:p>
    <w:p w14:paraId="1CE45455">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安全文明施工：成交供应商严格落实安全生产、文明施工法律法规及行业规范，落实现场安全防护、围挡、扬尘管控等措施，杜绝安全事故。合理安排施工时序，降低噪音、粉尘、通行对院区正常运转及在院老年人生活造成的干扰。</w:t>
      </w:r>
    </w:p>
    <w:p w14:paraId="69596BC6">
      <w:pPr>
        <w:widowControl w:val="0"/>
        <w:numPr>
          <w:ilvl w:val="0"/>
          <w:numId w:val="0"/>
        </w:numPr>
        <w:spacing w:after="120" w:line="360" w:lineRule="auto"/>
        <w:ind w:firstLine="480"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2.现场服从管理：项目全过程服从采购人、监理单位统一调度、监督管理，严格按照审定施工方案开展消防、装修、配套设施建设，规范施工工序，做好既有建筑、原有设施成品保护。</w:t>
      </w:r>
      <w:r>
        <w:rPr>
          <w:rFonts w:hint="eastAsia" w:ascii="新宋体" w:hAnsi="新宋体" w:eastAsia="新宋体" w:cs="新宋体"/>
          <w:b/>
          <w:bCs/>
          <w:i w:val="0"/>
          <w:iCs/>
          <w:color w:val="auto"/>
          <w:kern w:val="0"/>
          <w:sz w:val="24"/>
          <w:szCs w:val="24"/>
          <w:highlight w:val="none"/>
          <w:u w:val="none"/>
          <w:lang w:val="en-US" w:eastAsia="zh-CN" w:bidi="ar-SA"/>
        </w:rPr>
        <w:t xml:space="preserve">   </w:t>
      </w:r>
    </w:p>
    <w:p w14:paraId="74093D98">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五、材料运输、保管及人员保险要求</w:t>
      </w:r>
    </w:p>
    <w:p w14:paraId="1E3EDDFB">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1.材料运输与装卸：所有工程材料、设备的采购、运输、装卸、场内二次搬运均由成交供应商全权负责，相关费用全部包含在投标报价内。</w:t>
      </w:r>
    </w:p>
    <w:p w14:paraId="4DBFF88E">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2.现场材料保管：成交供应商负责施工现场所有材料、设备的入库、存放、保管、防护工作，直至项目整体竣工验收合格交付，期间发生的损坏、丢失、变质等问题由供应商自行承担责任及费用。</w:t>
      </w:r>
    </w:p>
    <w:p w14:paraId="70BECDF9">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3.人员保险保障：成交供应商须为所有进场施工、管理、技术人员购买足额人身意外保险及施工现场相关保险，施工期间发生的人员安全事故、工伤纠纷及经济损失由成交供应商全权承担。</w:t>
      </w:r>
    </w:p>
    <w:p w14:paraId="5FA0651A">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六、工程变更管理要求</w:t>
      </w:r>
    </w:p>
    <w:p w14:paraId="67147910">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项目实施过程中，如因现场实际情况、规范调整、功能优化需要发生工程变更、工程量增减的，须由成交供应商提出申请，经采购人、监理单位初审确认，报请相关主管部门审定后，按政府采购管理相关规定完成备案手续，方可实施，严禁擅自变更施工内容及工程量。</w:t>
      </w:r>
    </w:p>
    <w:p w14:paraId="1AF3A171">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七、项目验收要求</w:t>
      </w:r>
    </w:p>
    <w:p w14:paraId="18A2990A">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1.项目全部完工后，成交供应商完整提交消防、装修、配套设施相关竣工图纸、竣工资料、设备合格证、检测报告、调试记录、验收申请等全套竣工归档资料。</w:t>
      </w:r>
    </w:p>
    <w:p w14:paraId="45384B57">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采购人牵头，联合监理及行业主管部门，对照现行规范、本采购需求及施工合同，对消防工程、室内外装修、床位配套、食堂、洗浴洗衣用房、室外廊亭活动场地、护理文娱用房、适老化设施、设备运行状态开展全面竣工验收。</w:t>
      </w:r>
    </w:p>
    <w:p w14:paraId="759D5F1F">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3.各分项工程及整体工程验收合格、资料完整合规、设施设备运行正常，视为验收通过。验收不合格的，成交供应商须无条件限期整改返工，直至验收合格；整改产生的人工、材料、工期损失及全部费用由成交供应商自行承担。</w:t>
      </w:r>
    </w:p>
    <w:p w14:paraId="1CED2169">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八、质保保修要求</w:t>
      </w:r>
    </w:p>
    <w:p w14:paraId="699875BA">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本项目整体质保保修严格按照国家、行业现行相关规定及标准执行。质保保修期内，因施工工艺、材料质量、设备安装等自身原因造成的质量缺陷、设备故障、设施损坏等问题，成交供应商须免费上门维修、更换、调试，及时响应采购人运维保障需求，确保院区正常运营。</w:t>
      </w:r>
    </w:p>
    <w:p w14:paraId="26CB78B2">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九、报价及费用说明</w:t>
      </w:r>
    </w:p>
    <w:p w14:paraId="30E6A4F9">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供应商须自行踏勘项目现场，充分了解场地现状、施工条件、项目需求及全部风险，结合实际编制施工方案及投标报价。投标报价为包干总价，包含项目人工、材料、设备采购、运输、装卸、安装、调试、成品保护、现场清理、安全文明施工、保险、质保、验收、税费及所有隐性费用，项目实施过程中采购人不另行追加任何费用。</w:t>
      </w:r>
    </w:p>
    <w:p w14:paraId="6A9FE963">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十、付款方式</w:t>
      </w:r>
    </w:p>
    <w:p w14:paraId="799C2539">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具体付款节点、付款比例及付款条件最终以政府采购合同约定及财政资金拨付要求为准。</w:t>
      </w:r>
    </w:p>
    <w:p w14:paraId="6FCAA4E9">
      <w:pPr>
        <w:widowControl w:val="0"/>
        <w:spacing w:after="120"/>
        <w:ind w:firstLine="210" w:firstLineChars="100"/>
        <w:jc w:val="both"/>
        <w:rPr>
          <w:rFonts w:hint="eastAsia" w:ascii="Times New Roman" w:hAnsi="Times New Roman" w:eastAsia="宋体" w:cs="Times New Roman"/>
          <w:kern w:val="2"/>
          <w:sz w:val="21"/>
          <w:szCs w:val="24"/>
          <w:lang w:val="en-US" w:eastAsia="zh-CN" w:bidi="ar-SA"/>
        </w:rPr>
      </w:pPr>
    </w:p>
    <w:p w14:paraId="14CF3D4A">
      <w:pPr>
        <w:widowControl w:val="0"/>
        <w:spacing w:after="120"/>
        <w:ind w:firstLine="210" w:firstLineChars="100"/>
        <w:jc w:val="both"/>
        <w:rPr>
          <w:rFonts w:hint="eastAsia" w:ascii="Times New Roman" w:hAnsi="Times New Roman" w:eastAsia="宋体" w:cs="Times New Roman"/>
          <w:kern w:val="2"/>
          <w:sz w:val="21"/>
          <w:szCs w:val="24"/>
          <w:lang w:val="en-US" w:eastAsia="zh-CN" w:bidi="ar-SA"/>
        </w:rPr>
      </w:pPr>
    </w:p>
    <w:p w14:paraId="2F3AB16A">
      <w:pPr>
        <w:widowControl w:val="0"/>
        <w:spacing w:after="120" w:line="360" w:lineRule="auto"/>
        <w:jc w:val="both"/>
        <w:rPr>
          <w:rFonts w:hint="eastAsia" w:ascii="新宋体" w:hAnsi="新宋体" w:eastAsia="新宋体" w:cs="新宋体"/>
          <w:color w:val="auto"/>
          <w:kern w:val="0"/>
          <w:sz w:val="24"/>
          <w:szCs w:val="24"/>
          <w:highlight w:val="none"/>
          <w:u w:val="none"/>
          <w:shd w:val="clear" w:color="auto" w:fill="auto"/>
          <w:lang w:val="en-US" w:eastAsia="zh-CN" w:bidi="ar-SA"/>
        </w:rPr>
      </w:pPr>
    </w:p>
    <w:p w14:paraId="3A65C895">
      <w:pPr>
        <w:widowControl w:val="0"/>
        <w:spacing w:after="120"/>
        <w:ind w:firstLine="210" w:firstLineChars="100"/>
        <w:jc w:val="both"/>
        <w:rPr>
          <w:rFonts w:hint="eastAsia" w:ascii="Times New Roman" w:hAnsi="Times New Roman" w:eastAsia="宋体" w:cs="Times New Roman"/>
          <w:kern w:val="2"/>
          <w:sz w:val="21"/>
          <w:szCs w:val="24"/>
          <w:lang w:val="en-US" w:eastAsia="zh-CN" w:bidi="ar-SA"/>
        </w:rPr>
      </w:pPr>
    </w:p>
    <w:p w14:paraId="0FB983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E3A30"/>
    <w:rsid w:val="60CE3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2026-08-25T10:47:00Z</dcterms:created>
  <dc:creator>Administrator</dc:creator>
  <cp:lastModifiedBy>Administrator</cp:lastModifiedBy>
  <dcterms:modified xsi:type="dcterms:W3CDTF">2026-08-25T10:47:28Z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12763CD10FA6468FA54DFF5BF7FA0E6B_11</vt:lpwstr>
  </property>
  <property fmtid="{D5CDD505-2E9C-101B-9397-08002B2CF9AE}" pid="4" name="KSOTemplateDocerSaveRecord">
    <vt:lpwstr>eyJoZGlkIjoiNGZkNGQ3YzAwZjMzNWVhYTM0MzI5Yzk0ODZmZjRhYWEiLCJ1c2VySWQiOiIyNjQ4NDYxNTIifQ==</vt:lpwstr>
  </property>
</Properties>
</file>