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F6FFF">
      <w:pPr>
        <w:keepNext/>
        <w:jc w:val="center"/>
        <w:outlineLvl w:val="0"/>
        <w:rPr>
          <w:rFonts w:ascii="黑体" w:hAnsi="黑体" w:eastAsia="黑体"/>
          <w:b/>
          <w:bCs/>
          <w:color w:val="auto"/>
          <w:sz w:val="32"/>
          <w:szCs w:val="32"/>
        </w:rPr>
      </w:pPr>
      <w:bookmarkStart w:id="0" w:name="_Toc25776"/>
      <w:r>
        <w:rPr>
          <w:rFonts w:hint="eastAsia" w:ascii="黑体" w:hAnsi="黑体" w:eastAsia="黑体"/>
          <w:b/>
          <w:bCs/>
          <w:color w:val="auto"/>
          <w:sz w:val="32"/>
          <w:szCs w:val="32"/>
        </w:rPr>
        <w:t>采购需求</w:t>
      </w:r>
      <w:bookmarkEnd w:id="0"/>
    </w:p>
    <w:p w14:paraId="5FE3616C">
      <w:pPr>
        <w:keepNext/>
        <w:keepLines/>
        <w:adjustRightInd w:val="0"/>
        <w:snapToGrid w:val="0"/>
        <w:spacing w:before="156" w:beforeLines="50" w:line="360" w:lineRule="auto"/>
        <w:jc w:val="center"/>
        <w:outlineLvl w:val="1"/>
        <w:rPr>
          <w:rFonts w:ascii="黑体" w:hAnsi="黑体" w:eastAsia="黑体"/>
          <w:b/>
          <w:bCs/>
          <w:color w:val="auto"/>
          <w:sz w:val="28"/>
          <w:szCs w:val="28"/>
        </w:rPr>
      </w:pPr>
      <w:bookmarkStart w:id="1" w:name="_Toc31588"/>
      <w:r>
        <w:rPr>
          <w:rFonts w:hint="eastAsia" w:ascii="黑体" w:hAnsi="黑体" w:eastAsia="黑体"/>
          <w:b/>
          <w:bCs/>
          <w:color w:val="auto"/>
          <w:sz w:val="28"/>
          <w:szCs w:val="28"/>
        </w:rPr>
        <w:t>第一节 采购清单一览表</w:t>
      </w:r>
      <w:bookmarkEnd w:id="1"/>
    </w:p>
    <w:tbl>
      <w:tblPr>
        <w:tblStyle w:val="2"/>
        <w:tblW w:w="8940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183"/>
        <w:gridCol w:w="2200"/>
        <w:gridCol w:w="2271"/>
        <w:gridCol w:w="1027"/>
        <w:gridCol w:w="844"/>
        <w:gridCol w:w="800"/>
      </w:tblGrid>
      <w:tr w14:paraId="08BE4D9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7" w:hRule="atLeast"/>
        </w:trPr>
        <w:tc>
          <w:tcPr>
            <w:tcW w:w="615" w:type="dxa"/>
            <w:noWrap w:val="0"/>
            <w:vAlign w:val="center"/>
          </w:tcPr>
          <w:p w14:paraId="40FD9FCE">
            <w:pPr>
              <w:adjustRightInd w:val="0"/>
              <w:snapToGrid w:val="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包号 </w:t>
            </w:r>
          </w:p>
        </w:tc>
        <w:tc>
          <w:tcPr>
            <w:tcW w:w="1183" w:type="dxa"/>
            <w:noWrap w:val="0"/>
            <w:vAlign w:val="center"/>
          </w:tcPr>
          <w:p w14:paraId="585EB015">
            <w:pPr>
              <w:adjustRightInd w:val="0"/>
              <w:snapToGrid w:val="0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包名称</w:t>
            </w:r>
          </w:p>
        </w:tc>
        <w:tc>
          <w:tcPr>
            <w:tcW w:w="2200" w:type="dxa"/>
            <w:noWrap w:val="0"/>
            <w:vAlign w:val="center"/>
          </w:tcPr>
          <w:p w14:paraId="59DF8DB6">
            <w:pPr>
              <w:adjustRightInd w:val="0"/>
              <w:snapToGrid w:val="0"/>
              <w:jc w:val="center"/>
              <w:rPr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标的名称</w:t>
            </w:r>
          </w:p>
        </w:tc>
        <w:tc>
          <w:tcPr>
            <w:tcW w:w="2271" w:type="dxa"/>
            <w:tcBorders>
              <w:left w:val="single" w:color="auto" w:sz="4" w:space="0"/>
            </w:tcBorders>
            <w:noWrap w:val="0"/>
            <w:vAlign w:val="center"/>
          </w:tcPr>
          <w:p w14:paraId="77D06A71">
            <w:pPr>
              <w:adjustRightInd w:val="0"/>
              <w:snapToGrid w:val="0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0C0C0C"/>
                <w:szCs w:val="21"/>
              </w:rPr>
              <w:t>简要技术要求</w:t>
            </w:r>
          </w:p>
        </w:tc>
        <w:tc>
          <w:tcPr>
            <w:tcW w:w="1027" w:type="dxa"/>
            <w:tcBorders>
              <w:left w:val="single" w:color="auto" w:sz="4" w:space="0"/>
            </w:tcBorders>
            <w:noWrap w:val="0"/>
            <w:vAlign w:val="center"/>
          </w:tcPr>
          <w:p w14:paraId="16C6CB04">
            <w:pPr>
              <w:adjustRightInd w:val="0"/>
              <w:snapToGrid w:val="0"/>
              <w:jc w:val="center"/>
              <w:rPr>
                <w:rFonts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/>
                <w:color w:val="0C0C0C"/>
                <w:szCs w:val="21"/>
              </w:rPr>
              <w:t>数量</w:t>
            </w:r>
          </w:p>
        </w:tc>
        <w:tc>
          <w:tcPr>
            <w:tcW w:w="844" w:type="dxa"/>
            <w:noWrap w:val="0"/>
            <w:vAlign w:val="center"/>
          </w:tcPr>
          <w:p w14:paraId="268AF8DC">
            <w:pPr>
              <w:adjustRightInd w:val="0"/>
              <w:snapToGrid w:val="0"/>
              <w:jc w:val="center"/>
              <w:rPr>
                <w:color w:val="0C0C0C"/>
                <w:szCs w:val="21"/>
              </w:rPr>
            </w:pPr>
            <w:r>
              <w:rPr>
                <w:rFonts w:hint="eastAsia"/>
                <w:color w:val="0C0C0C"/>
                <w:szCs w:val="21"/>
              </w:rPr>
              <w:t>节能产品</w:t>
            </w:r>
          </w:p>
        </w:tc>
        <w:tc>
          <w:tcPr>
            <w:tcW w:w="800" w:type="dxa"/>
            <w:noWrap w:val="0"/>
            <w:vAlign w:val="center"/>
          </w:tcPr>
          <w:p w14:paraId="0E564EDB">
            <w:pPr>
              <w:adjustRightInd w:val="0"/>
              <w:snapToGrid w:val="0"/>
              <w:jc w:val="center"/>
              <w:rPr>
                <w:color w:val="0C0C0C"/>
                <w:szCs w:val="21"/>
              </w:rPr>
            </w:pPr>
            <w:r>
              <w:rPr>
                <w:rFonts w:hint="eastAsia"/>
                <w:color w:val="0C0C0C"/>
                <w:szCs w:val="21"/>
              </w:rPr>
              <w:t>进口产品</w:t>
            </w:r>
          </w:p>
        </w:tc>
      </w:tr>
      <w:tr w14:paraId="1E96954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615" w:type="dxa"/>
            <w:noWrap w:val="0"/>
            <w:vAlign w:val="center"/>
          </w:tcPr>
          <w:p w14:paraId="5207A920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3C33C328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包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2200" w:type="dxa"/>
            <w:noWrap w:val="0"/>
            <w:vAlign w:val="center"/>
          </w:tcPr>
          <w:p w14:paraId="54708979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eastAsia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临床检验设备</w:t>
            </w:r>
            <w:r>
              <w:rPr>
                <w:rFonts w:hint="eastAsia" w:eastAsia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</w:p>
        </w:tc>
        <w:tc>
          <w:tcPr>
            <w:tcW w:w="2271" w:type="dxa"/>
            <w:tcBorders>
              <w:left w:val="single" w:color="auto" w:sz="4" w:space="0"/>
            </w:tcBorders>
            <w:noWrap w:val="0"/>
            <w:vAlign w:val="center"/>
          </w:tcPr>
          <w:p w14:paraId="279E0A94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详见本章第二节</w:t>
            </w:r>
          </w:p>
        </w:tc>
        <w:tc>
          <w:tcPr>
            <w:tcW w:w="1027" w:type="dxa"/>
            <w:tcBorders>
              <w:left w:val="single" w:color="auto" w:sz="4" w:space="0"/>
            </w:tcBorders>
            <w:noWrap w:val="0"/>
            <w:vAlign w:val="center"/>
          </w:tcPr>
          <w:p w14:paraId="705FC8C9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eastAsia="宋体"/>
                <w:color w:val="0C0C0C"/>
                <w:szCs w:val="21"/>
                <w:lang w:val="en-US" w:eastAsia="zh-CN"/>
              </w:rPr>
            </w:pPr>
            <w:r>
              <w:rPr>
                <w:rFonts w:hint="eastAsia"/>
                <w:color w:val="0C0C0C"/>
                <w:szCs w:val="21"/>
                <w:lang w:val="en-US" w:eastAsia="zh-CN"/>
              </w:rPr>
              <w:t>1批</w:t>
            </w:r>
          </w:p>
        </w:tc>
        <w:tc>
          <w:tcPr>
            <w:tcW w:w="844" w:type="dxa"/>
            <w:noWrap w:val="0"/>
            <w:vAlign w:val="center"/>
          </w:tcPr>
          <w:p w14:paraId="5D62552A">
            <w:pPr>
              <w:adjustRightInd w:val="0"/>
              <w:snapToGrid w:val="0"/>
              <w:spacing w:before="156" w:beforeLines="50" w:line="360" w:lineRule="auto"/>
              <w:jc w:val="center"/>
              <w:rPr>
                <w:color w:val="0C0C0C"/>
                <w:szCs w:val="21"/>
              </w:rPr>
            </w:pPr>
            <w:r>
              <w:rPr>
                <w:rFonts w:hint="eastAsia" w:ascii="宋体" w:hAnsi="宋体"/>
                <w:iCs/>
                <w:color w:val="0C0C0C"/>
                <w:szCs w:val="21"/>
              </w:rPr>
              <w:sym w:font="Wingdings" w:char="00A8"/>
            </w:r>
          </w:p>
        </w:tc>
        <w:tc>
          <w:tcPr>
            <w:tcW w:w="800" w:type="dxa"/>
            <w:noWrap w:val="0"/>
            <w:vAlign w:val="center"/>
          </w:tcPr>
          <w:p w14:paraId="62977674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eastAsia" w:eastAsia="宋体"/>
                <w:color w:val="0C0C0C"/>
                <w:szCs w:val="21"/>
                <w:lang w:eastAsia="zh-CN"/>
              </w:rPr>
            </w:pPr>
            <w:r>
              <w:rPr>
                <w:rFonts w:hint="eastAsia"/>
                <w:color w:val="0C0C0C"/>
                <w:szCs w:val="21"/>
                <w:lang w:eastAsia="zh-CN"/>
              </w:rPr>
              <w:t>否</w:t>
            </w:r>
          </w:p>
        </w:tc>
      </w:tr>
    </w:tbl>
    <w:p w14:paraId="01ED44D5">
      <w:pPr>
        <w:adjustRightInd w:val="0"/>
        <w:snapToGrid w:val="0"/>
        <w:spacing w:before="156" w:beforeLines="50" w:line="360" w:lineRule="auto"/>
        <w:ind w:firstLine="420" w:firstLineChars="200"/>
        <w:rPr>
          <w:rFonts w:ascii="宋体" w:hAnsi="宋体" w:cs="宋体"/>
          <w:color w:val="auto"/>
          <w:kern w:val="0"/>
          <w:szCs w:val="21"/>
        </w:rPr>
        <w:sectPr>
          <w:pgSz w:w="11906" w:h="16838"/>
          <w:pgMar w:top="1474" w:right="1474" w:bottom="1474" w:left="1474" w:header="851" w:footer="992" w:gutter="0"/>
          <w:cols w:space="720" w:num="1"/>
          <w:docGrid w:type="lines" w:linePitch="312" w:charSpace="0"/>
        </w:sectPr>
      </w:pPr>
      <w:bookmarkStart w:id="8" w:name="_GoBack"/>
      <w:bookmarkEnd w:id="8"/>
    </w:p>
    <w:p w14:paraId="034DF14A">
      <w:pPr>
        <w:keepNext/>
        <w:keepLines/>
        <w:adjustRightInd w:val="0"/>
        <w:snapToGrid w:val="0"/>
        <w:spacing w:before="156" w:beforeLines="50" w:line="360" w:lineRule="auto"/>
        <w:jc w:val="center"/>
        <w:outlineLvl w:val="1"/>
        <w:rPr>
          <w:rFonts w:hint="eastAsia" w:ascii="黑体" w:hAnsi="黑体" w:eastAsia="黑体"/>
          <w:b/>
          <w:bCs/>
          <w:color w:val="0C0C0C"/>
          <w:sz w:val="28"/>
          <w:szCs w:val="28"/>
          <w:lang w:eastAsia="zh-CN"/>
        </w:rPr>
      </w:pPr>
      <w:bookmarkStart w:id="2" w:name="_Toc702"/>
      <w:r>
        <w:rPr>
          <w:rFonts w:hint="eastAsia" w:ascii="黑体" w:hAnsi="黑体" w:eastAsia="黑体"/>
          <w:b/>
          <w:bCs/>
          <w:color w:val="0C0C0C"/>
          <w:sz w:val="28"/>
          <w:szCs w:val="28"/>
        </w:rPr>
        <w:t xml:space="preserve">第二节 </w:t>
      </w:r>
      <w:r>
        <w:rPr>
          <w:rFonts w:ascii="黑体" w:hAnsi="黑体" w:eastAsia="黑体"/>
          <w:b/>
          <w:bCs/>
          <w:color w:val="0C0C0C"/>
          <w:sz w:val="28"/>
          <w:szCs w:val="28"/>
        </w:rPr>
        <w:t>技术要求</w:t>
      </w:r>
      <w:bookmarkEnd w:id="2"/>
    </w:p>
    <w:p w14:paraId="52B73E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0C0C0C"/>
          <w:lang w:eastAsia="zh-CN"/>
        </w:rPr>
      </w:pPr>
      <w:r>
        <w:rPr>
          <w:rFonts w:hint="eastAsia" w:ascii="宋体" w:hAnsi="宋体" w:eastAsia="宋体" w:cs="宋体"/>
          <w:b/>
          <w:bCs/>
          <w:color w:val="0C0C0C"/>
          <w:lang w:eastAsia="zh-CN"/>
        </w:rPr>
        <w:t>采购标的需实现的功能或者目标</w:t>
      </w:r>
    </w:p>
    <w:p w14:paraId="6597ACFF">
      <w:pPr>
        <w:pStyle w:val="4"/>
        <w:autoSpaceDE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bookmarkStart w:id="3" w:name="_Toc17660"/>
      <w:bookmarkStart w:id="4" w:name="_Toc84573998"/>
      <w:bookmarkStart w:id="5" w:name="_Toc70069105"/>
      <w:bookmarkStart w:id="6" w:name="_Toc25711"/>
      <w:bookmarkStart w:id="7" w:name="_Toc14475"/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为落实疾病预防控制体系能力提升与机构标准化建设工作任务，补齐实验室硬件短板，提升岳阳市岳阳楼区疾病预防控制中心实验室检验检测综合能力。采购的设备主要用于性病、艾滋病、丙肝等传染病血清学检测，疟疾镜检；同时承担水质检测、工作场所游离二氧化硅等职业病危害因素检测工作。 </w:t>
      </w:r>
    </w:p>
    <w:p w14:paraId="4C20F88A">
      <w:pPr>
        <w:pStyle w:val="4"/>
        <w:autoSpaceDE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通过本批设备采购，完善实验室样本保存、前处理、灭菌消毒、生物安全防护、样本检测、器皿清洗等全流程硬件配置，提高检测工作效率、检测结果准确性，满足辖区（岳阳市岳阳楼区）传染病防控、环境卫生监测、职业卫生风险监测的业务工作需求，保障公共卫生监测工作常态化开展。</w:t>
      </w:r>
    </w:p>
    <w:p w14:paraId="467F3ACC">
      <w:pPr>
        <w:adjustRightInd w:val="0"/>
        <w:snapToGrid w:val="0"/>
        <w:spacing w:beforeLines="50" w:line="360" w:lineRule="auto"/>
        <w:rPr>
          <w:rFonts w:hint="eastAsia" w:ascii="宋体" w:hAnsi="宋体" w:cs="宋体"/>
          <w:b/>
          <w:bCs/>
          <w:color w:val="0C0C0C"/>
          <w:kern w:val="0"/>
          <w:szCs w:val="21"/>
        </w:rPr>
      </w:pPr>
      <w:r>
        <w:rPr>
          <w:rFonts w:hint="eastAsia" w:ascii="宋体" w:hAnsi="宋体" w:eastAsia="宋体" w:cs="宋体"/>
          <w:b/>
          <w:bCs/>
          <w:color w:val="0C0C0C"/>
          <w:lang w:val="en-US" w:eastAsia="zh-CN"/>
        </w:rPr>
        <w:t>二、</w:t>
      </w:r>
      <w:bookmarkEnd w:id="3"/>
      <w:bookmarkEnd w:id="4"/>
      <w:bookmarkEnd w:id="5"/>
      <w:bookmarkEnd w:id="6"/>
      <w:bookmarkEnd w:id="7"/>
      <w:r>
        <w:rPr>
          <w:rFonts w:hint="eastAsia" w:ascii="宋体" w:hAnsi="宋体" w:cs="宋体"/>
          <w:b/>
          <w:bCs/>
          <w:color w:val="0C0C0C"/>
          <w:kern w:val="0"/>
          <w:szCs w:val="21"/>
        </w:rPr>
        <w:t>采购标的需执行的国家相关标准、行业标准、地方标准或者其他标准、规范</w:t>
      </w:r>
    </w:p>
    <w:p w14:paraId="059BE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C0C0C"/>
          <w:sz w:val="21"/>
          <w:szCs w:val="21"/>
          <w:lang w:eastAsia="zh-CN"/>
        </w:rPr>
      </w:pPr>
      <w:r>
        <w:rPr>
          <w:rFonts w:hint="eastAsia"/>
          <w:color w:val="0C0C0C"/>
          <w:sz w:val="21"/>
          <w:szCs w:val="21"/>
          <w:lang w:eastAsia="zh-CN"/>
        </w:rPr>
        <w:t>2.1法律法规：《中华人民共和国计量法》、《中华人民共和国标准化法》、《医疗器械监督管理条例》。</w:t>
      </w:r>
    </w:p>
    <w:p w14:paraId="6163D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C0C0C"/>
          <w:sz w:val="21"/>
          <w:szCs w:val="21"/>
          <w:lang w:eastAsia="zh-CN"/>
        </w:rPr>
      </w:pPr>
      <w:r>
        <w:rPr>
          <w:rFonts w:hint="eastAsia"/>
          <w:color w:val="0C0C0C"/>
          <w:sz w:val="21"/>
          <w:szCs w:val="21"/>
          <w:lang w:eastAsia="zh-CN"/>
        </w:rPr>
        <w:t>2.2产品专用标准：</w:t>
      </w:r>
    </w:p>
    <w:p w14:paraId="7FE5F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C0C0C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C0C0C"/>
          <w:sz w:val="21"/>
          <w:szCs w:val="21"/>
          <w:lang w:eastAsia="zh-CN"/>
        </w:rPr>
        <w:t>★</w:t>
      </w:r>
      <w:r>
        <w:rPr>
          <w:rFonts w:hint="eastAsia"/>
          <w:color w:val="0C0C0C"/>
          <w:sz w:val="21"/>
          <w:szCs w:val="21"/>
          <w:lang w:eastAsia="zh-CN"/>
        </w:rPr>
        <w:t>（1）生物安全柜执行GB 41918</w:t>
      </w:r>
      <w:r>
        <w:rPr>
          <w:rFonts w:hint="eastAsia"/>
          <w:color w:val="0C0C0C"/>
          <w:sz w:val="21"/>
          <w:szCs w:val="21"/>
          <w:lang w:val="en-US" w:eastAsia="zh-CN"/>
        </w:rPr>
        <w:t>-</w:t>
      </w:r>
      <w:r>
        <w:rPr>
          <w:rFonts w:hint="eastAsia"/>
          <w:color w:val="0C0C0C"/>
          <w:sz w:val="21"/>
          <w:szCs w:val="21"/>
          <w:lang w:eastAsia="zh-CN"/>
        </w:rPr>
        <w:t>2022《生物安全柜》强制性国家标准；</w:t>
      </w:r>
    </w:p>
    <w:p w14:paraId="28603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C0C0C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C0C0C"/>
          <w:sz w:val="21"/>
          <w:szCs w:val="21"/>
          <w:lang w:eastAsia="zh-CN"/>
        </w:rPr>
        <w:t>★</w:t>
      </w:r>
      <w:r>
        <w:rPr>
          <w:rFonts w:hint="eastAsia"/>
          <w:color w:val="0C0C0C"/>
          <w:sz w:val="21"/>
          <w:szCs w:val="21"/>
          <w:lang w:eastAsia="zh-CN"/>
        </w:rPr>
        <w:t>（</w:t>
      </w:r>
      <w:r>
        <w:rPr>
          <w:rFonts w:hint="eastAsia"/>
          <w:color w:val="0C0C0C"/>
          <w:sz w:val="21"/>
          <w:szCs w:val="21"/>
          <w:lang w:val="en-US" w:eastAsia="zh-CN"/>
        </w:rPr>
        <w:t>2</w:t>
      </w:r>
      <w:r>
        <w:rPr>
          <w:rFonts w:hint="eastAsia"/>
          <w:color w:val="0C0C0C"/>
          <w:sz w:val="21"/>
          <w:szCs w:val="21"/>
          <w:lang w:eastAsia="zh-CN"/>
        </w:rPr>
        <w:t>）医疗器械类产品应符合《医疗器械监督管理条例》规定的强制性国家标准、强制性行业标准。</w:t>
      </w:r>
    </w:p>
    <w:p w14:paraId="3CE9D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C0C0C"/>
          <w:sz w:val="21"/>
          <w:szCs w:val="21"/>
          <w:lang w:eastAsia="zh-CN"/>
        </w:rPr>
      </w:pPr>
      <w:r>
        <w:rPr>
          <w:rFonts w:hint="eastAsia"/>
          <w:color w:val="0C0C0C"/>
          <w:sz w:val="21"/>
          <w:szCs w:val="21"/>
          <w:lang w:eastAsia="zh-CN"/>
        </w:rPr>
        <w:t>2.</w:t>
      </w:r>
      <w:r>
        <w:rPr>
          <w:rFonts w:hint="eastAsia"/>
          <w:color w:val="0C0C0C"/>
          <w:sz w:val="21"/>
          <w:szCs w:val="21"/>
          <w:lang w:val="en-US" w:eastAsia="zh-CN"/>
        </w:rPr>
        <w:t>3</w:t>
      </w:r>
      <w:r>
        <w:rPr>
          <w:rFonts w:hint="eastAsia"/>
          <w:color w:val="0C0C0C"/>
          <w:sz w:val="21"/>
          <w:szCs w:val="21"/>
          <w:lang w:eastAsia="zh-CN"/>
        </w:rPr>
        <w:t>通用安全标准：电气安全符合现行有效的GB 4793系列《测量、控制和实验室用电气设备的安全要求》；</w:t>
      </w:r>
    </w:p>
    <w:p w14:paraId="1FDF1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C0C0C"/>
          <w:sz w:val="21"/>
          <w:szCs w:val="21"/>
          <w:lang w:eastAsia="zh-CN"/>
        </w:rPr>
      </w:pPr>
      <w:r>
        <w:rPr>
          <w:rFonts w:hint="eastAsia"/>
          <w:color w:val="0C0C0C"/>
          <w:sz w:val="21"/>
          <w:szCs w:val="21"/>
          <w:lang w:eastAsia="zh-CN"/>
        </w:rPr>
        <w:t>2.</w:t>
      </w:r>
      <w:r>
        <w:rPr>
          <w:rFonts w:hint="eastAsia"/>
          <w:color w:val="0C0C0C"/>
          <w:sz w:val="21"/>
          <w:szCs w:val="21"/>
          <w:lang w:val="en-US" w:eastAsia="zh-CN"/>
        </w:rPr>
        <w:t>4</w:t>
      </w:r>
      <w:r>
        <w:rPr>
          <w:rFonts w:hint="eastAsia"/>
          <w:color w:val="0C0C0C"/>
          <w:sz w:val="21"/>
          <w:szCs w:val="21"/>
          <w:lang w:eastAsia="zh-CN"/>
        </w:rPr>
        <w:t>其他：设备须符合国家节能、环保相关要求；设备使用同时满足病原微生物实验室生物安全相关管理规范。</w:t>
      </w:r>
    </w:p>
    <w:p w14:paraId="69551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0C0C0C"/>
          <w:sz w:val="21"/>
          <w:szCs w:val="21"/>
          <w:lang w:eastAsia="zh-CN"/>
        </w:rPr>
      </w:pPr>
      <w:r>
        <w:rPr>
          <w:rFonts w:hint="eastAsia"/>
          <w:color w:val="0C0C0C"/>
          <w:sz w:val="21"/>
          <w:szCs w:val="21"/>
          <w:lang w:eastAsia="zh-CN"/>
        </w:rPr>
        <w:t>注：以上均执行现行有效版本，若国家发布更新版本标准，则以最新有效版本为准。</w:t>
      </w:r>
    </w:p>
    <w:p w14:paraId="4908E3FD">
      <w:pPr>
        <w:numPr>
          <w:ilvl w:val="0"/>
          <w:numId w:val="2"/>
        </w:numPr>
        <w:adjustRightInd w:val="0"/>
        <w:snapToGrid w:val="0"/>
        <w:spacing w:beforeLines="50" w:line="360" w:lineRule="auto"/>
        <w:rPr>
          <w:rFonts w:hint="eastAsia"/>
          <w:b/>
          <w:bCs/>
          <w:color w:val="0C0C0C"/>
          <w:lang w:eastAsia="zh-CN"/>
        </w:rPr>
      </w:pPr>
      <w:r>
        <w:rPr>
          <w:rFonts w:hint="eastAsia" w:ascii="宋体" w:hAnsi="宋体" w:cs="宋体"/>
          <w:b/>
          <w:bCs/>
          <w:color w:val="0C0C0C"/>
          <w:kern w:val="0"/>
          <w:szCs w:val="21"/>
        </w:rPr>
        <w:t>采购标的需满足的质量、安全、技术规格、物理特性等要求</w:t>
      </w:r>
    </w:p>
    <w:p w14:paraId="6B6586CA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3.1所有设备为全新原厂正品，质量合格，外观完好无破损，包装完整。</w:t>
      </w:r>
    </w:p>
    <w:p w14:paraId="0CE17F33">
      <w:pPr>
        <w:pStyle w:val="4"/>
        <w:autoSpaceDE w:val="0"/>
        <w:spacing w:line="360" w:lineRule="auto"/>
        <w:rPr>
          <w:rFonts w:hint="default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各产品具体技术参数要求</w:t>
      </w:r>
    </w:p>
    <w:p w14:paraId="7C7F0A82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3.2.1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酶标分析仪</w:t>
      </w:r>
    </w:p>
    <w:p w14:paraId="60B9A07A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操作方式：可外接电脑控制，支持鼠标、键盘操作。 </w:t>
      </w:r>
    </w:p>
    <w:p w14:paraId="0324E57E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测试方法：速率法、两点法、终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点法；</w:t>
      </w:r>
    </w:p>
    <w:p w14:paraId="1234A970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测量范围：0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4.000Abs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;</w:t>
      </w:r>
    </w:p>
    <w:p w14:paraId="1A2CEDA1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滤光片：配置 340、405、450、492 和 630nm 5 片，最多可装载8片，配置的每个波长均具备检测功能；</w:t>
      </w:r>
    </w:p>
    <w:p w14:paraId="366FA330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具备紫外光检测功能，满足微量样本的临床生化分析需求，可开展 AST、ALT 等生化检测项目。</w:t>
      </w:r>
    </w:p>
    <w:p w14:paraId="325C9168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重复性：＜0.5%；</w:t>
      </w:r>
    </w:p>
    <w:p w14:paraId="31651EAF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稳定性：±0.005；</w:t>
      </w:r>
    </w:p>
    <w:p w14:paraId="3DD21228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振板功能：具备，速度和时间可调。</w:t>
      </w:r>
    </w:p>
    <w:p w14:paraId="110ED9E6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孵育功能：内置孵育器，可实现机内实时孵育。</w:t>
      </w:r>
    </w:p>
    <w:p w14:paraId="1CE82402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孵育温控范围：高于环境温度4℃至50℃之间。 </w:t>
      </w:r>
    </w:p>
    <w:p w14:paraId="50A46845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项目设置：在同一块板上可同时设置12个以上不同的项目。 </w:t>
      </w:r>
    </w:p>
    <w:p w14:paraId="547D9D85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对照设置：可在任意位置设置5对以上的阴阳性对照。 </w:t>
      </w:r>
    </w:p>
    <w:p w14:paraId="2DF1FAA4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存储：可存储500组以上程序，10万个以上测试结果。 </w:t>
      </w:r>
    </w:p>
    <w:p w14:paraId="6FD55073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质控：可做 Westguard 多规则质控和即刻法质控，可存储不少于3年的质控图。 </w:t>
      </w:r>
    </w:p>
    <w:p w14:paraId="31C75283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权限管理：具有多种权限分级保护，防止未经授权使用。 </w:t>
      </w:r>
    </w:p>
    <w:p w14:paraId="7230D3FA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打印：外接打印机，可打印中文报告。 </w:t>
      </w:r>
    </w:p>
    <w:p w14:paraId="42469677">
      <w:pPr>
        <w:pStyle w:val="4"/>
        <w:numPr>
          <w:ilvl w:val="0"/>
          <w:numId w:val="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工作环境：0℃～40℃；相对湿度≤85% 。</w:t>
      </w:r>
    </w:p>
    <w:p w14:paraId="340F8488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3.2.2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超纯水仪</w:t>
      </w:r>
    </w:p>
    <w:p w14:paraId="230BF667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  <w:t>功能要求：出水达到 GB/T6682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  <w:t>2008 中的一级水水质要求。</w:t>
      </w:r>
    </w:p>
    <w:p w14:paraId="62203C5C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  <w:t>以城市自来水为进水，可同时产出 RO 纯水和UP一级超纯水。</w:t>
      </w:r>
    </w:p>
    <w:p w14:paraId="67CF89AA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  <w:t>出水量：20L/h (25℃) 。</w:t>
      </w:r>
    </w:p>
    <w:p w14:paraId="4572451B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highlight w:val="none"/>
          <w:lang w:val="en-US" w:eastAsia="zh-CN" w:bidi="ar-SA"/>
        </w:rPr>
        <w:t>进水条件：自来水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，进水压力：0.1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0.4 MPa，水温：5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45℃ 。</w:t>
      </w:r>
    </w:p>
    <w:p w14:paraId="583E4840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纯水电导率≤10μS/cm@25℃ 。</w:t>
      </w:r>
    </w:p>
    <w:p w14:paraId="08CAB43C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一级水电阻率：18.25MΩ・cm@25℃ 。</w:t>
      </w:r>
    </w:p>
    <w:p w14:paraId="3B9C616E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总有机碳：1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5PPb 。</w:t>
      </w:r>
    </w:p>
    <w:p w14:paraId="65EE9FC4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颗粒物（≥0.2μm）≤1个 /ml 。</w:t>
      </w:r>
    </w:p>
    <w:p w14:paraId="496B5C5E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微生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物＜1cfu/ml 。</w:t>
      </w:r>
    </w:p>
    <w:p w14:paraId="72C11BA6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配备0.22μm 终端过滤器，无需冲洗维护。</w:t>
      </w:r>
    </w:p>
    <w:p w14:paraId="6124C427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系统全自动控制，具有开机自检、缺水停电自动保护、全自动连续产水，自动运行，无需人工操作。 </w:t>
      </w:r>
    </w:p>
    <w:p w14:paraId="3CBAF061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系统具有低压保护功能。 </w:t>
      </w:r>
    </w:p>
    <w:p w14:paraId="258209EC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预处理模块可有效去除余氯、有机物，保护 RO 膜，延长膜使用寿命。</w:t>
      </w:r>
    </w:p>
    <w:p w14:paraId="3EAA73D8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 RO 膜自动冲洗设计。</w:t>
      </w:r>
    </w:p>
    <w:p w14:paraId="173B4109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超纯化模块具备高效纯化能力，提高纯化效率。</w:t>
      </w:r>
    </w:p>
    <w:p w14:paraId="254A1AB9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超纯水水质、水温可实时在线监测显示。</w:t>
      </w:r>
    </w:p>
    <w:p w14:paraId="24C6D4F6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配备储水容器，降低纯水二次污染风险。</w:t>
      </w:r>
    </w:p>
    <w:p w14:paraId="77E1DF6A">
      <w:pPr>
        <w:pStyle w:val="4"/>
        <w:numPr>
          <w:ilvl w:val="0"/>
          <w:numId w:val="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配备紫外抑菌组件，去除水中细菌。）</w:t>
      </w:r>
    </w:p>
    <w:p w14:paraId="4875E243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3.2.3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 xml:space="preserve">超低温冰箱 </w:t>
      </w:r>
    </w:p>
    <w:p w14:paraId="3E59BC3E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工作条件：电源 220V，50Hz；环境温度：10～32℃；</w:t>
      </w:r>
    </w:p>
    <w:p w14:paraId="4EC08E1F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样式：立式；</w:t>
      </w:r>
    </w:p>
    <w:p w14:paraId="061063FE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压缩机：双压缩机配置；</w:t>
      </w:r>
    </w:p>
    <w:p w14:paraId="3B21A0F0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保温材料：无氟聚氨酯发泡，保温层 130mm；</w:t>
      </w:r>
    </w:p>
    <w:p w14:paraId="4C7B14E5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制冷剂：采用碳氢制冷剂；</w:t>
      </w:r>
    </w:p>
    <w:p w14:paraId="64DF623F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容积：340升以上；</w:t>
      </w:r>
    </w:p>
    <w:p w14:paraId="73C8D918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微电脑控制，微电脑控制，液晶显示，箱内温度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40℃~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86℃可调，具备超温报警、断电记忆，显示精度 0.1℃；</w:t>
      </w:r>
    </w:p>
    <w:p w14:paraId="7D9C5F31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显示：可查询数据及查看运行曲线；显示压机运转、风机运转、设定温度、当前电压、环境温度、当前时间等；</w:t>
      </w:r>
    </w:p>
    <w:p w14:paraId="7F5991B3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多种故障报警：高温、低温、电压超标、环境温度过高、传感器故障、断电、冷凝器脏、开门时间长、电池电量低等报警；两种报警方式（声音蜂鸣报警、报警图标闪烁报警）；</w:t>
      </w:r>
    </w:p>
    <w:p w14:paraId="04834165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多种保护功能：开机延时保护可设定时间、密码保护、断电间隔保护、故障模式运行保护等；</w:t>
      </w:r>
    </w:p>
    <w:p w14:paraId="2F452875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远程报警功能：可连接报警器到其他房间实现报警功能；</w:t>
      </w:r>
    </w:p>
    <w:p w14:paraId="0BA35134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具备重型脚轮带止动螺钉，移动固定方便；</w:t>
      </w:r>
    </w:p>
    <w:p w14:paraId="538BD5CD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冷凝风机：高效节能冷凝风机两个，可根据环境温度实现智能开停，有效节能；</w:t>
      </w:r>
    </w:p>
    <w:p w14:paraId="0B1DB834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密封性能：内外门三道密封条结构，采用耐腐蚀、耐低温的硅胶材料，独立气囊结构，密封效果好，降低结霜。</w:t>
      </w:r>
    </w:p>
    <w:p w14:paraId="4EB350C1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材料：箱外壳采用优质冷板；特种电锌板喷涂内胆，防腐、便于清洁，制冷效果好；</w:t>
      </w:r>
    </w:p>
    <w:p w14:paraId="5A6EA709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内门：内门具有双气囊密封条，单独密封。可独立分别存取物品，以减小箱内温度波动，并有效保证物品安全保存。</w:t>
      </w:r>
    </w:p>
    <w:p w14:paraId="1387D1FD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配备双测试孔，测试孔直径≥30mm，方便用户实验使用和监控箱内温度；</w:t>
      </w:r>
    </w:p>
    <w:p w14:paraId="49C0DCC6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开门报警：通过稳定可靠的门开关，在没有关门的时候及时提醒用户，确保样本安全；</w:t>
      </w:r>
    </w:p>
    <w:p w14:paraId="0C84CF37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配备3个免加热气压平衡阀，解决短时间内连续多次开门；</w:t>
      </w:r>
    </w:p>
    <w:p w14:paraId="49F4DB4F">
      <w:pPr>
        <w:pStyle w:val="4"/>
        <w:numPr>
          <w:ilvl w:val="0"/>
          <w:numId w:val="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接口：可以通过USB接口下载箱内温度、设定温度、环境温度、电网电压、开关门次数等；数据可保存10年；配备配置RS485数据接口，可同计算机连接，实现数据通讯。</w:t>
      </w:r>
    </w:p>
    <w:p w14:paraId="781DD580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3.2.4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医用冷藏箱</w:t>
      </w:r>
    </w:p>
    <w:p w14:paraId="5B7A5B09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有效容积 320L 以上。样式：立式，单门； </w:t>
      </w:r>
    </w:p>
    <w:p w14:paraId="44C9D27F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箱体材料：预涂板；</w:t>
      </w:r>
    </w:p>
    <w:p w14:paraId="4E6E6AAF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内胆材料：高光 HIPS；</w:t>
      </w:r>
    </w:p>
    <w:p w14:paraId="38CC4FF4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保温材料：无 CFC 聚氨酯发泡；</w:t>
      </w:r>
    </w:p>
    <w:p w14:paraId="4B822EC8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温度控制：高精度微电脑温度控制系统，温度控制在 2℃～8℃范围内，显示分辨率 0.1℃；</w:t>
      </w:r>
    </w:p>
    <w:p w14:paraId="791A8B3F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多种声光报警功能：高低温报警、开门报警、传感器故障报警。</w:t>
      </w:r>
    </w:p>
    <w:p w14:paraId="77CEC67F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两种报警方式：声音蜂鸣器报警、闪烁报警1秒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/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次。</w:t>
      </w:r>
    </w:p>
    <w:p w14:paraId="2493DCC6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采用具有优势的吹胀板蒸发器，可以提高换热效率，制冷速度更快。</w:t>
      </w:r>
    </w:p>
    <w:p w14:paraId="0A6A5F8F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强制风循环，箱内多个出风口，确保箱体内部温度均匀性。</w:t>
      </w:r>
    </w:p>
    <w:p w14:paraId="7E176375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采用高性能保温材料。</w:t>
      </w:r>
    </w:p>
    <w:p w14:paraId="4B3B0861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采用高效压缩机。</w:t>
      </w:r>
    </w:p>
    <w:p w14:paraId="5ACDE54F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整机低噪音运行，配置减噪措施。</w:t>
      </w:r>
    </w:p>
    <w:p w14:paraId="39BCC9DA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镀膜玻璃门，防凝露、可视效果好。</w:t>
      </w:r>
    </w:p>
    <w:p w14:paraId="0E217D28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配置 LED 照明系统，视物清晰。</w:t>
      </w:r>
    </w:p>
    <w:p w14:paraId="0E5B6637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箱体配备1个测试孔，便于安装外置温度监控模块。</w:t>
      </w:r>
    </w:p>
    <w:p w14:paraId="2B17F018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配置4层4个高度可调浸塑搁架。</w:t>
      </w:r>
    </w:p>
    <w:p w14:paraId="6B259601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安全门锁设计，防止随意开启。</w:t>
      </w:r>
    </w:p>
    <w:p w14:paraId="69015C5A">
      <w:pPr>
        <w:pStyle w:val="4"/>
        <w:numPr>
          <w:ilvl w:val="0"/>
          <w:numId w:val="6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箱体底部配2个万向轮+2个定向轮+2个底脚，便于移动和安放。</w:t>
      </w:r>
    </w:p>
    <w:p w14:paraId="768CB840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3.2.5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医用冷藏冷冻冰箱</w:t>
      </w:r>
    </w:p>
    <w:p w14:paraId="3AAC3141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样式：立式，双门；</w:t>
      </w:r>
    </w:p>
    <w:p w14:paraId="0EFB1E75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有效容积≧310L (冷藏≧210L，冷冻≧100L)；</w:t>
      </w:r>
    </w:p>
    <w:p w14:paraId="3409991F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冷藏温度2~8℃，冷冻温度-10~-30℃（可调）；</w:t>
      </w:r>
    </w:p>
    <w:p w14:paraId="1268430B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温度控制：微电脑控制，冷藏显示分辨率0.1℃，冷冻显示分辨率0.1℃；</w:t>
      </w:r>
    </w:p>
    <w:p w14:paraId="76AD2557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上下门配备独立锁扣，安全可靠；</w:t>
      </w:r>
    </w:p>
    <w:p w14:paraId="6CAD7D4A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多种报警功能：高低温报警、开门报警、断电报警、环温报警、电池电量低报警、通讯故障报警、传感器故障报警；</w:t>
      </w:r>
    </w:p>
    <w:p w14:paraId="26382636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两种报警方式：声音蜂鸣器报警、闪烁报警；</w:t>
      </w:r>
    </w:p>
    <w:p w14:paraId="6946EF65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存储安全：双压缩机独立制冷系统，冷藏冷冻单独显示，可独立开关；</w:t>
      </w:r>
    </w:p>
    <w:p w14:paraId="25F4D84A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采用高效压缩机，碳氢制冷剂；低噪音风机，节能高效；</w:t>
      </w:r>
    </w:p>
    <w:p w14:paraId="6DF45AA7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按键屏功能：微电脑控制，可同时显示冷藏室温度和冷冻室温度，能设定箱内温度、高低温报警，具有故障指示灯，出现报警或故障时指示灯显示；</w:t>
      </w:r>
    </w:p>
    <w:p w14:paraId="2AB80422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有脚轮加底脚设计（4个脚轮/2个底脚），方便移动调整；</w:t>
      </w:r>
    </w:p>
    <w:p w14:paraId="364DCB72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配备蓄电池，断电后可为屏幕供电≥72小时；</w:t>
      </w:r>
    </w:p>
    <w:p w14:paraId="7B6D275B">
      <w:pPr>
        <w:pStyle w:val="4"/>
        <w:numPr>
          <w:ilvl w:val="0"/>
          <w:numId w:val="7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整机低噪音运行，噪音≤41db(A) 。</w:t>
      </w:r>
    </w:p>
    <w:p w14:paraId="1B6A35C8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3.2.6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highlight w:val="none"/>
          <w:lang w:val="en-US" w:eastAsia="zh-CN" w:bidi="ar-SA"/>
        </w:rPr>
        <w:t>干热灭菌器</w:t>
      </w:r>
    </w:p>
    <w:p w14:paraId="639790A5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迅速、安全、可靠的灭菌功能。灭菌方式：自然对流式干热灭菌。</w:t>
      </w:r>
    </w:p>
    <w:p w14:paraId="12017D74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使用温度范围：室温 +5 ~ 260℃。</w:t>
      </w:r>
    </w:p>
    <w:p w14:paraId="2C17393E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温度波动度：±0.5℃（at 260℃）。</w:t>
      </w:r>
    </w:p>
    <w:p w14:paraId="699BE27B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温度均匀度：±3% (at 260℃）。</w:t>
      </w:r>
    </w:p>
    <w:p w14:paraId="16103F88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最高温度到达时间：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≤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70分钟。</w:t>
      </w:r>
    </w:p>
    <w:p w14:paraId="6A0E460D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易操作，控制器运行功能包括定值运行、程序运行、自动停止运行、自动开始运行。</w:t>
      </w:r>
    </w:p>
    <w:p w14:paraId="5D5E93BA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控制器温度控制方式：支持多段程序控制，满足定值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/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程序运行。</w:t>
      </w:r>
    </w:p>
    <w:p w14:paraId="0EBA6A04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控制器温度表示方式带数码显示。</w:t>
      </w:r>
    </w:p>
    <w:p w14:paraId="3F08F6EA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控制器定时器可设置时间：1分～99小时59分以及100～999小时50分（带定时等待功能）。</w:t>
      </w:r>
    </w:p>
    <w:p w14:paraId="2888DE53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具备偏差修正、按键锁、停电补偿功能。</w:t>
      </w:r>
    </w:p>
    <w:p w14:paraId="73085B1D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具备安全装置：自诊断回路（温度传感异常、加热器断线、自动过升防止功能、SSR短路）、过升防止器、防止过电流漏电保护开关、按键锁功能。</w:t>
      </w:r>
    </w:p>
    <w:p w14:paraId="213C72BF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内装：不锈钢板。外装：冷轧钢板，表面耐药品性涂装。</w:t>
      </w:r>
    </w:p>
    <w:p w14:paraId="4F2692E1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断热材：玻璃纤维。加热器：镍铬合金加热丝。</w:t>
      </w:r>
    </w:p>
    <w:p w14:paraId="010EC5F0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传感器：K型热电偶（温度调节器以及过升防止器）。</w:t>
      </w:r>
    </w:p>
    <w:p w14:paraId="23467F15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内容积≧75L。</w:t>
      </w:r>
    </w:p>
    <w:p w14:paraId="0F2D9C45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棚板承重：15kg/层。棚板层数：10层。棚受间距：30mm。</w:t>
      </w:r>
    </w:p>
    <w:p w14:paraId="265B8569">
      <w:pPr>
        <w:pStyle w:val="4"/>
        <w:numPr>
          <w:ilvl w:val="0"/>
          <w:numId w:val="8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电源 AC220V。</w:t>
      </w:r>
    </w:p>
    <w:p w14:paraId="4EB396CD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注：成交供应商供货前实地勘查实验室现场，设备外形尺寸须满足采购人实验室安放条件，若设备尺寸无法进场就位，成交供应商须无条件更换适配设备，相关费用自行承担。</w:t>
      </w:r>
    </w:p>
    <w:p w14:paraId="7F02D62C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3.2.7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高压灭菌器</w:t>
      </w:r>
    </w:p>
    <w:p w14:paraId="4CB3003C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容积：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≥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100L；</w:t>
      </w:r>
    </w:p>
    <w:p w14:paraId="29275A3C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额定工作压力 0.23MPa，设计压力 0.28MPa，安全阀整定压力 0.28MPa。压力表量程：0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0.4MPa，精度等级 1.6 级。 </w:t>
      </w:r>
    </w:p>
    <w:p w14:paraId="10F7D3A4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使用温度 105～136℃，灭菌时间 0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999min；保温温度45-60℃，保温时间0-99min。</w:t>
      </w:r>
    </w:p>
    <w:p w14:paraId="0086890C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灭菌腔体、灭菌提篮均为优质不锈钢SUS304材质制成，内部抛光处理，机器内置水箱，汽水内循环。</w:t>
      </w:r>
    </w:p>
    <w:p w14:paraId="49DC8C9E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手轮式平移门结构，并具有门安全联锁装置及门检测装置，腔体带压力时门不能开启，门未关好程序不能启动。</w:t>
      </w:r>
    </w:p>
    <w:p w14:paraId="08735EF3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具备防干烧、超压、超温保护，故障声光警示。</w:t>
      </w:r>
    </w:p>
    <w:p w14:paraId="05A27EB3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采用重力置换和正压脉动排气方式，脉动次数0-9次。</w:t>
      </w:r>
    </w:p>
    <w:p w14:paraId="687F0F3B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蒸汽产生方式：设备主体内加热产生饱和蒸汽，无需外接蒸汽源。</w:t>
      </w:r>
    </w:p>
    <w:p w14:paraId="1F1CC8BB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LED数字显示灭菌腔内温度、时间和故障报警代码。温度显示精度0.1℃。</w:t>
      </w:r>
    </w:p>
    <w:p w14:paraId="15465C19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微电脑控制，预设多套灭菌程序，支持自定义程序。</w:t>
      </w:r>
    </w:p>
    <w:p w14:paraId="50DBDD7B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设备注水、升温、灭菌、排气整个流程全自动运行，灭菌完成后声光提醒。</w:t>
      </w:r>
    </w:p>
    <w:p w14:paraId="4235D2B5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灭菌腔体温度均匀性：≤2℃。</w:t>
      </w:r>
    </w:p>
    <w:p w14:paraId="718CD74F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脉动排气技术，确保蒸汽饱和度。</w:t>
      </w:r>
    </w:p>
    <w:p w14:paraId="049B6CEC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全防护式门罩，铰链、转轴均不外露。</w:t>
      </w:r>
    </w:p>
    <w:p w14:paraId="7F67CBDE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具有快速排气和慢速排气功能；</w:t>
      </w:r>
    </w:p>
    <w:p w14:paraId="0F9F0E80">
      <w:pPr>
        <w:pStyle w:val="4"/>
        <w:numPr>
          <w:ilvl w:val="0"/>
          <w:numId w:val="9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具有医疗器械注册证。</w:t>
      </w:r>
    </w:p>
    <w:p w14:paraId="05A9C2A0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3.2.8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生物安全柜（双人）</w:t>
      </w:r>
    </w:p>
    <w:p w14:paraId="651B7BF1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30% 外排，70% 循环；</w:t>
      </w:r>
    </w:p>
    <w:p w14:paraId="11E3DDC2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外部尺寸：长度≥1500mm，宽度≤800mm；</w:t>
      </w:r>
    </w:p>
    <w:p w14:paraId="65951CC4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平均下降风速：0.33±0.025m/s；</w:t>
      </w:r>
    </w:p>
    <w:p w14:paraId="15F913AC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平均吸入口风速0.53±0.025m/s；</w:t>
      </w:r>
    </w:p>
    <w:p w14:paraId="1EA2F8BE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系统排风总量：≥500 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m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vertAlign w:val="superscript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/h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；</w:t>
      </w:r>
    </w:p>
    <w:p w14:paraId="4FF83B3F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噪音等级：≤67dB（A）；</w:t>
      </w:r>
    </w:p>
    <w:p w14:paraId="2C8FDF0F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照明：≥1000lx；</w:t>
      </w:r>
    </w:p>
    <w:p w14:paraId="29548694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过滤器对 0.12μm 颗粒过滤效率≥99.9995%；</w:t>
      </w:r>
    </w:p>
    <w:p w14:paraId="663ECC16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人员安全性：用碘化钾（KI）法测试，前窗操作口的保护因子应不小于1×10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vertAlign w:val="superscript"/>
          <w:lang w:val="en-US" w:eastAsia="zh-CN" w:bidi="ar-SA"/>
        </w:rPr>
        <w:t>5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；</w:t>
      </w:r>
    </w:p>
    <w:p w14:paraId="6718656B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产品安全性：菌落数≤5CFU/次；</w:t>
      </w:r>
    </w:p>
    <w:p w14:paraId="4B57E9DD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★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交叉污染安全性：菌落数≤2CFU/次；</w:t>
      </w:r>
    </w:p>
    <w:p w14:paraId="4006C6E0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LCD彩色液晶显示屏，全参数显示，实时动态显示操作区的下降气流流速和流入气流流速，显示安全柜的整体运行时间，UV灯的运行时间，操作区的温度和湿度，送风和排风过滤器的阻力，显示过滤器的使用时间；</w:t>
      </w:r>
    </w:p>
    <w:p w14:paraId="22BDE606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前窗玻璃采用双层夹胶防爆安全玻璃；</w:t>
      </w:r>
    </w:p>
    <w:p w14:paraId="6E32805E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脚踏电动、轻触按键、遥控电动三种方式灵活控制玻璃门升降；</w:t>
      </w:r>
    </w:p>
    <w:p w14:paraId="1AF54680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负压风道设有异物过滤结构，防止纸屑等异物进入风机系统影响产品正常运行；</w:t>
      </w:r>
    </w:p>
    <w:p w14:paraId="14047C50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紫外灯与前窗关闭状态安全互锁。</w:t>
      </w:r>
    </w:p>
    <w:p w14:paraId="5F8F8A71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完善的报警系统：玻璃门不在安全高度报警、过滤器压力超高报警、过滤器失效更换报警、气流波动报警；</w:t>
      </w:r>
    </w:p>
    <w:p w14:paraId="0B52B9A6">
      <w:pPr>
        <w:pStyle w:val="4"/>
        <w:numPr>
          <w:ilvl w:val="0"/>
          <w:numId w:val="10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具有医疗器械注册证。</w:t>
      </w:r>
    </w:p>
    <w:p w14:paraId="3395E240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3.2.9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移液枪（含5000ul、1000ul、100ul、10ul，单道密封结构）</w:t>
      </w:r>
    </w:p>
    <w:p w14:paraId="1C90BB33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人体工程学设计；</w:t>
      </w:r>
    </w:p>
    <w:p w14:paraId="2EF91071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重量轻，量程调节轻盈顺畅，吸排液按压省力。</w:t>
      </w:r>
    </w:p>
    <w:p w14:paraId="2DF2AD20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有量程锁。</w:t>
      </w:r>
    </w:p>
    <w:p w14:paraId="0630A34F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四位数字视窗显示。</w:t>
      </w:r>
    </w:p>
    <w:p w14:paraId="14B04CA2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使用附件工具，能方便快捷地进行校准和维修。</w:t>
      </w:r>
    </w:p>
    <w:p w14:paraId="3F3FB0DA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精确的分液，每支移液器都按ISO8655标准进行校准。</w:t>
      </w:r>
    </w:p>
    <w:p w14:paraId="1A372C97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提供好的化学和物理防护，可整支高温高压灭菌，增强抗紫外性，提高使用耐久性。</w:t>
      </w:r>
    </w:p>
    <w:p w14:paraId="6A4C4EEE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内含滤芯，减少挥发性试剂进入枪体，避免操作不当引起的液体回流，防止腐蚀活塞和污染。</w:t>
      </w:r>
    </w:p>
    <w:p w14:paraId="7AE77C23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枪体采用单道密封结构，保障移液密封性，降低漏液风险。</w:t>
      </w:r>
    </w:p>
    <w:p w14:paraId="19012864">
      <w:pPr>
        <w:pStyle w:val="4"/>
        <w:numPr>
          <w:ilvl w:val="0"/>
          <w:numId w:val="11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可提供在线校准。</w:t>
      </w:r>
    </w:p>
    <w:p w14:paraId="5CFEE0AA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3.2.10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高速冷冻离心机</w:t>
      </w:r>
    </w:p>
    <w:p w14:paraId="0E788C69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交流变频电机驱动，带制冷系统。</w:t>
      </w:r>
    </w:p>
    <w:p w14:paraId="468AC4A4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门盖机身双层密封圈，密封性好；</w:t>
      </w:r>
    </w:p>
    <w:p w14:paraId="0796AF63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微机控制，彩色大屏幕显示，程序可编可存，转速、离心力、时间可同时显示；</w:t>
      </w:r>
    </w:p>
    <w:p w14:paraId="598E6630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三级阻尼减震；</w:t>
      </w:r>
    </w:p>
    <w:p w14:paraId="1D636E23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具备超速、超温、电子门锁多级安全保护；</w:t>
      </w:r>
    </w:p>
    <w:p w14:paraId="598991A0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最大转速≥16500r/min；</w:t>
      </w:r>
    </w:p>
    <w:p w14:paraId="10873268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最大离心力≥19480</w:t>
      </w:r>
      <w:r>
        <w:rPr>
          <w:rFonts w:hint="default" w:ascii="Arial" w:hAnsi="Arial" w:eastAsia="宋体" w:cs="Arial"/>
          <w:color w:val="0C0C0C"/>
          <w:kern w:val="2"/>
          <w:sz w:val="21"/>
          <w:szCs w:val="24"/>
          <w:lang w:val="en-US" w:eastAsia="zh-CN" w:bidi="ar-SA"/>
        </w:rPr>
        <w:t>×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g；</w:t>
      </w:r>
    </w:p>
    <w:p w14:paraId="1292C881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最大容量≥4×100ml ；</w:t>
      </w:r>
    </w:p>
    <w:p w14:paraId="16CB24D7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定时范围：1s～99min；</w:t>
      </w:r>
    </w:p>
    <w:p w14:paraId="687FFE60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转速精度：±10r/min；</w:t>
      </w:r>
    </w:p>
    <w:p w14:paraId="1C94DAEE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温控范围：-20℃～+40℃；</w:t>
      </w:r>
    </w:p>
    <w:p w14:paraId="0A8377E4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温控精度：±1℃；</w:t>
      </w:r>
    </w:p>
    <w:p w14:paraId="6F96D371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电源 AC220V；</w:t>
      </w:r>
    </w:p>
    <w:p w14:paraId="4AD5F349">
      <w:pPr>
        <w:pStyle w:val="4"/>
        <w:numPr>
          <w:ilvl w:val="0"/>
          <w:numId w:val="12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转子配置： 配置角转子≥6×50ml，可适配≥6×15ml 样本管，转速≥11000r/min，离心力≥13122xg。</w:t>
      </w:r>
    </w:p>
    <w:p w14:paraId="4DD8CE3A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3.2.11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生物显微镜</w:t>
      </w:r>
    </w:p>
    <w:p w14:paraId="5CA2B0F0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主机：双目整机；</w:t>
      </w:r>
    </w:p>
    <w:p w14:paraId="1159EE4E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光学系统：无限远光学系统；</w:t>
      </w:r>
    </w:p>
    <w:p w14:paraId="7CE9D509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照明系统：高亮度白色LED光源，可装配滤色片；</w:t>
      </w:r>
    </w:p>
    <w:p w14:paraId="56A0E6CA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目镜（视场数）： 视度可调 ·EC-E CFI 10X(20) ·E2-CFI 15X(12)* ；</w:t>
      </w:r>
    </w:p>
    <w:p w14:paraId="36A52835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调焦机构 ：同轴粗微调焦机构，交叉滚子导轨，调焦行程可调，粗动带锁紧圈，带载物台上下动定位；</w:t>
      </w:r>
    </w:p>
    <w:p w14:paraId="60529588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镜筒 ：双目镜筒：30°倾斜， 瞳距可调；</w:t>
      </w:r>
    </w:p>
    <w:p w14:paraId="01BB55FD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转换器 ：内向式4孔转换器；</w:t>
      </w:r>
    </w:p>
    <w:p w14:paraId="49EF973E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载物台 ：矩形机械移动载物台，带标本夹，带标尺；</w:t>
      </w:r>
    </w:p>
    <w:p w14:paraId="63BA353E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物镜： 平场消色差 4X（0.1 / 25mm）・平场消色差 10X（0.25 / 6.7mm） 平场消色差 40X (0.65 / 0.6mm) 平场消色差 100X 油(1.25/0.14mm) ；</w:t>
      </w:r>
    </w:p>
    <w:p w14:paraId="13ABF813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聚光镜：阿贝聚光镜，NA:0.1~1.25，光栏位置有和物镜相对应的标记（用色环表示倍率）；</w:t>
      </w:r>
    </w:p>
    <w:p w14:paraId="083BF8B0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观察方法：明场；</w:t>
      </w:r>
    </w:p>
    <w:p w14:paraId="38C7CB3F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防霉处理：光学系统周围涂抹防霉涂料；</w:t>
      </w:r>
    </w:p>
    <w:p w14:paraId="27818CFC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附件：标记物镜，目镜指针，φ滤色片，物镜测微尺；</w:t>
      </w:r>
    </w:p>
    <w:p w14:paraId="09335152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消耗功率（最大值）：4W；</w:t>
      </w:r>
    </w:p>
    <w:p w14:paraId="31CFB7CF">
      <w:pPr>
        <w:pStyle w:val="4"/>
        <w:numPr>
          <w:ilvl w:val="0"/>
          <w:numId w:val="13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可直连显示器或有多人共览装置或有摄像头。</w:t>
      </w:r>
    </w:p>
    <w:p w14:paraId="6ECA8AD6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3.2.12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全自动游离二氧化硅仪</w:t>
      </w:r>
    </w:p>
    <w:p w14:paraId="3296863D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内置多功能样品架，包含：样品位≥12位，过滤清洗位≥12位。</w:t>
      </w:r>
    </w:p>
    <w:p w14:paraId="51BD460C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实时监控样品温度，控温精度±1℃。</w:t>
      </w:r>
    </w:p>
    <w:p w14:paraId="79E220DD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加热工位的功率≤500W，加热快速均匀，10min内样品升温至245℃-250℃，并保持恒定；液体温度实时显示，温度误差≤±1℃。</w:t>
      </w:r>
    </w:p>
    <w:p w14:paraId="6CAF3302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进样器使用耐高温、耐磨、耐酸碱材质；自动设置加液体积，开启自动搅拌功能。进样误差满足游离二氧化硅检测实验方法允许范围；实验过程自动添加。</w:t>
      </w:r>
    </w:p>
    <w:p w14:paraId="2CC6DBA7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具备样品转移清洗功能，可实现样品完整转移，配套清洗喷头完成烧杯、器皿清洗。</w:t>
      </w:r>
    </w:p>
    <w:p w14:paraId="30B91A24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具备过滤清洗功能，可实现烧杯、滤纸的自动清洗，可采用高温纯水、0.1mol/L 盐酸开展清洗作业；应尽可能减少样品转移环节，降低样品损失。过滤方式可采用常压或负压过滤，满足游离二氧化硅检测实验方法要求。</w:t>
      </w:r>
    </w:p>
    <w:p w14:paraId="70243CBA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可实时监测过滤状态，自动调节角度。</w:t>
      </w:r>
    </w:p>
    <w:p w14:paraId="37744F8E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支持多次清洗处理，可对清洗次数进行程序设置，满足去除磷酸根的实验处理需求，保障前处理质控效果。支持工位式过滤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清洗处理，可通过多次冲洗提升过滤清洗效率，缩短前处理耗时。</w:t>
      </w:r>
    </w:p>
    <w:p w14:paraId="0315A75B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可在线制备焦磷酸也可直用焦磷酸进行实验。</w:t>
      </w:r>
    </w:p>
    <w:p w14:paraId="005FD839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可自动完成加热、搅拌、过滤等主要实验步骤，减少样品转移，允许必要样品转移操作。</w:t>
      </w:r>
    </w:p>
    <w:p w14:paraId="1EFEB711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内置蒸馏水自动加热装置，自动加水，自动补水，自动加热，带有温度保护功能，温度高低可调节，室温~80℃。</w:t>
      </w:r>
    </w:p>
    <w:p w14:paraId="1492B9DA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内置保温过滤模块，过滤全程保温，提高过滤速度。</w:t>
      </w:r>
    </w:p>
    <w:p w14:paraId="22A8577E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具备酸雾收集与外排接口。</w:t>
      </w:r>
    </w:p>
    <w:p w14:paraId="1E532ED2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耐温耐酸烧杯，规格与仪器匹配，无需转移样品，减少样品在不同器皿之间转移过程中的样品损失。</w:t>
      </w:r>
    </w:p>
    <w:p w14:paraId="6797BADA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准确度：高中低浓度质控符合标准。数据在确定度范围内。</w:t>
      </w:r>
    </w:p>
    <w:p w14:paraId="7FB078CA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精密度：高中低浓度质控符合标准。数据的相对标准偏差RSD&lt;5%。</w:t>
      </w:r>
    </w:p>
    <w:p w14:paraId="7C4B9841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自动完成主要流程，仅上下样等必要时人工介入。</w:t>
      </w:r>
    </w:p>
    <w:p w14:paraId="414E0A36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仪器自带试剂用量提醒功能。</w:t>
      </w:r>
    </w:p>
    <w:p w14:paraId="6B67A096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实验可选焦磷酸，也可选磷酸在线制备焦磷酸。</w:t>
      </w:r>
    </w:p>
    <w:p w14:paraId="58CA0C75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玻璃烧杯：配备满足焦磷酸法消解</w:t>
      </w:r>
      <w:r>
        <w:rPr>
          <w:rFonts w:hint="eastAsia" w:ascii="宋体" w:hAnsi="宋体" w:eastAsia="宋体" w:cs="宋体"/>
          <w:color w:val="0C0C0C"/>
          <w:kern w:val="2"/>
          <w:sz w:val="21"/>
          <w:szCs w:val="24"/>
          <w:lang w:val="en-US" w:eastAsia="zh-CN" w:bidi="ar-SA"/>
        </w:rPr>
        <w:t>/</w:t>
      </w: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过滤的耐温耐酸烧杯，规格与仪器匹配。</w:t>
      </w:r>
    </w:p>
    <w:p w14:paraId="4FE2EFAD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试剂开放，可使用原厂试剂，用户也可自行配备。</w:t>
      </w:r>
    </w:p>
    <w:p w14:paraId="70572D1F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实验结束后自动清洗所有管路。</w:t>
      </w:r>
    </w:p>
    <w:p w14:paraId="06030205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可根据实验需要，设定清洗方法。</w:t>
      </w:r>
    </w:p>
    <w:p w14:paraId="0C0898F8">
      <w:pPr>
        <w:pStyle w:val="4"/>
        <w:numPr>
          <w:ilvl w:val="0"/>
          <w:numId w:val="14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仪器内置电脑，智能触屏控制，可选多种模式进行实验。</w:t>
      </w:r>
    </w:p>
    <w:p w14:paraId="37487C60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3.2.13</w:t>
      </w:r>
      <w:r>
        <w:rPr>
          <w:rFonts w:hint="eastAsia" w:ascii="Times New Roman" w:hAnsi="Times New Roman" w:eastAsia="宋体" w:cs="Times New Roman"/>
          <w:b/>
          <w:bCs/>
          <w:color w:val="0C0C0C"/>
          <w:kern w:val="2"/>
          <w:sz w:val="21"/>
          <w:szCs w:val="24"/>
          <w:lang w:val="en-US" w:eastAsia="zh-CN" w:bidi="ar-SA"/>
        </w:rPr>
        <w:t>实验室洗瓶机</w:t>
      </w:r>
    </w:p>
    <w:p w14:paraId="192E0C3E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外壳材质，304不锈钢，内腔材质，316不锈钢或同等耐腐蚀不锈钢；</w:t>
      </w:r>
    </w:p>
    <w:p w14:paraId="58DFF652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有效清洗容积≥220L，可配置多层/模块化篮架，满足本项目常用器皿批量清洗；</w:t>
      </w:r>
    </w:p>
    <w:p w14:paraId="6C80AE05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内置≥30个标准程序及≥100个独立用户自定义程序，温度控制精确；</w:t>
      </w:r>
    </w:p>
    <w:p w14:paraId="12D1FFE5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双清洗剂分配泵，蠕动泵内置型，≥2个；内置纯水增压泵，无需考虑纯水源压力；</w:t>
      </w:r>
    </w:p>
    <w:p w14:paraId="6CC261D7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电源220V，50hz，最大功率≤6KW，加热功率≤4KW。</w:t>
      </w:r>
    </w:p>
    <w:p w14:paraId="4D5C43AB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机器采用背部/顶部进水为清洗篮架供水，使得水流快速分布到篮架喷针，提高清洗效率。</w:t>
      </w:r>
    </w:p>
    <w:p w14:paraId="77690D1D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仓门能完全密闭，防止污水或热气外泄，保证人员安全；仪器运行期间自动上锁，防止误开门操作，避免造成蒸汽伤害；</w:t>
      </w:r>
    </w:p>
    <w:p w14:paraId="1385A92B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过温保护：具备水加热、水泵工作等过温保护功能；</w:t>
      </w:r>
    </w:p>
    <w:p w14:paraId="3D71DC03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清洗剂缺液提醒功能，及时提醒用户添加清洗剂；</w:t>
      </w:r>
    </w:p>
    <w:p w14:paraId="55EC2288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 xml:space="preserve">具有多层过滤系统：防止杂物进入管路造成堵塞，杂物有收集系统； </w:t>
      </w:r>
    </w:p>
    <w:p w14:paraId="2467DA2A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管道压力传感器实时监测管道水压，管道水压在面板实时显示；</w:t>
      </w:r>
    </w:p>
    <w:p w14:paraId="61F8945D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高效烘干系统在循环加热、吹汽、冷凝、排放的过程中快速、洁净地烘干器皿内部和外部；</w:t>
      </w:r>
    </w:p>
    <w:p w14:paraId="4AA323C2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清洗篮架：提供多种清洗模块，满足日常器皿批量清洗需求；</w:t>
      </w:r>
    </w:p>
    <w:p w14:paraId="059D1226">
      <w:pPr>
        <w:pStyle w:val="4"/>
        <w:numPr>
          <w:ilvl w:val="0"/>
          <w:numId w:val="15"/>
        </w:numPr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配备20升洗液。</w:t>
      </w:r>
    </w:p>
    <w:p w14:paraId="45AEF63A">
      <w:pPr>
        <w:numPr>
          <w:ilvl w:val="0"/>
          <w:numId w:val="2"/>
        </w:numPr>
        <w:adjustRightInd w:val="0"/>
        <w:snapToGrid w:val="0"/>
        <w:spacing w:beforeLines="50" w:line="360" w:lineRule="auto"/>
        <w:ind w:left="0" w:leftChars="0" w:firstLine="0" w:firstLineChars="0"/>
        <w:rPr>
          <w:rFonts w:hint="eastAsia"/>
          <w:b/>
          <w:bCs/>
          <w:color w:val="0C0C0C"/>
          <w:lang w:eastAsia="zh-CN"/>
        </w:rPr>
      </w:pPr>
      <w:r>
        <w:rPr>
          <w:rFonts w:hint="eastAsia" w:ascii="宋体" w:hAnsi="宋体" w:cs="宋体"/>
          <w:b/>
          <w:bCs/>
          <w:color w:val="0C0C0C"/>
          <w:kern w:val="0"/>
          <w:szCs w:val="21"/>
        </w:rPr>
        <w:t>采购标的的数量、采购项目交付或者实施的时间和地点</w:t>
      </w:r>
    </w:p>
    <w:p w14:paraId="23871071">
      <w:pPr>
        <w:pStyle w:val="4"/>
        <w:autoSpaceDE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4.1采购标的数量：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3"/>
        <w:gridCol w:w="2680"/>
        <w:gridCol w:w="990"/>
        <w:gridCol w:w="1400"/>
        <w:gridCol w:w="2653"/>
      </w:tblGrid>
      <w:tr w14:paraId="42C4E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E2B51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序号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23B17D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品 名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B7C45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单位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75E5E2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数量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F52A05"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用途</w:t>
            </w:r>
          </w:p>
        </w:tc>
      </w:tr>
      <w:tr w14:paraId="4947A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4222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62B35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酶标分析仪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7AC9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F6BE5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5A562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63D0E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A4453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303F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超纯水仪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D3CE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1E6C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17A06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32C7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6E0CD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6723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超低温冰箱 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89844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58D80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1D834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2AC63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FCA07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F1D3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医用冷藏箱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C12D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47EDE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18F0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0C14B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4D0DE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9ABB5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医用冷藏冷冻冰箱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73273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B0362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BE9E6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48C0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AC01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56A85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干热灭菌器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F7A20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31295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DB59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13405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4F5A4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042CC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高压灭菌器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F1FD7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F073B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EA0D4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53EB0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E98B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2DD50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生物安全柜</w:t>
            </w:r>
            <w:r>
              <w:rPr>
                <w:rFonts w:hint="eastAsia" w:ascii="宋体" w:hAnsi="宋体" w:cs="宋体"/>
                <w:lang w:val="en-US" w:eastAsia="zh-CN"/>
              </w:rPr>
              <w:t>（双人）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A3F1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9512F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7EBED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1432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2BEE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3DC1C0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5000ul 移液枪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73F75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把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B7D61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9B42B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1224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FC94C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7B85B4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1000ul 移液枪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7F245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把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67DA5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E81D7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0CD42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31561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11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1FDFC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100ul 移液枪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9BF9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把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15705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42C5E2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7FFA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D8FD27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C49AE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10ul 移液枪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9C9C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把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B41E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408F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7A2E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FF98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74F333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高速冷冻离心机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F403C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7802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A919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性病艾滋病丙肝检测</w:t>
            </w:r>
          </w:p>
        </w:tc>
      </w:tr>
      <w:tr w14:paraId="052FD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F3367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14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C2C262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cs="宋体"/>
                <w:color w:val="0C0C0C"/>
                <w:lang w:val="en-US" w:eastAsia="zh-CN"/>
              </w:rPr>
              <w:t>生物</w:t>
            </w: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显微镜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AB53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EA9D7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1440D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疟疾镜检</w:t>
            </w:r>
          </w:p>
        </w:tc>
      </w:tr>
      <w:tr w14:paraId="496C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DEEE73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15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7C405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全自动</w:t>
            </w:r>
            <w:r>
              <w:rPr>
                <w:rFonts w:hint="eastAsia" w:ascii="宋体" w:hAnsi="宋体" w:cs="宋体"/>
                <w:color w:val="0C0C0C"/>
                <w:lang w:val="en-US" w:eastAsia="zh-CN"/>
              </w:rPr>
              <w:t>游离</w:t>
            </w:r>
            <w:r>
              <w:rPr>
                <w:rFonts w:hint="eastAsia" w:ascii="宋体" w:hAnsi="宋体" w:eastAsia="宋体" w:cs="宋体"/>
                <w:color w:val="0C0C0C"/>
                <w:lang w:val="en-US" w:eastAsia="zh-CN"/>
              </w:rPr>
              <w:t>二氧化硅仪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E129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2DECC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7278D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职业病危害因素检测</w:t>
            </w:r>
          </w:p>
        </w:tc>
      </w:tr>
      <w:tr w14:paraId="0EABC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E0885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213C60">
            <w:pPr>
              <w:jc w:val="center"/>
              <w:rPr>
                <w:rFonts w:hint="eastAsia" w:ascii="宋体" w:hAnsi="宋体" w:eastAsia="宋体" w:cs="宋体"/>
                <w:color w:val="0C0C0C"/>
              </w:rPr>
            </w:pPr>
            <w:r>
              <w:rPr>
                <w:rFonts w:hint="eastAsia" w:ascii="宋体" w:hAnsi="宋体" w:cs="宋体"/>
                <w:color w:val="0C0C0C"/>
                <w:lang w:val="en-US" w:eastAsia="zh-CN"/>
              </w:rPr>
              <w:t>实验室洗瓶机（含洗液）</w:t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CAC09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台</w:t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AA5A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F4491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水质检测</w:t>
            </w:r>
          </w:p>
        </w:tc>
      </w:tr>
      <w:tr w14:paraId="0BA5A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DC63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合计</w:t>
            </w:r>
          </w:p>
        </w:tc>
        <w:tc>
          <w:tcPr>
            <w:tcW w:w="1568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A4805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noBreakHyphen/>
            </w:r>
          </w:p>
        </w:tc>
        <w:tc>
          <w:tcPr>
            <w:tcW w:w="57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F306B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noBreakHyphen/>
            </w:r>
          </w:p>
        </w:tc>
        <w:tc>
          <w:tcPr>
            <w:tcW w:w="819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A66CA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 台 / 把</w:t>
            </w:r>
          </w:p>
        </w:tc>
        <w:tc>
          <w:tcPr>
            <w:tcW w:w="0" w:type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790B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noBreakHyphen/>
            </w:r>
          </w:p>
        </w:tc>
      </w:tr>
    </w:tbl>
    <w:p w14:paraId="281F7DF2">
      <w:pPr>
        <w:pStyle w:val="4"/>
        <w:autoSpaceDE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4.2交付或者实施的时间和地点：</w:t>
      </w:r>
    </w:p>
    <w:p w14:paraId="26153FFE">
      <w:pPr>
        <w:pStyle w:val="4"/>
        <w:autoSpaceDE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（1）交付时间：合同签订后15日历天内完成全部设备供货、送货上门、安装、调试，达到可投入使用状态。包含原设备拆除服务。</w:t>
      </w:r>
    </w:p>
    <w:p w14:paraId="12A7A7D2">
      <w:pPr>
        <w:pStyle w:val="4"/>
        <w:autoSpaceDE w:val="0"/>
        <w:spacing w:line="360" w:lineRule="auto"/>
        <w:ind w:firstLine="420" w:firstLineChars="200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（2）交付地点：岳阳市岳阳楼区疾病预防控制中心。</w:t>
      </w:r>
    </w:p>
    <w:p w14:paraId="11510C31">
      <w:pPr>
        <w:adjustRightInd w:val="0"/>
        <w:snapToGrid w:val="0"/>
        <w:spacing w:beforeLines="50" w:line="360" w:lineRule="auto"/>
        <w:rPr>
          <w:rFonts w:hint="eastAsia"/>
          <w:color w:val="0C0C0C"/>
        </w:rPr>
      </w:pPr>
      <w:r>
        <w:rPr>
          <w:rFonts w:hint="eastAsia" w:ascii="宋体" w:hAnsi="宋体"/>
          <w:b/>
          <w:bCs/>
          <w:color w:val="0C0C0C"/>
          <w:szCs w:val="21"/>
        </w:rPr>
        <w:t>五、</w:t>
      </w:r>
      <w:r>
        <w:rPr>
          <w:rFonts w:hint="eastAsia" w:ascii="宋体" w:hAnsi="宋体" w:cs="宋体"/>
          <w:b/>
          <w:bCs/>
          <w:color w:val="0C0C0C"/>
          <w:kern w:val="0"/>
          <w:szCs w:val="21"/>
        </w:rPr>
        <w:t>采购标的的验收标准</w:t>
      </w:r>
    </w:p>
    <w:p w14:paraId="7A4AA4C0">
      <w:pPr>
        <w:pStyle w:val="4"/>
        <w:autoSpaceDE w:val="0"/>
        <w:spacing w:line="360" w:lineRule="auto"/>
        <w:rPr>
          <w:rFonts w:hint="eastAsia" w:ascii="宋体" w:hAnsi="宋体" w:eastAsia="宋体"/>
          <w:color w:val="0C0C0C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5.1</w:t>
      </w:r>
      <w:r>
        <w:rPr>
          <w:rFonts w:hint="eastAsia" w:ascii="宋体" w:hAnsi="宋体" w:eastAsia="宋体"/>
          <w:color w:val="000000"/>
          <w:szCs w:val="21"/>
          <w:lang w:eastAsia="zh-CN"/>
        </w:rPr>
        <w:t>验收标准</w:t>
      </w:r>
      <w:r>
        <w:rPr>
          <w:rFonts w:hint="eastAsia" w:ascii="宋体" w:hAnsi="宋体" w:eastAsia="宋体"/>
          <w:color w:val="0C0C0C"/>
          <w:szCs w:val="21"/>
          <w:lang w:eastAsia="zh-CN"/>
        </w:rPr>
        <w:t>：本项目验收严格按照采购文件、响应文件、合同及国家现行标准执行，分为到货初验、安装调试验收、试运行终验三个阶段。成交供应商随货提交合格证、出厂检测报告、说明书，医疗器械、计量器具按要求提供对应证明资料；核对设备数量、外观及规格，对实质性指标及响应承诺内容开展性能核验。完成安装调试验收合格后进入为期</w:t>
      </w:r>
      <w:r>
        <w:rPr>
          <w:rFonts w:hint="eastAsia" w:ascii="宋体" w:hAnsi="宋体" w:eastAsia="宋体"/>
          <w:color w:val="0C0C0C"/>
          <w:szCs w:val="21"/>
          <w:lang w:val="en-US" w:eastAsia="zh-CN"/>
        </w:rPr>
        <w:t>1</w:t>
      </w:r>
      <w:r>
        <w:rPr>
          <w:rFonts w:hint="eastAsia" w:ascii="宋体" w:hAnsi="宋体" w:eastAsia="宋体"/>
          <w:color w:val="0C0C0C"/>
          <w:szCs w:val="21"/>
          <w:lang w:eastAsia="zh-CN"/>
        </w:rPr>
        <w:t>个月的整机试运行，试运行期满设备运行稳定无故障，组织开展最终履约验收。验收不合格的，由成交供应商限期整改、更换并承担全部费用，经两次整改仍不合格的，采购人可依据合同追究违约责任；双方发生验收争议，可共同委托具备资质的第三方机构检测判定，属于货物质量问题的检测费用由成交供应商承担，否则由采购人承担，成交供应商须派员全程配合验收工作。</w:t>
      </w:r>
    </w:p>
    <w:p w14:paraId="7B68ACC1">
      <w:pPr>
        <w:numPr>
          <w:ilvl w:val="0"/>
          <w:numId w:val="0"/>
        </w:numPr>
        <w:adjustRightInd w:val="0"/>
        <w:snapToGrid w:val="0"/>
        <w:spacing w:beforeLines="50" w:line="360" w:lineRule="auto"/>
        <w:ind w:leftChars="0"/>
        <w:rPr>
          <w:rFonts w:hint="eastAsia" w:ascii="宋体" w:hAnsi="宋体" w:cs="宋体"/>
          <w:color w:val="0C0C0C"/>
          <w:kern w:val="0"/>
          <w:szCs w:val="21"/>
        </w:rPr>
      </w:pPr>
      <w:r>
        <w:rPr>
          <w:rFonts w:hint="eastAsia" w:ascii="宋体" w:hAnsi="宋体" w:cs="宋体"/>
          <w:b/>
          <w:bCs/>
          <w:color w:val="0C0C0C"/>
          <w:kern w:val="0"/>
          <w:szCs w:val="21"/>
          <w:lang w:eastAsia="zh-CN"/>
        </w:rPr>
        <w:t>六、</w:t>
      </w:r>
      <w:r>
        <w:rPr>
          <w:rFonts w:hint="eastAsia" w:ascii="宋体" w:hAnsi="宋体" w:cs="宋体"/>
          <w:b/>
          <w:bCs/>
          <w:color w:val="0C0C0C"/>
          <w:kern w:val="0"/>
          <w:szCs w:val="21"/>
        </w:rPr>
        <w:t>采购标的需满足的服务标准、期限、效率等要求</w:t>
      </w:r>
      <w:r>
        <w:rPr>
          <w:rFonts w:hint="eastAsia" w:ascii="宋体" w:hAnsi="宋体" w:cs="宋体"/>
          <w:color w:val="0C0C0C"/>
          <w:kern w:val="0"/>
          <w:szCs w:val="21"/>
        </w:rPr>
        <w:t>；</w:t>
      </w:r>
    </w:p>
    <w:p w14:paraId="5FBA424F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6.1质保期限：本项目全部设备原厂免费质保期不少于1年，质保期自整体项目验收合格之日起计算。其中医疗器械类设备，若厂家原厂质保标准长于1年的，按原厂标准执行。质保期内非人为损坏，免费维修、免费更换零部件。</w:t>
      </w:r>
    </w:p>
    <w:p w14:paraId="5462556C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6.2响应与上门维修：故障报修后，2 小时内技术响应；48 小时内成交供应商委派工程师到达采购人现场开展维修。如故障现场无法修复，成交供应商应提供备用设备保障采购人基本业务开展，不得影响实验室检测工作。</w:t>
      </w:r>
    </w:p>
    <w:p w14:paraId="059ABB0C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6.3培训服务：设备安装调试完成后，成交供应商提供免费现场操作培训，培训对象包含操作人员、管理人员；培训内容包含设备原理、标准操作流程、日常维护保养、简单故障识别与处置，直至采购人操作人员能够独立熟练操作设备。</w:t>
      </w:r>
    </w:p>
    <w:p w14:paraId="0A72A8BD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6.4技术资料：交付全套中文操作手册、维护保养手册；配套软件终身免费升级。</w:t>
      </w:r>
    </w:p>
    <w:p w14:paraId="77AFEC95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6.5质保期满后服务：质保期结束后提供终身维修服务，只收取零部件成本费，不收上门服务费。成交供应商应保证设备停产之后至少5年内可提供配件供应。</w:t>
      </w:r>
    </w:p>
    <w:p w14:paraId="33671082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6.6回访服务：质保期内每半年至少一次主动回访设备运行状况，提供保养提醒。</w:t>
      </w:r>
    </w:p>
    <w:p w14:paraId="16FC8C6F">
      <w:pPr>
        <w:adjustRightInd w:val="0"/>
        <w:snapToGrid w:val="0"/>
        <w:spacing w:beforeLines="50" w:line="360" w:lineRule="auto"/>
        <w:rPr>
          <w:rFonts w:hint="eastAsia" w:ascii="宋体" w:hAnsi="宋体" w:cs="宋体"/>
          <w:b/>
          <w:bCs/>
          <w:color w:val="0C0C0C"/>
          <w:kern w:val="0"/>
          <w:szCs w:val="21"/>
        </w:rPr>
      </w:pPr>
      <w:r>
        <w:rPr>
          <w:rFonts w:hint="eastAsia" w:ascii="宋体" w:hAnsi="宋体"/>
          <w:b/>
          <w:bCs/>
          <w:color w:val="0C0C0C"/>
          <w:szCs w:val="21"/>
        </w:rPr>
        <w:t>七、</w:t>
      </w:r>
      <w:r>
        <w:rPr>
          <w:rFonts w:hint="eastAsia" w:ascii="宋体" w:hAnsi="宋体" w:cs="宋体"/>
          <w:b/>
          <w:bCs/>
          <w:color w:val="0C0C0C"/>
          <w:kern w:val="0"/>
          <w:szCs w:val="21"/>
        </w:rPr>
        <w:t>采购标的的其他技术、服务等要求</w:t>
      </w:r>
    </w:p>
    <w:p w14:paraId="4947EC0A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7.1本项目所有报价包含设备本体、配件、辅材、运输、装卸、就位、安装调试、培训、资料、税费、质保、售后服务等全部费用，采购人不再支付任何其他费用。</w:t>
      </w:r>
    </w:p>
    <w:p w14:paraId="2245098D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7.2所有设备须为国内正规渠道全新原厂产品，不得提供翻新、改装、样机、二手设备。</w:t>
      </w:r>
    </w:p>
    <w:p w14:paraId="53A58623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7.3成交供应商须在供货前主动与采购人对接，确认实验室场地、供电、供水等基础条件，提出设备安装前置条件，采购人配合做好基础条件准备。</w:t>
      </w:r>
    </w:p>
    <w:p w14:paraId="4C3ABD5A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7.4设备安装过程须遵守采购人实验室生物安全、安全管理相关制度，施工人员安全责任由成交供应商自行承担。</w:t>
      </w:r>
    </w:p>
    <w:p w14:paraId="60C0F218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7.5供应商应充分评估设备进场、就位通道风险；成交后如因设备外形尺寸原因导致无法进场，全部处置成本由成交供应商自行承担。</w:t>
      </w:r>
    </w:p>
    <w:p w14:paraId="7DD55A9E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7.6知识产权与合法性：供应商提供的产品不得侵犯任何第三方知识产权，产品生产、销售应符合国家相关法律法规要求。</w:t>
      </w:r>
    </w:p>
    <w:p w14:paraId="669C340E">
      <w:pPr>
        <w:pStyle w:val="4"/>
        <w:autoSpaceDE w:val="0"/>
        <w:spacing w:line="360" w:lineRule="auto"/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C0C0C"/>
          <w:kern w:val="2"/>
          <w:sz w:val="21"/>
          <w:szCs w:val="24"/>
          <w:lang w:val="en-US" w:eastAsia="zh-CN" w:bidi="ar-SA"/>
        </w:rPr>
        <w:t>7.7其他：本章未尽事宜，遵照国家现行法律法规、政府采购相关管理规定及本项目采购文件规定执行。</w:t>
      </w:r>
    </w:p>
    <w:p w14:paraId="353262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AF9A2A"/>
    <w:multiLevelType w:val="singleLevel"/>
    <w:tmpl w:val="A2AF9A2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9033436"/>
    <w:multiLevelType w:val="singleLevel"/>
    <w:tmpl w:val="A903343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AA5197E0"/>
    <w:multiLevelType w:val="singleLevel"/>
    <w:tmpl w:val="AA5197E0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BAFE4838"/>
    <w:multiLevelType w:val="singleLevel"/>
    <w:tmpl w:val="BAFE4838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CA6425BD"/>
    <w:multiLevelType w:val="singleLevel"/>
    <w:tmpl w:val="CA6425BD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D6202E71"/>
    <w:multiLevelType w:val="singleLevel"/>
    <w:tmpl w:val="D6202E71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F579E060"/>
    <w:multiLevelType w:val="singleLevel"/>
    <w:tmpl w:val="F579E06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BB4D021"/>
    <w:multiLevelType w:val="singleLevel"/>
    <w:tmpl w:val="FBB4D0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1A16877C"/>
    <w:multiLevelType w:val="singleLevel"/>
    <w:tmpl w:val="1A16877C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2B7383A4"/>
    <w:multiLevelType w:val="singleLevel"/>
    <w:tmpl w:val="2B7383A4"/>
    <w:lvl w:ilvl="0" w:tentative="0">
      <w:start w:val="1"/>
      <w:numFmt w:val="decimal"/>
      <w:suff w:val="nothing"/>
      <w:lvlText w:val="（%1）"/>
      <w:lvlJc w:val="left"/>
    </w:lvl>
  </w:abstractNum>
  <w:abstractNum w:abstractNumId="10">
    <w:nsid w:val="31E4E563"/>
    <w:multiLevelType w:val="singleLevel"/>
    <w:tmpl w:val="31E4E563"/>
    <w:lvl w:ilvl="0" w:tentative="0">
      <w:start w:val="1"/>
      <w:numFmt w:val="decimal"/>
      <w:suff w:val="nothing"/>
      <w:lvlText w:val="（%1）"/>
      <w:lvlJc w:val="left"/>
    </w:lvl>
  </w:abstractNum>
  <w:abstractNum w:abstractNumId="11">
    <w:nsid w:val="3EC4AD77"/>
    <w:multiLevelType w:val="singleLevel"/>
    <w:tmpl w:val="3EC4AD77"/>
    <w:lvl w:ilvl="0" w:tentative="0">
      <w:start w:val="1"/>
      <w:numFmt w:val="decimal"/>
      <w:suff w:val="nothing"/>
      <w:lvlText w:val="（%1）"/>
      <w:lvlJc w:val="left"/>
    </w:lvl>
  </w:abstractNum>
  <w:abstractNum w:abstractNumId="12">
    <w:nsid w:val="6E7DEE83"/>
    <w:multiLevelType w:val="singleLevel"/>
    <w:tmpl w:val="6E7DEE83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6F2A3AE9"/>
    <w:multiLevelType w:val="singleLevel"/>
    <w:tmpl w:val="6F2A3AE9"/>
    <w:lvl w:ilvl="0" w:tentative="0">
      <w:start w:val="1"/>
      <w:numFmt w:val="decimal"/>
      <w:suff w:val="nothing"/>
      <w:lvlText w:val="（%1）"/>
      <w:lvlJc w:val="left"/>
    </w:lvl>
  </w:abstractNum>
  <w:abstractNum w:abstractNumId="14">
    <w:nsid w:val="77233831"/>
    <w:multiLevelType w:val="singleLevel"/>
    <w:tmpl w:val="7723383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0"/>
  </w:num>
  <w:num w:numId="5">
    <w:abstractNumId w:val="1"/>
  </w:num>
  <w:num w:numId="6">
    <w:abstractNumId w:val="14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5"/>
  </w:num>
  <w:num w:numId="12">
    <w:abstractNumId w:val="12"/>
  </w:num>
  <w:num w:numId="13">
    <w:abstractNumId w:val="0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621A8E"/>
    <w:rsid w:val="5460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_13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2026-10-12T10:05:15Z</dcterms:created>
  <dc:creator>Administrator</dc:creator>
  <cp:lastModifiedBy>倩</cp:lastModifiedBy>
  <dcterms:modified xsi:type="dcterms:W3CDTF">2026-10-12T10:06:53Z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eyJoZGlkIjoiODM1MjhkMjBjOGE4ZTAwODE4MTc5NTNjN2FiZTFiZTUiLCJ1c2VySWQiOiIxMTc5NDY5MTA1In0=</vt:lpwstr>
  </property>
  <property fmtid="{D5CDD505-2E9C-101B-9397-08002B2CF9AE}" pid="4" name="ICV">
    <vt:lpwstr>7F13D2E953ED4DDDB7E8750FDB243B48_12</vt:lpwstr>
  </property>
</Properties>
</file>