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CB840">
      <w:pPr>
        <w:widowControl w:val="0"/>
        <w:jc w:val="center"/>
        <w:rPr>
          <w:rFonts w:hint="eastAsia" w:ascii="宋体" w:hAnsi="宋体" w:eastAsia="宋体" w:cs="宋体"/>
          <w:b/>
          <w:color w:val="000000"/>
          <w:kern w:val="2"/>
          <w:sz w:val="84"/>
          <w:szCs w:val="84"/>
          <w:lang w:val="en-US" w:eastAsia="zh-CN" w:bidi="ar-SA"/>
        </w:rPr>
      </w:pPr>
      <w:r>
        <w:rPr>
          <w:rFonts w:hint="eastAsia" w:ascii="宋体" w:hAnsi="宋体" w:eastAsia="宋体" w:cs="宋体"/>
          <w:b/>
          <w:color w:val="000000"/>
          <w:kern w:val="2"/>
          <w:sz w:val="84"/>
          <w:szCs w:val="84"/>
          <w:lang w:val="en-US" w:eastAsia="zh-CN" w:bidi="ar-SA"/>
        </w:rPr>
        <w:t>政府采购</w:t>
      </w:r>
    </w:p>
    <w:p w14:paraId="39375EE4">
      <w:pPr>
        <w:widowControl w:val="0"/>
        <w:adjustRightInd w:val="0"/>
        <w:snapToGrid w:val="0"/>
        <w:spacing w:line="360" w:lineRule="auto"/>
        <w:jc w:val="center"/>
        <w:rPr>
          <w:rFonts w:hint="eastAsia" w:ascii="宋体" w:hAnsi="宋体" w:eastAsia="宋体" w:cs="宋体"/>
          <w:b/>
          <w:color w:val="000000"/>
          <w:kern w:val="2"/>
          <w:sz w:val="84"/>
          <w:szCs w:val="84"/>
          <w:lang w:val="en-US" w:eastAsia="zh-CN" w:bidi="ar-SA"/>
        </w:rPr>
      </w:pPr>
      <w:r>
        <w:rPr>
          <w:rFonts w:hint="eastAsia" w:ascii="宋体" w:hAnsi="宋体" w:eastAsia="宋体" w:cs="宋体"/>
          <w:b/>
          <w:color w:val="000000"/>
          <w:kern w:val="2"/>
          <w:sz w:val="84"/>
          <w:szCs w:val="84"/>
          <w:lang w:val="en-US" w:eastAsia="zh-CN" w:bidi="ar-SA"/>
        </w:rPr>
        <w:drawing>
          <wp:anchor distT="0" distB="0" distL="114300" distR="114300" simplePos="0" relativeHeight="251661312" behindDoc="0" locked="0" layoutInCell="1" allowOverlap="1">
            <wp:simplePos x="0" y="0"/>
            <wp:positionH relativeFrom="column">
              <wp:posOffset>-867410</wp:posOffset>
            </wp:positionH>
            <wp:positionV relativeFrom="paragraph">
              <wp:posOffset>1101090</wp:posOffset>
            </wp:positionV>
            <wp:extent cx="7915275" cy="2562225"/>
            <wp:effectExtent l="0" t="0" r="9525" b="9525"/>
            <wp:wrapTopAndBottom/>
            <wp:docPr id="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2"/>
                    <pic:cNvPicPr>
                      <a:picLocks noChangeAspect="1"/>
                    </pic:cNvPicPr>
                  </pic:nvPicPr>
                  <pic:blipFill>
                    <a:blip r:embed="rId10"/>
                    <a:stretch>
                      <a:fillRect/>
                    </a:stretch>
                  </pic:blipFill>
                  <pic:spPr>
                    <a:xfrm>
                      <a:off x="0" y="0"/>
                      <a:ext cx="7915275" cy="2562225"/>
                    </a:xfrm>
                    <a:prstGeom prst="rect">
                      <a:avLst/>
                    </a:prstGeom>
                    <a:noFill/>
                    <a:ln>
                      <a:noFill/>
                    </a:ln>
                  </pic:spPr>
                </pic:pic>
              </a:graphicData>
            </a:graphic>
          </wp:anchor>
        </w:drawing>
      </w:r>
      <w:r>
        <w:rPr>
          <w:rFonts w:hint="eastAsia" w:ascii="宋体" w:hAnsi="宋体" w:eastAsia="宋体" w:cs="宋体"/>
          <w:b/>
          <w:color w:val="000000"/>
          <w:kern w:val="2"/>
          <w:sz w:val="84"/>
          <w:szCs w:val="84"/>
          <w:lang w:val="en-US" w:eastAsia="zh-CN" w:bidi="ar-SA"/>
        </w:rPr>
        <w:t>公开招标文件</w:t>
      </w:r>
    </w:p>
    <w:p w14:paraId="0646C1BE">
      <w:pPr>
        <w:adjustRightInd w:val="0"/>
        <w:snapToGrid w:val="0"/>
        <w:spacing w:line="360" w:lineRule="auto"/>
        <w:ind w:left="3213" w:leftChars="459" w:hanging="2249" w:hangingChars="700"/>
        <w:rPr>
          <w:rFonts w:hint="eastAsia" w:ascii="宋体" w:hAnsi="宋体" w:eastAsia="宋体" w:cs="宋体"/>
          <w:b/>
          <w:color w:val="000000"/>
          <w:sz w:val="32"/>
          <w:szCs w:val="32"/>
        </w:rPr>
      </w:pPr>
    </w:p>
    <w:p w14:paraId="6663362B">
      <w:pPr>
        <w:adjustRightInd w:val="0"/>
        <w:snapToGrid w:val="0"/>
        <w:spacing w:line="360" w:lineRule="auto"/>
        <w:ind w:left="3213" w:leftChars="459" w:hanging="2249" w:hangingChars="700"/>
        <w:rPr>
          <w:rFonts w:hint="eastAsia" w:ascii="宋体" w:hAnsi="宋体" w:eastAsia="宋体" w:cs="宋体"/>
          <w:b/>
          <w:color w:val="auto"/>
          <w:sz w:val="32"/>
          <w:szCs w:val="32"/>
        </w:rPr>
      </w:pPr>
      <w:r>
        <w:rPr>
          <w:rFonts w:hint="eastAsia" w:ascii="宋体" w:hAnsi="宋体" w:eastAsia="宋体" w:cs="宋体"/>
          <w:b/>
          <w:color w:val="000000"/>
          <w:sz w:val="32"/>
          <w:szCs w:val="32"/>
        </w:rPr>
        <w:t>采购项目名称：</w:t>
      </w:r>
      <w:r>
        <w:rPr>
          <w:rFonts w:hint="eastAsia" w:ascii="宋体" w:hAnsi="宋体" w:eastAsia="宋体" w:cs="宋体"/>
          <w:b/>
          <w:color w:val="000000"/>
          <w:sz w:val="32"/>
          <w:szCs w:val="32"/>
          <w:lang w:val="en-US" w:eastAsia="zh-CN"/>
        </w:rPr>
        <w:t>张家</w:t>
      </w:r>
      <w:r>
        <w:rPr>
          <w:rFonts w:hint="eastAsia" w:ascii="宋体" w:hAnsi="宋体" w:eastAsia="宋体" w:cs="宋体"/>
          <w:b/>
          <w:color w:val="auto"/>
          <w:sz w:val="32"/>
          <w:szCs w:val="32"/>
          <w:lang w:val="en-US" w:eastAsia="zh-CN"/>
        </w:rPr>
        <w:t>界市武陵源区湘西北生物多样性保护和生态修复项目（二期）</w:t>
      </w:r>
      <w:bookmarkStart w:id="121" w:name="_GoBack"/>
      <w:bookmarkEnd w:id="121"/>
    </w:p>
    <w:p w14:paraId="7E0EC9FD">
      <w:pPr>
        <w:adjustRightInd w:val="0"/>
        <w:snapToGrid w:val="0"/>
        <w:spacing w:line="360" w:lineRule="auto"/>
        <w:ind w:left="2249" w:leftChars="459" w:hanging="1285" w:hangingChars="400"/>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rPr>
        <w:t>政府采购计划编号</w:t>
      </w:r>
      <w:r>
        <w:rPr>
          <w:rFonts w:hint="eastAsia" w:ascii="宋体" w:hAnsi="宋体" w:eastAsia="宋体" w:cs="宋体"/>
          <w:b/>
          <w:color w:val="auto"/>
          <w:sz w:val="32"/>
          <w:szCs w:val="32"/>
          <w:lang w:val="en-US" w:eastAsia="zh-CN"/>
        </w:rPr>
        <w:t>：(2026)430811000003-1</w:t>
      </w:r>
    </w:p>
    <w:p w14:paraId="485430DA">
      <w:pPr>
        <w:adjustRightInd w:val="0"/>
        <w:snapToGrid w:val="0"/>
        <w:spacing w:line="360" w:lineRule="auto"/>
        <w:ind w:firstLine="964" w:firstLineChars="300"/>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rPr>
        <w:t>委托代理编号：ZYYC-ZJJZC[2026]08</w:t>
      </w:r>
    </w:p>
    <w:p w14:paraId="39FBF46E">
      <w:pPr>
        <w:adjustRightInd w:val="0"/>
        <w:snapToGrid w:val="0"/>
        <w:spacing w:line="360" w:lineRule="auto"/>
        <w:ind w:firstLine="964" w:firstLineChars="300"/>
        <w:rPr>
          <w:rFonts w:hint="eastAsia" w:ascii="宋体" w:hAnsi="宋体" w:eastAsia="宋体" w:cs="宋体"/>
          <w:b/>
          <w:color w:val="000000"/>
          <w:sz w:val="32"/>
          <w:szCs w:val="32"/>
          <w:lang w:eastAsia="zh-CN"/>
        </w:rPr>
      </w:pPr>
      <w:r>
        <w:rPr>
          <w:rFonts w:hint="eastAsia" w:ascii="宋体" w:hAnsi="宋体" w:eastAsia="宋体" w:cs="宋体"/>
          <w:b/>
          <w:color w:val="auto"/>
          <w:sz w:val="32"/>
          <w:szCs w:val="32"/>
        </w:rPr>
        <w:t>采   购   人：</w:t>
      </w:r>
      <w:r>
        <w:rPr>
          <w:rFonts w:hint="eastAsia" w:ascii="宋体" w:hAnsi="宋体" w:eastAsia="宋体" w:cs="宋体"/>
          <w:b/>
          <w:color w:val="auto"/>
          <w:sz w:val="32"/>
          <w:szCs w:val="32"/>
          <w:lang w:val="en-US" w:eastAsia="zh-CN"/>
        </w:rPr>
        <w:t>张家界市武陵源区自然资</w:t>
      </w:r>
      <w:r>
        <w:rPr>
          <w:rFonts w:hint="eastAsia" w:ascii="宋体" w:hAnsi="宋体" w:eastAsia="宋体" w:cs="宋体"/>
          <w:b/>
          <w:color w:val="000000"/>
          <w:sz w:val="32"/>
          <w:szCs w:val="32"/>
          <w:lang w:val="en-US" w:eastAsia="zh-CN"/>
        </w:rPr>
        <w:t>源和林业局</w:t>
      </w:r>
    </w:p>
    <w:p w14:paraId="1ECDCF9F">
      <w:pPr>
        <w:adjustRightInd w:val="0"/>
        <w:snapToGrid w:val="0"/>
        <w:spacing w:line="360" w:lineRule="auto"/>
        <w:ind w:firstLine="964" w:firstLineChars="300"/>
        <w:rPr>
          <w:rFonts w:hint="eastAsia" w:ascii="宋体" w:hAnsi="宋体" w:eastAsia="宋体" w:cs="宋体"/>
          <w:b/>
          <w:color w:val="000000"/>
          <w:sz w:val="32"/>
          <w:szCs w:val="32"/>
          <w:lang w:val="en-US" w:eastAsia="zh-CN"/>
        </w:rPr>
      </w:pPr>
      <w:r>
        <w:rPr>
          <w:rFonts w:hint="eastAsia" w:ascii="宋体" w:hAnsi="宋体" w:eastAsia="宋体" w:cs="宋体"/>
          <w:b/>
          <w:color w:val="000000"/>
          <w:sz w:val="32"/>
          <w:szCs w:val="32"/>
        </w:rPr>
        <w:t>采购代理机构：</w:t>
      </w:r>
      <w:r>
        <w:rPr>
          <w:rFonts w:hint="eastAsia" w:ascii="宋体" w:hAnsi="宋体" w:eastAsia="宋体" w:cs="宋体"/>
          <w:b/>
          <w:color w:val="000000"/>
          <w:sz w:val="32"/>
          <w:szCs w:val="32"/>
          <w:lang w:eastAsia="zh-CN"/>
        </w:rPr>
        <w:t>中盈永诚咨询集团有限公司</w:t>
      </w:r>
    </w:p>
    <w:p w14:paraId="1466721F">
      <w:pPr>
        <w:widowControl w:val="0"/>
        <w:adjustRightInd w:val="0"/>
        <w:snapToGrid w:val="0"/>
        <w:spacing w:before="156" w:beforeLines="50" w:line="360" w:lineRule="auto"/>
        <w:ind w:left="846" w:leftChars="403" w:firstLine="2721" w:firstLineChars="847"/>
        <w:jc w:val="both"/>
        <w:rPr>
          <w:rFonts w:hint="eastAsia" w:ascii="宋体" w:hAnsi="宋体" w:eastAsia="宋体" w:cs="宋体"/>
          <w:b/>
          <w:color w:val="000000"/>
          <w:kern w:val="0"/>
          <w:sz w:val="32"/>
          <w:szCs w:val="32"/>
          <w:lang w:val="en-US" w:eastAsia="zh-CN" w:bidi="ar-SA"/>
        </w:rPr>
      </w:pPr>
    </w:p>
    <w:p w14:paraId="16FBDCC1">
      <w:pPr>
        <w:widowControl w:val="0"/>
        <w:adjustRightInd w:val="0"/>
        <w:snapToGrid w:val="0"/>
        <w:spacing w:before="156" w:beforeLines="50" w:line="360" w:lineRule="auto"/>
        <w:ind w:left="846" w:leftChars="403" w:firstLine="2721" w:firstLineChars="847"/>
        <w:jc w:val="both"/>
        <w:rPr>
          <w:rFonts w:hint="eastAsia" w:ascii="宋体" w:hAnsi="宋体" w:eastAsia="宋体" w:cs="宋体"/>
          <w:b/>
          <w:color w:val="000000"/>
          <w:kern w:val="0"/>
          <w:sz w:val="32"/>
          <w:szCs w:val="32"/>
          <w:lang w:val="en-US" w:eastAsia="zh-CN" w:bidi="ar-SA"/>
        </w:rPr>
      </w:pPr>
    </w:p>
    <w:p w14:paraId="7C407D82">
      <w:pPr>
        <w:widowControl w:val="0"/>
        <w:adjustRightInd w:val="0"/>
        <w:snapToGrid w:val="0"/>
        <w:spacing w:line="360" w:lineRule="auto"/>
        <w:jc w:val="center"/>
        <w:rPr>
          <w:rFonts w:hint="eastAsia" w:ascii="宋体" w:hAnsi="宋体" w:eastAsia="宋体" w:cs="宋体"/>
          <w:color w:val="000000"/>
          <w:szCs w:val="24"/>
        </w:rPr>
      </w:pPr>
      <w:r>
        <w:rPr>
          <w:rFonts w:hint="eastAsia" w:ascii="宋体" w:hAnsi="宋体" w:eastAsia="宋体" w:cs="宋体"/>
          <w:b/>
          <w:color w:val="000000"/>
          <w:kern w:val="2"/>
          <w:sz w:val="32"/>
          <w:szCs w:val="21"/>
          <w:lang w:val="en-US" w:eastAsia="zh-CN" w:bidi="ar-SA"/>
        </w:rPr>
        <w:t>2026年09月</w:t>
      </w:r>
    </w:p>
    <w:p w14:paraId="608832D7">
      <w:pPr>
        <w:widowControl/>
        <w:jc w:val="left"/>
        <w:rPr>
          <w:color w:val="000000"/>
        </w:rPr>
        <w:sectPr>
          <w:pgSz w:w="11906" w:h="16838"/>
          <w:pgMar w:top="1531" w:right="1531" w:bottom="1531" w:left="1531" w:header="1134" w:footer="680" w:gutter="0"/>
          <w:pgBorders>
            <w:top w:val="none" w:sz="0" w:space="0"/>
            <w:left w:val="none" w:sz="0" w:space="0"/>
            <w:bottom w:val="none" w:sz="0" w:space="0"/>
            <w:right w:val="none" w:sz="0" w:space="0"/>
          </w:pgBorders>
          <w:pgNumType w:fmt="decimal"/>
          <w:cols w:space="0" w:num="1"/>
          <w:rtlGutter w:val="0"/>
          <w:docGrid w:type="lines" w:linePitch="312" w:charSpace="0"/>
        </w:sectPr>
      </w:pPr>
    </w:p>
    <w:sdt>
      <w:sdtPr>
        <w:rPr>
          <w:rFonts w:hint="eastAsia" w:ascii="微软雅黑" w:hAnsi="微软雅黑" w:eastAsia="微软雅黑" w:cs="微软雅黑"/>
          <w:kern w:val="2"/>
          <w:sz w:val="24"/>
          <w:szCs w:val="24"/>
          <w:lang w:val="en-US" w:eastAsia="zh-CN" w:bidi="ar-SA"/>
        </w:rPr>
        <w:id w:val="147460033"/>
        <w15:color w:val="DBDBDB"/>
        <w:docPartObj>
          <w:docPartGallery w:val="Table of Contents"/>
          <w:docPartUnique/>
        </w:docPartObj>
      </w:sdtPr>
      <w:sdtEndPr>
        <w:rPr>
          <w:rFonts w:hint="eastAsia" w:ascii="微软雅黑" w:hAnsi="微软雅黑" w:eastAsia="微软雅黑" w:cs="微软雅黑"/>
          <w:color w:val="auto"/>
          <w:spacing w:val="28"/>
          <w:kern w:val="36"/>
          <w:sz w:val="24"/>
          <w:szCs w:val="24"/>
          <w:lang w:val="en-US" w:eastAsia="zh-CN" w:bidi="ar-SA"/>
        </w:rPr>
      </w:sdtEndPr>
      <w:sdtContent>
        <w:p w14:paraId="1771827A">
          <w:pPr>
            <w:keepNext w:val="0"/>
            <w:keepLines w:val="0"/>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黑体" w:hAnsi="黑体" w:eastAsia="黑体" w:cs="黑体"/>
              <w:sz w:val="36"/>
              <w:szCs w:val="36"/>
            </w:rPr>
          </w:pPr>
          <w:bookmarkStart w:id="0" w:name="_Toc4501"/>
          <w:bookmarkStart w:id="1" w:name="_Toc30678"/>
          <w:bookmarkStart w:id="2" w:name="_Toc40166574"/>
          <w:r>
            <w:rPr>
              <w:rFonts w:hint="eastAsia" w:ascii="黑体" w:hAnsi="黑体" w:eastAsia="黑体" w:cs="黑体"/>
              <w:sz w:val="36"/>
              <w:szCs w:val="36"/>
            </w:rPr>
            <w:t>目</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录</w:t>
          </w:r>
        </w:p>
        <w:p w14:paraId="26619F46">
          <w:pPr>
            <w:pStyle w:val="8"/>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color w:val="auto"/>
              <w:spacing w:val="28"/>
              <w:kern w:val="36"/>
              <w:sz w:val="24"/>
              <w:szCs w:val="24"/>
              <w:lang w:val="en-US" w:eastAsia="zh-CN" w:bidi="ar-SA"/>
            </w:rPr>
            <w:instrText xml:space="preserve">TOC \o "1-3" \h \u </w:instrText>
          </w:r>
          <w:r>
            <w:rPr>
              <w:rFonts w:hint="eastAsia" w:ascii="微软雅黑" w:hAnsi="微软雅黑" w:eastAsia="微软雅黑" w:cs="微软雅黑"/>
              <w:color w:val="auto"/>
              <w:spacing w:val="28"/>
              <w:kern w:val="36"/>
              <w:sz w:val="24"/>
              <w:szCs w:val="24"/>
              <w:lang w:val="en-US" w:eastAsia="zh-CN" w:bidi="ar-SA"/>
            </w:rPr>
            <w:fldChar w:fldCharType="separate"/>
          </w: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_Toc18322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第一章 招标公告</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_Toc18322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3</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5B25B0FF">
          <w:pPr>
            <w:pStyle w:val="8"/>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_Toc7098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第二章 投标人须知</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_Toc7098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8</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025C365E">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_Toc6664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第一节 投标人须知前附表</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_Toc6664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8</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0C2EF9C8">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_Toc761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第二节 投标人须知正文</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_Toc761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15</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63D5289E">
          <w:pPr>
            <w:pStyle w:val="8"/>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_Toc24583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第三章 采购需求</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_Toc24583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32</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1D83919F">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_Toc30441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bCs/>
              <w:kern w:val="2"/>
              <w:sz w:val="24"/>
              <w:szCs w:val="24"/>
              <w:lang w:val="en-US" w:eastAsia="zh-CN" w:bidi="ar-SA"/>
            </w:rPr>
            <w:t>（一） 项目概况</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_Toc30441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32</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40A1B76E">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_Toc1810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bCs/>
              <w:i w:val="0"/>
              <w:iCs w:val="0"/>
              <w:kern w:val="2"/>
              <w:sz w:val="24"/>
              <w:szCs w:val="24"/>
              <w:lang w:val="en-US" w:eastAsia="zh-CN" w:bidi="ar-SA"/>
            </w:rPr>
            <w:t>（二）采购项目预（概）算</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_Toc1810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33</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3461B985">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_Toc31577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bCs/>
              <w:i w:val="0"/>
              <w:iCs w:val="0"/>
              <w:kern w:val="2"/>
              <w:sz w:val="24"/>
              <w:szCs w:val="24"/>
              <w:lang w:val="en-US" w:eastAsia="zh-CN" w:bidi="ar-SA"/>
            </w:rPr>
            <w:t>（三）采购标的汇总表</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_Toc31577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33</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360CCE6C">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_Toc1707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bCs/>
              <w:kern w:val="2"/>
              <w:sz w:val="24"/>
              <w:szCs w:val="24"/>
              <w:lang w:val="en-US" w:eastAsia="zh-CN" w:bidi="ar-SA"/>
            </w:rPr>
            <w:t>（四）项目需遵循的有关标准和规范（包括但不限于）</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_Toc1707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33</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09658332">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_Toc26863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bCs/>
              <w:i w:val="0"/>
              <w:iCs w:val="0"/>
              <w:kern w:val="2"/>
              <w:sz w:val="24"/>
              <w:szCs w:val="24"/>
              <w:lang w:val="en-US" w:eastAsia="zh-CN" w:bidi="ar-SA"/>
            </w:rPr>
            <w:t>（五）技术商务要求</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_Toc26863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35</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08F45E10">
          <w:pPr>
            <w:pStyle w:val="8"/>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_Toc16230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第四章 评标方法及标准</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_Toc16230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50</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1B10E461">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_Toc26217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第一节 资格审查</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_Toc26217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50</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4C75C2E2">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_Toc19353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第二节 符合性审查</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_Toc19353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52</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0BD983E5">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_Toc16653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第三节 投标文件的比较与评价（详细审查）</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_Toc16653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53</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1456E2AF">
          <w:pPr>
            <w:pStyle w:val="5"/>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_Toc5780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bCs w:val="0"/>
              <w:kern w:val="2"/>
              <w:sz w:val="24"/>
              <w:szCs w:val="24"/>
              <w:lang w:val="en-US" w:eastAsia="zh-CN" w:bidi="ar-SA"/>
            </w:rPr>
            <w:t xml:space="preserve">附表1 </w:t>
          </w:r>
          <w:r>
            <w:rPr>
              <w:rFonts w:hint="eastAsia" w:ascii="微软雅黑" w:hAnsi="微软雅黑" w:eastAsia="微软雅黑" w:cs="微软雅黑"/>
              <w:kern w:val="2"/>
              <w:sz w:val="24"/>
              <w:szCs w:val="24"/>
              <w:lang w:val="en-US" w:eastAsia="zh-CN" w:bidi="ar-SA"/>
            </w:rPr>
            <w:t xml:space="preserve"> </w:t>
          </w:r>
          <w:r>
            <w:rPr>
              <w:rFonts w:hint="eastAsia" w:ascii="微软雅黑" w:hAnsi="微软雅黑" w:eastAsia="微软雅黑" w:cs="微软雅黑"/>
              <w:bCs w:val="0"/>
              <w:kern w:val="2"/>
              <w:sz w:val="24"/>
              <w:szCs w:val="24"/>
              <w:lang w:val="en-US" w:eastAsia="zh-CN" w:bidi="ar-SA"/>
            </w:rPr>
            <w:t>评标方法及标准表</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_Toc5780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53</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11A75970">
          <w:pPr>
            <w:pStyle w:val="8"/>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_Toc17801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第五章 政府采购合同参考范本</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_Toc17801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59</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7DA04AEE">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_Toc30335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bCs/>
              <w:kern w:val="2"/>
              <w:sz w:val="24"/>
              <w:szCs w:val="24"/>
              <w:lang w:val="en-US" w:eastAsia="zh-CN" w:bidi="ar-SA"/>
            </w:rPr>
            <w:t>第一节 政府采购合同协议书</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_Toc30335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60</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247B4D2C">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_Toc1226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第二节 政府采购合同通用条款</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_Toc1226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65</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5E9C552E">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_Toc9816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第三节 政府采购合同专用条款</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_Toc9816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73</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66541BE5">
          <w:pPr>
            <w:pStyle w:val="8"/>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_Toc3219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第六章 投标文件的组成</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_Toc3219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78</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0127CC2A">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_Toc10401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第一部分 资格证明文件</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_Toc10401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79</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793AAFD8">
          <w:pPr>
            <w:pStyle w:val="5"/>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_Toc6629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一、开标一览表</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_Toc6629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80</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1E3D1575">
          <w:pPr>
            <w:pStyle w:val="5"/>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_Toc8384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kern w:val="2"/>
              <w:sz w:val="24"/>
              <w:szCs w:val="24"/>
              <w:lang w:val="en-US" w:eastAsia="zh-CN" w:bidi="ar-SA"/>
            </w:rPr>
            <w:t>二、法定代表人（单位负责人）身份证明</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_Toc8384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81</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0A5008AD">
          <w:pPr>
            <w:pStyle w:val="5"/>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_Toc15211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三、投标人提供的资格证明文件</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_Toc15211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83</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2E5298E9">
          <w:pPr>
            <w:pStyle w:val="9"/>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_Toc24609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第二部分 商务技术文件</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_Toc24609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94</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52848A49">
          <w:pPr>
            <w:pStyle w:val="5"/>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_Toc19597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四、投标函</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_Toc19597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95</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08274427">
          <w:pPr>
            <w:pStyle w:val="5"/>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_Toc3473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五、分项报价明细表</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_Toc3473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97</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51DA6B3C">
          <w:pPr>
            <w:pStyle w:val="5"/>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_Toc13784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六、采购需求响应</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_Toc13784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98</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50DF1048">
          <w:pPr>
            <w:pStyle w:val="5"/>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_Toc16509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七、采购需求条款偏离表</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_Toc16509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100</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7280BD50">
          <w:pPr>
            <w:pStyle w:val="5"/>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_Toc1492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八、享受政府采购政策优惠的证明资料</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_Toc1492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102</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3C0A2AC6">
          <w:pPr>
            <w:pStyle w:val="5"/>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24"/>
              <w:szCs w:val="24"/>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_Toc30440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九、投标人认为需提供的其他资料</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_Toc30440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106</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p w14:paraId="002346D5">
          <w:pPr>
            <w:pStyle w:val="8"/>
            <w:keepNext w:val="0"/>
            <w:keepLines w:val="0"/>
            <w:pageBreakBefore w:val="0"/>
            <w:widowControl w:val="0"/>
            <w:tabs>
              <w:tab w:val="right" w:leader="dot" w:pos="8844"/>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color w:val="auto"/>
              <w:spacing w:val="28"/>
              <w:kern w:val="36"/>
              <w:sz w:val="24"/>
              <w:szCs w:val="24"/>
              <w:lang w:val="en-US" w:eastAsia="zh-CN" w:bidi="ar-SA"/>
            </w:rPr>
          </w:pPr>
          <w:r>
            <w:rPr>
              <w:rFonts w:hint="eastAsia" w:ascii="微软雅黑" w:hAnsi="微软雅黑" w:eastAsia="微软雅黑" w:cs="微软雅黑"/>
              <w:color w:val="auto"/>
              <w:spacing w:val="28"/>
              <w:kern w:val="36"/>
              <w:sz w:val="24"/>
              <w:szCs w:val="24"/>
              <w:lang w:val="en-US" w:eastAsia="zh-CN" w:bidi="ar-SA"/>
            </w:rPr>
            <w:fldChar w:fldCharType="begin"/>
          </w:r>
          <w:r>
            <w:rPr>
              <w:rFonts w:hint="eastAsia" w:ascii="微软雅黑" w:hAnsi="微软雅黑" w:eastAsia="微软雅黑" w:cs="微软雅黑"/>
              <w:spacing w:val="28"/>
              <w:kern w:val="36"/>
              <w:sz w:val="24"/>
              <w:szCs w:val="24"/>
              <w:lang w:val="en-US" w:eastAsia="zh-CN" w:bidi="ar-SA"/>
            </w:rPr>
            <w:instrText xml:space="preserve"> HYPERLINK \l _Toc19858 </w:instrText>
          </w:r>
          <w:r>
            <w:rPr>
              <w:rFonts w:hint="eastAsia" w:ascii="微软雅黑" w:hAnsi="微软雅黑" w:eastAsia="微软雅黑" w:cs="微软雅黑"/>
              <w:spacing w:val="28"/>
              <w:kern w:val="36"/>
              <w:sz w:val="24"/>
              <w:szCs w:val="24"/>
              <w:lang w:val="en-US" w:eastAsia="zh-CN" w:bidi="ar-SA"/>
            </w:rPr>
            <w:fldChar w:fldCharType="separate"/>
          </w:r>
          <w:r>
            <w:rPr>
              <w:rFonts w:hint="eastAsia" w:ascii="微软雅黑" w:hAnsi="微软雅黑" w:eastAsia="微软雅黑" w:cs="微软雅黑"/>
              <w:sz w:val="24"/>
              <w:szCs w:val="24"/>
              <w:lang w:val="en-US" w:eastAsia="zh-CN"/>
            </w:rPr>
            <w:t>第七章 政府采购供应商质疑函范本</w:t>
          </w:r>
          <w:r>
            <w:rPr>
              <w:rFonts w:hint="eastAsia" w:ascii="微软雅黑" w:hAnsi="微软雅黑" w:eastAsia="微软雅黑" w:cs="微软雅黑"/>
              <w:sz w:val="24"/>
              <w:szCs w:val="24"/>
            </w:rPr>
            <w:tab/>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PAGEREF _Toc19858 \h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 w:val="24"/>
              <w:szCs w:val="24"/>
            </w:rPr>
            <w:t>107</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r>
            <w:rPr>
              <w:rFonts w:hint="eastAsia" w:ascii="微软雅黑" w:hAnsi="微软雅黑" w:eastAsia="微软雅黑" w:cs="微软雅黑"/>
              <w:color w:val="auto"/>
              <w:spacing w:val="28"/>
              <w:kern w:val="36"/>
              <w:sz w:val="24"/>
              <w:szCs w:val="24"/>
              <w:lang w:val="en-US" w:eastAsia="zh-CN" w:bidi="ar-SA"/>
            </w:rPr>
            <w:fldChar w:fldCharType="end"/>
          </w:r>
        </w:p>
      </w:sdtContent>
    </w:sdt>
    <w:p w14:paraId="54DC5315">
      <w:pPr>
        <w:rPr>
          <w:rFonts w:hint="eastAsia" w:ascii="Times New Roman" w:hAnsi="Times New Roman" w:eastAsia="方正小标宋_GBK" w:cs="Times New Roman"/>
          <w:color w:val="auto"/>
          <w:spacing w:val="28"/>
          <w:kern w:val="36"/>
          <w:sz w:val="21"/>
          <w:szCs w:val="20"/>
          <w:lang w:val="en-US" w:eastAsia="zh-CN" w:bidi="ar-SA"/>
        </w:rPr>
      </w:pPr>
    </w:p>
    <w:p w14:paraId="55723FFA">
      <w:pPr>
        <w:pStyle w:val="2"/>
        <w:bidi w:val="0"/>
        <w:jc w:val="center"/>
        <w:rPr>
          <w:lang w:val="en-US" w:eastAsia="zh-CN"/>
        </w:rPr>
      </w:pPr>
      <w:bookmarkStart w:id="3" w:name="_Toc18322"/>
      <w:r>
        <w:rPr>
          <w:rFonts w:hint="eastAsia"/>
          <w:lang w:val="en-US" w:eastAsia="zh-CN"/>
        </w:rPr>
        <w:t>第一章 招标公告</w:t>
      </w:r>
      <w:bookmarkEnd w:id="0"/>
      <w:bookmarkEnd w:id="1"/>
      <w:bookmarkEnd w:id="3"/>
    </w:p>
    <w:p w14:paraId="6795C84A">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张家界市武陵源区自然资源和林业局的张家界市武陵源区湘西北生物多样性保护和生态修复项目</w:t>
      </w:r>
      <w:r>
        <w:rPr>
          <w:rFonts w:hint="eastAsia" w:asciiTheme="minorEastAsia" w:hAnsiTheme="minorEastAsia" w:cstheme="minorEastAsia"/>
          <w:color w:val="000000"/>
          <w:kern w:val="2"/>
          <w:sz w:val="24"/>
          <w:szCs w:val="24"/>
          <w:lang w:val="en-US" w:eastAsia="zh-CN" w:bidi="ar-SA"/>
        </w:rPr>
        <w:t>（二期）</w:t>
      </w:r>
      <w:r>
        <w:rPr>
          <w:rFonts w:hint="eastAsia" w:asciiTheme="minorEastAsia" w:hAnsiTheme="minorEastAsia" w:eastAsiaTheme="minorEastAsia" w:cstheme="minorEastAsia"/>
          <w:color w:val="000000"/>
          <w:kern w:val="2"/>
          <w:sz w:val="24"/>
          <w:szCs w:val="24"/>
          <w:lang w:val="en-US" w:eastAsia="zh-CN" w:bidi="ar-SA"/>
        </w:rPr>
        <w:t>进行公开招标采购，现邀请合格投标人参加投标。</w:t>
      </w:r>
    </w:p>
    <w:p w14:paraId="0A06103F">
      <w:pPr>
        <w:keepNext/>
        <w:keepLines/>
        <w:pageBreakBefore w:val="0"/>
        <w:widowControl w:val="0"/>
        <w:numPr>
          <w:ilvl w:val="0"/>
          <w:numId w:val="1"/>
        </w:numPr>
        <w:kinsoku/>
        <w:wordWrap/>
        <w:overflowPunct/>
        <w:topLinePunct w:val="0"/>
        <w:autoSpaceDE/>
        <w:autoSpaceDN/>
        <w:bidi w:val="0"/>
        <w:snapToGrid/>
        <w:spacing w:line="480" w:lineRule="exact"/>
        <w:jc w:val="both"/>
        <w:textAlignment w:val="baseline"/>
        <w:outlineLvl w:val="3"/>
        <w:rPr>
          <w:rFonts w:hint="eastAsia" w:asciiTheme="minorEastAsia" w:hAnsiTheme="minorEastAsia" w:eastAsiaTheme="minorEastAsia" w:cstheme="minorEastAsia"/>
          <w:bCs/>
          <w:color w:val="000000"/>
          <w:kern w:val="2"/>
          <w:sz w:val="24"/>
          <w:szCs w:val="24"/>
          <w:lang w:val="en-US" w:eastAsia="zh-CN" w:bidi="ar-SA"/>
        </w:rPr>
      </w:pPr>
      <w:r>
        <w:rPr>
          <w:rFonts w:hint="eastAsia" w:asciiTheme="minorEastAsia" w:hAnsiTheme="minorEastAsia" w:eastAsiaTheme="minorEastAsia" w:cstheme="minorEastAsia"/>
          <w:bCs/>
          <w:color w:val="000000"/>
          <w:kern w:val="2"/>
          <w:sz w:val="24"/>
          <w:szCs w:val="24"/>
          <w:lang w:val="en-US" w:eastAsia="zh-CN" w:bidi="ar-SA"/>
        </w:rPr>
        <w:t>采购项目基本信息</w:t>
      </w:r>
    </w:p>
    <w:p w14:paraId="385D5C32">
      <w:pPr>
        <w:pageBreakBefore w:val="0"/>
        <w:widowControl w:val="0"/>
        <w:numPr>
          <w:ilvl w:val="0"/>
          <w:numId w:val="2"/>
        </w:numPr>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采购项目名称：张家界市武陵源区湘西北生物多样性保护和生态修复项目</w:t>
      </w:r>
      <w:r>
        <w:rPr>
          <w:rFonts w:hint="eastAsia" w:asciiTheme="minorEastAsia" w:hAnsiTheme="minorEastAsia" w:cstheme="minorEastAsia"/>
          <w:color w:val="000000"/>
          <w:kern w:val="2"/>
          <w:sz w:val="24"/>
          <w:szCs w:val="24"/>
          <w:lang w:val="en-US" w:eastAsia="zh-CN" w:bidi="ar-SA"/>
        </w:rPr>
        <w:t>（二期）</w:t>
      </w:r>
    </w:p>
    <w:p w14:paraId="63810E89">
      <w:pPr>
        <w:pageBreakBefore w:val="0"/>
        <w:widowControl w:val="0"/>
        <w:numPr>
          <w:ilvl w:val="0"/>
          <w:numId w:val="0"/>
        </w:numPr>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2、政府采购计划编号：(2026)430811000003-1</w:t>
      </w:r>
    </w:p>
    <w:p w14:paraId="10485926">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 xml:space="preserve">3、委托代理编号：ZYYC-ZJJZC[2026]08 </w:t>
      </w:r>
    </w:p>
    <w:p w14:paraId="51BA879C">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u w:val="wave" w:color="FF0000"/>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4、采购项目预算：</w:t>
      </w:r>
      <w:r>
        <w:rPr>
          <w:rFonts w:hint="eastAsia" w:asciiTheme="minorEastAsia" w:hAnsiTheme="minorEastAsia" w:cstheme="minorEastAsia"/>
          <w:color w:val="000000"/>
          <w:kern w:val="2"/>
          <w:sz w:val="24"/>
          <w:szCs w:val="24"/>
          <w:u w:val="single" w:color="auto"/>
          <w:lang w:val="en-US" w:eastAsia="zh-CN" w:bidi="ar-SA"/>
        </w:rPr>
        <w:t>1903.749万元</w:t>
      </w:r>
    </w:p>
    <w:p w14:paraId="3C457C07">
      <w:pPr>
        <w:pageBreakBefore w:val="0"/>
        <w:widowControl w:val="0"/>
        <w:kinsoku/>
        <w:wordWrap/>
        <w:overflowPunct/>
        <w:topLinePunct w:val="0"/>
        <w:autoSpaceDE/>
        <w:autoSpaceDN/>
        <w:bidi w:val="0"/>
        <w:adjustRightInd w:val="0"/>
        <w:snapToGrid/>
        <w:spacing w:line="480" w:lineRule="exact"/>
        <w:ind w:firstLine="960" w:firstLineChars="4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☑支持预付款，预付比例：</w:t>
      </w:r>
      <w:r>
        <w:rPr>
          <w:rFonts w:hint="eastAsia" w:asciiTheme="minorEastAsia" w:hAnsiTheme="minorEastAsia" w:eastAsiaTheme="minorEastAsia" w:cstheme="minorEastAsia"/>
          <w:color w:val="auto"/>
          <w:kern w:val="2"/>
          <w:sz w:val="24"/>
          <w:szCs w:val="24"/>
          <w:u w:val="single"/>
          <w:lang w:val="en-US" w:eastAsia="zh-CN" w:bidi="ar-SA"/>
        </w:rPr>
        <w:t xml:space="preserve">  30  </w:t>
      </w:r>
      <w:r>
        <w:rPr>
          <w:rFonts w:hint="eastAsia" w:asciiTheme="minorEastAsia" w:hAnsiTheme="minorEastAsia" w:eastAsiaTheme="minorEastAsia" w:cstheme="minorEastAsia"/>
          <w:color w:val="auto"/>
          <w:kern w:val="2"/>
          <w:sz w:val="24"/>
          <w:szCs w:val="24"/>
          <w:lang w:val="en-US" w:eastAsia="zh-CN" w:bidi="ar-SA"/>
        </w:rPr>
        <w:t>%；</w:t>
      </w:r>
    </w:p>
    <w:p w14:paraId="172A994F">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5、本项目对应的中小企业划分标准所属行业</w:t>
      </w:r>
      <w:r>
        <w:rPr>
          <w:rFonts w:hint="eastAsia" w:asciiTheme="minorEastAsia" w:hAnsiTheme="minorEastAsia" w:cstheme="minorEastAsia"/>
          <w:color w:val="auto"/>
          <w:kern w:val="2"/>
          <w:sz w:val="24"/>
          <w:szCs w:val="24"/>
          <w:lang w:val="en-US" w:eastAsia="zh-CN" w:bidi="ar-SA"/>
        </w:rPr>
        <w:t>：农、林、牧、渔业</w:t>
      </w:r>
      <w:r>
        <w:rPr>
          <w:rFonts w:hint="eastAsia" w:asciiTheme="minorEastAsia" w:hAnsiTheme="minorEastAsia" w:eastAsiaTheme="minorEastAsia" w:cstheme="minorEastAsia"/>
          <w:color w:val="auto"/>
          <w:kern w:val="2"/>
          <w:sz w:val="24"/>
          <w:szCs w:val="24"/>
          <w:lang w:val="en-US" w:eastAsia="zh-CN" w:bidi="ar-SA"/>
        </w:rPr>
        <w:t>；</w:t>
      </w:r>
    </w:p>
    <w:p w14:paraId="3D0CA74F">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6、评标方法： □最低价法   ☑综合评分法</w:t>
      </w:r>
    </w:p>
    <w:p w14:paraId="14C0E184">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7、合同定价方式： ☑固定总价   □固定单价  □成本补偿   □绩效激励</w:t>
      </w:r>
    </w:p>
    <w:p w14:paraId="3489E7BD">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8、合同履行期限：项目建设期为</w:t>
      </w:r>
      <w:r>
        <w:rPr>
          <w:rFonts w:hint="eastAsia" w:asciiTheme="minorEastAsia" w:hAnsiTheme="minorEastAsia" w:eastAsiaTheme="minorEastAsia" w:cstheme="minorEastAsia"/>
          <w:color w:val="auto"/>
          <w:kern w:val="2"/>
          <w:sz w:val="24"/>
          <w:szCs w:val="24"/>
          <w:u w:val="single"/>
          <w:lang w:val="en-US" w:eastAsia="zh-CN" w:bidi="ar-SA"/>
        </w:rPr>
        <w:t xml:space="preserve"> 1 </w:t>
      </w:r>
      <w:r>
        <w:rPr>
          <w:rFonts w:hint="eastAsia" w:asciiTheme="minorEastAsia" w:hAnsiTheme="minorEastAsia" w:eastAsiaTheme="minorEastAsia" w:cstheme="minorEastAsia"/>
          <w:color w:val="auto"/>
          <w:kern w:val="2"/>
          <w:sz w:val="24"/>
          <w:szCs w:val="24"/>
          <w:lang w:val="en-US" w:eastAsia="zh-CN" w:bidi="ar-SA"/>
        </w:rPr>
        <w:t>年。</w:t>
      </w:r>
    </w:p>
    <w:p w14:paraId="55AAB9ED">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9、本项目分阶段要求投标人提供以下保证；</w:t>
      </w:r>
    </w:p>
    <w:p w14:paraId="52EAA36A">
      <w:pPr>
        <w:pageBreakBefore w:val="0"/>
        <w:widowControl w:val="0"/>
        <w:kinsoku/>
        <w:wordWrap/>
        <w:overflowPunct/>
        <w:topLinePunct w:val="0"/>
        <w:autoSpaceDE/>
        <w:autoSpaceDN/>
        <w:bidi w:val="0"/>
        <w:adjustRightInd w:val="0"/>
        <w:snapToGrid/>
        <w:spacing w:line="480" w:lineRule="exact"/>
        <w:ind w:firstLine="960" w:firstLineChars="4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□投标保证金：采购项目预算的</w:t>
      </w:r>
      <w:r>
        <w:rPr>
          <w:rFonts w:hint="eastAsia" w:asciiTheme="minorEastAsia" w:hAnsiTheme="minorEastAsia" w:eastAsiaTheme="minorEastAsia" w:cstheme="minorEastAsia"/>
          <w:color w:val="auto"/>
          <w:kern w:val="2"/>
          <w:sz w:val="24"/>
          <w:szCs w:val="24"/>
          <w:u w:val="single"/>
          <w:lang w:val="en-US" w:eastAsia="zh-CN" w:bidi="ar-SA"/>
        </w:rPr>
        <w:t xml:space="preserve">  /  </w:t>
      </w:r>
      <w:r>
        <w:rPr>
          <w:rFonts w:hint="eastAsia" w:asciiTheme="minorEastAsia" w:hAnsiTheme="minorEastAsia" w:eastAsiaTheme="minorEastAsia" w:cstheme="minorEastAsia"/>
          <w:color w:val="auto"/>
          <w:kern w:val="2"/>
          <w:sz w:val="24"/>
          <w:szCs w:val="24"/>
          <w:lang w:val="en-US" w:eastAsia="zh-CN" w:bidi="ar-SA"/>
        </w:rPr>
        <w:t>%；</w:t>
      </w:r>
    </w:p>
    <w:p w14:paraId="47AFD5B1">
      <w:pPr>
        <w:pageBreakBefore w:val="0"/>
        <w:widowControl w:val="0"/>
        <w:kinsoku/>
        <w:wordWrap/>
        <w:overflowPunct/>
        <w:topLinePunct w:val="0"/>
        <w:autoSpaceDE/>
        <w:autoSpaceDN/>
        <w:bidi w:val="0"/>
        <w:adjustRightInd w:val="0"/>
        <w:snapToGrid/>
        <w:spacing w:line="480" w:lineRule="exact"/>
        <w:ind w:firstLine="960" w:firstLineChars="4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☑履约保证金：中标金额的</w:t>
      </w:r>
      <w:r>
        <w:rPr>
          <w:rFonts w:hint="eastAsia" w:asciiTheme="minorEastAsia" w:hAnsiTheme="minorEastAsia" w:eastAsiaTheme="minorEastAsia" w:cstheme="minorEastAsia"/>
          <w:color w:val="auto"/>
          <w:kern w:val="2"/>
          <w:sz w:val="24"/>
          <w:szCs w:val="24"/>
          <w:u w:val="single"/>
          <w:lang w:val="en-US" w:eastAsia="zh-CN" w:bidi="ar-SA"/>
        </w:rPr>
        <w:t xml:space="preserve">  10 </w:t>
      </w:r>
      <w:r>
        <w:rPr>
          <w:rFonts w:hint="eastAsia" w:asciiTheme="minorEastAsia" w:hAnsiTheme="minorEastAsia" w:eastAsiaTheme="minorEastAsia" w:cstheme="minorEastAsia"/>
          <w:color w:val="auto"/>
          <w:kern w:val="2"/>
          <w:sz w:val="24"/>
          <w:szCs w:val="24"/>
          <w:lang w:val="en-US" w:eastAsia="zh-CN" w:bidi="ar-SA"/>
        </w:rPr>
        <w:t> %；</w:t>
      </w:r>
    </w:p>
    <w:p w14:paraId="36B9DFD7">
      <w:pPr>
        <w:pageBreakBefore w:val="0"/>
        <w:widowControl w:val="0"/>
        <w:kinsoku/>
        <w:wordWrap/>
        <w:overflowPunct/>
        <w:topLinePunct w:val="0"/>
        <w:autoSpaceDE/>
        <w:autoSpaceDN/>
        <w:bidi w:val="0"/>
        <w:adjustRightInd w:val="0"/>
        <w:snapToGrid/>
        <w:spacing w:line="480" w:lineRule="exact"/>
        <w:ind w:firstLine="960" w:firstLineChars="4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☑预付款保证金：预付款的</w:t>
      </w:r>
      <w:r>
        <w:rPr>
          <w:rFonts w:hint="eastAsia" w:asciiTheme="minorEastAsia" w:hAnsiTheme="minorEastAsia" w:eastAsiaTheme="minorEastAsia" w:cstheme="minorEastAsia"/>
          <w:color w:val="auto"/>
          <w:kern w:val="2"/>
          <w:sz w:val="24"/>
          <w:szCs w:val="24"/>
          <w:u w:val="single"/>
          <w:lang w:val="en-US" w:eastAsia="zh-CN" w:bidi="ar-SA"/>
        </w:rPr>
        <w:t xml:space="preserve">  100 </w:t>
      </w:r>
      <w:r>
        <w:rPr>
          <w:rFonts w:hint="eastAsia" w:asciiTheme="minorEastAsia" w:hAnsiTheme="minorEastAsia" w:eastAsiaTheme="minorEastAsia" w:cstheme="minorEastAsia"/>
          <w:color w:val="auto"/>
          <w:kern w:val="2"/>
          <w:sz w:val="24"/>
          <w:szCs w:val="24"/>
          <w:lang w:val="en-US" w:eastAsia="zh-CN" w:bidi="ar-SA"/>
        </w:rPr>
        <w:t> %；</w:t>
      </w:r>
    </w:p>
    <w:p w14:paraId="4D272EC6">
      <w:pPr>
        <w:keepNext/>
        <w:keepLines/>
        <w:pageBreakBefore w:val="0"/>
        <w:widowControl w:val="0"/>
        <w:numPr>
          <w:ilvl w:val="0"/>
          <w:numId w:val="1"/>
        </w:numPr>
        <w:kinsoku/>
        <w:wordWrap/>
        <w:overflowPunct/>
        <w:topLinePunct w:val="0"/>
        <w:autoSpaceDE/>
        <w:autoSpaceDN/>
        <w:bidi w:val="0"/>
        <w:snapToGrid/>
        <w:spacing w:line="480" w:lineRule="exact"/>
        <w:ind w:left="0" w:leftChars="0" w:firstLine="0" w:firstLineChars="0"/>
        <w:jc w:val="both"/>
        <w:textAlignment w:val="baseline"/>
        <w:outlineLvl w:val="3"/>
        <w:rPr>
          <w:rFonts w:hint="eastAsia" w:asciiTheme="minorEastAsia" w:hAnsiTheme="minorEastAsia" w:eastAsiaTheme="minorEastAsia" w:cstheme="minorEastAsia"/>
          <w:bCs/>
          <w:color w:val="000000"/>
          <w:kern w:val="2"/>
          <w:sz w:val="24"/>
          <w:szCs w:val="24"/>
          <w:lang w:val="en-US" w:eastAsia="zh-CN" w:bidi="ar-SA"/>
        </w:rPr>
      </w:pPr>
      <w:r>
        <w:rPr>
          <w:rFonts w:hint="eastAsia" w:asciiTheme="minorEastAsia" w:hAnsiTheme="minorEastAsia" w:eastAsiaTheme="minorEastAsia" w:cstheme="minorEastAsia"/>
          <w:bCs/>
          <w:color w:val="000000"/>
          <w:kern w:val="2"/>
          <w:sz w:val="24"/>
          <w:szCs w:val="24"/>
          <w:lang w:val="en-US" w:eastAsia="zh-CN" w:bidi="ar-SA"/>
        </w:rPr>
        <w:t>采购人的采购需求</w:t>
      </w:r>
    </w:p>
    <w:tbl>
      <w:tblPr>
        <w:tblStyle w:val="10"/>
        <w:tblW w:w="10337" w:type="dxa"/>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818"/>
        <w:gridCol w:w="2800"/>
        <w:gridCol w:w="1117"/>
        <w:gridCol w:w="583"/>
        <w:gridCol w:w="1634"/>
        <w:gridCol w:w="719"/>
        <w:gridCol w:w="704"/>
      </w:tblGrid>
      <w:tr w14:paraId="68B7D89B">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62" w:type="dxa"/>
            <w:noWrap w:val="0"/>
            <w:vAlign w:val="center"/>
          </w:tcPr>
          <w:p w14:paraId="49E34976">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包名称</w:t>
            </w:r>
          </w:p>
        </w:tc>
        <w:tc>
          <w:tcPr>
            <w:tcW w:w="1818" w:type="dxa"/>
            <w:noWrap w:val="0"/>
            <w:vAlign w:val="center"/>
          </w:tcPr>
          <w:p w14:paraId="7CE8A339">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最高限价（元）</w:t>
            </w:r>
          </w:p>
        </w:tc>
        <w:tc>
          <w:tcPr>
            <w:tcW w:w="2800" w:type="dxa"/>
            <w:noWrap w:val="0"/>
            <w:vAlign w:val="center"/>
          </w:tcPr>
          <w:p w14:paraId="28CD2EF6">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标的名称</w:t>
            </w:r>
          </w:p>
        </w:tc>
        <w:tc>
          <w:tcPr>
            <w:tcW w:w="1117" w:type="dxa"/>
            <w:noWrap w:val="0"/>
            <w:vAlign w:val="center"/>
          </w:tcPr>
          <w:p w14:paraId="2A3D4875">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简要技术要求</w:t>
            </w:r>
          </w:p>
        </w:tc>
        <w:tc>
          <w:tcPr>
            <w:tcW w:w="583" w:type="dxa"/>
            <w:noWrap w:val="0"/>
            <w:vAlign w:val="center"/>
          </w:tcPr>
          <w:p w14:paraId="113EB755">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数量</w:t>
            </w:r>
          </w:p>
        </w:tc>
        <w:tc>
          <w:tcPr>
            <w:tcW w:w="1634" w:type="dxa"/>
            <w:noWrap w:val="0"/>
            <w:vAlign w:val="center"/>
          </w:tcPr>
          <w:p w14:paraId="25814DF3">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标的预算（元）</w:t>
            </w:r>
          </w:p>
        </w:tc>
        <w:tc>
          <w:tcPr>
            <w:tcW w:w="719" w:type="dxa"/>
            <w:noWrap w:val="0"/>
            <w:vAlign w:val="center"/>
          </w:tcPr>
          <w:p w14:paraId="2890D617">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节能产品</w:t>
            </w:r>
          </w:p>
        </w:tc>
        <w:tc>
          <w:tcPr>
            <w:tcW w:w="704" w:type="dxa"/>
            <w:noWrap w:val="0"/>
            <w:vAlign w:val="center"/>
          </w:tcPr>
          <w:p w14:paraId="7FF7D35F">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进口产品</w:t>
            </w:r>
          </w:p>
        </w:tc>
      </w:tr>
      <w:tr w14:paraId="63D01785">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962" w:type="dxa"/>
            <w:noWrap w:val="0"/>
            <w:vAlign w:val="center"/>
          </w:tcPr>
          <w:p w14:paraId="282604F0">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b w:val="0"/>
                <w:bCs w:val="0"/>
                <w:color w:val="000000"/>
                <w:kern w:val="2"/>
                <w:sz w:val="24"/>
                <w:szCs w:val="24"/>
                <w:u w:val="none" w:color="auto"/>
                <w:lang w:val="en-US" w:eastAsia="zh-CN" w:bidi="ar-SA"/>
              </w:rPr>
            </w:pPr>
            <w:r>
              <w:rPr>
                <w:rFonts w:hint="eastAsia" w:asciiTheme="minorEastAsia" w:hAnsiTheme="minorEastAsia" w:eastAsiaTheme="minorEastAsia" w:cstheme="minorEastAsia"/>
                <w:b w:val="0"/>
                <w:bCs w:val="0"/>
                <w:color w:val="000000"/>
                <w:kern w:val="2"/>
                <w:sz w:val="24"/>
                <w:szCs w:val="24"/>
                <w:u w:val="none" w:color="auto"/>
                <w:lang w:val="en-US" w:eastAsia="zh-CN" w:bidi="ar-SA"/>
              </w:rPr>
              <w:t>包1</w:t>
            </w:r>
          </w:p>
        </w:tc>
        <w:tc>
          <w:tcPr>
            <w:tcW w:w="1818" w:type="dxa"/>
            <w:noWrap w:val="0"/>
            <w:vAlign w:val="center"/>
          </w:tcPr>
          <w:p w14:paraId="0D193F68">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b w:val="0"/>
                <w:bCs w:val="0"/>
                <w:color w:val="000000"/>
                <w:kern w:val="2"/>
                <w:sz w:val="24"/>
                <w:szCs w:val="24"/>
                <w:u w:val="none" w:color="auto"/>
                <w:lang w:val="en-US" w:eastAsia="zh-CN" w:bidi="ar-SA"/>
              </w:rPr>
            </w:pPr>
            <w:r>
              <w:rPr>
                <w:rFonts w:hint="eastAsia" w:asciiTheme="minorEastAsia" w:hAnsiTheme="minorEastAsia" w:cstheme="minorEastAsia"/>
                <w:b w:val="0"/>
                <w:bCs w:val="0"/>
                <w:color w:val="000000"/>
                <w:kern w:val="2"/>
                <w:sz w:val="24"/>
                <w:szCs w:val="24"/>
                <w:u w:val="none" w:color="auto"/>
                <w:lang w:val="en-US" w:eastAsia="zh-CN" w:bidi="ar-SA"/>
              </w:rPr>
              <w:t>19037490.00</w:t>
            </w:r>
          </w:p>
        </w:tc>
        <w:tc>
          <w:tcPr>
            <w:tcW w:w="2800" w:type="dxa"/>
            <w:shd w:val="clear" w:color="auto" w:fill="auto"/>
            <w:noWrap w:val="0"/>
            <w:vAlign w:val="center"/>
          </w:tcPr>
          <w:p w14:paraId="06E73C7C">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b w:val="0"/>
                <w:bCs w:val="0"/>
                <w:color w:val="000000"/>
                <w:kern w:val="2"/>
                <w:sz w:val="24"/>
                <w:szCs w:val="24"/>
                <w:u w:val="none" w:color="auto"/>
                <w:lang w:val="en-US" w:eastAsia="zh-CN" w:bidi="ar-SA"/>
              </w:rPr>
            </w:pPr>
            <w:r>
              <w:rPr>
                <w:rFonts w:hint="eastAsia" w:asciiTheme="minorEastAsia" w:hAnsiTheme="minorEastAsia" w:eastAsiaTheme="minorEastAsia" w:cstheme="minorEastAsia"/>
                <w:b w:val="0"/>
                <w:bCs w:val="0"/>
                <w:color w:val="000000"/>
                <w:kern w:val="2"/>
                <w:sz w:val="24"/>
                <w:szCs w:val="24"/>
                <w:u w:val="none" w:color="auto"/>
                <w:lang w:val="en-US" w:eastAsia="zh-CN" w:bidi="ar-SA"/>
              </w:rPr>
              <w:t>张家界市武陵源区湘西北生物多样性保护和生态修复项目</w:t>
            </w:r>
            <w:r>
              <w:rPr>
                <w:rFonts w:hint="eastAsia" w:asciiTheme="minorEastAsia" w:hAnsiTheme="minorEastAsia" w:cstheme="minorEastAsia"/>
                <w:b w:val="0"/>
                <w:bCs w:val="0"/>
                <w:color w:val="000000"/>
                <w:kern w:val="2"/>
                <w:sz w:val="24"/>
                <w:szCs w:val="24"/>
                <w:u w:val="none" w:color="auto"/>
                <w:lang w:val="en-US" w:eastAsia="zh-CN" w:bidi="ar-SA"/>
              </w:rPr>
              <w:t>（二期）</w:t>
            </w:r>
          </w:p>
        </w:tc>
        <w:tc>
          <w:tcPr>
            <w:tcW w:w="1117" w:type="dxa"/>
            <w:noWrap w:val="0"/>
            <w:vAlign w:val="center"/>
          </w:tcPr>
          <w:p w14:paraId="55A239D7">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b w:val="0"/>
                <w:bCs w:val="0"/>
                <w:color w:val="000000"/>
                <w:kern w:val="2"/>
                <w:sz w:val="24"/>
                <w:szCs w:val="24"/>
                <w:u w:val="none" w:color="auto"/>
                <w:lang w:val="en-US" w:eastAsia="zh-CN" w:bidi="ar-SA"/>
              </w:rPr>
            </w:pPr>
            <w:r>
              <w:rPr>
                <w:rFonts w:hint="eastAsia" w:asciiTheme="minorEastAsia" w:hAnsiTheme="minorEastAsia" w:eastAsiaTheme="minorEastAsia" w:cstheme="minorEastAsia"/>
                <w:b w:val="0"/>
                <w:bCs w:val="0"/>
                <w:color w:val="000000"/>
                <w:kern w:val="2"/>
                <w:sz w:val="24"/>
                <w:szCs w:val="24"/>
                <w:u w:val="none" w:color="auto"/>
                <w:lang w:val="en-US" w:eastAsia="zh-CN" w:bidi="ar-SA"/>
              </w:rPr>
              <w:t>详见采购需求</w:t>
            </w:r>
          </w:p>
        </w:tc>
        <w:tc>
          <w:tcPr>
            <w:tcW w:w="583" w:type="dxa"/>
            <w:noWrap w:val="0"/>
            <w:vAlign w:val="center"/>
          </w:tcPr>
          <w:p w14:paraId="5B7006A6">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b w:val="0"/>
                <w:bCs w:val="0"/>
                <w:color w:val="000000"/>
                <w:kern w:val="2"/>
                <w:sz w:val="24"/>
                <w:szCs w:val="24"/>
                <w:u w:val="none" w:color="auto"/>
                <w:lang w:val="en-US" w:eastAsia="zh-CN" w:bidi="ar-SA"/>
              </w:rPr>
            </w:pPr>
            <w:r>
              <w:rPr>
                <w:rFonts w:hint="eastAsia" w:asciiTheme="minorEastAsia" w:hAnsiTheme="minorEastAsia" w:eastAsiaTheme="minorEastAsia" w:cstheme="minorEastAsia"/>
                <w:b w:val="0"/>
                <w:bCs w:val="0"/>
                <w:color w:val="000000"/>
                <w:kern w:val="2"/>
                <w:sz w:val="24"/>
                <w:szCs w:val="24"/>
                <w:u w:val="none" w:color="auto"/>
                <w:lang w:val="en-US" w:eastAsia="zh-CN" w:bidi="ar-SA"/>
              </w:rPr>
              <w:t>1</w:t>
            </w:r>
          </w:p>
        </w:tc>
        <w:tc>
          <w:tcPr>
            <w:tcW w:w="1634" w:type="dxa"/>
            <w:shd w:val="clear" w:color="auto" w:fill="auto"/>
            <w:noWrap w:val="0"/>
            <w:vAlign w:val="center"/>
          </w:tcPr>
          <w:p w14:paraId="3EE426F5">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b w:val="0"/>
                <w:bCs w:val="0"/>
                <w:color w:val="000000"/>
                <w:kern w:val="2"/>
                <w:sz w:val="24"/>
                <w:szCs w:val="24"/>
                <w:u w:val="none" w:color="auto"/>
                <w:lang w:val="en-US" w:eastAsia="zh-CN" w:bidi="ar-SA"/>
              </w:rPr>
            </w:pPr>
            <w:r>
              <w:rPr>
                <w:rFonts w:hint="eastAsia" w:asciiTheme="minorEastAsia" w:hAnsiTheme="minorEastAsia" w:cstheme="minorEastAsia"/>
                <w:b w:val="0"/>
                <w:bCs w:val="0"/>
                <w:color w:val="000000"/>
                <w:kern w:val="2"/>
                <w:sz w:val="24"/>
                <w:szCs w:val="24"/>
                <w:u w:val="none" w:color="auto"/>
                <w:lang w:val="en-US" w:eastAsia="zh-CN" w:bidi="ar-SA"/>
              </w:rPr>
              <w:t>19037490.00</w:t>
            </w:r>
          </w:p>
        </w:tc>
        <w:tc>
          <w:tcPr>
            <w:tcW w:w="719" w:type="dxa"/>
            <w:noWrap w:val="0"/>
            <w:vAlign w:val="center"/>
          </w:tcPr>
          <w:p w14:paraId="166D9E67">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sym w:font="Wingdings" w:char="00A8"/>
            </w:r>
          </w:p>
        </w:tc>
        <w:tc>
          <w:tcPr>
            <w:tcW w:w="704" w:type="dxa"/>
            <w:noWrap w:val="0"/>
            <w:vAlign w:val="center"/>
          </w:tcPr>
          <w:p w14:paraId="7A78C012">
            <w:pPr>
              <w:pageBreakBefore w:val="0"/>
              <w:widowControl w:val="0"/>
              <w:kinsoku/>
              <w:wordWrap/>
              <w:overflowPunct/>
              <w:topLinePunct w:val="0"/>
              <w:autoSpaceDE/>
              <w:autoSpaceDN/>
              <w:bidi w:val="0"/>
              <w:snapToGrid/>
              <w:spacing w:line="480" w:lineRule="exact"/>
              <w:jc w:val="center"/>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sym w:font="Wingdings" w:char="00A8"/>
            </w:r>
          </w:p>
        </w:tc>
      </w:tr>
    </w:tbl>
    <w:p w14:paraId="190CAE7F">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说明：</w:t>
      </w:r>
    </w:p>
    <w:p w14:paraId="6DDD221F">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1.节能产品实行强制采购的，需提供国家认证机构出具的、处于有效期内的节能产品证书。</w:t>
      </w:r>
    </w:p>
    <w:p w14:paraId="4185E699">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2.同意购买进口产品的，不限制满足采购需求的国内产品参与投标。</w:t>
      </w:r>
    </w:p>
    <w:p w14:paraId="24A13032">
      <w:pPr>
        <w:keepNext/>
        <w:keepLines/>
        <w:pageBreakBefore w:val="0"/>
        <w:widowControl w:val="0"/>
        <w:kinsoku/>
        <w:wordWrap/>
        <w:overflowPunct/>
        <w:topLinePunct w:val="0"/>
        <w:autoSpaceDE/>
        <w:autoSpaceDN/>
        <w:bidi w:val="0"/>
        <w:snapToGrid/>
        <w:spacing w:line="480" w:lineRule="exact"/>
        <w:jc w:val="both"/>
        <w:textAlignment w:val="baseline"/>
        <w:outlineLvl w:val="3"/>
        <w:rPr>
          <w:rFonts w:hint="eastAsia" w:asciiTheme="minorEastAsia" w:hAnsiTheme="minorEastAsia" w:eastAsiaTheme="minorEastAsia" w:cstheme="minorEastAsia"/>
          <w:bCs/>
          <w:color w:val="000000"/>
          <w:kern w:val="2"/>
          <w:sz w:val="24"/>
          <w:szCs w:val="24"/>
          <w:lang w:val="en-US" w:eastAsia="zh-CN" w:bidi="ar-SA"/>
        </w:rPr>
      </w:pPr>
      <w:r>
        <w:rPr>
          <w:rFonts w:hint="eastAsia" w:asciiTheme="minorEastAsia" w:hAnsiTheme="minorEastAsia" w:eastAsiaTheme="minorEastAsia" w:cstheme="minorEastAsia"/>
          <w:bCs/>
          <w:color w:val="000000"/>
          <w:kern w:val="2"/>
          <w:sz w:val="24"/>
          <w:szCs w:val="24"/>
          <w:lang w:val="en-US" w:eastAsia="zh-CN" w:bidi="ar-SA"/>
        </w:rPr>
        <w:t>三、采购项目需落实的政府采购政策：</w:t>
      </w:r>
    </w:p>
    <w:p w14:paraId="0ADED47A">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1、优先采购：节能产品、环境标志产品享受加分或价格折扣。</w:t>
      </w:r>
    </w:p>
    <w:p w14:paraId="0DFEF5B0">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2、支持中小企业：中小企业享受预留采购份额或价格折扣。</w:t>
      </w:r>
    </w:p>
    <w:p w14:paraId="3194F0EA">
      <w:pPr>
        <w:keepNext/>
        <w:keepLines/>
        <w:pageBreakBefore w:val="0"/>
        <w:widowControl w:val="0"/>
        <w:kinsoku/>
        <w:wordWrap/>
        <w:overflowPunct/>
        <w:topLinePunct w:val="0"/>
        <w:autoSpaceDE/>
        <w:autoSpaceDN/>
        <w:bidi w:val="0"/>
        <w:snapToGrid/>
        <w:spacing w:line="480" w:lineRule="exact"/>
        <w:jc w:val="both"/>
        <w:textAlignment w:val="baseline"/>
        <w:outlineLvl w:val="3"/>
        <w:rPr>
          <w:rFonts w:hint="eastAsia" w:asciiTheme="minorEastAsia" w:hAnsiTheme="minorEastAsia" w:eastAsiaTheme="minorEastAsia" w:cstheme="minorEastAsia"/>
          <w:bCs/>
          <w:color w:val="000000"/>
          <w:kern w:val="2"/>
          <w:sz w:val="24"/>
          <w:szCs w:val="24"/>
          <w:lang w:val="en-US" w:eastAsia="zh-CN" w:bidi="ar-SA"/>
        </w:rPr>
      </w:pPr>
      <w:r>
        <w:rPr>
          <w:rFonts w:hint="eastAsia" w:asciiTheme="minorEastAsia" w:hAnsiTheme="minorEastAsia" w:eastAsiaTheme="minorEastAsia" w:cstheme="minorEastAsia"/>
          <w:bCs/>
          <w:color w:val="000000"/>
          <w:kern w:val="2"/>
          <w:sz w:val="24"/>
          <w:szCs w:val="24"/>
          <w:lang w:val="en-US" w:eastAsia="zh-CN" w:bidi="ar-SA"/>
        </w:rPr>
        <w:t>四、投标人的资格要求：</w:t>
      </w:r>
    </w:p>
    <w:p w14:paraId="5A03B7BE">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1、投标人的基本资格条件：投标人必须是在中华人民共和国境内注册登记的法人、其他组织或者自然人，且应当符合《政府采购法》第二十二条第一款的规定。</w:t>
      </w:r>
    </w:p>
    <w:p w14:paraId="6DBEC716">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2、落实政</w:t>
      </w:r>
      <w:r>
        <w:rPr>
          <w:rFonts w:hint="eastAsia" w:asciiTheme="minorEastAsia" w:hAnsiTheme="minorEastAsia" w:eastAsiaTheme="minorEastAsia" w:cstheme="minorEastAsia"/>
          <w:color w:val="auto"/>
          <w:kern w:val="2"/>
          <w:sz w:val="24"/>
          <w:szCs w:val="24"/>
          <w:lang w:val="en-US" w:eastAsia="zh-CN" w:bidi="ar-SA"/>
        </w:rPr>
        <w:t>府采购政策需满足的资格要求：</w:t>
      </w:r>
    </w:p>
    <w:p w14:paraId="3DADBE69">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sym w:font="Wingdings" w:char="00A8"/>
      </w:r>
      <w:r>
        <w:rPr>
          <w:rFonts w:hint="eastAsia" w:asciiTheme="minorEastAsia" w:hAnsiTheme="minorEastAsia" w:eastAsiaTheme="minorEastAsia" w:cstheme="minorEastAsia"/>
          <w:color w:val="auto"/>
          <w:kern w:val="2"/>
          <w:sz w:val="24"/>
          <w:szCs w:val="24"/>
          <w:lang w:val="en-US" w:eastAsia="zh-CN" w:bidi="ar-SA"/>
        </w:rPr>
        <w:t>专门面向： </w:t>
      </w:r>
      <w:r>
        <w:rPr>
          <w:rFonts w:hint="eastAsia" w:asciiTheme="minorEastAsia" w:hAnsiTheme="minorEastAsia" w:eastAsiaTheme="minorEastAsia" w:cstheme="minorEastAsia"/>
          <w:color w:val="auto"/>
          <w:kern w:val="2"/>
          <w:sz w:val="24"/>
          <w:szCs w:val="24"/>
          <w:lang w:val="en-US" w:eastAsia="zh-CN" w:bidi="ar-SA"/>
        </w:rPr>
        <w:sym w:font="Wingdings" w:char="00A8"/>
      </w:r>
      <w:r>
        <w:rPr>
          <w:rFonts w:hint="eastAsia" w:asciiTheme="minorEastAsia" w:hAnsiTheme="minorEastAsia" w:eastAsiaTheme="minorEastAsia" w:cstheme="minorEastAsia"/>
          <w:color w:val="auto"/>
          <w:kern w:val="2"/>
          <w:sz w:val="24"/>
          <w:szCs w:val="24"/>
          <w:lang w:val="en-US" w:eastAsia="zh-CN" w:bidi="ar-SA"/>
        </w:rPr>
        <w:t xml:space="preserve">中小企业   </w:t>
      </w:r>
      <w:r>
        <w:rPr>
          <w:rFonts w:hint="eastAsia" w:asciiTheme="minorEastAsia" w:hAnsiTheme="minorEastAsia" w:eastAsiaTheme="minorEastAsia" w:cstheme="minorEastAsia"/>
          <w:color w:val="auto"/>
          <w:kern w:val="2"/>
          <w:sz w:val="24"/>
          <w:szCs w:val="24"/>
          <w:lang w:val="en-US" w:eastAsia="zh-CN" w:bidi="ar-SA"/>
        </w:rPr>
        <w:sym w:font="Wingdings" w:char="00A8"/>
      </w:r>
      <w:r>
        <w:rPr>
          <w:rFonts w:hint="eastAsia" w:asciiTheme="minorEastAsia" w:hAnsiTheme="minorEastAsia" w:eastAsiaTheme="minorEastAsia" w:cstheme="minorEastAsia"/>
          <w:color w:val="auto"/>
          <w:kern w:val="2"/>
          <w:sz w:val="24"/>
          <w:szCs w:val="24"/>
          <w:lang w:val="en-US" w:eastAsia="zh-CN" w:bidi="ar-SA"/>
        </w:rPr>
        <w:t xml:space="preserve">小微企业   </w:t>
      </w:r>
      <w:r>
        <w:rPr>
          <w:rFonts w:hint="eastAsia" w:asciiTheme="minorEastAsia" w:hAnsiTheme="minorEastAsia" w:eastAsiaTheme="minorEastAsia" w:cstheme="minorEastAsia"/>
          <w:color w:val="auto"/>
          <w:kern w:val="2"/>
          <w:sz w:val="24"/>
          <w:szCs w:val="24"/>
          <w:lang w:val="en-US" w:eastAsia="zh-CN" w:bidi="ar-SA"/>
        </w:rPr>
        <w:sym w:font="Wingdings" w:char="00A8"/>
      </w:r>
      <w:r>
        <w:rPr>
          <w:rFonts w:hint="eastAsia" w:asciiTheme="minorEastAsia" w:hAnsiTheme="minorEastAsia" w:eastAsiaTheme="minorEastAsia" w:cstheme="minorEastAsia"/>
          <w:color w:val="auto"/>
          <w:kern w:val="2"/>
          <w:sz w:val="24"/>
          <w:szCs w:val="24"/>
          <w:lang w:val="en-US" w:eastAsia="zh-CN" w:bidi="ar-SA"/>
        </w:rPr>
        <w:t xml:space="preserve">监狱企业   </w:t>
      </w:r>
      <w:r>
        <w:rPr>
          <w:rFonts w:hint="eastAsia" w:asciiTheme="minorEastAsia" w:hAnsiTheme="minorEastAsia" w:eastAsiaTheme="minorEastAsia" w:cstheme="minorEastAsia"/>
          <w:color w:val="auto"/>
          <w:kern w:val="2"/>
          <w:sz w:val="24"/>
          <w:szCs w:val="24"/>
          <w:lang w:val="en-US" w:eastAsia="zh-CN" w:bidi="ar-SA"/>
        </w:rPr>
        <w:sym w:font="Wingdings" w:char="00A8"/>
      </w:r>
      <w:r>
        <w:rPr>
          <w:rFonts w:hint="eastAsia" w:asciiTheme="minorEastAsia" w:hAnsiTheme="minorEastAsia" w:eastAsiaTheme="minorEastAsia" w:cstheme="minorEastAsia"/>
          <w:color w:val="auto"/>
          <w:kern w:val="2"/>
          <w:sz w:val="24"/>
          <w:szCs w:val="24"/>
          <w:lang w:val="en-US" w:eastAsia="zh-CN" w:bidi="ar-SA"/>
        </w:rPr>
        <w:t>福利性单位</w:t>
      </w:r>
    </w:p>
    <w:p w14:paraId="150EDF53">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sym w:font="Wingdings" w:char="00A8"/>
      </w:r>
      <w:r>
        <w:rPr>
          <w:rFonts w:hint="eastAsia" w:asciiTheme="minorEastAsia" w:hAnsiTheme="minorEastAsia" w:eastAsiaTheme="minorEastAsia" w:cstheme="minorEastAsia"/>
          <w:color w:val="auto"/>
          <w:kern w:val="2"/>
          <w:sz w:val="24"/>
          <w:szCs w:val="24"/>
          <w:lang w:val="en-US" w:eastAsia="zh-CN" w:bidi="ar-SA"/>
        </w:rPr>
        <w:t>强制分包：不做强制要求。</w:t>
      </w:r>
    </w:p>
    <w:p w14:paraId="6ABA82E8">
      <w:pPr>
        <w:pageBreakBefore w:val="0"/>
        <w:widowControl w:val="0"/>
        <w:numPr>
          <w:ilvl w:val="0"/>
          <w:numId w:val="3"/>
        </w:numPr>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供应商特定资格条件：</w:t>
      </w:r>
      <w:r>
        <w:rPr>
          <w:rFonts w:hint="eastAsia" w:asciiTheme="minorEastAsia" w:hAnsiTheme="minorEastAsia" w:eastAsiaTheme="minorEastAsia" w:cstheme="minorEastAsia"/>
          <w:color w:val="auto"/>
          <w:kern w:val="2"/>
          <w:sz w:val="24"/>
          <w:szCs w:val="24"/>
          <w:u w:val="single"/>
          <w:lang w:val="en-US" w:eastAsia="zh-CN" w:bidi="ar-SA"/>
        </w:rPr>
        <w:t xml:space="preserve">  无 </w:t>
      </w:r>
      <w:r>
        <w:rPr>
          <w:rFonts w:hint="eastAsia" w:asciiTheme="minorEastAsia" w:hAnsiTheme="minorEastAsia" w:eastAsiaTheme="minorEastAsia" w:cstheme="minorEastAsia"/>
          <w:color w:val="auto"/>
          <w:kern w:val="2"/>
          <w:sz w:val="24"/>
          <w:szCs w:val="24"/>
          <w:lang w:val="en-US" w:eastAsia="zh-CN" w:bidi="ar-SA"/>
        </w:rPr>
        <w:t>。</w:t>
      </w:r>
    </w:p>
    <w:p w14:paraId="2349FAFC">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4、单位负责人为同一人或者存在直接控股、管理关系的不同投标人，不得参加同一合同项下的政府采购活动。</w:t>
      </w:r>
    </w:p>
    <w:p w14:paraId="215D0F7B">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5、为本采购项目提供整体设计、规范编制或者项目管理、监理、检测等服务的，不得再参加此项目的其他采购活动。</w:t>
      </w:r>
    </w:p>
    <w:p w14:paraId="61ED190C">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6、列入失信被执行人、重大税收违法失信主体名单、政府采购严重违法失信行为记录名单的，拒绝其参与政府采购活动。</w:t>
      </w:r>
    </w:p>
    <w:p w14:paraId="29E8B857">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7、联合体投标。本次招标</w:t>
      </w:r>
      <w:r>
        <w:rPr>
          <w:rFonts w:hint="eastAsia" w:asciiTheme="minorEastAsia" w:hAnsiTheme="minorEastAsia" w:eastAsiaTheme="minorEastAsia" w:cstheme="minorEastAsia"/>
          <w:color w:val="000000"/>
          <w:kern w:val="2"/>
          <w:sz w:val="24"/>
          <w:szCs w:val="24"/>
          <w:u w:val="single"/>
          <w:lang w:val="en-US" w:eastAsia="zh-CN" w:bidi="ar-SA"/>
        </w:rPr>
        <w:t xml:space="preserve"> </w:t>
      </w:r>
      <w:r>
        <w:rPr>
          <w:rFonts w:hint="eastAsia" w:asciiTheme="minorEastAsia" w:hAnsiTheme="minorEastAsia" w:eastAsiaTheme="minorEastAsia" w:cstheme="minorEastAsia"/>
          <w:b/>
          <w:bCs/>
          <w:color w:val="000000"/>
          <w:kern w:val="2"/>
          <w:sz w:val="24"/>
          <w:szCs w:val="24"/>
          <w:u w:val="single"/>
          <w:lang w:val="en-US" w:eastAsia="zh-CN" w:bidi="ar-SA"/>
        </w:rPr>
        <w:t>接受</w:t>
      </w:r>
      <w:r>
        <w:rPr>
          <w:rFonts w:hint="eastAsia" w:asciiTheme="minorEastAsia" w:hAnsiTheme="minorEastAsia" w:eastAsiaTheme="minorEastAsia" w:cstheme="minorEastAsia"/>
          <w:color w:val="000000"/>
          <w:kern w:val="2"/>
          <w:sz w:val="24"/>
          <w:szCs w:val="24"/>
          <w:u w:val="single"/>
          <w:lang w:val="en-US" w:eastAsia="zh-CN" w:bidi="ar-SA"/>
        </w:rPr>
        <w:t xml:space="preserve"> </w:t>
      </w:r>
      <w:r>
        <w:rPr>
          <w:rFonts w:hint="eastAsia" w:asciiTheme="minorEastAsia" w:hAnsiTheme="minorEastAsia" w:eastAsiaTheme="minorEastAsia" w:cstheme="minorEastAsia"/>
          <w:color w:val="000000"/>
          <w:kern w:val="2"/>
          <w:sz w:val="24"/>
          <w:szCs w:val="24"/>
          <w:lang w:val="en-US" w:eastAsia="zh-CN" w:bidi="ar-SA"/>
        </w:rPr>
        <w:t>联合体投标。接受联合体投标的，联合体应当具备下列条件：</w:t>
      </w:r>
    </w:p>
    <w:p w14:paraId="22E00CB3">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cstheme="minorEastAsia"/>
          <w:color w:val="000000"/>
          <w:kern w:val="2"/>
          <w:sz w:val="24"/>
          <w:szCs w:val="24"/>
          <w:lang w:val="en-US" w:eastAsia="zh-CN" w:bidi="ar-SA"/>
        </w:rPr>
        <w:t>（1）</w:t>
      </w:r>
      <w:r>
        <w:rPr>
          <w:rFonts w:hint="eastAsia" w:asciiTheme="minorEastAsia" w:hAnsiTheme="minorEastAsia" w:eastAsiaTheme="minorEastAsia" w:cstheme="minorEastAsia"/>
          <w:color w:val="000000"/>
          <w:kern w:val="2"/>
          <w:sz w:val="24"/>
          <w:szCs w:val="24"/>
          <w:lang w:val="en-US" w:eastAsia="zh-CN" w:bidi="ar-SA"/>
        </w:rPr>
        <w:t>联合体成员数量(含联合体牵头人)不超过2家。</w:t>
      </w:r>
    </w:p>
    <w:p w14:paraId="50CE8FEB">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cstheme="minorEastAsia"/>
          <w:color w:val="000000"/>
          <w:kern w:val="2"/>
          <w:sz w:val="24"/>
          <w:szCs w:val="24"/>
          <w:lang w:val="en-US" w:eastAsia="zh-CN" w:bidi="ar-SA"/>
        </w:rPr>
        <w:t>（2）</w:t>
      </w:r>
      <w:r>
        <w:rPr>
          <w:rFonts w:hint="eastAsia" w:asciiTheme="minorEastAsia" w:hAnsiTheme="minorEastAsia" w:eastAsiaTheme="minorEastAsia" w:cstheme="minorEastAsia"/>
          <w:color w:val="000000"/>
          <w:kern w:val="2"/>
          <w:sz w:val="24"/>
          <w:szCs w:val="24"/>
          <w:lang w:val="en-US" w:eastAsia="zh-CN" w:bidi="ar-SA"/>
        </w:rPr>
        <w:t>联合体各方应签订联合体协议书，明确联合体牵头人和各方的工作分工、权利义务，并承诺就中标项目向采购人承担连带责任。</w:t>
      </w:r>
    </w:p>
    <w:p w14:paraId="245CD4C5">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cstheme="minorEastAsia"/>
          <w:color w:val="000000"/>
          <w:kern w:val="2"/>
          <w:sz w:val="24"/>
          <w:szCs w:val="24"/>
          <w:lang w:val="en-US" w:eastAsia="zh-CN" w:bidi="ar-SA"/>
        </w:rPr>
        <w:t>（3）</w:t>
      </w:r>
      <w:r>
        <w:rPr>
          <w:rFonts w:hint="eastAsia" w:asciiTheme="minorEastAsia" w:hAnsiTheme="minorEastAsia" w:eastAsiaTheme="minorEastAsia" w:cstheme="minorEastAsia"/>
          <w:color w:val="000000"/>
          <w:kern w:val="2"/>
          <w:sz w:val="24"/>
          <w:szCs w:val="24"/>
          <w:lang w:val="en-US" w:eastAsia="zh-CN" w:bidi="ar-SA"/>
        </w:rPr>
        <w:t>联合体各方不得再以自己名义单独或参加其他联合体在本项目中投标。</w:t>
      </w:r>
    </w:p>
    <w:p w14:paraId="6191C38E">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cstheme="minorEastAsia"/>
          <w:color w:val="000000"/>
          <w:kern w:val="2"/>
          <w:sz w:val="24"/>
          <w:szCs w:val="24"/>
          <w:lang w:val="en-US" w:eastAsia="zh-CN" w:bidi="ar-SA"/>
        </w:rPr>
        <w:t>（4）</w:t>
      </w:r>
      <w:r>
        <w:rPr>
          <w:rFonts w:hint="eastAsia" w:asciiTheme="minorEastAsia" w:hAnsiTheme="minorEastAsia" w:eastAsiaTheme="minorEastAsia" w:cstheme="minorEastAsia"/>
          <w:color w:val="000000"/>
          <w:kern w:val="2"/>
          <w:sz w:val="24"/>
          <w:szCs w:val="24"/>
          <w:lang w:val="en-US" w:eastAsia="zh-CN" w:bidi="ar-SA"/>
        </w:rPr>
        <w:t>以联合体形式投标的，项目团队人员及业绩证明材料均由联合体牵头人提供，联合体成员提供的其他材料不作为本项目人员及业绩评分依据。</w:t>
      </w:r>
    </w:p>
    <w:p w14:paraId="6A556737">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cstheme="minorEastAsia"/>
          <w:color w:val="000000"/>
          <w:kern w:val="2"/>
          <w:sz w:val="24"/>
          <w:szCs w:val="24"/>
          <w:lang w:val="en-US" w:eastAsia="zh-CN" w:bidi="ar-SA"/>
        </w:rPr>
        <w:t>（5）</w:t>
      </w:r>
      <w:r>
        <w:rPr>
          <w:rFonts w:hint="eastAsia" w:asciiTheme="minorEastAsia" w:hAnsiTheme="minorEastAsia" w:eastAsiaTheme="minorEastAsia" w:cstheme="minorEastAsia"/>
          <w:color w:val="000000"/>
          <w:kern w:val="2"/>
          <w:sz w:val="24"/>
          <w:szCs w:val="24"/>
          <w:lang w:val="en-US" w:eastAsia="zh-CN" w:bidi="ar-SA"/>
        </w:rPr>
        <w:t>联合体各方均须符合招标文件规定的供应商资格要求，并按要求提交联合体协议书及相关证明材料。</w:t>
      </w:r>
    </w:p>
    <w:p w14:paraId="63F62ACB">
      <w:pPr>
        <w:keepNext/>
        <w:keepLines/>
        <w:pageBreakBefore w:val="0"/>
        <w:widowControl w:val="0"/>
        <w:kinsoku/>
        <w:wordWrap/>
        <w:overflowPunct/>
        <w:topLinePunct w:val="0"/>
        <w:autoSpaceDE/>
        <w:autoSpaceDN/>
        <w:bidi w:val="0"/>
        <w:snapToGrid/>
        <w:spacing w:line="480" w:lineRule="exact"/>
        <w:jc w:val="both"/>
        <w:textAlignment w:val="baseline"/>
        <w:outlineLvl w:val="3"/>
        <w:rPr>
          <w:rFonts w:hint="eastAsia" w:asciiTheme="minorEastAsia" w:hAnsiTheme="minorEastAsia" w:eastAsiaTheme="minorEastAsia" w:cstheme="minorEastAsia"/>
          <w:bCs/>
          <w:color w:val="000000"/>
          <w:kern w:val="2"/>
          <w:sz w:val="24"/>
          <w:szCs w:val="24"/>
          <w:lang w:val="en-US" w:eastAsia="zh-CN" w:bidi="ar-SA"/>
        </w:rPr>
      </w:pPr>
      <w:bookmarkStart w:id="4" w:name="_Toc40166568"/>
      <w:bookmarkStart w:id="5" w:name="_Toc22201058"/>
      <w:r>
        <w:rPr>
          <w:rFonts w:hint="eastAsia" w:asciiTheme="minorEastAsia" w:hAnsiTheme="minorEastAsia" w:eastAsiaTheme="minorEastAsia" w:cstheme="minorEastAsia"/>
          <w:bCs/>
          <w:color w:val="000000"/>
          <w:kern w:val="2"/>
          <w:sz w:val="24"/>
          <w:szCs w:val="24"/>
          <w:lang w:val="en-US" w:eastAsia="zh-CN" w:bidi="ar-SA"/>
        </w:rPr>
        <w:t>五、</w:t>
      </w:r>
      <w:bookmarkEnd w:id="4"/>
      <w:bookmarkEnd w:id="5"/>
      <w:r>
        <w:rPr>
          <w:rFonts w:hint="eastAsia" w:asciiTheme="minorEastAsia" w:hAnsiTheme="minorEastAsia" w:eastAsiaTheme="minorEastAsia" w:cstheme="minorEastAsia"/>
          <w:bCs/>
          <w:color w:val="000000"/>
          <w:kern w:val="2"/>
          <w:sz w:val="24"/>
          <w:szCs w:val="24"/>
          <w:lang w:val="en-US" w:eastAsia="zh-CN" w:bidi="ar-SA"/>
        </w:rPr>
        <w:t>获取招标文件的时间、地点及方式</w:t>
      </w:r>
    </w:p>
    <w:p w14:paraId="4581C497">
      <w:pPr>
        <w:keepNext w:val="0"/>
        <w:keepLines w:val="0"/>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spacing w:val="-2"/>
          <w:kern w:val="0"/>
          <w:sz w:val="24"/>
          <w:szCs w:val="24"/>
          <w:lang w:val="en-US" w:eastAsia="zh-CN" w:bidi="ar-SA"/>
        </w:rPr>
      </w:pPr>
      <w:bookmarkStart w:id="6" w:name="_Toc40166569"/>
      <w:bookmarkStart w:id="7" w:name="_Toc22201059"/>
      <w:r>
        <w:rPr>
          <w:rFonts w:hint="eastAsia" w:asciiTheme="minorEastAsia" w:hAnsiTheme="minorEastAsia" w:eastAsiaTheme="minorEastAsia" w:cstheme="minorEastAsia"/>
          <w:color w:val="000000"/>
          <w:kern w:val="2"/>
          <w:sz w:val="24"/>
          <w:szCs w:val="24"/>
          <w:lang w:val="en-US" w:eastAsia="zh-CN" w:bidi="ar-SA"/>
        </w:rPr>
        <w:t>有意参加投标者，</w:t>
      </w:r>
      <w:r>
        <w:rPr>
          <w:rFonts w:hint="eastAsia" w:asciiTheme="minorEastAsia" w:hAnsiTheme="minorEastAsia" w:eastAsiaTheme="minorEastAsia" w:cstheme="minorEastAsia"/>
          <w:color w:val="FF0000"/>
          <w:kern w:val="2"/>
          <w:sz w:val="24"/>
          <w:szCs w:val="24"/>
          <w:lang w:val="en-US" w:eastAsia="zh-CN" w:bidi="ar-SA"/>
        </w:rPr>
        <w:t>请于</w:t>
      </w:r>
      <w:r>
        <w:rPr>
          <w:rFonts w:hint="eastAsia" w:asciiTheme="minorEastAsia" w:hAnsiTheme="minorEastAsia" w:eastAsiaTheme="minorEastAsia" w:cstheme="minorEastAsia"/>
          <w:color w:val="FF0000"/>
          <w:kern w:val="2"/>
          <w:sz w:val="24"/>
          <w:szCs w:val="24"/>
          <w:u w:val="single"/>
          <w:lang w:val="en-US" w:eastAsia="zh-CN" w:bidi="ar-SA"/>
        </w:rPr>
        <w:t>2026</w:t>
      </w:r>
      <w:r>
        <w:rPr>
          <w:rFonts w:hint="eastAsia" w:asciiTheme="minorEastAsia" w:hAnsiTheme="minorEastAsia" w:eastAsiaTheme="minorEastAsia" w:cstheme="minorEastAsia"/>
          <w:color w:val="FF0000"/>
          <w:kern w:val="2"/>
          <w:sz w:val="24"/>
          <w:szCs w:val="24"/>
          <w:u w:val="none"/>
          <w:lang w:val="en-US" w:eastAsia="zh-CN" w:bidi="ar-SA"/>
        </w:rPr>
        <w:t>年</w:t>
      </w:r>
      <w:r>
        <w:rPr>
          <w:rFonts w:hint="eastAsia" w:asciiTheme="minorEastAsia" w:hAnsiTheme="minorEastAsia" w:cstheme="minorEastAsia"/>
          <w:color w:val="FF0000"/>
          <w:kern w:val="2"/>
          <w:sz w:val="24"/>
          <w:szCs w:val="24"/>
          <w:u w:val="single"/>
          <w:lang w:val="en-US" w:eastAsia="zh-CN" w:bidi="ar-SA"/>
        </w:rPr>
        <w:t>09</w:t>
      </w:r>
      <w:r>
        <w:rPr>
          <w:rFonts w:hint="eastAsia" w:asciiTheme="minorEastAsia" w:hAnsiTheme="minorEastAsia" w:eastAsiaTheme="minorEastAsia" w:cstheme="minorEastAsia"/>
          <w:color w:val="FF0000"/>
          <w:kern w:val="2"/>
          <w:sz w:val="24"/>
          <w:szCs w:val="24"/>
          <w:u w:val="none"/>
          <w:lang w:val="en-US" w:eastAsia="zh-CN" w:bidi="ar-SA"/>
        </w:rPr>
        <w:t>月</w:t>
      </w:r>
      <w:r>
        <w:rPr>
          <w:rFonts w:hint="eastAsia" w:asciiTheme="minorEastAsia" w:hAnsiTheme="minorEastAsia" w:cstheme="minorEastAsia"/>
          <w:color w:val="FF0000"/>
          <w:kern w:val="2"/>
          <w:sz w:val="24"/>
          <w:szCs w:val="24"/>
          <w:u w:val="single"/>
          <w:lang w:val="en-US" w:eastAsia="zh-CN" w:bidi="ar-SA"/>
        </w:rPr>
        <w:t>18</w:t>
      </w:r>
      <w:r>
        <w:rPr>
          <w:rFonts w:hint="eastAsia" w:asciiTheme="minorEastAsia" w:hAnsiTheme="minorEastAsia" w:eastAsiaTheme="minorEastAsia" w:cstheme="minorEastAsia"/>
          <w:color w:val="FF0000"/>
          <w:kern w:val="2"/>
          <w:sz w:val="24"/>
          <w:szCs w:val="24"/>
          <w:u w:val="none"/>
          <w:lang w:val="en-US" w:eastAsia="zh-CN" w:bidi="ar-SA"/>
        </w:rPr>
        <w:t>日起至</w:t>
      </w:r>
      <w:r>
        <w:rPr>
          <w:rFonts w:hint="eastAsia" w:asciiTheme="minorEastAsia" w:hAnsiTheme="minorEastAsia" w:eastAsiaTheme="minorEastAsia" w:cstheme="minorEastAsia"/>
          <w:color w:val="FF0000"/>
          <w:kern w:val="2"/>
          <w:sz w:val="24"/>
          <w:szCs w:val="24"/>
          <w:u w:val="single"/>
          <w:lang w:val="en-US" w:eastAsia="zh-CN" w:bidi="ar-SA"/>
        </w:rPr>
        <w:t>2026</w:t>
      </w:r>
      <w:r>
        <w:rPr>
          <w:rFonts w:hint="eastAsia" w:asciiTheme="minorEastAsia" w:hAnsiTheme="minorEastAsia" w:eastAsiaTheme="minorEastAsia" w:cstheme="minorEastAsia"/>
          <w:color w:val="FF0000"/>
          <w:kern w:val="2"/>
          <w:sz w:val="24"/>
          <w:szCs w:val="24"/>
          <w:u w:val="none"/>
          <w:lang w:val="en-US" w:eastAsia="zh-CN" w:bidi="ar-SA"/>
        </w:rPr>
        <w:t>年</w:t>
      </w:r>
      <w:r>
        <w:rPr>
          <w:rFonts w:hint="eastAsia" w:asciiTheme="minorEastAsia" w:hAnsiTheme="minorEastAsia" w:cstheme="minorEastAsia"/>
          <w:color w:val="FF0000"/>
          <w:kern w:val="2"/>
          <w:sz w:val="24"/>
          <w:szCs w:val="24"/>
          <w:u w:val="single"/>
          <w:lang w:val="en-US" w:eastAsia="zh-CN" w:bidi="ar-SA"/>
        </w:rPr>
        <w:t>09</w:t>
      </w:r>
      <w:r>
        <w:rPr>
          <w:rFonts w:hint="eastAsia" w:asciiTheme="minorEastAsia" w:hAnsiTheme="minorEastAsia" w:eastAsiaTheme="minorEastAsia" w:cstheme="minorEastAsia"/>
          <w:color w:val="FF0000"/>
          <w:kern w:val="2"/>
          <w:sz w:val="24"/>
          <w:szCs w:val="24"/>
          <w:u w:val="none"/>
          <w:lang w:val="en-US" w:eastAsia="zh-CN" w:bidi="ar-SA"/>
        </w:rPr>
        <w:t>月</w:t>
      </w:r>
      <w:r>
        <w:rPr>
          <w:rFonts w:hint="eastAsia" w:asciiTheme="minorEastAsia" w:hAnsiTheme="minorEastAsia" w:cstheme="minorEastAsia"/>
          <w:color w:val="FF0000"/>
          <w:kern w:val="2"/>
          <w:sz w:val="24"/>
          <w:szCs w:val="24"/>
          <w:u w:val="single"/>
          <w:lang w:val="en-US" w:eastAsia="zh-CN" w:bidi="ar-SA"/>
        </w:rPr>
        <w:t>24</w:t>
      </w:r>
      <w:r>
        <w:rPr>
          <w:rFonts w:hint="eastAsia" w:asciiTheme="minorEastAsia" w:hAnsiTheme="minorEastAsia" w:eastAsiaTheme="minorEastAsia" w:cstheme="minorEastAsia"/>
          <w:color w:val="FF0000"/>
          <w:kern w:val="2"/>
          <w:sz w:val="24"/>
          <w:szCs w:val="24"/>
          <w:u w:val="none"/>
          <w:lang w:val="en-US" w:eastAsia="zh-CN" w:bidi="ar-SA"/>
        </w:rPr>
        <w:t>日止，每日</w:t>
      </w:r>
      <w:r>
        <w:rPr>
          <w:rFonts w:hint="eastAsia" w:asciiTheme="minorEastAsia" w:hAnsiTheme="minorEastAsia" w:eastAsiaTheme="minorEastAsia" w:cstheme="minorEastAsia"/>
          <w:color w:val="FF0000"/>
          <w:kern w:val="2"/>
          <w:sz w:val="24"/>
          <w:szCs w:val="24"/>
          <w:u w:val="single"/>
          <w:lang w:val="en-US" w:eastAsia="zh-CN" w:bidi="ar-SA"/>
        </w:rPr>
        <w:t>08</w:t>
      </w:r>
      <w:r>
        <w:rPr>
          <w:rFonts w:hint="eastAsia" w:asciiTheme="minorEastAsia" w:hAnsiTheme="minorEastAsia" w:eastAsiaTheme="minorEastAsia" w:cstheme="minorEastAsia"/>
          <w:color w:val="FF0000"/>
          <w:kern w:val="2"/>
          <w:sz w:val="24"/>
          <w:szCs w:val="24"/>
          <w:u w:val="none"/>
          <w:lang w:val="en-US" w:eastAsia="zh-CN" w:bidi="ar-SA"/>
        </w:rPr>
        <w:t>时</w:t>
      </w:r>
      <w:r>
        <w:rPr>
          <w:rFonts w:hint="eastAsia" w:asciiTheme="minorEastAsia" w:hAnsiTheme="minorEastAsia" w:eastAsiaTheme="minorEastAsia" w:cstheme="minorEastAsia"/>
          <w:color w:val="FF0000"/>
          <w:kern w:val="2"/>
          <w:sz w:val="24"/>
          <w:szCs w:val="24"/>
          <w:u w:val="single"/>
          <w:lang w:val="en-US" w:eastAsia="zh-CN" w:bidi="ar-SA"/>
        </w:rPr>
        <w:t>30</w:t>
      </w:r>
      <w:r>
        <w:rPr>
          <w:rFonts w:hint="eastAsia" w:asciiTheme="minorEastAsia" w:hAnsiTheme="minorEastAsia" w:eastAsiaTheme="minorEastAsia" w:cstheme="minorEastAsia"/>
          <w:color w:val="FF0000"/>
          <w:kern w:val="2"/>
          <w:sz w:val="24"/>
          <w:szCs w:val="24"/>
          <w:lang w:val="en-US" w:eastAsia="zh-CN" w:bidi="ar-SA"/>
        </w:rPr>
        <w:t>分到</w:t>
      </w:r>
      <w:r>
        <w:rPr>
          <w:rFonts w:hint="eastAsia" w:asciiTheme="minorEastAsia" w:hAnsiTheme="minorEastAsia" w:eastAsiaTheme="minorEastAsia" w:cstheme="minorEastAsia"/>
          <w:color w:val="FF0000"/>
          <w:kern w:val="2"/>
          <w:sz w:val="24"/>
          <w:szCs w:val="24"/>
          <w:u w:val="single"/>
          <w:lang w:val="en-US" w:eastAsia="zh-CN" w:bidi="ar-SA"/>
        </w:rPr>
        <w:t>17</w:t>
      </w:r>
      <w:r>
        <w:rPr>
          <w:rFonts w:hint="eastAsia" w:asciiTheme="minorEastAsia" w:hAnsiTheme="minorEastAsia" w:eastAsiaTheme="minorEastAsia" w:cstheme="minorEastAsia"/>
          <w:color w:val="FF0000"/>
          <w:kern w:val="2"/>
          <w:sz w:val="24"/>
          <w:szCs w:val="24"/>
          <w:u w:val="none"/>
          <w:lang w:val="en-US" w:eastAsia="zh-CN" w:bidi="ar-SA"/>
        </w:rPr>
        <w:t>时</w:t>
      </w:r>
      <w:r>
        <w:rPr>
          <w:rFonts w:hint="eastAsia" w:asciiTheme="minorEastAsia" w:hAnsiTheme="minorEastAsia" w:eastAsiaTheme="minorEastAsia" w:cstheme="minorEastAsia"/>
          <w:color w:val="FF0000"/>
          <w:kern w:val="2"/>
          <w:sz w:val="24"/>
          <w:szCs w:val="24"/>
          <w:u w:val="single"/>
          <w:lang w:val="en-US" w:eastAsia="zh-CN" w:bidi="ar-SA"/>
        </w:rPr>
        <w:t>0</w:t>
      </w:r>
      <w:r>
        <w:rPr>
          <w:rFonts w:hint="eastAsia" w:asciiTheme="minorEastAsia" w:hAnsiTheme="minorEastAsia" w:cstheme="minorEastAsia"/>
          <w:color w:val="FF0000"/>
          <w:kern w:val="2"/>
          <w:sz w:val="24"/>
          <w:szCs w:val="24"/>
          <w:u w:val="single"/>
          <w:lang w:val="en-US" w:eastAsia="zh-CN" w:bidi="ar-SA"/>
        </w:rPr>
        <w:t>0</w:t>
      </w:r>
      <w:r>
        <w:rPr>
          <w:rFonts w:hint="eastAsia" w:asciiTheme="minorEastAsia" w:hAnsiTheme="minorEastAsia" w:eastAsiaTheme="minorEastAsia" w:cstheme="minorEastAsia"/>
          <w:color w:val="FF0000"/>
          <w:kern w:val="2"/>
          <w:sz w:val="24"/>
          <w:szCs w:val="24"/>
          <w:u w:val="none"/>
          <w:lang w:val="en-US" w:eastAsia="zh-CN" w:bidi="ar-SA"/>
        </w:rPr>
        <w:t>分</w:t>
      </w:r>
      <w:r>
        <w:rPr>
          <w:rFonts w:hint="eastAsia" w:asciiTheme="minorEastAsia" w:hAnsiTheme="minorEastAsia" w:eastAsiaTheme="minorEastAsia" w:cstheme="minorEastAsia"/>
          <w:color w:val="000000"/>
          <w:kern w:val="2"/>
          <w:sz w:val="24"/>
          <w:szCs w:val="24"/>
          <w:lang w:val="en-US" w:eastAsia="zh-CN" w:bidi="ar-SA"/>
        </w:rPr>
        <w:t>（北京时间），在张家界市公共资源交易服务平台（http://ggzy.zjj.gov.cn/），“全省工程、政采电子交易平台→交易主体入口→CA登录”进行网上下载/获取招标文件，逾期将不能获取文件。修改、澄清后的招标文件请投标人按以上方式登录网站自行下载，恕不另行通知，如有遗漏投标人自行承担全部责任。</w:t>
      </w:r>
      <w:r>
        <w:rPr>
          <w:rFonts w:hint="eastAsia" w:asciiTheme="minorEastAsia" w:hAnsiTheme="minorEastAsia" w:eastAsiaTheme="minorEastAsia" w:cstheme="minorEastAsia"/>
          <w:color w:val="000000"/>
          <w:spacing w:val="-2"/>
          <w:kern w:val="0"/>
          <w:sz w:val="24"/>
          <w:szCs w:val="24"/>
          <w:lang w:val="en-US" w:eastAsia="zh-CN" w:bidi="ar-SA"/>
        </w:rPr>
        <w:t>本项目采用电子招标投标方式，投标人应当在</w:t>
      </w:r>
      <w:r>
        <w:rPr>
          <w:rFonts w:hint="eastAsia" w:asciiTheme="minorEastAsia" w:hAnsiTheme="minorEastAsia" w:eastAsiaTheme="minorEastAsia" w:cstheme="minorEastAsia"/>
          <w:color w:val="000000"/>
          <w:kern w:val="2"/>
          <w:sz w:val="24"/>
          <w:szCs w:val="24"/>
          <w:lang w:val="en-US" w:eastAsia="zh-CN" w:bidi="ar-SA"/>
        </w:rPr>
        <w:t>“</w:t>
      </w:r>
      <w:r>
        <w:rPr>
          <w:rFonts w:hint="eastAsia" w:asciiTheme="minorEastAsia" w:hAnsiTheme="minorEastAsia" w:eastAsiaTheme="minorEastAsia" w:cstheme="minorEastAsia"/>
          <w:color w:val="000000"/>
          <w:spacing w:val="-2"/>
          <w:kern w:val="0"/>
          <w:sz w:val="24"/>
          <w:szCs w:val="24"/>
          <w:lang w:val="en-US" w:eastAsia="zh-CN" w:bidi="ar-SA"/>
        </w:rPr>
        <w:t>张家界市公共资源交易服务平台</w:t>
      </w:r>
      <w:r>
        <w:rPr>
          <w:rFonts w:hint="eastAsia" w:asciiTheme="minorEastAsia" w:hAnsiTheme="minorEastAsia" w:eastAsiaTheme="minorEastAsia" w:cstheme="minorEastAsia"/>
          <w:color w:val="000000"/>
          <w:kern w:val="2"/>
          <w:sz w:val="24"/>
          <w:szCs w:val="24"/>
          <w:lang w:val="en-US" w:eastAsia="zh-CN" w:bidi="ar-SA"/>
        </w:rPr>
        <w:t>→全省工程、政采电子交易平台”</w:t>
      </w:r>
      <w:r>
        <w:rPr>
          <w:rFonts w:hint="eastAsia" w:asciiTheme="minorEastAsia" w:hAnsiTheme="minorEastAsia" w:eastAsiaTheme="minorEastAsia" w:cstheme="minorEastAsia"/>
          <w:color w:val="000000"/>
          <w:spacing w:val="-2"/>
          <w:kern w:val="0"/>
          <w:sz w:val="24"/>
          <w:szCs w:val="24"/>
          <w:lang w:val="en-US" w:eastAsia="zh-CN" w:bidi="ar-SA"/>
        </w:rPr>
        <w:t>进行注册登记和CA认证。</w:t>
      </w:r>
    </w:p>
    <w:p w14:paraId="2A10D07F">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spacing w:val="-2"/>
          <w:kern w:val="0"/>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sym w:font="Wingdings" w:char="00FE"/>
      </w:r>
      <w:r>
        <w:rPr>
          <w:rFonts w:hint="eastAsia" w:asciiTheme="minorEastAsia" w:hAnsiTheme="minorEastAsia" w:eastAsiaTheme="minorEastAsia" w:cstheme="minorEastAsia"/>
          <w:color w:val="000000"/>
          <w:spacing w:val="-2"/>
          <w:kern w:val="0"/>
          <w:sz w:val="24"/>
          <w:szCs w:val="24"/>
          <w:lang w:val="en-US" w:eastAsia="zh-CN" w:bidi="ar-SA"/>
        </w:rPr>
        <w:t>本项目实行电子交易，有意参加投标者，在http://ggzy.zjj.gov.cn获取电子版招标文件。</w:t>
      </w:r>
    </w:p>
    <w:p w14:paraId="6DA331B6">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spacing w:val="-2"/>
          <w:kern w:val="0"/>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sym w:font="Wingdings" w:char="00A8"/>
      </w:r>
      <w:r>
        <w:rPr>
          <w:rFonts w:hint="eastAsia" w:asciiTheme="minorEastAsia" w:hAnsiTheme="minorEastAsia" w:eastAsiaTheme="minorEastAsia" w:cstheme="minorEastAsia"/>
          <w:color w:val="000000"/>
          <w:spacing w:val="-2"/>
          <w:kern w:val="0"/>
          <w:sz w:val="24"/>
          <w:szCs w:val="24"/>
          <w:lang w:val="en-US" w:eastAsia="zh-CN" w:bidi="ar-SA"/>
        </w:rPr>
        <w:t>本项目进行资格预审，招标文件将向所有通过资格预审的供应商提供。</w:t>
      </w:r>
    </w:p>
    <w:bookmarkEnd w:id="6"/>
    <w:bookmarkEnd w:id="7"/>
    <w:p w14:paraId="7C0B9EFA">
      <w:pPr>
        <w:keepNext/>
        <w:keepLines/>
        <w:pageBreakBefore w:val="0"/>
        <w:widowControl w:val="0"/>
        <w:kinsoku/>
        <w:wordWrap/>
        <w:overflowPunct/>
        <w:topLinePunct w:val="0"/>
        <w:autoSpaceDE/>
        <w:autoSpaceDN/>
        <w:bidi w:val="0"/>
        <w:snapToGrid/>
        <w:spacing w:line="480" w:lineRule="exact"/>
        <w:jc w:val="both"/>
        <w:textAlignment w:val="baseline"/>
        <w:outlineLvl w:val="3"/>
        <w:rPr>
          <w:rFonts w:hint="eastAsia" w:asciiTheme="minorEastAsia" w:hAnsiTheme="minorEastAsia" w:eastAsiaTheme="minorEastAsia" w:cstheme="minorEastAsia"/>
          <w:bCs/>
          <w:color w:val="000000"/>
          <w:kern w:val="2"/>
          <w:sz w:val="24"/>
          <w:szCs w:val="24"/>
          <w:lang w:val="en-US" w:eastAsia="zh-CN" w:bidi="ar-SA"/>
        </w:rPr>
      </w:pPr>
      <w:bookmarkStart w:id="8" w:name="_Toc40166570"/>
      <w:bookmarkStart w:id="9" w:name="_Toc22201060"/>
      <w:r>
        <w:rPr>
          <w:rFonts w:hint="eastAsia" w:asciiTheme="minorEastAsia" w:hAnsiTheme="minorEastAsia" w:eastAsiaTheme="minorEastAsia" w:cstheme="minorEastAsia"/>
          <w:bCs/>
          <w:color w:val="000000"/>
          <w:kern w:val="2"/>
          <w:sz w:val="24"/>
          <w:szCs w:val="24"/>
          <w:lang w:val="en-US" w:eastAsia="zh-CN" w:bidi="ar-SA"/>
        </w:rPr>
        <w:t>六、投标截止时间、开标时间及地点</w:t>
      </w:r>
    </w:p>
    <w:p w14:paraId="24D1F3AD">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FF0000"/>
          <w:kern w:val="2"/>
          <w:sz w:val="24"/>
          <w:szCs w:val="24"/>
          <w:u w:val="none" w:color="auto"/>
          <w:lang w:val="en-US" w:eastAsia="zh-CN" w:bidi="ar-SA"/>
        </w:rPr>
      </w:pPr>
      <w:r>
        <w:rPr>
          <w:rFonts w:hint="eastAsia" w:asciiTheme="minorEastAsia" w:hAnsiTheme="minorEastAsia" w:eastAsiaTheme="minorEastAsia" w:cstheme="minorEastAsia"/>
          <w:color w:val="FF0000"/>
          <w:kern w:val="2"/>
          <w:sz w:val="24"/>
          <w:szCs w:val="24"/>
          <w:u w:val="none" w:color="auto"/>
          <w:lang w:val="en-US" w:eastAsia="zh-CN" w:bidi="ar-SA"/>
        </w:rPr>
        <w:t>1、提交投标文件的截止时间</w:t>
      </w:r>
      <w:r>
        <w:rPr>
          <w:rFonts w:hint="eastAsia" w:asciiTheme="minorEastAsia" w:hAnsiTheme="minorEastAsia" w:cstheme="minorEastAsia"/>
          <w:color w:val="FF0000"/>
          <w:kern w:val="2"/>
          <w:sz w:val="24"/>
          <w:szCs w:val="24"/>
          <w:u w:val="none" w:color="auto"/>
          <w:lang w:val="en-US" w:eastAsia="zh-CN" w:bidi="ar-SA"/>
        </w:rPr>
        <w:t>:</w:t>
      </w:r>
      <w:r>
        <w:rPr>
          <w:rFonts w:hint="eastAsia" w:asciiTheme="minorEastAsia" w:hAnsiTheme="minorEastAsia" w:eastAsiaTheme="minorEastAsia" w:cstheme="minorEastAsia"/>
          <w:color w:val="FF0000"/>
          <w:kern w:val="2"/>
          <w:sz w:val="24"/>
          <w:szCs w:val="24"/>
          <w:u w:val="single" w:color="auto"/>
          <w:lang w:val="en-US" w:eastAsia="zh-CN" w:bidi="ar-SA"/>
        </w:rPr>
        <w:t>2026</w:t>
      </w:r>
      <w:r>
        <w:rPr>
          <w:rFonts w:hint="eastAsia" w:asciiTheme="minorEastAsia" w:hAnsiTheme="minorEastAsia" w:eastAsiaTheme="minorEastAsia" w:cstheme="minorEastAsia"/>
          <w:color w:val="FF0000"/>
          <w:kern w:val="2"/>
          <w:sz w:val="24"/>
          <w:szCs w:val="24"/>
          <w:u w:val="none" w:color="auto"/>
          <w:lang w:val="en-US" w:eastAsia="zh-CN" w:bidi="ar-SA"/>
        </w:rPr>
        <w:t>年</w:t>
      </w:r>
      <w:r>
        <w:rPr>
          <w:rFonts w:hint="eastAsia" w:asciiTheme="minorEastAsia" w:hAnsiTheme="minorEastAsia" w:cstheme="minorEastAsia"/>
          <w:color w:val="FF0000"/>
          <w:kern w:val="2"/>
          <w:sz w:val="24"/>
          <w:szCs w:val="24"/>
          <w:u w:val="single" w:color="auto"/>
          <w:lang w:val="en-US" w:eastAsia="zh-CN" w:bidi="ar-SA"/>
        </w:rPr>
        <w:t>10</w:t>
      </w:r>
      <w:r>
        <w:rPr>
          <w:rFonts w:hint="eastAsia" w:asciiTheme="minorEastAsia" w:hAnsiTheme="minorEastAsia" w:eastAsiaTheme="minorEastAsia" w:cstheme="minorEastAsia"/>
          <w:color w:val="FF0000"/>
          <w:kern w:val="2"/>
          <w:sz w:val="24"/>
          <w:szCs w:val="24"/>
          <w:u w:val="none" w:color="auto"/>
          <w:lang w:val="en-US" w:eastAsia="zh-CN" w:bidi="ar-SA"/>
        </w:rPr>
        <w:t>月</w:t>
      </w:r>
      <w:r>
        <w:rPr>
          <w:rFonts w:hint="eastAsia" w:asciiTheme="minorEastAsia" w:hAnsiTheme="minorEastAsia" w:cstheme="minorEastAsia"/>
          <w:color w:val="FF0000"/>
          <w:kern w:val="2"/>
          <w:sz w:val="24"/>
          <w:szCs w:val="24"/>
          <w:u w:val="single" w:color="auto"/>
          <w:lang w:val="en-US" w:eastAsia="zh-CN" w:bidi="ar-SA"/>
        </w:rPr>
        <w:t>12</w:t>
      </w:r>
      <w:r>
        <w:rPr>
          <w:rFonts w:hint="eastAsia" w:asciiTheme="minorEastAsia" w:hAnsiTheme="minorEastAsia" w:eastAsiaTheme="minorEastAsia" w:cstheme="minorEastAsia"/>
          <w:color w:val="FF0000"/>
          <w:kern w:val="2"/>
          <w:sz w:val="24"/>
          <w:szCs w:val="24"/>
          <w:u w:val="none" w:color="auto"/>
          <w:lang w:val="en-US" w:eastAsia="zh-CN" w:bidi="ar-SA"/>
        </w:rPr>
        <w:t>日10:00（北京时间）</w:t>
      </w:r>
    </w:p>
    <w:p w14:paraId="299D88D7">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2、提交投标文件地点：本项目属于电子标项目，具体操作为投标人在张家界市公共资源交易服务平台（http://ggzy.zjj.gov.cn/），“全省工程、政采电子交易平台→交易主体入口→CA登录”上传投标文件</w:t>
      </w:r>
    </w:p>
    <w:p w14:paraId="5F4E17C4">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FF0000"/>
          <w:kern w:val="2"/>
          <w:sz w:val="24"/>
          <w:szCs w:val="24"/>
          <w:lang w:val="en-US" w:eastAsia="zh-CN" w:bidi="ar-SA"/>
        </w:rPr>
      </w:pPr>
      <w:r>
        <w:rPr>
          <w:rFonts w:hint="eastAsia" w:asciiTheme="minorEastAsia" w:hAnsiTheme="minorEastAsia" w:eastAsiaTheme="minorEastAsia" w:cstheme="minorEastAsia"/>
          <w:color w:val="FF0000"/>
          <w:kern w:val="2"/>
          <w:sz w:val="24"/>
          <w:szCs w:val="24"/>
          <w:lang w:val="en-US" w:eastAsia="zh-CN" w:bidi="ar-SA"/>
        </w:rPr>
        <w:t>3、开标时间：</w:t>
      </w:r>
      <w:r>
        <w:rPr>
          <w:rFonts w:hint="eastAsia" w:asciiTheme="minorEastAsia" w:hAnsiTheme="minorEastAsia" w:eastAsiaTheme="minorEastAsia" w:cstheme="minorEastAsia"/>
          <w:color w:val="FF0000"/>
          <w:kern w:val="2"/>
          <w:sz w:val="24"/>
          <w:szCs w:val="24"/>
          <w:u w:val="single"/>
          <w:lang w:val="en-US" w:eastAsia="zh-CN" w:bidi="ar-SA"/>
        </w:rPr>
        <w:t>2026</w:t>
      </w:r>
      <w:r>
        <w:rPr>
          <w:rFonts w:hint="eastAsia" w:asciiTheme="minorEastAsia" w:hAnsiTheme="minorEastAsia" w:eastAsiaTheme="minorEastAsia" w:cstheme="minorEastAsia"/>
          <w:color w:val="FF0000"/>
          <w:kern w:val="2"/>
          <w:sz w:val="24"/>
          <w:szCs w:val="24"/>
          <w:u w:val="none"/>
          <w:lang w:val="en-US" w:eastAsia="zh-CN" w:bidi="ar-SA"/>
        </w:rPr>
        <w:t>年</w:t>
      </w:r>
      <w:r>
        <w:rPr>
          <w:rFonts w:hint="eastAsia" w:asciiTheme="minorEastAsia" w:hAnsiTheme="minorEastAsia" w:cstheme="minorEastAsia"/>
          <w:color w:val="FF0000"/>
          <w:kern w:val="2"/>
          <w:sz w:val="24"/>
          <w:szCs w:val="24"/>
          <w:u w:val="single" w:color="auto"/>
          <w:lang w:val="en-US" w:eastAsia="zh-CN" w:bidi="ar-SA"/>
        </w:rPr>
        <w:t>10</w:t>
      </w:r>
      <w:r>
        <w:rPr>
          <w:rFonts w:hint="eastAsia" w:asciiTheme="minorEastAsia" w:hAnsiTheme="minorEastAsia" w:eastAsiaTheme="minorEastAsia" w:cstheme="minorEastAsia"/>
          <w:color w:val="FF0000"/>
          <w:kern w:val="2"/>
          <w:sz w:val="24"/>
          <w:szCs w:val="24"/>
          <w:u w:val="none" w:color="auto"/>
          <w:lang w:val="en-US" w:eastAsia="zh-CN" w:bidi="ar-SA"/>
        </w:rPr>
        <w:t>月</w:t>
      </w:r>
      <w:r>
        <w:rPr>
          <w:rFonts w:hint="eastAsia" w:asciiTheme="minorEastAsia" w:hAnsiTheme="minorEastAsia" w:cstheme="minorEastAsia"/>
          <w:color w:val="FF0000"/>
          <w:kern w:val="2"/>
          <w:sz w:val="24"/>
          <w:szCs w:val="24"/>
          <w:u w:val="single" w:color="auto"/>
          <w:lang w:val="en-US" w:eastAsia="zh-CN" w:bidi="ar-SA"/>
        </w:rPr>
        <w:t>12</w:t>
      </w:r>
      <w:r>
        <w:rPr>
          <w:rFonts w:hint="eastAsia" w:asciiTheme="minorEastAsia" w:hAnsiTheme="minorEastAsia" w:eastAsiaTheme="minorEastAsia" w:cstheme="minorEastAsia"/>
          <w:color w:val="FF0000"/>
          <w:kern w:val="2"/>
          <w:sz w:val="24"/>
          <w:szCs w:val="24"/>
          <w:u w:val="none" w:color="auto"/>
          <w:lang w:val="en-US" w:eastAsia="zh-CN" w:bidi="ar-SA"/>
        </w:rPr>
        <w:t>日10:00</w:t>
      </w:r>
    </w:p>
    <w:p w14:paraId="6EC78627">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4、开标地点：张家界市公共资源交易中心（子午路220号）。本项目属于电子标项目，实行线上开标，所有投标人应当准时在线参加开标，并在规定的时间内进行文件解密。</w:t>
      </w:r>
    </w:p>
    <w:p w14:paraId="7EF5D991">
      <w:pPr>
        <w:keepNext/>
        <w:keepLines/>
        <w:pageBreakBefore w:val="0"/>
        <w:widowControl w:val="0"/>
        <w:kinsoku/>
        <w:wordWrap/>
        <w:overflowPunct/>
        <w:topLinePunct w:val="0"/>
        <w:autoSpaceDE/>
        <w:autoSpaceDN/>
        <w:bidi w:val="0"/>
        <w:snapToGrid/>
        <w:spacing w:line="480" w:lineRule="exact"/>
        <w:jc w:val="both"/>
        <w:textAlignment w:val="baseline"/>
        <w:outlineLvl w:val="3"/>
        <w:rPr>
          <w:rFonts w:hint="eastAsia" w:asciiTheme="minorEastAsia" w:hAnsiTheme="minorEastAsia" w:eastAsiaTheme="minorEastAsia" w:cstheme="minorEastAsia"/>
          <w:bCs/>
          <w:color w:val="000000"/>
          <w:kern w:val="2"/>
          <w:sz w:val="24"/>
          <w:szCs w:val="24"/>
          <w:lang w:val="en-US" w:eastAsia="zh-CN" w:bidi="ar-SA"/>
        </w:rPr>
      </w:pPr>
      <w:r>
        <w:rPr>
          <w:rFonts w:hint="eastAsia" w:asciiTheme="minorEastAsia" w:hAnsiTheme="minorEastAsia" w:eastAsiaTheme="minorEastAsia" w:cstheme="minorEastAsia"/>
          <w:bCs/>
          <w:color w:val="000000"/>
          <w:kern w:val="2"/>
          <w:sz w:val="24"/>
          <w:szCs w:val="24"/>
          <w:lang w:val="en-US" w:eastAsia="zh-CN" w:bidi="ar-SA"/>
        </w:rPr>
        <w:t>七、公告期限</w:t>
      </w:r>
    </w:p>
    <w:p w14:paraId="58039CDE">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1、本招标公告在中国湖南政府采购网（www.ccgp-hunan.gov.cn）、张家界市公共资源交易网（http://ggzy.zjj.gov.cn/）发布。公告期限从本招标公告发布之日起</w:t>
      </w:r>
      <w:r>
        <w:rPr>
          <w:rFonts w:hint="eastAsia" w:asciiTheme="minorEastAsia" w:hAnsiTheme="minorEastAsia" w:cstheme="minorEastAsia"/>
          <w:color w:val="000000"/>
          <w:kern w:val="2"/>
          <w:sz w:val="24"/>
          <w:szCs w:val="24"/>
          <w:u w:val="none"/>
          <w:lang w:val="en-US" w:eastAsia="zh-CN" w:bidi="ar-SA"/>
        </w:rPr>
        <w:t>5个工作</w:t>
      </w:r>
      <w:r>
        <w:rPr>
          <w:rFonts w:hint="eastAsia" w:asciiTheme="minorEastAsia" w:hAnsiTheme="minorEastAsia" w:eastAsiaTheme="minorEastAsia" w:cstheme="minorEastAsia"/>
          <w:color w:val="000000"/>
          <w:kern w:val="2"/>
          <w:sz w:val="24"/>
          <w:szCs w:val="24"/>
          <w:u w:val="none"/>
          <w:lang w:val="en-US" w:eastAsia="zh-CN" w:bidi="ar-SA"/>
        </w:rPr>
        <w:t>日</w:t>
      </w:r>
      <w:r>
        <w:rPr>
          <w:rFonts w:hint="eastAsia" w:asciiTheme="minorEastAsia" w:hAnsiTheme="minorEastAsia" w:eastAsiaTheme="minorEastAsia" w:cstheme="minorEastAsia"/>
          <w:color w:val="000000"/>
          <w:kern w:val="2"/>
          <w:sz w:val="24"/>
          <w:szCs w:val="24"/>
          <w:lang w:val="en-US" w:eastAsia="zh-CN" w:bidi="ar-SA"/>
        </w:rPr>
        <w:t>。</w:t>
      </w:r>
    </w:p>
    <w:p w14:paraId="2F325AE6">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2、在其他媒体发布的招标公告，公告内容以本招标公告指定媒体发布的公告为准；公告期限自本招标公告指定媒体最先发布公告之日起算。</w:t>
      </w:r>
    </w:p>
    <w:p w14:paraId="5983FDB0">
      <w:pPr>
        <w:keepNext/>
        <w:keepLines/>
        <w:pageBreakBefore w:val="0"/>
        <w:widowControl w:val="0"/>
        <w:kinsoku/>
        <w:wordWrap/>
        <w:overflowPunct/>
        <w:topLinePunct w:val="0"/>
        <w:autoSpaceDE/>
        <w:autoSpaceDN/>
        <w:bidi w:val="0"/>
        <w:snapToGrid/>
        <w:spacing w:line="480" w:lineRule="exact"/>
        <w:jc w:val="both"/>
        <w:textAlignment w:val="baseline"/>
        <w:outlineLvl w:val="3"/>
        <w:rPr>
          <w:rFonts w:hint="eastAsia" w:asciiTheme="minorEastAsia" w:hAnsiTheme="minorEastAsia" w:eastAsiaTheme="minorEastAsia" w:cstheme="minorEastAsia"/>
          <w:bCs/>
          <w:color w:val="000000"/>
          <w:kern w:val="2"/>
          <w:sz w:val="24"/>
          <w:szCs w:val="24"/>
          <w:lang w:val="en-US" w:eastAsia="zh-CN" w:bidi="ar-SA"/>
        </w:rPr>
      </w:pPr>
      <w:r>
        <w:rPr>
          <w:rFonts w:hint="eastAsia" w:asciiTheme="minorEastAsia" w:hAnsiTheme="minorEastAsia" w:eastAsiaTheme="minorEastAsia" w:cstheme="minorEastAsia"/>
          <w:bCs/>
          <w:color w:val="000000"/>
          <w:kern w:val="2"/>
          <w:sz w:val="24"/>
          <w:szCs w:val="24"/>
          <w:lang w:val="en-US" w:eastAsia="zh-CN" w:bidi="ar-SA"/>
        </w:rPr>
        <w:t>八、</w:t>
      </w:r>
      <w:bookmarkEnd w:id="8"/>
      <w:bookmarkEnd w:id="9"/>
      <w:r>
        <w:rPr>
          <w:rFonts w:hint="eastAsia" w:asciiTheme="minorEastAsia" w:hAnsiTheme="minorEastAsia" w:eastAsiaTheme="minorEastAsia" w:cstheme="minorEastAsia"/>
          <w:bCs/>
          <w:color w:val="000000"/>
          <w:kern w:val="2"/>
          <w:sz w:val="24"/>
          <w:szCs w:val="24"/>
          <w:lang w:val="en-US" w:eastAsia="zh-CN" w:bidi="ar-SA"/>
        </w:rPr>
        <w:t>询问及质疑</w:t>
      </w:r>
    </w:p>
    <w:p w14:paraId="5918F5F4">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bookmarkStart w:id="10" w:name="_Toc40166571"/>
      <w:bookmarkStart w:id="11" w:name="_Toc22201061"/>
      <w:r>
        <w:rPr>
          <w:rFonts w:hint="eastAsia" w:asciiTheme="minorEastAsia" w:hAnsiTheme="minorEastAsia" w:eastAsiaTheme="minorEastAsia" w:cstheme="minorEastAsia"/>
          <w:color w:val="000000"/>
          <w:kern w:val="2"/>
          <w:sz w:val="24"/>
          <w:szCs w:val="24"/>
          <w:lang w:val="en-US" w:eastAsia="zh-CN" w:bidi="ar-SA"/>
        </w:rPr>
        <w:t>1、投标人对政府采购活动事项如有疑问的，可以向采购人、采购代理机构提出询问。采购人、采购代理机构将在3个工作日内作出答复。</w:t>
      </w:r>
    </w:p>
    <w:p w14:paraId="6A0181AD">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2、投标人对电子交易平台办理CA证书、操作等如有疑问，请咨询电子交易平台服务机构。</w:t>
      </w:r>
    </w:p>
    <w:p w14:paraId="7CE1BC31">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2024〕67号）规定，以纸质书面形式向采购人、采购代理机构提出质疑。</w:t>
      </w:r>
    </w:p>
    <w:p w14:paraId="5C94EF3B">
      <w:pPr>
        <w:keepNext/>
        <w:keepLines/>
        <w:pageBreakBefore w:val="0"/>
        <w:widowControl w:val="0"/>
        <w:kinsoku/>
        <w:wordWrap/>
        <w:overflowPunct/>
        <w:topLinePunct w:val="0"/>
        <w:autoSpaceDE/>
        <w:autoSpaceDN/>
        <w:bidi w:val="0"/>
        <w:snapToGrid/>
        <w:spacing w:line="480" w:lineRule="exact"/>
        <w:jc w:val="both"/>
        <w:textAlignment w:val="baseline"/>
        <w:outlineLvl w:val="3"/>
        <w:rPr>
          <w:rFonts w:hint="eastAsia" w:asciiTheme="minorEastAsia" w:hAnsiTheme="minorEastAsia" w:eastAsiaTheme="minorEastAsia" w:cstheme="minorEastAsia"/>
          <w:bCs/>
          <w:color w:val="000000"/>
          <w:kern w:val="2"/>
          <w:sz w:val="24"/>
          <w:szCs w:val="24"/>
          <w:lang w:val="en-US" w:eastAsia="zh-CN" w:bidi="ar-SA"/>
        </w:rPr>
      </w:pPr>
      <w:r>
        <w:rPr>
          <w:rFonts w:hint="eastAsia" w:asciiTheme="minorEastAsia" w:hAnsiTheme="minorEastAsia" w:eastAsiaTheme="minorEastAsia" w:cstheme="minorEastAsia"/>
          <w:bCs/>
          <w:color w:val="000000"/>
          <w:kern w:val="2"/>
          <w:sz w:val="24"/>
          <w:szCs w:val="24"/>
          <w:lang w:val="en-US" w:eastAsia="zh-CN" w:bidi="ar-SA"/>
        </w:rPr>
        <w:t>九、投标说明</w:t>
      </w:r>
    </w:p>
    <w:p w14:paraId="01055CBE">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1、本公告选项：</w:t>
      </w:r>
      <w:r>
        <w:rPr>
          <w:rFonts w:hint="eastAsia" w:asciiTheme="minorEastAsia" w:hAnsiTheme="minorEastAsia" w:eastAsiaTheme="minorEastAsia" w:cstheme="minorEastAsia"/>
          <w:color w:val="000000"/>
          <w:kern w:val="2"/>
          <w:sz w:val="24"/>
          <w:szCs w:val="24"/>
          <w:lang w:val="en-US" w:eastAsia="zh-CN" w:bidi="ar-SA"/>
        </w:rPr>
        <w:sym w:font="Wingdings" w:char="00FE"/>
      </w:r>
      <w:r>
        <w:rPr>
          <w:rFonts w:hint="eastAsia" w:asciiTheme="minorEastAsia" w:hAnsiTheme="minorEastAsia" w:eastAsiaTheme="minorEastAsia" w:cstheme="minorEastAsia"/>
          <w:color w:val="000000"/>
          <w:kern w:val="2"/>
          <w:sz w:val="24"/>
          <w:szCs w:val="24"/>
          <w:lang w:val="en-US" w:eastAsia="zh-CN" w:bidi="ar-SA"/>
        </w:rPr>
        <w:t>表示选择，</w:t>
      </w:r>
      <w:r>
        <w:rPr>
          <w:rFonts w:hint="eastAsia" w:asciiTheme="minorEastAsia" w:hAnsiTheme="minorEastAsia" w:eastAsiaTheme="minorEastAsia" w:cstheme="minorEastAsia"/>
          <w:color w:val="000000"/>
          <w:kern w:val="2"/>
          <w:sz w:val="24"/>
          <w:szCs w:val="24"/>
          <w:lang w:val="en-US" w:eastAsia="zh-CN" w:bidi="ar-SA"/>
        </w:rPr>
        <w:sym w:font="Wingdings" w:char="00A8"/>
      </w:r>
      <w:r>
        <w:rPr>
          <w:rFonts w:hint="eastAsia" w:asciiTheme="minorEastAsia" w:hAnsiTheme="minorEastAsia" w:eastAsiaTheme="minorEastAsia" w:cstheme="minorEastAsia"/>
          <w:color w:val="000000"/>
          <w:kern w:val="2"/>
          <w:sz w:val="24"/>
          <w:szCs w:val="24"/>
          <w:lang w:val="en-US" w:eastAsia="zh-CN" w:bidi="ar-SA"/>
        </w:rPr>
        <w:t>表示未选择。</w:t>
      </w:r>
    </w:p>
    <w:p w14:paraId="378A7FE2">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2、投标人参与政府采购活动，无需向采购人、代理机构、交易平台缴纳任何费用。</w:t>
      </w:r>
    </w:p>
    <w:p w14:paraId="51F57A3C">
      <w:pPr>
        <w:keepNext/>
        <w:keepLines/>
        <w:pageBreakBefore w:val="0"/>
        <w:widowControl w:val="0"/>
        <w:kinsoku/>
        <w:wordWrap/>
        <w:overflowPunct/>
        <w:topLinePunct w:val="0"/>
        <w:autoSpaceDE/>
        <w:autoSpaceDN/>
        <w:bidi w:val="0"/>
        <w:snapToGrid/>
        <w:spacing w:line="480" w:lineRule="exact"/>
        <w:jc w:val="both"/>
        <w:textAlignment w:val="baseline"/>
        <w:outlineLvl w:val="3"/>
        <w:rPr>
          <w:rFonts w:hint="eastAsia" w:asciiTheme="minorEastAsia" w:hAnsiTheme="minorEastAsia" w:eastAsiaTheme="minorEastAsia" w:cstheme="minorEastAsia"/>
          <w:bCs/>
          <w:color w:val="000000"/>
          <w:kern w:val="2"/>
          <w:sz w:val="24"/>
          <w:szCs w:val="24"/>
          <w:lang w:val="en-US" w:eastAsia="zh-CN" w:bidi="ar-SA"/>
        </w:rPr>
      </w:pPr>
      <w:r>
        <w:rPr>
          <w:rFonts w:hint="eastAsia" w:asciiTheme="minorEastAsia" w:hAnsiTheme="minorEastAsia" w:eastAsiaTheme="minorEastAsia" w:cstheme="minorEastAsia"/>
          <w:bCs/>
          <w:color w:val="000000"/>
          <w:kern w:val="2"/>
          <w:sz w:val="24"/>
          <w:szCs w:val="24"/>
          <w:lang w:val="en-US" w:eastAsia="zh-CN" w:bidi="ar-SA"/>
        </w:rPr>
        <w:t>十、采购项目联系人姓名和电话</w:t>
      </w:r>
    </w:p>
    <w:p w14:paraId="4992DBF6">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u w:val="none" w:color="auto"/>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1、</w:t>
      </w:r>
      <w:r>
        <w:rPr>
          <w:rFonts w:hint="eastAsia" w:asciiTheme="minorEastAsia" w:hAnsiTheme="minorEastAsia" w:eastAsiaTheme="minorEastAsia" w:cstheme="minorEastAsia"/>
          <w:color w:val="000000"/>
          <w:kern w:val="2"/>
          <w:sz w:val="24"/>
          <w:szCs w:val="24"/>
          <w:u w:val="none" w:color="auto"/>
          <w:lang w:val="en-US" w:eastAsia="zh-CN" w:bidi="ar-SA"/>
        </w:rPr>
        <w:t>联系人姓名：林女士</w:t>
      </w:r>
    </w:p>
    <w:p w14:paraId="59F36FC9">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u w:val="none" w:color="auto"/>
          <w:lang w:val="en-US" w:eastAsia="zh-CN" w:bidi="ar-SA"/>
        </w:rPr>
      </w:pPr>
      <w:r>
        <w:rPr>
          <w:rFonts w:hint="eastAsia" w:asciiTheme="minorEastAsia" w:hAnsiTheme="minorEastAsia" w:eastAsiaTheme="minorEastAsia" w:cstheme="minorEastAsia"/>
          <w:color w:val="000000"/>
          <w:kern w:val="2"/>
          <w:sz w:val="24"/>
          <w:szCs w:val="24"/>
          <w:u w:val="none" w:color="auto"/>
          <w:lang w:val="en-US" w:eastAsia="zh-CN" w:bidi="ar-SA"/>
        </w:rPr>
        <w:t>2、电 话：0744-8366168</w:t>
      </w:r>
    </w:p>
    <w:p w14:paraId="54098145">
      <w:pPr>
        <w:keepNext/>
        <w:keepLines/>
        <w:pageBreakBefore w:val="0"/>
        <w:widowControl w:val="0"/>
        <w:kinsoku/>
        <w:wordWrap/>
        <w:overflowPunct/>
        <w:topLinePunct w:val="0"/>
        <w:autoSpaceDE/>
        <w:autoSpaceDN/>
        <w:bidi w:val="0"/>
        <w:snapToGrid/>
        <w:spacing w:line="480" w:lineRule="exact"/>
        <w:jc w:val="both"/>
        <w:textAlignment w:val="baseline"/>
        <w:outlineLvl w:val="3"/>
        <w:rPr>
          <w:rFonts w:hint="eastAsia" w:asciiTheme="minorEastAsia" w:hAnsiTheme="minorEastAsia" w:eastAsiaTheme="minorEastAsia" w:cstheme="minorEastAsia"/>
          <w:bCs/>
          <w:color w:val="000000"/>
          <w:kern w:val="2"/>
          <w:sz w:val="24"/>
          <w:szCs w:val="24"/>
          <w:lang w:val="en-US" w:eastAsia="zh-CN" w:bidi="ar-SA"/>
        </w:rPr>
      </w:pPr>
      <w:r>
        <w:rPr>
          <w:rFonts w:hint="eastAsia" w:asciiTheme="minorEastAsia" w:hAnsiTheme="minorEastAsia" w:eastAsiaTheme="minorEastAsia" w:cstheme="minorEastAsia"/>
          <w:bCs/>
          <w:color w:val="000000"/>
          <w:kern w:val="2"/>
          <w:sz w:val="24"/>
          <w:szCs w:val="24"/>
          <w:u w:val="none" w:color="auto"/>
          <w:lang w:val="en-US" w:eastAsia="zh-CN" w:bidi="ar-SA"/>
        </w:rPr>
        <w:t>十一、</w:t>
      </w:r>
      <w:bookmarkEnd w:id="10"/>
      <w:bookmarkEnd w:id="11"/>
      <w:r>
        <w:rPr>
          <w:rFonts w:hint="eastAsia" w:asciiTheme="minorEastAsia" w:hAnsiTheme="minorEastAsia" w:eastAsiaTheme="minorEastAsia" w:cstheme="minorEastAsia"/>
          <w:bCs/>
          <w:color w:val="000000"/>
          <w:kern w:val="2"/>
          <w:sz w:val="24"/>
          <w:szCs w:val="24"/>
          <w:u w:val="none" w:color="auto"/>
          <w:lang w:val="en-US" w:eastAsia="zh-CN" w:bidi="ar-SA"/>
        </w:rPr>
        <w:t>采购人、采购代理机构的名</w:t>
      </w:r>
      <w:r>
        <w:rPr>
          <w:rFonts w:hint="eastAsia" w:asciiTheme="minorEastAsia" w:hAnsiTheme="minorEastAsia" w:eastAsiaTheme="minorEastAsia" w:cstheme="minorEastAsia"/>
          <w:bCs/>
          <w:color w:val="000000"/>
          <w:kern w:val="2"/>
          <w:sz w:val="24"/>
          <w:szCs w:val="24"/>
          <w:lang w:val="en-US" w:eastAsia="zh-CN" w:bidi="ar-SA"/>
        </w:rPr>
        <w:t>称、地址和联系方法</w:t>
      </w:r>
    </w:p>
    <w:p w14:paraId="7DB1B52E">
      <w:pPr>
        <w:pageBreakBefore w:val="0"/>
        <w:widowControl w:val="0"/>
        <w:kinsoku/>
        <w:wordWrap/>
        <w:overflowPunct/>
        <w:topLinePunct w:val="0"/>
        <w:autoSpaceDE/>
        <w:autoSpaceDN/>
        <w:bidi w:val="0"/>
        <w:adjustRightInd w:val="0"/>
        <w:snapToGrid/>
        <w:spacing w:line="480" w:lineRule="exact"/>
        <w:ind w:firstLine="482" w:firstLineChars="200"/>
        <w:jc w:val="both"/>
        <w:textAlignment w:val="baseline"/>
        <w:rPr>
          <w:rFonts w:hint="eastAsia" w:asciiTheme="minorEastAsia" w:hAnsiTheme="minorEastAsia" w:eastAsiaTheme="minorEastAsia" w:cstheme="minorEastAsia"/>
          <w:b/>
          <w:bCs/>
          <w:color w:val="000000"/>
          <w:kern w:val="2"/>
          <w:sz w:val="24"/>
          <w:szCs w:val="24"/>
          <w:lang w:val="en-US" w:eastAsia="zh-CN" w:bidi="ar-SA"/>
        </w:rPr>
      </w:pPr>
      <w:r>
        <w:rPr>
          <w:rFonts w:hint="eastAsia" w:asciiTheme="minorEastAsia" w:hAnsiTheme="minorEastAsia" w:eastAsiaTheme="minorEastAsia" w:cstheme="minorEastAsia"/>
          <w:b/>
          <w:bCs/>
          <w:color w:val="000000"/>
          <w:kern w:val="2"/>
          <w:sz w:val="24"/>
          <w:szCs w:val="24"/>
          <w:lang w:val="en-US" w:eastAsia="zh-CN" w:bidi="ar-SA"/>
        </w:rPr>
        <w:t>1、采购人信息</w:t>
      </w:r>
    </w:p>
    <w:p w14:paraId="064FB001">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（1）名 称：张家界市武陵源区自然资源和林业局</w:t>
      </w:r>
    </w:p>
    <w:p w14:paraId="0A41748F">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（2）地 址：湖南省张家界市武陵源区军地坪街道‌宝峰路 338 号‌</w:t>
      </w:r>
    </w:p>
    <w:p w14:paraId="2C63D306">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（3）联系人：胡女士</w:t>
      </w:r>
    </w:p>
    <w:p w14:paraId="67E95110">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（4）邮 编：427000</w:t>
      </w:r>
    </w:p>
    <w:p w14:paraId="1C0EC277">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（5）电 话：</w:t>
      </w:r>
      <w:r>
        <w:rPr>
          <w:rFonts w:hint="eastAsia" w:asciiTheme="minorEastAsia" w:hAnsiTheme="minorEastAsia" w:cstheme="minorEastAsia"/>
          <w:color w:val="000000"/>
          <w:kern w:val="2"/>
          <w:sz w:val="24"/>
          <w:szCs w:val="24"/>
          <w:lang w:val="en-US" w:eastAsia="zh-CN" w:bidi="ar-SA"/>
        </w:rPr>
        <w:t>0744-5618250</w:t>
      </w:r>
    </w:p>
    <w:p w14:paraId="3FB10776">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（6）电子邮箱：/</w:t>
      </w:r>
    </w:p>
    <w:p w14:paraId="5407D17F">
      <w:pPr>
        <w:pageBreakBefore w:val="0"/>
        <w:widowControl w:val="0"/>
        <w:kinsoku/>
        <w:wordWrap/>
        <w:overflowPunct/>
        <w:topLinePunct w:val="0"/>
        <w:autoSpaceDE/>
        <w:autoSpaceDN/>
        <w:bidi w:val="0"/>
        <w:adjustRightInd w:val="0"/>
        <w:snapToGrid/>
        <w:spacing w:line="480" w:lineRule="exact"/>
        <w:ind w:firstLine="482" w:firstLineChars="200"/>
        <w:jc w:val="both"/>
        <w:textAlignment w:val="baseline"/>
        <w:rPr>
          <w:rFonts w:hint="eastAsia" w:asciiTheme="minorEastAsia" w:hAnsiTheme="minorEastAsia" w:eastAsiaTheme="minorEastAsia" w:cstheme="minorEastAsia"/>
          <w:b/>
          <w:bCs/>
          <w:color w:val="000000"/>
          <w:kern w:val="2"/>
          <w:sz w:val="24"/>
          <w:szCs w:val="24"/>
          <w:lang w:val="en-US" w:eastAsia="zh-CN" w:bidi="ar-SA"/>
        </w:rPr>
      </w:pPr>
      <w:r>
        <w:rPr>
          <w:rFonts w:hint="eastAsia" w:asciiTheme="minorEastAsia" w:hAnsiTheme="minorEastAsia" w:eastAsiaTheme="minorEastAsia" w:cstheme="minorEastAsia"/>
          <w:b/>
          <w:bCs/>
          <w:color w:val="000000"/>
          <w:kern w:val="2"/>
          <w:sz w:val="24"/>
          <w:szCs w:val="24"/>
          <w:lang w:val="en-US" w:eastAsia="zh-CN" w:bidi="ar-SA"/>
        </w:rPr>
        <w:t>2、采购代理机构信息</w:t>
      </w:r>
    </w:p>
    <w:p w14:paraId="4CD91CC9">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（1）名  称：中盈永诚咨询集团有限公司</w:t>
      </w:r>
    </w:p>
    <w:p w14:paraId="2E49A08F">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（2）地  址：湖南省张家界市永定区大庸桥街道民惠家园二期对面(好地建安综合楼)202室</w:t>
      </w:r>
    </w:p>
    <w:p w14:paraId="0B953E71">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（3）联系人：林女士</w:t>
      </w:r>
    </w:p>
    <w:p w14:paraId="316280F9">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（4）邮 编：427000</w:t>
      </w:r>
    </w:p>
    <w:p w14:paraId="60510BAD">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（5）电 话：15574927685</w:t>
      </w:r>
    </w:p>
    <w:p w14:paraId="1FA486EE">
      <w:pPr>
        <w:pageBreakBefore w:val="0"/>
        <w:widowControl w:val="0"/>
        <w:kinsoku/>
        <w:wordWrap/>
        <w:overflowPunct/>
        <w:topLinePunct w:val="0"/>
        <w:autoSpaceDE/>
        <w:autoSpaceDN/>
        <w:bidi w:val="0"/>
        <w:adjustRightInd w:val="0"/>
        <w:snapToGrid/>
        <w:spacing w:line="480" w:lineRule="exact"/>
        <w:ind w:firstLine="480" w:firstLineChars="200"/>
        <w:jc w:val="both"/>
        <w:textAlignment w:val="baseline"/>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（6）电子邮箱：460799648@qq.com</w:t>
      </w:r>
    </w:p>
    <w:p w14:paraId="546B8F5E">
      <w:pPr>
        <w:pageBreakBefore w:val="0"/>
        <w:widowControl w:val="0"/>
        <w:kinsoku/>
        <w:wordWrap/>
        <w:overflowPunct/>
        <w:topLinePunct w:val="0"/>
        <w:autoSpaceDE/>
        <w:autoSpaceDN/>
        <w:bidi w:val="0"/>
        <w:adjustRightInd w:val="0"/>
        <w:snapToGrid/>
        <w:spacing w:line="480" w:lineRule="exact"/>
        <w:ind w:firstLine="482" w:firstLineChars="200"/>
        <w:jc w:val="both"/>
        <w:textAlignment w:val="baseline"/>
        <w:rPr>
          <w:rFonts w:hint="eastAsia" w:asciiTheme="minorEastAsia" w:hAnsiTheme="minorEastAsia" w:eastAsiaTheme="minorEastAsia" w:cstheme="minorEastAsia"/>
          <w:b/>
          <w:bCs/>
          <w:color w:val="000000"/>
          <w:kern w:val="2"/>
          <w:sz w:val="24"/>
          <w:szCs w:val="24"/>
          <w:lang w:val="en-US" w:eastAsia="zh-CN" w:bidi="ar-SA"/>
        </w:rPr>
      </w:pPr>
      <w:r>
        <w:rPr>
          <w:rFonts w:hint="eastAsia" w:asciiTheme="minorEastAsia" w:hAnsiTheme="minorEastAsia" w:eastAsiaTheme="minorEastAsia" w:cstheme="minorEastAsia"/>
          <w:b/>
          <w:bCs/>
          <w:color w:val="000000"/>
          <w:kern w:val="2"/>
          <w:sz w:val="24"/>
          <w:szCs w:val="24"/>
          <w:lang w:val="en-US" w:eastAsia="zh-CN" w:bidi="ar-SA"/>
        </w:rPr>
        <w:t>3、电子交易平台服务机构信息</w:t>
      </w:r>
    </w:p>
    <w:p w14:paraId="3A85B07F">
      <w:pPr>
        <w:pageBreakBefore w:val="0"/>
        <w:widowControl/>
        <w:kinsoku/>
        <w:wordWrap/>
        <w:overflowPunct/>
        <w:topLinePunct w:val="0"/>
        <w:autoSpaceDE/>
        <w:autoSpaceDN/>
        <w:bidi w:val="0"/>
        <w:snapToGrid/>
        <w:spacing w:line="480" w:lineRule="exact"/>
        <w:ind w:firstLine="42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 xml:space="preserve">（1）名 称：张家界公共资源交易网 </w:t>
      </w:r>
    </w:p>
    <w:p w14:paraId="70A9BFEB">
      <w:pPr>
        <w:pageBreakBefore w:val="0"/>
        <w:widowControl/>
        <w:kinsoku/>
        <w:wordWrap/>
        <w:overflowPunct/>
        <w:topLinePunct w:val="0"/>
        <w:autoSpaceDE/>
        <w:autoSpaceDN/>
        <w:bidi w:val="0"/>
        <w:snapToGrid/>
        <w:spacing w:line="480" w:lineRule="exact"/>
        <w:ind w:firstLine="42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kern w:val="0"/>
          <w:sz w:val="24"/>
          <w:szCs w:val="24"/>
        </w:rPr>
        <w:t>（2）联系人：</w:t>
      </w:r>
      <w:r>
        <w:rPr>
          <w:rFonts w:hint="eastAsia" w:asciiTheme="minorEastAsia" w:hAnsiTheme="minorEastAsia" w:eastAsiaTheme="minorEastAsia" w:cstheme="minorEastAsia"/>
          <w:color w:val="000000"/>
          <w:kern w:val="0"/>
          <w:sz w:val="24"/>
          <w:szCs w:val="24"/>
          <w:lang w:val="en-US" w:eastAsia="zh-CN"/>
        </w:rPr>
        <w:t>技术人员</w:t>
      </w:r>
    </w:p>
    <w:p w14:paraId="2A192DA8">
      <w:pPr>
        <w:pageBreakBefore w:val="0"/>
        <w:widowControl/>
        <w:kinsoku/>
        <w:wordWrap/>
        <w:overflowPunct/>
        <w:topLinePunct w:val="0"/>
        <w:autoSpaceDE/>
        <w:autoSpaceDN/>
        <w:bidi w:val="0"/>
        <w:snapToGrid/>
        <w:spacing w:line="480" w:lineRule="exact"/>
        <w:ind w:firstLine="420"/>
        <w:jc w:val="left"/>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rPr>
        <w:t>（3）电 话：0744-883329</w:t>
      </w:r>
      <w:r>
        <w:rPr>
          <w:rFonts w:hint="eastAsia" w:asciiTheme="minorEastAsia" w:hAnsiTheme="minorEastAsia" w:eastAsiaTheme="minorEastAsia" w:cstheme="minorEastAsia"/>
          <w:color w:val="000000"/>
          <w:kern w:val="0"/>
          <w:sz w:val="24"/>
          <w:szCs w:val="24"/>
          <w:lang w:val="en-US" w:eastAsia="zh-CN"/>
        </w:rPr>
        <w:t>6</w:t>
      </w:r>
    </w:p>
    <w:p w14:paraId="3E262F4C">
      <w:pPr>
        <w:pageBreakBefore w:val="0"/>
        <w:widowControl/>
        <w:kinsoku/>
        <w:wordWrap/>
        <w:overflowPunct/>
        <w:topLinePunct w:val="0"/>
        <w:autoSpaceDE/>
        <w:autoSpaceDN/>
        <w:bidi w:val="0"/>
        <w:snapToGrid/>
        <w:spacing w:line="480" w:lineRule="exact"/>
        <w:ind w:firstLine="420"/>
        <w:jc w:val="left"/>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rPr>
        <w:t>（4）电子邮箱：</w:t>
      </w:r>
      <w:r>
        <w:rPr>
          <w:rFonts w:hint="eastAsia" w:asciiTheme="minorEastAsia" w:hAnsiTheme="minorEastAsia" w:eastAsiaTheme="minorEastAsia" w:cstheme="minorEastAsia"/>
          <w:color w:val="000000"/>
          <w:kern w:val="0"/>
          <w:sz w:val="24"/>
          <w:szCs w:val="24"/>
          <w:lang w:val="en-US" w:eastAsia="zh-CN"/>
        </w:rPr>
        <w:t>/</w:t>
      </w:r>
    </w:p>
    <w:p w14:paraId="1B065CC7">
      <w:pPr>
        <w:pageBreakBefore w:val="0"/>
        <w:kinsoku/>
        <w:wordWrap/>
        <w:overflowPunct/>
        <w:topLinePunct w:val="0"/>
        <w:autoSpaceDE/>
        <w:autoSpaceDN/>
        <w:bidi w:val="0"/>
        <w:snapToGrid/>
        <w:spacing w:line="300" w:lineRule="exact"/>
        <w:rPr>
          <w:rFonts w:ascii="等线" w:hAnsi="等线" w:eastAsia="等线" w:cs="Times New Roman"/>
          <w:color w:val="000000"/>
          <w:szCs w:val="22"/>
        </w:rPr>
      </w:pPr>
      <w:r>
        <w:rPr>
          <w:rFonts w:hint="eastAsia" w:ascii="等线" w:hAnsi="等线" w:eastAsia="等线" w:cs="Times New Roman"/>
          <w:color w:val="000000"/>
          <w:szCs w:val="22"/>
        </w:rPr>
        <w:br w:type="page"/>
      </w:r>
    </w:p>
    <w:bookmarkEnd w:id="2"/>
    <w:p w14:paraId="537CE758">
      <w:pPr>
        <w:pageBreakBefore w:val="0"/>
        <w:kinsoku/>
        <w:wordWrap/>
        <w:overflowPunct/>
        <w:topLinePunct w:val="0"/>
        <w:autoSpaceDE/>
        <w:autoSpaceDN/>
        <w:bidi w:val="0"/>
        <w:snapToGrid/>
        <w:spacing w:line="300" w:lineRule="exact"/>
        <w:rPr>
          <w:color w:val="000000"/>
        </w:rPr>
        <w:sectPr>
          <w:headerReference r:id="rId3" w:type="default"/>
          <w:footerReference r:id="rId4" w:type="default"/>
          <w:pgSz w:w="11906" w:h="16838"/>
          <w:pgMar w:top="1531" w:right="1531" w:bottom="1531" w:left="1531" w:header="1134" w:footer="680" w:gutter="0"/>
          <w:pgBorders>
            <w:top w:val="none" w:sz="0" w:space="0"/>
            <w:left w:val="none" w:sz="0" w:space="0"/>
            <w:bottom w:val="none" w:sz="0" w:space="0"/>
            <w:right w:val="none" w:sz="0" w:space="0"/>
          </w:pgBorders>
          <w:pgNumType w:fmt="decimal"/>
          <w:cols w:space="0" w:num="1"/>
          <w:rtlGutter w:val="0"/>
          <w:docGrid w:type="lines" w:linePitch="312" w:charSpace="0"/>
        </w:sectPr>
      </w:pPr>
      <w:bookmarkStart w:id="12" w:name="_第二章_磋商须知"/>
      <w:bookmarkStart w:id="13" w:name="_Toc27615"/>
      <w:bookmarkStart w:id="14" w:name="_Toc19995"/>
      <w:bookmarkStart w:id="15" w:name="_Toc6573"/>
      <w:bookmarkStart w:id="16" w:name="_Toc26622"/>
      <w:bookmarkStart w:id="17" w:name="_Toc256000002"/>
      <w:bookmarkStart w:id="18" w:name="_Toc26894"/>
      <w:bookmarkStart w:id="19" w:name="_Toc14576"/>
    </w:p>
    <w:bookmarkEnd w:id="12"/>
    <w:bookmarkEnd w:id="13"/>
    <w:bookmarkEnd w:id="14"/>
    <w:bookmarkEnd w:id="15"/>
    <w:bookmarkEnd w:id="16"/>
    <w:bookmarkEnd w:id="17"/>
    <w:bookmarkEnd w:id="18"/>
    <w:bookmarkEnd w:id="19"/>
    <w:p w14:paraId="0FEB8B57">
      <w:pPr>
        <w:pStyle w:val="2"/>
        <w:bidi w:val="0"/>
        <w:jc w:val="center"/>
        <w:rPr>
          <w:lang w:val="en-US" w:eastAsia="zh-CN"/>
        </w:rPr>
      </w:pPr>
      <w:bookmarkStart w:id="20" w:name="_Toc7098"/>
      <w:bookmarkStart w:id="21" w:name="_Toc22928"/>
      <w:bookmarkStart w:id="22" w:name="_Toc15898"/>
      <w:bookmarkStart w:id="23" w:name="_Toc40166586"/>
      <w:bookmarkStart w:id="24" w:name="_第三章_采购需求"/>
      <w:bookmarkStart w:id="25" w:name="_Toc32293"/>
      <w:bookmarkStart w:id="26" w:name="_Toc16281"/>
      <w:r>
        <w:rPr>
          <w:rFonts w:hint="eastAsia"/>
          <w:lang w:val="en-US" w:eastAsia="zh-CN"/>
        </w:rPr>
        <w:t>第二章 投标人须知</w:t>
      </w:r>
      <w:bookmarkEnd w:id="20"/>
      <w:bookmarkEnd w:id="21"/>
      <w:bookmarkEnd w:id="22"/>
    </w:p>
    <w:p w14:paraId="46BBE125">
      <w:pPr>
        <w:pStyle w:val="3"/>
        <w:bidi w:val="0"/>
        <w:jc w:val="center"/>
        <w:rPr>
          <w:lang w:val="en-US" w:eastAsia="zh-CN"/>
        </w:rPr>
      </w:pPr>
      <w:bookmarkStart w:id="27" w:name="_Toc6664"/>
      <w:bookmarkStart w:id="28" w:name="_Toc851"/>
      <w:bookmarkStart w:id="29" w:name="_Toc15160"/>
      <w:r>
        <w:rPr>
          <w:rFonts w:hint="eastAsia"/>
          <w:lang w:val="en-US" w:eastAsia="zh-CN"/>
        </w:rPr>
        <w:t>第一节 投标人须知前附表</w:t>
      </w:r>
      <w:bookmarkEnd w:id="27"/>
      <w:bookmarkEnd w:id="28"/>
      <w:bookmarkEnd w:id="29"/>
    </w:p>
    <w:tbl>
      <w:tblPr>
        <w:tblStyle w:val="10"/>
        <w:tblW w:w="976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125"/>
        <w:gridCol w:w="2216"/>
        <w:gridCol w:w="6422"/>
      </w:tblGrid>
      <w:tr w14:paraId="17FD98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1125" w:type="dxa"/>
            <w:shd w:val="pct10" w:color="B8CCE4" w:fill="DCE6F2"/>
            <w:noWrap w:val="0"/>
            <w:vAlign w:val="center"/>
          </w:tcPr>
          <w:p w14:paraId="0C986F68">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b/>
                <w:color w:val="000000"/>
                <w:kern w:val="2"/>
                <w:sz w:val="24"/>
                <w:szCs w:val="24"/>
                <w:lang w:val="en-US" w:eastAsia="zh-CN" w:bidi="ar-SA"/>
              </w:rPr>
            </w:pPr>
            <w:r>
              <w:rPr>
                <w:rFonts w:hint="eastAsia" w:ascii="微软雅黑" w:hAnsi="微软雅黑" w:eastAsia="微软雅黑" w:cs="微软雅黑"/>
                <w:b/>
                <w:color w:val="000000"/>
                <w:kern w:val="2"/>
                <w:sz w:val="24"/>
                <w:szCs w:val="24"/>
                <w:lang w:val="en-US" w:eastAsia="zh-CN" w:bidi="ar-SA"/>
              </w:rPr>
              <w:t>条款号</w:t>
            </w:r>
          </w:p>
        </w:tc>
        <w:tc>
          <w:tcPr>
            <w:tcW w:w="2216" w:type="dxa"/>
            <w:shd w:val="pct10" w:color="B8CCE4" w:fill="DCE6F2"/>
            <w:noWrap w:val="0"/>
            <w:vAlign w:val="center"/>
          </w:tcPr>
          <w:p w14:paraId="40B9517D">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b/>
                <w:color w:val="000000"/>
                <w:kern w:val="2"/>
                <w:sz w:val="24"/>
                <w:szCs w:val="24"/>
                <w:lang w:val="en-US" w:eastAsia="zh-CN" w:bidi="ar-SA"/>
              </w:rPr>
            </w:pPr>
            <w:r>
              <w:rPr>
                <w:rFonts w:hint="eastAsia" w:ascii="微软雅黑" w:hAnsi="微软雅黑" w:eastAsia="微软雅黑" w:cs="微软雅黑"/>
                <w:b/>
                <w:color w:val="000000"/>
                <w:kern w:val="2"/>
                <w:sz w:val="24"/>
                <w:szCs w:val="24"/>
                <w:lang w:val="en-US" w:eastAsia="zh-CN" w:bidi="ar-SA"/>
              </w:rPr>
              <w:t>条款名称</w:t>
            </w:r>
          </w:p>
        </w:tc>
        <w:tc>
          <w:tcPr>
            <w:tcW w:w="6422" w:type="dxa"/>
            <w:shd w:val="pct10" w:color="B8CCE4" w:fill="DCE6F2"/>
            <w:noWrap w:val="0"/>
            <w:vAlign w:val="center"/>
          </w:tcPr>
          <w:p w14:paraId="7A11083B">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b/>
                <w:color w:val="000000"/>
                <w:kern w:val="2"/>
                <w:sz w:val="24"/>
                <w:szCs w:val="24"/>
                <w:lang w:val="en-US" w:eastAsia="zh-CN" w:bidi="ar-SA"/>
              </w:rPr>
            </w:pPr>
            <w:r>
              <w:rPr>
                <w:rFonts w:hint="eastAsia" w:ascii="微软雅黑" w:hAnsi="微软雅黑" w:eastAsia="微软雅黑" w:cs="微软雅黑"/>
                <w:b/>
                <w:color w:val="000000"/>
                <w:kern w:val="2"/>
                <w:sz w:val="24"/>
                <w:szCs w:val="24"/>
                <w:lang w:val="en-US" w:eastAsia="zh-CN" w:bidi="ar-SA"/>
              </w:rPr>
              <w:t>编列内容规定</w:t>
            </w:r>
          </w:p>
        </w:tc>
      </w:tr>
      <w:tr w14:paraId="23CA2D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1" w:hRule="atLeast"/>
          <w:jc w:val="center"/>
        </w:trPr>
        <w:tc>
          <w:tcPr>
            <w:tcW w:w="1125" w:type="dxa"/>
            <w:noWrap w:val="0"/>
            <w:vAlign w:val="center"/>
          </w:tcPr>
          <w:p w14:paraId="77D54171">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1.1</w:t>
            </w:r>
          </w:p>
        </w:tc>
        <w:tc>
          <w:tcPr>
            <w:tcW w:w="2216" w:type="dxa"/>
            <w:noWrap w:val="0"/>
            <w:vAlign w:val="center"/>
          </w:tcPr>
          <w:p w14:paraId="1A178635">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采购项目</w:t>
            </w:r>
          </w:p>
        </w:tc>
        <w:tc>
          <w:tcPr>
            <w:tcW w:w="6422" w:type="dxa"/>
            <w:noWrap w:val="0"/>
            <w:vAlign w:val="center"/>
          </w:tcPr>
          <w:p w14:paraId="47D5C3E9">
            <w:pPr>
              <w:keepNext w:val="0"/>
              <w:keepLines w:val="0"/>
              <w:pageBreakBefore w:val="0"/>
              <w:widowControl w:val="0"/>
              <w:kinsoku/>
              <w:overflowPunct/>
              <w:topLinePunct w:val="0"/>
              <w:autoSpaceDE/>
              <w:autoSpaceDN/>
              <w:bidi w:val="0"/>
              <w:adjustRightInd/>
              <w:snapToGrid/>
              <w:spacing w:line="360" w:lineRule="exact"/>
              <w:ind w:firstLine="240" w:firstLineChars="100"/>
              <w:jc w:val="both"/>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 xml:space="preserve">张家界市武陵源区湘西北生物多样性保护和生态修复项目（二期） </w:t>
            </w:r>
          </w:p>
        </w:tc>
      </w:tr>
      <w:tr w14:paraId="07DA8C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noWrap w:val="0"/>
            <w:vAlign w:val="center"/>
          </w:tcPr>
          <w:p w14:paraId="36F0F2D3">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3.1</w:t>
            </w:r>
          </w:p>
        </w:tc>
        <w:tc>
          <w:tcPr>
            <w:tcW w:w="2216" w:type="dxa"/>
            <w:noWrap w:val="0"/>
            <w:vAlign w:val="center"/>
          </w:tcPr>
          <w:p w14:paraId="6EF942AF">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采购人名称、地址、电话、联系人</w:t>
            </w:r>
          </w:p>
        </w:tc>
        <w:tc>
          <w:tcPr>
            <w:tcW w:w="6422" w:type="dxa"/>
            <w:noWrap w:val="0"/>
            <w:vAlign w:val="center"/>
          </w:tcPr>
          <w:p w14:paraId="051FE72D">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名  称：张家界市武陵源区自然资源和林业局</w:t>
            </w:r>
          </w:p>
          <w:p w14:paraId="207BA9F3">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地  址：湖南省张家界市武陵源区军地坪街道‌宝峰路 338 号</w:t>
            </w:r>
          </w:p>
          <w:p w14:paraId="46F9CE4C">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联系人：胡女士</w:t>
            </w:r>
          </w:p>
          <w:p w14:paraId="21154029">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电  话：0744-5618250</w:t>
            </w:r>
          </w:p>
        </w:tc>
      </w:tr>
      <w:tr w14:paraId="00EA2D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noWrap w:val="0"/>
            <w:vAlign w:val="center"/>
          </w:tcPr>
          <w:p w14:paraId="20A53EE1">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3.2</w:t>
            </w:r>
          </w:p>
        </w:tc>
        <w:tc>
          <w:tcPr>
            <w:tcW w:w="2216" w:type="dxa"/>
            <w:noWrap w:val="0"/>
            <w:vAlign w:val="center"/>
          </w:tcPr>
          <w:p w14:paraId="014FC156">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采购代理机构名称、地址、电话、项目联系人</w:t>
            </w:r>
          </w:p>
        </w:tc>
        <w:tc>
          <w:tcPr>
            <w:tcW w:w="6422" w:type="dxa"/>
            <w:noWrap w:val="0"/>
            <w:vAlign w:val="center"/>
          </w:tcPr>
          <w:p w14:paraId="17986470">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 xml:space="preserve">采购代理机构：中盈永诚咨询集团有限公司 </w:t>
            </w:r>
          </w:p>
          <w:p w14:paraId="08F80B68">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联 系 人：林女士</w:t>
            </w:r>
          </w:p>
          <w:p w14:paraId="0DC6BF58">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电    话：15574927685</w:t>
            </w:r>
          </w:p>
          <w:p w14:paraId="2DC852A7">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地    址：湖南省张家界市永定区大庸桥街道民惠家园二期对面(好地建安综合楼)202室</w:t>
            </w:r>
          </w:p>
        </w:tc>
      </w:tr>
      <w:tr w14:paraId="326E25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noWrap w:val="0"/>
            <w:vAlign w:val="center"/>
          </w:tcPr>
          <w:p w14:paraId="4BF169AA">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3.3.4</w:t>
            </w:r>
          </w:p>
        </w:tc>
        <w:tc>
          <w:tcPr>
            <w:tcW w:w="2216" w:type="dxa"/>
            <w:noWrap w:val="0"/>
            <w:vAlign w:val="center"/>
          </w:tcPr>
          <w:p w14:paraId="65469699">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是否为专门面向中小企业采购</w:t>
            </w:r>
          </w:p>
        </w:tc>
        <w:tc>
          <w:tcPr>
            <w:tcW w:w="6422" w:type="dxa"/>
            <w:noWrap w:val="0"/>
            <w:vAlign w:val="center"/>
          </w:tcPr>
          <w:p w14:paraId="4127CCB9">
            <w:pPr>
              <w:keepNext w:val="0"/>
              <w:keepLines w:val="0"/>
              <w:pageBreakBefore w:val="0"/>
              <w:widowControl w:val="0"/>
              <w:kinsoku/>
              <w:overflowPunct/>
              <w:topLinePunct w:val="0"/>
              <w:autoSpaceDE/>
              <w:autoSpaceDN/>
              <w:bidi w:val="0"/>
              <w:adjustRightInd/>
              <w:snapToGrid/>
              <w:spacing w:line="360" w:lineRule="exact"/>
              <w:ind w:firstLine="480" w:firstLineChars="200"/>
              <w:textAlignment w:val="baseline"/>
              <w:rPr>
                <w:rFonts w:hint="eastAsia" w:ascii="微软雅黑" w:hAnsi="微软雅黑" w:eastAsia="微软雅黑" w:cs="微软雅黑"/>
                <w:color w:val="000000"/>
                <w:sz w:val="24"/>
                <w:szCs w:val="24"/>
              </w:rPr>
            </w:pPr>
            <w:r>
              <w:rPr>
                <w:rFonts w:hint="eastAsia" w:ascii="微软雅黑" w:hAnsi="微软雅黑" w:eastAsia="微软雅黑" w:cs="微软雅黑"/>
                <w:color w:val="000000"/>
                <w:sz w:val="24"/>
                <w:szCs w:val="24"/>
              </w:rPr>
              <w:sym w:font="Wingdings" w:char="00A8"/>
            </w:r>
            <w:r>
              <w:rPr>
                <w:rFonts w:hint="eastAsia" w:ascii="微软雅黑" w:hAnsi="微软雅黑" w:eastAsia="微软雅黑" w:cs="微软雅黑"/>
                <w:color w:val="000000"/>
                <w:sz w:val="24"/>
                <w:szCs w:val="24"/>
              </w:rPr>
              <w:t xml:space="preserve">是  </w:t>
            </w:r>
            <w:r>
              <w:rPr>
                <w:rFonts w:hint="eastAsia" w:ascii="微软雅黑" w:hAnsi="微软雅黑" w:eastAsia="微软雅黑" w:cs="微软雅黑"/>
                <w:b/>
                <w:bCs/>
                <w:color w:val="000000"/>
                <w:sz w:val="24"/>
                <w:szCs w:val="24"/>
              </w:rPr>
              <w:tab/>
            </w:r>
            <w:r>
              <w:rPr>
                <w:rFonts w:hint="eastAsia" w:ascii="微软雅黑" w:hAnsi="微软雅黑" w:eastAsia="微软雅黑" w:cs="微软雅黑"/>
                <w:b/>
                <w:bCs/>
                <w:color w:val="000000"/>
                <w:kern w:val="2"/>
                <w:sz w:val="24"/>
                <w:szCs w:val="24"/>
                <w:lang w:val="en-US" w:eastAsia="zh-CN" w:bidi="ar-SA"/>
              </w:rPr>
              <w:sym w:font="Wingdings" w:char="00FE"/>
            </w:r>
            <w:r>
              <w:rPr>
                <w:rFonts w:hint="eastAsia" w:ascii="微软雅黑" w:hAnsi="微软雅黑" w:eastAsia="微软雅黑" w:cs="微软雅黑"/>
                <w:b/>
                <w:bCs/>
                <w:color w:val="000000"/>
                <w:sz w:val="24"/>
                <w:szCs w:val="24"/>
                <w:u w:val="none" w:color="auto"/>
              </w:rPr>
              <w:t>否</w:t>
            </w:r>
          </w:p>
        </w:tc>
      </w:tr>
      <w:tr w14:paraId="785827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2" w:hRule="atLeast"/>
          <w:jc w:val="center"/>
        </w:trPr>
        <w:tc>
          <w:tcPr>
            <w:tcW w:w="1125" w:type="dxa"/>
            <w:noWrap w:val="0"/>
            <w:vAlign w:val="center"/>
          </w:tcPr>
          <w:p w14:paraId="3EDB4105">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3.4</w:t>
            </w:r>
          </w:p>
        </w:tc>
        <w:tc>
          <w:tcPr>
            <w:tcW w:w="2216" w:type="dxa"/>
            <w:noWrap w:val="0"/>
            <w:vAlign w:val="center"/>
          </w:tcPr>
          <w:p w14:paraId="234C792E">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是否允许联合体</w:t>
            </w:r>
          </w:p>
          <w:p w14:paraId="558BD898">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投标</w:t>
            </w:r>
          </w:p>
        </w:tc>
        <w:tc>
          <w:tcPr>
            <w:tcW w:w="6422" w:type="dxa"/>
            <w:noWrap w:val="0"/>
            <w:vAlign w:val="center"/>
          </w:tcPr>
          <w:p w14:paraId="611DCA9F">
            <w:pPr>
              <w:keepNext w:val="0"/>
              <w:keepLines w:val="0"/>
              <w:pageBreakBefore w:val="0"/>
              <w:widowControl w:val="0"/>
              <w:kinsoku/>
              <w:overflowPunct/>
              <w:topLinePunct w:val="0"/>
              <w:autoSpaceDE/>
              <w:autoSpaceDN/>
              <w:bidi w:val="0"/>
              <w:adjustRightInd/>
              <w:snapToGrid/>
              <w:spacing w:line="360" w:lineRule="exact"/>
              <w:ind w:firstLineChars="200"/>
              <w:textAlignment w:val="baseline"/>
              <w:rPr>
                <w:rFonts w:hint="eastAsia" w:ascii="微软雅黑" w:hAnsi="微软雅黑" w:eastAsia="微软雅黑" w:cs="微软雅黑"/>
                <w:color w:val="000000"/>
                <w:sz w:val="24"/>
                <w:szCs w:val="24"/>
              </w:rPr>
            </w:pPr>
            <w:r>
              <w:rPr>
                <w:rFonts w:hint="eastAsia" w:ascii="微软雅黑" w:hAnsi="微软雅黑" w:eastAsia="微软雅黑" w:cs="微软雅黑"/>
                <w:b/>
                <w:bCs/>
                <w:color w:val="000000"/>
                <w:sz w:val="24"/>
                <w:szCs w:val="24"/>
                <w:u w:val="none" w:color="auto"/>
                <w:lang w:val="en-US" w:eastAsia="zh-CN"/>
              </w:rPr>
              <w:t xml:space="preserve">    </w:t>
            </w:r>
            <w:r>
              <w:rPr>
                <w:rFonts w:hint="eastAsia" w:ascii="微软雅黑" w:hAnsi="微软雅黑" w:eastAsia="微软雅黑" w:cs="微软雅黑"/>
                <w:b/>
                <w:bCs/>
                <w:color w:val="000000"/>
                <w:kern w:val="2"/>
                <w:sz w:val="24"/>
                <w:szCs w:val="24"/>
                <w:lang w:val="en-US" w:eastAsia="zh-CN" w:bidi="ar-SA"/>
              </w:rPr>
              <w:sym w:font="Wingdings" w:char="00FE"/>
            </w:r>
            <w:r>
              <w:rPr>
                <w:rFonts w:hint="eastAsia" w:ascii="微软雅黑" w:hAnsi="微软雅黑" w:eastAsia="微软雅黑" w:cs="微软雅黑"/>
                <w:b/>
                <w:bCs/>
                <w:color w:val="000000"/>
                <w:sz w:val="24"/>
                <w:szCs w:val="24"/>
                <w:u w:val="none" w:color="auto"/>
              </w:rPr>
              <w:t>接受</w:t>
            </w:r>
            <w:r>
              <w:rPr>
                <w:rFonts w:hint="eastAsia" w:ascii="微软雅黑" w:hAnsi="微软雅黑" w:eastAsia="微软雅黑" w:cs="微软雅黑"/>
                <w:color w:val="000000"/>
                <w:sz w:val="24"/>
                <w:szCs w:val="24"/>
                <w:u w:val="none" w:color="auto"/>
              </w:rPr>
              <w:t xml:space="preserve">  </w:t>
            </w:r>
            <w:r>
              <w:rPr>
                <w:rFonts w:hint="eastAsia" w:ascii="微软雅黑" w:hAnsi="微软雅黑" w:eastAsia="微软雅黑" w:cs="微软雅黑"/>
                <w:color w:val="000000"/>
                <w:sz w:val="24"/>
                <w:szCs w:val="24"/>
                <w:lang w:eastAsia="zh-CN"/>
              </w:rPr>
              <w:t>□</w:t>
            </w:r>
            <w:r>
              <w:rPr>
                <w:rFonts w:hint="eastAsia" w:ascii="微软雅黑" w:hAnsi="微软雅黑" w:eastAsia="微软雅黑" w:cs="微软雅黑"/>
                <w:b w:val="0"/>
                <w:bCs w:val="0"/>
                <w:color w:val="000000"/>
                <w:sz w:val="24"/>
                <w:szCs w:val="24"/>
                <w:u w:val="none" w:color="auto"/>
              </w:rPr>
              <w:t>不接受</w:t>
            </w:r>
          </w:p>
        </w:tc>
      </w:tr>
      <w:tr w14:paraId="389C64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24472FA7">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7.1</w:t>
            </w:r>
          </w:p>
        </w:tc>
        <w:tc>
          <w:tcPr>
            <w:tcW w:w="2216" w:type="dxa"/>
            <w:noWrap w:val="0"/>
            <w:vAlign w:val="center"/>
          </w:tcPr>
          <w:p w14:paraId="2F219179">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现场考</w:t>
            </w:r>
            <w:r>
              <w:rPr>
                <w:rFonts w:hint="eastAsia" w:ascii="微软雅黑" w:hAnsi="微软雅黑" w:eastAsia="微软雅黑" w:cs="微软雅黑"/>
                <w:bCs/>
                <w:color w:val="000000"/>
                <w:kern w:val="2"/>
                <w:sz w:val="24"/>
                <w:szCs w:val="24"/>
                <w:lang w:val="en-US" w:eastAsia="zh-CN" w:bidi="ar-SA"/>
              </w:rPr>
              <w:t>察</w:t>
            </w:r>
          </w:p>
        </w:tc>
        <w:tc>
          <w:tcPr>
            <w:tcW w:w="6422" w:type="dxa"/>
            <w:noWrap w:val="0"/>
            <w:vAlign w:val="center"/>
          </w:tcPr>
          <w:p w14:paraId="425402BD">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w:t>
            </w:r>
            <w:r>
              <w:rPr>
                <w:rFonts w:hint="eastAsia" w:ascii="微软雅黑" w:hAnsi="微软雅黑" w:eastAsia="微软雅黑" w:cs="微软雅黑"/>
                <w:b/>
                <w:bCs/>
                <w:color w:val="000000"/>
                <w:kern w:val="2"/>
                <w:sz w:val="24"/>
                <w:szCs w:val="24"/>
                <w:lang w:val="en-US" w:eastAsia="zh-CN" w:bidi="ar-SA"/>
              </w:rPr>
              <w:t>不组织，投标人自行考察</w:t>
            </w:r>
          </w:p>
          <w:p w14:paraId="42AA031B">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b w:val="0"/>
                <w:bCs w:val="0"/>
                <w:color w:val="000000"/>
                <w:kern w:val="2"/>
                <w:sz w:val="24"/>
                <w:szCs w:val="24"/>
                <w:lang w:val="en-US" w:eastAsia="zh-CN" w:bidi="ar-SA"/>
              </w:rPr>
            </w:pPr>
            <w:r>
              <w:rPr>
                <w:rFonts w:hint="eastAsia" w:ascii="微软雅黑" w:hAnsi="微软雅黑" w:eastAsia="微软雅黑" w:cs="微软雅黑"/>
                <w:b w:val="0"/>
                <w:bCs w:val="0"/>
                <w:color w:val="000000"/>
                <w:kern w:val="2"/>
                <w:sz w:val="24"/>
                <w:szCs w:val="24"/>
                <w:lang w:val="en-US" w:eastAsia="zh-CN" w:bidi="ar-SA"/>
              </w:rPr>
              <w:t>☐统一组织</w:t>
            </w:r>
          </w:p>
          <w:p w14:paraId="50C0C79D">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 xml:space="preserve">时间： </w:t>
            </w:r>
            <w:r>
              <w:rPr>
                <w:rFonts w:hint="eastAsia" w:ascii="微软雅黑" w:hAnsi="微软雅黑" w:eastAsia="微软雅黑" w:cs="微软雅黑"/>
                <w:color w:val="000000"/>
                <w:kern w:val="2"/>
                <w:sz w:val="24"/>
                <w:szCs w:val="24"/>
                <w:lang w:val="en-US" w:eastAsia="zh-CN" w:bidi="ar-SA"/>
              </w:rPr>
              <w:tab/>
            </w:r>
            <w:r>
              <w:rPr>
                <w:rFonts w:hint="eastAsia" w:ascii="微软雅黑" w:hAnsi="微软雅黑" w:eastAsia="微软雅黑" w:cs="微软雅黑"/>
                <w:color w:val="000000"/>
                <w:kern w:val="2"/>
                <w:sz w:val="24"/>
                <w:szCs w:val="24"/>
                <w:lang w:val="en-US" w:eastAsia="zh-CN" w:bidi="ar-SA"/>
              </w:rPr>
              <w:t>年  月  日  时  分</w:t>
            </w:r>
          </w:p>
          <w:p w14:paraId="60496FF7">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 xml:space="preserve">地点： </w:t>
            </w:r>
            <w:r>
              <w:rPr>
                <w:rFonts w:hint="eastAsia" w:ascii="微软雅黑" w:hAnsi="微软雅黑" w:eastAsia="微软雅黑" w:cs="微软雅黑"/>
                <w:color w:val="000000"/>
                <w:kern w:val="2"/>
                <w:sz w:val="24"/>
                <w:szCs w:val="24"/>
                <w:lang w:val="en-US" w:eastAsia="zh-CN" w:bidi="ar-SA"/>
              </w:rPr>
              <w:tab/>
            </w:r>
            <w:r>
              <w:rPr>
                <w:rFonts w:hint="eastAsia" w:ascii="微软雅黑" w:hAnsi="微软雅黑" w:eastAsia="微软雅黑" w:cs="微软雅黑"/>
                <w:color w:val="000000"/>
                <w:kern w:val="2"/>
                <w:sz w:val="24"/>
                <w:szCs w:val="24"/>
                <w:lang w:val="en-US" w:eastAsia="zh-CN" w:bidi="ar-SA"/>
              </w:rPr>
              <w:tab/>
            </w:r>
          </w:p>
          <w:p w14:paraId="31FC6343">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 xml:space="preserve">现场考察联系人及联系电话： </w:t>
            </w:r>
            <w:r>
              <w:rPr>
                <w:rFonts w:hint="eastAsia" w:ascii="微软雅黑" w:hAnsi="微软雅黑" w:eastAsia="微软雅黑" w:cs="微软雅黑"/>
                <w:color w:val="000000"/>
                <w:kern w:val="2"/>
                <w:sz w:val="24"/>
                <w:szCs w:val="24"/>
                <w:lang w:val="en-US" w:eastAsia="zh-CN" w:bidi="ar-SA"/>
              </w:rPr>
              <w:tab/>
            </w:r>
          </w:p>
          <w:p w14:paraId="7923AB14">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备注：如投标人未参加采购人统一组织的现场考察，视同放弃现场考察，由此引起的一切责任由投标人自行承担。</w:t>
            </w:r>
          </w:p>
        </w:tc>
      </w:tr>
      <w:tr w14:paraId="08E77C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2B936F5F">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8.1</w:t>
            </w:r>
          </w:p>
        </w:tc>
        <w:tc>
          <w:tcPr>
            <w:tcW w:w="2216" w:type="dxa"/>
            <w:noWrap w:val="0"/>
            <w:vAlign w:val="center"/>
          </w:tcPr>
          <w:p w14:paraId="6E43EAFF">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采购进口产品</w:t>
            </w:r>
          </w:p>
        </w:tc>
        <w:tc>
          <w:tcPr>
            <w:tcW w:w="6422" w:type="dxa"/>
            <w:noWrap w:val="0"/>
            <w:vAlign w:val="center"/>
          </w:tcPr>
          <w:p w14:paraId="2972CCD9">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sym w:font="Wingdings" w:char="00A8"/>
            </w:r>
            <w:r>
              <w:rPr>
                <w:rFonts w:hint="eastAsia" w:ascii="微软雅黑" w:hAnsi="微软雅黑" w:eastAsia="微软雅黑" w:cs="微软雅黑"/>
                <w:color w:val="000000"/>
                <w:kern w:val="2"/>
                <w:sz w:val="24"/>
                <w:szCs w:val="24"/>
                <w:lang w:val="en-US" w:eastAsia="zh-CN" w:bidi="ar-SA"/>
              </w:rPr>
              <w:t xml:space="preserve">接受  </w:t>
            </w:r>
            <w:r>
              <w:rPr>
                <w:rFonts w:hint="eastAsia" w:ascii="微软雅黑" w:hAnsi="微软雅黑" w:eastAsia="微软雅黑" w:cs="微软雅黑"/>
                <w:b/>
                <w:bCs/>
                <w:color w:val="000000"/>
                <w:kern w:val="2"/>
                <w:sz w:val="24"/>
                <w:szCs w:val="24"/>
                <w:lang w:val="en-US" w:eastAsia="zh-CN" w:bidi="ar-SA"/>
              </w:rPr>
              <w:sym w:font="Wingdings" w:char="00FE"/>
            </w:r>
            <w:r>
              <w:rPr>
                <w:rFonts w:hint="eastAsia" w:ascii="微软雅黑" w:hAnsi="微软雅黑" w:eastAsia="微软雅黑" w:cs="微软雅黑"/>
                <w:b/>
                <w:bCs/>
                <w:color w:val="000000"/>
                <w:kern w:val="2"/>
                <w:sz w:val="24"/>
                <w:szCs w:val="24"/>
                <w:lang w:val="en-US" w:eastAsia="zh-CN" w:bidi="ar-SA"/>
              </w:rPr>
              <w:t>拒绝</w:t>
            </w:r>
          </w:p>
        </w:tc>
      </w:tr>
      <w:tr w14:paraId="238985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63093C4F">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10.1</w:t>
            </w:r>
          </w:p>
        </w:tc>
        <w:tc>
          <w:tcPr>
            <w:tcW w:w="2216" w:type="dxa"/>
            <w:noWrap w:val="0"/>
            <w:vAlign w:val="center"/>
          </w:tcPr>
          <w:p w14:paraId="368C6FDA">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询问截止时间</w:t>
            </w:r>
          </w:p>
        </w:tc>
        <w:tc>
          <w:tcPr>
            <w:tcW w:w="6422" w:type="dxa"/>
            <w:noWrap w:val="0"/>
            <w:vAlign w:val="center"/>
          </w:tcPr>
          <w:p w14:paraId="159F3954">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FF0000"/>
                <w:kern w:val="2"/>
                <w:sz w:val="24"/>
                <w:szCs w:val="24"/>
                <w:lang w:val="en-US" w:eastAsia="zh-CN" w:bidi="ar-SA"/>
              </w:rPr>
              <w:t>2026年10月11日17时00分</w:t>
            </w:r>
          </w:p>
        </w:tc>
      </w:tr>
      <w:tr w14:paraId="1CE03F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65BE5034">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11.1</w:t>
            </w:r>
          </w:p>
        </w:tc>
        <w:tc>
          <w:tcPr>
            <w:tcW w:w="2216" w:type="dxa"/>
            <w:noWrap w:val="0"/>
            <w:vAlign w:val="center"/>
          </w:tcPr>
          <w:p w14:paraId="4C8A49B8">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包别划分</w:t>
            </w:r>
          </w:p>
        </w:tc>
        <w:tc>
          <w:tcPr>
            <w:tcW w:w="6422" w:type="dxa"/>
            <w:noWrap w:val="0"/>
            <w:vAlign w:val="center"/>
          </w:tcPr>
          <w:p w14:paraId="3DC723C7">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u w:val="single" w:color="000000"/>
                <w:lang w:val="en-US" w:eastAsia="zh-CN" w:bidi="ar-SA"/>
              </w:rPr>
            </w:pPr>
            <w:r>
              <w:rPr>
                <w:rFonts w:hint="eastAsia" w:ascii="微软雅黑" w:hAnsi="微软雅黑" w:eastAsia="微软雅黑" w:cs="微软雅黑"/>
                <w:color w:val="000000"/>
                <w:kern w:val="2"/>
                <w:sz w:val="24"/>
                <w:szCs w:val="24"/>
                <w:u w:val="none" w:color="auto"/>
                <w:lang w:val="en-US" w:eastAsia="zh-CN" w:bidi="ar-SA"/>
              </w:rPr>
              <w:t>招标时不分包，若大中型企业中标后允许向小微企业分包。</w:t>
            </w:r>
          </w:p>
        </w:tc>
      </w:tr>
      <w:tr w14:paraId="4A59DB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35AD6D3F">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13.1.1</w:t>
            </w:r>
          </w:p>
        </w:tc>
        <w:tc>
          <w:tcPr>
            <w:tcW w:w="2216" w:type="dxa"/>
            <w:noWrap w:val="0"/>
            <w:vAlign w:val="center"/>
          </w:tcPr>
          <w:p w14:paraId="718F1D45">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采购项目的其他资格条件</w:t>
            </w:r>
          </w:p>
        </w:tc>
        <w:tc>
          <w:tcPr>
            <w:tcW w:w="6422" w:type="dxa"/>
            <w:noWrap w:val="0"/>
            <w:vAlign w:val="center"/>
          </w:tcPr>
          <w:p w14:paraId="428E1E45">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w:t>
            </w:r>
          </w:p>
        </w:tc>
      </w:tr>
      <w:tr w14:paraId="08AD5D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1125" w:type="dxa"/>
            <w:noWrap w:val="0"/>
            <w:vAlign w:val="center"/>
          </w:tcPr>
          <w:p w14:paraId="544F2C2E">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15.1</w:t>
            </w:r>
          </w:p>
        </w:tc>
        <w:tc>
          <w:tcPr>
            <w:tcW w:w="2216" w:type="dxa"/>
            <w:noWrap w:val="0"/>
            <w:vAlign w:val="center"/>
          </w:tcPr>
          <w:p w14:paraId="0BBDF323">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投标保证金</w:t>
            </w:r>
          </w:p>
        </w:tc>
        <w:tc>
          <w:tcPr>
            <w:tcW w:w="6422" w:type="dxa"/>
            <w:noWrap w:val="0"/>
            <w:vAlign w:val="center"/>
          </w:tcPr>
          <w:p w14:paraId="23294B47">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sym w:font="Wingdings" w:char="00FE"/>
            </w:r>
            <w:r>
              <w:rPr>
                <w:rFonts w:hint="eastAsia" w:ascii="微软雅黑" w:hAnsi="微软雅黑" w:eastAsia="微软雅黑" w:cs="微软雅黑"/>
                <w:b/>
                <w:bCs/>
                <w:color w:val="000000"/>
                <w:kern w:val="2"/>
                <w:sz w:val="24"/>
                <w:szCs w:val="24"/>
                <w:lang w:val="en-US" w:eastAsia="zh-CN" w:bidi="ar-SA"/>
              </w:rPr>
              <w:t>不要求提供</w:t>
            </w:r>
          </w:p>
          <w:p w14:paraId="134E4539">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sym w:font="Wingdings" w:char="00A8"/>
            </w:r>
            <w:r>
              <w:rPr>
                <w:rFonts w:hint="eastAsia" w:ascii="微软雅黑" w:hAnsi="微软雅黑" w:eastAsia="微软雅黑" w:cs="微软雅黑"/>
                <w:color w:val="000000"/>
                <w:kern w:val="2"/>
                <w:sz w:val="24"/>
                <w:szCs w:val="24"/>
                <w:lang w:val="en-US" w:eastAsia="zh-CN" w:bidi="ar-SA"/>
              </w:rPr>
              <w:t xml:space="preserve"> 要求提供</w:t>
            </w:r>
          </w:p>
          <w:p w14:paraId="400FE066">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1.投标保证金金额：/；</w:t>
            </w:r>
          </w:p>
          <w:p w14:paraId="31BC753C">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2.投标保证金到账截止时间：同投标文件递交截止时间；</w:t>
            </w:r>
          </w:p>
          <w:p w14:paraId="61B4A1E1">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3.投标保证金缴纳方式：</w:t>
            </w:r>
          </w:p>
          <w:p w14:paraId="3F66D2E9">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b w:val="0"/>
                <w:bCs w:val="0"/>
                <w:color w:val="000000"/>
                <w:kern w:val="2"/>
                <w:sz w:val="24"/>
                <w:szCs w:val="24"/>
                <w:lang w:val="en-US" w:eastAsia="zh-CN" w:bidi="ar-SA"/>
              </w:rPr>
            </w:pPr>
            <w:r>
              <w:rPr>
                <w:rFonts w:hint="eastAsia" w:ascii="微软雅黑" w:hAnsi="微软雅黑" w:eastAsia="微软雅黑" w:cs="微软雅黑"/>
                <w:b w:val="0"/>
                <w:bCs w:val="0"/>
                <w:color w:val="000000"/>
                <w:kern w:val="2"/>
                <w:sz w:val="24"/>
                <w:szCs w:val="24"/>
                <w:lang w:val="en-US" w:eastAsia="zh-CN" w:bidi="ar-SA"/>
              </w:rPr>
              <w:sym w:font="Wingdings" w:char="00A8"/>
            </w:r>
            <w:r>
              <w:rPr>
                <w:rFonts w:hint="eastAsia" w:ascii="微软雅黑" w:hAnsi="微软雅黑" w:eastAsia="微软雅黑" w:cs="微软雅黑"/>
                <w:b w:val="0"/>
                <w:bCs w:val="0"/>
                <w:color w:val="000000"/>
                <w:kern w:val="2"/>
                <w:sz w:val="24"/>
                <w:szCs w:val="24"/>
                <w:lang w:val="en-US" w:eastAsia="zh-CN" w:bidi="ar-SA"/>
              </w:rPr>
              <w:t>银行转账</w:t>
            </w:r>
            <w:r>
              <w:rPr>
                <w:rFonts w:hint="eastAsia" w:ascii="微软雅黑" w:hAnsi="微软雅黑" w:eastAsia="微软雅黑" w:cs="微软雅黑"/>
                <w:b w:val="0"/>
                <w:bCs w:val="0"/>
                <w:color w:val="000000"/>
                <w:kern w:val="2"/>
                <w:sz w:val="24"/>
                <w:szCs w:val="24"/>
                <w:lang w:val="en-US" w:eastAsia="zh-CN" w:bidi="ar-SA"/>
              </w:rPr>
              <w:sym w:font="Wingdings" w:char="00A8"/>
            </w:r>
            <w:r>
              <w:rPr>
                <w:rFonts w:hint="eastAsia" w:ascii="微软雅黑" w:hAnsi="微软雅黑" w:eastAsia="微软雅黑" w:cs="微软雅黑"/>
                <w:b w:val="0"/>
                <w:bCs w:val="0"/>
                <w:color w:val="000000"/>
                <w:kern w:val="2"/>
                <w:sz w:val="24"/>
                <w:szCs w:val="24"/>
                <w:lang w:val="en-US" w:eastAsia="zh-CN" w:bidi="ar-SA"/>
              </w:rPr>
              <w:t xml:space="preserve">保险 </w:t>
            </w:r>
            <w:r>
              <w:rPr>
                <w:rFonts w:hint="eastAsia" w:ascii="微软雅黑" w:hAnsi="微软雅黑" w:eastAsia="微软雅黑" w:cs="微软雅黑"/>
                <w:b w:val="0"/>
                <w:bCs w:val="0"/>
                <w:color w:val="000000"/>
                <w:kern w:val="2"/>
                <w:sz w:val="24"/>
                <w:szCs w:val="24"/>
                <w:lang w:val="en-US" w:eastAsia="zh-CN" w:bidi="ar-SA"/>
              </w:rPr>
              <w:sym w:font="Wingdings" w:char="00A8"/>
            </w:r>
            <w:r>
              <w:rPr>
                <w:rFonts w:hint="eastAsia" w:ascii="微软雅黑" w:hAnsi="微软雅黑" w:eastAsia="微软雅黑" w:cs="微软雅黑"/>
                <w:b w:val="0"/>
                <w:bCs w:val="0"/>
                <w:color w:val="000000"/>
                <w:kern w:val="2"/>
                <w:sz w:val="24"/>
                <w:szCs w:val="24"/>
                <w:lang w:val="en-US" w:eastAsia="zh-CN" w:bidi="ar-SA"/>
              </w:rPr>
              <w:t>支票</w:t>
            </w:r>
            <w:r>
              <w:rPr>
                <w:rFonts w:hint="eastAsia" w:ascii="微软雅黑" w:hAnsi="微软雅黑" w:eastAsia="微软雅黑" w:cs="微软雅黑"/>
                <w:b w:val="0"/>
                <w:bCs w:val="0"/>
                <w:color w:val="000000"/>
                <w:kern w:val="2"/>
                <w:sz w:val="24"/>
                <w:szCs w:val="24"/>
                <w:lang w:val="en-US" w:eastAsia="zh-CN" w:bidi="ar-SA"/>
              </w:rPr>
              <w:tab/>
            </w:r>
            <w:r>
              <w:rPr>
                <w:rFonts w:hint="eastAsia" w:ascii="微软雅黑" w:hAnsi="微软雅黑" w:eastAsia="微软雅黑" w:cs="微软雅黑"/>
                <w:b w:val="0"/>
                <w:bCs w:val="0"/>
                <w:color w:val="000000"/>
                <w:kern w:val="2"/>
                <w:sz w:val="24"/>
                <w:szCs w:val="24"/>
                <w:lang w:val="en-US" w:eastAsia="zh-CN" w:bidi="ar-SA"/>
              </w:rPr>
              <w:sym w:font="Wingdings" w:char="00A8"/>
            </w:r>
            <w:r>
              <w:rPr>
                <w:rFonts w:hint="eastAsia" w:ascii="微软雅黑" w:hAnsi="微软雅黑" w:eastAsia="微软雅黑" w:cs="微软雅黑"/>
                <w:b w:val="0"/>
                <w:bCs w:val="0"/>
                <w:color w:val="000000"/>
                <w:kern w:val="2"/>
                <w:sz w:val="24"/>
                <w:szCs w:val="24"/>
                <w:lang w:val="en-US" w:eastAsia="zh-CN" w:bidi="ar-SA"/>
              </w:rPr>
              <w:t>汇票</w:t>
            </w:r>
            <w:r>
              <w:rPr>
                <w:rFonts w:hint="eastAsia" w:ascii="微软雅黑" w:hAnsi="微软雅黑" w:eastAsia="微软雅黑" w:cs="微软雅黑"/>
                <w:b w:val="0"/>
                <w:bCs w:val="0"/>
                <w:color w:val="000000"/>
                <w:kern w:val="2"/>
                <w:sz w:val="24"/>
                <w:szCs w:val="24"/>
                <w:lang w:val="en-US" w:eastAsia="zh-CN" w:bidi="ar-SA"/>
              </w:rPr>
              <w:sym w:font="Wingdings" w:char="00A8"/>
            </w:r>
            <w:r>
              <w:rPr>
                <w:rFonts w:hint="eastAsia" w:ascii="微软雅黑" w:hAnsi="微软雅黑" w:eastAsia="微软雅黑" w:cs="微软雅黑"/>
                <w:b w:val="0"/>
                <w:bCs w:val="0"/>
                <w:color w:val="000000"/>
                <w:kern w:val="2"/>
                <w:sz w:val="24"/>
                <w:szCs w:val="24"/>
                <w:lang w:val="en-US" w:eastAsia="zh-CN" w:bidi="ar-SA"/>
              </w:rPr>
              <w:t>本票</w:t>
            </w:r>
            <w:r>
              <w:rPr>
                <w:rFonts w:hint="eastAsia" w:ascii="微软雅黑" w:hAnsi="微软雅黑" w:eastAsia="微软雅黑" w:cs="微软雅黑"/>
                <w:b w:val="0"/>
                <w:bCs w:val="0"/>
                <w:color w:val="000000"/>
                <w:kern w:val="2"/>
                <w:sz w:val="24"/>
                <w:szCs w:val="24"/>
                <w:lang w:val="en-US" w:eastAsia="zh-CN" w:bidi="ar-SA"/>
              </w:rPr>
              <w:sym w:font="Wingdings" w:char="00A8"/>
            </w:r>
            <w:r>
              <w:rPr>
                <w:rFonts w:hint="eastAsia" w:ascii="微软雅黑" w:hAnsi="微软雅黑" w:eastAsia="微软雅黑" w:cs="微软雅黑"/>
                <w:b w:val="0"/>
                <w:bCs w:val="0"/>
                <w:color w:val="000000"/>
                <w:kern w:val="2"/>
                <w:sz w:val="24"/>
                <w:szCs w:val="24"/>
                <w:lang w:val="en-US" w:eastAsia="zh-CN" w:bidi="ar-SA"/>
              </w:rPr>
              <w:t>保函</w:t>
            </w:r>
            <w:r>
              <w:rPr>
                <w:rFonts w:hint="eastAsia" w:ascii="微软雅黑" w:hAnsi="微软雅黑" w:eastAsia="微软雅黑" w:cs="微软雅黑"/>
                <w:b w:val="0"/>
                <w:bCs w:val="0"/>
                <w:color w:val="000000"/>
                <w:kern w:val="2"/>
                <w:sz w:val="24"/>
                <w:szCs w:val="24"/>
                <w:lang w:val="en-US" w:eastAsia="zh-CN" w:bidi="ar-SA"/>
              </w:rPr>
              <w:sym w:font="Wingdings" w:char="00A8"/>
            </w:r>
            <w:r>
              <w:rPr>
                <w:rFonts w:hint="eastAsia" w:ascii="微软雅黑" w:hAnsi="微软雅黑" w:eastAsia="微软雅黑" w:cs="微软雅黑"/>
                <w:b w:val="0"/>
                <w:bCs w:val="0"/>
                <w:color w:val="000000"/>
                <w:kern w:val="2"/>
                <w:sz w:val="24"/>
                <w:szCs w:val="24"/>
                <w:lang w:val="en-US" w:eastAsia="zh-CN" w:bidi="ar-SA"/>
              </w:rPr>
              <w:t>电子保函</w:t>
            </w:r>
          </w:p>
          <w:p w14:paraId="359015BC">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4.各投标人在保证金实行电子化管理操作过程中遇到相关问题可拨打市公共资源交易中心电话咨询。</w:t>
            </w:r>
          </w:p>
        </w:tc>
      </w:tr>
      <w:tr w14:paraId="674DC5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noWrap w:val="0"/>
            <w:vAlign w:val="center"/>
          </w:tcPr>
          <w:p w14:paraId="51AEB692">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15.3</w:t>
            </w:r>
          </w:p>
        </w:tc>
        <w:tc>
          <w:tcPr>
            <w:tcW w:w="2216" w:type="dxa"/>
            <w:noWrap w:val="0"/>
            <w:vAlign w:val="center"/>
          </w:tcPr>
          <w:p w14:paraId="42F0B157">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其他不予退还投标保证金的情形</w:t>
            </w:r>
          </w:p>
        </w:tc>
        <w:tc>
          <w:tcPr>
            <w:tcW w:w="6422" w:type="dxa"/>
            <w:noWrap w:val="0"/>
            <w:vAlign w:val="center"/>
          </w:tcPr>
          <w:p w14:paraId="3C2683A9">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u w:val="single"/>
                <w:lang w:val="en-US" w:eastAsia="zh-CN" w:bidi="ar-SA"/>
              </w:rPr>
            </w:pPr>
            <w:r>
              <w:rPr>
                <w:rFonts w:hint="eastAsia" w:ascii="微软雅黑" w:hAnsi="微软雅黑" w:eastAsia="微软雅黑" w:cs="微软雅黑"/>
                <w:color w:val="000000"/>
                <w:kern w:val="2"/>
                <w:sz w:val="24"/>
                <w:szCs w:val="24"/>
                <w:u w:val="single" w:color="000000"/>
                <w:lang w:val="en-US" w:eastAsia="zh-CN" w:bidi="ar-SA"/>
              </w:rPr>
              <w:t xml:space="preserve">       /        </w:t>
            </w:r>
          </w:p>
        </w:tc>
      </w:tr>
      <w:tr w14:paraId="53750F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noWrap w:val="0"/>
            <w:vAlign w:val="center"/>
          </w:tcPr>
          <w:p w14:paraId="0C836A1E">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16.1</w:t>
            </w:r>
          </w:p>
        </w:tc>
        <w:tc>
          <w:tcPr>
            <w:tcW w:w="2216" w:type="dxa"/>
            <w:noWrap w:val="0"/>
            <w:vAlign w:val="center"/>
          </w:tcPr>
          <w:p w14:paraId="5D79D833">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投标有效期</w:t>
            </w:r>
          </w:p>
        </w:tc>
        <w:tc>
          <w:tcPr>
            <w:tcW w:w="6422" w:type="dxa"/>
            <w:noWrap w:val="0"/>
            <w:vAlign w:val="center"/>
          </w:tcPr>
          <w:p w14:paraId="48D59CA5">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u w:val="single" w:color="000000"/>
                <w:lang w:val="en-US" w:eastAsia="zh-CN" w:bidi="ar-SA"/>
              </w:rPr>
              <w:t xml:space="preserve">  90  </w:t>
            </w:r>
            <w:r>
              <w:rPr>
                <w:rFonts w:hint="eastAsia" w:ascii="微软雅黑" w:hAnsi="微软雅黑" w:eastAsia="微软雅黑" w:cs="微软雅黑"/>
                <w:color w:val="000000"/>
                <w:kern w:val="2"/>
                <w:sz w:val="24"/>
                <w:szCs w:val="24"/>
                <w:lang w:val="en-US" w:eastAsia="zh-CN" w:bidi="ar-SA"/>
              </w:rPr>
              <w:t>日（日历日）</w:t>
            </w:r>
          </w:p>
        </w:tc>
      </w:tr>
      <w:tr w14:paraId="03C21C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noWrap w:val="0"/>
            <w:vAlign w:val="center"/>
          </w:tcPr>
          <w:p w14:paraId="1FFE689C">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17.1</w:t>
            </w:r>
          </w:p>
        </w:tc>
        <w:tc>
          <w:tcPr>
            <w:tcW w:w="2216" w:type="dxa"/>
            <w:noWrap w:val="0"/>
            <w:vAlign w:val="center"/>
          </w:tcPr>
          <w:p w14:paraId="3A5B8EC2">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t>投标文件要求</w:t>
            </w:r>
          </w:p>
        </w:tc>
        <w:tc>
          <w:tcPr>
            <w:tcW w:w="6422" w:type="dxa"/>
            <w:noWrap w:val="0"/>
            <w:vAlign w:val="center"/>
          </w:tcPr>
          <w:p w14:paraId="6D1AAC5D">
            <w:pPr>
              <w:keepNext w:val="0"/>
              <w:keepLines w:val="0"/>
              <w:pageBreakBefore w:val="0"/>
              <w:widowControl w:val="0"/>
              <w:kinsoku/>
              <w:overflowPunct/>
              <w:topLinePunct w:val="0"/>
              <w:autoSpaceDE/>
              <w:autoSpaceDN/>
              <w:bidi w:val="0"/>
              <w:adjustRightInd/>
              <w:snapToGrid/>
              <w:spacing w:line="360" w:lineRule="exact"/>
              <w:ind w:firstLine="480" w:firstLineChars="200"/>
              <w:jc w:val="both"/>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加密电子投标文件</w:t>
            </w:r>
          </w:p>
        </w:tc>
      </w:tr>
      <w:tr w14:paraId="337E2C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Merge w:val="restart"/>
            <w:noWrap w:val="0"/>
            <w:vAlign w:val="center"/>
          </w:tcPr>
          <w:p w14:paraId="60FAF171">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18.1</w:t>
            </w:r>
          </w:p>
        </w:tc>
        <w:tc>
          <w:tcPr>
            <w:tcW w:w="2216" w:type="dxa"/>
            <w:noWrap w:val="0"/>
            <w:vAlign w:val="center"/>
          </w:tcPr>
          <w:p w14:paraId="76186820">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t>投标截止时间</w:t>
            </w:r>
          </w:p>
        </w:tc>
        <w:tc>
          <w:tcPr>
            <w:tcW w:w="6422" w:type="dxa"/>
            <w:noWrap w:val="0"/>
            <w:vAlign w:val="center"/>
          </w:tcPr>
          <w:p w14:paraId="1EB181EC">
            <w:pPr>
              <w:keepNext w:val="0"/>
              <w:keepLines w:val="0"/>
              <w:pageBreakBefore w:val="0"/>
              <w:widowControl w:val="0"/>
              <w:kinsoku/>
              <w:overflowPunct/>
              <w:topLinePunct w:val="0"/>
              <w:autoSpaceDE/>
              <w:autoSpaceDN/>
              <w:bidi w:val="0"/>
              <w:adjustRightInd/>
              <w:snapToGrid/>
              <w:spacing w:line="360" w:lineRule="exact"/>
              <w:ind w:firstLine="480" w:firstLineChars="200"/>
              <w:jc w:val="both"/>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b/>
                <w:bCs/>
                <w:color w:val="FF0000"/>
                <w:kern w:val="2"/>
                <w:sz w:val="24"/>
                <w:szCs w:val="24"/>
                <w:lang w:val="en-US" w:eastAsia="zh-CN" w:bidi="ar-SA"/>
              </w:rPr>
              <w:t>2026年10月12日10：00（北京时间）</w:t>
            </w:r>
          </w:p>
        </w:tc>
      </w:tr>
      <w:tr w14:paraId="64C8BA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Merge w:val="continue"/>
            <w:noWrap w:val="0"/>
            <w:vAlign w:val="center"/>
          </w:tcPr>
          <w:p w14:paraId="13C77DF4">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p>
        </w:tc>
        <w:tc>
          <w:tcPr>
            <w:tcW w:w="2216" w:type="dxa"/>
            <w:noWrap w:val="0"/>
            <w:vAlign w:val="center"/>
          </w:tcPr>
          <w:p w14:paraId="6902D9C7">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投标地点</w:t>
            </w:r>
          </w:p>
        </w:tc>
        <w:tc>
          <w:tcPr>
            <w:tcW w:w="6422" w:type="dxa"/>
            <w:noWrap w:val="0"/>
            <w:vAlign w:val="center"/>
          </w:tcPr>
          <w:p w14:paraId="2DDFF747">
            <w:pPr>
              <w:keepNext w:val="0"/>
              <w:keepLines w:val="0"/>
              <w:pageBreakBefore w:val="0"/>
              <w:widowControl w:val="0"/>
              <w:kinsoku/>
              <w:overflowPunct/>
              <w:topLinePunct w:val="0"/>
              <w:autoSpaceDE/>
              <w:autoSpaceDN/>
              <w:bidi w:val="0"/>
              <w:adjustRightInd/>
              <w:snapToGrid/>
              <w:spacing w:line="360" w:lineRule="exact"/>
              <w:ind w:firstLine="480" w:firstLineChars="200"/>
              <w:jc w:val="both"/>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详见招标公告</w:t>
            </w:r>
          </w:p>
        </w:tc>
      </w:tr>
      <w:tr w14:paraId="5FE088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Merge w:val="continue"/>
            <w:noWrap w:val="0"/>
            <w:vAlign w:val="center"/>
          </w:tcPr>
          <w:p w14:paraId="6BBDF93E">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p>
        </w:tc>
        <w:tc>
          <w:tcPr>
            <w:tcW w:w="2216" w:type="dxa"/>
            <w:noWrap w:val="0"/>
            <w:vAlign w:val="center"/>
          </w:tcPr>
          <w:p w14:paraId="45659827">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投标文件解密时间</w:t>
            </w:r>
          </w:p>
        </w:tc>
        <w:tc>
          <w:tcPr>
            <w:tcW w:w="6422" w:type="dxa"/>
            <w:noWrap w:val="0"/>
            <w:vAlign w:val="center"/>
          </w:tcPr>
          <w:p w14:paraId="3070475C">
            <w:pPr>
              <w:keepNext w:val="0"/>
              <w:keepLines w:val="0"/>
              <w:pageBreakBefore w:val="0"/>
              <w:widowControl w:val="0"/>
              <w:kinsoku/>
              <w:overflowPunct/>
              <w:topLinePunct w:val="0"/>
              <w:autoSpaceDE/>
              <w:autoSpaceDN/>
              <w:bidi w:val="0"/>
              <w:adjustRightInd/>
              <w:snapToGrid/>
              <w:spacing w:line="360" w:lineRule="exact"/>
              <w:ind w:firstLine="480" w:firstLineChars="200"/>
              <w:jc w:val="both"/>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投标截止时间后</w:t>
            </w:r>
            <w:r>
              <w:rPr>
                <w:rFonts w:hint="eastAsia" w:ascii="微软雅黑" w:hAnsi="微软雅黑" w:eastAsia="微软雅黑" w:cs="微软雅黑"/>
                <w:color w:val="000000"/>
                <w:kern w:val="2"/>
                <w:sz w:val="24"/>
                <w:szCs w:val="24"/>
                <w:u w:val="single"/>
                <w:lang w:val="en-US" w:eastAsia="zh-CN" w:bidi="ar-SA"/>
              </w:rPr>
              <w:t xml:space="preserve"> 30 </w:t>
            </w:r>
            <w:r>
              <w:rPr>
                <w:rFonts w:hint="eastAsia" w:ascii="微软雅黑" w:hAnsi="微软雅黑" w:eastAsia="微软雅黑" w:cs="微软雅黑"/>
                <w:color w:val="000000"/>
                <w:kern w:val="2"/>
                <w:sz w:val="24"/>
                <w:szCs w:val="24"/>
                <w:lang w:val="en-US" w:eastAsia="zh-CN" w:bidi="ar-SA"/>
              </w:rPr>
              <w:t>分钟内（以电子交易系统解密倒计时为准）</w:t>
            </w:r>
          </w:p>
        </w:tc>
      </w:tr>
      <w:tr w14:paraId="5F691B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Merge w:val="restart"/>
            <w:noWrap w:val="0"/>
            <w:vAlign w:val="center"/>
          </w:tcPr>
          <w:p w14:paraId="00E85A4F">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20.1</w:t>
            </w:r>
          </w:p>
        </w:tc>
        <w:tc>
          <w:tcPr>
            <w:tcW w:w="2216" w:type="dxa"/>
            <w:noWrap w:val="0"/>
            <w:vAlign w:val="center"/>
          </w:tcPr>
          <w:p w14:paraId="67A739D9">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开标时间</w:t>
            </w:r>
          </w:p>
        </w:tc>
        <w:tc>
          <w:tcPr>
            <w:tcW w:w="6422" w:type="dxa"/>
            <w:noWrap w:val="0"/>
            <w:vAlign w:val="center"/>
          </w:tcPr>
          <w:p w14:paraId="724C7C52">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t>详见招标公告</w:t>
            </w:r>
          </w:p>
        </w:tc>
      </w:tr>
      <w:tr w14:paraId="1C22D1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Merge w:val="continue"/>
            <w:noWrap w:val="0"/>
            <w:vAlign w:val="center"/>
          </w:tcPr>
          <w:p w14:paraId="638D0C74">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p>
        </w:tc>
        <w:tc>
          <w:tcPr>
            <w:tcW w:w="2216" w:type="dxa"/>
            <w:noWrap w:val="0"/>
            <w:vAlign w:val="center"/>
          </w:tcPr>
          <w:p w14:paraId="1C55B769">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 xml:space="preserve">开标地点 </w:t>
            </w:r>
          </w:p>
        </w:tc>
        <w:tc>
          <w:tcPr>
            <w:tcW w:w="6422" w:type="dxa"/>
            <w:noWrap w:val="0"/>
            <w:vAlign w:val="center"/>
          </w:tcPr>
          <w:p w14:paraId="1BF2CF4F">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t>详见招标公告</w:t>
            </w:r>
          </w:p>
        </w:tc>
      </w:tr>
      <w:tr w14:paraId="6E0F27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6FEF4F78">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21.2</w:t>
            </w:r>
          </w:p>
        </w:tc>
        <w:tc>
          <w:tcPr>
            <w:tcW w:w="2216" w:type="dxa"/>
            <w:noWrap w:val="0"/>
            <w:vAlign w:val="center"/>
          </w:tcPr>
          <w:p w14:paraId="69BC02B7">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需要宣布的其他内容</w:t>
            </w:r>
          </w:p>
        </w:tc>
        <w:tc>
          <w:tcPr>
            <w:tcW w:w="6422" w:type="dxa"/>
            <w:noWrap w:val="0"/>
            <w:vAlign w:val="center"/>
          </w:tcPr>
          <w:p w14:paraId="4A29D0B0">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u w:val="single"/>
                <w:lang w:val="en-US" w:eastAsia="zh-CN" w:bidi="ar-SA"/>
              </w:rPr>
            </w:pPr>
            <w:r>
              <w:rPr>
                <w:rFonts w:hint="eastAsia" w:ascii="微软雅黑" w:hAnsi="微软雅黑" w:eastAsia="微软雅黑" w:cs="微软雅黑"/>
                <w:color w:val="000000"/>
                <w:kern w:val="2"/>
                <w:sz w:val="24"/>
                <w:szCs w:val="24"/>
                <w:u w:val="single"/>
                <w:lang w:val="en-US" w:eastAsia="zh-CN" w:bidi="ar-SA"/>
              </w:rPr>
              <w:t>/</w:t>
            </w:r>
          </w:p>
        </w:tc>
      </w:tr>
      <w:tr w14:paraId="72B8D5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570F259D">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24.2</w:t>
            </w:r>
          </w:p>
        </w:tc>
        <w:tc>
          <w:tcPr>
            <w:tcW w:w="2216" w:type="dxa"/>
            <w:noWrap w:val="0"/>
            <w:vAlign w:val="center"/>
          </w:tcPr>
          <w:p w14:paraId="7D5845B7">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t>评标方法</w:t>
            </w:r>
          </w:p>
        </w:tc>
        <w:tc>
          <w:tcPr>
            <w:tcW w:w="6422" w:type="dxa"/>
            <w:noWrap w:val="0"/>
            <w:vAlign w:val="center"/>
          </w:tcPr>
          <w:p w14:paraId="2D2C2BE9">
            <w:pPr>
              <w:keepNext w:val="0"/>
              <w:keepLines w:val="0"/>
              <w:pageBreakBefore w:val="0"/>
              <w:widowControl w:val="0"/>
              <w:kinsoku/>
              <w:overflowPunct/>
              <w:topLinePunct w:val="0"/>
              <w:autoSpaceDE/>
              <w:autoSpaceDN/>
              <w:bidi w:val="0"/>
              <w:adjustRightInd/>
              <w:snapToGrid/>
              <w:spacing w:line="360" w:lineRule="exact"/>
              <w:ind w:firstLine="480" w:firstLineChars="200"/>
              <w:jc w:val="both"/>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sym w:font="Wingdings" w:char="00A8"/>
            </w:r>
            <w:r>
              <w:rPr>
                <w:rFonts w:hint="eastAsia" w:ascii="微软雅黑" w:hAnsi="微软雅黑" w:eastAsia="微软雅黑" w:cs="微软雅黑"/>
                <w:color w:val="000000"/>
                <w:kern w:val="2"/>
                <w:sz w:val="24"/>
                <w:szCs w:val="24"/>
                <w:lang w:val="en-US" w:eastAsia="zh-CN" w:bidi="ar-SA"/>
              </w:rPr>
              <w:t>最低评标价法</w:t>
            </w:r>
          </w:p>
          <w:p w14:paraId="485544C1">
            <w:pPr>
              <w:keepNext w:val="0"/>
              <w:keepLines w:val="0"/>
              <w:pageBreakBefore w:val="0"/>
              <w:widowControl w:val="0"/>
              <w:kinsoku/>
              <w:overflowPunct/>
              <w:topLinePunct w:val="0"/>
              <w:autoSpaceDE/>
              <w:autoSpaceDN/>
              <w:bidi w:val="0"/>
              <w:adjustRightInd/>
              <w:snapToGrid/>
              <w:spacing w:line="360" w:lineRule="exact"/>
              <w:ind w:firstLine="480" w:firstLineChars="200"/>
              <w:jc w:val="both"/>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sym w:font="Wingdings" w:char="00FE"/>
            </w:r>
            <w:r>
              <w:rPr>
                <w:rFonts w:hint="eastAsia" w:ascii="微软雅黑" w:hAnsi="微软雅黑" w:eastAsia="微软雅黑" w:cs="微软雅黑"/>
                <w:b/>
                <w:bCs/>
                <w:color w:val="000000"/>
                <w:kern w:val="2"/>
                <w:sz w:val="24"/>
                <w:szCs w:val="24"/>
                <w:lang w:val="en-US" w:eastAsia="zh-CN" w:bidi="ar-SA"/>
              </w:rPr>
              <w:t>综合评分法</w:t>
            </w:r>
          </w:p>
        </w:tc>
      </w:tr>
      <w:tr w14:paraId="00D7BA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3DAF9B84">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28.1</w:t>
            </w:r>
          </w:p>
        </w:tc>
        <w:tc>
          <w:tcPr>
            <w:tcW w:w="2216" w:type="dxa"/>
            <w:noWrap w:val="0"/>
            <w:vAlign w:val="center"/>
          </w:tcPr>
          <w:p w14:paraId="68B811C1">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评标委员会推荐中标候选人的数量</w:t>
            </w:r>
          </w:p>
        </w:tc>
        <w:tc>
          <w:tcPr>
            <w:tcW w:w="6422" w:type="dxa"/>
            <w:noWrap w:val="0"/>
            <w:vAlign w:val="center"/>
          </w:tcPr>
          <w:p w14:paraId="235C25A4">
            <w:pPr>
              <w:keepNext w:val="0"/>
              <w:keepLines w:val="0"/>
              <w:pageBreakBefore w:val="0"/>
              <w:widowControl w:val="0"/>
              <w:kinsoku/>
              <w:overflowPunct/>
              <w:topLinePunct w:val="0"/>
              <w:autoSpaceDE/>
              <w:autoSpaceDN/>
              <w:bidi w:val="0"/>
              <w:adjustRightInd/>
              <w:snapToGrid/>
              <w:spacing w:line="360" w:lineRule="exact"/>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u w:val="none" w:color="auto"/>
                <w:lang w:val="en-US" w:eastAsia="zh-CN" w:bidi="ar-SA"/>
              </w:rPr>
              <w:t xml:space="preserve">    </w:t>
            </w:r>
            <w:r>
              <w:rPr>
                <w:rFonts w:hint="eastAsia" w:ascii="微软雅黑" w:hAnsi="微软雅黑" w:eastAsia="微软雅黑" w:cs="微软雅黑"/>
                <w:color w:val="000000"/>
                <w:kern w:val="2"/>
                <w:sz w:val="24"/>
                <w:szCs w:val="24"/>
                <w:u w:val="single" w:color="auto"/>
                <w:lang w:val="en-US" w:eastAsia="zh-CN" w:bidi="ar-SA"/>
              </w:rPr>
              <w:t xml:space="preserve">  3  </w:t>
            </w:r>
            <w:r>
              <w:rPr>
                <w:rFonts w:hint="eastAsia" w:ascii="微软雅黑" w:hAnsi="微软雅黑" w:eastAsia="微软雅黑" w:cs="微软雅黑"/>
                <w:color w:val="000000"/>
                <w:kern w:val="2"/>
                <w:sz w:val="24"/>
                <w:szCs w:val="24"/>
                <w:lang w:val="en-US" w:eastAsia="zh-CN" w:bidi="ar-SA"/>
              </w:rPr>
              <w:t>人</w:t>
            </w:r>
          </w:p>
        </w:tc>
      </w:tr>
      <w:tr w14:paraId="58626B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4FCA505D">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28.2</w:t>
            </w:r>
          </w:p>
        </w:tc>
        <w:tc>
          <w:tcPr>
            <w:tcW w:w="2216" w:type="dxa"/>
            <w:noWrap w:val="0"/>
            <w:vAlign w:val="center"/>
          </w:tcPr>
          <w:p w14:paraId="02A6A382">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确定中标人</w:t>
            </w:r>
          </w:p>
        </w:tc>
        <w:tc>
          <w:tcPr>
            <w:tcW w:w="6422" w:type="dxa"/>
            <w:noWrap w:val="0"/>
            <w:vAlign w:val="center"/>
          </w:tcPr>
          <w:p w14:paraId="072D8508">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b w:val="0"/>
                <w:bCs w:val="0"/>
                <w:color w:val="000000"/>
                <w:kern w:val="2"/>
                <w:sz w:val="24"/>
                <w:szCs w:val="24"/>
                <w:lang w:val="en-US" w:eastAsia="zh-CN" w:bidi="ar-SA"/>
              </w:rPr>
            </w:pPr>
            <w:r>
              <w:rPr>
                <w:rFonts w:hint="eastAsia" w:ascii="微软雅黑" w:hAnsi="微软雅黑" w:eastAsia="微软雅黑" w:cs="微软雅黑"/>
                <w:b w:val="0"/>
                <w:bCs w:val="0"/>
                <w:color w:val="000000"/>
                <w:kern w:val="2"/>
                <w:sz w:val="24"/>
                <w:szCs w:val="24"/>
                <w:lang w:val="en-US" w:eastAsia="zh-CN" w:bidi="ar-SA"/>
              </w:rPr>
              <w:sym w:font="Wingdings" w:char="00A8"/>
            </w:r>
            <w:r>
              <w:rPr>
                <w:rFonts w:hint="eastAsia" w:ascii="微软雅黑" w:hAnsi="微软雅黑" w:eastAsia="微软雅黑" w:cs="微软雅黑"/>
                <w:b w:val="0"/>
                <w:bCs w:val="0"/>
                <w:color w:val="000000"/>
                <w:kern w:val="2"/>
                <w:sz w:val="24"/>
                <w:szCs w:val="24"/>
                <w:lang w:val="en-US" w:eastAsia="zh-CN" w:bidi="ar-SA"/>
              </w:rPr>
              <w:t>采购人委托评标委员会确定</w:t>
            </w:r>
          </w:p>
          <w:p w14:paraId="054EAD7B">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sym w:font="Wingdings" w:char="00FE"/>
            </w:r>
            <w:r>
              <w:rPr>
                <w:rFonts w:hint="eastAsia" w:ascii="微软雅黑" w:hAnsi="微软雅黑" w:eastAsia="微软雅黑" w:cs="微软雅黑"/>
                <w:b/>
                <w:bCs/>
                <w:color w:val="000000"/>
                <w:kern w:val="2"/>
                <w:sz w:val="24"/>
                <w:szCs w:val="24"/>
                <w:lang w:val="en-US" w:eastAsia="zh-CN" w:bidi="ar-SA"/>
              </w:rPr>
              <w:t xml:space="preserve"> 采购人确定</w:t>
            </w:r>
          </w:p>
        </w:tc>
      </w:tr>
      <w:tr w14:paraId="7779FA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3ABC03D6">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30.1</w:t>
            </w:r>
          </w:p>
        </w:tc>
        <w:tc>
          <w:tcPr>
            <w:tcW w:w="2216" w:type="dxa"/>
            <w:noWrap w:val="0"/>
            <w:vAlign w:val="center"/>
          </w:tcPr>
          <w:p w14:paraId="3A57E8E5">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中标候选人并列</w:t>
            </w:r>
          </w:p>
        </w:tc>
        <w:tc>
          <w:tcPr>
            <w:tcW w:w="6422" w:type="dxa"/>
            <w:noWrap w:val="0"/>
            <w:vAlign w:val="center"/>
          </w:tcPr>
          <w:p w14:paraId="6621E1DE">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tc>
      </w:tr>
      <w:tr w14:paraId="5DB40F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1834585D">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30.3</w:t>
            </w:r>
          </w:p>
        </w:tc>
        <w:tc>
          <w:tcPr>
            <w:tcW w:w="2216" w:type="dxa"/>
            <w:noWrap w:val="0"/>
            <w:vAlign w:val="center"/>
          </w:tcPr>
          <w:p w14:paraId="2F9EA585">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随中标公告同时公告的中标人的投标文件内容</w:t>
            </w:r>
          </w:p>
        </w:tc>
        <w:tc>
          <w:tcPr>
            <w:tcW w:w="6422" w:type="dxa"/>
            <w:noWrap w:val="0"/>
            <w:vAlign w:val="center"/>
          </w:tcPr>
          <w:p w14:paraId="46655713">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w:t>
            </w:r>
          </w:p>
        </w:tc>
      </w:tr>
      <w:tr w14:paraId="6D0B66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1BC6362B">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31.1</w:t>
            </w:r>
          </w:p>
        </w:tc>
        <w:tc>
          <w:tcPr>
            <w:tcW w:w="2216" w:type="dxa"/>
            <w:noWrap w:val="0"/>
            <w:vAlign w:val="center"/>
          </w:tcPr>
          <w:p w14:paraId="01297577">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中标通知书发出</w:t>
            </w:r>
          </w:p>
          <w:p w14:paraId="4E2B71E9">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的形式</w:t>
            </w:r>
          </w:p>
        </w:tc>
        <w:tc>
          <w:tcPr>
            <w:tcW w:w="6422" w:type="dxa"/>
            <w:noWrap w:val="0"/>
            <w:vAlign w:val="center"/>
          </w:tcPr>
          <w:p w14:paraId="54BED359">
            <w:pPr>
              <w:keepNext w:val="0"/>
              <w:keepLines w:val="0"/>
              <w:pageBreakBefore w:val="0"/>
              <w:widowControl w:val="0"/>
              <w:kinsoku/>
              <w:overflowPunct/>
              <w:topLinePunct w:val="0"/>
              <w:autoSpaceDE/>
              <w:autoSpaceDN/>
              <w:bidi w:val="0"/>
              <w:adjustRightInd/>
              <w:snapToGrid/>
              <w:spacing w:line="360" w:lineRule="exact"/>
              <w:ind w:firstLine="480" w:firstLineChars="200"/>
              <w:jc w:val="both"/>
              <w:textAlignment w:val="baseline"/>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sym w:font="Wingdings" w:char="00FE"/>
            </w:r>
            <w:r>
              <w:rPr>
                <w:rFonts w:hint="eastAsia" w:ascii="微软雅黑" w:hAnsi="微软雅黑" w:eastAsia="微软雅黑" w:cs="微软雅黑"/>
                <w:b/>
                <w:bCs/>
                <w:color w:val="000000"/>
                <w:kern w:val="2"/>
                <w:sz w:val="24"/>
                <w:szCs w:val="24"/>
                <w:lang w:val="en-US" w:eastAsia="zh-CN" w:bidi="ar-SA"/>
              </w:rPr>
              <w:t>书面</w:t>
            </w:r>
            <w:r>
              <w:rPr>
                <w:rFonts w:hint="eastAsia" w:ascii="微软雅黑" w:hAnsi="微软雅黑" w:eastAsia="微软雅黑" w:cs="微软雅黑"/>
                <w:b/>
                <w:bCs/>
                <w:color w:val="000000"/>
                <w:kern w:val="2"/>
                <w:sz w:val="24"/>
                <w:szCs w:val="24"/>
                <w:lang w:val="en-US" w:eastAsia="zh-CN" w:bidi="ar-SA"/>
              </w:rPr>
              <w:tab/>
            </w:r>
            <w:r>
              <w:rPr>
                <w:rFonts w:hint="eastAsia" w:ascii="微软雅黑" w:hAnsi="微软雅黑" w:eastAsia="微软雅黑" w:cs="微软雅黑"/>
                <w:color w:val="000000"/>
                <w:kern w:val="2"/>
                <w:sz w:val="24"/>
                <w:szCs w:val="24"/>
                <w:lang w:val="en-US" w:eastAsia="zh-CN" w:bidi="ar-SA"/>
              </w:rPr>
              <w:sym w:font="Wingdings" w:char="00A8"/>
            </w:r>
            <w:r>
              <w:rPr>
                <w:rFonts w:hint="eastAsia" w:ascii="微软雅黑" w:hAnsi="微软雅黑" w:eastAsia="微软雅黑" w:cs="微软雅黑"/>
                <w:color w:val="000000"/>
                <w:kern w:val="2"/>
                <w:sz w:val="24"/>
                <w:szCs w:val="24"/>
                <w:lang w:val="en-US" w:eastAsia="zh-CN" w:bidi="ar-SA"/>
              </w:rPr>
              <w:t>数据电文</w:t>
            </w:r>
          </w:p>
        </w:tc>
      </w:tr>
      <w:tr w14:paraId="65F1A9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59394265">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32</w:t>
            </w:r>
          </w:p>
        </w:tc>
        <w:tc>
          <w:tcPr>
            <w:tcW w:w="2216" w:type="dxa"/>
            <w:noWrap w:val="0"/>
            <w:vAlign w:val="top"/>
          </w:tcPr>
          <w:p w14:paraId="7845D039">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告知招标结果的</w:t>
            </w:r>
          </w:p>
          <w:p w14:paraId="2F8A36FE">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形式</w:t>
            </w:r>
          </w:p>
        </w:tc>
        <w:tc>
          <w:tcPr>
            <w:tcW w:w="6422" w:type="dxa"/>
            <w:noWrap w:val="0"/>
            <w:vAlign w:val="top"/>
          </w:tcPr>
          <w:p w14:paraId="4F9E0FB2">
            <w:pPr>
              <w:keepNext w:val="0"/>
              <w:keepLines w:val="0"/>
              <w:pageBreakBefore w:val="0"/>
              <w:widowControl w:val="0"/>
              <w:kinsoku/>
              <w:overflowPunct/>
              <w:topLinePunct w:val="0"/>
              <w:autoSpaceDE/>
              <w:autoSpaceDN/>
              <w:bidi w:val="0"/>
              <w:adjustRightInd/>
              <w:snapToGrid/>
              <w:spacing w:line="360" w:lineRule="exact"/>
              <w:ind w:firstLine="480" w:firstLineChars="200"/>
              <w:jc w:val="both"/>
              <w:textAlignment w:val="baseline"/>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sym w:font="Wingdings" w:char="00FE"/>
            </w:r>
            <w:r>
              <w:rPr>
                <w:rFonts w:hint="eastAsia" w:ascii="微软雅黑" w:hAnsi="微软雅黑" w:eastAsia="微软雅黑" w:cs="微软雅黑"/>
                <w:b/>
                <w:bCs/>
                <w:color w:val="000000"/>
                <w:kern w:val="2"/>
                <w:sz w:val="24"/>
                <w:szCs w:val="24"/>
                <w:lang w:val="en-US" w:eastAsia="zh-CN" w:bidi="ar-SA"/>
              </w:rPr>
              <w:t>投标人自行登录电子服务系统查看</w:t>
            </w:r>
          </w:p>
          <w:p w14:paraId="2AB14625">
            <w:pPr>
              <w:keepNext w:val="0"/>
              <w:keepLines w:val="0"/>
              <w:pageBreakBefore w:val="0"/>
              <w:widowControl w:val="0"/>
              <w:kinsoku/>
              <w:overflowPunct/>
              <w:topLinePunct w:val="0"/>
              <w:autoSpaceDE/>
              <w:autoSpaceDN/>
              <w:bidi w:val="0"/>
              <w:adjustRightInd/>
              <w:snapToGrid/>
              <w:spacing w:line="360" w:lineRule="exact"/>
              <w:ind w:firstLine="480" w:firstLineChars="200"/>
              <w:jc w:val="both"/>
              <w:textAlignment w:val="baseline"/>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sym w:font="Wingdings" w:char="00A8"/>
            </w:r>
            <w:r>
              <w:rPr>
                <w:rFonts w:hint="eastAsia" w:ascii="微软雅黑" w:hAnsi="微软雅黑" w:eastAsia="微软雅黑" w:cs="微软雅黑"/>
                <w:color w:val="000000"/>
                <w:kern w:val="2"/>
                <w:sz w:val="24"/>
                <w:szCs w:val="24"/>
                <w:lang w:val="en-US" w:eastAsia="zh-CN" w:bidi="ar-SA"/>
              </w:rPr>
              <w:t>评标现场告知</w:t>
            </w:r>
          </w:p>
        </w:tc>
      </w:tr>
      <w:tr w14:paraId="4A9A2E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84" w:hRule="atLeast"/>
          <w:jc w:val="center"/>
        </w:trPr>
        <w:tc>
          <w:tcPr>
            <w:tcW w:w="1125" w:type="dxa"/>
            <w:noWrap w:val="0"/>
            <w:vAlign w:val="center"/>
          </w:tcPr>
          <w:p w14:paraId="655043DE">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35.1</w:t>
            </w:r>
          </w:p>
        </w:tc>
        <w:tc>
          <w:tcPr>
            <w:tcW w:w="2216" w:type="dxa"/>
            <w:noWrap w:val="0"/>
            <w:vAlign w:val="center"/>
          </w:tcPr>
          <w:p w14:paraId="22F3D183">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履约担保金</w:t>
            </w:r>
          </w:p>
        </w:tc>
        <w:tc>
          <w:tcPr>
            <w:tcW w:w="6422" w:type="dxa"/>
            <w:noWrap w:val="0"/>
            <w:vAlign w:val="center"/>
          </w:tcPr>
          <w:p w14:paraId="0C1C6173">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b w:val="0"/>
                <w:bCs w:val="0"/>
                <w:color w:val="000000"/>
                <w:kern w:val="2"/>
                <w:sz w:val="24"/>
                <w:szCs w:val="24"/>
                <w:lang w:val="en-US" w:eastAsia="zh-CN" w:bidi="ar-SA"/>
              </w:rPr>
            </w:pPr>
            <w:r>
              <w:rPr>
                <w:rFonts w:hint="eastAsia" w:ascii="微软雅黑" w:hAnsi="微软雅黑" w:eastAsia="微软雅黑" w:cs="微软雅黑"/>
                <w:b w:val="0"/>
                <w:bCs w:val="0"/>
                <w:color w:val="000000"/>
                <w:kern w:val="2"/>
                <w:sz w:val="24"/>
                <w:szCs w:val="24"/>
                <w:lang w:val="en-US" w:eastAsia="zh-CN" w:bidi="ar-SA"/>
              </w:rPr>
              <w:sym w:font="Wingdings" w:char="00A8"/>
            </w:r>
            <w:r>
              <w:rPr>
                <w:rFonts w:hint="eastAsia" w:ascii="微软雅黑" w:hAnsi="微软雅黑" w:eastAsia="微软雅黑" w:cs="微软雅黑"/>
                <w:b w:val="0"/>
                <w:bCs w:val="0"/>
                <w:color w:val="000000"/>
                <w:kern w:val="2"/>
                <w:sz w:val="24"/>
                <w:szCs w:val="24"/>
                <w:lang w:val="en-US" w:eastAsia="zh-CN" w:bidi="ar-SA"/>
              </w:rPr>
              <w:t>不要求提供</w:t>
            </w:r>
          </w:p>
          <w:p w14:paraId="0E488B8F">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sym w:font="Wingdings" w:char="00FE"/>
            </w:r>
            <w:r>
              <w:rPr>
                <w:rFonts w:hint="eastAsia" w:ascii="微软雅黑" w:hAnsi="微软雅黑" w:eastAsia="微软雅黑" w:cs="微软雅黑"/>
                <w:b/>
                <w:bCs/>
                <w:color w:val="000000"/>
                <w:kern w:val="2"/>
                <w:sz w:val="24"/>
                <w:szCs w:val="24"/>
                <w:lang w:val="en-US" w:eastAsia="zh-CN" w:bidi="ar-SA"/>
              </w:rPr>
              <w:t>要求提供</w:t>
            </w:r>
          </w:p>
          <w:p w14:paraId="113739F7">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（1）金额：</w:t>
            </w:r>
          </w:p>
          <w:p w14:paraId="7C9D6AF9">
            <w:pPr>
              <w:keepNext w:val="0"/>
              <w:keepLines w:val="0"/>
              <w:pageBreakBefore w:val="0"/>
              <w:widowControl w:val="0"/>
              <w:kinsoku/>
              <w:overflowPunct/>
              <w:topLinePunct w:val="0"/>
              <w:autoSpaceDE/>
              <w:autoSpaceDN/>
              <w:bidi w:val="0"/>
              <w:adjustRightInd/>
              <w:snapToGrid/>
              <w:spacing w:line="360" w:lineRule="exact"/>
              <w:ind w:firstLine="720" w:firstLineChars="300"/>
              <w:jc w:val="left"/>
              <w:textAlignment w:val="baseline"/>
              <w:rPr>
                <w:rFonts w:hint="eastAsia" w:ascii="微软雅黑" w:hAnsi="微软雅黑" w:eastAsia="微软雅黑" w:cs="微软雅黑"/>
                <w:color w:val="000000"/>
                <w:kern w:val="2"/>
                <w:sz w:val="24"/>
                <w:szCs w:val="24"/>
                <w:u w:val="none" w:color="auto"/>
                <w:lang w:val="en-US" w:eastAsia="zh-CN" w:bidi="ar-SA"/>
              </w:rPr>
            </w:pPr>
            <w:r>
              <w:rPr>
                <w:rFonts w:hint="eastAsia" w:ascii="微软雅黑" w:hAnsi="微软雅黑" w:eastAsia="微软雅黑" w:cs="微软雅黑"/>
                <w:color w:val="000000"/>
                <w:kern w:val="2"/>
                <w:sz w:val="24"/>
                <w:szCs w:val="24"/>
                <w:lang w:val="en-US" w:eastAsia="zh-CN" w:bidi="ar-SA"/>
              </w:rPr>
              <w:sym w:font="Wingdings" w:char="00FE"/>
            </w:r>
            <w:r>
              <w:rPr>
                <w:rFonts w:hint="eastAsia" w:ascii="微软雅黑" w:hAnsi="微软雅黑" w:eastAsia="微软雅黑" w:cs="微软雅黑"/>
                <w:color w:val="000000"/>
                <w:kern w:val="2"/>
                <w:sz w:val="24"/>
                <w:szCs w:val="24"/>
                <w:lang w:val="en-US" w:eastAsia="zh-CN" w:bidi="ar-SA"/>
              </w:rPr>
              <w:t>合同价的</w:t>
            </w:r>
            <w:r>
              <w:rPr>
                <w:rFonts w:hint="eastAsia" w:ascii="微软雅黑" w:hAnsi="微软雅黑" w:eastAsia="微软雅黑" w:cs="微软雅黑"/>
                <w:color w:val="000000"/>
                <w:kern w:val="2"/>
                <w:sz w:val="24"/>
                <w:szCs w:val="24"/>
                <w:u w:val="single" w:color="auto"/>
                <w:lang w:val="en-US" w:eastAsia="zh-CN" w:bidi="ar-SA"/>
              </w:rPr>
              <w:t xml:space="preserve">  10 %</w:t>
            </w:r>
            <w:r>
              <w:rPr>
                <w:rFonts w:hint="eastAsia" w:ascii="微软雅黑" w:hAnsi="微软雅黑" w:eastAsia="微软雅黑" w:cs="微软雅黑"/>
                <w:color w:val="000000"/>
                <w:kern w:val="2"/>
                <w:sz w:val="24"/>
                <w:szCs w:val="24"/>
                <w:u w:val="none" w:color="auto"/>
                <w:lang w:val="en-US" w:eastAsia="zh-CN" w:bidi="ar-SA"/>
              </w:rPr>
              <w:t>。</w:t>
            </w:r>
          </w:p>
          <w:p w14:paraId="361C6A90">
            <w:pPr>
              <w:keepNext w:val="0"/>
              <w:keepLines w:val="0"/>
              <w:pageBreakBefore w:val="0"/>
              <w:widowControl w:val="0"/>
              <w:kinsoku/>
              <w:overflowPunct/>
              <w:topLinePunct w:val="0"/>
              <w:autoSpaceDE/>
              <w:autoSpaceDN/>
              <w:bidi w:val="0"/>
              <w:adjustRightInd/>
              <w:snapToGrid/>
              <w:spacing w:line="360" w:lineRule="exact"/>
              <w:ind w:firstLine="720" w:firstLineChars="300"/>
              <w:jc w:val="left"/>
              <w:textAlignment w:val="baseline"/>
              <w:rPr>
                <w:rFonts w:hint="eastAsia" w:ascii="微软雅黑" w:hAnsi="微软雅黑" w:eastAsia="微软雅黑" w:cs="微软雅黑"/>
                <w:color w:val="000000"/>
                <w:kern w:val="2"/>
                <w:sz w:val="24"/>
                <w:szCs w:val="24"/>
                <w:u w:val="none" w:color="auto"/>
                <w:lang w:val="en-US" w:eastAsia="zh-CN" w:bidi="ar-SA"/>
              </w:rPr>
            </w:pPr>
            <w:r>
              <w:rPr>
                <w:rFonts w:hint="eastAsia" w:ascii="微软雅黑" w:hAnsi="微软雅黑" w:eastAsia="微软雅黑" w:cs="微软雅黑"/>
                <w:color w:val="000000"/>
                <w:kern w:val="2"/>
                <w:sz w:val="24"/>
                <w:szCs w:val="24"/>
                <w:u w:val="none" w:color="auto"/>
                <w:lang w:val="en-US" w:eastAsia="zh-CN" w:bidi="ar-SA"/>
              </w:rPr>
              <w:sym w:font="Wingdings" w:char="00A8"/>
            </w:r>
            <w:r>
              <w:rPr>
                <w:rFonts w:hint="eastAsia" w:ascii="微软雅黑" w:hAnsi="微软雅黑" w:eastAsia="微软雅黑" w:cs="微软雅黑"/>
                <w:color w:val="000000"/>
                <w:kern w:val="2"/>
                <w:sz w:val="24"/>
                <w:szCs w:val="24"/>
                <w:u w:val="none" w:color="auto"/>
                <w:lang w:val="en-US" w:eastAsia="zh-CN" w:bidi="ar-SA"/>
              </w:rPr>
              <w:t>定额收取：人民币</w:t>
            </w:r>
            <w:r>
              <w:rPr>
                <w:rFonts w:hint="eastAsia" w:ascii="微软雅黑" w:hAnsi="微软雅黑" w:eastAsia="微软雅黑" w:cs="微软雅黑"/>
                <w:color w:val="000000"/>
                <w:kern w:val="2"/>
                <w:sz w:val="24"/>
                <w:szCs w:val="24"/>
                <w:u w:val="none" w:color="auto"/>
                <w:lang w:val="en-US" w:eastAsia="zh-CN" w:bidi="ar-SA"/>
              </w:rPr>
              <w:tab/>
            </w:r>
            <w:r>
              <w:rPr>
                <w:rFonts w:hint="eastAsia" w:ascii="微软雅黑" w:hAnsi="微软雅黑" w:eastAsia="微软雅黑" w:cs="微软雅黑"/>
                <w:color w:val="000000"/>
                <w:kern w:val="2"/>
                <w:sz w:val="24"/>
                <w:szCs w:val="24"/>
                <w:u w:val="single" w:color="auto"/>
                <w:lang w:val="en-US" w:eastAsia="zh-CN" w:bidi="ar-SA"/>
              </w:rPr>
              <w:t xml:space="preserve">   </w:t>
            </w:r>
            <w:r>
              <w:rPr>
                <w:rFonts w:hint="eastAsia" w:ascii="微软雅黑" w:hAnsi="微软雅黑" w:eastAsia="微软雅黑" w:cs="微软雅黑"/>
                <w:color w:val="000000"/>
                <w:kern w:val="0"/>
                <w:sz w:val="24"/>
                <w:szCs w:val="24"/>
                <w:u w:val="single" w:color="auto"/>
                <w:lang w:val="en-US" w:eastAsia="zh-CN" w:bidi="ar-SA"/>
              </w:rPr>
              <w:t>/</w:t>
            </w:r>
            <w:r>
              <w:rPr>
                <w:rFonts w:hint="eastAsia" w:ascii="微软雅黑" w:hAnsi="微软雅黑" w:eastAsia="微软雅黑" w:cs="微软雅黑"/>
                <w:color w:val="000000"/>
                <w:kern w:val="2"/>
                <w:sz w:val="24"/>
                <w:szCs w:val="24"/>
                <w:u w:val="single" w:color="auto"/>
                <w:lang w:val="en-US" w:eastAsia="zh-CN" w:bidi="ar-SA"/>
              </w:rPr>
              <w:t xml:space="preserve">   </w:t>
            </w:r>
            <w:r>
              <w:rPr>
                <w:rFonts w:hint="eastAsia" w:ascii="微软雅黑" w:hAnsi="微软雅黑" w:eastAsia="微软雅黑" w:cs="微软雅黑"/>
                <w:color w:val="000000"/>
                <w:kern w:val="2"/>
                <w:sz w:val="24"/>
                <w:szCs w:val="24"/>
                <w:u w:val="none" w:color="auto"/>
                <w:lang w:val="en-US" w:eastAsia="zh-CN" w:bidi="ar-SA"/>
              </w:rPr>
              <w:t>元</w:t>
            </w:r>
          </w:p>
          <w:p w14:paraId="6F2C580A">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u w:val="none" w:color="auto"/>
                <w:lang w:val="en-US" w:eastAsia="zh-CN" w:bidi="ar-SA"/>
              </w:rPr>
            </w:pPr>
            <w:r>
              <w:rPr>
                <w:rFonts w:hint="eastAsia" w:ascii="微软雅黑" w:hAnsi="微软雅黑" w:eastAsia="微软雅黑" w:cs="微软雅黑"/>
                <w:color w:val="000000"/>
                <w:kern w:val="2"/>
                <w:sz w:val="24"/>
                <w:szCs w:val="24"/>
                <w:u w:val="none" w:color="auto"/>
                <w:lang w:val="en-US" w:eastAsia="zh-CN" w:bidi="ar-SA"/>
              </w:rPr>
              <w:t>（2）支付方式：</w:t>
            </w:r>
          </w:p>
          <w:p w14:paraId="3B3E307B">
            <w:pPr>
              <w:keepNext w:val="0"/>
              <w:keepLines w:val="0"/>
              <w:pageBreakBefore w:val="0"/>
              <w:widowControl w:val="0"/>
              <w:kinsoku/>
              <w:overflowPunct/>
              <w:topLinePunct w:val="0"/>
              <w:autoSpaceDE/>
              <w:autoSpaceDN/>
              <w:bidi w:val="0"/>
              <w:adjustRightInd/>
              <w:snapToGrid/>
              <w:spacing w:line="360" w:lineRule="exact"/>
              <w:ind w:firstLine="720" w:firstLineChars="300"/>
              <w:jc w:val="left"/>
              <w:textAlignment w:val="baseline"/>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sym w:font="Wingdings" w:char="00FE"/>
            </w:r>
            <w:r>
              <w:rPr>
                <w:rFonts w:hint="eastAsia" w:ascii="微软雅黑" w:hAnsi="微软雅黑" w:eastAsia="微软雅黑" w:cs="微软雅黑"/>
                <w:b/>
                <w:bCs/>
                <w:color w:val="000000"/>
                <w:kern w:val="2"/>
                <w:sz w:val="24"/>
                <w:szCs w:val="24"/>
                <w:lang w:val="en-US" w:eastAsia="zh-CN" w:bidi="ar-SA"/>
              </w:rPr>
              <w:t xml:space="preserve">转账/电汇 </w:t>
            </w:r>
            <w:r>
              <w:rPr>
                <w:rFonts w:hint="eastAsia" w:ascii="微软雅黑" w:hAnsi="微软雅黑" w:eastAsia="微软雅黑" w:cs="微软雅黑"/>
                <w:b/>
                <w:bCs/>
                <w:color w:val="000000"/>
                <w:kern w:val="2"/>
                <w:sz w:val="24"/>
                <w:szCs w:val="24"/>
                <w:lang w:val="en-US" w:eastAsia="zh-CN" w:bidi="ar-SA"/>
              </w:rPr>
              <w:sym w:font="Wingdings" w:char="00FE"/>
            </w:r>
            <w:r>
              <w:rPr>
                <w:rFonts w:hint="eastAsia" w:ascii="微软雅黑" w:hAnsi="微软雅黑" w:eastAsia="微软雅黑" w:cs="微软雅黑"/>
                <w:b/>
                <w:bCs/>
                <w:color w:val="000000"/>
                <w:kern w:val="2"/>
                <w:sz w:val="24"/>
                <w:szCs w:val="24"/>
                <w:lang w:val="en-US" w:eastAsia="zh-CN" w:bidi="ar-SA"/>
              </w:rPr>
              <w:t xml:space="preserve">支票  </w:t>
            </w:r>
            <w:r>
              <w:rPr>
                <w:rFonts w:hint="eastAsia" w:ascii="微软雅黑" w:hAnsi="微软雅黑" w:eastAsia="微软雅黑" w:cs="微软雅黑"/>
                <w:b/>
                <w:bCs/>
                <w:color w:val="000000"/>
                <w:kern w:val="2"/>
                <w:sz w:val="24"/>
                <w:szCs w:val="24"/>
                <w:lang w:val="en-US" w:eastAsia="zh-CN" w:bidi="ar-SA"/>
              </w:rPr>
              <w:sym w:font="Wingdings" w:char="00FE"/>
            </w:r>
            <w:r>
              <w:rPr>
                <w:rFonts w:hint="eastAsia" w:ascii="微软雅黑" w:hAnsi="微软雅黑" w:eastAsia="微软雅黑" w:cs="微软雅黑"/>
                <w:b/>
                <w:bCs/>
                <w:color w:val="000000"/>
                <w:kern w:val="2"/>
                <w:sz w:val="24"/>
                <w:szCs w:val="24"/>
                <w:lang w:val="en-US" w:eastAsia="zh-CN" w:bidi="ar-SA"/>
              </w:rPr>
              <w:t xml:space="preserve">汇票  </w:t>
            </w:r>
            <w:r>
              <w:rPr>
                <w:rFonts w:hint="eastAsia" w:ascii="微软雅黑" w:hAnsi="微软雅黑" w:eastAsia="微软雅黑" w:cs="微软雅黑"/>
                <w:b/>
                <w:bCs/>
                <w:color w:val="000000"/>
                <w:kern w:val="2"/>
                <w:sz w:val="24"/>
                <w:szCs w:val="24"/>
                <w:lang w:val="en-US" w:eastAsia="zh-CN" w:bidi="ar-SA"/>
              </w:rPr>
              <w:sym w:font="Wingdings" w:char="00FE"/>
            </w:r>
            <w:r>
              <w:rPr>
                <w:rFonts w:hint="eastAsia" w:ascii="微软雅黑" w:hAnsi="微软雅黑" w:eastAsia="微软雅黑" w:cs="微软雅黑"/>
                <w:b/>
                <w:bCs/>
                <w:color w:val="000000"/>
                <w:kern w:val="2"/>
                <w:sz w:val="24"/>
                <w:szCs w:val="24"/>
                <w:lang w:val="en-US" w:eastAsia="zh-CN" w:bidi="ar-SA"/>
              </w:rPr>
              <w:t xml:space="preserve">本票  </w:t>
            </w:r>
            <w:r>
              <w:rPr>
                <w:rFonts w:hint="eastAsia" w:ascii="微软雅黑" w:hAnsi="微软雅黑" w:eastAsia="微软雅黑" w:cs="微软雅黑"/>
                <w:b/>
                <w:bCs/>
                <w:color w:val="000000"/>
                <w:kern w:val="2"/>
                <w:sz w:val="24"/>
                <w:szCs w:val="24"/>
                <w:lang w:val="en-US" w:eastAsia="zh-CN" w:bidi="ar-SA"/>
              </w:rPr>
              <w:sym w:font="Wingdings" w:char="00FE"/>
            </w:r>
            <w:r>
              <w:rPr>
                <w:rFonts w:hint="eastAsia" w:ascii="微软雅黑" w:hAnsi="微软雅黑" w:eastAsia="微软雅黑" w:cs="微软雅黑"/>
                <w:b/>
                <w:bCs/>
                <w:color w:val="000000"/>
                <w:kern w:val="2"/>
                <w:sz w:val="24"/>
                <w:szCs w:val="24"/>
                <w:lang w:val="en-US" w:eastAsia="zh-CN" w:bidi="ar-SA"/>
              </w:rPr>
              <w:t>保函</w:t>
            </w:r>
          </w:p>
          <w:p w14:paraId="78FC05EA">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（3）收取单位：张家界市武陵源区自然资源和林业局</w:t>
            </w:r>
            <w:r>
              <w:rPr>
                <w:rFonts w:hint="eastAsia" w:ascii="微软雅黑" w:hAnsi="微软雅黑" w:eastAsia="微软雅黑" w:cs="微软雅黑"/>
                <w:color w:val="000000"/>
                <w:kern w:val="2"/>
                <w:sz w:val="24"/>
                <w:szCs w:val="24"/>
                <w:lang w:val="en-US" w:eastAsia="zh-CN" w:bidi="ar-SA"/>
              </w:rPr>
              <w:tab/>
            </w:r>
          </w:p>
          <w:p w14:paraId="5E26338E">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（4）缴纳时间：</w:t>
            </w:r>
            <w:r>
              <w:rPr>
                <w:rFonts w:hint="eastAsia" w:ascii="微软雅黑" w:hAnsi="微软雅黑" w:eastAsia="微软雅黑" w:cs="微软雅黑"/>
                <w:b w:val="0"/>
                <w:bCs w:val="0"/>
                <w:color w:val="000000"/>
                <w:kern w:val="2"/>
                <w:sz w:val="24"/>
                <w:szCs w:val="24"/>
                <w:lang w:val="en-US" w:eastAsia="zh-CN" w:bidi="ar-SA"/>
              </w:rPr>
              <w:t>中标、成交供应商在收到中标通知书后</w:t>
            </w:r>
            <w:r>
              <w:rPr>
                <w:rFonts w:hint="eastAsia" w:ascii="微软雅黑" w:hAnsi="微软雅黑" w:eastAsia="微软雅黑" w:cs="微软雅黑"/>
                <w:b w:val="0"/>
                <w:bCs w:val="0"/>
                <w:color w:val="000000"/>
                <w:kern w:val="2"/>
                <w:sz w:val="24"/>
                <w:szCs w:val="24"/>
                <w:u w:val="single"/>
                <w:lang w:val="en-US" w:eastAsia="zh-CN" w:bidi="ar-SA"/>
              </w:rPr>
              <w:t xml:space="preserve"> </w:t>
            </w:r>
            <w:r>
              <w:rPr>
                <w:rFonts w:hint="eastAsia" w:ascii="微软雅黑" w:hAnsi="微软雅黑" w:eastAsia="微软雅黑" w:cs="微软雅黑"/>
                <w:b/>
                <w:bCs/>
                <w:color w:val="000000"/>
                <w:kern w:val="2"/>
                <w:sz w:val="24"/>
                <w:szCs w:val="24"/>
                <w:u w:val="single"/>
                <w:lang w:val="en-US" w:eastAsia="zh-CN" w:bidi="ar-SA"/>
              </w:rPr>
              <w:t xml:space="preserve">14个工作日 </w:t>
            </w:r>
            <w:r>
              <w:rPr>
                <w:rFonts w:hint="eastAsia" w:ascii="微软雅黑" w:hAnsi="微软雅黑" w:eastAsia="微软雅黑" w:cs="微软雅黑"/>
                <w:b w:val="0"/>
                <w:bCs w:val="0"/>
                <w:color w:val="000000"/>
                <w:kern w:val="2"/>
                <w:sz w:val="24"/>
                <w:szCs w:val="24"/>
                <w:lang w:val="en-US" w:eastAsia="zh-CN" w:bidi="ar-SA"/>
              </w:rPr>
              <w:t>内（截止时间到最后一个工作日下午18:00时），将保函纸质原件提交给采购人。</w:t>
            </w:r>
          </w:p>
          <w:p w14:paraId="0A57A9E8">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（5）退还时间：项目验收合格后</w:t>
            </w:r>
            <w:r>
              <w:rPr>
                <w:rFonts w:hint="eastAsia" w:ascii="微软雅黑" w:hAnsi="微软雅黑" w:eastAsia="微软雅黑" w:cs="微软雅黑"/>
                <w:b/>
                <w:bCs/>
                <w:color w:val="000000"/>
                <w:kern w:val="2"/>
                <w:sz w:val="24"/>
                <w:szCs w:val="24"/>
                <w:u w:val="single"/>
                <w:lang w:val="en-US" w:eastAsia="zh-CN" w:bidi="ar-SA"/>
              </w:rPr>
              <w:t xml:space="preserve"> 30 </w:t>
            </w:r>
            <w:r>
              <w:rPr>
                <w:rFonts w:hint="eastAsia" w:ascii="微软雅黑" w:hAnsi="微软雅黑" w:eastAsia="微软雅黑" w:cs="微软雅黑"/>
                <w:color w:val="000000"/>
                <w:kern w:val="2"/>
                <w:sz w:val="24"/>
                <w:szCs w:val="24"/>
                <w:lang w:val="en-US" w:eastAsia="zh-CN" w:bidi="ar-SA"/>
              </w:rPr>
              <w:t>日内退还。</w:t>
            </w:r>
          </w:p>
          <w:p w14:paraId="5043E6E0">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（6)履约担保形式应按下列方式缴纳。</w:t>
            </w:r>
          </w:p>
          <w:p w14:paraId="26F881BA">
            <w:pPr>
              <w:keepNext w:val="0"/>
              <w:keepLines w:val="0"/>
              <w:pageBreakBefore w:val="0"/>
              <w:widowControl w:val="0"/>
              <w:kinsoku/>
              <w:overflowPunct/>
              <w:topLinePunct w:val="0"/>
              <w:autoSpaceDE/>
              <w:autoSpaceDN/>
              <w:bidi w:val="0"/>
              <w:adjustRightInd/>
              <w:snapToGrid/>
              <w:spacing w:line="360" w:lineRule="exact"/>
              <w:ind w:firstLine="720" w:firstLineChars="3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（一）履约担保可以采用担保保函、保险保函、银行保函、银行转账的形式，由中标人自行选择；</w:t>
            </w:r>
          </w:p>
          <w:p w14:paraId="49A03568">
            <w:pPr>
              <w:keepNext w:val="0"/>
              <w:keepLines w:val="0"/>
              <w:pageBreakBefore w:val="0"/>
              <w:widowControl w:val="0"/>
              <w:kinsoku/>
              <w:overflowPunct/>
              <w:topLinePunct w:val="0"/>
              <w:autoSpaceDE/>
              <w:autoSpaceDN/>
              <w:bidi w:val="0"/>
              <w:adjustRightInd/>
              <w:snapToGrid/>
              <w:spacing w:line="360" w:lineRule="exact"/>
              <w:ind w:firstLine="720" w:firstLineChars="3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二）履约担保金可以采用担保保函、保险保函、银行保函、银行转账的形式，由中标人自行选择；保函应当是见索即付、不可撤销、不可转让的独立保函，仅限由一家有资质的机构开立的单份保函（若存在同一家机构开立多份、多家机构分别开立等情形，招标人应当拒收，并按投标人未按要求提交履约保证金处理）；</w:t>
            </w:r>
          </w:p>
          <w:p w14:paraId="6AD6249F">
            <w:pPr>
              <w:keepNext w:val="0"/>
              <w:keepLines w:val="0"/>
              <w:pageBreakBefore w:val="0"/>
              <w:widowControl w:val="0"/>
              <w:kinsoku/>
              <w:overflowPunct/>
              <w:topLinePunct w:val="0"/>
              <w:autoSpaceDE/>
              <w:autoSpaceDN/>
              <w:bidi w:val="0"/>
              <w:adjustRightInd/>
              <w:snapToGrid/>
              <w:spacing w:line="360" w:lineRule="exact"/>
              <w:ind w:firstLine="720" w:firstLineChars="3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（三）履约担保责任期为招标人与中标人签订合同之日起至中标人履约完成之日止。</w:t>
            </w:r>
          </w:p>
          <w:p w14:paraId="1DB34BBE">
            <w:pPr>
              <w:keepNext w:val="0"/>
              <w:keepLines w:val="0"/>
              <w:pageBreakBefore w:val="0"/>
              <w:widowControl w:val="0"/>
              <w:kinsoku/>
              <w:overflowPunct/>
              <w:topLinePunct w:val="0"/>
              <w:autoSpaceDE/>
              <w:autoSpaceDN/>
              <w:bidi w:val="0"/>
              <w:adjustRightInd/>
              <w:snapToGrid/>
              <w:spacing w:line="360" w:lineRule="exact"/>
              <w:ind w:firstLine="720" w:firstLineChars="3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（四）成交供应商未按照投标文件履约的，中标人无权要求招标人退还履约担保。</w:t>
            </w:r>
          </w:p>
        </w:tc>
      </w:tr>
      <w:tr w14:paraId="47F877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04" w:hRule="atLeast"/>
          <w:jc w:val="center"/>
        </w:trPr>
        <w:tc>
          <w:tcPr>
            <w:tcW w:w="1125" w:type="dxa"/>
            <w:vMerge w:val="restart"/>
            <w:noWrap w:val="0"/>
            <w:vAlign w:val="center"/>
          </w:tcPr>
          <w:p w14:paraId="3B06D55E">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37.3</w:t>
            </w:r>
          </w:p>
        </w:tc>
        <w:tc>
          <w:tcPr>
            <w:tcW w:w="2216" w:type="dxa"/>
            <w:noWrap w:val="0"/>
            <w:vAlign w:val="center"/>
          </w:tcPr>
          <w:p w14:paraId="3E648ABA">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投标报价扣除</w:t>
            </w:r>
          </w:p>
        </w:tc>
        <w:tc>
          <w:tcPr>
            <w:tcW w:w="6422" w:type="dxa"/>
            <w:noWrap w:val="0"/>
            <w:vAlign w:val="center"/>
          </w:tcPr>
          <w:p w14:paraId="1D847181">
            <w:pPr>
              <w:keepNext w:val="0"/>
              <w:keepLines w:val="0"/>
              <w:pageBreakBefore w:val="0"/>
              <w:widowControl w:val="0"/>
              <w:numPr>
                <w:ilvl w:val="0"/>
                <w:numId w:val="4"/>
              </w:numPr>
              <w:kinsoku/>
              <w:overflowPunct/>
              <w:topLinePunct w:val="0"/>
              <w:autoSpaceDE/>
              <w:autoSpaceDN/>
              <w:bidi w:val="0"/>
              <w:adjustRightInd/>
              <w:snapToGrid/>
              <w:spacing w:line="360" w:lineRule="exact"/>
              <w:ind w:left="420" w:leftChars="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b/>
                <w:bCs/>
                <w:i w:val="0"/>
                <w:iCs w:val="0"/>
                <w:caps w:val="0"/>
                <w:color w:val="000000"/>
                <w:spacing w:val="0"/>
                <w:kern w:val="2"/>
                <w:sz w:val="24"/>
                <w:szCs w:val="24"/>
                <w:shd w:val="clear" w:fill="FFFFFF"/>
                <w:lang w:val="en-US" w:eastAsia="zh-CN" w:bidi="ar-SA"/>
              </w:rPr>
              <w:t>大中型企业的扣除比例；</w:t>
            </w:r>
            <w:r>
              <w:rPr>
                <w:rFonts w:hint="eastAsia" w:ascii="微软雅黑" w:hAnsi="微软雅黑" w:eastAsia="微软雅黑" w:cs="微软雅黑"/>
                <w:b w:val="0"/>
                <w:bCs w:val="0"/>
                <w:i w:val="0"/>
                <w:iCs w:val="0"/>
                <w:caps w:val="0"/>
                <w:color w:val="000000"/>
                <w:spacing w:val="0"/>
                <w:kern w:val="2"/>
                <w:sz w:val="24"/>
                <w:szCs w:val="24"/>
                <w:shd w:val="clear" w:fill="FFFFFF"/>
                <w:lang w:val="en-US" w:eastAsia="zh-CN" w:bidi="ar-SA"/>
              </w:rPr>
              <w:t>大</w:t>
            </w:r>
            <w:r>
              <w:rPr>
                <w:rFonts w:hint="eastAsia" w:ascii="微软雅黑" w:hAnsi="微软雅黑" w:eastAsia="微软雅黑" w:cs="微软雅黑"/>
                <w:strike w:val="0"/>
                <w:dstrike w:val="0"/>
                <w:color w:val="000000"/>
                <w:kern w:val="2"/>
                <w:sz w:val="24"/>
                <w:szCs w:val="24"/>
                <w:lang w:val="en-US" w:eastAsia="zh-CN" w:bidi="ar-SA"/>
              </w:rPr>
              <w:t>中型企业承诺向小微企业分包</w:t>
            </w:r>
            <w:r>
              <w:rPr>
                <w:rFonts w:hint="eastAsia" w:ascii="微软雅黑" w:hAnsi="微软雅黑" w:eastAsia="微软雅黑" w:cs="微软雅黑"/>
                <w:color w:val="000000"/>
                <w:kern w:val="2"/>
                <w:sz w:val="24"/>
                <w:szCs w:val="24"/>
                <w:lang w:val="en-US" w:eastAsia="zh-CN" w:bidi="ar-SA"/>
              </w:rPr>
              <w:t>合同份额占到合同总金额</w:t>
            </w:r>
            <w:r>
              <w:rPr>
                <w:rFonts w:hint="eastAsia" w:ascii="微软雅黑" w:hAnsi="微软雅黑" w:eastAsia="微软雅黑" w:cs="微软雅黑"/>
                <w:b/>
                <w:bCs/>
                <w:color w:val="000000"/>
                <w:kern w:val="2"/>
                <w:sz w:val="24"/>
                <w:szCs w:val="24"/>
                <w:u w:val="single"/>
                <w:lang w:val="en-US" w:eastAsia="zh-CN" w:bidi="ar-SA"/>
              </w:rPr>
              <w:t xml:space="preserve"> 30% </w:t>
            </w:r>
            <w:r>
              <w:rPr>
                <w:rFonts w:hint="eastAsia" w:ascii="微软雅黑" w:hAnsi="微软雅黑" w:eastAsia="微软雅黑" w:cs="微软雅黑"/>
                <w:color w:val="000000"/>
                <w:kern w:val="2"/>
                <w:sz w:val="24"/>
                <w:szCs w:val="24"/>
                <w:lang w:val="en-US" w:eastAsia="zh-CN" w:bidi="ar-SA"/>
              </w:rPr>
              <w:t>以上的，采购人、采购代理机构应当对大中型企业的报价给予</w:t>
            </w:r>
            <w:r>
              <w:rPr>
                <w:rFonts w:hint="eastAsia" w:ascii="微软雅黑" w:hAnsi="微软雅黑" w:eastAsia="微软雅黑" w:cs="微软雅黑"/>
                <w:b/>
                <w:bCs/>
                <w:color w:val="000000"/>
                <w:kern w:val="2"/>
                <w:sz w:val="24"/>
                <w:szCs w:val="24"/>
                <w:u w:val="single"/>
                <w:lang w:val="en-US" w:eastAsia="zh-CN" w:bidi="ar-SA"/>
              </w:rPr>
              <w:t xml:space="preserve"> 4% </w:t>
            </w:r>
            <w:r>
              <w:rPr>
                <w:rFonts w:hint="eastAsia" w:ascii="微软雅黑" w:hAnsi="微软雅黑" w:eastAsia="微软雅黑" w:cs="微软雅黑"/>
                <w:color w:val="000000"/>
                <w:kern w:val="2"/>
                <w:sz w:val="24"/>
                <w:szCs w:val="24"/>
                <w:lang w:val="en-US" w:eastAsia="zh-CN" w:bidi="ar-SA"/>
              </w:rPr>
              <w:t>的扣除</w:t>
            </w:r>
            <w:r>
              <w:rPr>
                <w:rFonts w:hint="eastAsia" w:ascii="微软雅黑" w:hAnsi="微软雅黑" w:eastAsia="微软雅黑" w:cs="微软雅黑"/>
                <w:color w:val="FF0000"/>
                <w:kern w:val="2"/>
                <w:sz w:val="24"/>
                <w:szCs w:val="24"/>
                <w:lang w:val="en-US" w:eastAsia="zh-CN" w:bidi="ar-SA"/>
              </w:rPr>
              <w:t>（</w:t>
            </w:r>
            <w:r>
              <w:rPr>
                <w:rFonts w:hint="eastAsia" w:ascii="微软雅黑" w:hAnsi="微软雅黑" w:eastAsia="微软雅黑" w:cs="微软雅黑"/>
                <w:b w:val="0"/>
                <w:bCs w:val="0"/>
                <w:color w:val="FF0000"/>
                <w:kern w:val="2"/>
                <w:sz w:val="24"/>
                <w:szCs w:val="24"/>
                <w:lang w:val="en-US" w:eastAsia="zh-CN" w:bidi="ar-SA"/>
              </w:rPr>
              <w:t>联合体中</w:t>
            </w:r>
            <w:r>
              <w:rPr>
                <w:rFonts w:hint="eastAsia" w:ascii="微软雅黑" w:hAnsi="微软雅黑" w:eastAsia="微软雅黑" w:cs="微软雅黑"/>
                <w:color w:val="FF0000"/>
                <w:kern w:val="2"/>
                <w:sz w:val="24"/>
                <w:szCs w:val="24"/>
                <w:lang w:val="en-US" w:eastAsia="zh-CN" w:bidi="ar-SA"/>
              </w:rPr>
              <w:t>如小微企业的合同份额不足30%，则联合体无法享受任何价格扣除）</w:t>
            </w:r>
            <w:r>
              <w:rPr>
                <w:rFonts w:hint="eastAsia" w:ascii="微软雅黑" w:hAnsi="微软雅黑" w:eastAsia="微软雅黑" w:cs="微软雅黑"/>
                <w:color w:val="000000"/>
                <w:kern w:val="2"/>
                <w:sz w:val="24"/>
                <w:szCs w:val="24"/>
                <w:lang w:val="en-US" w:eastAsia="zh-CN" w:bidi="ar-SA"/>
              </w:rPr>
              <w:t>，用扣除后的价格参加评审。承诺书的格式详见投标文件组成的附件3-4。</w:t>
            </w:r>
          </w:p>
          <w:p w14:paraId="379B1FDF">
            <w:pPr>
              <w:keepNext w:val="0"/>
              <w:keepLines w:val="0"/>
              <w:pageBreakBefore w:val="0"/>
              <w:widowControl w:val="0"/>
              <w:numPr>
                <w:ilvl w:val="0"/>
                <w:numId w:val="4"/>
              </w:numPr>
              <w:kinsoku/>
              <w:overflowPunct/>
              <w:topLinePunct w:val="0"/>
              <w:autoSpaceDE/>
              <w:autoSpaceDN/>
              <w:bidi w:val="0"/>
              <w:adjustRightInd/>
              <w:snapToGrid/>
              <w:spacing w:line="360" w:lineRule="exact"/>
              <w:ind w:left="420" w:leftChars="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小型和微型企业的扣除比例；</w:t>
            </w:r>
          </w:p>
          <w:p w14:paraId="29DDE33C">
            <w:pPr>
              <w:keepNext w:val="0"/>
              <w:keepLines w:val="0"/>
              <w:pageBreakBefore w:val="0"/>
              <w:widowControl w:val="0"/>
              <w:numPr>
                <w:ilvl w:val="0"/>
                <w:numId w:val="5"/>
              </w:numPr>
              <w:kinsoku/>
              <w:overflowPunct/>
              <w:topLinePunct w:val="0"/>
              <w:autoSpaceDE/>
              <w:autoSpaceDN/>
              <w:bidi w:val="0"/>
              <w:adjustRightInd/>
              <w:snapToGrid/>
              <w:spacing w:line="360" w:lineRule="exact"/>
              <w:ind w:hanging="5"/>
              <w:jc w:val="left"/>
              <w:textAlignment w:val="baseline"/>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t>企业价格扣除：小型和微型企业给予：</w:t>
            </w:r>
            <w:r>
              <w:rPr>
                <w:rFonts w:hint="eastAsia" w:ascii="微软雅黑" w:hAnsi="微软雅黑" w:eastAsia="微软雅黑" w:cs="微软雅黑"/>
                <w:b/>
                <w:bCs/>
                <w:color w:val="000000"/>
                <w:kern w:val="2"/>
                <w:sz w:val="24"/>
                <w:szCs w:val="24"/>
                <w:u w:val="single"/>
                <w:lang w:val="en-US" w:eastAsia="zh-CN" w:bidi="ar-SA"/>
              </w:rPr>
              <w:t xml:space="preserve"> 10% </w:t>
            </w:r>
            <w:r>
              <w:rPr>
                <w:rFonts w:hint="eastAsia" w:ascii="微软雅黑" w:hAnsi="微软雅黑" w:eastAsia="微软雅黑" w:cs="微软雅黑"/>
                <w:b/>
                <w:bCs/>
                <w:color w:val="000000"/>
                <w:kern w:val="2"/>
                <w:sz w:val="24"/>
                <w:szCs w:val="24"/>
                <w:u w:val="none"/>
                <w:lang w:val="en-US" w:eastAsia="zh-CN" w:bidi="ar-SA"/>
              </w:rPr>
              <w:t>。</w:t>
            </w:r>
          </w:p>
          <w:p w14:paraId="14601EAA">
            <w:pPr>
              <w:keepNext w:val="0"/>
              <w:keepLines w:val="0"/>
              <w:pageBreakBefore w:val="0"/>
              <w:widowControl w:val="0"/>
              <w:numPr>
                <w:ilvl w:val="0"/>
                <w:numId w:val="5"/>
              </w:numPr>
              <w:kinsoku/>
              <w:overflowPunct/>
              <w:topLinePunct w:val="0"/>
              <w:autoSpaceDE/>
              <w:autoSpaceDN/>
              <w:bidi w:val="0"/>
              <w:adjustRightInd/>
              <w:snapToGrid/>
              <w:spacing w:line="360" w:lineRule="exact"/>
              <w:ind w:hanging="5"/>
              <w:jc w:val="left"/>
              <w:textAlignment w:val="baseline"/>
              <w:rPr>
                <w:rFonts w:hint="eastAsia" w:ascii="微软雅黑" w:hAnsi="微软雅黑" w:eastAsia="微软雅黑" w:cs="微软雅黑"/>
                <w:b w:val="0"/>
                <w:bCs w:val="0"/>
                <w:color w:val="000000"/>
                <w:kern w:val="2"/>
                <w:sz w:val="24"/>
                <w:szCs w:val="24"/>
                <w:lang w:val="en-US" w:eastAsia="zh-CN" w:bidi="ar-SA"/>
              </w:rPr>
            </w:pPr>
            <w:r>
              <w:rPr>
                <w:rFonts w:hint="eastAsia" w:ascii="微软雅黑" w:hAnsi="微软雅黑" w:eastAsia="微软雅黑" w:cs="微软雅黑"/>
                <w:b w:val="0"/>
                <w:bCs w:val="0"/>
                <w:color w:val="000000"/>
                <w:kern w:val="2"/>
                <w:sz w:val="24"/>
                <w:szCs w:val="24"/>
                <w:lang w:val="en-US" w:eastAsia="zh-CN" w:bidi="ar-SA"/>
              </w:rPr>
              <w:t>监狱企业价格扣除：同小型和微型企业。</w:t>
            </w:r>
          </w:p>
          <w:p w14:paraId="595E27F7">
            <w:pPr>
              <w:keepNext w:val="0"/>
              <w:keepLines w:val="0"/>
              <w:pageBreakBefore w:val="0"/>
              <w:widowControl w:val="0"/>
              <w:numPr>
                <w:ilvl w:val="0"/>
                <w:numId w:val="5"/>
              </w:numPr>
              <w:kinsoku/>
              <w:overflowPunct/>
              <w:topLinePunct w:val="0"/>
              <w:autoSpaceDE/>
              <w:autoSpaceDN/>
              <w:bidi w:val="0"/>
              <w:adjustRightInd/>
              <w:snapToGrid/>
              <w:spacing w:line="360" w:lineRule="exact"/>
              <w:ind w:hanging="5"/>
              <w:jc w:val="left"/>
              <w:textAlignment w:val="baseline"/>
              <w:rPr>
                <w:rFonts w:hint="eastAsia" w:ascii="微软雅黑" w:hAnsi="微软雅黑" w:eastAsia="微软雅黑" w:cs="微软雅黑"/>
                <w:b w:val="0"/>
                <w:bCs w:val="0"/>
                <w:color w:val="000000"/>
                <w:kern w:val="2"/>
                <w:sz w:val="24"/>
                <w:szCs w:val="24"/>
                <w:lang w:val="en-US" w:eastAsia="zh-CN" w:bidi="ar-SA"/>
              </w:rPr>
            </w:pPr>
            <w:r>
              <w:rPr>
                <w:rFonts w:hint="eastAsia" w:ascii="微软雅黑" w:hAnsi="微软雅黑" w:eastAsia="微软雅黑" w:cs="微软雅黑"/>
                <w:b w:val="0"/>
                <w:bCs w:val="0"/>
                <w:color w:val="000000"/>
                <w:kern w:val="2"/>
                <w:sz w:val="24"/>
                <w:szCs w:val="24"/>
                <w:lang w:val="en-US" w:eastAsia="zh-CN" w:bidi="ar-SA"/>
              </w:rPr>
              <w:t>残疾人福利性单位价格扣除：同小型和微型企业。</w:t>
            </w:r>
          </w:p>
          <w:p w14:paraId="7BAA7081">
            <w:pPr>
              <w:keepNext w:val="0"/>
              <w:keepLines w:val="0"/>
              <w:pageBreakBefore w:val="0"/>
              <w:widowControl w:val="0"/>
              <w:numPr>
                <w:ilvl w:val="0"/>
                <w:numId w:val="5"/>
              </w:numPr>
              <w:kinsoku/>
              <w:overflowPunct/>
              <w:topLinePunct w:val="0"/>
              <w:autoSpaceDE/>
              <w:autoSpaceDN/>
              <w:bidi w:val="0"/>
              <w:adjustRightInd/>
              <w:snapToGrid/>
              <w:spacing w:line="360" w:lineRule="exact"/>
              <w:ind w:hanging="5"/>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b w:val="0"/>
                <w:bCs w:val="0"/>
                <w:color w:val="000000"/>
                <w:kern w:val="2"/>
                <w:sz w:val="24"/>
                <w:szCs w:val="24"/>
                <w:lang w:val="en-US" w:eastAsia="zh-CN" w:bidi="ar-SA"/>
              </w:rPr>
              <w:t>符合条件的联合体价格扣除：</w:t>
            </w:r>
            <w:r>
              <w:rPr>
                <w:rFonts w:hint="eastAsia" w:ascii="微软雅黑" w:hAnsi="微软雅黑" w:eastAsia="微软雅黑" w:cs="微软雅黑"/>
                <w:b/>
                <w:bCs/>
                <w:color w:val="000000"/>
                <w:kern w:val="2"/>
                <w:sz w:val="24"/>
                <w:szCs w:val="24"/>
                <w:lang w:val="en-US" w:eastAsia="zh-CN" w:bidi="ar-SA"/>
              </w:rPr>
              <w:t>小型和微型企业给予：</w:t>
            </w:r>
            <w:r>
              <w:rPr>
                <w:rFonts w:hint="eastAsia" w:ascii="微软雅黑" w:hAnsi="微软雅黑" w:eastAsia="微软雅黑" w:cs="微软雅黑"/>
                <w:b/>
                <w:bCs/>
                <w:color w:val="000000"/>
                <w:kern w:val="2"/>
                <w:sz w:val="24"/>
                <w:szCs w:val="24"/>
                <w:u w:val="single"/>
                <w:lang w:val="en-US" w:eastAsia="zh-CN" w:bidi="ar-SA"/>
              </w:rPr>
              <w:t xml:space="preserve"> 10% </w:t>
            </w:r>
            <w:r>
              <w:rPr>
                <w:rFonts w:hint="eastAsia" w:ascii="微软雅黑" w:hAnsi="微软雅黑" w:eastAsia="微软雅黑" w:cs="微软雅黑"/>
                <w:b w:val="0"/>
                <w:bCs w:val="0"/>
                <w:color w:val="000000"/>
                <w:kern w:val="2"/>
                <w:sz w:val="24"/>
                <w:szCs w:val="24"/>
                <w:u w:val="single"/>
                <w:lang w:val="en-US" w:eastAsia="zh-CN" w:bidi="ar-SA"/>
              </w:rPr>
              <w:t>。</w:t>
            </w:r>
          </w:p>
        </w:tc>
      </w:tr>
      <w:tr w14:paraId="045C77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17" w:hRule="atLeast"/>
          <w:jc w:val="center"/>
        </w:trPr>
        <w:tc>
          <w:tcPr>
            <w:tcW w:w="1125" w:type="dxa"/>
            <w:vMerge w:val="continue"/>
            <w:noWrap w:val="0"/>
            <w:vAlign w:val="center"/>
          </w:tcPr>
          <w:p w14:paraId="664054D2">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p>
        </w:tc>
        <w:tc>
          <w:tcPr>
            <w:tcW w:w="2216" w:type="dxa"/>
            <w:noWrap w:val="0"/>
            <w:vAlign w:val="center"/>
          </w:tcPr>
          <w:p w14:paraId="7F9BD4B0">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标的所属行业</w:t>
            </w:r>
          </w:p>
        </w:tc>
        <w:tc>
          <w:tcPr>
            <w:tcW w:w="6422" w:type="dxa"/>
            <w:noWrap w:val="0"/>
            <w:vAlign w:val="center"/>
          </w:tcPr>
          <w:p w14:paraId="1277F32A">
            <w:pPr>
              <w:keepNext w:val="0"/>
              <w:keepLines w:val="0"/>
              <w:pageBreakBefore w:val="0"/>
              <w:widowControl w:val="0"/>
              <w:kinsoku/>
              <w:overflowPunct/>
              <w:topLinePunct w:val="0"/>
              <w:autoSpaceDE/>
              <w:autoSpaceDN/>
              <w:bidi w:val="0"/>
              <w:adjustRightInd/>
              <w:snapToGrid/>
              <w:spacing w:line="360" w:lineRule="exact"/>
              <w:ind w:firstLine="480" w:firstLineChars="200"/>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t>本项目采购标的对应的中小企业划分标准所属行业：</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7"/>
              <w:gridCol w:w="3469"/>
            </w:tblGrid>
            <w:tr w14:paraId="2604D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4F35C382">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bCs/>
                      <w:color w:val="000000"/>
                      <w:sz w:val="24"/>
                      <w:szCs w:val="24"/>
                    </w:rPr>
                  </w:pPr>
                  <w:r>
                    <w:rPr>
                      <w:rFonts w:hint="eastAsia" w:ascii="微软雅黑" w:hAnsi="微软雅黑" w:eastAsia="微软雅黑" w:cs="微软雅黑"/>
                      <w:b/>
                      <w:bCs/>
                      <w:color w:val="000000"/>
                      <w:sz w:val="24"/>
                      <w:szCs w:val="24"/>
                    </w:rPr>
                    <w:sym w:font="Wingdings" w:char="00FE"/>
                  </w:r>
                  <w:r>
                    <w:rPr>
                      <w:rFonts w:hint="eastAsia" w:ascii="微软雅黑" w:hAnsi="微软雅黑" w:eastAsia="微软雅黑" w:cs="微软雅黑"/>
                      <w:b/>
                      <w:bCs/>
                      <w:color w:val="000000"/>
                      <w:sz w:val="24"/>
                      <w:szCs w:val="24"/>
                    </w:rPr>
                    <w:t>（一）农、林、牧、渔业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798A0203">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color w:val="000000"/>
                      <w:kern w:val="0"/>
                      <w:sz w:val="24"/>
                      <w:szCs w:val="24"/>
                    </w:rPr>
                  </w:pPr>
                  <w:r>
                    <w:rPr>
                      <w:rFonts w:hint="eastAsia" w:ascii="微软雅黑" w:hAnsi="微软雅黑" w:eastAsia="微软雅黑" w:cs="微软雅黑"/>
                      <w:color w:val="000000"/>
                      <w:sz w:val="24"/>
                      <w:szCs w:val="24"/>
                    </w:rPr>
                    <w:sym w:font="Wingdings" w:char="00A8"/>
                  </w:r>
                  <w:r>
                    <w:rPr>
                      <w:rFonts w:hint="eastAsia" w:ascii="微软雅黑" w:hAnsi="微软雅黑" w:eastAsia="微软雅黑" w:cs="微软雅黑"/>
                      <w:color w:val="000000"/>
                      <w:kern w:val="0"/>
                      <w:sz w:val="24"/>
                      <w:szCs w:val="24"/>
                    </w:rPr>
                    <w:t>（九）住宿业</w:t>
                  </w:r>
                </w:p>
              </w:tc>
            </w:tr>
            <w:tr w14:paraId="1547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67BD7A97">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bCs/>
                      <w:color w:val="000000"/>
                      <w:sz w:val="24"/>
                      <w:szCs w:val="24"/>
                    </w:rPr>
                  </w:pPr>
                  <w:r>
                    <w:rPr>
                      <w:rFonts w:hint="eastAsia" w:ascii="微软雅黑" w:hAnsi="微软雅黑" w:eastAsia="微软雅黑" w:cs="微软雅黑"/>
                      <w:color w:val="000000"/>
                      <w:sz w:val="24"/>
                      <w:szCs w:val="24"/>
                    </w:rPr>
                    <w:sym w:font="Wingdings" w:char="00A8"/>
                  </w:r>
                  <w:r>
                    <w:rPr>
                      <w:rFonts w:hint="eastAsia" w:ascii="微软雅黑" w:hAnsi="微软雅黑" w:eastAsia="微软雅黑" w:cs="微软雅黑"/>
                      <w:color w:val="000000"/>
                      <w:sz w:val="24"/>
                      <w:szCs w:val="24"/>
                    </w:rPr>
                    <w:t>（二）工业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7109B00C">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color w:val="000000"/>
                      <w:kern w:val="0"/>
                      <w:sz w:val="24"/>
                      <w:szCs w:val="24"/>
                    </w:rPr>
                  </w:pPr>
                  <w:r>
                    <w:rPr>
                      <w:rFonts w:hint="eastAsia" w:ascii="微软雅黑" w:hAnsi="微软雅黑" w:eastAsia="微软雅黑" w:cs="微软雅黑"/>
                      <w:color w:val="000000"/>
                      <w:sz w:val="24"/>
                      <w:szCs w:val="24"/>
                    </w:rPr>
                    <w:sym w:font="Wingdings" w:char="00A8"/>
                  </w:r>
                  <w:r>
                    <w:rPr>
                      <w:rFonts w:hint="eastAsia" w:ascii="微软雅黑" w:hAnsi="微软雅黑" w:eastAsia="微软雅黑" w:cs="微软雅黑"/>
                      <w:color w:val="000000"/>
                      <w:kern w:val="0"/>
                      <w:sz w:val="24"/>
                      <w:szCs w:val="24"/>
                    </w:rPr>
                    <w:t>（十）餐饮业</w:t>
                  </w:r>
                </w:p>
              </w:tc>
            </w:tr>
            <w:tr w14:paraId="0330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2F2BAA52">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bCs/>
                      <w:color w:val="000000"/>
                      <w:sz w:val="24"/>
                      <w:szCs w:val="24"/>
                    </w:rPr>
                  </w:pPr>
                  <w:r>
                    <w:rPr>
                      <w:rFonts w:hint="eastAsia" w:ascii="微软雅黑" w:hAnsi="微软雅黑" w:eastAsia="微软雅黑" w:cs="微软雅黑"/>
                      <w:color w:val="000000"/>
                      <w:sz w:val="24"/>
                      <w:szCs w:val="24"/>
                    </w:rPr>
                    <w:sym w:font="Wingdings" w:char="00A8"/>
                  </w:r>
                  <w:r>
                    <w:rPr>
                      <w:rFonts w:hint="eastAsia" w:ascii="微软雅黑" w:hAnsi="微软雅黑" w:eastAsia="微软雅黑" w:cs="微软雅黑"/>
                      <w:bCs/>
                      <w:color w:val="000000"/>
                      <w:sz w:val="24"/>
                      <w:szCs w:val="24"/>
                    </w:rPr>
                    <w:t>（三）建筑业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3BC8FB68">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color w:val="000000"/>
                      <w:kern w:val="0"/>
                      <w:sz w:val="24"/>
                      <w:szCs w:val="24"/>
                    </w:rPr>
                  </w:pPr>
                  <w:r>
                    <w:rPr>
                      <w:rFonts w:hint="eastAsia" w:ascii="微软雅黑" w:hAnsi="微软雅黑" w:eastAsia="微软雅黑" w:cs="微软雅黑"/>
                      <w:color w:val="000000"/>
                      <w:sz w:val="24"/>
                      <w:szCs w:val="24"/>
                    </w:rPr>
                    <w:sym w:font="Wingdings" w:char="00A8"/>
                  </w:r>
                  <w:r>
                    <w:rPr>
                      <w:rFonts w:hint="eastAsia" w:ascii="微软雅黑" w:hAnsi="微软雅黑" w:eastAsia="微软雅黑" w:cs="微软雅黑"/>
                      <w:color w:val="000000"/>
                      <w:kern w:val="0"/>
                      <w:sz w:val="24"/>
                      <w:szCs w:val="24"/>
                    </w:rPr>
                    <w:t>（十一）信息传输业</w:t>
                  </w:r>
                </w:p>
              </w:tc>
            </w:tr>
            <w:tr w14:paraId="788C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768CE0A7">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bCs/>
                      <w:color w:val="000000"/>
                      <w:sz w:val="24"/>
                      <w:szCs w:val="24"/>
                    </w:rPr>
                  </w:pPr>
                  <w:r>
                    <w:rPr>
                      <w:rFonts w:hint="eastAsia" w:ascii="微软雅黑" w:hAnsi="微软雅黑" w:eastAsia="微软雅黑" w:cs="微软雅黑"/>
                      <w:color w:val="000000"/>
                      <w:sz w:val="24"/>
                      <w:szCs w:val="24"/>
                    </w:rPr>
                    <w:sym w:font="Wingdings" w:char="00A8"/>
                  </w:r>
                  <w:r>
                    <w:rPr>
                      <w:rFonts w:hint="eastAsia" w:ascii="微软雅黑" w:hAnsi="微软雅黑" w:eastAsia="微软雅黑" w:cs="微软雅黑"/>
                      <w:bCs/>
                      <w:color w:val="000000"/>
                      <w:sz w:val="24"/>
                      <w:szCs w:val="24"/>
                    </w:rPr>
                    <w:t>（四）批发业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7A83CD7E">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color w:val="000000"/>
                      <w:kern w:val="0"/>
                      <w:sz w:val="24"/>
                      <w:szCs w:val="24"/>
                    </w:rPr>
                  </w:pPr>
                  <w:r>
                    <w:rPr>
                      <w:rFonts w:hint="eastAsia" w:ascii="微软雅黑" w:hAnsi="微软雅黑" w:eastAsia="微软雅黑" w:cs="微软雅黑"/>
                      <w:b w:val="0"/>
                      <w:bCs w:val="0"/>
                      <w:color w:val="000000"/>
                      <w:sz w:val="24"/>
                      <w:szCs w:val="24"/>
                    </w:rPr>
                    <w:sym w:font="Wingdings" w:char="00A8"/>
                  </w:r>
                  <w:r>
                    <w:rPr>
                      <w:rFonts w:hint="eastAsia" w:ascii="微软雅黑" w:hAnsi="微软雅黑" w:eastAsia="微软雅黑" w:cs="微软雅黑"/>
                      <w:b w:val="0"/>
                      <w:bCs w:val="0"/>
                      <w:color w:val="000000"/>
                      <w:kern w:val="0"/>
                      <w:sz w:val="24"/>
                      <w:szCs w:val="24"/>
                    </w:rPr>
                    <w:t>（十二）软件和信息技术服务业</w:t>
                  </w:r>
                </w:p>
              </w:tc>
            </w:tr>
            <w:tr w14:paraId="00D48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67E883FB">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bCs/>
                      <w:color w:val="000000"/>
                      <w:sz w:val="24"/>
                      <w:szCs w:val="24"/>
                    </w:rPr>
                  </w:pPr>
                  <w:r>
                    <w:rPr>
                      <w:rFonts w:hint="eastAsia" w:ascii="微软雅黑" w:hAnsi="微软雅黑" w:eastAsia="微软雅黑" w:cs="微软雅黑"/>
                      <w:color w:val="000000"/>
                      <w:sz w:val="24"/>
                      <w:szCs w:val="24"/>
                    </w:rPr>
                    <w:sym w:font="Wingdings" w:char="00A8"/>
                  </w:r>
                  <w:r>
                    <w:rPr>
                      <w:rFonts w:hint="eastAsia" w:ascii="微软雅黑" w:hAnsi="微软雅黑" w:eastAsia="微软雅黑" w:cs="微软雅黑"/>
                      <w:color w:val="000000"/>
                      <w:sz w:val="24"/>
                      <w:szCs w:val="24"/>
                    </w:rPr>
                    <w:t>（五）零售业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60E789B9">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color w:val="000000"/>
                      <w:kern w:val="0"/>
                      <w:sz w:val="24"/>
                      <w:szCs w:val="24"/>
                    </w:rPr>
                  </w:pPr>
                  <w:r>
                    <w:rPr>
                      <w:rFonts w:hint="eastAsia" w:ascii="微软雅黑" w:hAnsi="微软雅黑" w:eastAsia="微软雅黑" w:cs="微软雅黑"/>
                      <w:color w:val="000000"/>
                      <w:sz w:val="24"/>
                      <w:szCs w:val="24"/>
                    </w:rPr>
                    <w:sym w:font="Wingdings" w:char="00A8"/>
                  </w:r>
                  <w:r>
                    <w:rPr>
                      <w:rFonts w:hint="eastAsia" w:ascii="微软雅黑" w:hAnsi="微软雅黑" w:eastAsia="微软雅黑" w:cs="微软雅黑"/>
                      <w:color w:val="000000"/>
                      <w:kern w:val="0"/>
                      <w:sz w:val="24"/>
                      <w:szCs w:val="24"/>
                    </w:rPr>
                    <w:t>（十三）房地产开发经营</w:t>
                  </w:r>
                </w:p>
              </w:tc>
            </w:tr>
            <w:tr w14:paraId="4759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09D67B46">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bCs/>
                      <w:color w:val="000000"/>
                      <w:sz w:val="24"/>
                      <w:szCs w:val="24"/>
                    </w:rPr>
                  </w:pPr>
                  <w:r>
                    <w:rPr>
                      <w:rFonts w:hint="eastAsia" w:ascii="微软雅黑" w:hAnsi="微软雅黑" w:eastAsia="微软雅黑" w:cs="微软雅黑"/>
                      <w:color w:val="000000"/>
                      <w:sz w:val="24"/>
                      <w:szCs w:val="24"/>
                    </w:rPr>
                    <w:sym w:font="Wingdings" w:char="00A8"/>
                  </w:r>
                  <w:r>
                    <w:rPr>
                      <w:rFonts w:hint="eastAsia" w:ascii="微软雅黑" w:hAnsi="微软雅黑" w:eastAsia="微软雅黑" w:cs="微软雅黑"/>
                      <w:bCs/>
                      <w:color w:val="000000"/>
                      <w:sz w:val="24"/>
                      <w:szCs w:val="24"/>
                    </w:rPr>
                    <w:t>（六）交通运输业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75429A5C">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color w:val="000000"/>
                      <w:kern w:val="0"/>
                      <w:sz w:val="24"/>
                      <w:szCs w:val="24"/>
                    </w:rPr>
                  </w:pPr>
                  <w:r>
                    <w:rPr>
                      <w:rFonts w:hint="eastAsia" w:ascii="微软雅黑" w:hAnsi="微软雅黑" w:eastAsia="微软雅黑" w:cs="微软雅黑"/>
                      <w:color w:val="000000"/>
                      <w:sz w:val="24"/>
                      <w:szCs w:val="24"/>
                    </w:rPr>
                    <w:sym w:font="Wingdings" w:char="00A8"/>
                  </w:r>
                  <w:r>
                    <w:rPr>
                      <w:rFonts w:hint="eastAsia" w:ascii="微软雅黑" w:hAnsi="微软雅黑" w:eastAsia="微软雅黑" w:cs="微软雅黑"/>
                      <w:color w:val="000000"/>
                      <w:kern w:val="0"/>
                      <w:sz w:val="24"/>
                      <w:szCs w:val="24"/>
                    </w:rPr>
                    <w:t>（十四）物业管理</w:t>
                  </w:r>
                </w:p>
              </w:tc>
            </w:tr>
            <w:tr w14:paraId="1FA5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3DAE1E6F">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bCs/>
                      <w:color w:val="000000"/>
                      <w:sz w:val="24"/>
                      <w:szCs w:val="24"/>
                    </w:rPr>
                  </w:pPr>
                  <w:r>
                    <w:rPr>
                      <w:rFonts w:hint="eastAsia" w:ascii="微软雅黑" w:hAnsi="微软雅黑" w:eastAsia="微软雅黑" w:cs="微软雅黑"/>
                      <w:color w:val="000000"/>
                      <w:sz w:val="24"/>
                      <w:szCs w:val="24"/>
                    </w:rPr>
                    <w:sym w:font="Wingdings" w:char="00A8"/>
                  </w:r>
                  <w:r>
                    <w:rPr>
                      <w:rFonts w:hint="eastAsia" w:ascii="微软雅黑" w:hAnsi="微软雅黑" w:eastAsia="微软雅黑" w:cs="微软雅黑"/>
                      <w:bCs/>
                      <w:color w:val="000000"/>
                      <w:sz w:val="24"/>
                      <w:szCs w:val="24"/>
                    </w:rPr>
                    <w:t>（七）仓储业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583C1188">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color w:val="000000"/>
                      <w:kern w:val="0"/>
                      <w:sz w:val="24"/>
                      <w:szCs w:val="24"/>
                    </w:rPr>
                  </w:pPr>
                  <w:r>
                    <w:rPr>
                      <w:rFonts w:hint="eastAsia" w:ascii="微软雅黑" w:hAnsi="微软雅黑" w:eastAsia="微软雅黑" w:cs="微软雅黑"/>
                      <w:b w:val="0"/>
                      <w:bCs w:val="0"/>
                      <w:color w:val="000000"/>
                      <w:sz w:val="24"/>
                      <w:szCs w:val="24"/>
                    </w:rPr>
                    <w:sym w:font="Wingdings" w:char="00A8"/>
                  </w:r>
                  <w:r>
                    <w:rPr>
                      <w:rFonts w:hint="eastAsia" w:ascii="微软雅黑" w:hAnsi="微软雅黑" w:eastAsia="微软雅黑" w:cs="微软雅黑"/>
                      <w:b w:val="0"/>
                      <w:bCs w:val="0"/>
                      <w:color w:val="000000"/>
                      <w:kern w:val="0"/>
                      <w:sz w:val="24"/>
                      <w:szCs w:val="24"/>
                    </w:rPr>
                    <w:t>（十五）租赁和商务服务业</w:t>
                  </w:r>
                </w:p>
              </w:tc>
            </w:tr>
            <w:tr w14:paraId="231F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73EC0C26">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bCs/>
                      <w:color w:val="000000"/>
                      <w:sz w:val="24"/>
                      <w:szCs w:val="24"/>
                    </w:rPr>
                  </w:pPr>
                  <w:r>
                    <w:rPr>
                      <w:rFonts w:hint="eastAsia" w:ascii="微软雅黑" w:hAnsi="微软雅黑" w:eastAsia="微软雅黑" w:cs="微软雅黑"/>
                      <w:color w:val="000000"/>
                      <w:sz w:val="24"/>
                      <w:szCs w:val="24"/>
                    </w:rPr>
                    <w:sym w:font="Wingdings" w:char="00A8"/>
                  </w:r>
                  <w:r>
                    <w:rPr>
                      <w:rFonts w:hint="eastAsia" w:ascii="微软雅黑" w:hAnsi="微软雅黑" w:eastAsia="微软雅黑" w:cs="微软雅黑"/>
                      <w:bCs/>
                      <w:color w:val="000000"/>
                      <w:sz w:val="24"/>
                      <w:szCs w:val="24"/>
                    </w:rPr>
                    <w:t>（八）邮政业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6ADE23B7">
                  <w:pPr>
                    <w:keepNext w:val="0"/>
                    <w:keepLines w:val="0"/>
                    <w:pageBreakBefore w:val="0"/>
                    <w:widowControl w:val="0"/>
                    <w:kinsoku/>
                    <w:overflowPunct/>
                    <w:topLinePunct w:val="0"/>
                    <w:autoSpaceDE/>
                    <w:autoSpaceDN/>
                    <w:bidi w:val="0"/>
                    <w:adjustRightInd/>
                    <w:snapToGrid/>
                    <w:spacing w:line="360" w:lineRule="exact"/>
                    <w:jc w:val="left"/>
                    <w:rPr>
                      <w:rFonts w:hint="eastAsia" w:ascii="微软雅黑" w:hAnsi="微软雅黑" w:eastAsia="微软雅黑" w:cs="微软雅黑"/>
                      <w:color w:val="000000"/>
                      <w:kern w:val="0"/>
                      <w:sz w:val="24"/>
                      <w:szCs w:val="24"/>
                    </w:rPr>
                  </w:pPr>
                  <w:r>
                    <w:rPr>
                      <w:rFonts w:hint="eastAsia" w:ascii="微软雅黑" w:hAnsi="微软雅黑" w:eastAsia="微软雅黑" w:cs="微软雅黑"/>
                      <w:b w:val="0"/>
                      <w:bCs w:val="0"/>
                      <w:color w:val="000000"/>
                      <w:sz w:val="24"/>
                      <w:szCs w:val="24"/>
                    </w:rPr>
                    <w:sym w:font="Wingdings" w:char="00A8"/>
                  </w:r>
                  <w:r>
                    <w:rPr>
                      <w:rFonts w:hint="eastAsia" w:ascii="微软雅黑" w:hAnsi="微软雅黑" w:eastAsia="微软雅黑" w:cs="微软雅黑"/>
                      <w:b w:val="0"/>
                      <w:bCs w:val="0"/>
                      <w:color w:val="000000"/>
                      <w:kern w:val="0"/>
                      <w:sz w:val="24"/>
                      <w:szCs w:val="24"/>
                    </w:rPr>
                    <w:t>（十六）其他未列明行业</w:t>
                  </w:r>
                </w:p>
              </w:tc>
            </w:tr>
          </w:tbl>
          <w:p w14:paraId="24754B53">
            <w:pPr>
              <w:keepNext w:val="0"/>
              <w:keepLines w:val="0"/>
              <w:pageBreakBefore w:val="0"/>
              <w:widowControl w:val="0"/>
              <w:kinsoku/>
              <w:wordWrap w:val="0"/>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温馨提示：为方便广大中小企业识别企业规模类型，工业和信息化部组织开发了中小企业规模类型自测小程序，在国务院客户端和工业和信息化部网站上（https://baosong.miit.gov.cn/ScaleTest）均有链接，供应商填写所属的行业和指标数据可自动生成企业规模类型测试结果。</w:t>
            </w:r>
          </w:p>
        </w:tc>
      </w:tr>
      <w:tr w14:paraId="271722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67BB30B2">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39.3</w:t>
            </w:r>
          </w:p>
        </w:tc>
        <w:tc>
          <w:tcPr>
            <w:tcW w:w="2216" w:type="dxa"/>
            <w:noWrap w:val="0"/>
            <w:vAlign w:val="center"/>
          </w:tcPr>
          <w:p w14:paraId="51774464">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质疑函递交方式、接收部门、联系电话和通讯地址</w:t>
            </w:r>
          </w:p>
        </w:tc>
        <w:tc>
          <w:tcPr>
            <w:tcW w:w="6422" w:type="dxa"/>
            <w:noWrap w:val="0"/>
            <w:vAlign w:val="center"/>
          </w:tcPr>
          <w:p w14:paraId="60BA307C">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b/>
                <w:bCs/>
                <w:color w:val="auto"/>
                <w:kern w:val="2"/>
                <w:sz w:val="24"/>
                <w:szCs w:val="24"/>
                <w:u w:val="single"/>
                <w:lang w:val="en-US" w:eastAsia="zh-CN" w:bidi="ar-SA"/>
              </w:rPr>
            </w:pPr>
            <w:r>
              <w:rPr>
                <w:rFonts w:hint="eastAsia" w:ascii="微软雅黑" w:hAnsi="微软雅黑" w:eastAsia="微软雅黑" w:cs="微软雅黑"/>
                <w:color w:val="auto"/>
                <w:kern w:val="2"/>
                <w:sz w:val="24"/>
                <w:szCs w:val="24"/>
                <w:lang w:val="en-US" w:eastAsia="zh-CN" w:bidi="ar-SA"/>
              </w:rPr>
              <w:t>递交方式：</w:t>
            </w:r>
            <w:r>
              <w:rPr>
                <w:rFonts w:hint="eastAsia" w:ascii="微软雅黑" w:hAnsi="微软雅黑" w:eastAsia="微软雅黑" w:cs="微软雅黑"/>
                <w:b/>
                <w:bCs/>
                <w:color w:val="auto"/>
                <w:kern w:val="2"/>
                <w:sz w:val="24"/>
                <w:szCs w:val="24"/>
                <w:u w:val="single" w:color="000000"/>
                <w:lang w:val="en-US" w:eastAsia="zh-CN" w:bidi="ar-SA"/>
              </w:rPr>
              <w:t>书面递交</w:t>
            </w:r>
          </w:p>
          <w:p w14:paraId="1EC5FBEF">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联系部门：张家界市武陵源区自然资源和林业局</w:t>
            </w:r>
          </w:p>
          <w:p w14:paraId="58204533">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联系电话：0744-5618250</w:t>
            </w:r>
          </w:p>
          <w:p w14:paraId="57B4B56A">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通信地址：湖南省张家界市武陵源区军地坪街道‌宝峰路338 号</w:t>
            </w:r>
          </w:p>
        </w:tc>
      </w:tr>
      <w:tr w14:paraId="279103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3" w:hRule="atLeast"/>
          <w:jc w:val="center"/>
        </w:trPr>
        <w:tc>
          <w:tcPr>
            <w:tcW w:w="1125" w:type="dxa"/>
            <w:noWrap w:val="0"/>
            <w:vAlign w:val="center"/>
          </w:tcPr>
          <w:p w14:paraId="4D2D0F06">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41.1</w:t>
            </w:r>
          </w:p>
        </w:tc>
        <w:tc>
          <w:tcPr>
            <w:tcW w:w="2216" w:type="dxa"/>
            <w:noWrap w:val="0"/>
            <w:vAlign w:val="center"/>
          </w:tcPr>
          <w:p w14:paraId="4A9FE898">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采购代理服务费</w:t>
            </w:r>
          </w:p>
        </w:tc>
        <w:tc>
          <w:tcPr>
            <w:tcW w:w="6422" w:type="dxa"/>
            <w:noWrap w:val="0"/>
            <w:vAlign w:val="center"/>
          </w:tcPr>
          <w:p w14:paraId="4214FDB1">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按合同约定。</w:t>
            </w:r>
          </w:p>
        </w:tc>
      </w:tr>
      <w:tr w14:paraId="0F7410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9763" w:type="dxa"/>
            <w:gridSpan w:val="3"/>
            <w:noWrap w:val="0"/>
            <w:vAlign w:val="center"/>
          </w:tcPr>
          <w:p w14:paraId="6D60BE1B">
            <w:pPr>
              <w:keepNext w:val="0"/>
              <w:keepLines w:val="0"/>
              <w:pageBreakBefore w:val="0"/>
              <w:widowControl w:val="0"/>
              <w:kinsoku/>
              <w:overflowPunct/>
              <w:topLinePunct w:val="0"/>
              <w:autoSpaceDE/>
              <w:autoSpaceDN/>
              <w:bidi w:val="0"/>
              <w:adjustRightInd/>
              <w:snapToGrid/>
              <w:spacing w:line="360" w:lineRule="exact"/>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b/>
                <w:bCs/>
                <w:color w:val="000000"/>
                <w:kern w:val="2"/>
                <w:sz w:val="24"/>
                <w:szCs w:val="24"/>
                <w:lang w:val="en-US" w:eastAsia="zh-CN" w:bidi="ar-SA"/>
              </w:rPr>
              <w:t>42其他内容</w:t>
            </w:r>
          </w:p>
        </w:tc>
      </w:tr>
      <w:tr w14:paraId="28450F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Merge w:val="restart"/>
            <w:noWrap w:val="0"/>
            <w:vAlign w:val="center"/>
          </w:tcPr>
          <w:p w14:paraId="1B023F9E">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42.1</w:t>
            </w:r>
          </w:p>
        </w:tc>
        <w:tc>
          <w:tcPr>
            <w:tcW w:w="2216" w:type="dxa"/>
            <w:noWrap w:val="0"/>
            <w:vAlign w:val="center"/>
          </w:tcPr>
          <w:p w14:paraId="3E58DE68">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政府采购支持中小企业融资</w:t>
            </w:r>
          </w:p>
        </w:tc>
        <w:tc>
          <w:tcPr>
            <w:tcW w:w="6422" w:type="dxa"/>
            <w:noWrap w:val="0"/>
            <w:vAlign w:val="center"/>
          </w:tcPr>
          <w:p w14:paraId="556CF66D">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有融资需求的，可查询中国湖南政府采购网办事指南专栏中相关业务简介。</w:t>
            </w:r>
          </w:p>
        </w:tc>
      </w:tr>
      <w:tr w14:paraId="678985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Merge w:val="continue"/>
            <w:noWrap w:val="0"/>
            <w:vAlign w:val="center"/>
          </w:tcPr>
          <w:p w14:paraId="66607C4F">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p>
        </w:tc>
        <w:tc>
          <w:tcPr>
            <w:tcW w:w="2216" w:type="dxa"/>
            <w:noWrap w:val="0"/>
            <w:vAlign w:val="center"/>
          </w:tcPr>
          <w:p w14:paraId="01D21A60">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政府采购信用担保</w:t>
            </w:r>
          </w:p>
        </w:tc>
        <w:tc>
          <w:tcPr>
            <w:tcW w:w="6422" w:type="dxa"/>
            <w:noWrap w:val="0"/>
            <w:vAlign w:val="center"/>
          </w:tcPr>
          <w:p w14:paraId="6E9BEB0B">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有担保需求的，可查询中国湖南政府采购网办事指南专栏中相关业务简介。</w:t>
            </w:r>
          </w:p>
        </w:tc>
      </w:tr>
      <w:tr w14:paraId="0115CE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noWrap w:val="0"/>
            <w:vAlign w:val="center"/>
          </w:tcPr>
          <w:p w14:paraId="0C82122E">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42.2</w:t>
            </w:r>
          </w:p>
        </w:tc>
        <w:tc>
          <w:tcPr>
            <w:tcW w:w="2216" w:type="dxa"/>
            <w:noWrap w:val="0"/>
            <w:vAlign w:val="center"/>
          </w:tcPr>
          <w:p w14:paraId="5E0A1DA4">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关于联合体投标的相关约定</w:t>
            </w:r>
          </w:p>
        </w:tc>
        <w:tc>
          <w:tcPr>
            <w:tcW w:w="6422" w:type="dxa"/>
            <w:noWrap w:val="0"/>
            <w:vAlign w:val="top"/>
          </w:tcPr>
          <w:p w14:paraId="7599F521">
            <w:pPr>
              <w:keepNext w:val="0"/>
              <w:keepLines w:val="0"/>
              <w:pageBreakBefore w:val="0"/>
              <w:widowControl w:val="0"/>
              <w:numPr>
                <w:ilvl w:val="0"/>
                <w:numId w:val="0"/>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(1)联合体投标的，招标文件获取手续由联合体中任一成员单位办理均可；</w:t>
            </w:r>
          </w:p>
          <w:p w14:paraId="5CE93679">
            <w:pPr>
              <w:keepNext w:val="0"/>
              <w:keepLines w:val="0"/>
              <w:pageBreakBefore w:val="0"/>
              <w:widowControl w:val="0"/>
              <w:numPr>
                <w:ilvl w:val="0"/>
                <w:numId w:val="0"/>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(2)联合体投标的须提供联合体协议（见投标文件格式），相关证明材料由投标人根据联合体协议分工情况及招标文件要求提供；</w:t>
            </w:r>
          </w:p>
          <w:p w14:paraId="706B1078">
            <w:pPr>
              <w:keepNext w:val="0"/>
              <w:keepLines w:val="0"/>
              <w:pageBreakBefore w:val="0"/>
              <w:widowControl w:val="0"/>
              <w:numPr>
                <w:ilvl w:val="0"/>
                <w:numId w:val="0"/>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(3)联合体各成员单位均须提供营业执照（或事业单位法人登记证书）、税务登记证。注：已办理“三证合一”或“五证合一”登记的，投标文件中提供营业执照（或事业单位法人登记证书）扫描件即可；</w:t>
            </w:r>
          </w:p>
          <w:p w14:paraId="7A768E8A">
            <w:pPr>
              <w:keepNext w:val="0"/>
              <w:keepLines w:val="0"/>
              <w:pageBreakBefore w:val="0"/>
              <w:widowControl w:val="0"/>
              <w:numPr>
                <w:ilvl w:val="0"/>
                <w:numId w:val="0"/>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(4)关于联合体缴纳投标保证金（如有）：为简化评标现场投标保证金查询、后期投标保证金退还及合同备案清算手续，投标保证金建议由联合体牵头人足额缴纳至本项目投标保证金账号。</w:t>
            </w:r>
          </w:p>
        </w:tc>
      </w:tr>
      <w:tr w14:paraId="298D19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noWrap w:val="0"/>
            <w:vAlign w:val="center"/>
          </w:tcPr>
          <w:p w14:paraId="5E5AB515">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42.3</w:t>
            </w:r>
          </w:p>
        </w:tc>
        <w:tc>
          <w:tcPr>
            <w:tcW w:w="2216" w:type="dxa"/>
            <w:noWrap w:val="0"/>
            <w:vAlign w:val="center"/>
          </w:tcPr>
          <w:p w14:paraId="6738DBCD">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社保证明材料</w:t>
            </w:r>
          </w:p>
        </w:tc>
        <w:tc>
          <w:tcPr>
            <w:tcW w:w="6422" w:type="dxa"/>
            <w:noWrap w:val="0"/>
            <w:vAlign w:val="top"/>
          </w:tcPr>
          <w:p w14:paraId="1BD06D92">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本项目招标文件中要求提供的社保证明材料为下述形式之一（投标文件中须提供扫描件）：</w:t>
            </w:r>
          </w:p>
          <w:p w14:paraId="7CC73625">
            <w:pPr>
              <w:keepNext w:val="0"/>
              <w:keepLines w:val="0"/>
              <w:pageBreakBefore w:val="0"/>
              <w:widowControl w:val="0"/>
              <w:numPr>
                <w:ilvl w:val="0"/>
                <w:numId w:val="6"/>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人社局官方网站打印的缴纳证明；</w:t>
            </w:r>
          </w:p>
          <w:p w14:paraId="2A37E9C9">
            <w:pPr>
              <w:keepNext w:val="0"/>
              <w:keepLines w:val="0"/>
              <w:pageBreakBefore w:val="0"/>
              <w:widowControl w:val="0"/>
              <w:numPr>
                <w:ilvl w:val="0"/>
                <w:numId w:val="6"/>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人社局的书面证明材料；</w:t>
            </w:r>
          </w:p>
          <w:p w14:paraId="23A6A609">
            <w:pPr>
              <w:keepNext w:val="0"/>
              <w:keepLines w:val="0"/>
              <w:pageBreakBefore w:val="0"/>
              <w:widowControl w:val="0"/>
              <w:numPr>
                <w:ilvl w:val="0"/>
                <w:numId w:val="6"/>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经投标人委托的第三方人力资源服务机构或与投标人有直接隶属关系的机构可以代缴社保，但须提供有关证明材料并经评标委员会确认；</w:t>
            </w:r>
          </w:p>
          <w:p w14:paraId="3A085965">
            <w:pPr>
              <w:keepNext w:val="0"/>
              <w:keepLines w:val="0"/>
              <w:pageBreakBefore w:val="0"/>
              <w:widowControl w:val="0"/>
              <w:numPr>
                <w:ilvl w:val="0"/>
                <w:numId w:val="6"/>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参与投标的院校，社保证明可以用以下任意一种：</w:t>
            </w:r>
          </w:p>
          <w:p w14:paraId="2F788A93">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①加盖投标人公章的教师证（须为本单位人员）；</w:t>
            </w:r>
          </w:p>
          <w:p w14:paraId="1DB9FB93">
            <w:pPr>
              <w:keepNext w:val="0"/>
              <w:keepLines w:val="0"/>
              <w:pageBreakBefore w:val="0"/>
              <w:widowControl w:val="0"/>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②医保证明材料；</w:t>
            </w:r>
          </w:p>
          <w:p w14:paraId="6B23A653">
            <w:pPr>
              <w:keepNext w:val="0"/>
              <w:keepLines w:val="0"/>
              <w:pageBreakBefore w:val="0"/>
              <w:widowControl w:val="0"/>
              <w:numPr>
                <w:ilvl w:val="0"/>
                <w:numId w:val="6"/>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其他经评标委员会认可的证明材料；</w:t>
            </w:r>
          </w:p>
          <w:p w14:paraId="61657205">
            <w:pPr>
              <w:keepNext w:val="0"/>
              <w:keepLines w:val="0"/>
              <w:pageBreakBefore w:val="0"/>
              <w:widowControl w:val="0"/>
              <w:numPr>
                <w:ilvl w:val="0"/>
                <w:numId w:val="6"/>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法定代表人参与项目的，无需提供社保证明材料，提供身份证明扫描件即可。</w:t>
            </w:r>
          </w:p>
        </w:tc>
      </w:tr>
      <w:tr w14:paraId="656FE8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noWrap w:val="0"/>
            <w:vAlign w:val="center"/>
          </w:tcPr>
          <w:p w14:paraId="7BD56708">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42.4</w:t>
            </w:r>
          </w:p>
        </w:tc>
        <w:tc>
          <w:tcPr>
            <w:tcW w:w="2216" w:type="dxa"/>
            <w:noWrap w:val="0"/>
            <w:vAlign w:val="center"/>
          </w:tcPr>
          <w:p w14:paraId="0D96C6C2">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重要提示</w:t>
            </w:r>
          </w:p>
        </w:tc>
        <w:tc>
          <w:tcPr>
            <w:tcW w:w="6422" w:type="dxa"/>
            <w:noWrap w:val="0"/>
            <w:vAlign w:val="top"/>
          </w:tcPr>
          <w:p w14:paraId="0D86996A">
            <w:pPr>
              <w:keepNext w:val="0"/>
              <w:keepLines w:val="0"/>
              <w:pageBreakBefore w:val="0"/>
              <w:widowControl w:val="0"/>
              <w:numPr>
                <w:ilvl w:val="0"/>
                <w:numId w:val="7"/>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中标人应在规定期限内领取《中标通知书》， 若中标人未在规定期限内领取《中标通知书》，采购人有权取消中标人中标资格，并将相关违约行为报送监管部门，实施信用惩戒；</w:t>
            </w:r>
          </w:p>
          <w:p w14:paraId="49CADA9A">
            <w:pPr>
              <w:keepNext w:val="0"/>
              <w:keepLines w:val="0"/>
              <w:pageBreakBefore w:val="0"/>
              <w:widowControl w:val="0"/>
              <w:numPr>
                <w:ilvl w:val="0"/>
                <w:numId w:val="7"/>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中标人应在规定期限内提交符合要求的履约担保并与采购人签订合同，若中标人未能在规定期限内提交符合要求的履约担保或签订合同，采购人有权取消中标人中标资格，并将相关违约行为报送监管部门，实施信用惩戒；</w:t>
            </w:r>
          </w:p>
          <w:p w14:paraId="3C58B0C0">
            <w:pPr>
              <w:keepNext w:val="0"/>
              <w:keepLines w:val="0"/>
              <w:pageBreakBefore w:val="0"/>
              <w:widowControl w:val="0"/>
              <w:numPr>
                <w:ilvl w:val="0"/>
                <w:numId w:val="7"/>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合同签订后，中标人存在规定时间内不组织人员进场开工，不履行供货、安装或服务义务等情况，采购人有权解除合同，并追究违约责任，同时将相关违约行为报送监管部门，记不良行为记录，实施信用惩戒；</w:t>
            </w:r>
          </w:p>
          <w:p w14:paraId="5FBB026F">
            <w:pPr>
              <w:keepNext w:val="0"/>
              <w:keepLines w:val="0"/>
              <w:pageBreakBefore w:val="0"/>
              <w:widowControl w:val="0"/>
              <w:numPr>
                <w:ilvl w:val="0"/>
                <w:numId w:val="7"/>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中标人中标后被监管部门查实存在违法行为不满足中标条件的，由采购人取消中标资格，并做好项目后续工作；</w:t>
            </w:r>
          </w:p>
          <w:p w14:paraId="6E84902D">
            <w:pPr>
              <w:keepNext w:val="0"/>
              <w:keepLines w:val="0"/>
              <w:pageBreakBefore w:val="0"/>
              <w:widowControl w:val="0"/>
              <w:numPr>
                <w:ilvl w:val="0"/>
                <w:numId w:val="7"/>
              </w:numPr>
              <w:kinsoku/>
              <w:overflowPunct/>
              <w:topLinePunct w:val="0"/>
              <w:autoSpaceDE/>
              <w:autoSpaceDN/>
              <w:bidi w:val="0"/>
              <w:adjustRightInd/>
              <w:snapToGrid/>
              <w:spacing w:line="360" w:lineRule="exact"/>
              <w:ind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中标人在中标项目发生投诉、信访举报案件、履约存在争议时，拒绝协助配合执法部门调查案件的，采购人可以取消其中标资格或解除合同，并追究其违约责任。</w:t>
            </w:r>
          </w:p>
        </w:tc>
      </w:tr>
      <w:tr w14:paraId="625AC1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noWrap w:val="0"/>
            <w:vAlign w:val="center"/>
          </w:tcPr>
          <w:p w14:paraId="0D9BBC07">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42.5</w:t>
            </w:r>
          </w:p>
        </w:tc>
        <w:tc>
          <w:tcPr>
            <w:tcW w:w="2216" w:type="dxa"/>
            <w:noWrap w:val="0"/>
            <w:vAlign w:val="center"/>
          </w:tcPr>
          <w:p w14:paraId="553CF62A">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解释权</w:t>
            </w:r>
          </w:p>
        </w:tc>
        <w:tc>
          <w:tcPr>
            <w:tcW w:w="6422" w:type="dxa"/>
            <w:noWrap w:val="0"/>
            <w:vAlign w:val="top"/>
          </w:tcPr>
          <w:p w14:paraId="42FD2A75">
            <w:pPr>
              <w:keepNext w:val="0"/>
              <w:keepLines w:val="0"/>
              <w:pageBreakBefore w:val="0"/>
              <w:widowControl w:val="0"/>
              <w:numPr>
                <w:ilvl w:val="0"/>
                <w:numId w:val="0"/>
              </w:numPr>
              <w:kinsoku/>
              <w:overflowPunct/>
              <w:topLinePunct w:val="0"/>
              <w:autoSpaceDE/>
              <w:autoSpaceDN/>
              <w:bidi w:val="0"/>
              <w:adjustRightInd/>
              <w:snapToGrid/>
              <w:spacing w:line="360" w:lineRule="exact"/>
              <w:ind w:left="0" w:leftChars="0"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(1)构成本招标文件的各个组成文件应互为解释，互为说明；</w:t>
            </w:r>
          </w:p>
          <w:p w14:paraId="04A327E6">
            <w:pPr>
              <w:keepNext w:val="0"/>
              <w:keepLines w:val="0"/>
              <w:pageBreakBefore w:val="0"/>
              <w:widowControl w:val="0"/>
              <w:numPr>
                <w:ilvl w:val="0"/>
                <w:numId w:val="0"/>
              </w:numPr>
              <w:kinsoku/>
              <w:overflowPunct/>
              <w:topLinePunct w:val="0"/>
              <w:autoSpaceDE/>
              <w:autoSpaceDN/>
              <w:bidi w:val="0"/>
              <w:adjustRightInd/>
              <w:snapToGrid/>
              <w:spacing w:line="360" w:lineRule="exact"/>
              <w:ind w:left="0" w:leftChars="0"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(2)同一组成文件中就同一事项的规定或约定不一致的，以编排顺序在后者为准；</w:t>
            </w:r>
          </w:p>
          <w:p w14:paraId="21515CBC">
            <w:pPr>
              <w:keepNext w:val="0"/>
              <w:keepLines w:val="0"/>
              <w:pageBreakBefore w:val="0"/>
              <w:widowControl w:val="0"/>
              <w:numPr>
                <w:ilvl w:val="0"/>
                <w:numId w:val="0"/>
              </w:numPr>
              <w:kinsoku/>
              <w:overflowPunct/>
              <w:topLinePunct w:val="0"/>
              <w:autoSpaceDE/>
              <w:autoSpaceDN/>
              <w:bidi w:val="0"/>
              <w:adjustRightInd/>
              <w:snapToGrid/>
              <w:spacing w:line="360" w:lineRule="exact"/>
              <w:ind w:left="0" w:leftChars="0"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(3)如有不明确或不一致，构成合同文件组成内容的，以合同文件约定内容为准，且以专用合同条款约定的合同文件优先顺序解释；</w:t>
            </w:r>
          </w:p>
          <w:p w14:paraId="43AE6F38">
            <w:pPr>
              <w:keepNext w:val="0"/>
              <w:keepLines w:val="0"/>
              <w:pageBreakBefore w:val="0"/>
              <w:widowControl w:val="0"/>
              <w:numPr>
                <w:ilvl w:val="0"/>
                <w:numId w:val="0"/>
              </w:numPr>
              <w:kinsoku/>
              <w:overflowPunct/>
              <w:topLinePunct w:val="0"/>
              <w:autoSpaceDE/>
              <w:autoSpaceDN/>
              <w:bidi w:val="0"/>
              <w:adjustRightInd/>
              <w:snapToGrid/>
              <w:spacing w:line="360" w:lineRule="exact"/>
              <w:ind w:left="0" w:leftChars="0"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(4)除招标文件中有特别规定外，仅适用于招标投标阶段的规定，按招标公告、投标人须知、评标方法和标准、投标文件格式的先后顺序解释；</w:t>
            </w:r>
          </w:p>
          <w:p w14:paraId="082A7B21">
            <w:pPr>
              <w:keepNext w:val="0"/>
              <w:keepLines w:val="0"/>
              <w:pageBreakBefore w:val="0"/>
              <w:widowControl w:val="0"/>
              <w:numPr>
                <w:ilvl w:val="0"/>
                <w:numId w:val="0"/>
              </w:numPr>
              <w:kinsoku/>
              <w:overflowPunct/>
              <w:topLinePunct w:val="0"/>
              <w:autoSpaceDE/>
              <w:autoSpaceDN/>
              <w:bidi w:val="0"/>
              <w:adjustRightInd/>
              <w:snapToGrid/>
              <w:spacing w:line="360" w:lineRule="exact"/>
              <w:ind w:left="0" w:leftChars="0"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(5)按本款前述规定仍不能形成结论的，由采购人负责解释。</w:t>
            </w:r>
          </w:p>
        </w:tc>
      </w:tr>
      <w:tr w14:paraId="653DD8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1125" w:type="dxa"/>
            <w:noWrap w:val="0"/>
            <w:vAlign w:val="center"/>
          </w:tcPr>
          <w:p w14:paraId="7B933EE6">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42.6</w:t>
            </w:r>
          </w:p>
        </w:tc>
        <w:tc>
          <w:tcPr>
            <w:tcW w:w="2216" w:type="dxa"/>
            <w:noWrap w:val="0"/>
            <w:vAlign w:val="center"/>
          </w:tcPr>
          <w:p w14:paraId="79F58E44">
            <w:pPr>
              <w:keepNext w:val="0"/>
              <w:keepLines w:val="0"/>
              <w:pageBreakBefore w:val="0"/>
              <w:widowControl w:val="0"/>
              <w:kinsoku/>
              <w:overflowPunct/>
              <w:topLinePunct w:val="0"/>
              <w:autoSpaceDE/>
              <w:autoSpaceDN/>
              <w:bidi w:val="0"/>
              <w:adjustRightInd/>
              <w:snapToGrid/>
              <w:spacing w:line="360" w:lineRule="exact"/>
              <w:jc w:val="center"/>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其他补充说明</w:t>
            </w:r>
          </w:p>
        </w:tc>
        <w:tc>
          <w:tcPr>
            <w:tcW w:w="6422" w:type="dxa"/>
            <w:noWrap w:val="0"/>
            <w:vAlign w:val="center"/>
          </w:tcPr>
          <w:p w14:paraId="469904FE">
            <w:pPr>
              <w:keepNext w:val="0"/>
              <w:keepLines w:val="0"/>
              <w:pageBreakBefore w:val="0"/>
              <w:widowControl w:val="0"/>
              <w:numPr>
                <w:ilvl w:val="0"/>
                <w:numId w:val="0"/>
              </w:numPr>
              <w:kinsoku/>
              <w:overflowPunct/>
              <w:topLinePunct w:val="0"/>
              <w:autoSpaceDE/>
              <w:autoSpaceDN/>
              <w:bidi w:val="0"/>
              <w:adjustRightInd/>
              <w:snapToGrid/>
              <w:spacing w:line="360" w:lineRule="exact"/>
              <w:ind w:left="0" w:leftChars="0" w:firstLine="480" w:firstLineChars="200"/>
              <w:jc w:val="left"/>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（一）政府</w:t>
            </w:r>
            <w:r>
              <w:rPr>
                <w:rFonts w:hint="eastAsia" w:ascii="微软雅黑" w:hAnsi="微软雅黑" w:eastAsia="微软雅黑" w:cs="微软雅黑"/>
                <w:color w:val="auto"/>
                <w:kern w:val="2"/>
                <w:sz w:val="24"/>
                <w:szCs w:val="24"/>
                <w:lang w:val="en-US" w:eastAsia="zh-CN" w:bidi="ar-SA"/>
              </w:rPr>
              <w:t>采购评审中出现下列情形之一的，评审委员会应当启动异常低价投标（响应）审查程序：</w:t>
            </w:r>
          </w:p>
          <w:p w14:paraId="0DDE2272">
            <w:pPr>
              <w:keepNext w:val="0"/>
              <w:keepLines w:val="0"/>
              <w:pageBreakBefore w:val="0"/>
              <w:widowControl w:val="0"/>
              <w:numPr>
                <w:ilvl w:val="0"/>
                <w:numId w:val="0"/>
              </w:numPr>
              <w:kinsoku/>
              <w:overflowPunct/>
              <w:topLinePunct w:val="0"/>
              <w:autoSpaceDE/>
              <w:autoSpaceDN/>
              <w:bidi w:val="0"/>
              <w:adjustRightInd/>
              <w:snapToGrid/>
              <w:spacing w:line="360" w:lineRule="exact"/>
              <w:ind w:left="0" w:leftChars="0" w:firstLine="480" w:firstLineChars="200"/>
              <w:jc w:val="left"/>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1.投标（响应）报价低于全部通过符合性审查供应商投标（响应）报价平均值65%的，即投标（响应）报价&lt;全部通过符合性审查供应商投标（响应）报价平均值×65%；</w:t>
            </w:r>
          </w:p>
          <w:p w14:paraId="5D961430">
            <w:pPr>
              <w:keepNext w:val="0"/>
              <w:keepLines w:val="0"/>
              <w:pageBreakBefore w:val="0"/>
              <w:widowControl w:val="0"/>
              <w:numPr>
                <w:ilvl w:val="0"/>
                <w:numId w:val="0"/>
              </w:numPr>
              <w:kinsoku/>
              <w:overflowPunct/>
              <w:topLinePunct w:val="0"/>
              <w:autoSpaceDE/>
              <w:autoSpaceDN/>
              <w:bidi w:val="0"/>
              <w:adjustRightInd/>
              <w:snapToGrid/>
              <w:spacing w:line="360" w:lineRule="exact"/>
              <w:ind w:left="0" w:leftChars="0" w:firstLine="480" w:firstLineChars="200"/>
              <w:jc w:val="left"/>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2.投标（响应）报价低于通过符合性审查的次低报价供应商投标（响应）报价65%的，即投标（响应）报价&lt;通过符合性审查的次低报价供应商投标（响应）报价×65%；</w:t>
            </w:r>
          </w:p>
          <w:p w14:paraId="38DD3D70">
            <w:pPr>
              <w:keepNext w:val="0"/>
              <w:keepLines w:val="0"/>
              <w:pageBreakBefore w:val="0"/>
              <w:widowControl w:val="0"/>
              <w:numPr>
                <w:ilvl w:val="0"/>
                <w:numId w:val="0"/>
              </w:numPr>
              <w:kinsoku/>
              <w:overflowPunct/>
              <w:topLinePunct w:val="0"/>
              <w:autoSpaceDE/>
              <w:autoSpaceDN/>
              <w:bidi w:val="0"/>
              <w:adjustRightInd/>
              <w:snapToGrid/>
              <w:spacing w:line="360" w:lineRule="exact"/>
              <w:ind w:left="0" w:leftChars="0" w:firstLine="480" w:firstLineChars="200"/>
              <w:jc w:val="left"/>
              <w:textAlignment w:val="baseline"/>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3.投标（响应）报价低于采购项目最高限价65%的，即投标（响应）报价&lt;采购项目最高限价×65%；</w:t>
            </w:r>
          </w:p>
          <w:p w14:paraId="22F59D15">
            <w:pPr>
              <w:keepNext w:val="0"/>
              <w:keepLines w:val="0"/>
              <w:pageBreakBefore w:val="0"/>
              <w:widowControl w:val="0"/>
              <w:numPr>
                <w:ilvl w:val="0"/>
                <w:numId w:val="0"/>
              </w:numPr>
              <w:kinsoku/>
              <w:overflowPunct/>
              <w:topLinePunct w:val="0"/>
              <w:autoSpaceDE/>
              <w:autoSpaceDN/>
              <w:bidi w:val="0"/>
              <w:adjustRightInd/>
              <w:snapToGrid/>
              <w:spacing w:line="360" w:lineRule="exact"/>
              <w:ind w:left="0" w:leftChars="0"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二）评审委员会启动异常低价投标（响应）审查后，属于前述第1项至第3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微软雅黑" w:hAnsi="微软雅黑" w:eastAsia="微软雅黑" w:cs="微软雅黑"/>
                <w:color w:val="000000"/>
                <w:kern w:val="2"/>
                <w:sz w:val="24"/>
                <w:szCs w:val="24"/>
                <w:u w:val="single"/>
                <w:lang w:val="en-US" w:eastAsia="zh-CN" w:bidi="ar-SA"/>
              </w:rPr>
              <w:t xml:space="preserve"> 60</w:t>
            </w:r>
            <w:r>
              <w:rPr>
                <w:rFonts w:hint="eastAsia" w:ascii="微软雅黑" w:hAnsi="微软雅黑" w:eastAsia="微软雅黑" w:cs="微软雅黑"/>
                <w:color w:val="000000"/>
                <w:kern w:val="2"/>
                <w:sz w:val="24"/>
                <w:szCs w:val="24"/>
                <w:lang w:val="en-US" w:eastAsia="zh-CN" w:bidi="ar-SA"/>
              </w:rPr>
              <w:t>分钟，具体由评审委员会根据实际情况自主确定合理时间。其中，属于第3项情形，供应商已随投标（响应）文件一并提交相关书面说明及必要的证明材料的，在评审现场可不再重复提交。</w:t>
            </w:r>
          </w:p>
          <w:p w14:paraId="6F99AED5">
            <w:pPr>
              <w:keepNext w:val="0"/>
              <w:keepLines w:val="0"/>
              <w:pageBreakBefore w:val="0"/>
              <w:widowControl w:val="0"/>
              <w:numPr>
                <w:ilvl w:val="0"/>
                <w:numId w:val="0"/>
              </w:numPr>
              <w:kinsoku/>
              <w:overflowPunct/>
              <w:topLinePunct w:val="0"/>
              <w:autoSpaceDE/>
              <w:autoSpaceDN/>
              <w:bidi w:val="0"/>
              <w:adjustRightInd/>
              <w:snapToGrid/>
              <w:spacing w:line="360" w:lineRule="exact"/>
              <w:ind w:left="0" w:leftChars="0"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4DC686B">
            <w:pPr>
              <w:keepNext w:val="0"/>
              <w:keepLines w:val="0"/>
              <w:pageBreakBefore w:val="0"/>
              <w:widowControl w:val="0"/>
              <w:numPr>
                <w:ilvl w:val="0"/>
                <w:numId w:val="0"/>
              </w:numPr>
              <w:kinsoku/>
              <w:overflowPunct/>
              <w:topLinePunct w:val="0"/>
              <w:autoSpaceDE/>
              <w:autoSpaceDN/>
              <w:bidi w:val="0"/>
              <w:adjustRightInd/>
              <w:snapToGrid/>
              <w:spacing w:line="360" w:lineRule="exact"/>
              <w:ind w:left="0" w:leftChars="0"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采购人、采购代理机构应当为评审委员会在评审现场及时获取同类项目中标（成交）价格、类似产品市场价格水平、行业人工费用标准、国家有关部门指导行业协会发布的行业平均成本等相关信息资料提供查询便利。评审委员会借助互联网等渠道查询相关信息的，应当严格遵守评审工作纪律，不得实施影响评审公正的行为。</w:t>
            </w:r>
          </w:p>
          <w:p w14:paraId="3C14912D">
            <w:pPr>
              <w:keepNext w:val="0"/>
              <w:keepLines w:val="0"/>
              <w:pageBreakBefore w:val="0"/>
              <w:widowControl w:val="0"/>
              <w:numPr>
                <w:ilvl w:val="0"/>
                <w:numId w:val="0"/>
              </w:numPr>
              <w:kinsoku/>
              <w:overflowPunct/>
              <w:topLinePunct w:val="0"/>
              <w:autoSpaceDE/>
              <w:autoSpaceDN/>
              <w:bidi w:val="0"/>
              <w:adjustRightInd/>
              <w:snapToGrid/>
              <w:spacing w:line="360" w:lineRule="exact"/>
              <w:ind w:left="0" w:leftChars="0" w:firstLine="480" w:firstLineChars="200"/>
              <w:jc w:val="left"/>
              <w:textAlignment w:val="baseline"/>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异常低价投标（响应）审查的启动原因、审查意见和审查结果应当在评审报告中记录，并随供应商提供的相关书面说明及证明材料，以及评审委员会有关互联网浏览、查询历史一并归档。</w:t>
            </w:r>
          </w:p>
        </w:tc>
      </w:tr>
    </w:tbl>
    <w:p w14:paraId="48DA3331">
      <w:pPr>
        <w:rPr>
          <w:rFonts w:hint="eastAsia" w:ascii="Arial" w:hAnsi="Arial" w:eastAsia="黑体" w:cs="Times New Roman"/>
          <w:color w:val="000000"/>
          <w:kern w:val="2"/>
          <w:sz w:val="30"/>
          <w:szCs w:val="24"/>
          <w:lang w:val="en-US" w:eastAsia="zh-CN" w:bidi="ar-SA"/>
        </w:rPr>
      </w:pPr>
      <w:bookmarkStart w:id="30" w:name="_Toc24832"/>
      <w:bookmarkStart w:id="31" w:name="_Toc31662"/>
      <w:r>
        <w:rPr>
          <w:rFonts w:hint="eastAsia" w:ascii="Arial" w:hAnsi="Arial" w:eastAsia="黑体" w:cs="Times New Roman"/>
          <w:color w:val="000000"/>
          <w:kern w:val="2"/>
          <w:sz w:val="30"/>
          <w:szCs w:val="24"/>
          <w:lang w:val="en-US" w:eastAsia="zh-CN" w:bidi="ar-SA"/>
        </w:rPr>
        <w:br w:type="page"/>
      </w:r>
    </w:p>
    <w:p w14:paraId="5D763DA0">
      <w:pPr>
        <w:pStyle w:val="3"/>
        <w:bidi w:val="0"/>
        <w:jc w:val="center"/>
        <w:rPr>
          <w:lang w:val="en-US" w:eastAsia="zh-CN"/>
        </w:rPr>
      </w:pPr>
      <w:bookmarkStart w:id="32" w:name="_Toc761"/>
      <w:r>
        <w:rPr>
          <w:rFonts w:hint="eastAsia"/>
          <w:lang w:val="en-US" w:eastAsia="zh-CN"/>
        </w:rPr>
        <w:t>第二节 投标人须知正文</w:t>
      </w:r>
      <w:bookmarkEnd w:id="30"/>
      <w:bookmarkEnd w:id="31"/>
      <w:bookmarkEnd w:id="32"/>
    </w:p>
    <w:p w14:paraId="46F41B73">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1适用范围</w:t>
      </w:r>
    </w:p>
    <w:p w14:paraId="31C6D5B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1.1本招标文件仅适用于本章第一节“投标人须知前附表”（以下简称</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）中所叙述的采购项目。</w:t>
      </w:r>
    </w:p>
    <w:p w14:paraId="62A94219">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2定义</w:t>
      </w:r>
    </w:p>
    <w:p w14:paraId="31321BED">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2.1服务：系指除货物和工程以外的其他政府采购对象，包括咨询、调研、评估、规划、设计、监理、审计、保险、租赁、印刷、维修、物业管理等。</w:t>
      </w:r>
    </w:p>
    <w:p w14:paraId="7C4B7506">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2.2时限（年份、月份等）计算：系指从开标之日向前追溯 X 年/月（“X” 为“一”及以后整数）起算。</w:t>
      </w:r>
    </w:p>
    <w:p w14:paraId="436F460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2.3业绩：业绩系指符合本招标文件规定的与最终用户签订的合同及招标文件要求的相关证明。投标人与其关联公司（如母公司、控股公司、分公司、子公司、同一法定代表人的公司等）之间签订的合同，均不予认可。</w:t>
      </w:r>
    </w:p>
    <w:p w14:paraId="68AE03C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除非本招标文件中另有规定，否则业绩均为已服务完毕的业绩，业绩时间均以合同签订之日为追溯节点。</w:t>
      </w:r>
    </w:p>
    <w:p w14:paraId="352EBE71">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3采购人、采购代理机构及投标人</w:t>
      </w:r>
    </w:p>
    <w:p w14:paraId="330E3871">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3.1采购人：是指依法开展政府采购活动的国家机关、事业单位、团体组织。本项目的采购人见</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w:t>
      </w:r>
    </w:p>
    <w:p w14:paraId="09981252">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3.2采购代理机构：是指集中采购机构或从事采购代理业务的社会中介机构。本项目的采购代理机构见</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w:t>
      </w:r>
    </w:p>
    <w:p w14:paraId="63DAC07C">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3.3投标人：是指向采购人提供货物、工程或者服务的法人、非法人组织或者自然人。分支机构不得参加政府采购活动，但银行、保险、石油石化、电力、电信等特殊行业除外。本项目的投标人须满足以下条件：</w:t>
      </w:r>
    </w:p>
    <w:p w14:paraId="6E0EC801">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3.3.1在中华人民共和国境内注册，能够独立承担民事责任，有生产或供应能力的本国供应商。</w:t>
      </w:r>
    </w:p>
    <w:p w14:paraId="78F85C71">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3.3.2具备《中华人民共和国政府采购法》第二十二条关于供应商条件的规定，遵守本项目采购人本级和上级财政部门政府采购的有关规定。</w:t>
      </w:r>
    </w:p>
    <w:p w14:paraId="7583945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3.3.3以采购代理机构认可的方式获得了本项目的招标文件。</w:t>
      </w:r>
    </w:p>
    <w:p w14:paraId="1FE9318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3.3.4若</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中写明专门面向中小企业采购的，如投标人为非中小企业，其投标将被认定为</w:t>
      </w:r>
      <w:r>
        <w:rPr>
          <w:rFonts w:hint="eastAsia" w:ascii="Times New Roman" w:hAnsi="Times New Roman" w:eastAsia="宋体" w:cs="Times New Roman"/>
          <w:b/>
          <w:bCs/>
          <w:color w:val="000000"/>
          <w:kern w:val="2"/>
          <w:sz w:val="24"/>
          <w:szCs w:val="22"/>
          <w:lang w:val="en-US" w:eastAsia="zh-CN" w:bidi="ar-SA"/>
        </w:rPr>
        <w:t>投标无效</w:t>
      </w:r>
      <w:r>
        <w:rPr>
          <w:rFonts w:hint="eastAsia" w:ascii="Times New Roman" w:hAnsi="Times New Roman" w:eastAsia="宋体" w:cs="Times New Roman"/>
          <w:color w:val="000000"/>
          <w:kern w:val="2"/>
          <w:sz w:val="24"/>
          <w:szCs w:val="22"/>
          <w:lang w:val="en-US" w:eastAsia="zh-CN" w:bidi="ar-SA"/>
        </w:rPr>
        <w:t>。</w:t>
      </w:r>
    </w:p>
    <w:p w14:paraId="466CF31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3.4若</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中允许联合体投标，对联合体规定如下：</w:t>
      </w:r>
    </w:p>
    <w:p w14:paraId="28B37CC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3.4.1两个以上供应商可以组成一个投标联合体，以一个投标人的身份投标。</w:t>
      </w:r>
    </w:p>
    <w:p w14:paraId="2EE8119C">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3.4.2联合体各方均应符合《中华人民共和国政府采购法》第二十二条规定的条件。</w:t>
      </w:r>
    </w:p>
    <w:p w14:paraId="41AB52E9">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3.4.3采购人根据采购项目对投标人的特殊要求，联合体中至少应当有一方符合相关规定。</w:t>
      </w:r>
    </w:p>
    <w:p w14:paraId="29A566C6">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3.4.4联合体各方应签订联合体协议，明确约定联合体各方承担的工作和相应的责任，并将联合体协议作为投标文件的一部分提交。</w:t>
      </w:r>
    </w:p>
    <w:p w14:paraId="07D3AE9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3.4.5大中型企业、其他自然人、法人或者非法人组织与小型、微型企业组成联合体共同参加投标，联合体协议中应写明小型、微型企业的协议合同金额占到联合体协议投标总金额的比例。</w:t>
      </w:r>
    </w:p>
    <w:p w14:paraId="06C50D0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3.4.6联合体中有同类资质的供应商按照联合体分工承担相同工作的，应当按照资质等级较低的供应商确定资质等级。</w:t>
      </w:r>
    </w:p>
    <w:p w14:paraId="430512F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3.4.7以联合体形式参加政府采购活动的，联合体各方不得再单独参加或者与其他供应商另外组成联合体参加本项目投标，否则相关投标将被认定为</w:t>
      </w:r>
      <w:r>
        <w:rPr>
          <w:rFonts w:hint="eastAsia" w:ascii="Times New Roman" w:hAnsi="Times New Roman" w:eastAsia="宋体" w:cs="Times New Roman"/>
          <w:b/>
          <w:color w:val="000000"/>
          <w:kern w:val="2"/>
          <w:sz w:val="24"/>
          <w:szCs w:val="22"/>
          <w:lang w:val="en-US" w:eastAsia="zh-CN" w:bidi="ar-SA"/>
        </w:rPr>
        <w:t>投标无效</w:t>
      </w:r>
      <w:r>
        <w:rPr>
          <w:rFonts w:hint="eastAsia" w:ascii="Times New Roman" w:hAnsi="Times New Roman" w:eastAsia="宋体" w:cs="Times New Roman"/>
          <w:color w:val="000000"/>
          <w:kern w:val="2"/>
          <w:sz w:val="24"/>
          <w:szCs w:val="22"/>
          <w:lang w:val="en-US" w:eastAsia="zh-CN" w:bidi="ar-SA"/>
        </w:rPr>
        <w:t>。</w:t>
      </w:r>
    </w:p>
    <w:p w14:paraId="78403C66">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3.4.8对联合体投标的其他资格要求见投标人资格。</w:t>
      </w:r>
    </w:p>
    <w:p w14:paraId="29D4F3D0">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3.5单位负责人为同一人或者存在直接控股、管理关系的不同供应商，不得参加同一合同项下的政府采购活动。否则其投标将被认定为</w:t>
      </w:r>
      <w:r>
        <w:rPr>
          <w:rFonts w:hint="eastAsia" w:ascii="Times New Roman" w:hAnsi="Times New Roman" w:eastAsia="宋体" w:cs="Times New Roman"/>
          <w:b/>
          <w:bCs/>
          <w:color w:val="000000"/>
          <w:kern w:val="2"/>
          <w:sz w:val="24"/>
          <w:szCs w:val="22"/>
          <w:lang w:val="en-US" w:eastAsia="zh-CN" w:bidi="ar-SA"/>
        </w:rPr>
        <w:t>投标无效</w:t>
      </w:r>
      <w:r>
        <w:rPr>
          <w:rFonts w:hint="eastAsia" w:ascii="Times New Roman" w:hAnsi="Times New Roman" w:eastAsia="宋体" w:cs="Times New Roman"/>
          <w:color w:val="000000"/>
          <w:kern w:val="2"/>
          <w:sz w:val="24"/>
          <w:szCs w:val="22"/>
          <w:lang w:val="en-US" w:eastAsia="zh-CN" w:bidi="ar-SA"/>
        </w:rPr>
        <w:t>。</w:t>
      </w:r>
    </w:p>
    <w:p w14:paraId="2C62C1C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3.6为本项目提供过整体设计、规范编制或者项目管理、监理、检测等服务的供应商，不得再参加本项目上述服务以外的其他采购活动。否则其投标将被认定为</w:t>
      </w:r>
      <w:r>
        <w:rPr>
          <w:rFonts w:hint="eastAsia" w:ascii="Times New Roman" w:hAnsi="Times New Roman" w:eastAsia="宋体" w:cs="Times New Roman"/>
          <w:b/>
          <w:color w:val="000000"/>
          <w:kern w:val="2"/>
          <w:sz w:val="24"/>
          <w:szCs w:val="22"/>
          <w:lang w:val="en-US" w:eastAsia="zh-CN" w:bidi="ar-SA"/>
        </w:rPr>
        <w:t>投标无效</w:t>
      </w:r>
      <w:r>
        <w:rPr>
          <w:rFonts w:hint="eastAsia" w:ascii="Times New Roman" w:hAnsi="Times New Roman" w:eastAsia="宋体" w:cs="Times New Roman"/>
          <w:color w:val="000000"/>
          <w:kern w:val="2"/>
          <w:sz w:val="24"/>
          <w:szCs w:val="22"/>
          <w:lang w:val="en-US" w:eastAsia="zh-CN" w:bidi="ar-SA"/>
        </w:rPr>
        <w:t>。</w:t>
      </w:r>
    </w:p>
    <w:p w14:paraId="46E46092">
      <w:pPr>
        <w:keepNext/>
        <w:keepLines/>
        <w:pageBreakBefore w:val="0"/>
        <w:widowControl w:val="0"/>
        <w:kinsoku/>
        <w:wordWrap/>
        <w:overflowPunct/>
        <w:topLinePunct w:val="0"/>
        <w:autoSpaceDE/>
        <w:autoSpaceDN/>
        <w:bidi w:val="0"/>
        <w:spacing w:line="480" w:lineRule="exact"/>
        <w:jc w:val="both"/>
        <w:textAlignment w:val="baseline"/>
        <w:outlineLvl w:val="4"/>
        <w:rPr>
          <w:rFonts w:hint="default"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4预算金额</w:t>
      </w:r>
    </w:p>
    <w:p w14:paraId="3FD8A71D">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项目预算金额和分项（或分包）最高限价见</w:t>
      </w:r>
      <w:r>
        <w:rPr>
          <w:rFonts w:hint="eastAsia" w:ascii="Times New Roman" w:hAnsi="Times New Roman" w:eastAsia="宋体" w:cs="Times New Roman"/>
          <w:b/>
          <w:bCs/>
          <w:color w:val="000000"/>
          <w:kern w:val="2"/>
          <w:sz w:val="24"/>
          <w:szCs w:val="22"/>
          <w:u w:val="single" w:color="000000"/>
          <w:lang w:val="en-US" w:eastAsia="zh-CN" w:bidi="ar-SA"/>
        </w:rPr>
        <w:t>招标公告</w:t>
      </w:r>
      <w:r>
        <w:rPr>
          <w:rFonts w:hint="eastAsia" w:ascii="Times New Roman" w:hAnsi="Times New Roman" w:eastAsia="宋体" w:cs="Times New Roman"/>
          <w:color w:val="000000"/>
          <w:kern w:val="2"/>
          <w:sz w:val="24"/>
          <w:szCs w:val="22"/>
          <w:lang w:val="en-US" w:eastAsia="zh-CN" w:bidi="ar-SA"/>
        </w:rPr>
        <w:t>。</w:t>
      </w:r>
    </w:p>
    <w:p w14:paraId="557B5EAD">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 xml:space="preserve">5投标费用 </w:t>
      </w:r>
    </w:p>
    <w:p w14:paraId="46D8F2D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不论投标的结果如何，投标人应承担所有与准备和参加投标有关的费用。</w:t>
      </w:r>
    </w:p>
    <w:p w14:paraId="084408EA">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6适用法律</w:t>
      </w:r>
    </w:p>
    <w:p w14:paraId="50A4BC1B">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47209522">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bCs/>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7现场</w:t>
      </w:r>
      <w:r>
        <w:rPr>
          <w:rFonts w:hint="eastAsia" w:ascii="Times New Roman" w:hAnsi="Times New Roman" w:eastAsia="黑体" w:cs="Times New Roman"/>
          <w:bCs/>
          <w:color w:val="000000"/>
          <w:kern w:val="2"/>
          <w:sz w:val="24"/>
          <w:szCs w:val="24"/>
          <w:lang w:val="en-US" w:eastAsia="zh-CN" w:bidi="ar-SA"/>
        </w:rPr>
        <w:t>考察</w:t>
      </w:r>
    </w:p>
    <w:p w14:paraId="6AC07089">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7.1供应商应按</w:t>
      </w:r>
      <w:r>
        <w:rPr>
          <w:rFonts w:hint="eastAsia" w:ascii="Times New Roman" w:hAnsi="Times New Roman" w:eastAsia="微软雅黑"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中规定对采购项目现场和周围环境的现场</w:t>
      </w:r>
      <w:r>
        <w:rPr>
          <w:rFonts w:hint="eastAsia" w:ascii="Times New Roman" w:hAnsi="Times New Roman" w:eastAsia="宋体" w:cs="Times New Roman"/>
          <w:bCs/>
          <w:color w:val="000000"/>
          <w:kern w:val="2"/>
          <w:sz w:val="24"/>
          <w:szCs w:val="22"/>
          <w:lang w:val="en-US" w:eastAsia="zh-CN" w:bidi="ar-SA"/>
        </w:rPr>
        <w:t>考察；</w:t>
      </w:r>
    </w:p>
    <w:p w14:paraId="3C7A4A52">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7.2</w:t>
      </w:r>
      <w:r>
        <w:rPr>
          <w:rFonts w:hint="eastAsia" w:ascii="Times New Roman" w:hAnsi="Times New Roman" w:eastAsia="宋体" w:cs="Times New Roman"/>
          <w:bCs/>
          <w:color w:val="000000"/>
          <w:kern w:val="2"/>
          <w:sz w:val="24"/>
          <w:szCs w:val="22"/>
          <w:lang w:val="en-US" w:eastAsia="zh-CN" w:bidi="ar-SA"/>
        </w:rPr>
        <w:t>考察</w:t>
      </w:r>
      <w:r>
        <w:rPr>
          <w:rFonts w:hint="eastAsia" w:ascii="Times New Roman" w:hAnsi="Times New Roman" w:eastAsia="宋体" w:cs="Times New Roman"/>
          <w:color w:val="000000"/>
          <w:kern w:val="2"/>
          <w:sz w:val="24"/>
          <w:szCs w:val="22"/>
          <w:lang w:val="en-US" w:eastAsia="zh-CN" w:bidi="ar-SA"/>
        </w:rPr>
        <w:t>现场的费用由供应商自己承担，考察期间所发生的人身伤害及财产损失由供应商自己负责；</w:t>
      </w:r>
    </w:p>
    <w:p w14:paraId="36AF0F19">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7.3采购人不对供应商据此而做出的推论、理解和结论负责。一旦成交，供应商不得以任何借口，提出额外补偿，或延长合同期限的要求；</w:t>
      </w:r>
    </w:p>
    <w:p w14:paraId="5C5E7D86">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8采购进口产品</w:t>
      </w:r>
    </w:p>
    <w:p w14:paraId="75E601E8">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8.1除</w:t>
      </w:r>
      <w:r>
        <w:rPr>
          <w:rFonts w:hint="eastAsia" w:ascii="Times New Roman" w:hAnsi="Times New Roman" w:eastAsia="微软雅黑"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另有规定外，本项目拒绝进口产品参加招标采购活动。</w:t>
      </w:r>
    </w:p>
    <w:p w14:paraId="4F9BE2AC">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8.2本章第8.1款规定同意购买进口产品的，本项目采购活动不限制满足招标文件要求的国内产品参与投标。</w:t>
      </w:r>
    </w:p>
    <w:p w14:paraId="5095E2E6">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9招标文件的构成</w:t>
      </w:r>
    </w:p>
    <w:p w14:paraId="61279D12">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9.1 招标文件共七章，各章内容如下：</w:t>
      </w:r>
    </w:p>
    <w:p w14:paraId="13D54DC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第一章 招标公告</w:t>
      </w:r>
    </w:p>
    <w:p w14:paraId="5676A252">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第二章 投标人须知</w:t>
      </w:r>
    </w:p>
    <w:p w14:paraId="49FE5FF4">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第三章 采购需求</w:t>
      </w:r>
    </w:p>
    <w:p w14:paraId="70E9EAE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第四章 评标方法及标准</w:t>
      </w:r>
    </w:p>
    <w:p w14:paraId="241AEAE4">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第五章 政府采购合同</w:t>
      </w:r>
    </w:p>
    <w:p w14:paraId="410EA809">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第六章 投标文件的组成</w:t>
      </w:r>
    </w:p>
    <w:p w14:paraId="1B945C32">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第七章 政府采购供应商质疑函范本</w:t>
      </w:r>
    </w:p>
    <w:p w14:paraId="4111950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9.2招标文件中有不一致的，有澄清的部分以最终的澄清更正内容为准。</w:t>
      </w:r>
    </w:p>
    <w:p w14:paraId="02C787B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9.3现场考察及相关事项见本章第7款。</w:t>
      </w:r>
    </w:p>
    <w:p w14:paraId="1AE07D56">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9.4投标人应认真阅读招标文件所有的事项、格式、条款和技术规范等。</w:t>
      </w:r>
    </w:p>
    <w:p w14:paraId="508B6D60">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10招标文件的澄清与修改</w:t>
      </w:r>
    </w:p>
    <w:p w14:paraId="3948BEE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10.1投标人如对招标文件内容有疑问，必须在</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规定的询问截止时间前以网上提问形式（电子交易系统）提交给采购代理机构。</w:t>
      </w:r>
    </w:p>
    <w:p w14:paraId="2116223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10.2采购人可主动地或在解答投标人提出的问题时对招标文件进行澄清与修改。采购代理机构将在张家界市公共资源交易网以发布澄清（更正）公告的方式，澄清或修改招标文件，澄清或修改的内容作为招标文件的组成部分，对投标人起约束作用。投标人应主动上网查询。采购代理机构不承担投标人未及时关注相关信息引发的相关责任。</w:t>
      </w:r>
    </w:p>
    <w:p w14:paraId="188293B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10.3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777A2626">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10.4对于没有提出疑问又参与了本项目投标的投标人将被视为完全认同本招标文件（含澄清或修改的内容）。</w:t>
      </w:r>
    </w:p>
    <w:p w14:paraId="6CCD20E6">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11投标范围及投标文件中标准和计量单位的使用</w:t>
      </w:r>
    </w:p>
    <w:p w14:paraId="04306B51">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11.1项目有分包的，投标人可对招标文件其中某一个或几个分包进行投标，除非在</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中另有规定。</w:t>
      </w:r>
    </w:p>
    <w:p w14:paraId="0A25C45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11.2投标人应当对所投分包招标文件中“采购需求”所列的所有内容进行投标，如仅响应所投包别中的部分内容，其所投包别的投标将被认定为</w:t>
      </w:r>
      <w:r>
        <w:rPr>
          <w:rFonts w:hint="eastAsia" w:ascii="Times New Roman" w:hAnsi="Times New Roman" w:eastAsia="宋体" w:cs="Times New Roman"/>
          <w:b/>
          <w:bCs/>
          <w:color w:val="000000"/>
          <w:kern w:val="2"/>
          <w:sz w:val="24"/>
          <w:szCs w:val="22"/>
          <w:lang w:val="en-US" w:eastAsia="zh-CN" w:bidi="ar-SA"/>
        </w:rPr>
        <w:t>投标无效</w:t>
      </w:r>
      <w:r>
        <w:rPr>
          <w:rFonts w:hint="eastAsia" w:ascii="Times New Roman" w:hAnsi="Times New Roman" w:eastAsia="宋体" w:cs="Times New Roman"/>
          <w:color w:val="000000"/>
          <w:kern w:val="2"/>
          <w:sz w:val="24"/>
          <w:szCs w:val="22"/>
          <w:lang w:val="en-US" w:eastAsia="zh-CN" w:bidi="ar-SA"/>
        </w:rPr>
        <w:t>。</w:t>
      </w:r>
    </w:p>
    <w:p w14:paraId="5B57D18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11.3无论招标文件中是否要求，投标人所投服务及伴随的货物和工程均应符合国家强制性标准。</w:t>
      </w:r>
    </w:p>
    <w:p w14:paraId="49BFEF81">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11.4投标人与采购代理机构之间与投标有关的所有往来通知、函件和投标文件均用中文表述。投标人随投标文件提供的证明文件和资料可以为其他语言，但必须附中文译文。翻译的中文资料与外文资料出现差异时，以中文为准。</w:t>
      </w:r>
    </w:p>
    <w:p w14:paraId="02959B18">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11.5除招标文件中有特殊要求外，投标文件中所使用的计量单位，应采用中华人民共和国法定计量单位。</w:t>
      </w:r>
    </w:p>
    <w:p w14:paraId="1F5F7E4B">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12投标文件构成</w:t>
      </w:r>
    </w:p>
    <w:p w14:paraId="05B0D21E">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12.1投标人应完整的按招标文件提供的投标文件格式及要求编写投标文件，具体内容详见本项目</w:t>
      </w:r>
      <w:r>
        <w:rPr>
          <w:rFonts w:hint="eastAsia" w:ascii="Times New Roman" w:hAnsi="Times New Roman" w:eastAsia="宋体" w:cs="Times New Roman"/>
          <w:b/>
          <w:bCs/>
          <w:color w:val="000000"/>
          <w:kern w:val="2"/>
          <w:sz w:val="24"/>
          <w:szCs w:val="22"/>
          <w:lang w:val="en-US" w:eastAsia="zh-CN" w:bidi="ar-SA"/>
        </w:rPr>
        <w:t>第六章投标文件的组成</w:t>
      </w:r>
      <w:r>
        <w:rPr>
          <w:rFonts w:hint="eastAsia" w:ascii="Times New Roman" w:hAnsi="Times New Roman" w:eastAsia="宋体" w:cs="Times New Roman"/>
          <w:color w:val="000000"/>
          <w:kern w:val="2"/>
          <w:sz w:val="24"/>
          <w:szCs w:val="22"/>
          <w:lang w:val="en-US" w:eastAsia="zh-CN" w:bidi="ar-SA"/>
        </w:rPr>
        <w:t>的相关内容。</w:t>
      </w:r>
    </w:p>
    <w:p w14:paraId="54B3EF0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12.2上述文件应按照招标文件规定的格式填写、签署和盖章。</w:t>
      </w:r>
    </w:p>
    <w:p w14:paraId="5BD26878">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13证明投标标的的合格性和符合招标文件规定的响应文件</w:t>
      </w:r>
    </w:p>
    <w:p w14:paraId="4F2FA89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13.1投标人的资格证明文件</w:t>
      </w:r>
    </w:p>
    <w:p w14:paraId="21A9EBA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13.1.1除</w:t>
      </w:r>
      <w:r>
        <w:rPr>
          <w:rFonts w:hint="eastAsia" w:ascii="Times New Roman" w:hAnsi="Times New Roman" w:eastAsia="宋体" w:cs="Times New Roman"/>
          <w:b/>
          <w:bCs/>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另有规定外，投标人应按下列规定提供资格证明文件：</w:t>
      </w:r>
    </w:p>
    <w:p w14:paraId="79DD4046">
      <w:pPr>
        <w:pageBreakBefore w:val="0"/>
        <w:widowControl w:val="0"/>
        <w:numPr>
          <w:ilvl w:val="0"/>
          <w:numId w:val="8"/>
        </w:numPr>
        <w:kinsoku/>
        <w:wordWrap/>
        <w:overflowPunct/>
        <w:topLinePunct w:val="0"/>
        <w:autoSpaceDE/>
        <w:autoSpaceDN/>
        <w:bidi w:val="0"/>
        <w:adjustRightInd w:val="0"/>
        <w:snapToGrid w:val="0"/>
        <w:spacing w:line="480" w:lineRule="exact"/>
        <w:ind w:firstLine="480" w:firstLineChars="200"/>
        <w:jc w:val="both"/>
        <w:textAlignment w:val="baseline"/>
        <w:rPr>
          <w:rFonts w:hint="eastAsia"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投标人资格声明</w:t>
      </w:r>
    </w:p>
    <w:p w14:paraId="6AB63194">
      <w:pPr>
        <w:pageBreakBefore w:val="0"/>
        <w:widowControl w:val="0"/>
        <w:numPr>
          <w:ilvl w:val="0"/>
          <w:numId w:val="8"/>
        </w:numPr>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湖南省政府采购供应商资格承诺函</w:t>
      </w:r>
    </w:p>
    <w:p w14:paraId="756A5B26">
      <w:pPr>
        <w:pageBreakBefore w:val="0"/>
        <w:widowControl w:val="0"/>
        <w:numPr>
          <w:ilvl w:val="0"/>
          <w:numId w:val="8"/>
        </w:numPr>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法人或者其他组织的营业执照等主体资格证明文件，自然人的身份证明：投标人为法人的，应提交有效营业执照或法人登记证书的复印件；投标人为非法人组织的，应提交依法登记证书复印件；投标人为个体工商户的，应提交有效个体工商户营业执照复印件；投标人为自然人的，应提交自然人的有效身份证明复印件。</w:t>
      </w:r>
    </w:p>
    <w:p w14:paraId="5775D25D">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（4）存在关联关系的供应商不参与政府采购项目竞争的承诺书。</w:t>
      </w:r>
    </w:p>
    <w:p w14:paraId="6C9B801E">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（5）无重大违法记录声明函、无不良信用记录声明函。</w:t>
      </w:r>
    </w:p>
    <w:p w14:paraId="66C35F71">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（6）符合特定资格条件证明材料复印件或者情况说明原件。</w:t>
      </w:r>
    </w:p>
    <w:p w14:paraId="5713D911">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bCs/>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13.1.2</w:t>
      </w:r>
      <w:r>
        <w:rPr>
          <w:rFonts w:hint="eastAsia" w:ascii="Times New Roman" w:hAnsi="Times New Roman" w:eastAsia="宋体" w:cs="Times New Roman"/>
          <w:bCs/>
          <w:color w:val="000000"/>
          <w:kern w:val="2"/>
          <w:sz w:val="24"/>
          <w:szCs w:val="22"/>
          <w:lang w:val="en-US" w:eastAsia="zh-CN" w:bidi="ar-SA"/>
        </w:rPr>
        <w:t>投标人以联合体形式投标的，除应提交联合协议外，参加联合体的各方均应提交上款资格证明材料。</w:t>
      </w:r>
    </w:p>
    <w:p w14:paraId="227335E8">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bCs/>
          <w:color w:val="000000"/>
          <w:kern w:val="2"/>
          <w:sz w:val="24"/>
          <w:szCs w:val="22"/>
          <w:lang w:val="en-US" w:eastAsia="zh-CN" w:bidi="ar-SA"/>
        </w:rPr>
        <w:t>13.1.3投标人的资格证明文件均应为有效文件并加盖投标人单位公章，并按招标文件规定签署</w:t>
      </w:r>
      <w:r>
        <w:rPr>
          <w:rFonts w:hint="eastAsia" w:ascii="Times New Roman" w:hAnsi="Times New Roman" w:eastAsia="宋体" w:cs="Times New Roman"/>
          <w:color w:val="000000"/>
          <w:kern w:val="2"/>
          <w:sz w:val="24"/>
          <w:szCs w:val="22"/>
          <w:lang w:val="en-US" w:eastAsia="zh-CN" w:bidi="ar-SA"/>
        </w:rPr>
        <w:t>。</w:t>
      </w:r>
    </w:p>
    <w:p w14:paraId="6BE394F8">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13.2投标货物及服务符合招标文件规定的证明文件</w:t>
      </w:r>
    </w:p>
    <w:p w14:paraId="2C879C4D">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13.2.1投标人应当提交其拟供的合同项下货物及其服务符合招标文件规定的证明文件，该证明文件作为投标文件的一部分。</w:t>
      </w:r>
    </w:p>
    <w:p w14:paraId="739209AD">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13.2.2上述证明文件可以是文字资料、图表、数据、证书等资料，包括但不限于：</w:t>
      </w:r>
    </w:p>
    <w:p w14:paraId="5E492260">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（1）货物主要技术指标和性能的详细说明。对有具体参数要求的指标，投标人应提供具体参数值；</w:t>
      </w:r>
    </w:p>
    <w:p w14:paraId="7D0102B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（2）货物的品牌型号、制造商及原产地等说明；</w:t>
      </w:r>
    </w:p>
    <w:p w14:paraId="0DBA8364">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（3）招标文件第三章“采购需求”要求的其他文件。</w:t>
      </w:r>
    </w:p>
    <w:p w14:paraId="1E096400">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13.3投标人提供的软件及硬件产品要求有中华人民共和国境内拥有合法的使用权和版权，采购人应拥有合法的使用权。</w:t>
      </w:r>
    </w:p>
    <w:p w14:paraId="2205D9D2">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13.4投标人按照招标文件的要求编制的投标文件，应当对招标文件提出的要求和条件作出明确响应。</w:t>
      </w:r>
    </w:p>
    <w:p w14:paraId="3D8841A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13.5偏离是指投标文件不响应或者不满足招标文件提出的要求和条件，分为实质性偏离和非实质性偏离。</w:t>
      </w:r>
    </w:p>
    <w:p w14:paraId="1DF9440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13.6除法律、法规和招标文件规定的其他投标无效情形外，招标文件中用</w:t>
      </w:r>
      <w:r>
        <w:rPr>
          <w:rFonts w:hint="eastAsia" w:ascii="Times New Roman" w:hAnsi="Times New Roman" w:eastAsia="宋体" w:cs="Times New Roman"/>
          <w:color w:val="000000"/>
          <w:kern w:val="2"/>
          <w:sz w:val="24"/>
          <w:szCs w:val="22"/>
          <w:u w:val="single"/>
          <w:lang w:val="en-US" w:eastAsia="zh-CN" w:bidi="ar-SA"/>
        </w:rPr>
        <w:t>“★”</w:t>
      </w:r>
      <w:r>
        <w:rPr>
          <w:rFonts w:hint="eastAsia" w:ascii="Times New Roman" w:hAnsi="Times New Roman" w:eastAsia="宋体" w:cs="Times New Roman"/>
          <w:color w:val="000000"/>
          <w:kern w:val="2"/>
          <w:sz w:val="24"/>
          <w:szCs w:val="22"/>
          <w:lang w:val="en-US" w:eastAsia="zh-CN" w:bidi="ar-SA"/>
        </w:rPr>
        <w:t>符号标明的条款为实质性要求和条件，对其中任何一条的偏离，为实质性偏离，其</w:t>
      </w:r>
      <w:r>
        <w:rPr>
          <w:rFonts w:hint="eastAsia" w:ascii="Times New Roman" w:hAnsi="Times New Roman" w:eastAsia="宋体" w:cs="Times New Roman"/>
          <w:b/>
          <w:bCs/>
          <w:color w:val="000000"/>
          <w:kern w:val="2"/>
          <w:sz w:val="24"/>
          <w:szCs w:val="22"/>
          <w:lang w:val="en-US" w:eastAsia="zh-CN" w:bidi="ar-SA"/>
        </w:rPr>
        <w:t>投标无效</w:t>
      </w:r>
      <w:r>
        <w:rPr>
          <w:rFonts w:hint="eastAsia" w:ascii="Times New Roman" w:hAnsi="Times New Roman" w:eastAsia="宋体" w:cs="Times New Roman"/>
          <w:color w:val="000000"/>
          <w:kern w:val="2"/>
          <w:sz w:val="24"/>
          <w:szCs w:val="22"/>
          <w:lang w:val="en-US" w:eastAsia="zh-CN" w:bidi="ar-SA"/>
        </w:rPr>
        <w:t>。</w:t>
      </w:r>
    </w:p>
    <w:p w14:paraId="0B80FE55">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14投标报价</w:t>
      </w:r>
    </w:p>
    <w:p w14:paraId="33176C9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14.1投标人的报价应当包括满足本次招标全部采购需求所应提供的服务，以及伴随的货物和工程。所有投标均应以人民币报价投标人的投标报价应遵守《中华人民共和国价格法》。</w:t>
      </w:r>
    </w:p>
    <w:p w14:paraId="76E1C130">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14.2投标人报价超过招标文件规定的预算金额或者分项、分包最高限价，其投标将被认定为</w:t>
      </w:r>
      <w:r>
        <w:rPr>
          <w:rFonts w:hint="eastAsia" w:ascii="Times New Roman" w:hAnsi="Times New Roman" w:eastAsia="宋体" w:cs="Times New Roman"/>
          <w:b/>
          <w:bCs/>
          <w:color w:val="000000"/>
          <w:kern w:val="2"/>
          <w:sz w:val="24"/>
          <w:szCs w:val="22"/>
          <w:lang w:val="en-US" w:eastAsia="zh-CN" w:bidi="ar-SA"/>
        </w:rPr>
        <w:t>投标无效</w:t>
      </w:r>
      <w:r>
        <w:rPr>
          <w:rFonts w:hint="eastAsia" w:ascii="Times New Roman" w:hAnsi="Times New Roman" w:eastAsia="宋体" w:cs="Times New Roman"/>
          <w:color w:val="000000"/>
          <w:kern w:val="2"/>
          <w:sz w:val="24"/>
          <w:szCs w:val="22"/>
          <w:lang w:val="en-US" w:eastAsia="zh-CN" w:bidi="ar-SA"/>
        </w:rPr>
        <w:t>。</w:t>
      </w:r>
    </w:p>
    <w:p w14:paraId="5FDAE1B2">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14.3 投标人应在投标分项报价表上标明分项服务、伴随的货物和工程的价格（如适用）和总价，未标明的视同包含在投标报价中。</w:t>
      </w:r>
    </w:p>
    <w:p w14:paraId="10C278F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14.4投标文件中标明的价格在合同执行过程中是固定不变的，不得以任何理由予以变更。任何包含价格调整要求和条件的投标，其</w:t>
      </w:r>
      <w:r>
        <w:rPr>
          <w:rFonts w:hint="eastAsia" w:ascii="Times New Roman" w:hAnsi="Times New Roman" w:eastAsia="宋体" w:cs="Times New Roman"/>
          <w:b/>
          <w:color w:val="000000"/>
          <w:kern w:val="2"/>
          <w:sz w:val="24"/>
          <w:szCs w:val="22"/>
          <w:lang w:val="en-US" w:eastAsia="zh-CN" w:bidi="ar-SA"/>
        </w:rPr>
        <w:t>投标无效</w:t>
      </w:r>
      <w:r>
        <w:rPr>
          <w:rFonts w:hint="eastAsia" w:ascii="Times New Roman" w:hAnsi="Times New Roman" w:eastAsia="宋体" w:cs="Times New Roman"/>
          <w:color w:val="000000"/>
          <w:kern w:val="2"/>
          <w:sz w:val="24"/>
          <w:szCs w:val="22"/>
          <w:lang w:val="en-US" w:eastAsia="zh-CN" w:bidi="ar-SA"/>
        </w:rPr>
        <w:t>。</w:t>
      </w:r>
    </w:p>
    <w:p w14:paraId="050571A4">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14.5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其投标将被认定为</w:t>
      </w:r>
      <w:r>
        <w:rPr>
          <w:rFonts w:hint="eastAsia" w:ascii="Times New Roman" w:hAnsi="Times New Roman" w:eastAsia="宋体" w:cs="Times New Roman"/>
          <w:b/>
          <w:bCs/>
          <w:color w:val="000000"/>
          <w:kern w:val="2"/>
          <w:sz w:val="24"/>
          <w:szCs w:val="22"/>
          <w:lang w:val="en-US" w:eastAsia="zh-CN" w:bidi="ar-SA"/>
        </w:rPr>
        <w:t>投标无效</w:t>
      </w:r>
      <w:r>
        <w:rPr>
          <w:rFonts w:hint="eastAsia" w:ascii="Times New Roman" w:hAnsi="Times New Roman" w:eastAsia="宋体" w:cs="Times New Roman"/>
          <w:color w:val="000000"/>
          <w:kern w:val="2"/>
          <w:sz w:val="24"/>
          <w:szCs w:val="22"/>
          <w:lang w:val="en-US" w:eastAsia="zh-CN" w:bidi="ar-SA"/>
        </w:rPr>
        <w:t>。</w:t>
      </w:r>
    </w:p>
    <w:p w14:paraId="57CC236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14.6采购人不接受具有附加条件的报价。</w:t>
      </w:r>
    </w:p>
    <w:p w14:paraId="4AF69B68">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15投标保证金</w:t>
      </w:r>
    </w:p>
    <w:p w14:paraId="363BDF5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15.1投标人应提交</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中规定的投标保证金，并作为其投标的一部分。投标人未按本招标文件规定提交投标保证金的，其投标将被认定为</w:t>
      </w:r>
      <w:r>
        <w:rPr>
          <w:rFonts w:hint="eastAsia" w:ascii="Times New Roman" w:hAnsi="Times New Roman" w:eastAsia="宋体" w:cs="Times New Roman"/>
          <w:b/>
          <w:bCs/>
          <w:color w:val="000000"/>
          <w:kern w:val="2"/>
          <w:sz w:val="24"/>
          <w:szCs w:val="22"/>
          <w:lang w:val="en-US" w:eastAsia="zh-CN" w:bidi="ar-SA"/>
        </w:rPr>
        <w:t>投标无效</w:t>
      </w:r>
      <w:r>
        <w:rPr>
          <w:rFonts w:hint="eastAsia" w:ascii="Times New Roman" w:hAnsi="Times New Roman" w:eastAsia="宋体" w:cs="Times New Roman"/>
          <w:color w:val="000000"/>
          <w:kern w:val="2"/>
          <w:sz w:val="24"/>
          <w:szCs w:val="22"/>
          <w:lang w:val="en-US" w:eastAsia="zh-CN" w:bidi="ar-SA"/>
        </w:rPr>
        <w:t>。</w:t>
      </w:r>
    </w:p>
    <w:p w14:paraId="099B67A9">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15.2投标保证金必须是从供应商单位的基本账户以银行转账、电汇、银行汇票或网银转账的方式一次性足额转入保证金的托管账户管理。采购人不接受以现金方式提交的保证金，以现金方式提交的保证金无效。联合体投标的，其保证金由牵头人递交。</w:t>
      </w:r>
    </w:p>
    <w:p w14:paraId="3638F410">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15.3投标人请注意：</w:t>
      </w:r>
    </w:p>
    <w:p w14:paraId="52505D5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（1）前次采购失败的，采购代理机构将退还投标人的投标保证金。</w:t>
      </w:r>
    </w:p>
    <w:p w14:paraId="4F79076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采购代理机构投标保证金缴纳账号采用动态虚拟账号（分包项目每一个包别对应一个账号），项目采购失败后，投标保证金缴纳账号将会发生变化，请投标人参与后续采购时，注意勿将投标保证金错交至其他项目虚拟账号或前次公告账号。</w:t>
      </w:r>
    </w:p>
    <w:p w14:paraId="0E3FC7E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（3）凡转账到其他项目虚拟账号或本项目前次公告账号的，投标保证金无效。</w:t>
      </w:r>
    </w:p>
    <w:p w14:paraId="44D5921C">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15.4有下列情形之一的，投标保证金不予退还：</w:t>
      </w:r>
    </w:p>
    <w:p w14:paraId="3AC115D9">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（1）投标人在投标截止时间后撤回投标文件的；</w:t>
      </w:r>
    </w:p>
    <w:p w14:paraId="4F45201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（2）投标人在投标文件中提供虚假材料的；</w:t>
      </w:r>
    </w:p>
    <w:p w14:paraId="0B10D3F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（3）除因不可抗力或招标文件认可的情形以外，中标不与采购人签订合同的；</w:t>
      </w:r>
    </w:p>
    <w:p w14:paraId="32F7E90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（4）投标人与采购人、其他投标人或者采购代理机构恶意串通的；</w:t>
      </w:r>
    </w:p>
    <w:p w14:paraId="2AD3FB3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（5）投标人在投标有效期内撤销投标文件的；</w:t>
      </w:r>
    </w:p>
    <w:p w14:paraId="2BFADD49">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（6）</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中规定的其他不予退还投标保证金的情形。</w:t>
      </w:r>
    </w:p>
    <w:p w14:paraId="68DFD436">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16投标有效期</w:t>
      </w:r>
    </w:p>
    <w:p w14:paraId="0C810DDB">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16.1投标有效期为从投标截止之日算起的日历天数，投标有效期详见</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w:t>
      </w:r>
    </w:p>
    <w:p w14:paraId="0484F776">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16.2在投标有效期内，投标人的投标保持有效，投标人不得要求撤销或修改其投标文件。投标有效期不满足要求的投标，其投标将被认定为</w:t>
      </w:r>
      <w:r>
        <w:rPr>
          <w:rFonts w:hint="eastAsia" w:ascii="Times New Roman" w:hAnsi="Times New Roman" w:eastAsia="宋体" w:cs="Times New Roman"/>
          <w:b/>
          <w:bCs/>
          <w:color w:val="000000"/>
          <w:kern w:val="2"/>
          <w:sz w:val="24"/>
          <w:szCs w:val="22"/>
          <w:lang w:val="en-US" w:eastAsia="zh-CN" w:bidi="ar-SA"/>
        </w:rPr>
        <w:t>投标无效</w:t>
      </w:r>
      <w:r>
        <w:rPr>
          <w:rFonts w:hint="eastAsia" w:ascii="Times New Roman" w:hAnsi="Times New Roman" w:eastAsia="宋体" w:cs="Times New Roman"/>
          <w:color w:val="000000"/>
          <w:kern w:val="2"/>
          <w:sz w:val="24"/>
          <w:szCs w:val="22"/>
          <w:lang w:val="en-US" w:eastAsia="zh-CN" w:bidi="ar-SA"/>
        </w:rPr>
        <w:t>。</w:t>
      </w:r>
    </w:p>
    <w:p w14:paraId="4B29332E">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16.3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6440FC97">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17投标文件的制作</w:t>
      </w:r>
    </w:p>
    <w:p w14:paraId="27D9E35E">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17.1本项目要求提供电子投标文件，投标文件的制作应满足以下规定：</w:t>
      </w:r>
    </w:p>
    <w:p w14:paraId="17429B91">
      <w:pPr>
        <w:pageBreakBefore w:val="0"/>
        <w:widowControl w:val="0"/>
        <w:kinsoku/>
        <w:wordWrap/>
        <w:overflowPunct/>
        <w:topLinePunct w:val="0"/>
        <w:autoSpaceDE/>
        <w:autoSpaceDN/>
        <w:bidi w:val="0"/>
        <w:adjustRightInd w:val="0"/>
        <w:snapToGrid w:val="0"/>
        <w:spacing w:line="48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投标文件由投标人使用电子交易系统提供的“投标文件制作软件”制作生成。“投标文件制作软件”可以在张家界市公共资源交易中心下载。投标人应当在互联网络通畅状态下启用最新版投标文件制作工具制作投标文件。</w:t>
      </w:r>
    </w:p>
    <w:p w14:paraId="2BDB683C">
      <w:pPr>
        <w:pageBreakBefore w:val="0"/>
        <w:widowControl w:val="0"/>
        <w:kinsoku/>
        <w:wordWrap/>
        <w:overflowPunct/>
        <w:topLinePunct w:val="0"/>
        <w:autoSpaceDE/>
        <w:autoSpaceDN/>
        <w:bidi w:val="0"/>
        <w:adjustRightInd w:val="0"/>
        <w:snapToGrid w:val="0"/>
        <w:spacing w:line="48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在第六章“投标文件格式”中要求盖投标人电子签章处，投标人均应加盖投标人电子签章。联合体投标的，除联合体协议及联合体各成员单位提供的本单位证明材料外，投标文件由联合体牵头人按上述规定加盖联合体牵头人单位电子签章。</w:t>
      </w:r>
    </w:p>
    <w:p w14:paraId="12A6E27B">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投标文件制作完成后，投标人应对投标文件进行文件加密，形成加密的投标文件。采用数字证书加密的，加密时投标文件的所有内容均只能使用同一把数字证书进行加密，否则引起的解密失败责任由投标人自行承担。</w:t>
      </w:r>
    </w:p>
    <w:p w14:paraId="2E793FD9">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17.2因投标人自身原因而导致投标文件无法导入电子交易系统电子开标、评标系统，该投标视为无效投标，投标人自行承担由此导致的全部责任。（该投标文件是指解密后的投标文件）。</w:t>
      </w:r>
    </w:p>
    <w:p w14:paraId="181EEF12">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18投标截止</w:t>
      </w:r>
    </w:p>
    <w:p w14:paraId="210893D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18.1投标人应在</w:t>
      </w:r>
      <w:r>
        <w:rPr>
          <w:rFonts w:hint="eastAsia" w:ascii="Times New Roman" w:hAnsi="Times New Roman" w:eastAsia="宋体" w:cs="Times New Roman"/>
          <w:b/>
          <w:bCs/>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中规定的投标截止时间前，在网上提交加密电子投标文件。</w:t>
      </w:r>
    </w:p>
    <w:p w14:paraId="2A866DB8">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18.2投标人在招标文件规定的投标截止时间前上传了网上加密电子投标文件，但未在规定时间内进行解密的，投标无效。</w:t>
      </w:r>
    </w:p>
    <w:p w14:paraId="787965C2">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18.3采购人和采购代理机构有权按本招标文件的规定，延迟投标截止时间。在此情况下，采购人、采购代理机构和投标人受投标截止时间制约的所有权利和义务均应延长至新的截止时间。</w:t>
      </w:r>
    </w:p>
    <w:p w14:paraId="598CD604">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19投标文件的修改和撤回</w:t>
      </w:r>
    </w:p>
    <w:p w14:paraId="19DEFE9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19.1投标人应当在第一章“招标公告”规定的投标截止时间前，将加密的投标文件在电子交易系统上传。</w:t>
      </w:r>
    </w:p>
    <w:p w14:paraId="790D398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19.2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3BE1986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19.3投标人在投标人须知前附表规定的解密时间（以电子交易系统解密倒计时为准）内完成电子投标文件的解密工作。</w:t>
      </w:r>
    </w:p>
    <w:p w14:paraId="31E10A29">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20开标</w:t>
      </w:r>
    </w:p>
    <w:p w14:paraId="7AAC0BA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20.1采购人和采购代理机构将按投标人须知前附表中规定的开标时间和地点组织公开开标。</w:t>
      </w:r>
    </w:p>
    <w:p w14:paraId="5285F651">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20.2开标时，各投标人应在规定时间前（以电子交易系统解密倒计时为准） 对本单位的投标文件现场或远程解密。</w:t>
      </w:r>
    </w:p>
    <w:p w14:paraId="70030E41">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20.3开标时，采购代理机构将通过网上开标系统公布开标结果，公布内容包括投标人名称、投标价格及招标文件规定的内容。</w:t>
      </w:r>
    </w:p>
    <w:p w14:paraId="3EB9D61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20.4采购人或采购代理机构将对开标过程进行记录，由参加开标的各投标人代表和相关工作人员签字确认，并存档备查。投标人未派代表参加开标的，视同投标人认可开标结果。</w:t>
      </w:r>
    </w:p>
    <w:p w14:paraId="6B35738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20.5投标人代表对开标过程和开标记录有疑义，以及认为采购人、采购代理机构相关工作人员有需要回避的情形的，应当场提出询问或者回避申请。</w:t>
      </w:r>
    </w:p>
    <w:p w14:paraId="21DFD4DA">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21资格审查</w:t>
      </w:r>
    </w:p>
    <w:p w14:paraId="2D01AA0D">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21.1采购人或采购代理机构依据法律法规和招标文件中规定的内容，对投标人资格进行审查，未通过资格审查的投标人不进入评标。</w:t>
      </w:r>
    </w:p>
    <w:p w14:paraId="0538E6B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21.2采购人或采购代理机构将在投标截止时间后至评审结束前查询投标人的信用记录。投标人存在不良信用记录的，其投标将被认定为投标无效。</w:t>
      </w:r>
    </w:p>
    <w:p w14:paraId="50EF98E9">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21.2.1不良信用记录是指：（1）供应商被人民法院列入失信被执行人；（2）供应商被税务部门列入重大税收违法案件当事人名单；（3）供应商被政府采购监管部门列入政府采购严重违法失信行为记录名单，以及存在《中华人民共和国政府采购法实施条例》第十九条规定的行政处罚记录。</w:t>
      </w:r>
    </w:p>
    <w:p w14:paraId="3D9E7C6E">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以联合体形式参加投标的，联合体任何成员存在以上不良信用记录的，联合体投标将被认定为投标无效。</w:t>
      </w:r>
    </w:p>
    <w:p w14:paraId="6DEA0B19">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u w:val="none"/>
          <w:lang w:val="en-US" w:eastAsia="zh-CN" w:bidi="ar-SA"/>
        </w:rPr>
      </w:pPr>
      <w:r>
        <w:rPr>
          <w:rFonts w:hint="eastAsia" w:ascii="Times New Roman" w:hAnsi="Times New Roman" w:eastAsia="宋体" w:cs="Times New Roman"/>
          <w:color w:val="000000"/>
          <w:kern w:val="2"/>
          <w:sz w:val="24"/>
          <w:szCs w:val="22"/>
          <w:lang w:val="en-US" w:eastAsia="zh-CN" w:bidi="ar-SA"/>
        </w:rPr>
        <w:t>21.2.2信用信息查询渠道：中国</w:t>
      </w:r>
      <w:r>
        <w:rPr>
          <w:rFonts w:hint="eastAsia" w:ascii="Times New Roman" w:hAnsi="Times New Roman" w:eastAsia="宋体" w:cs="Times New Roman"/>
          <w:color w:val="000000"/>
          <w:kern w:val="2"/>
          <w:sz w:val="24"/>
          <w:szCs w:val="22"/>
          <w:u w:val="none"/>
          <w:lang w:val="en-US" w:eastAsia="zh-CN" w:bidi="ar-SA"/>
        </w:rPr>
        <w:t>政府采购网（www.ccgp.gov.cn）、“信用中国”网站（www.creditchina.gov.cn）。</w:t>
      </w:r>
    </w:p>
    <w:p w14:paraId="10E30F3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u w:val="none"/>
          <w:lang w:val="en-US" w:eastAsia="zh-CN" w:bidi="ar-SA"/>
        </w:rPr>
        <w:t>21.2.3信用信息记录方式：采购人或采购代理机构工作人员将</w:t>
      </w:r>
      <w:r>
        <w:rPr>
          <w:rFonts w:hint="eastAsia" w:ascii="Times New Roman" w:hAnsi="Times New Roman" w:eastAsia="宋体" w:cs="Times New Roman"/>
          <w:color w:val="000000"/>
          <w:kern w:val="2"/>
          <w:sz w:val="24"/>
          <w:szCs w:val="22"/>
          <w:lang w:val="en-US" w:eastAsia="zh-CN" w:bidi="ar-SA"/>
        </w:rPr>
        <w:t>查询网页打印、签字并存档备查。投标人不良信用记录以采购人或采购代理机构查询结果为准。</w:t>
      </w:r>
    </w:p>
    <w:p w14:paraId="78DE0BCE">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在本招标文件规定的查询时间之外，网站信息发生的任何变更均不作为资格审查依据。</w:t>
      </w:r>
    </w:p>
    <w:p w14:paraId="2EB62B9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投标人自行提供的与网站信息不一致的其他证明材料亦不作为资格审查依据。</w:t>
      </w:r>
    </w:p>
    <w:p w14:paraId="20CE0858">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21.3按照《中华人民共和国政府采购法》《中华人民共和国政府采购法实施条例》及本项目本级和上级财政部门、政府采购监督管理部门的有关规定依法组建的评标委员会，负责本项目评标工作。</w:t>
      </w:r>
    </w:p>
    <w:p w14:paraId="1C955C7D">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22投标文件符合性审查与澄清</w:t>
      </w:r>
    </w:p>
    <w:p w14:paraId="44CB126B">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22.1符合性审查是指依据招标文件的规定，从投标文件的有效性和完整性对招标文件的响应程度进行审查，以确定是否对招标文件的实质性要求做出响应。</w:t>
      </w:r>
    </w:p>
    <w:p w14:paraId="178F2964">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22.2投标文件的澄清</w:t>
      </w:r>
    </w:p>
    <w:p w14:paraId="7DE8A7AC">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22.2.1为有助于投标文件的审查、评价和比较，在评标期间，评标委员会将以书面方式（询标）要求投标人对其投标文件中含义不明确、对同类问题表述不一致或者有明显文字和计算错误的内容，以及评标委员会认为投标人的报价明显低于其他通过符合性审查投标人的报价，有可能影响履约的情况做必要的澄清、说明或补正。投标人的澄清、说明或补正应在评标委员会规定的时间内以书面方式进行，并不得超出投标文件范围或者改变投标文件的实质性内容。</w:t>
      </w:r>
    </w:p>
    <w:p w14:paraId="189A919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如有询标，投标人授权代表（或法定代表人）可通过远程登录的方式接受网上询标，也可携带本人有效身份证明原件参加询标。因投标人授权代表联系不上、没有及时登录系统、未到开标现场等情形而无法接受评标委员会询标的，投标人自行承担相关风险。</w:t>
      </w:r>
    </w:p>
    <w:p w14:paraId="51518042">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22.2.2投标人的澄清、说明或补正将作为投标文件的一部分。</w:t>
      </w:r>
    </w:p>
    <w:p w14:paraId="4D54E73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22.2.3评标委员会对投标人提交的澄清、说明或补正有疑问的，可以要求投标人进一步澄清、说明或补正，直至满足评标委员会的要求。</w:t>
      </w:r>
    </w:p>
    <w:p w14:paraId="3F809334">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22.3投标文件报价出现前后不一致的，按照下列规定修正：</w:t>
      </w:r>
    </w:p>
    <w:p w14:paraId="3FFC3D8E">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（1）投标文件中开标一览表内容与投标文件中相应内容不一致的，以开标一览表为准；</w:t>
      </w:r>
    </w:p>
    <w:p w14:paraId="48E0D49B">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（2）大写金额和小写金额不一致的，以大写金额为准；</w:t>
      </w:r>
    </w:p>
    <w:p w14:paraId="29F47410">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（3）单价金额小数点或者百分比有明显错位的，以开标一览表的总价为准，并修改单价；</w:t>
      </w:r>
    </w:p>
    <w:p w14:paraId="768E23F0">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（4）总价金额与按单价汇总金额不一致的，以单价金额计算结果为准。 同时出现两种以上不一致的，按照前款规定的顺序修正。修正后的报价按照</w:t>
      </w:r>
    </w:p>
    <w:p w14:paraId="207015B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第22.2条的规定经投标人确认后产生约束力，投标人不确认的，其投标将被认定为投标无效。</w:t>
      </w:r>
    </w:p>
    <w:p w14:paraId="5BC0BCD1">
      <w:pPr>
        <w:pageBreakBefore w:val="0"/>
        <w:widowControl w:val="0"/>
        <w:kinsoku/>
        <w:wordWrap/>
        <w:overflowPunct/>
        <w:topLinePunct w:val="0"/>
        <w:autoSpaceDE/>
        <w:autoSpaceDN/>
        <w:bidi w:val="0"/>
        <w:adjustRightInd w:val="0"/>
        <w:snapToGrid w:val="0"/>
        <w:spacing w:line="480" w:lineRule="exact"/>
        <w:ind w:firstLine="0" w:firstLineChars="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对不同文字文本投标文件的解释发生异议的，以中文文本为准。</w:t>
      </w:r>
    </w:p>
    <w:p w14:paraId="3E809711">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23投标无效</w:t>
      </w:r>
    </w:p>
    <w:p w14:paraId="1B739584">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23.1根据本招标文件的规定，评标委员会要审查每份投标文件是否实质上响应了招标文件的要求。投标人不得通过修正或撤销不符合要求的偏离，从而使其投标成为实质上响应的投标。</w:t>
      </w:r>
    </w:p>
    <w:p w14:paraId="4AB8A4FE">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评标委员会决定投标的响应性质根据招标文件要求和投标文件内容。</w:t>
      </w:r>
    </w:p>
    <w:p w14:paraId="1E1372F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无论何种原因，即使投标人投标时携带了证书材料的原件，但投标文件中未提供与之内容完全一致的扫描件的，评标委员会视同其未提供。</w:t>
      </w:r>
    </w:p>
    <w:p w14:paraId="4080B876">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23.2如发现下列情况之一的，其投标将被认定为投标无效：</w:t>
      </w:r>
    </w:p>
    <w:p w14:paraId="3A366086">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（1）未按招标文件的规定提交投标保证金的；</w:t>
      </w:r>
    </w:p>
    <w:p w14:paraId="1571F9D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（2）投标文件未按照招标文件规定要求签署、盖章的；</w:t>
      </w:r>
    </w:p>
    <w:p w14:paraId="7D01B8C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（3）不具备招标文件中规定的资格要求的；</w:t>
      </w:r>
    </w:p>
    <w:p w14:paraId="6455F2B1">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（4）报价超过招标文件中规定的预算金额或者最高限价的；</w:t>
      </w:r>
    </w:p>
    <w:p w14:paraId="71B31B34">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（5）投标文件含有采购人不能接受的附加条件的；</w:t>
      </w:r>
    </w:p>
    <w:p w14:paraId="50DDD448">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（6）法律、法规和招标文件规定的其他无效情形。</w:t>
      </w:r>
    </w:p>
    <w:p w14:paraId="1B015458">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24比较与评价</w:t>
      </w:r>
    </w:p>
    <w:p w14:paraId="010BD26B">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24.1经符合性审查合格的投标文件，评标委员会将根据招标文件确定的评标方法和标准，对其投标文件做进一步的比较与评价。</w:t>
      </w:r>
    </w:p>
    <w:p w14:paraId="5DB3C03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24.2评标严格按照招标文件的要求和条件进行。根据实际情况，在投标人须知前附表中规定采用下列一种评标方法，详细评标方法和标准见招标文件第四章：</w:t>
      </w:r>
    </w:p>
    <w:p w14:paraId="7BEEFB7D">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（1）最低评标价法，是指投标文件满足招标文件全部实质性要求，且投标报价最低的投标人为中标候选人的评标方法。</w:t>
      </w:r>
    </w:p>
    <w:p w14:paraId="2F702C76">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（2）综合评分法，是指投标文件满足招标文件全部实质性要求，且按照评审因素的量化指标评审得分最高的投标人为中标候选人的评标方法。</w:t>
      </w:r>
    </w:p>
    <w:p w14:paraId="5EBD2F4A">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25废标</w:t>
      </w:r>
    </w:p>
    <w:p w14:paraId="5100D11E">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出现下列情形之一，将导致项目废标：</w:t>
      </w:r>
    </w:p>
    <w:p w14:paraId="5E799EED">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（1）符合专业条件的供应商或者对招标文件做实质性响应的供应商不足规定数量的；</w:t>
      </w:r>
    </w:p>
    <w:p w14:paraId="7E3BBF7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（2）出现影响采购公正的违法、违规行为的；</w:t>
      </w:r>
    </w:p>
    <w:p w14:paraId="72B8D61B">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（3）投标人的报价均超过了采购预算，采购人不能支付的；</w:t>
      </w:r>
    </w:p>
    <w:p w14:paraId="36988360">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（4）因重大变故，采购任务取消的。</w:t>
      </w:r>
    </w:p>
    <w:p w14:paraId="769B384A">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26保密要求</w:t>
      </w:r>
    </w:p>
    <w:p w14:paraId="4821CA80">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26.1评标将在严格保密的情况下进行。</w:t>
      </w:r>
    </w:p>
    <w:p w14:paraId="2753F87E">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26.2有关人员应当遵守评标工作纪律，不得泄露评标文件、评标情况和评标中获悉的国家秘密、商业秘密。</w:t>
      </w:r>
    </w:p>
    <w:p w14:paraId="5470EADF">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27</w:t>
      </w:r>
      <w:r>
        <w:rPr>
          <w:rFonts w:ascii="Times New Roman" w:hAnsi="Times New Roman" w:eastAsia="黑体" w:cs="Times New Roman"/>
          <w:color w:val="000000"/>
          <w:kern w:val="2"/>
          <w:sz w:val="24"/>
          <w:szCs w:val="24"/>
          <w:lang w:val="en-US" w:eastAsia="zh-CN" w:bidi="ar-SA"/>
        </w:rPr>
        <w:t>中标候选人的确定原则及标准</w:t>
      </w:r>
    </w:p>
    <w:p w14:paraId="38A239A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27.1评标委员会依据本项目招标文件所约定的评标方法，对实质上响应招标文件的投标人按下列方法进行排序，确定中标候选人：</w:t>
      </w:r>
    </w:p>
    <w:p w14:paraId="43DD44C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1）采用最低评标价法的，除了算术修正和落实政府采购政策需进行的价格扣除外，不对投标人的投标价格进行任何调整。评标结果按修正和扣除后的投标报价由低到高顺序排列。修正和扣除后的投标报价出现两家或两家以上相同者，采取评标委员会抽签方式确定中标候选顺序。</w:t>
      </w:r>
    </w:p>
    <w:p w14:paraId="1A49286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（2）采用综合评分法的，评标结果按评审后得分由高到低顺序排列。得分相同的，按投标报价由低到高顺序排列。得分与投标报价均相同的，则采取评标委员会抽签方式确定中标候选顺序。</w:t>
      </w:r>
    </w:p>
    <w:p w14:paraId="7BE12669">
      <w:pPr>
        <w:keepNext/>
        <w:keepLines/>
        <w:pageBreakBefore w:val="0"/>
        <w:widowControl w:val="0"/>
        <w:kinsoku/>
        <w:wordWrap/>
        <w:overflowPunct/>
        <w:topLinePunct w:val="0"/>
        <w:autoSpaceDE/>
        <w:autoSpaceDN/>
        <w:bidi w:val="0"/>
        <w:spacing w:line="480" w:lineRule="exact"/>
        <w:jc w:val="both"/>
        <w:textAlignment w:val="baseline"/>
        <w:outlineLvl w:val="4"/>
        <w:rPr>
          <w:rFonts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28确定中标候选人和中标人</w:t>
      </w:r>
    </w:p>
    <w:p w14:paraId="68238AC4">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28.1评标委员会将根据评标标准，按</w:t>
      </w:r>
      <w:r>
        <w:rPr>
          <w:rFonts w:hint="eastAsia" w:ascii="宋体" w:hAnsi="宋体" w:eastAsia="宋体" w:cs="宋体"/>
          <w:b/>
          <w:color w:val="000000"/>
          <w:kern w:val="2"/>
          <w:sz w:val="24"/>
          <w:szCs w:val="22"/>
          <w:lang w:val="en-US" w:eastAsia="zh-CN" w:bidi="ar-SA"/>
        </w:rPr>
        <w:t>【投标人须知前附表】</w:t>
      </w:r>
      <w:r>
        <w:rPr>
          <w:rFonts w:hint="eastAsia" w:ascii="宋体" w:hAnsi="宋体" w:eastAsia="宋体" w:cs="宋体"/>
          <w:color w:val="000000"/>
          <w:kern w:val="2"/>
          <w:sz w:val="24"/>
          <w:szCs w:val="22"/>
          <w:lang w:val="en-US" w:eastAsia="zh-CN" w:bidi="ar-SA"/>
        </w:rPr>
        <w:t>中规定数量推荐中标候选人。</w:t>
      </w:r>
    </w:p>
    <w:p w14:paraId="6A6C3E3E">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28.2按</w:t>
      </w:r>
      <w:r>
        <w:rPr>
          <w:rFonts w:hint="eastAsia" w:ascii="宋体" w:hAnsi="宋体" w:eastAsia="宋体" w:cs="宋体"/>
          <w:b/>
          <w:color w:val="000000"/>
          <w:kern w:val="2"/>
          <w:sz w:val="24"/>
          <w:szCs w:val="22"/>
          <w:lang w:val="en-US" w:eastAsia="zh-CN" w:bidi="ar-SA"/>
        </w:rPr>
        <w:t>【投标人须知前附表】</w:t>
      </w:r>
      <w:r>
        <w:rPr>
          <w:rFonts w:hint="eastAsia" w:ascii="宋体" w:hAnsi="宋体" w:eastAsia="宋体" w:cs="宋体"/>
          <w:color w:val="000000"/>
          <w:kern w:val="2"/>
          <w:sz w:val="24"/>
          <w:szCs w:val="22"/>
          <w:lang w:val="en-US" w:eastAsia="zh-CN" w:bidi="ar-SA"/>
        </w:rPr>
        <w:t>中规定，由评标委员会或采购人确定中标人。</w:t>
      </w:r>
    </w:p>
    <w:p w14:paraId="0812C68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28.3因重大变故采购任务取消时，采购人有权拒绝任何投标人中标，且对受影响的投标人不承担任何责任。</w:t>
      </w:r>
    </w:p>
    <w:p w14:paraId="794523FD">
      <w:pPr>
        <w:keepNext/>
        <w:keepLines/>
        <w:pageBreakBefore w:val="0"/>
        <w:widowControl w:val="0"/>
        <w:kinsoku/>
        <w:wordWrap/>
        <w:overflowPunct/>
        <w:topLinePunct w:val="0"/>
        <w:autoSpaceDE/>
        <w:autoSpaceDN/>
        <w:bidi w:val="0"/>
        <w:spacing w:line="480" w:lineRule="exact"/>
        <w:jc w:val="both"/>
        <w:textAlignment w:val="baseline"/>
        <w:outlineLvl w:val="4"/>
        <w:rPr>
          <w:rFonts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29编写评标报告</w:t>
      </w:r>
    </w:p>
    <w:p w14:paraId="5AC65716">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12F6FC62">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30中标信息公布</w:t>
      </w:r>
    </w:p>
    <w:p w14:paraId="5E6C1C2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30.1除</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规定由评标委员会直接确定中标人外，在评标结束后2个工作日内，采购代理机构将评标报告送采购人。采购人应当自收到评标报告之日起5个工作日内，在评标报告确定的中标候选人名单中按顺序确定中标人。中标候选人并列的，按照</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规定的方式确定中标人；招标文件未规定的，由评审委员会采取随机抽取的方式确定。</w:t>
      </w:r>
    </w:p>
    <w:p w14:paraId="5ED0FFDE">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30.2自中标人确定之日起2个工作日内，采购代理机构将在张家界市公共资源交易网上发布中标公告。</w:t>
      </w:r>
    </w:p>
    <w:p w14:paraId="66E82BCB">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30.3中标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中约定进行公告的内容。中标公告期限为1个工作日。</w:t>
      </w:r>
    </w:p>
    <w:p w14:paraId="0781A7DC">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31中标通知书</w:t>
      </w:r>
    </w:p>
    <w:p w14:paraId="69DDDCC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31.1采购代理机构发布中标公告的同时以</w:t>
      </w:r>
      <w:r>
        <w:rPr>
          <w:rFonts w:hint="eastAsia" w:ascii="宋体" w:hAnsi="宋体" w:eastAsia="宋体" w:cs="宋体"/>
          <w:b/>
          <w:color w:val="000000"/>
          <w:kern w:val="2"/>
          <w:sz w:val="24"/>
          <w:szCs w:val="22"/>
          <w:lang w:val="en-US" w:eastAsia="zh-CN" w:bidi="ar-SA"/>
        </w:rPr>
        <w:t>【投标人须知前附表】</w:t>
      </w:r>
      <w:r>
        <w:rPr>
          <w:rFonts w:hint="eastAsia" w:ascii="宋体" w:hAnsi="宋体" w:eastAsia="宋体" w:cs="宋体"/>
          <w:bCs/>
          <w:color w:val="000000"/>
          <w:kern w:val="2"/>
          <w:sz w:val="24"/>
          <w:szCs w:val="22"/>
          <w:lang w:val="en-US" w:eastAsia="zh-CN" w:bidi="ar-SA"/>
        </w:rPr>
        <w:t>规定</w:t>
      </w:r>
      <w:r>
        <w:rPr>
          <w:rFonts w:hint="eastAsia" w:ascii="宋体" w:hAnsi="宋体" w:eastAsia="宋体" w:cs="宋体"/>
          <w:color w:val="000000"/>
          <w:kern w:val="2"/>
          <w:sz w:val="24"/>
          <w:szCs w:val="22"/>
          <w:lang w:val="en-US" w:eastAsia="zh-CN" w:bidi="ar-SA"/>
        </w:rPr>
        <w:t>的形式向中标人发出中标通知书。</w:t>
      </w:r>
    </w:p>
    <w:p w14:paraId="5A26274B">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31.2中标通知书对采购人和中标人具有同等法律效力。中标通知书发出以后，采购人改变中标结果或者中标人放弃中标，应当承担相应的法律责任。</w:t>
      </w:r>
    </w:p>
    <w:p w14:paraId="01A4407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31.3中标通知书是合同的组成部分。</w:t>
      </w:r>
    </w:p>
    <w:p w14:paraId="14C7BFAF">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32告知招标结果</w:t>
      </w:r>
    </w:p>
    <w:p w14:paraId="39CE328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在公告中标结果的同时，采购代理机构同时以</w:t>
      </w:r>
      <w:r>
        <w:rPr>
          <w:rFonts w:hint="eastAsia" w:ascii="Times New Roman" w:hAnsi="Times New Roman" w:eastAsia="宋体" w:cs="Times New Roman"/>
          <w:b/>
          <w:bCs/>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规定的形式告知未通过资格审查的投标人未通过的原因；采用综合评分法评审的，还将告知未中标人本人的评审得分和排序。</w:t>
      </w:r>
    </w:p>
    <w:p w14:paraId="7BA7087D">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33人员回避</w:t>
      </w:r>
    </w:p>
    <w:p w14:paraId="73593EC0">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投标人认为采购人员及其相关人员有法律法规所列与其他供应商有利害关系的，可以向采购人或采购代理机构书面提出回避申请，并说明理由。</w:t>
      </w:r>
    </w:p>
    <w:p w14:paraId="7E7FD8FF">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34签订合同</w:t>
      </w:r>
    </w:p>
    <w:p w14:paraId="1CD1D7A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34.1采购人应自中标通知书发出之日起30日内，按中标通知书指定的时间、地点与中标人签订政府采购合同。所签订的合同不得对招标文件确定的事项和中标人投标文件作实质性修改。</w:t>
      </w:r>
    </w:p>
    <w:p w14:paraId="7FEEDE99">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34.2招标文件、中标人的投标文件及其澄清文件等，均为签订合同的依据。</w:t>
      </w:r>
    </w:p>
    <w:p w14:paraId="3435F9F0">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34.3联合体中标的，联合体各方应当共同与采购人签订合同，就中标项目向采购人承担连带责任。</w:t>
      </w:r>
    </w:p>
    <w:p w14:paraId="40CCA9BD">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34.4中标合同将在招标公告指定媒体上公告，但合同中涉及国家秘密、商业秘密的内容除外。</w:t>
      </w:r>
    </w:p>
    <w:p w14:paraId="5B3CC34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34.5中标人应当按照合同约定依法履行合同义务。政府采购合同的履行、违约责任和解决争议的方法等适用</w:t>
      </w:r>
      <w:r>
        <w:rPr>
          <w:rFonts w:hint="eastAsia" w:ascii="宋体" w:hAnsi="宋体" w:eastAsia="宋体" w:cs="Times New Roman"/>
          <w:color w:val="000000"/>
          <w:kern w:val="2"/>
          <w:sz w:val="24"/>
          <w:szCs w:val="24"/>
          <w:lang w:val="en-US" w:eastAsia="zh-CN" w:bidi="ar-SA"/>
        </w:rPr>
        <w:t>《中华人民共和国民法典》</w:t>
      </w:r>
      <w:r>
        <w:rPr>
          <w:rFonts w:hint="eastAsia" w:ascii="Times New Roman" w:hAnsi="Times New Roman" w:eastAsia="宋体" w:cs="Times New Roman"/>
          <w:color w:val="000000"/>
          <w:kern w:val="2"/>
          <w:sz w:val="24"/>
          <w:szCs w:val="22"/>
          <w:lang w:val="en-US" w:eastAsia="zh-CN" w:bidi="ar-SA"/>
        </w:rPr>
        <w:t>。</w:t>
      </w:r>
    </w:p>
    <w:p w14:paraId="444F138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left"/>
        <w:rPr>
          <w:rFonts w:hint="eastAsia" w:ascii="仿宋" w:hAnsi="仿宋" w:eastAsia="仿宋" w:cs="仿宋"/>
          <w:i w:val="0"/>
          <w:iCs w:val="0"/>
          <w:snapToGrid w:val="0"/>
          <w:color w:val="000000"/>
          <w:kern w:val="2"/>
          <w:sz w:val="28"/>
          <w:szCs w:val="28"/>
          <w:highlight w:val="white"/>
          <w:u w:val="none"/>
          <w:lang w:val="en-US" w:eastAsia="zh-CN" w:bidi="ar-SA"/>
        </w:rPr>
      </w:pPr>
      <w:r>
        <w:rPr>
          <w:rFonts w:hint="eastAsia" w:ascii="Arial Narrow" w:hAnsi="Arial Narrow" w:eastAsia="宋体" w:cs="宋体"/>
          <w:color w:val="000000"/>
          <w:kern w:val="2"/>
          <w:sz w:val="24"/>
          <w:szCs w:val="22"/>
          <w:lang w:val="en-US" w:eastAsia="zh-CN" w:bidi="ar-SA"/>
        </w:rPr>
        <w:t>34.6中标人拒绝与采购人签订合同或被取消中标资格的，</w:t>
      </w:r>
      <w:r>
        <w:rPr>
          <w:rFonts w:hint="eastAsia" w:ascii="Times New Roman" w:hAnsi="Times New Roman" w:eastAsia="宋体" w:cs="Times New Roman"/>
          <w:color w:val="000000"/>
          <w:kern w:val="2"/>
          <w:sz w:val="24"/>
          <w:szCs w:val="22"/>
          <w:lang w:val="en-US" w:eastAsia="zh-CN" w:bidi="ar-SA"/>
        </w:rPr>
        <w:t>采购人应根据评审结果，从评审小组评审后通过资格审查和符合性审查的供应商中按第二候选人、第三候选人的排序顺延中标。若顺延至第三候选人均不接受顺延中标，采购人应当重新组织采购活动。</w:t>
      </w:r>
    </w:p>
    <w:p w14:paraId="3C05079C">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left"/>
        <w:rPr>
          <w:rFonts w:ascii="等线" w:hAnsi="等线" w:eastAsia="等线" w:cs="宋体"/>
          <w:color w:val="000000"/>
          <w:kern w:val="2"/>
          <w:sz w:val="24"/>
          <w:szCs w:val="22"/>
          <w:lang w:val="en-US" w:eastAsia="zh-CN" w:bidi="ar-SA"/>
        </w:rPr>
      </w:pPr>
      <w:r>
        <w:rPr>
          <w:rFonts w:hint="eastAsia" w:ascii="Arial Narrow" w:hAnsi="Arial Narrow" w:eastAsia="宋体" w:cs="宋体"/>
          <w:color w:val="000000"/>
          <w:kern w:val="2"/>
          <w:sz w:val="24"/>
          <w:szCs w:val="22"/>
          <w:lang w:val="en-US" w:eastAsia="zh-CN" w:bidi="ar-SA"/>
        </w:rPr>
        <w:t>34.7当出现法规规定的中标无效或中标结果无效情形时，采购人</w:t>
      </w:r>
      <w:r>
        <w:rPr>
          <w:rFonts w:hint="eastAsia" w:ascii="Times New Roman" w:hAnsi="Times New Roman" w:eastAsia="宋体" w:cs="Times New Roman"/>
          <w:color w:val="000000"/>
          <w:kern w:val="2"/>
          <w:sz w:val="24"/>
          <w:szCs w:val="22"/>
          <w:lang w:val="en-US" w:eastAsia="zh-CN" w:bidi="ar-SA"/>
        </w:rPr>
        <w:t>应</w:t>
      </w:r>
      <w:r>
        <w:rPr>
          <w:rFonts w:hint="eastAsia" w:ascii="Arial Narrow" w:hAnsi="Arial Narrow" w:eastAsia="宋体" w:cs="宋体"/>
          <w:color w:val="000000"/>
          <w:kern w:val="2"/>
          <w:sz w:val="24"/>
          <w:szCs w:val="22"/>
          <w:lang w:val="en-US" w:eastAsia="zh-CN" w:bidi="ar-SA"/>
        </w:rPr>
        <w:t>依法与排名下一位的中标候选人另行签订合同。</w:t>
      </w:r>
    </w:p>
    <w:p w14:paraId="2ECB7BF8">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35履约担保</w:t>
      </w:r>
    </w:p>
    <w:p w14:paraId="6EF69E64">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35.1招标文件要求中标人向采购人提交履约担保的，中标人应按照</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的规定提交。联合体中标的，履约担保由联合体各方或联合体中牵头人的名义提交。</w:t>
      </w:r>
    </w:p>
    <w:p w14:paraId="4CC966F8">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35.2中标人没有按照本章第35.1款规定提交履约担保的，视为放弃中标，其投标保证金不予退还。</w:t>
      </w:r>
    </w:p>
    <w:p w14:paraId="6E0953CC">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36政府采购合同履行中数量的变更</w:t>
      </w:r>
    </w:p>
    <w:p w14:paraId="0A1B36D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36.1政府采购合同履行中，采购人需追加与合同标的相同的货物服务的，在不改变合同其他条款的前提下，可以与中标人协商签订补充合同，但所有补充合同的采购金额不得超过原合同采购金额的百分之十。</w:t>
      </w:r>
    </w:p>
    <w:p w14:paraId="3DA62956">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37政府采购政策</w:t>
      </w:r>
    </w:p>
    <w:p w14:paraId="2D25728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37.1优先采购：</w:t>
      </w:r>
    </w:p>
    <w:p w14:paraId="1DB5CCEC">
      <w:pPr>
        <w:pageBreakBefore w:val="0"/>
        <w:widowControl w:val="0"/>
        <w:kinsoku/>
        <w:wordWrap/>
        <w:overflowPunct/>
        <w:topLinePunct w:val="0"/>
        <w:autoSpaceDE/>
        <w:autoSpaceDN/>
        <w:bidi w:val="0"/>
        <w:adjustRightInd w:val="0"/>
        <w:snapToGrid w:val="0"/>
        <w:spacing w:line="480" w:lineRule="exact"/>
        <w:ind w:firstLine="960" w:firstLineChars="4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纳入财政部会同国务院有关部门发布的节能产品、环境标志产品政府采购品目清单，实施政府优先采购的，评审时按</w:t>
      </w:r>
      <w:r>
        <w:rPr>
          <w:rFonts w:hint="eastAsia" w:ascii="Times New Roman" w:hAnsi="Times New Roman" w:eastAsia="宋体"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 xml:space="preserve">有关规定给予一定比例的价格折扣或者加分； </w:t>
      </w:r>
    </w:p>
    <w:p w14:paraId="497C8A7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37.2强制采购：</w:t>
      </w:r>
    </w:p>
    <w:p w14:paraId="7366280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纳入财政部会同国务院有关部门发布的节能产品政府采购品目清单，实施政府强制采购的（品目清单标注符号产品），投标人投标产品应当取得国家确定的认证机构出具的、处于有效期之内的节能产品认证证书，否则其</w:t>
      </w:r>
      <w:r>
        <w:rPr>
          <w:rFonts w:hint="eastAsia" w:ascii="Times New Roman" w:hAnsi="Times New Roman" w:eastAsia="宋体" w:cs="Times New Roman"/>
          <w:b/>
          <w:color w:val="000000"/>
          <w:kern w:val="2"/>
          <w:sz w:val="24"/>
          <w:szCs w:val="22"/>
          <w:lang w:val="en-US" w:eastAsia="zh-CN" w:bidi="ar-SA"/>
        </w:rPr>
        <w:t>投标无效</w:t>
      </w:r>
      <w:r>
        <w:rPr>
          <w:rFonts w:hint="eastAsia" w:ascii="Times New Roman" w:hAnsi="Times New Roman" w:eastAsia="宋体" w:cs="Times New Roman"/>
          <w:color w:val="000000"/>
          <w:kern w:val="2"/>
          <w:sz w:val="24"/>
          <w:szCs w:val="22"/>
          <w:lang w:val="en-US" w:eastAsia="zh-CN" w:bidi="ar-SA"/>
        </w:rPr>
        <w:t>。</w:t>
      </w:r>
    </w:p>
    <w:p w14:paraId="1A3FC866">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37.3投标报价扣除：</w:t>
      </w:r>
    </w:p>
    <w:p w14:paraId="0A84D31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（1）投标人为小型、微型企业，且服务由中小企业承接，即提供服务的人员为中小企业依照</w:t>
      </w:r>
      <w:r>
        <w:rPr>
          <w:rFonts w:hint="eastAsia" w:ascii="宋体" w:hAnsi="宋体" w:eastAsia="宋体" w:cs="Times New Roman"/>
          <w:color w:val="000000"/>
          <w:kern w:val="2"/>
          <w:sz w:val="24"/>
          <w:szCs w:val="24"/>
          <w:lang w:val="en-US" w:eastAsia="zh-CN" w:bidi="ar-SA"/>
        </w:rPr>
        <w:t>《中华人民共和国民法典》</w:t>
      </w:r>
      <w:r>
        <w:rPr>
          <w:rFonts w:hint="eastAsia" w:ascii="Times New Roman" w:hAnsi="Times New Roman" w:eastAsia="宋体" w:cs="Times New Roman"/>
          <w:color w:val="000000"/>
          <w:kern w:val="2"/>
          <w:sz w:val="24"/>
          <w:szCs w:val="22"/>
          <w:lang w:val="en-US" w:eastAsia="zh-CN" w:bidi="ar-SA"/>
        </w:rPr>
        <w:t>订立劳动合同的从业人员，投标价格按招标文件</w:t>
      </w:r>
      <w:r>
        <w:rPr>
          <w:rFonts w:hint="eastAsia" w:ascii="Times New Roman" w:hAnsi="Times New Roman" w:eastAsia="宋体" w:cs="Times New Roman"/>
          <w:b/>
          <w:bCs/>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给予一定比例的价格折扣，用扣除后的价格参与评审。本项所称货物不包括使用大型企业注册商标的货物；</w:t>
      </w:r>
    </w:p>
    <w:p w14:paraId="342C102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（2）接受大中型企业与小微企业组成联合体或者允许大中型企业向一家或者多家小微企业分包的采购项目，</w:t>
      </w:r>
      <w:r>
        <w:rPr>
          <w:rFonts w:hint="eastAsia" w:ascii="微软雅黑" w:hAnsi="微软雅黑" w:eastAsia="宋体" w:cs="微软雅黑"/>
          <w:color w:val="000000"/>
          <w:kern w:val="2"/>
          <w:sz w:val="24"/>
          <w:szCs w:val="22"/>
          <w:lang w:val="en-US" w:eastAsia="zh-CN" w:bidi="ar-SA"/>
        </w:rPr>
        <w:t>对于联合协议或</w:t>
      </w:r>
      <w:r>
        <w:rPr>
          <w:rFonts w:hint="eastAsia" w:ascii="微软雅黑" w:hAnsi="微软雅黑" w:eastAsia="宋体" w:cs="微软雅黑"/>
          <w:strike w:val="0"/>
          <w:dstrike w:val="0"/>
          <w:color w:val="000000"/>
          <w:kern w:val="2"/>
          <w:sz w:val="24"/>
          <w:szCs w:val="22"/>
          <w:lang w:val="en-US" w:eastAsia="zh-CN" w:bidi="ar-SA"/>
        </w:rPr>
        <w:t>承诺向</w:t>
      </w:r>
      <w:r>
        <w:rPr>
          <w:rFonts w:hint="eastAsia" w:ascii="微软雅黑" w:hAnsi="微软雅黑" w:eastAsia="宋体" w:cs="微软雅黑"/>
          <w:color w:val="000000"/>
          <w:kern w:val="2"/>
          <w:sz w:val="24"/>
          <w:szCs w:val="22"/>
          <w:lang w:val="en-US" w:eastAsia="zh-CN" w:bidi="ar-SA"/>
        </w:rPr>
        <w:t>小微企业的分包份额占到合同总金额</w:t>
      </w:r>
      <w:r>
        <w:rPr>
          <w:rFonts w:hint="eastAsia" w:ascii="微软雅黑" w:hAnsi="微软雅黑" w:eastAsia="宋体" w:cs="微软雅黑"/>
          <w:b/>
          <w:bCs/>
          <w:color w:val="000000"/>
          <w:kern w:val="2"/>
          <w:sz w:val="24"/>
          <w:szCs w:val="22"/>
          <w:u w:val="single"/>
          <w:lang w:val="en-US" w:eastAsia="zh-CN" w:bidi="ar-SA"/>
        </w:rPr>
        <w:t xml:space="preserve"> 30% </w:t>
      </w:r>
      <w:r>
        <w:rPr>
          <w:rFonts w:hint="eastAsia" w:ascii="微软雅黑" w:hAnsi="微软雅黑" w:eastAsia="宋体" w:cs="微软雅黑"/>
          <w:color w:val="000000"/>
          <w:kern w:val="2"/>
          <w:sz w:val="24"/>
          <w:szCs w:val="22"/>
          <w:lang w:val="en-US" w:eastAsia="zh-CN" w:bidi="ar-SA"/>
        </w:rPr>
        <w:t>以上的，采购人、采购代理机构应当对大中型企业的报价给予</w:t>
      </w:r>
      <w:r>
        <w:rPr>
          <w:rFonts w:hint="eastAsia" w:ascii="微软雅黑" w:hAnsi="微软雅黑" w:eastAsia="宋体" w:cs="微软雅黑"/>
          <w:b/>
          <w:bCs/>
          <w:color w:val="000000"/>
          <w:kern w:val="2"/>
          <w:sz w:val="24"/>
          <w:szCs w:val="22"/>
          <w:u w:val="single"/>
          <w:lang w:val="en-US" w:eastAsia="zh-CN" w:bidi="ar-SA"/>
        </w:rPr>
        <w:t xml:space="preserve"> 4% </w:t>
      </w:r>
      <w:r>
        <w:rPr>
          <w:rFonts w:hint="eastAsia" w:ascii="微软雅黑" w:hAnsi="微软雅黑" w:eastAsia="宋体" w:cs="微软雅黑"/>
          <w:color w:val="000000"/>
          <w:kern w:val="2"/>
          <w:sz w:val="24"/>
          <w:szCs w:val="22"/>
          <w:lang w:val="en-US" w:eastAsia="zh-CN" w:bidi="ar-SA"/>
        </w:rPr>
        <w:t>的扣除，用扣除后的价格参加评审。</w:t>
      </w:r>
      <w:r>
        <w:rPr>
          <w:rFonts w:hint="eastAsia" w:ascii="Times New Roman" w:hAnsi="Times New Roman" w:eastAsia="宋体" w:cs="Times New Roman"/>
          <w:color w:val="000000"/>
          <w:kern w:val="2"/>
          <w:sz w:val="24"/>
          <w:szCs w:val="22"/>
          <w:lang w:val="en-US" w:eastAsia="zh-CN" w:bidi="ar-SA"/>
        </w:rPr>
        <w:t>组成联合体或者接受分包的小微企业与联合体内其他企业、分包企业之间存在直接控股、管理关系的，不享受价格扣除优惠政策。</w:t>
      </w:r>
    </w:p>
    <w:p w14:paraId="339E1798">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（3）监狱企业、残疾人福利性单位视同小型、微型企业，享受评审中价格扣除等促进中小企业发展的政府采购政策。</w:t>
      </w:r>
    </w:p>
    <w:p w14:paraId="57B8250D">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（4）本项目所称中小企业按照工业和信息化部、国家统计局、发展改革委、财政部制定的《中小企业划型标准规定》（工信部联企业〔2011〕300号）文件中的划分标准确定，详见</w:t>
      </w:r>
      <w:r>
        <w:rPr>
          <w:rFonts w:hint="eastAsia" w:ascii="Times New Roman" w:hAnsi="Times New Roman" w:eastAsia="宋体" w:cs="Times New Roman"/>
          <w:b/>
          <w:bCs/>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w:t>
      </w:r>
    </w:p>
    <w:p w14:paraId="4ADB7FA4">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37.4政府采购政策交叉与叠加</w:t>
      </w:r>
    </w:p>
    <w:p w14:paraId="50BD7330">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（1）投标产品取得两个及以上优先采购产品认证的，评审时只有其中一项产品能享受优先采购优惠（投标人自行选择，并在投标文件中并填报相关信息及数据）；</w:t>
      </w:r>
    </w:p>
    <w:p w14:paraId="476384B6">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（2）投标人同时符合小型、微型企业及监狱企业、残疾人福利性单位要求的，评审时只有一种类型享受价格评审优惠政策；</w:t>
      </w:r>
    </w:p>
    <w:p w14:paraId="2958AA0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（3）小型和微型企业的价格评审优惠可以与同时属于“节能产品”、“环境标志产品”中的一项优先采购优惠累加计算。</w:t>
      </w:r>
    </w:p>
    <w:p w14:paraId="046CFE4B">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37.5小型、微型企业的投标人提供部分小型、微型企业制造的产品，以及部分投标产品属于优先采购的，评审时只对该部分产品的报价实行价格扣除及加分。投标人应按本章第38.6款规定提供相关证明资料（包括提供相关报价）。</w:t>
      </w:r>
    </w:p>
    <w:p w14:paraId="51B6B89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37.6投标人符合本章第37.1款、第37.2款、第37.3款规定的，应提供相关证明资料。</w:t>
      </w:r>
    </w:p>
    <w:p w14:paraId="58A1016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（1）节能产品、环境标志产品：提供国家确定的认证机构出具的、处于有效期之内的节能产品、环境标志产品认证证书（复印件）。</w:t>
      </w:r>
    </w:p>
    <w:p w14:paraId="78350DE2">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（2）中小企业：按《政府采购促进中小企业发展管理办法》（财库〔2020〕46号）规定，投标人提供《中小企业声明函》（格式）。</w:t>
      </w:r>
    </w:p>
    <w:p w14:paraId="2AC7FB9B">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（3）残疾人福利性单位：按《关于促进残疾人就业政府采购政策的通知》（财库〔2017〕141号）文件规定提供《残疾人福利性单位声明函》（格式）。</w:t>
      </w:r>
    </w:p>
    <w:p w14:paraId="1AD571D1">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38询问</w:t>
      </w:r>
    </w:p>
    <w:p w14:paraId="654F1F2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38.1投标人对政府采购活动事项有疑问的，可以向采购人、采购代理机构提出询问。采购人或采购代理机构将在3个工作日内作出答复。</w:t>
      </w:r>
    </w:p>
    <w:p w14:paraId="1D785DB1">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39质疑</w:t>
      </w:r>
    </w:p>
    <w:p w14:paraId="2934AF3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39.1投标人认为招标文件、采购过程和中标结果使自己的权益受到损害的，可以在知道或者应知其权益受到损害之日起7个工作日内，按照《湖南省财政厅关于印发〈政府采购质疑答复和投诉处理操作规程〉的通知》（湘财购〔2024〕67号）规定，在下列时间内以纸质书面形式向采购人、采购代理机构提出质疑：</w:t>
      </w:r>
    </w:p>
    <w:p w14:paraId="3FB788B7">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（1）关于招标文件的质疑，应从招标文件发出之日起七个工作日内提出；</w:t>
      </w:r>
    </w:p>
    <w:p w14:paraId="117D4399">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（2）关于采购过程的质疑，应在采购程序环节结束之日起七个工作日内提出；</w:t>
      </w:r>
    </w:p>
    <w:p w14:paraId="0FEAED49">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（3）关于成交结果的质疑，应在成交结果信息发布后七个工作日内提出。</w:t>
      </w:r>
    </w:p>
    <w:p w14:paraId="0ECFE1F0">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39.2 投标人提出质疑的，应按照《湖南省财政厅关于印发〈政府采购质疑答复和投诉处理操作规程〉的通知》格式和要求在法定质疑期内以书面形式提出质疑，超出法定质疑期提交的质疑将被拒绝。针对同一采购程序环节的质疑应一次性提出。</w:t>
      </w:r>
    </w:p>
    <w:p w14:paraId="62EBBFEA">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39.3采购人、采购代理机构接收质疑函的联系部门、联系电话和通信地址见</w:t>
      </w:r>
      <w:r>
        <w:rPr>
          <w:rFonts w:hint="eastAsia" w:ascii="Times New Roman" w:hAnsi="Times New Roman" w:eastAsia="微软雅黑"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 xml:space="preserve">。  </w:t>
      </w:r>
    </w:p>
    <w:p w14:paraId="4213AA74">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39.4采购人、采购代理机构按照《湖南省财政厅关于印发〈政府采购质疑答复和投诉处理操作规程〉的通知》规定进行质疑答复。</w:t>
      </w:r>
    </w:p>
    <w:p w14:paraId="15B8AD7D">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40投诉</w:t>
      </w:r>
    </w:p>
    <w:p w14:paraId="0AA95DF2">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40.1供应商对采购人或采购代理机构的质疑答复不满意，或采购人或采购代理机构未在规定的期限作出答复的，可在答复期满后十五个工作日内，按政府采购相关法律法规规章的规定及程序，向同级财政部门提出投诉。</w:t>
      </w:r>
    </w:p>
    <w:p w14:paraId="087F208D">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41采购代理服务费</w:t>
      </w:r>
    </w:p>
    <w:p w14:paraId="61E348B3">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41.1采购代理机构应按</w:t>
      </w:r>
      <w:r>
        <w:rPr>
          <w:rFonts w:hint="eastAsia" w:ascii="Times New Roman" w:hAnsi="Times New Roman" w:eastAsia="微软雅黑"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规定收取采购代理服务费。</w:t>
      </w:r>
    </w:p>
    <w:p w14:paraId="4D0E52DF">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41.2集中采购机构不得收取采购代理服务费。</w:t>
      </w:r>
    </w:p>
    <w:p w14:paraId="6D62BB84">
      <w:pPr>
        <w:keepNext/>
        <w:keepLines/>
        <w:pageBreakBefore w:val="0"/>
        <w:widowControl w:val="0"/>
        <w:kinsoku/>
        <w:wordWrap/>
        <w:overflowPunct/>
        <w:topLinePunct w:val="0"/>
        <w:autoSpaceDE/>
        <w:autoSpaceDN/>
        <w:bidi w:val="0"/>
        <w:spacing w:line="480" w:lineRule="exact"/>
        <w:jc w:val="both"/>
        <w:textAlignment w:val="baseline"/>
        <w:outlineLvl w:val="4"/>
        <w:rPr>
          <w:rFonts w:ascii="Times New Roman" w:hAnsi="Times New Roman" w:eastAsia="黑体" w:cs="Times New Roman"/>
          <w:color w:val="000000"/>
          <w:kern w:val="2"/>
          <w:sz w:val="24"/>
          <w:szCs w:val="24"/>
          <w:lang w:val="en-US" w:eastAsia="zh-CN" w:bidi="ar-SA"/>
        </w:rPr>
      </w:pPr>
      <w:r>
        <w:rPr>
          <w:rFonts w:hint="eastAsia" w:ascii="Times New Roman" w:hAnsi="Times New Roman" w:eastAsia="黑体" w:cs="Times New Roman"/>
          <w:color w:val="000000"/>
          <w:kern w:val="2"/>
          <w:sz w:val="24"/>
          <w:szCs w:val="24"/>
          <w:lang w:val="en-US" w:eastAsia="zh-CN" w:bidi="ar-SA"/>
        </w:rPr>
        <w:t>42需要补充的其他内容</w:t>
      </w:r>
    </w:p>
    <w:p w14:paraId="52042FB5">
      <w:pPr>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需要补充的其他内容，见</w:t>
      </w:r>
      <w:r>
        <w:rPr>
          <w:rFonts w:hint="eastAsia" w:ascii="Times New Roman" w:hAnsi="Times New Roman" w:eastAsia="微软雅黑" w:cs="Times New Roman"/>
          <w:b/>
          <w:color w:val="000000"/>
          <w:kern w:val="2"/>
          <w:sz w:val="24"/>
          <w:szCs w:val="22"/>
          <w:lang w:val="en-US" w:eastAsia="zh-CN" w:bidi="ar-SA"/>
        </w:rPr>
        <w:t>【投标人须知前附表】</w:t>
      </w:r>
      <w:r>
        <w:rPr>
          <w:rFonts w:hint="eastAsia" w:ascii="Times New Roman" w:hAnsi="Times New Roman" w:eastAsia="宋体" w:cs="Times New Roman"/>
          <w:color w:val="000000"/>
          <w:kern w:val="2"/>
          <w:sz w:val="24"/>
          <w:szCs w:val="22"/>
          <w:lang w:val="en-US" w:eastAsia="zh-CN" w:bidi="ar-SA"/>
        </w:rPr>
        <w:t>。</w:t>
      </w:r>
    </w:p>
    <w:p w14:paraId="15CB0A0F">
      <w:pPr>
        <w:widowControl w:val="0"/>
        <w:adjustRightInd w:val="0"/>
        <w:snapToGrid w:val="0"/>
        <w:spacing w:before="156" w:beforeLines="100" w:line="440" w:lineRule="exact"/>
        <w:ind w:firstLine="480" w:firstLineChars="200"/>
        <w:jc w:val="both"/>
        <w:textAlignment w:val="baseline"/>
        <w:rPr>
          <w:rFonts w:ascii="等线" w:hAnsi="等线" w:eastAsia="等线" w:cs="宋体"/>
          <w:color w:val="000000"/>
          <w:kern w:val="2"/>
          <w:sz w:val="24"/>
          <w:szCs w:val="22"/>
          <w:lang w:val="en-US" w:eastAsia="zh-CN" w:bidi="ar-SA"/>
        </w:rPr>
      </w:pPr>
    </w:p>
    <w:p w14:paraId="1D647987">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p>
    <w:p w14:paraId="0517B35E">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p>
    <w:p w14:paraId="340EC70C">
      <w:pPr>
        <w:rPr>
          <w:rFonts w:hint="eastAsia" w:ascii="Times New Roman" w:hAnsi="Times New Roman" w:eastAsia="方正小标宋_GBK" w:cs="Times New Roman"/>
          <w:color w:val="000000"/>
          <w:spacing w:val="28"/>
          <w:kern w:val="36"/>
          <w:sz w:val="36"/>
          <w:szCs w:val="20"/>
          <w:lang w:val="en-US" w:eastAsia="zh-CN" w:bidi="ar-SA"/>
        </w:rPr>
      </w:pPr>
      <w:bookmarkStart w:id="33" w:name="_Toc22237"/>
      <w:bookmarkStart w:id="34" w:name="_Toc23598"/>
      <w:bookmarkStart w:id="35" w:name="_Toc32740"/>
      <w:r>
        <w:rPr>
          <w:rFonts w:hint="eastAsia" w:ascii="Times New Roman" w:hAnsi="Times New Roman" w:eastAsia="方正小标宋_GBK" w:cs="Times New Roman"/>
          <w:color w:val="000000"/>
          <w:spacing w:val="28"/>
          <w:kern w:val="36"/>
          <w:sz w:val="36"/>
          <w:szCs w:val="20"/>
          <w:lang w:val="en-US" w:eastAsia="zh-CN" w:bidi="ar-SA"/>
        </w:rPr>
        <w:br w:type="page"/>
      </w:r>
    </w:p>
    <w:p w14:paraId="75FBE56E">
      <w:pPr>
        <w:pStyle w:val="2"/>
        <w:bidi w:val="0"/>
        <w:jc w:val="center"/>
        <w:rPr>
          <w:rFonts w:hint="eastAsia"/>
          <w:b/>
          <w:lang w:val="en-US" w:eastAsia="zh-CN"/>
        </w:rPr>
      </w:pPr>
      <w:bookmarkStart w:id="36" w:name="_Toc24583"/>
      <w:r>
        <w:rPr>
          <w:rFonts w:hint="eastAsia"/>
          <w:b/>
          <w:lang w:val="en-US" w:eastAsia="zh-CN"/>
        </w:rPr>
        <w:t>第三章 采购需求</w:t>
      </w:r>
      <w:bookmarkEnd w:id="33"/>
      <w:bookmarkEnd w:id="34"/>
      <w:bookmarkEnd w:id="36"/>
    </w:p>
    <w:p w14:paraId="7A751A6A">
      <w:pPr>
        <w:widowControl w:val="0"/>
        <w:adjustRightInd w:val="0"/>
        <w:snapToGrid w:val="0"/>
        <w:spacing w:before="156" w:beforeLines="100" w:line="440" w:lineRule="exact"/>
        <w:ind w:firstLine="0" w:firstLineChars="0"/>
        <w:jc w:val="both"/>
        <w:textAlignment w:val="baseline"/>
        <w:rPr>
          <w:rFonts w:hint="eastAsia" w:ascii="黑体" w:hAnsi="黑体" w:eastAsia="黑体" w:cs="黑体"/>
          <w:b/>
          <w:bCs/>
          <w:color w:val="000000"/>
          <w:kern w:val="2"/>
          <w:sz w:val="36"/>
          <w:szCs w:val="36"/>
          <w:u w:val="single"/>
          <w:lang w:val="en-US" w:eastAsia="zh-CN" w:bidi="ar-SA"/>
        </w:rPr>
      </w:pPr>
      <w:r>
        <w:rPr>
          <w:rFonts w:hint="eastAsia" w:ascii="黑体" w:hAnsi="黑体" w:eastAsia="黑体" w:cs="黑体"/>
          <w:b/>
          <w:bCs/>
          <w:color w:val="000000"/>
          <w:kern w:val="2"/>
          <w:sz w:val="36"/>
          <w:szCs w:val="36"/>
          <w:u w:val="single"/>
          <w:lang w:val="en-US" w:eastAsia="zh-CN" w:bidi="ar-SA"/>
        </w:rPr>
        <w:t>前注：下列采购需求须完全响应，否则投标无效</w:t>
      </w:r>
      <w:r>
        <w:rPr>
          <w:rFonts w:hint="eastAsia" w:ascii="黑体" w:hAnsi="黑体" w:eastAsia="黑体" w:cs="黑体"/>
          <w:b/>
          <w:bCs/>
          <w:color w:val="000000"/>
          <w:kern w:val="2"/>
          <w:sz w:val="36"/>
          <w:szCs w:val="36"/>
          <w:u w:val="none"/>
          <w:lang w:val="en-US" w:eastAsia="zh-CN" w:bidi="ar-SA"/>
        </w:rPr>
        <w:t>。</w:t>
      </w:r>
    </w:p>
    <w:p w14:paraId="12B8E075">
      <w:pPr>
        <w:pageBreakBefore w:val="0"/>
        <w:widowControl w:val="0"/>
        <w:wordWrap/>
        <w:topLinePunct w:val="0"/>
        <w:bidi w:val="0"/>
        <w:adjustRightInd w:val="0"/>
        <w:snapToGrid w:val="0"/>
        <w:spacing w:line="480" w:lineRule="exact"/>
        <w:ind w:firstLine="482" w:firstLineChars="200"/>
        <w:jc w:val="both"/>
        <w:rPr>
          <w:rFonts w:hint="eastAsia" w:asciiTheme="minorEastAsia" w:hAnsiTheme="minorEastAsia" w:eastAsiaTheme="minorEastAsia" w:cstheme="minorEastAsia"/>
          <w:b/>
          <w:bCs/>
          <w:color w:val="000000"/>
          <w:kern w:val="2"/>
          <w:sz w:val="24"/>
          <w:szCs w:val="24"/>
          <w:lang w:val="en-US" w:eastAsia="zh-CN" w:bidi="ar-SA"/>
        </w:rPr>
      </w:pPr>
    </w:p>
    <w:p w14:paraId="60F96D32">
      <w:pPr>
        <w:keepNext/>
        <w:keepLines/>
        <w:pageBreakBefore w:val="0"/>
        <w:widowControl w:val="0"/>
        <w:numPr>
          <w:ilvl w:val="0"/>
          <w:numId w:val="9"/>
        </w:numPr>
        <w:kinsoku/>
        <w:wordWrap/>
        <w:overflowPunct/>
        <w:topLinePunct w:val="0"/>
        <w:autoSpaceDE/>
        <w:autoSpaceDN/>
        <w:bidi w:val="0"/>
        <w:adjustRightInd/>
        <w:snapToGrid/>
        <w:spacing w:line="480" w:lineRule="exact"/>
        <w:ind w:firstLine="482" w:firstLineChars="200"/>
        <w:jc w:val="both"/>
        <w:textAlignment w:val="auto"/>
        <w:outlineLvl w:val="1"/>
        <w:rPr>
          <w:rFonts w:hint="eastAsia" w:asciiTheme="minorEastAsia" w:hAnsiTheme="minorEastAsia" w:eastAsiaTheme="minorEastAsia" w:cstheme="minorEastAsia"/>
          <w:b/>
          <w:bCs/>
          <w:kern w:val="2"/>
          <w:sz w:val="24"/>
          <w:szCs w:val="24"/>
          <w:u w:val="none"/>
          <w:lang w:val="en-US" w:eastAsia="zh-CN" w:bidi="ar-SA"/>
        </w:rPr>
      </w:pPr>
      <w:bookmarkStart w:id="37" w:name="_Toc30441"/>
      <w:r>
        <w:rPr>
          <w:rFonts w:hint="eastAsia" w:asciiTheme="minorEastAsia" w:hAnsiTheme="minorEastAsia" w:eastAsiaTheme="minorEastAsia" w:cstheme="minorEastAsia"/>
          <w:b/>
          <w:bCs/>
          <w:kern w:val="2"/>
          <w:sz w:val="24"/>
          <w:szCs w:val="24"/>
          <w:u w:val="none"/>
          <w:lang w:val="en-US" w:eastAsia="zh-CN" w:bidi="ar-SA"/>
        </w:rPr>
        <w:t>项目概况</w:t>
      </w:r>
      <w:bookmarkEnd w:id="37"/>
    </w:p>
    <w:p w14:paraId="46755F21">
      <w:pPr>
        <w:pageBreakBefore w:val="0"/>
        <w:kinsoku/>
        <w:wordWrap/>
        <w:overflowPunct/>
        <w:topLinePunct w:val="0"/>
        <w:autoSpaceDE/>
        <w:autoSpaceDN/>
        <w:bidi w:val="0"/>
        <w:adjustRightInd w:val="0"/>
        <w:snapToGrid w:val="0"/>
        <w:spacing w:line="480" w:lineRule="exact"/>
        <w:ind w:firstLine="480" w:firstLineChars="200"/>
        <w:rPr>
          <w:rFonts w:hint="eastAsia" w:asciiTheme="minorEastAsia" w:hAnsiTheme="minorEastAsia" w:eastAsiaTheme="minorEastAsia" w:cstheme="minorEastAsia"/>
          <w:bCs/>
          <w:i w:val="0"/>
          <w:iCs w:val="0"/>
          <w:color w:val="auto"/>
          <w:sz w:val="24"/>
          <w:szCs w:val="24"/>
          <w:highlight w:val="none"/>
          <w:lang w:val="en-US" w:eastAsia="zh-CN" w:bidi="ar"/>
        </w:rPr>
      </w:pPr>
      <w:r>
        <w:rPr>
          <w:rFonts w:hint="eastAsia" w:asciiTheme="minorEastAsia" w:hAnsiTheme="minorEastAsia" w:eastAsiaTheme="minorEastAsia" w:cstheme="minorEastAsia"/>
          <w:bCs/>
          <w:i w:val="0"/>
          <w:iCs w:val="0"/>
          <w:color w:val="auto"/>
          <w:sz w:val="24"/>
          <w:szCs w:val="24"/>
          <w:highlight w:val="none"/>
          <w:lang w:val="en-US" w:eastAsia="zh-CN" w:bidi="ar"/>
        </w:rPr>
        <w:t>本项目为中央预算内投资项目，属于生态保护修复领域。项目区位于世界自然遗产地——武陵源风景名胜区，生态区位极为重要。现状林分存在杉木/马尾松纯林过密过纯、林相单一、季相景观不足、生态稳定性有待提升等问题。本项目通过采伐修复（间伐+补植+抚育）的方式，对退化林分实施森林质量精准提升，优化林分结构，丰富生物多样性，提升森林景观效果，打造“峰林叠翠、季相斑斓”的自然遗产生态底色。项目地点为张家界市武陵源区中湖乡、索溪峪街道，共涉及13个村（居委会）。具体包括：索溪峪街道：双文村、迎宾路居委会、黄龙路居委会、田富村、文风居委会（5个村/居委会）；中湖乡：鱼泉峪村、定家庄村、三家峪村、檀木岗村、石家峪村、杨家界居委会、青龙垭村、野鸡铺居委会（8个村/居委会）。</w:t>
      </w:r>
    </w:p>
    <w:p w14:paraId="3FE7A6BD">
      <w:pPr>
        <w:pageBreakBefore w:val="0"/>
        <w:kinsoku/>
        <w:wordWrap/>
        <w:overflowPunct/>
        <w:topLinePunct w:val="0"/>
        <w:autoSpaceDE/>
        <w:autoSpaceDN/>
        <w:bidi w:val="0"/>
        <w:adjustRightInd w:val="0"/>
        <w:snapToGrid w:val="0"/>
        <w:spacing w:line="480" w:lineRule="exact"/>
        <w:ind w:firstLine="480" w:firstLineChars="200"/>
        <w:rPr>
          <w:rFonts w:hint="eastAsia" w:asciiTheme="minorEastAsia" w:hAnsiTheme="minorEastAsia" w:eastAsiaTheme="minorEastAsia" w:cstheme="minorEastAsia"/>
          <w:bCs/>
          <w:i w:val="0"/>
          <w:iCs w:val="0"/>
          <w:color w:val="auto"/>
          <w:sz w:val="24"/>
          <w:szCs w:val="24"/>
          <w:highlight w:val="none"/>
          <w:lang w:val="en-US" w:eastAsia="zh-CN" w:bidi="ar"/>
        </w:rPr>
      </w:pPr>
      <w:r>
        <w:rPr>
          <w:rFonts w:hint="eastAsia" w:asciiTheme="minorEastAsia" w:hAnsiTheme="minorEastAsia" w:eastAsiaTheme="minorEastAsia" w:cstheme="minorEastAsia"/>
          <w:bCs/>
          <w:i w:val="0"/>
          <w:iCs w:val="0"/>
          <w:color w:val="auto"/>
          <w:sz w:val="24"/>
          <w:szCs w:val="24"/>
          <w:highlight w:val="none"/>
          <w:lang w:val="en-US" w:eastAsia="zh-CN" w:bidi="ar"/>
        </w:rPr>
        <w:t>项目为张家界市武陵源区湘西北生物多样性保护和生态修复项目（二期），项目总建设内容主要为森林质量精准提升（退化林采伐修复）。项目建设总面积2万亩，全部采用采伐修复方式。涉及小班79个（</w:t>
      </w:r>
      <w:r>
        <w:rPr>
          <w:rFonts w:hint="eastAsia" w:asciiTheme="minorEastAsia" w:hAnsiTheme="minorEastAsia" w:cstheme="minorEastAsia"/>
          <w:bCs/>
          <w:i w:val="0"/>
          <w:iCs w:val="0"/>
          <w:color w:val="auto"/>
          <w:sz w:val="24"/>
          <w:szCs w:val="24"/>
          <w:highlight w:val="none"/>
          <w:lang w:val="en-US" w:eastAsia="zh-CN" w:bidi="ar"/>
        </w:rPr>
        <w:t>详见小班设计及工程量统计表</w:t>
      </w:r>
      <w:r>
        <w:rPr>
          <w:rFonts w:hint="eastAsia" w:asciiTheme="minorEastAsia" w:hAnsiTheme="minorEastAsia" w:eastAsiaTheme="minorEastAsia" w:cstheme="minorEastAsia"/>
          <w:bCs/>
          <w:i w:val="0"/>
          <w:iCs w:val="0"/>
          <w:color w:val="auto"/>
          <w:sz w:val="24"/>
          <w:szCs w:val="24"/>
          <w:highlight w:val="none"/>
          <w:lang w:val="en-US" w:eastAsia="zh-CN" w:bidi="ar"/>
        </w:rPr>
        <w:t>）。具体分布及作业要求以招标文件及设计文件内容为准。建设任务详见表1-1。</w:t>
      </w:r>
    </w:p>
    <w:p w14:paraId="2F54EB6B">
      <w:pPr>
        <w:pageBreakBefore w:val="0"/>
        <w:kinsoku/>
        <w:wordWrap/>
        <w:overflowPunct/>
        <w:topLinePunct w:val="0"/>
        <w:autoSpaceDE/>
        <w:autoSpaceDN/>
        <w:bidi w:val="0"/>
        <w:adjustRightInd w:val="0"/>
        <w:snapToGrid w:val="0"/>
        <w:spacing w:line="480" w:lineRule="exact"/>
        <w:ind w:firstLine="480" w:firstLineChars="200"/>
        <w:rPr>
          <w:rFonts w:hint="eastAsia" w:asciiTheme="minorEastAsia" w:hAnsiTheme="minorEastAsia" w:eastAsiaTheme="minorEastAsia" w:cstheme="minorEastAsia"/>
          <w:bCs/>
          <w:i w:val="0"/>
          <w:iCs w:val="0"/>
          <w:color w:val="auto"/>
          <w:sz w:val="24"/>
          <w:szCs w:val="24"/>
          <w:highlight w:val="none"/>
          <w:lang w:val="en-US" w:eastAsia="zh-CN" w:bidi="ar"/>
        </w:rPr>
      </w:pPr>
      <w:r>
        <w:rPr>
          <w:rFonts w:hint="eastAsia" w:asciiTheme="minorEastAsia" w:hAnsiTheme="minorEastAsia" w:eastAsiaTheme="minorEastAsia" w:cstheme="minorEastAsia"/>
          <w:bCs/>
          <w:i w:val="0"/>
          <w:iCs w:val="0"/>
          <w:color w:val="auto"/>
          <w:sz w:val="24"/>
          <w:szCs w:val="24"/>
          <w:highlight w:val="none"/>
          <w:lang w:val="en-US" w:eastAsia="zh-CN" w:bidi="ar"/>
        </w:rPr>
        <w:t>各年度建设任务详见表1-1。</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7"/>
        <w:gridCol w:w="1566"/>
        <w:gridCol w:w="3026"/>
        <w:gridCol w:w="3271"/>
      </w:tblGrid>
      <w:tr w14:paraId="173AE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blHeader/>
        </w:trPr>
        <w:tc>
          <w:tcPr>
            <w:tcW w:w="5000" w:type="pct"/>
            <w:gridSpan w:val="4"/>
            <w:tcBorders>
              <w:top w:val="nil"/>
              <w:left w:val="nil"/>
              <w:bottom w:val="nil"/>
              <w:right w:val="nil"/>
            </w:tcBorders>
            <w:shd w:val="clear" w:color="auto" w:fill="auto"/>
            <w:noWrap/>
            <w:vAlign w:val="center"/>
          </w:tcPr>
          <w:p w14:paraId="73EAB278">
            <w:pPr>
              <w:pageBreakBefore w:val="0"/>
              <w:kinsoku/>
              <w:wordWrap/>
              <w:overflowPunct/>
              <w:topLinePunct w:val="0"/>
              <w:autoSpaceDE/>
              <w:autoSpaceDN/>
              <w:bidi w:val="0"/>
              <w:adjustRightInd w:val="0"/>
              <w:snapToGrid w:val="0"/>
              <w:spacing w:line="480" w:lineRule="exact"/>
              <w:ind w:firstLine="480" w:firstLineChars="200"/>
              <w:jc w:val="center"/>
              <w:rPr>
                <w:rFonts w:hint="eastAsia" w:asciiTheme="minorEastAsia" w:hAnsiTheme="minorEastAsia" w:eastAsiaTheme="minorEastAsia" w:cstheme="minorEastAsia"/>
                <w:bCs/>
                <w:i w:val="0"/>
                <w:iCs w:val="0"/>
                <w:color w:val="auto"/>
                <w:sz w:val="24"/>
                <w:szCs w:val="24"/>
                <w:highlight w:val="none"/>
                <w:lang w:val="en-US" w:eastAsia="zh-CN" w:bidi="ar"/>
              </w:rPr>
            </w:pPr>
            <w:r>
              <w:rPr>
                <w:rFonts w:hint="eastAsia" w:asciiTheme="minorEastAsia" w:hAnsiTheme="minorEastAsia" w:eastAsiaTheme="minorEastAsia" w:cstheme="minorEastAsia"/>
                <w:bCs/>
                <w:i w:val="0"/>
                <w:iCs w:val="0"/>
                <w:color w:val="auto"/>
                <w:sz w:val="24"/>
                <w:szCs w:val="24"/>
                <w:highlight w:val="none"/>
                <w:lang w:val="en-US" w:eastAsia="zh-CN" w:bidi="ar"/>
              </w:rPr>
              <w:t>表1-1 分年度建设任务一览表</w:t>
            </w:r>
          </w:p>
        </w:tc>
      </w:tr>
      <w:tr w14:paraId="079ED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A9B88">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单位</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D27A3">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年度</w:t>
            </w:r>
          </w:p>
        </w:tc>
        <w:tc>
          <w:tcPr>
            <w:tcW w:w="34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85D0E">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森林质量精准提升（退化林采伐修复）</w:t>
            </w:r>
          </w:p>
        </w:tc>
      </w:tr>
      <w:tr w14:paraId="2F2C4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B16EF">
            <w:pPr>
              <w:keepNext w:val="0"/>
              <w:keepLines w:val="0"/>
              <w:pageBreakBefore w:val="0"/>
              <w:widowControl/>
              <w:kinsoku/>
              <w:wordWrap/>
              <w:overflowPunct/>
              <w:topLinePunct w:val="0"/>
              <w:autoSpaceDE/>
              <w:autoSpaceDN/>
              <w:bidi w:val="0"/>
              <w:adjustRightInd w:val="0"/>
              <w:snapToGrid w:val="0"/>
              <w:spacing w:line="480" w:lineRule="exact"/>
              <w:ind w:firstLine="0" w:firstLineChars="0"/>
              <w:jc w:val="center"/>
              <w:rPr>
                <w:rFonts w:hint="eastAsia" w:asciiTheme="minorEastAsia" w:hAnsiTheme="minorEastAsia" w:eastAsiaTheme="minorEastAsia" w:cstheme="minorEastAsia"/>
                <w:b/>
                <w:bCs/>
                <w:i w:val="0"/>
                <w:iCs w:val="0"/>
                <w:color w:val="auto"/>
                <w:sz w:val="24"/>
                <w:szCs w:val="24"/>
                <w:highlight w:val="none"/>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46444">
            <w:pPr>
              <w:keepNext w:val="0"/>
              <w:keepLines w:val="0"/>
              <w:pageBreakBefore w:val="0"/>
              <w:widowControl/>
              <w:kinsoku/>
              <w:wordWrap/>
              <w:overflowPunct/>
              <w:topLinePunct w:val="0"/>
              <w:autoSpaceDE/>
              <w:autoSpaceDN/>
              <w:bidi w:val="0"/>
              <w:adjustRightInd w:val="0"/>
              <w:snapToGrid w:val="0"/>
              <w:spacing w:line="480" w:lineRule="exact"/>
              <w:ind w:firstLine="0" w:firstLineChars="0"/>
              <w:jc w:val="center"/>
              <w:rPr>
                <w:rFonts w:hint="eastAsia" w:asciiTheme="minorEastAsia" w:hAnsiTheme="minorEastAsia" w:eastAsiaTheme="minorEastAsia" w:cstheme="minorEastAsia"/>
                <w:b/>
                <w:bCs/>
                <w:i w:val="0"/>
                <w:iCs w:val="0"/>
                <w:color w:val="auto"/>
                <w:sz w:val="24"/>
                <w:szCs w:val="24"/>
                <w:highlight w:val="none"/>
                <w:u w:val="none"/>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623E7">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小计</w:t>
            </w: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68660">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采伐修复（亩）</w:t>
            </w:r>
          </w:p>
        </w:tc>
      </w:tr>
      <w:tr w14:paraId="496F3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661" w:type="pct"/>
            <w:vMerge w:val="restart"/>
            <w:tcBorders>
              <w:top w:val="single" w:color="000000" w:sz="4" w:space="0"/>
              <w:left w:val="single" w:color="000000" w:sz="4" w:space="0"/>
              <w:right w:val="single" w:color="000000" w:sz="4" w:space="0"/>
            </w:tcBorders>
            <w:shd w:val="clear" w:color="auto" w:fill="auto"/>
            <w:vAlign w:val="center"/>
          </w:tcPr>
          <w:p w14:paraId="17FB2324">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sz w:val="24"/>
                <w:szCs w:val="24"/>
                <w:highlight w:val="none"/>
                <w:u w:val="none"/>
              </w:rPr>
              <w:t>武陵源区</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15E99">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合计</w:t>
            </w:r>
          </w:p>
        </w:tc>
        <w:tc>
          <w:tcPr>
            <w:tcW w:w="1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D47C2">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20000</w:t>
            </w: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86288">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20000</w:t>
            </w:r>
          </w:p>
        </w:tc>
      </w:tr>
      <w:tr w14:paraId="0BC49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661" w:type="pct"/>
            <w:vMerge w:val="continue"/>
            <w:tcBorders>
              <w:left w:val="single" w:color="000000" w:sz="4" w:space="0"/>
              <w:bottom w:val="single" w:color="000000" w:sz="4" w:space="0"/>
              <w:right w:val="single" w:color="000000" w:sz="4" w:space="0"/>
            </w:tcBorders>
            <w:shd w:val="clear" w:color="auto" w:fill="auto"/>
            <w:vAlign w:val="center"/>
          </w:tcPr>
          <w:p w14:paraId="293D72CD">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kern w:val="0"/>
                <w:sz w:val="24"/>
                <w:szCs w:val="24"/>
                <w:highlight w:val="none"/>
                <w:u w:val="none"/>
                <w:lang w:val="en-US" w:eastAsia="zh-CN" w:bidi="ar"/>
              </w:rPr>
            </w:pPr>
            <w:bookmarkStart w:id="38" w:name="_Toc3170"/>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5D680">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kern w:val="0"/>
                <w:sz w:val="24"/>
                <w:szCs w:val="24"/>
                <w:highlight w:val="none"/>
                <w:u w:val="none"/>
                <w:lang w:val="en-US" w:eastAsia="zh-CN" w:bidi="ar"/>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2026年度</w:t>
            </w:r>
          </w:p>
        </w:tc>
        <w:tc>
          <w:tcPr>
            <w:tcW w:w="1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5A2AD">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20000</w:t>
            </w: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87DDE">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20000</w:t>
            </w:r>
          </w:p>
        </w:tc>
      </w:tr>
    </w:tbl>
    <w:p w14:paraId="26C464AA">
      <w:pPr>
        <w:bidi w:val="0"/>
        <w:rPr>
          <w:rFonts w:hint="eastAsia"/>
          <w:color w:val="auto"/>
          <w:lang w:val="en-US" w:eastAsia="zh-CN"/>
        </w:rPr>
      </w:pPr>
    </w:p>
    <w:bookmarkEnd w:id="38"/>
    <w:tbl>
      <w:tblPr>
        <w:tblStyle w:val="1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85"/>
        <w:gridCol w:w="3753"/>
        <w:gridCol w:w="3222"/>
      </w:tblGrid>
      <w:tr w14:paraId="22772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5000" w:type="pct"/>
            <w:gridSpan w:val="3"/>
            <w:tcBorders>
              <w:top w:val="nil"/>
              <w:left w:val="nil"/>
              <w:bottom w:val="nil"/>
              <w:right w:val="nil"/>
            </w:tcBorders>
            <w:shd w:val="clear" w:color="auto" w:fill="auto"/>
            <w:noWrap/>
            <w:vAlign w:val="center"/>
          </w:tcPr>
          <w:p w14:paraId="11179854">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 xml:space="preserve">表1-2 </w:t>
            </w:r>
            <w:r>
              <w:rPr>
                <w:rFonts w:hint="eastAsia" w:asciiTheme="minorEastAsia" w:hAnsiTheme="minorEastAsia" w:cstheme="minorEastAsia"/>
                <w:i w:val="0"/>
                <w:iCs w:val="0"/>
                <w:color w:val="auto"/>
                <w:kern w:val="0"/>
                <w:sz w:val="24"/>
                <w:szCs w:val="24"/>
                <w:highlight w:val="none"/>
                <w:u w:val="none"/>
                <w:lang w:val="en-US" w:eastAsia="zh-CN" w:bidi="ar"/>
              </w:rPr>
              <w:t>采购人</w:t>
            </w: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统计表</w:t>
            </w:r>
          </w:p>
        </w:tc>
      </w:tr>
      <w:tr w14:paraId="1478D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B86F0">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单位</w:t>
            </w:r>
          </w:p>
        </w:tc>
        <w:tc>
          <w:tcPr>
            <w:tcW w:w="20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6F282">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乡（镇、街道、林场）数量</w:t>
            </w:r>
          </w:p>
        </w:tc>
        <w:tc>
          <w:tcPr>
            <w:tcW w:w="17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4931E">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村（社区）数量</w:t>
            </w:r>
          </w:p>
        </w:tc>
      </w:tr>
      <w:tr w14:paraId="039B5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E4281">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sz w:val="24"/>
                <w:szCs w:val="24"/>
                <w:highlight w:val="none"/>
                <w:u w:val="none"/>
              </w:rPr>
              <w:t>武陵源</w:t>
            </w: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区</w:t>
            </w:r>
          </w:p>
        </w:tc>
        <w:tc>
          <w:tcPr>
            <w:tcW w:w="20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BAD6E">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2</w:t>
            </w:r>
          </w:p>
        </w:tc>
        <w:tc>
          <w:tcPr>
            <w:tcW w:w="17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9B1A5">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lang w:val="en-US"/>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13</w:t>
            </w:r>
          </w:p>
        </w:tc>
      </w:tr>
    </w:tbl>
    <w:p w14:paraId="023C76ED">
      <w:pPr>
        <w:keepNext/>
        <w:keepLines/>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jc w:val="both"/>
        <w:textAlignment w:val="auto"/>
        <w:outlineLvl w:val="1"/>
        <w:rPr>
          <w:rFonts w:hint="eastAsia" w:asciiTheme="minorEastAsia" w:hAnsiTheme="minorEastAsia" w:eastAsiaTheme="minorEastAsia" w:cstheme="minorEastAsia"/>
          <w:b/>
          <w:bCs/>
          <w:i w:val="0"/>
          <w:iCs w:val="0"/>
          <w:color w:val="auto"/>
          <w:kern w:val="2"/>
          <w:sz w:val="24"/>
          <w:szCs w:val="24"/>
          <w:u w:val="none"/>
          <w:lang w:val="en-US" w:eastAsia="zh-CN" w:bidi="ar-SA"/>
        </w:rPr>
      </w:pPr>
      <w:bookmarkStart w:id="39" w:name="_Toc1810"/>
      <w:r>
        <w:rPr>
          <w:rFonts w:hint="eastAsia" w:asciiTheme="minorEastAsia" w:hAnsiTheme="minorEastAsia" w:eastAsiaTheme="minorEastAsia" w:cstheme="minorEastAsia"/>
          <w:b/>
          <w:bCs/>
          <w:i w:val="0"/>
          <w:iCs w:val="0"/>
          <w:color w:val="auto"/>
          <w:kern w:val="2"/>
          <w:sz w:val="24"/>
          <w:szCs w:val="24"/>
          <w:u w:val="none"/>
          <w:lang w:val="en-US" w:eastAsia="zh-CN" w:bidi="ar-SA"/>
        </w:rPr>
        <w:t>（二）采购项目预（概）算</w:t>
      </w:r>
      <w:bookmarkEnd w:id="39"/>
    </w:p>
    <w:p w14:paraId="5FFC1C8A">
      <w:pPr>
        <w:pageBreakBefore w:val="0"/>
        <w:widowControl/>
        <w:kinsoku/>
        <w:wordWrap/>
        <w:overflowPunct/>
        <w:topLinePunct w:val="0"/>
        <w:autoSpaceDE/>
        <w:autoSpaceDN/>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 xml:space="preserve">总 预 算∶ </w:t>
      </w:r>
      <w:r>
        <w:rPr>
          <w:rFonts w:hint="eastAsia" w:asciiTheme="minorEastAsia" w:hAnsiTheme="minorEastAsia" w:cstheme="minorEastAsia"/>
          <w:i w:val="0"/>
          <w:iCs w:val="0"/>
          <w:color w:val="auto"/>
          <w:kern w:val="2"/>
          <w:sz w:val="24"/>
          <w:szCs w:val="24"/>
          <w:u w:val="single"/>
          <w:lang w:val="en-US" w:eastAsia="zh-CN" w:bidi="ar-SA"/>
        </w:rPr>
        <w:t>1903.749万元</w:t>
      </w:r>
      <w:r>
        <w:rPr>
          <w:rFonts w:hint="eastAsia" w:asciiTheme="minorEastAsia" w:hAnsiTheme="minorEastAsia" w:eastAsiaTheme="minorEastAsia" w:cstheme="minorEastAsia"/>
          <w:i w:val="0"/>
          <w:iCs w:val="0"/>
          <w:color w:val="auto"/>
          <w:kern w:val="2"/>
          <w:sz w:val="24"/>
          <w:szCs w:val="24"/>
          <w:u w:val="none"/>
          <w:lang w:val="en-US" w:eastAsia="zh-CN" w:bidi="ar-SA"/>
        </w:rPr>
        <w:t xml:space="preserve">          </w:t>
      </w:r>
    </w:p>
    <w:p w14:paraId="30A527B1">
      <w:pPr>
        <w:keepNext/>
        <w:keepLines/>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jc w:val="both"/>
        <w:outlineLvl w:val="1"/>
        <w:rPr>
          <w:rFonts w:hint="eastAsia" w:asciiTheme="minorEastAsia" w:hAnsiTheme="minorEastAsia" w:eastAsiaTheme="minorEastAsia" w:cstheme="minorEastAsia"/>
          <w:b/>
          <w:bCs/>
          <w:i w:val="0"/>
          <w:iCs w:val="0"/>
          <w:color w:val="auto"/>
          <w:kern w:val="2"/>
          <w:sz w:val="24"/>
          <w:szCs w:val="24"/>
          <w:u w:val="none"/>
          <w:lang w:val="en-US" w:eastAsia="zh-CN" w:bidi="ar-SA"/>
        </w:rPr>
      </w:pPr>
      <w:bookmarkStart w:id="40" w:name="_Toc31577"/>
      <w:r>
        <w:rPr>
          <w:rFonts w:hint="eastAsia" w:asciiTheme="minorEastAsia" w:hAnsiTheme="minorEastAsia" w:eastAsiaTheme="minorEastAsia" w:cstheme="minorEastAsia"/>
          <w:b/>
          <w:bCs/>
          <w:i w:val="0"/>
          <w:iCs w:val="0"/>
          <w:color w:val="auto"/>
          <w:kern w:val="2"/>
          <w:sz w:val="24"/>
          <w:szCs w:val="24"/>
          <w:u w:val="none"/>
          <w:lang w:val="en-US" w:eastAsia="zh-CN" w:bidi="ar-SA"/>
        </w:rPr>
        <w:t>（三）采购标的汇总表</w:t>
      </w:r>
      <w:bookmarkEnd w:id="40"/>
    </w:p>
    <w:tbl>
      <w:tblPr>
        <w:tblStyle w:val="11"/>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822"/>
        <w:gridCol w:w="2748"/>
        <w:gridCol w:w="2025"/>
        <w:gridCol w:w="945"/>
        <w:gridCol w:w="1064"/>
        <w:gridCol w:w="1150"/>
      </w:tblGrid>
      <w:tr w14:paraId="1B66D06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804" w:type="dxa"/>
            <w:tcBorders>
              <w:tl2br w:val="nil"/>
              <w:tr2bl w:val="nil"/>
            </w:tcBorders>
            <w:vAlign w:val="center"/>
          </w:tcPr>
          <w:p w14:paraId="0972F6E9">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包号</w:t>
            </w:r>
          </w:p>
        </w:tc>
        <w:tc>
          <w:tcPr>
            <w:tcW w:w="822" w:type="dxa"/>
            <w:tcBorders>
              <w:tl2br w:val="nil"/>
              <w:tr2bl w:val="nil"/>
            </w:tcBorders>
            <w:vAlign w:val="center"/>
          </w:tcPr>
          <w:p w14:paraId="0EAC41FE">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序号</w:t>
            </w:r>
          </w:p>
        </w:tc>
        <w:tc>
          <w:tcPr>
            <w:tcW w:w="2748" w:type="dxa"/>
            <w:tcBorders>
              <w:tl2br w:val="nil"/>
              <w:tr2bl w:val="nil"/>
            </w:tcBorders>
            <w:vAlign w:val="center"/>
          </w:tcPr>
          <w:p w14:paraId="6318A3BA">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标的名称</w:t>
            </w:r>
          </w:p>
        </w:tc>
        <w:tc>
          <w:tcPr>
            <w:tcW w:w="2025" w:type="dxa"/>
            <w:tcBorders>
              <w:tl2br w:val="nil"/>
              <w:tr2bl w:val="nil"/>
            </w:tcBorders>
            <w:vAlign w:val="center"/>
          </w:tcPr>
          <w:p w14:paraId="61B264B6">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品目分类编码</w:t>
            </w:r>
          </w:p>
        </w:tc>
        <w:tc>
          <w:tcPr>
            <w:tcW w:w="945" w:type="dxa"/>
            <w:tcBorders>
              <w:tl2br w:val="nil"/>
              <w:tr2bl w:val="nil"/>
            </w:tcBorders>
            <w:vAlign w:val="center"/>
          </w:tcPr>
          <w:p w14:paraId="33ED16CE">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计量单位</w:t>
            </w:r>
          </w:p>
        </w:tc>
        <w:tc>
          <w:tcPr>
            <w:tcW w:w="1064" w:type="dxa"/>
            <w:tcBorders>
              <w:tl2br w:val="nil"/>
              <w:tr2bl w:val="nil"/>
            </w:tcBorders>
            <w:vAlign w:val="center"/>
          </w:tcPr>
          <w:p w14:paraId="5C547BE8">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数量</w:t>
            </w:r>
          </w:p>
        </w:tc>
        <w:tc>
          <w:tcPr>
            <w:tcW w:w="1150" w:type="dxa"/>
            <w:tcBorders>
              <w:tl2br w:val="nil"/>
              <w:tr2bl w:val="nil"/>
            </w:tcBorders>
            <w:vAlign w:val="center"/>
          </w:tcPr>
          <w:p w14:paraId="62D32700">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是否进口</w:t>
            </w:r>
          </w:p>
        </w:tc>
      </w:tr>
      <w:tr w14:paraId="407E409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804" w:type="dxa"/>
            <w:tcBorders>
              <w:tl2br w:val="nil"/>
              <w:tr2bl w:val="nil"/>
            </w:tcBorders>
            <w:vAlign w:val="center"/>
          </w:tcPr>
          <w:p w14:paraId="75568E38">
            <w:pPr>
              <w:pageBreakBefore w:val="0"/>
              <w:widowControl/>
              <w:numPr>
                <w:ilvl w:val="0"/>
                <w:numId w:val="0"/>
              </w:numPr>
              <w:kinsoku/>
              <w:wordWrap/>
              <w:overflowPunct/>
              <w:topLinePunct w:val="0"/>
              <w:autoSpaceDE/>
              <w:autoSpaceDN/>
              <w:bidi w:val="0"/>
              <w:adjustRightInd w:val="0"/>
              <w:snapToGrid w:val="0"/>
              <w:spacing w:line="480" w:lineRule="exact"/>
              <w:ind w:firstLine="0" w:firstLineChars="0"/>
              <w:jc w:val="center"/>
              <w:rPr>
                <w:rFonts w:hint="eastAsia" w:asciiTheme="minorEastAsia" w:hAnsiTheme="minorEastAsia" w:eastAsiaTheme="minorEastAsia" w:cstheme="minorEastAsia"/>
                <w:b w:val="0"/>
                <w:bCs w:val="0"/>
                <w:i w:val="0"/>
                <w:iCs w:val="0"/>
                <w:color w:val="auto"/>
                <w:kern w:val="2"/>
                <w:sz w:val="24"/>
                <w:szCs w:val="24"/>
                <w:u w:val="none"/>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24"/>
                <w:szCs w:val="24"/>
                <w:u w:val="none"/>
                <w:vertAlign w:val="baseline"/>
                <w:lang w:val="en-US" w:eastAsia="zh-CN" w:bidi="ar-SA"/>
              </w:rPr>
              <w:t>1</w:t>
            </w:r>
          </w:p>
        </w:tc>
        <w:tc>
          <w:tcPr>
            <w:tcW w:w="822" w:type="dxa"/>
            <w:tcBorders>
              <w:tl2br w:val="nil"/>
              <w:tr2bl w:val="nil"/>
            </w:tcBorders>
            <w:vAlign w:val="center"/>
          </w:tcPr>
          <w:p w14:paraId="565F73D0">
            <w:pPr>
              <w:pageBreakBefore w:val="0"/>
              <w:widowControl/>
              <w:numPr>
                <w:ilvl w:val="0"/>
                <w:numId w:val="10"/>
              </w:numPr>
              <w:kinsoku/>
              <w:wordWrap/>
              <w:overflowPunct/>
              <w:topLinePunct w:val="0"/>
              <w:autoSpaceDE/>
              <w:autoSpaceDN/>
              <w:bidi w:val="0"/>
              <w:adjustRightInd w:val="0"/>
              <w:snapToGrid w:val="0"/>
              <w:spacing w:line="480" w:lineRule="exact"/>
              <w:ind w:left="0" w:leftChars="0" w:firstLine="0" w:firstLineChars="0"/>
              <w:jc w:val="center"/>
              <w:rPr>
                <w:rFonts w:hint="eastAsia" w:asciiTheme="minorEastAsia" w:hAnsiTheme="minorEastAsia" w:eastAsiaTheme="minorEastAsia" w:cstheme="minorEastAsia"/>
                <w:b w:val="0"/>
                <w:bCs w:val="0"/>
                <w:i w:val="0"/>
                <w:iCs w:val="0"/>
                <w:color w:val="auto"/>
                <w:kern w:val="2"/>
                <w:sz w:val="24"/>
                <w:szCs w:val="24"/>
                <w:u w:val="none"/>
                <w:vertAlign w:val="baseline"/>
                <w:lang w:val="en-US" w:eastAsia="zh-CN" w:bidi="ar-SA"/>
              </w:rPr>
            </w:pPr>
          </w:p>
        </w:tc>
        <w:tc>
          <w:tcPr>
            <w:tcW w:w="2748" w:type="dxa"/>
            <w:tcBorders>
              <w:tl2br w:val="nil"/>
              <w:tr2bl w:val="nil"/>
            </w:tcBorders>
            <w:vAlign w:val="center"/>
          </w:tcPr>
          <w:p w14:paraId="1026F291">
            <w:pPr>
              <w:keepNext w:val="0"/>
              <w:keepLines w:val="0"/>
              <w:pageBreakBefore w:val="0"/>
              <w:widowControl/>
              <w:numPr>
                <w:ilvl w:val="0"/>
                <w:numId w:val="0"/>
              </w:numPr>
              <w:tabs>
                <w:tab w:val="left" w:pos="33"/>
              </w:tabs>
              <w:kinsoku/>
              <w:wordWrap/>
              <w:overflowPunct/>
              <w:topLinePunct w:val="0"/>
              <w:autoSpaceDE/>
              <w:autoSpaceDN/>
              <w:bidi w:val="0"/>
              <w:adjustRightInd w:val="0"/>
              <w:snapToGrid w:val="0"/>
              <w:spacing w:line="480" w:lineRule="exact"/>
              <w:ind w:right="-48" w:rightChars="-23" w:firstLine="240" w:firstLineChars="100"/>
              <w:jc w:val="both"/>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张家界市武陵源区湘西北生物多样性保护和生态修复项目</w:t>
            </w:r>
            <w:r>
              <w:rPr>
                <w:rFonts w:hint="eastAsia" w:asciiTheme="minorEastAsia" w:hAnsiTheme="minorEastAsia" w:cstheme="minorEastAsia"/>
                <w:i w:val="0"/>
                <w:iCs w:val="0"/>
                <w:color w:val="auto"/>
                <w:kern w:val="2"/>
                <w:sz w:val="24"/>
                <w:szCs w:val="24"/>
                <w:u w:val="none"/>
                <w:lang w:val="en-US" w:eastAsia="zh-CN" w:bidi="ar-SA"/>
              </w:rPr>
              <w:t>（二期）</w:t>
            </w:r>
          </w:p>
        </w:tc>
        <w:tc>
          <w:tcPr>
            <w:tcW w:w="2025" w:type="dxa"/>
            <w:tcBorders>
              <w:tl2br w:val="nil"/>
              <w:tr2bl w:val="nil"/>
            </w:tcBorders>
            <w:vAlign w:val="center"/>
          </w:tcPr>
          <w:p w14:paraId="66C57262">
            <w:pPr>
              <w:pageBreakBefore w:val="0"/>
              <w:widowControl/>
              <w:numPr>
                <w:ilvl w:val="0"/>
                <w:numId w:val="0"/>
              </w:numPr>
              <w:tabs>
                <w:tab w:val="left" w:pos="33"/>
              </w:tabs>
              <w:kinsoku/>
              <w:wordWrap/>
              <w:overflowPunct/>
              <w:topLinePunct w:val="0"/>
              <w:autoSpaceDE/>
              <w:autoSpaceDN/>
              <w:bidi w:val="0"/>
              <w:adjustRightInd w:val="0"/>
              <w:snapToGrid w:val="0"/>
              <w:spacing w:line="480" w:lineRule="exact"/>
              <w:ind w:leftChars="0" w:right="-48" w:rightChars="-23" w:firstLine="0" w:firstLineChars="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C09020100-造林服务（退化林采伐修复）</w:t>
            </w:r>
          </w:p>
        </w:tc>
        <w:tc>
          <w:tcPr>
            <w:tcW w:w="945" w:type="dxa"/>
            <w:tcBorders>
              <w:tl2br w:val="nil"/>
              <w:tr2bl w:val="nil"/>
            </w:tcBorders>
            <w:vAlign w:val="center"/>
          </w:tcPr>
          <w:p w14:paraId="25FE44B1">
            <w:pPr>
              <w:pageBreakBefore w:val="0"/>
              <w:widowControl/>
              <w:numPr>
                <w:ilvl w:val="0"/>
                <w:numId w:val="0"/>
              </w:numPr>
              <w:tabs>
                <w:tab w:val="left" w:pos="33"/>
              </w:tabs>
              <w:kinsoku/>
              <w:wordWrap/>
              <w:overflowPunct/>
              <w:topLinePunct w:val="0"/>
              <w:autoSpaceDE/>
              <w:autoSpaceDN/>
              <w:bidi w:val="0"/>
              <w:adjustRightInd w:val="0"/>
              <w:snapToGrid w:val="0"/>
              <w:spacing w:line="480" w:lineRule="exact"/>
              <w:ind w:leftChars="0" w:right="-48" w:rightChars="-23" w:firstLine="0" w:firstLineChars="0"/>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亩</w:t>
            </w:r>
          </w:p>
        </w:tc>
        <w:tc>
          <w:tcPr>
            <w:tcW w:w="1064" w:type="dxa"/>
            <w:tcBorders>
              <w:tl2br w:val="nil"/>
              <w:tr2bl w:val="nil"/>
            </w:tcBorders>
            <w:vAlign w:val="center"/>
          </w:tcPr>
          <w:p w14:paraId="7D1FC27C">
            <w:pPr>
              <w:pageBreakBefore w:val="0"/>
              <w:widowControl/>
              <w:numPr>
                <w:ilvl w:val="0"/>
                <w:numId w:val="0"/>
              </w:numPr>
              <w:tabs>
                <w:tab w:val="left" w:pos="33"/>
              </w:tabs>
              <w:kinsoku/>
              <w:wordWrap/>
              <w:overflowPunct/>
              <w:topLinePunct w:val="0"/>
              <w:autoSpaceDE/>
              <w:autoSpaceDN/>
              <w:bidi w:val="0"/>
              <w:adjustRightInd w:val="0"/>
              <w:snapToGrid w:val="0"/>
              <w:spacing w:line="480" w:lineRule="exact"/>
              <w:ind w:leftChars="0" w:right="-48" w:rightChars="-23" w:firstLine="0" w:firstLineChars="0"/>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20000</w:t>
            </w:r>
          </w:p>
        </w:tc>
        <w:tc>
          <w:tcPr>
            <w:tcW w:w="1150" w:type="dxa"/>
            <w:tcBorders>
              <w:tl2br w:val="nil"/>
              <w:tr2bl w:val="nil"/>
            </w:tcBorders>
            <w:vAlign w:val="center"/>
          </w:tcPr>
          <w:p w14:paraId="230AEA9D">
            <w:pPr>
              <w:pageBreakBefore w:val="0"/>
              <w:widowControl/>
              <w:numPr>
                <w:ilvl w:val="0"/>
                <w:numId w:val="0"/>
              </w:numPr>
              <w:tabs>
                <w:tab w:val="left" w:pos="33"/>
              </w:tabs>
              <w:kinsoku/>
              <w:wordWrap/>
              <w:overflowPunct/>
              <w:topLinePunct w:val="0"/>
              <w:autoSpaceDE/>
              <w:autoSpaceDN/>
              <w:bidi w:val="0"/>
              <w:adjustRightInd w:val="0"/>
              <w:snapToGrid w:val="0"/>
              <w:spacing w:line="480" w:lineRule="exact"/>
              <w:ind w:leftChars="100" w:right="-48" w:rightChars="-23" w:firstLine="240" w:firstLineChars="1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否</w:t>
            </w:r>
          </w:p>
        </w:tc>
      </w:tr>
    </w:tbl>
    <w:p w14:paraId="5D253F26">
      <w:pPr>
        <w:keepNext/>
        <w:keepLines/>
        <w:pageBreakBefore w:val="0"/>
        <w:widowControl w:val="0"/>
        <w:numPr>
          <w:ilvl w:val="0"/>
          <w:numId w:val="0"/>
        </w:numPr>
        <w:kinsoku/>
        <w:wordWrap/>
        <w:topLinePunct w:val="0"/>
        <w:bidi w:val="0"/>
        <w:spacing w:line="480" w:lineRule="exact"/>
        <w:ind w:leftChars="200"/>
        <w:jc w:val="both"/>
        <w:outlineLvl w:val="1"/>
        <w:rPr>
          <w:rFonts w:hint="eastAsia" w:asciiTheme="minorEastAsia" w:hAnsiTheme="minorEastAsia" w:eastAsiaTheme="minorEastAsia" w:cstheme="minorEastAsia"/>
          <w:b/>
          <w:bCs/>
          <w:color w:val="auto"/>
          <w:kern w:val="2"/>
          <w:sz w:val="24"/>
          <w:szCs w:val="24"/>
          <w:lang w:val="en-US" w:eastAsia="zh-CN" w:bidi="ar-SA"/>
        </w:rPr>
      </w:pPr>
      <w:bookmarkStart w:id="41" w:name="_Toc1707"/>
      <w:r>
        <w:rPr>
          <w:rFonts w:hint="eastAsia" w:asciiTheme="minorEastAsia" w:hAnsiTheme="minorEastAsia" w:eastAsiaTheme="minorEastAsia" w:cstheme="minorEastAsia"/>
          <w:b/>
          <w:bCs/>
          <w:color w:val="auto"/>
          <w:kern w:val="2"/>
          <w:sz w:val="24"/>
          <w:szCs w:val="24"/>
          <w:lang w:val="en-US" w:eastAsia="zh-CN" w:bidi="ar-SA"/>
        </w:rPr>
        <w:t>（四）项目需遵循的有关标准和规范（包括但不限于）</w:t>
      </w:r>
      <w:bookmarkEnd w:id="41"/>
    </w:p>
    <w:p w14:paraId="105EDD75">
      <w:pPr>
        <w:pageBreakBefore w:val="0"/>
        <w:kinsoku/>
        <w:wordWrap/>
        <w:topLinePunct w:val="0"/>
        <w:bidi w:val="0"/>
        <w:spacing w:line="480" w:lineRule="exact"/>
        <w:ind w:firstLine="482" w:firstLineChars="200"/>
        <w:rPr>
          <w:rFonts w:hint="eastAsia" w:asciiTheme="minorEastAsia" w:hAnsiTheme="minorEastAsia" w:eastAsiaTheme="minorEastAsia" w:cstheme="minorEastAsia"/>
          <w:b/>
          <w:bCs/>
          <w:color w:val="auto"/>
          <w:sz w:val="24"/>
          <w:szCs w:val="24"/>
          <w:u w:val="none"/>
          <w:lang w:val="en-US" w:eastAsia="zh-CN"/>
        </w:rPr>
      </w:pPr>
      <w:r>
        <w:rPr>
          <w:rFonts w:hint="eastAsia" w:asciiTheme="minorEastAsia" w:hAnsiTheme="minorEastAsia" w:eastAsiaTheme="minorEastAsia" w:cstheme="minorEastAsia"/>
          <w:b/>
          <w:bCs/>
          <w:color w:val="auto"/>
          <w:sz w:val="24"/>
          <w:szCs w:val="24"/>
          <w:u w:val="none"/>
          <w:lang w:val="en-US" w:eastAsia="zh-CN"/>
        </w:rPr>
        <w:t xml:space="preserve">1、法律法规 </w:t>
      </w:r>
    </w:p>
    <w:p w14:paraId="70596582">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（1）《中华人民共和国森林法》（2019 年修订）； </w:t>
      </w:r>
    </w:p>
    <w:p w14:paraId="24208604">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（2）《中华人民共和国土地管理法》（2019 年修订）； </w:t>
      </w:r>
    </w:p>
    <w:p w14:paraId="23C3A17C">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（3）《中华人民共和国水土保持法》（2010 年修订）； </w:t>
      </w:r>
    </w:p>
    <w:p w14:paraId="1DFD1DF0">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（4）《中华人民共和国环境保护法》（2014 年修订）； </w:t>
      </w:r>
    </w:p>
    <w:p w14:paraId="41AD3DBB">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（5）《中华人民共和国野生动物保护法》（2022 年修订）； </w:t>
      </w:r>
    </w:p>
    <w:p w14:paraId="28258BF0">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（6）《中华人民共和国森林法实施条例》（2018 年修订）； </w:t>
      </w:r>
    </w:p>
    <w:p w14:paraId="62CF9D74">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（7）《中华人民共和国野生植物保护条例》（2017 年修订）。 </w:t>
      </w:r>
    </w:p>
    <w:p w14:paraId="5C71A6A6">
      <w:pPr>
        <w:pageBreakBefore w:val="0"/>
        <w:kinsoku/>
        <w:wordWrap/>
        <w:topLinePunct w:val="0"/>
        <w:bidi w:val="0"/>
        <w:spacing w:line="480" w:lineRule="exact"/>
        <w:ind w:firstLine="482"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b/>
          <w:bCs/>
          <w:color w:val="auto"/>
          <w:sz w:val="24"/>
          <w:szCs w:val="24"/>
          <w:u w:val="none"/>
          <w:lang w:val="en-US" w:eastAsia="zh-CN"/>
        </w:rPr>
        <w:t>2、政策文件</w:t>
      </w:r>
      <w:r>
        <w:rPr>
          <w:rFonts w:hint="eastAsia" w:asciiTheme="minorEastAsia" w:hAnsiTheme="minorEastAsia" w:eastAsiaTheme="minorEastAsia" w:cstheme="minorEastAsia"/>
          <w:color w:val="auto"/>
          <w:sz w:val="24"/>
          <w:szCs w:val="24"/>
          <w:u w:val="none"/>
          <w:lang w:val="en-US" w:eastAsia="zh-CN"/>
        </w:rPr>
        <w:t xml:space="preserve"> </w:t>
      </w:r>
    </w:p>
    <w:p w14:paraId="1664C7DA">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（1）《国务院办公厅关于科学绿化的指导意见》（国办发〔2021〕19 号）； </w:t>
      </w:r>
    </w:p>
    <w:p w14:paraId="639ABD38">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（2）《国家发展改革委关于印发生态保护修复中央预算内投资专项管理办法的通知》（发改农经规〔2024〕590 号）； </w:t>
      </w:r>
    </w:p>
    <w:p w14:paraId="7DA312AF">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（3）《财政部 国家林草局关于印发&lt;林业草原改革发展资金管理办法&gt;的通知》（财资环〔2025〕153 号）； </w:t>
      </w:r>
    </w:p>
    <w:p w14:paraId="07D29053">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（4）国家林业和草原局关于印发《国土绿化项目作业设计管理规定》的通知 （林生发〔2025〕5 号）； </w:t>
      </w:r>
    </w:p>
    <w:p w14:paraId="1EDFE6B3">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（5）国家林业和草原局办公室 自然资源部办公厅关于印发《国土绿化项目作业设计用地会审工作规则（试行）》的通知（办生字〔2025〕74 号）； </w:t>
      </w:r>
    </w:p>
    <w:p w14:paraId="4265774E">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（6）《国家林业和草原局办公室关于印发&lt;林业和草原建设项目可行性研究报告编制实施细则&gt;&lt;林业和草原建设项目初步设计编制实施细则&gt;的通知》（办规 字〔2023〕174 号）； </w:t>
      </w:r>
    </w:p>
    <w:p w14:paraId="79E77BEE">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（7）《主要栽培珍贵树种参考名录（2022 年）》； </w:t>
      </w:r>
    </w:p>
    <w:p w14:paraId="329DD91F">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（8）《湖南省人民政府办公厅关于科学绿化的实施意见》（湘政办发〔2022〕8 号）； </w:t>
      </w:r>
    </w:p>
    <w:p w14:paraId="6B2B78B0">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（9）《湖南省发展和改革委员会 湖南省应急管理厅 湖南省林业局关于抓紧做好2026年生态保护修复领域中央预算内项目组织工作的通知》（湘发改农〔2025〕559 号）； </w:t>
      </w:r>
    </w:p>
    <w:p w14:paraId="6F3C1287">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（10）《湖南省林木种苗检验证和标签管理办法》（湘林场〔2024〕1 号）； </w:t>
      </w:r>
    </w:p>
    <w:p w14:paraId="790EDF04">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（11）《湖南省林业局关于印发&lt;湖南省主要栽培珍贵树种参考名录（2020年版）&gt;的通知》（湘林造〔2020〕11 号）； </w:t>
      </w:r>
    </w:p>
    <w:p w14:paraId="16F71BB1">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（12）《湖南省林业局办公室关于印发&lt;湖南省森林质量精准提升建设导则&gt; 的通知》（湘林造函〔2022〕17 号）； </w:t>
      </w:r>
    </w:p>
    <w:p w14:paraId="19E9467D">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（13）《湖南省林业厅印发&lt;湖南省林木采伐伐区调查设计技术规定&gt;的通知》（湘林资〔2017〕16 号）； </w:t>
      </w:r>
    </w:p>
    <w:p w14:paraId="729E23CC">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（14）《湖南省人民政府关于下达全省“十五五”期间年森林采伐限额的通知》（湘政函〔2026〕33 号）； </w:t>
      </w:r>
    </w:p>
    <w:p w14:paraId="7BC9B7B3">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（15）《湖南省林业局关于印发〈湖南省林业行业领域安全生产重大事故隐患判定标准〉的通知》（湘林监〔2025〕6 号）。 </w:t>
      </w:r>
    </w:p>
    <w:p w14:paraId="33C88665">
      <w:pPr>
        <w:pageBreakBefore w:val="0"/>
        <w:kinsoku/>
        <w:wordWrap/>
        <w:topLinePunct w:val="0"/>
        <w:bidi w:val="0"/>
        <w:spacing w:line="480" w:lineRule="exact"/>
        <w:ind w:firstLine="482"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b/>
          <w:bCs/>
          <w:color w:val="auto"/>
          <w:sz w:val="24"/>
          <w:szCs w:val="24"/>
          <w:u w:val="none"/>
          <w:lang w:val="en-US" w:eastAsia="zh-CN"/>
        </w:rPr>
        <w:t>3、规程规范</w:t>
      </w:r>
      <w:r>
        <w:rPr>
          <w:rFonts w:hint="eastAsia" w:asciiTheme="minorEastAsia" w:hAnsiTheme="minorEastAsia" w:eastAsiaTheme="minorEastAsia" w:cstheme="minorEastAsia"/>
          <w:color w:val="auto"/>
          <w:sz w:val="24"/>
          <w:szCs w:val="24"/>
          <w:u w:val="none"/>
          <w:lang w:val="en-US" w:eastAsia="zh-CN"/>
        </w:rPr>
        <w:t xml:space="preserve"> </w:t>
      </w:r>
    </w:p>
    <w:p w14:paraId="303B3F1D">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（1）《林木采伐技术规程》（GB/T 45088-2024）； </w:t>
      </w:r>
    </w:p>
    <w:p w14:paraId="2C14B22B">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（2）《退化林修复技术规程》（GB/T 44351-2024）； </w:t>
      </w:r>
    </w:p>
    <w:p w14:paraId="43289D25">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（3）《造林技术规程》（GB/T 15776-2023）； </w:t>
      </w:r>
    </w:p>
    <w:p w14:paraId="394EB7F0">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（4）《森林抚育规程》（GB/T 15781-2015）； </w:t>
      </w:r>
    </w:p>
    <w:p w14:paraId="71B982B2">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（5）《造林作业设计规程》（LY/T 1607-2024）； </w:t>
      </w:r>
    </w:p>
    <w:p w14:paraId="6496374C">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（6）《林地分类》（LY/T 1812-2021）； </w:t>
      </w:r>
    </w:p>
    <w:p w14:paraId="60B1B8C5">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（7）《低效林改造技术规程》（LY/T 1690-2017）； </w:t>
      </w:r>
    </w:p>
    <w:p w14:paraId="7D3E8849">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（8）《造林技术规程》（DB43/T 140-2023）； </w:t>
      </w:r>
    </w:p>
    <w:p w14:paraId="012C4E8E">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（9）《森林质量精准提升技术规程》（DB43/T 2045-2021）； </w:t>
      </w:r>
    </w:p>
    <w:p w14:paraId="3428B9A1">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（10）《主要造林树种苗木质量分级》（DB 43/T 094-2005）。 </w:t>
      </w:r>
    </w:p>
    <w:p w14:paraId="119B015A">
      <w:pPr>
        <w:pageBreakBefore w:val="0"/>
        <w:kinsoku/>
        <w:wordWrap/>
        <w:topLinePunct w:val="0"/>
        <w:bidi w:val="0"/>
        <w:spacing w:line="480" w:lineRule="exact"/>
        <w:ind w:firstLine="482" w:firstLineChars="200"/>
        <w:rPr>
          <w:rFonts w:hint="eastAsia" w:asciiTheme="minorEastAsia" w:hAnsiTheme="minorEastAsia" w:eastAsiaTheme="minorEastAsia" w:cstheme="minorEastAsia"/>
          <w:b/>
          <w:bCs/>
          <w:color w:val="auto"/>
          <w:sz w:val="24"/>
          <w:szCs w:val="24"/>
          <w:u w:val="none"/>
          <w:lang w:val="en-US" w:eastAsia="zh-CN"/>
        </w:rPr>
      </w:pPr>
      <w:r>
        <w:rPr>
          <w:rFonts w:hint="eastAsia" w:asciiTheme="minorEastAsia" w:hAnsiTheme="minorEastAsia" w:eastAsiaTheme="minorEastAsia" w:cstheme="minorEastAsia"/>
          <w:b/>
          <w:bCs/>
          <w:color w:val="auto"/>
          <w:sz w:val="24"/>
          <w:szCs w:val="24"/>
          <w:u w:val="none"/>
          <w:lang w:val="en-US" w:eastAsia="zh-CN"/>
        </w:rPr>
        <w:t xml:space="preserve">4、其他资料 </w:t>
      </w:r>
    </w:p>
    <w:p w14:paraId="28AC913F">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（1）《张家界市国土空间总体规划（2021-2035 年）》； </w:t>
      </w:r>
    </w:p>
    <w:p w14:paraId="379F4232">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（2）《湖南省张家界市湘西北生物多样性保护与生态修复项目（二期）可行性研究报告》； </w:t>
      </w:r>
    </w:p>
    <w:p w14:paraId="5FD5258C">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（3）2025 年度国土变更调查成果、湖南省 2025 年森林草原湿地荒漠化普查数据、最新遥感影像数据、历年上图数据等； </w:t>
      </w:r>
    </w:p>
    <w:p w14:paraId="6FB62EDC">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（4）其他相关资料。</w:t>
      </w:r>
    </w:p>
    <w:p w14:paraId="4597A3C7">
      <w:pPr>
        <w:keepNext/>
        <w:keepLines/>
        <w:pageBreakBefore w:val="0"/>
        <w:widowControl w:val="0"/>
        <w:numPr>
          <w:ilvl w:val="0"/>
          <w:numId w:val="0"/>
        </w:numPr>
        <w:kinsoku/>
        <w:wordWrap/>
        <w:overflowPunct/>
        <w:topLinePunct w:val="0"/>
        <w:autoSpaceDE/>
        <w:autoSpaceDN/>
        <w:bidi w:val="0"/>
        <w:adjustRightInd w:val="0"/>
        <w:snapToGrid w:val="0"/>
        <w:spacing w:line="480" w:lineRule="exact"/>
        <w:ind w:leftChars="200"/>
        <w:jc w:val="both"/>
        <w:outlineLvl w:val="1"/>
        <w:rPr>
          <w:rFonts w:hint="eastAsia" w:asciiTheme="minorEastAsia" w:hAnsiTheme="minorEastAsia" w:eastAsiaTheme="minorEastAsia" w:cstheme="minorEastAsia"/>
          <w:color w:val="auto"/>
          <w:kern w:val="2"/>
          <w:sz w:val="24"/>
          <w:szCs w:val="24"/>
          <w:lang w:val="en-US" w:eastAsia="zh-CN" w:bidi="ar-SA"/>
        </w:rPr>
      </w:pPr>
      <w:bookmarkStart w:id="42" w:name="_Toc26863"/>
      <w:r>
        <w:rPr>
          <w:rFonts w:hint="eastAsia" w:asciiTheme="minorEastAsia" w:hAnsiTheme="minorEastAsia" w:eastAsiaTheme="minorEastAsia" w:cstheme="minorEastAsia"/>
          <w:b/>
          <w:bCs/>
          <w:i w:val="0"/>
          <w:iCs w:val="0"/>
          <w:color w:val="auto"/>
          <w:kern w:val="2"/>
          <w:sz w:val="24"/>
          <w:szCs w:val="24"/>
          <w:u w:val="none"/>
          <w:lang w:val="en-US" w:eastAsia="zh-CN" w:bidi="ar-SA"/>
        </w:rPr>
        <w:t>（五）技术商务要求</w:t>
      </w:r>
      <w:bookmarkEnd w:id="42"/>
    </w:p>
    <w:p w14:paraId="215E1C41">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482" w:firstLineChars="200"/>
        <w:jc w:val="left"/>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1.技术要求</w:t>
      </w:r>
    </w:p>
    <w:p w14:paraId="3CE46C27">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（1</w:t>
      </w:r>
      <w:r>
        <w:rPr>
          <w:rFonts w:hint="eastAsia" w:asciiTheme="minorEastAsia" w:hAnsiTheme="minorEastAsia" w:eastAsiaTheme="minorEastAsia" w:cstheme="minorEastAsia"/>
          <w:i w:val="0"/>
          <w:iCs w:val="0"/>
          <w:color w:val="auto"/>
          <w:kern w:val="2"/>
          <w:sz w:val="24"/>
          <w:szCs w:val="24"/>
          <w:u w:val="none"/>
          <w:lang w:val="en-US" w:eastAsia="zh-CN" w:bidi="ar-SA"/>
        </w:rPr>
        <w:t>）总体要求</w:t>
      </w:r>
    </w:p>
    <w:p w14:paraId="5AEBF63E">
      <w:pPr>
        <w:pageBreakBefore w:val="0"/>
        <w:kinsoku/>
        <w:wordWrap/>
        <w:topLinePunct w:val="0"/>
        <w:bidi w:val="0"/>
        <w:spacing w:line="480" w:lineRule="exact"/>
        <w:ind w:firstLine="480" w:firstLineChars="200"/>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中标人须严格按照招标文件要求及相关技术规程，完成项目区内退化林采伐修复工程的全部工作内容。所有实施活动必须符合世界自然遗产地生态保护要求，不得破坏原生植被和野生动物栖息地。</w:t>
      </w:r>
    </w:p>
    <w:p w14:paraId="72CE5574">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（2）服务内容与技术参数</w:t>
      </w:r>
    </w:p>
    <w:p w14:paraId="59D9C797">
      <w:pPr>
        <w:pageBreakBefore w:val="0"/>
        <w:kinsoku/>
        <w:wordWrap/>
        <w:topLinePunct w:val="0"/>
        <w:bidi w:val="0"/>
        <w:spacing w:line="480" w:lineRule="exact"/>
        <w:ind w:firstLine="482" w:firstLineChars="200"/>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sz w:val="24"/>
          <w:szCs w:val="24"/>
          <w:u w:val="none"/>
          <w:lang w:eastAsia="zh-CN"/>
        </w:rPr>
        <w:t>①</w:t>
      </w:r>
      <w:r>
        <w:rPr>
          <w:rFonts w:hint="eastAsia" w:asciiTheme="minorEastAsia" w:hAnsiTheme="minorEastAsia" w:eastAsiaTheme="minorEastAsia" w:cstheme="minorEastAsia"/>
          <w:i w:val="0"/>
          <w:iCs w:val="0"/>
          <w:color w:val="auto"/>
          <w:kern w:val="2"/>
          <w:sz w:val="24"/>
          <w:szCs w:val="24"/>
          <w:u w:val="none"/>
          <w:lang w:val="en-US" w:eastAsia="zh-CN" w:bidi="ar-SA"/>
        </w:rPr>
        <w:t>服务规模：退化林采伐修复工程共计20000亩，全部采用采伐修复方式。涉及小班79个（</w:t>
      </w:r>
      <w:r>
        <w:rPr>
          <w:rFonts w:hint="eastAsia" w:asciiTheme="minorEastAsia" w:hAnsiTheme="minorEastAsia" w:cstheme="minorEastAsia"/>
          <w:b/>
          <w:bCs/>
          <w:i w:val="0"/>
          <w:iCs w:val="0"/>
          <w:color w:val="auto"/>
          <w:kern w:val="2"/>
          <w:sz w:val="24"/>
          <w:szCs w:val="24"/>
          <w:u w:val="none"/>
          <w:lang w:val="en-US" w:eastAsia="zh-CN" w:bidi="ar-SA"/>
        </w:rPr>
        <w:t>详见小班设计及工程量统计表</w:t>
      </w:r>
      <w:r>
        <w:rPr>
          <w:rFonts w:hint="eastAsia" w:asciiTheme="minorEastAsia" w:hAnsiTheme="minorEastAsia" w:eastAsiaTheme="minorEastAsia" w:cstheme="minorEastAsia"/>
          <w:b w:val="0"/>
          <w:bCs w:val="0"/>
          <w:i w:val="0"/>
          <w:iCs w:val="0"/>
          <w:color w:val="auto"/>
          <w:kern w:val="2"/>
          <w:sz w:val="24"/>
          <w:szCs w:val="24"/>
          <w:u w:val="none"/>
          <w:lang w:val="en-US" w:eastAsia="zh-CN" w:bidi="ar-SA"/>
        </w:rPr>
        <w:t>）。</w:t>
      </w:r>
    </w:p>
    <w:p w14:paraId="3C6F9064">
      <w:pPr>
        <w:pageBreakBefore w:val="0"/>
        <w:kinsoku/>
        <w:wordWrap/>
        <w:topLinePunct w:val="0"/>
        <w:bidi w:val="0"/>
        <w:spacing w:line="480" w:lineRule="exact"/>
        <w:ind w:firstLine="482" w:firstLineChars="200"/>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b/>
          <w:bCs/>
          <w:color w:val="auto"/>
          <w:sz w:val="24"/>
          <w:szCs w:val="24"/>
          <w:u w:val="none"/>
          <w:lang w:val="en-US" w:eastAsia="zh-CN"/>
        </w:rPr>
        <w:t>②</w:t>
      </w:r>
      <w:r>
        <w:rPr>
          <w:rFonts w:hint="eastAsia" w:asciiTheme="minorEastAsia" w:hAnsiTheme="minorEastAsia" w:eastAsiaTheme="minorEastAsia" w:cstheme="minorEastAsia"/>
          <w:i w:val="0"/>
          <w:iCs w:val="0"/>
          <w:color w:val="auto"/>
          <w:kern w:val="2"/>
          <w:sz w:val="24"/>
          <w:szCs w:val="24"/>
          <w:u w:val="none"/>
          <w:lang w:val="en-US" w:eastAsia="zh-CN" w:bidi="ar-SA"/>
        </w:rPr>
        <w:t>修复模式</w:t>
      </w:r>
    </w:p>
    <w:tbl>
      <w:tblPr>
        <w:tblStyle w:val="11"/>
        <w:tblW w:w="90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2970"/>
        <w:gridCol w:w="2535"/>
        <w:gridCol w:w="2323"/>
      </w:tblGrid>
      <w:tr w14:paraId="645D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8" w:type="dxa"/>
            <w:vAlign w:val="center"/>
          </w:tcPr>
          <w:p w14:paraId="2CBCD2E4">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模式号</w:t>
            </w:r>
          </w:p>
        </w:tc>
        <w:tc>
          <w:tcPr>
            <w:tcW w:w="2970" w:type="dxa"/>
            <w:vAlign w:val="center"/>
          </w:tcPr>
          <w:p w14:paraId="3130435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模式名称</w:t>
            </w:r>
          </w:p>
        </w:tc>
        <w:tc>
          <w:tcPr>
            <w:tcW w:w="2535" w:type="dxa"/>
            <w:vAlign w:val="center"/>
          </w:tcPr>
          <w:p w14:paraId="20489618">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适用林分</w:t>
            </w:r>
          </w:p>
        </w:tc>
        <w:tc>
          <w:tcPr>
            <w:tcW w:w="2323" w:type="dxa"/>
            <w:vAlign w:val="center"/>
          </w:tcPr>
          <w:p w14:paraId="0CAA4330">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建设目标</w:t>
            </w:r>
          </w:p>
        </w:tc>
      </w:tr>
      <w:tr w14:paraId="3CDA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8" w:type="dxa"/>
            <w:vAlign w:val="center"/>
          </w:tcPr>
          <w:p w14:paraId="458B44C5">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CFXF2</w:t>
            </w:r>
          </w:p>
        </w:tc>
        <w:tc>
          <w:tcPr>
            <w:tcW w:w="2970" w:type="dxa"/>
            <w:vAlign w:val="center"/>
          </w:tcPr>
          <w:p w14:paraId="56C6EE2B">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杉木退化林采伐修复</w:t>
            </w:r>
          </w:p>
        </w:tc>
        <w:tc>
          <w:tcPr>
            <w:tcW w:w="2535" w:type="dxa"/>
            <w:vAlign w:val="center"/>
          </w:tcPr>
          <w:p w14:paraId="0FFCDF4E">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杉木纯林或杉木为主的混交林</w:t>
            </w:r>
          </w:p>
        </w:tc>
        <w:tc>
          <w:tcPr>
            <w:tcW w:w="2323" w:type="dxa"/>
            <w:vAlign w:val="center"/>
          </w:tcPr>
          <w:p w14:paraId="5301A5DF">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风景林/水保林</w:t>
            </w:r>
          </w:p>
        </w:tc>
      </w:tr>
      <w:tr w14:paraId="5589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8" w:type="dxa"/>
            <w:vAlign w:val="center"/>
          </w:tcPr>
          <w:p w14:paraId="3BA1B3EB">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CFXF5</w:t>
            </w:r>
          </w:p>
        </w:tc>
        <w:tc>
          <w:tcPr>
            <w:tcW w:w="2970" w:type="dxa"/>
            <w:vAlign w:val="center"/>
          </w:tcPr>
          <w:p w14:paraId="493C838A">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马尾松退化林采伐修复</w:t>
            </w:r>
          </w:p>
        </w:tc>
        <w:tc>
          <w:tcPr>
            <w:tcW w:w="2535" w:type="dxa"/>
            <w:vAlign w:val="center"/>
          </w:tcPr>
          <w:p w14:paraId="372FCAE5">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马尾松纯林或马尾松为主的混交林</w:t>
            </w:r>
          </w:p>
        </w:tc>
        <w:tc>
          <w:tcPr>
            <w:tcW w:w="2323" w:type="dxa"/>
            <w:vAlign w:val="center"/>
          </w:tcPr>
          <w:p w14:paraId="64163B18">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风景林/水保林</w:t>
            </w:r>
          </w:p>
        </w:tc>
      </w:tr>
    </w:tbl>
    <w:p w14:paraId="5EB922DD">
      <w:pPr>
        <w:pageBreakBefore w:val="0"/>
        <w:kinsoku/>
        <w:wordWrap/>
        <w:topLinePunct w:val="0"/>
        <w:bidi w:val="0"/>
        <w:spacing w:line="480" w:lineRule="exact"/>
        <w:ind w:firstLine="480" w:firstLineChars="200"/>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③核心技术措施参数</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1450"/>
        <w:gridCol w:w="6973"/>
      </w:tblGrid>
      <w:tr w14:paraId="455B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7B218FB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序号</w:t>
            </w:r>
          </w:p>
        </w:tc>
        <w:tc>
          <w:tcPr>
            <w:tcW w:w="1511" w:type="dxa"/>
            <w:vAlign w:val="center"/>
          </w:tcPr>
          <w:p w14:paraId="0A2FCEF1">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措施名称</w:t>
            </w:r>
          </w:p>
        </w:tc>
        <w:tc>
          <w:tcPr>
            <w:tcW w:w="7380" w:type="dxa"/>
            <w:vAlign w:val="center"/>
          </w:tcPr>
          <w:p w14:paraId="777C12E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具体技术参数</w:t>
            </w:r>
          </w:p>
        </w:tc>
      </w:tr>
      <w:tr w14:paraId="56E1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2F12A990">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w:t>
            </w:r>
          </w:p>
        </w:tc>
        <w:tc>
          <w:tcPr>
            <w:tcW w:w="1511" w:type="dxa"/>
            <w:vAlign w:val="center"/>
          </w:tcPr>
          <w:p w14:paraId="6FC036D3">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采伐（间伐）</w:t>
            </w:r>
          </w:p>
        </w:tc>
        <w:tc>
          <w:tcPr>
            <w:tcW w:w="7380" w:type="dxa"/>
            <w:vAlign w:val="center"/>
          </w:tcPr>
          <w:p w14:paraId="72DD3657">
            <w:pPr>
              <w:pageBreakBefore w:val="0"/>
              <w:kinsoku/>
              <w:wordWrap/>
              <w:topLinePunct w:val="0"/>
              <w:bidi w:val="0"/>
              <w:spacing w:line="480" w:lineRule="exact"/>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方式：间伐；对象：伐除IV级木、V级木（干扰树、病腐木、枯立木、生长衰退木）；蓄积强度：≤15%，伐后郁闭度不低于0.45；原则：“去弯留直、去劣留优、去弱留壮、间密留稀、伐针保阔”。</w:t>
            </w:r>
          </w:p>
        </w:tc>
      </w:tr>
      <w:tr w14:paraId="0DDA4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3BE277E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w:t>
            </w:r>
          </w:p>
        </w:tc>
        <w:tc>
          <w:tcPr>
            <w:tcW w:w="1511" w:type="dxa"/>
            <w:vAlign w:val="center"/>
          </w:tcPr>
          <w:p w14:paraId="1053FBE4">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修枝</w:t>
            </w:r>
          </w:p>
        </w:tc>
        <w:tc>
          <w:tcPr>
            <w:tcW w:w="7380" w:type="dxa"/>
            <w:vAlign w:val="center"/>
          </w:tcPr>
          <w:p w14:paraId="2DF112C1">
            <w:pPr>
              <w:pageBreakBefore w:val="0"/>
              <w:kinsoku/>
              <w:wordWrap/>
              <w:topLinePunct w:val="0"/>
              <w:bidi w:val="0"/>
              <w:spacing w:line="480" w:lineRule="exact"/>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对象：目标树、补植及保留的珍贵树种；时间：春秋两季；技术要求：修枝高度为树干的1/3-1/2，枝桩修平，不伤害树干韧皮部和木质部。</w:t>
            </w:r>
          </w:p>
        </w:tc>
      </w:tr>
      <w:tr w14:paraId="3E3E8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0B064E34">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w:t>
            </w:r>
          </w:p>
        </w:tc>
        <w:tc>
          <w:tcPr>
            <w:tcW w:w="1511" w:type="dxa"/>
            <w:vAlign w:val="center"/>
          </w:tcPr>
          <w:p w14:paraId="6C4554A2">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林地及剩余物清理</w:t>
            </w:r>
          </w:p>
        </w:tc>
        <w:tc>
          <w:tcPr>
            <w:tcW w:w="7380" w:type="dxa"/>
            <w:vAlign w:val="center"/>
          </w:tcPr>
          <w:p w14:paraId="111FCD07">
            <w:pPr>
              <w:pageBreakBefore w:val="0"/>
              <w:kinsoku/>
              <w:wordWrap/>
              <w:topLinePunct w:val="0"/>
              <w:bidi w:val="0"/>
              <w:spacing w:line="480" w:lineRule="exact"/>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清除有碍于苗木栽植和林木生长的藤蔓、灌木等；采伐剩余物无害化处理（粉碎还林或集中堆放）；疫木（松材线虫病）必须全株清理出林分，就地粉碎或焚烧，严禁随意丢弃。</w:t>
            </w:r>
          </w:p>
        </w:tc>
      </w:tr>
      <w:tr w14:paraId="6923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77C6B236">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4</w:t>
            </w:r>
          </w:p>
        </w:tc>
        <w:tc>
          <w:tcPr>
            <w:tcW w:w="1511" w:type="dxa"/>
            <w:vAlign w:val="center"/>
          </w:tcPr>
          <w:p w14:paraId="10FD3A0B">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整地施肥</w:t>
            </w:r>
          </w:p>
        </w:tc>
        <w:tc>
          <w:tcPr>
            <w:tcW w:w="7380" w:type="dxa"/>
            <w:vAlign w:val="center"/>
          </w:tcPr>
          <w:p w14:paraId="53E72837">
            <w:pPr>
              <w:pageBreakBefore w:val="0"/>
              <w:kinsoku/>
              <w:wordWrap/>
              <w:topLinePunct w:val="0"/>
              <w:bidi w:val="0"/>
              <w:spacing w:line="480" w:lineRule="exact"/>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方式：穴状整地（严禁全垦）；规格：50×50×40cm；时间：补植前1个月完成；施肥：每穴底施复合肥0.2kg作为基肥。</w:t>
            </w:r>
          </w:p>
        </w:tc>
      </w:tr>
      <w:tr w14:paraId="26B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52" w:type="dxa"/>
            <w:vAlign w:val="center"/>
          </w:tcPr>
          <w:p w14:paraId="1C5EFFEE">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5</w:t>
            </w:r>
          </w:p>
        </w:tc>
        <w:tc>
          <w:tcPr>
            <w:tcW w:w="1511" w:type="dxa"/>
            <w:vAlign w:val="center"/>
          </w:tcPr>
          <w:p w14:paraId="6835F636">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补植</w:t>
            </w:r>
          </w:p>
        </w:tc>
        <w:tc>
          <w:tcPr>
            <w:tcW w:w="7380" w:type="dxa"/>
            <w:vAlign w:val="center"/>
          </w:tcPr>
          <w:p w14:paraId="4E2AEAF3">
            <w:pPr>
              <w:pageBreakBefore w:val="0"/>
              <w:kinsoku/>
              <w:wordWrap/>
              <w:topLinePunct w:val="0"/>
              <w:bidi w:val="0"/>
              <w:spacing w:line="480" w:lineRule="exact"/>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密度：30-40株/亩；混交比例：3:2:2:3（具体见下表）；每个小班补植树种不少于3种；补植位置：林中空地、林窗、林缘。</w:t>
            </w:r>
          </w:p>
        </w:tc>
      </w:tr>
      <w:tr w14:paraId="2136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5FEE0BA7">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6</w:t>
            </w:r>
          </w:p>
        </w:tc>
        <w:tc>
          <w:tcPr>
            <w:tcW w:w="1511" w:type="dxa"/>
            <w:vAlign w:val="center"/>
          </w:tcPr>
          <w:p w14:paraId="6CE0756A">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抚育管护</w:t>
            </w:r>
          </w:p>
        </w:tc>
        <w:tc>
          <w:tcPr>
            <w:tcW w:w="7380" w:type="dxa"/>
            <w:vAlign w:val="center"/>
          </w:tcPr>
          <w:p w14:paraId="04F888FA">
            <w:pPr>
              <w:pageBreakBefore w:val="0"/>
              <w:kinsoku/>
              <w:wordWrap/>
              <w:topLinePunct w:val="0"/>
              <w:bidi w:val="0"/>
              <w:spacing w:line="480" w:lineRule="exact"/>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当年5-6月、8-9月各抚育1次；内容：以植株为中心，清除1米直径范围内杂草杂灌、培蔸除萌、覆盖保墒；管护期：竣工验收合格之日起24个月。</w:t>
            </w:r>
          </w:p>
        </w:tc>
      </w:tr>
    </w:tbl>
    <w:p w14:paraId="158CB602">
      <w:pPr>
        <w:pageBreakBefore w:val="0"/>
        <w:kinsoku/>
        <w:wordWrap/>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④</w:t>
      </w:r>
      <w:r>
        <w:rPr>
          <w:rFonts w:hint="eastAsia" w:asciiTheme="minorEastAsia" w:hAnsiTheme="minorEastAsia" w:eastAsiaTheme="minorEastAsia" w:cstheme="minorEastAsia"/>
          <w:i w:val="0"/>
          <w:iCs w:val="0"/>
          <w:color w:val="auto"/>
          <w:kern w:val="2"/>
          <w:sz w:val="24"/>
          <w:szCs w:val="24"/>
          <w:u w:val="none"/>
          <w:lang w:val="en-US" w:eastAsia="zh-CN" w:bidi="ar-SA"/>
        </w:rPr>
        <w:t>补植树种配置</w:t>
      </w:r>
    </w:p>
    <w:tbl>
      <w:tblPr>
        <w:tblStyle w:val="11"/>
        <w:tblW w:w="0" w:type="auto"/>
        <w:tblInd w:w="2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0"/>
        <w:gridCol w:w="5070"/>
        <w:gridCol w:w="1752"/>
      </w:tblGrid>
      <w:tr w14:paraId="5CF2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2" w:type="dxa"/>
            <w:vAlign w:val="center"/>
          </w:tcPr>
          <w:p w14:paraId="5A6FEB5C">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模式号</w:t>
            </w:r>
          </w:p>
        </w:tc>
        <w:tc>
          <w:tcPr>
            <w:tcW w:w="5647" w:type="dxa"/>
            <w:vAlign w:val="center"/>
          </w:tcPr>
          <w:p w14:paraId="40CC91F6">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补植配置方案（比例：3:2:2:3）</w:t>
            </w:r>
          </w:p>
        </w:tc>
        <w:tc>
          <w:tcPr>
            <w:tcW w:w="1895" w:type="dxa"/>
            <w:vAlign w:val="center"/>
          </w:tcPr>
          <w:p w14:paraId="04DCCA36">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密度（株/亩）</w:t>
            </w:r>
          </w:p>
        </w:tc>
      </w:tr>
      <w:tr w14:paraId="09A7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2" w:type="dxa"/>
            <w:vAlign w:val="center"/>
          </w:tcPr>
          <w:p w14:paraId="318B13D8">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CFXF2</w:t>
            </w:r>
          </w:p>
        </w:tc>
        <w:tc>
          <w:tcPr>
            <w:tcW w:w="5647" w:type="dxa"/>
            <w:vAlign w:val="center"/>
          </w:tcPr>
          <w:p w14:paraId="0A02531C">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大叶榉树 : 青冈 : 檫木 : 南酸枣</w:t>
            </w:r>
          </w:p>
        </w:tc>
        <w:tc>
          <w:tcPr>
            <w:tcW w:w="1895" w:type="dxa"/>
            <w:vAlign w:val="center"/>
          </w:tcPr>
          <w:p w14:paraId="355BC3AB">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30-38</w:t>
            </w:r>
          </w:p>
        </w:tc>
      </w:tr>
      <w:tr w14:paraId="39EC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2" w:type="dxa"/>
            <w:vAlign w:val="center"/>
          </w:tcPr>
          <w:p w14:paraId="667B56FA">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CFXF2（示范林）</w:t>
            </w:r>
          </w:p>
        </w:tc>
        <w:tc>
          <w:tcPr>
            <w:tcW w:w="5647" w:type="dxa"/>
            <w:vAlign w:val="center"/>
          </w:tcPr>
          <w:p w14:paraId="7DCA4FD5">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大叶榉树大苗 : 青冈大苗 : 檫木大苗 : 红千层</w:t>
            </w:r>
          </w:p>
        </w:tc>
        <w:tc>
          <w:tcPr>
            <w:tcW w:w="1895" w:type="dxa"/>
            <w:vAlign w:val="center"/>
          </w:tcPr>
          <w:p w14:paraId="693DF36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30-38</w:t>
            </w:r>
          </w:p>
        </w:tc>
      </w:tr>
      <w:tr w14:paraId="4B65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2" w:type="dxa"/>
            <w:vAlign w:val="center"/>
          </w:tcPr>
          <w:p w14:paraId="3947A452">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CFXF5</w:t>
            </w:r>
          </w:p>
        </w:tc>
        <w:tc>
          <w:tcPr>
            <w:tcW w:w="5647" w:type="dxa"/>
            <w:vAlign w:val="center"/>
          </w:tcPr>
          <w:p w14:paraId="2548D430">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大叶榉树: 青冈 : 檫木 : 南酸枣</w:t>
            </w:r>
          </w:p>
        </w:tc>
        <w:tc>
          <w:tcPr>
            <w:tcW w:w="1895" w:type="dxa"/>
            <w:vAlign w:val="center"/>
          </w:tcPr>
          <w:p w14:paraId="76C5D6C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30-40</w:t>
            </w:r>
          </w:p>
        </w:tc>
      </w:tr>
      <w:tr w14:paraId="391D1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2" w:type="dxa"/>
            <w:vAlign w:val="center"/>
          </w:tcPr>
          <w:p w14:paraId="12E33B01">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CFXF5（示范林）</w:t>
            </w:r>
          </w:p>
        </w:tc>
        <w:tc>
          <w:tcPr>
            <w:tcW w:w="5647" w:type="dxa"/>
            <w:vAlign w:val="center"/>
          </w:tcPr>
          <w:p w14:paraId="392C1003">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大叶榉树大苗 : 青冈大苗 : 檫木大苗 : 红千层</w:t>
            </w:r>
          </w:p>
        </w:tc>
        <w:tc>
          <w:tcPr>
            <w:tcW w:w="1895" w:type="dxa"/>
            <w:vAlign w:val="center"/>
          </w:tcPr>
          <w:p w14:paraId="3BF6B744">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30-40</w:t>
            </w:r>
          </w:p>
        </w:tc>
      </w:tr>
    </w:tbl>
    <w:p w14:paraId="561A5ECD">
      <w:pPr>
        <w:pageBreakBefore w:val="0"/>
        <w:kinsoku/>
        <w:wordWrap/>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补充说明：在景区入口、景观公路两侧及村道旁、重要节点等可视范围内，应适当增加特色景观树种（红千层、檫木）比例，丰富季相变化。</w:t>
      </w:r>
    </w:p>
    <w:p w14:paraId="65122312">
      <w:pPr>
        <w:pageBreakBefore w:val="0"/>
        <w:kinsoku/>
        <w:wordWrap/>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⑤苗木规格与质量要求</w:t>
      </w:r>
    </w:p>
    <w:p w14:paraId="25228340">
      <w:pPr>
        <w:pageBreakBefore w:val="0"/>
        <w:kinsoku/>
        <w:wordWrap/>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所有用于造林的苗木，必须具备 “三证一签一说明” ：生产经营许可证、苗木质量合格证、苗木产地检疫证、苗木标签、使用说明。</w:t>
      </w:r>
    </w:p>
    <w:tbl>
      <w:tblPr>
        <w:tblStyle w:val="13"/>
        <w:tblW w:w="895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1707"/>
        <w:gridCol w:w="1033"/>
        <w:gridCol w:w="1186"/>
        <w:gridCol w:w="1186"/>
        <w:gridCol w:w="1186"/>
        <w:gridCol w:w="1348"/>
        <w:gridCol w:w="653"/>
      </w:tblGrid>
      <w:tr w14:paraId="2F4B6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jc w:val="center"/>
        </w:trPr>
        <w:tc>
          <w:tcPr>
            <w:tcW w:w="653" w:type="dxa"/>
            <w:vAlign w:val="center"/>
          </w:tcPr>
          <w:p w14:paraId="4E46246B">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序号</w:t>
            </w:r>
          </w:p>
        </w:tc>
        <w:tc>
          <w:tcPr>
            <w:tcW w:w="1707" w:type="dxa"/>
            <w:vAlign w:val="center"/>
          </w:tcPr>
          <w:p w14:paraId="6364293B">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树种名称</w:t>
            </w:r>
          </w:p>
        </w:tc>
        <w:tc>
          <w:tcPr>
            <w:tcW w:w="1033" w:type="dxa"/>
            <w:vAlign w:val="center"/>
          </w:tcPr>
          <w:p w14:paraId="75CDAD3B">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苗龄</w:t>
            </w:r>
          </w:p>
        </w:tc>
        <w:tc>
          <w:tcPr>
            <w:tcW w:w="1186" w:type="dxa"/>
            <w:vAlign w:val="center"/>
          </w:tcPr>
          <w:p w14:paraId="62A90FA3">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苗木类型</w:t>
            </w:r>
          </w:p>
        </w:tc>
        <w:tc>
          <w:tcPr>
            <w:tcW w:w="1186" w:type="dxa"/>
            <w:vAlign w:val="center"/>
          </w:tcPr>
          <w:p w14:paraId="13C687DA">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苗木等级</w:t>
            </w:r>
          </w:p>
        </w:tc>
        <w:tc>
          <w:tcPr>
            <w:tcW w:w="1186" w:type="dxa"/>
            <w:vAlign w:val="center"/>
          </w:tcPr>
          <w:p w14:paraId="2EE60A02">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胸径/地径（cm）</w:t>
            </w:r>
          </w:p>
        </w:tc>
        <w:tc>
          <w:tcPr>
            <w:tcW w:w="1348" w:type="dxa"/>
            <w:vAlign w:val="center"/>
          </w:tcPr>
          <w:p w14:paraId="7E2A8B60">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苗高（m）</w:t>
            </w:r>
          </w:p>
        </w:tc>
        <w:tc>
          <w:tcPr>
            <w:tcW w:w="653" w:type="dxa"/>
            <w:vAlign w:val="center"/>
          </w:tcPr>
          <w:p w14:paraId="394F3248">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备注</w:t>
            </w:r>
          </w:p>
        </w:tc>
      </w:tr>
      <w:tr w14:paraId="4F3B0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653" w:type="dxa"/>
            <w:vAlign w:val="center"/>
          </w:tcPr>
          <w:p w14:paraId="49B99805">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1</w:t>
            </w:r>
          </w:p>
        </w:tc>
        <w:tc>
          <w:tcPr>
            <w:tcW w:w="1707" w:type="dxa"/>
            <w:vAlign w:val="center"/>
          </w:tcPr>
          <w:p w14:paraId="7348F29E">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大叶榉树</w:t>
            </w:r>
          </w:p>
        </w:tc>
        <w:tc>
          <w:tcPr>
            <w:tcW w:w="1033" w:type="dxa"/>
            <w:vAlign w:val="center"/>
          </w:tcPr>
          <w:p w14:paraId="59C9BB31">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两年生</w:t>
            </w:r>
          </w:p>
        </w:tc>
        <w:tc>
          <w:tcPr>
            <w:tcW w:w="1186" w:type="dxa"/>
            <w:vAlign w:val="center"/>
          </w:tcPr>
          <w:p w14:paraId="79129F0D">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容器苗</w:t>
            </w:r>
          </w:p>
        </w:tc>
        <w:tc>
          <w:tcPr>
            <w:tcW w:w="1186" w:type="dxa"/>
            <w:vAlign w:val="center"/>
          </w:tcPr>
          <w:p w14:paraId="20EDC4FE">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77C227D8">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≧1.0</w:t>
            </w:r>
          </w:p>
        </w:tc>
        <w:tc>
          <w:tcPr>
            <w:tcW w:w="1348" w:type="dxa"/>
            <w:vAlign w:val="center"/>
          </w:tcPr>
          <w:p w14:paraId="7EC932B2">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≧1.2</w:t>
            </w:r>
          </w:p>
        </w:tc>
        <w:tc>
          <w:tcPr>
            <w:tcW w:w="653" w:type="dxa"/>
            <w:vAlign w:val="center"/>
          </w:tcPr>
          <w:p w14:paraId="57F67CE0">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7B378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653" w:type="dxa"/>
            <w:vAlign w:val="center"/>
          </w:tcPr>
          <w:p w14:paraId="33CAD4EC">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2</w:t>
            </w:r>
          </w:p>
        </w:tc>
        <w:tc>
          <w:tcPr>
            <w:tcW w:w="1707" w:type="dxa"/>
            <w:vAlign w:val="center"/>
          </w:tcPr>
          <w:p w14:paraId="14F87605">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青冈</w:t>
            </w:r>
          </w:p>
        </w:tc>
        <w:tc>
          <w:tcPr>
            <w:tcW w:w="1033" w:type="dxa"/>
            <w:vAlign w:val="center"/>
          </w:tcPr>
          <w:p w14:paraId="632178AD">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两年生</w:t>
            </w:r>
          </w:p>
        </w:tc>
        <w:tc>
          <w:tcPr>
            <w:tcW w:w="1186" w:type="dxa"/>
            <w:vAlign w:val="center"/>
          </w:tcPr>
          <w:p w14:paraId="4B590632">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容器苗</w:t>
            </w:r>
          </w:p>
        </w:tc>
        <w:tc>
          <w:tcPr>
            <w:tcW w:w="1186" w:type="dxa"/>
            <w:vAlign w:val="center"/>
          </w:tcPr>
          <w:p w14:paraId="2A2DDF03">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5C17A822">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≧0.8</w:t>
            </w:r>
          </w:p>
        </w:tc>
        <w:tc>
          <w:tcPr>
            <w:tcW w:w="1348" w:type="dxa"/>
            <w:vAlign w:val="center"/>
          </w:tcPr>
          <w:p w14:paraId="74C16C88">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≧0.8</w:t>
            </w:r>
          </w:p>
        </w:tc>
        <w:tc>
          <w:tcPr>
            <w:tcW w:w="653" w:type="dxa"/>
            <w:vAlign w:val="center"/>
          </w:tcPr>
          <w:p w14:paraId="5CF69AE4">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776D56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653" w:type="dxa"/>
            <w:vAlign w:val="center"/>
          </w:tcPr>
          <w:p w14:paraId="254B5096">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3</w:t>
            </w:r>
          </w:p>
        </w:tc>
        <w:tc>
          <w:tcPr>
            <w:tcW w:w="1707" w:type="dxa"/>
            <w:vAlign w:val="center"/>
          </w:tcPr>
          <w:p w14:paraId="79726088">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檫木</w:t>
            </w:r>
          </w:p>
        </w:tc>
        <w:tc>
          <w:tcPr>
            <w:tcW w:w="1033" w:type="dxa"/>
            <w:vAlign w:val="center"/>
          </w:tcPr>
          <w:p w14:paraId="1F7C380F">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两年生</w:t>
            </w:r>
          </w:p>
        </w:tc>
        <w:tc>
          <w:tcPr>
            <w:tcW w:w="1186" w:type="dxa"/>
            <w:vAlign w:val="center"/>
          </w:tcPr>
          <w:p w14:paraId="7DC67778">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容器苗</w:t>
            </w:r>
          </w:p>
        </w:tc>
        <w:tc>
          <w:tcPr>
            <w:tcW w:w="1186" w:type="dxa"/>
            <w:vAlign w:val="center"/>
          </w:tcPr>
          <w:p w14:paraId="31D0730B">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73C2D0D1">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≧1.2</w:t>
            </w:r>
          </w:p>
        </w:tc>
        <w:tc>
          <w:tcPr>
            <w:tcW w:w="1348" w:type="dxa"/>
            <w:vAlign w:val="center"/>
          </w:tcPr>
          <w:p w14:paraId="5E3C19D8">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≧1.0</w:t>
            </w:r>
          </w:p>
        </w:tc>
        <w:tc>
          <w:tcPr>
            <w:tcW w:w="653" w:type="dxa"/>
            <w:vAlign w:val="center"/>
          </w:tcPr>
          <w:p w14:paraId="00E25A09">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2F3EA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653" w:type="dxa"/>
            <w:vAlign w:val="center"/>
          </w:tcPr>
          <w:p w14:paraId="575F5AA0">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4</w:t>
            </w:r>
          </w:p>
        </w:tc>
        <w:tc>
          <w:tcPr>
            <w:tcW w:w="1707" w:type="dxa"/>
            <w:vAlign w:val="center"/>
          </w:tcPr>
          <w:p w14:paraId="7C2AFF06">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南酸枣</w:t>
            </w:r>
          </w:p>
        </w:tc>
        <w:tc>
          <w:tcPr>
            <w:tcW w:w="1033" w:type="dxa"/>
            <w:vAlign w:val="center"/>
          </w:tcPr>
          <w:p w14:paraId="3E14E81E">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两年生</w:t>
            </w:r>
          </w:p>
        </w:tc>
        <w:tc>
          <w:tcPr>
            <w:tcW w:w="1186" w:type="dxa"/>
            <w:vAlign w:val="center"/>
          </w:tcPr>
          <w:p w14:paraId="0C676DF1">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容器苗</w:t>
            </w:r>
          </w:p>
        </w:tc>
        <w:tc>
          <w:tcPr>
            <w:tcW w:w="1186" w:type="dxa"/>
            <w:vAlign w:val="center"/>
          </w:tcPr>
          <w:p w14:paraId="2BF05084">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04D6B9F7">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≧1.0</w:t>
            </w:r>
          </w:p>
        </w:tc>
        <w:tc>
          <w:tcPr>
            <w:tcW w:w="1348" w:type="dxa"/>
            <w:vAlign w:val="center"/>
          </w:tcPr>
          <w:p w14:paraId="5DEE61CC">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≧1.2</w:t>
            </w:r>
          </w:p>
        </w:tc>
        <w:tc>
          <w:tcPr>
            <w:tcW w:w="653" w:type="dxa"/>
            <w:vAlign w:val="center"/>
          </w:tcPr>
          <w:p w14:paraId="535BDB2F">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25A55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653" w:type="dxa"/>
            <w:vAlign w:val="center"/>
          </w:tcPr>
          <w:p w14:paraId="705ECAE9">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5</w:t>
            </w:r>
          </w:p>
        </w:tc>
        <w:tc>
          <w:tcPr>
            <w:tcW w:w="1707" w:type="dxa"/>
            <w:vAlign w:val="center"/>
          </w:tcPr>
          <w:p w14:paraId="4627C30D">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香椿</w:t>
            </w:r>
          </w:p>
        </w:tc>
        <w:tc>
          <w:tcPr>
            <w:tcW w:w="1033" w:type="dxa"/>
            <w:vAlign w:val="center"/>
          </w:tcPr>
          <w:p w14:paraId="4FF97BC8">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两年生</w:t>
            </w:r>
          </w:p>
        </w:tc>
        <w:tc>
          <w:tcPr>
            <w:tcW w:w="1186" w:type="dxa"/>
            <w:vAlign w:val="center"/>
          </w:tcPr>
          <w:p w14:paraId="04FEBC29">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容器苗</w:t>
            </w:r>
          </w:p>
        </w:tc>
        <w:tc>
          <w:tcPr>
            <w:tcW w:w="1186" w:type="dxa"/>
            <w:vAlign w:val="center"/>
          </w:tcPr>
          <w:p w14:paraId="338BCCC1">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3FB55111">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≧1.2</w:t>
            </w:r>
          </w:p>
        </w:tc>
        <w:tc>
          <w:tcPr>
            <w:tcW w:w="1348" w:type="dxa"/>
            <w:vAlign w:val="center"/>
          </w:tcPr>
          <w:p w14:paraId="51338240">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≧1.0</w:t>
            </w:r>
          </w:p>
        </w:tc>
        <w:tc>
          <w:tcPr>
            <w:tcW w:w="653" w:type="dxa"/>
            <w:vAlign w:val="center"/>
          </w:tcPr>
          <w:p w14:paraId="354A6998">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19AEF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jc w:val="center"/>
        </w:trPr>
        <w:tc>
          <w:tcPr>
            <w:tcW w:w="653" w:type="dxa"/>
            <w:vAlign w:val="center"/>
          </w:tcPr>
          <w:p w14:paraId="5937B89B">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6</w:t>
            </w:r>
          </w:p>
        </w:tc>
        <w:tc>
          <w:tcPr>
            <w:tcW w:w="1707" w:type="dxa"/>
            <w:vAlign w:val="center"/>
          </w:tcPr>
          <w:p w14:paraId="1C48ECA1">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大叶榉树大苗</w:t>
            </w:r>
          </w:p>
        </w:tc>
        <w:tc>
          <w:tcPr>
            <w:tcW w:w="1033" w:type="dxa"/>
            <w:vAlign w:val="center"/>
          </w:tcPr>
          <w:p w14:paraId="082DCEE9">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c>
          <w:tcPr>
            <w:tcW w:w="1186" w:type="dxa"/>
            <w:vAlign w:val="center"/>
          </w:tcPr>
          <w:p w14:paraId="29033F18">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土球苗</w:t>
            </w:r>
          </w:p>
        </w:tc>
        <w:tc>
          <w:tcPr>
            <w:tcW w:w="1186" w:type="dxa"/>
            <w:vAlign w:val="center"/>
          </w:tcPr>
          <w:p w14:paraId="6F892BB1">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6D6A4127">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≧4.0</w:t>
            </w:r>
          </w:p>
        </w:tc>
        <w:tc>
          <w:tcPr>
            <w:tcW w:w="1348" w:type="dxa"/>
            <w:vAlign w:val="center"/>
          </w:tcPr>
          <w:p w14:paraId="79DD9EFE">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w:t>
            </w:r>
          </w:p>
        </w:tc>
        <w:tc>
          <w:tcPr>
            <w:tcW w:w="653" w:type="dxa"/>
            <w:vAlign w:val="center"/>
          </w:tcPr>
          <w:p w14:paraId="26E1AAF0">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2E6E4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653" w:type="dxa"/>
            <w:vAlign w:val="center"/>
          </w:tcPr>
          <w:p w14:paraId="35FCC8EE">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7</w:t>
            </w:r>
          </w:p>
        </w:tc>
        <w:tc>
          <w:tcPr>
            <w:tcW w:w="1707" w:type="dxa"/>
            <w:vAlign w:val="center"/>
          </w:tcPr>
          <w:p w14:paraId="706723BB">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青冈大苗</w:t>
            </w:r>
          </w:p>
        </w:tc>
        <w:tc>
          <w:tcPr>
            <w:tcW w:w="1033" w:type="dxa"/>
            <w:vAlign w:val="center"/>
          </w:tcPr>
          <w:p w14:paraId="4EB792B4">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c>
          <w:tcPr>
            <w:tcW w:w="1186" w:type="dxa"/>
            <w:vAlign w:val="center"/>
          </w:tcPr>
          <w:p w14:paraId="4B0C462E">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土球苗</w:t>
            </w:r>
          </w:p>
        </w:tc>
        <w:tc>
          <w:tcPr>
            <w:tcW w:w="1186" w:type="dxa"/>
            <w:vAlign w:val="center"/>
          </w:tcPr>
          <w:p w14:paraId="36624630">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52CC9541">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≧4.0</w:t>
            </w:r>
          </w:p>
        </w:tc>
        <w:tc>
          <w:tcPr>
            <w:tcW w:w="1348" w:type="dxa"/>
            <w:vAlign w:val="center"/>
          </w:tcPr>
          <w:p w14:paraId="4F44D0BB">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w:t>
            </w:r>
          </w:p>
        </w:tc>
        <w:tc>
          <w:tcPr>
            <w:tcW w:w="653" w:type="dxa"/>
            <w:vAlign w:val="center"/>
          </w:tcPr>
          <w:p w14:paraId="6BC8AE70">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2D452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653" w:type="dxa"/>
            <w:vAlign w:val="center"/>
          </w:tcPr>
          <w:p w14:paraId="4204EA52">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8</w:t>
            </w:r>
          </w:p>
        </w:tc>
        <w:tc>
          <w:tcPr>
            <w:tcW w:w="1707" w:type="dxa"/>
            <w:vAlign w:val="center"/>
          </w:tcPr>
          <w:p w14:paraId="2873E8EB">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檫木大苗</w:t>
            </w:r>
          </w:p>
        </w:tc>
        <w:tc>
          <w:tcPr>
            <w:tcW w:w="1033" w:type="dxa"/>
            <w:vAlign w:val="center"/>
          </w:tcPr>
          <w:p w14:paraId="6A8A7B6A">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c>
          <w:tcPr>
            <w:tcW w:w="1186" w:type="dxa"/>
            <w:vAlign w:val="center"/>
          </w:tcPr>
          <w:p w14:paraId="1190C8AE">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土球苗</w:t>
            </w:r>
          </w:p>
        </w:tc>
        <w:tc>
          <w:tcPr>
            <w:tcW w:w="1186" w:type="dxa"/>
            <w:vAlign w:val="center"/>
          </w:tcPr>
          <w:p w14:paraId="64CAECE6">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76D4B4CE">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≧4.0</w:t>
            </w:r>
          </w:p>
        </w:tc>
        <w:tc>
          <w:tcPr>
            <w:tcW w:w="1348" w:type="dxa"/>
            <w:vAlign w:val="center"/>
          </w:tcPr>
          <w:p w14:paraId="23DD55B2">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w:t>
            </w:r>
          </w:p>
        </w:tc>
        <w:tc>
          <w:tcPr>
            <w:tcW w:w="653" w:type="dxa"/>
            <w:vAlign w:val="center"/>
          </w:tcPr>
          <w:p w14:paraId="1AB48ED4">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38CB2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653" w:type="dxa"/>
            <w:vAlign w:val="center"/>
          </w:tcPr>
          <w:p w14:paraId="234CDA9A">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9</w:t>
            </w:r>
          </w:p>
        </w:tc>
        <w:tc>
          <w:tcPr>
            <w:tcW w:w="1707" w:type="dxa"/>
            <w:vAlign w:val="center"/>
          </w:tcPr>
          <w:p w14:paraId="6CC9EB86">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香椿大苗</w:t>
            </w:r>
          </w:p>
        </w:tc>
        <w:tc>
          <w:tcPr>
            <w:tcW w:w="1033" w:type="dxa"/>
            <w:vAlign w:val="center"/>
          </w:tcPr>
          <w:p w14:paraId="65EA4D1B">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c>
          <w:tcPr>
            <w:tcW w:w="1186" w:type="dxa"/>
            <w:vAlign w:val="center"/>
          </w:tcPr>
          <w:p w14:paraId="2C90542F">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土球苗</w:t>
            </w:r>
          </w:p>
        </w:tc>
        <w:tc>
          <w:tcPr>
            <w:tcW w:w="1186" w:type="dxa"/>
            <w:vAlign w:val="center"/>
          </w:tcPr>
          <w:p w14:paraId="30AFFC82">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57AB6E9B">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≧4.0</w:t>
            </w:r>
          </w:p>
        </w:tc>
        <w:tc>
          <w:tcPr>
            <w:tcW w:w="1348" w:type="dxa"/>
            <w:vAlign w:val="center"/>
          </w:tcPr>
          <w:p w14:paraId="2EAF87F6">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w:t>
            </w:r>
          </w:p>
        </w:tc>
        <w:tc>
          <w:tcPr>
            <w:tcW w:w="653" w:type="dxa"/>
            <w:vAlign w:val="center"/>
          </w:tcPr>
          <w:p w14:paraId="233980BB">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29F02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jc w:val="center"/>
        </w:trPr>
        <w:tc>
          <w:tcPr>
            <w:tcW w:w="653" w:type="dxa"/>
            <w:vAlign w:val="center"/>
          </w:tcPr>
          <w:p w14:paraId="087976F6">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10</w:t>
            </w:r>
          </w:p>
        </w:tc>
        <w:tc>
          <w:tcPr>
            <w:tcW w:w="1707" w:type="dxa"/>
            <w:vAlign w:val="center"/>
          </w:tcPr>
          <w:p w14:paraId="71BD5185">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红千层</w:t>
            </w:r>
          </w:p>
        </w:tc>
        <w:tc>
          <w:tcPr>
            <w:tcW w:w="1033" w:type="dxa"/>
            <w:vAlign w:val="center"/>
          </w:tcPr>
          <w:p w14:paraId="7FD70104">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c>
          <w:tcPr>
            <w:tcW w:w="1186" w:type="dxa"/>
            <w:vAlign w:val="center"/>
          </w:tcPr>
          <w:p w14:paraId="18DFC17A">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容器苗</w:t>
            </w:r>
          </w:p>
        </w:tc>
        <w:tc>
          <w:tcPr>
            <w:tcW w:w="1186" w:type="dxa"/>
            <w:vAlign w:val="center"/>
          </w:tcPr>
          <w:p w14:paraId="58C6512C">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16C91070">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≧4.0</w:t>
            </w:r>
          </w:p>
        </w:tc>
        <w:tc>
          <w:tcPr>
            <w:tcW w:w="1348" w:type="dxa"/>
            <w:vAlign w:val="center"/>
          </w:tcPr>
          <w:p w14:paraId="5ADF625D">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≧2.5</w:t>
            </w:r>
          </w:p>
        </w:tc>
        <w:tc>
          <w:tcPr>
            <w:tcW w:w="653" w:type="dxa"/>
            <w:vAlign w:val="center"/>
          </w:tcPr>
          <w:p w14:paraId="424EC17A">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bl>
    <w:p w14:paraId="7FCDC87F">
      <w:pPr>
        <w:pageBreakBefore w:val="0"/>
        <w:kinsoku/>
        <w:wordWrap/>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⑥示范林建设要求</w:t>
      </w:r>
    </w:p>
    <w:p w14:paraId="07522879">
      <w:pPr>
        <w:pageBreakBefore w:val="0"/>
        <w:kinsoku/>
        <w:wordWrap/>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本项目须建设3处示范林，总面积为740.2亩，中标人必须严格按照</w:t>
      </w:r>
      <w:r>
        <w:rPr>
          <w:rFonts w:hint="eastAsia" w:asciiTheme="minorEastAsia" w:hAnsiTheme="minorEastAsia" w:cstheme="minorEastAsia"/>
          <w:i w:val="0"/>
          <w:iCs w:val="0"/>
          <w:color w:val="auto"/>
          <w:kern w:val="2"/>
          <w:sz w:val="24"/>
          <w:szCs w:val="24"/>
          <w:u w:val="none"/>
          <w:lang w:val="en-US" w:eastAsia="zh-CN" w:bidi="ar-SA"/>
        </w:rPr>
        <w:t>采购人</w:t>
      </w:r>
      <w:r>
        <w:rPr>
          <w:rFonts w:hint="eastAsia" w:asciiTheme="minorEastAsia" w:hAnsiTheme="minorEastAsia" w:eastAsiaTheme="minorEastAsia" w:cstheme="minorEastAsia"/>
          <w:i w:val="0"/>
          <w:iCs w:val="0"/>
          <w:color w:val="auto"/>
          <w:kern w:val="2"/>
          <w:sz w:val="24"/>
          <w:szCs w:val="24"/>
          <w:u w:val="none"/>
          <w:lang w:val="en-US" w:eastAsia="zh-CN" w:bidi="ar-SA"/>
        </w:rPr>
        <w:t>要求完成示范林建设：</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2581"/>
        <w:gridCol w:w="1199"/>
        <w:gridCol w:w="2255"/>
        <w:gridCol w:w="2234"/>
      </w:tblGrid>
      <w:tr w14:paraId="664A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1D5C12D">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序号</w:t>
            </w:r>
          </w:p>
        </w:tc>
        <w:tc>
          <w:tcPr>
            <w:tcW w:w="2797" w:type="dxa"/>
            <w:vAlign w:val="center"/>
          </w:tcPr>
          <w:p w14:paraId="11EE9DB5">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位置（乡/街道-村-小班号）</w:t>
            </w:r>
          </w:p>
        </w:tc>
        <w:tc>
          <w:tcPr>
            <w:tcW w:w="1229" w:type="dxa"/>
            <w:vAlign w:val="center"/>
          </w:tcPr>
          <w:p w14:paraId="69C859C5">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面积（亩）</w:t>
            </w:r>
          </w:p>
        </w:tc>
        <w:tc>
          <w:tcPr>
            <w:tcW w:w="2365" w:type="dxa"/>
            <w:vAlign w:val="center"/>
          </w:tcPr>
          <w:p w14:paraId="0AB10C03">
            <w:pPr>
              <w:pageBreakBefore w:val="0"/>
              <w:kinsoku/>
              <w:wordWrap/>
              <w:topLinePunct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修复模式</w:t>
            </w:r>
          </w:p>
        </w:tc>
        <w:tc>
          <w:tcPr>
            <w:tcW w:w="2382" w:type="dxa"/>
            <w:vAlign w:val="center"/>
          </w:tcPr>
          <w:p w14:paraId="6D369691">
            <w:pPr>
              <w:pageBreakBefore w:val="0"/>
              <w:kinsoku/>
              <w:wordWrap/>
              <w:topLinePunct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特殊要求</w:t>
            </w:r>
          </w:p>
        </w:tc>
      </w:tr>
      <w:tr w14:paraId="478D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6BCA3FDD">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w:t>
            </w:r>
          </w:p>
        </w:tc>
        <w:tc>
          <w:tcPr>
            <w:tcW w:w="2797" w:type="dxa"/>
            <w:vAlign w:val="center"/>
          </w:tcPr>
          <w:p w14:paraId="03B500C8">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中湖乡-杨家界居委会-27号小班</w:t>
            </w:r>
          </w:p>
        </w:tc>
        <w:tc>
          <w:tcPr>
            <w:tcW w:w="1229" w:type="dxa"/>
            <w:vAlign w:val="center"/>
          </w:tcPr>
          <w:p w14:paraId="44976F43">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204.8</w:t>
            </w:r>
          </w:p>
        </w:tc>
        <w:tc>
          <w:tcPr>
            <w:tcW w:w="2365" w:type="dxa"/>
            <w:vAlign w:val="center"/>
          </w:tcPr>
          <w:p w14:paraId="4BDCE382">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杉木退化林采伐修复（CFXF2）</w:t>
            </w:r>
          </w:p>
        </w:tc>
        <w:tc>
          <w:tcPr>
            <w:tcW w:w="2382" w:type="dxa"/>
            <w:vAlign w:val="center"/>
          </w:tcPr>
          <w:p w14:paraId="42D986B7">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补植大苗（地径≥4cm）；示范“杉改彩”技术路径</w:t>
            </w:r>
          </w:p>
        </w:tc>
      </w:tr>
      <w:tr w14:paraId="53C8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4CC26275">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w:t>
            </w:r>
          </w:p>
        </w:tc>
        <w:tc>
          <w:tcPr>
            <w:tcW w:w="2797" w:type="dxa"/>
            <w:vAlign w:val="center"/>
          </w:tcPr>
          <w:p w14:paraId="082906BC">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中湖乡-野鸡铺居委会-38号小班</w:t>
            </w:r>
          </w:p>
        </w:tc>
        <w:tc>
          <w:tcPr>
            <w:tcW w:w="1229" w:type="dxa"/>
            <w:vAlign w:val="center"/>
          </w:tcPr>
          <w:p w14:paraId="0B5FEC0A">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255.2</w:t>
            </w:r>
          </w:p>
        </w:tc>
        <w:tc>
          <w:tcPr>
            <w:tcW w:w="2365" w:type="dxa"/>
            <w:vAlign w:val="center"/>
          </w:tcPr>
          <w:p w14:paraId="1846BBCD">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尾松退化林采伐修复（CFXF5）</w:t>
            </w:r>
          </w:p>
        </w:tc>
        <w:tc>
          <w:tcPr>
            <w:tcW w:w="2382" w:type="dxa"/>
            <w:vAlign w:val="center"/>
          </w:tcPr>
          <w:p w14:paraId="13CC138F">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补植大苗；示范“松改彩”技术路径</w:t>
            </w:r>
          </w:p>
        </w:tc>
      </w:tr>
      <w:tr w14:paraId="658F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106A831A">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w:t>
            </w:r>
          </w:p>
        </w:tc>
        <w:tc>
          <w:tcPr>
            <w:tcW w:w="2797" w:type="dxa"/>
            <w:vAlign w:val="center"/>
          </w:tcPr>
          <w:p w14:paraId="3D25E53F">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索溪峪街道-双文村-69号小班</w:t>
            </w:r>
          </w:p>
        </w:tc>
        <w:tc>
          <w:tcPr>
            <w:tcW w:w="1229" w:type="dxa"/>
            <w:vAlign w:val="center"/>
          </w:tcPr>
          <w:p w14:paraId="1C2FC2F6">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280.2</w:t>
            </w:r>
          </w:p>
        </w:tc>
        <w:tc>
          <w:tcPr>
            <w:tcW w:w="2365" w:type="dxa"/>
            <w:vAlign w:val="center"/>
          </w:tcPr>
          <w:p w14:paraId="742F5688">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杉木退化林采伐修复（CFXF2）</w:t>
            </w:r>
          </w:p>
        </w:tc>
        <w:tc>
          <w:tcPr>
            <w:tcW w:w="2382" w:type="dxa"/>
            <w:vAlign w:val="center"/>
          </w:tcPr>
          <w:p w14:paraId="2308ED7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补植大苗；示范“杉改彩”技术路径</w:t>
            </w:r>
          </w:p>
        </w:tc>
      </w:tr>
    </w:tbl>
    <w:p w14:paraId="7668F39C">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（3）采购清单</w:t>
      </w:r>
    </w:p>
    <w:tbl>
      <w:tblPr>
        <w:tblStyle w:val="10"/>
        <w:tblW w:w="87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48"/>
        <w:gridCol w:w="3035"/>
        <w:gridCol w:w="1617"/>
        <w:gridCol w:w="1133"/>
        <w:gridCol w:w="1600"/>
      </w:tblGrid>
      <w:tr w14:paraId="23FAB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blHeader/>
          <w:jc w:val="center"/>
        </w:trPr>
        <w:tc>
          <w:tcPr>
            <w:tcW w:w="43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50572F">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rPr>
              <w:t>项目内容</w:t>
            </w:r>
          </w:p>
        </w:tc>
        <w:tc>
          <w:tcPr>
            <w:tcW w:w="1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8608E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rPr>
              <w:t>单位</w:t>
            </w:r>
          </w:p>
        </w:tc>
        <w:tc>
          <w:tcPr>
            <w:tcW w:w="11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26A33">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rPr>
              <w:t>规模</w:t>
            </w:r>
          </w:p>
        </w:tc>
        <w:tc>
          <w:tcPr>
            <w:tcW w:w="1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A292B">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rPr>
              <w:t>单价(元)</w:t>
            </w:r>
          </w:p>
        </w:tc>
      </w:tr>
      <w:tr w14:paraId="5D8E1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blHeader/>
          <w:jc w:val="center"/>
        </w:trPr>
        <w:tc>
          <w:tcPr>
            <w:tcW w:w="43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2D21D">
            <w:pPr>
              <w:pageBreakBefore w:val="0"/>
              <w:kinsoku/>
              <w:wordWrap/>
              <w:topLinePunct w:val="0"/>
              <w:bidi w:val="0"/>
              <w:spacing w:line="480" w:lineRule="exact"/>
              <w:jc w:val="center"/>
              <w:rPr>
                <w:rFonts w:hint="eastAsia" w:asciiTheme="minorEastAsia" w:hAnsiTheme="minorEastAsia" w:eastAsiaTheme="minorEastAsia" w:cstheme="minorEastAsia"/>
                <w:b/>
                <w:bCs/>
                <w:i w:val="0"/>
                <w:iCs w:val="0"/>
                <w:color w:val="auto"/>
                <w:sz w:val="24"/>
                <w:szCs w:val="24"/>
                <w:u w:val="none"/>
              </w:rPr>
            </w:pP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9FC73">
            <w:pPr>
              <w:pageBreakBefore w:val="0"/>
              <w:kinsoku/>
              <w:wordWrap/>
              <w:topLinePunct w:val="0"/>
              <w:bidi w:val="0"/>
              <w:spacing w:line="480" w:lineRule="exact"/>
              <w:jc w:val="center"/>
              <w:rPr>
                <w:rFonts w:hint="eastAsia" w:asciiTheme="minorEastAsia" w:hAnsiTheme="minorEastAsia" w:eastAsiaTheme="minorEastAsia" w:cstheme="minorEastAsia"/>
                <w:b/>
                <w:bCs/>
                <w:i w:val="0"/>
                <w:iCs w:val="0"/>
                <w:color w:val="auto"/>
                <w:sz w:val="24"/>
                <w:szCs w:val="24"/>
                <w:u w:val="none"/>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5CFCF">
            <w:pPr>
              <w:pageBreakBefore w:val="0"/>
              <w:kinsoku/>
              <w:wordWrap/>
              <w:topLinePunct w:val="0"/>
              <w:bidi w:val="0"/>
              <w:spacing w:line="480" w:lineRule="exact"/>
              <w:jc w:val="center"/>
              <w:rPr>
                <w:rFonts w:hint="eastAsia" w:asciiTheme="minorEastAsia" w:hAnsiTheme="minorEastAsia" w:eastAsiaTheme="minorEastAsia" w:cstheme="minorEastAsia"/>
                <w:b/>
                <w:bCs/>
                <w:i w:val="0"/>
                <w:iCs w:val="0"/>
                <w:color w:val="auto"/>
                <w:sz w:val="24"/>
                <w:szCs w:val="24"/>
                <w:u w:val="none"/>
              </w:rPr>
            </w:pPr>
          </w:p>
        </w:tc>
        <w:tc>
          <w:tcPr>
            <w:tcW w:w="1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E85CF">
            <w:pPr>
              <w:pageBreakBefore w:val="0"/>
              <w:kinsoku/>
              <w:wordWrap/>
              <w:topLinePunct w:val="0"/>
              <w:bidi w:val="0"/>
              <w:spacing w:line="480" w:lineRule="exact"/>
              <w:jc w:val="center"/>
              <w:rPr>
                <w:rFonts w:hint="eastAsia" w:asciiTheme="minorEastAsia" w:hAnsiTheme="minorEastAsia" w:eastAsiaTheme="minorEastAsia" w:cstheme="minorEastAsia"/>
                <w:b/>
                <w:bCs/>
                <w:i w:val="0"/>
                <w:iCs w:val="0"/>
                <w:color w:val="auto"/>
                <w:sz w:val="24"/>
                <w:szCs w:val="24"/>
                <w:u w:val="none"/>
              </w:rPr>
            </w:pPr>
          </w:p>
        </w:tc>
      </w:tr>
      <w:tr w14:paraId="1D6A8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87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B3958D">
            <w:pPr>
              <w:keepNext w:val="0"/>
              <w:keepLines w:val="0"/>
              <w:pageBreakBefore w:val="0"/>
              <w:widowControl/>
              <w:suppressLineNumbers w:val="0"/>
              <w:kinsoku/>
              <w:wordWrap/>
              <w:topLinePunct w:val="0"/>
              <w:bidi w:val="0"/>
              <w:spacing w:line="480" w:lineRule="exact"/>
              <w:jc w:val="left"/>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rPr>
              <w:t>退化林采伐修复</w:t>
            </w:r>
          </w:p>
        </w:tc>
      </w:tr>
      <w:tr w14:paraId="2FDED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restart"/>
            <w:tcBorders>
              <w:top w:val="single" w:color="000000" w:sz="4" w:space="0"/>
              <w:left w:val="single" w:color="000000" w:sz="4" w:space="0"/>
              <w:right w:val="single" w:color="000000" w:sz="4" w:space="0"/>
            </w:tcBorders>
            <w:shd w:val="clear" w:color="auto" w:fill="auto"/>
            <w:vAlign w:val="center"/>
          </w:tcPr>
          <w:p w14:paraId="4846011A">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材料</w:t>
            </w: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4E852">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rPr>
              <w:t>苗木（合计）</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5BDF">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sz w:val="24"/>
                <w:szCs w:val="24"/>
                <w:u w:val="none"/>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F5CF">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sz w:val="24"/>
                <w:szCs w:val="24"/>
                <w:u w:val="none"/>
              </w:rPr>
            </w:pPr>
            <w:r>
              <w:rPr>
                <w:rFonts w:hint="eastAsia" w:asciiTheme="minorEastAsia" w:hAnsiTheme="minorEastAsia" w:eastAsiaTheme="minorEastAsia" w:cstheme="minorEastAsia"/>
                <w:b w:val="0"/>
                <w:bCs w:val="0"/>
                <w:i w:val="0"/>
                <w:iCs w:val="0"/>
                <w:color w:val="auto"/>
                <w:sz w:val="24"/>
                <w:szCs w:val="24"/>
                <w:u w:val="none"/>
              </w:rPr>
              <w:t>678075</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A0CC">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44F96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0E80B">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69B0">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其中：大叶榉树</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A6E53">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2ECA">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195541</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D87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5FFB4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6CBA4">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B1652">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青冈</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26B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0472">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130363</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67D6">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5ED45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5C07D">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A921">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檫木</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37A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BAE82">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130363</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4CF90">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18258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CDD00">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1692">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南酸枣</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5883">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0E44C">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122940</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13C5">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449FF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428F6">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2FD36">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香椿</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BF54">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E5A5">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72592</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14A86">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3534F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C462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AA89">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青冈大苗</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1B04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B0DF">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5255</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2D1E">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51870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2A1F1">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DA74">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檫木大苗</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99E9">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7FE7F">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5255</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77A9">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43A19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33A84">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6CE2">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红千层</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0451">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8AF0">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7883</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1BE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444D8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C04F5">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34366">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大叶榉树大苗</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297B">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E4788">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4554</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980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2D270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F977E">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0889F">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香椿大苗</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9A104">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2746">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3329</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CA5C3">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0BF8B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BACDF">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B6D4">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肥料（复合肥）</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714B">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吨</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429E">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123.29</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1966">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56D61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D0CC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C523">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sz w:val="24"/>
                <w:szCs w:val="24"/>
                <w:u w:val="none"/>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保水剂等</w:t>
            </w:r>
            <w:r>
              <w:rPr>
                <w:rFonts w:hint="eastAsia" w:asciiTheme="minorEastAsia" w:hAnsiTheme="minorEastAsia" w:cstheme="minorEastAsia"/>
                <w:b w:val="0"/>
                <w:bCs w:val="0"/>
                <w:i w:val="0"/>
                <w:iCs w:val="0"/>
                <w:color w:val="auto"/>
                <w:kern w:val="0"/>
                <w:sz w:val="24"/>
                <w:szCs w:val="24"/>
                <w:u w:val="none"/>
                <w:lang w:val="en-US" w:eastAsia="zh-CN"/>
              </w:rPr>
              <w:t>（含生根粉）</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4C4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吨</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2361">
            <w:pPr>
              <w:keepNext w:val="0"/>
              <w:keepLines w:val="0"/>
              <w:pageBreakBefore w:val="0"/>
              <w:widowControl/>
              <w:suppressLineNumbers w:val="0"/>
              <w:kinsoku/>
              <w:wordWrap/>
              <w:topLinePunct w:val="0"/>
              <w:bidi w:val="0"/>
              <w:spacing w:line="480" w:lineRule="exact"/>
              <w:jc w:val="center"/>
              <w:textAlignment w:val="center"/>
              <w:rPr>
                <w:rFonts w:hint="default"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cstheme="minorEastAsia"/>
                <w:i w:val="0"/>
                <w:iCs w:val="0"/>
                <w:color w:val="auto"/>
                <w:sz w:val="24"/>
                <w:szCs w:val="24"/>
                <w:u w:val="none"/>
                <w:lang w:val="en-US" w:eastAsia="zh-CN"/>
              </w:rPr>
              <w:t>9.25</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7819">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61226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46CB4">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人工</w:t>
            </w: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53C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rPr>
              <w:t>人工（合计）</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F9F5">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38330">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85084.6</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A732F">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19260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E84FD">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2ADA">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采伐</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1905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87B1">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20019.3</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C18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00260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AE99E">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3B1D9">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修枝</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9479A">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8F978">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4222.0</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0CC3A">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46860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5A05C">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0F9DB">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林地及剩余物清理</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B82C">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EDBB">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20558.4</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3A454">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50FC3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46E97">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84EA">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整地</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FAD8C">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74F48">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12328.8</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DE61C">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1A542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D70AB">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79A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补植</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A1D15">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B789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6164.8</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1C543">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5E978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2A80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A414A">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施肥</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4F88">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ED1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1232.9</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77EB">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2E54D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2B5AA">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5DF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抚育管护</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A6A1">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4512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20558.4</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953A">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bl>
    <w:p w14:paraId="55A8B29D">
      <w:pPr>
        <w:pageBreakBefore w:val="0"/>
        <w:wordWrap/>
        <w:topLinePunct w:val="0"/>
        <w:bidi w:val="0"/>
        <w:spacing w:line="480" w:lineRule="exact"/>
        <w:ind w:firstLine="482" w:firstLineChars="200"/>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val="en-US" w:eastAsia="zh-CN"/>
        </w:rPr>
        <w:t>2.</w:t>
      </w:r>
      <w:r>
        <w:rPr>
          <w:rFonts w:hint="eastAsia" w:asciiTheme="minorEastAsia" w:hAnsiTheme="minorEastAsia" w:eastAsiaTheme="minorEastAsia" w:cstheme="minorEastAsia"/>
          <w:b/>
          <w:bCs/>
          <w:i w:val="0"/>
          <w:iCs w:val="0"/>
          <w:color w:val="auto"/>
          <w:sz w:val="24"/>
          <w:szCs w:val="24"/>
          <w:u w:val="none"/>
          <w:lang w:eastAsia="zh-CN"/>
        </w:rPr>
        <w:t>商务要求</w:t>
      </w:r>
    </w:p>
    <w:p w14:paraId="22B1541C">
      <w:pPr>
        <w:pageBreakBefore w:val="0"/>
        <w:widowControl/>
        <w:wordWrap/>
        <w:overflowPunct/>
        <w:topLinePunct w:val="0"/>
        <w:bidi w:val="0"/>
        <w:spacing w:line="480" w:lineRule="exact"/>
        <w:ind w:firstLine="482" w:firstLineChars="200"/>
        <w:jc w:val="left"/>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（1）服务期限（履约时间）</w:t>
      </w:r>
    </w:p>
    <w:p w14:paraId="74EAA053">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服务期：</w:t>
      </w:r>
      <w:r>
        <w:rPr>
          <w:rFonts w:hint="eastAsia" w:asciiTheme="minorEastAsia" w:hAnsiTheme="minorEastAsia" w:cstheme="minorEastAsia"/>
          <w:i w:val="0"/>
          <w:iCs w:val="0"/>
          <w:color w:val="auto"/>
          <w:kern w:val="2"/>
          <w:sz w:val="24"/>
          <w:szCs w:val="24"/>
          <w:u w:val="none"/>
          <w:lang w:val="en-US" w:eastAsia="zh-CN" w:bidi="ar-SA"/>
        </w:rPr>
        <w:t>项目建设期为1年</w:t>
      </w:r>
      <w:r>
        <w:rPr>
          <w:rFonts w:hint="eastAsia" w:asciiTheme="minorEastAsia" w:hAnsiTheme="minorEastAsia" w:eastAsiaTheme="minorEastAsia" w:cstheme="minorEastAsia"/>
          <w:i w:val="0"/>
          <w:iCs w:val="0"/>
          <w:color w:val="auto"/>
          <w:kern w:val="2"/>
          <w:sz w:val="24"/>
          <w:szCs w:val="24"/>
          <w:u w:val="none"/>
          <w:lang w:val="en-US" w:eastAsia="zh-CN" w:bidi="ar-SA"/>
        </w:rPr>
        <w:t>。须在此期限内完成采伐、修枝、清理、整地、栽植等全部内容。</w:t>
      </w:r>
    </w:p>
    <w:p w14:paraId="0517EC4E">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管护期（质量保证期）：成果验收合格之日起24个月（含2027年、2028年两年的抚育管护工作）。</w:t>
      </w:r>
    </w:p>
    <w:p w14:paraId="735D4FAE">
      <w:pPr>
        <w:pageBreakBefore w:val="0"/>
        <w:widowControl/>
        <w:wordWrap/>
        <w:overflowPunct/>
        <w:topLinePunct w:val="0"/>
        <w:bidi w:val="0"/>
        <w:spacing w:line="480" w:lineRule="exact"/>
        <w:ind w:firstLine="482" w:firstLineChars="200"/>
        <w:jc w:val="left"/>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（2）服务地点</w:t>
      </w:r>
    </w:p>
    <w:p w14:paraId="3A5208F4">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张家界市武陵源区中湖乡、索溪峪街道项目区小班所在地（涉及双文村、迎宾路居委会、黄龙路居委会、田富村、文风居委会、鱼泉峪村、定家庄村、三家峪村、檀木岗村、石家峪村、杨家界居委会、青龙垭村、野鸡铺居委会等13个村/居委会）。具体以采购人提供的</w:t>
      </w:r>
      <w:r>
        <w:rPr>
          <w:rFonts w:hint="eastAsia" w:asciiTheme="minorEastAsia" w:hAnsiTheme="minorEastAsia" w:cstheme="minorEastAsia"/>
          <w:b w:val="0"/>
          <w:bCs w:val="0"/>
          <w:color w:val="auto"/>
          <w:sz w:val="24"/>
          <w:szCs w:val="24"/>
          <w:lang w:eastAsia="zh-CN"/>
        </w:rPr>
        <w:t>项目总体布局</w:t>
      </w:r>
      <w:r>
        <w:rPr>
          <w:rFonts w:hint="eastAsia" w:asciiTheme="minorEastAsia" w:hAnsiTheme="minorEastAsia" w:eastAsiaTheme="minorEastAsia" w:cstheme="minorEastAsia"/>
          <w:b w:val="0"/>
          <w:bCs w:val="0"/>
          <w:color w:val="auto"/>
          <w:sz w:val="24"/>
          <w:szCs w:val="24"/>
          <w:lang w:eastAsia="zh-CN"/>
        </w:rPr>
        <w:t>图、小班设计</w:t>
      </w:r>
      <w:r>
        <w:rPr>
          <w:rFonts w:hint="eastAsia" w:asciiTheme="minorEastAsia" w:hAnsiTheme="minorEastAsia" w:cstheme="minorEastAsia"/>
          <w:b w:val="0"/>
          <w:bCs w:val="0"/>
          <w:color w:val="auto"/>
          <w:sz w:val="24"/>
          <w:szCs w:val="24"/>
          <w:lang w:eastAsia="zh-CN"/>
        </w:rPr>
        <w:t>及工程量统计</w:t>
      </w:r>
      <w:r>
        <w:rPr>
          <w:rFonts w:hint="eastAsia" w:asciiTheme="minorEastAsia" w:hAnsiTheme="minorEastAsia" w:eastAsiaTheme="minorEastAsia" w:cstheme="minorEastAsia"/>
          <w:b w:val="0"/>
          <w:bCs w:val="0"/>
          <w:color w:val="auto"/>
          <w:sz w:val="24"/>
          <w:szCs w:val="24"/>
          <w:lang w:eastAsia="zh-CN"/>
        </w:rPr>
        <w:t>表</w:t>
      </w:r>
      <w:r>
        <w:rPr>
          <w:rFonts w:hint="eastAsia" w:asciiTheme="minorEastAsia" w:hAnsiTheme="minorEastAsia" w:cstheme="minorEastAsia"/>
          <w:b w:val="0"/>
          <w:bCs w:val="0"/>
          <w:color w:val="auto"/>
          <w:sz w:val="24"/>
          <w:szCs w:val="24"/>
          <w:lang w:eastAsia="zh-CN"/>
        </w:rPr>
        <w:t>、各小班作业设计图</w:t>
      </w:r>
      <w:r>
        <w:rPr>
          <w:rFonts w:hint="eastAsia" w:asciiTheme="minorEastAsia" w:hAnsiTheme="minorEastAsia" w:eastAsiaTheme="minorEastAsia" w:cstheme="minorEastAsia"/>
          <w:b w:val="0"/>
          <w:bCs w:val="0"/>
          <w:color w:val="auto"/>
          <w:sz w:val="24"/>
          <w:szCs w:val="24"/>
          <w:lang w:eastAsia="zh-CN"/>
        </w:rPr>
        <w:t>为准</w:t>
      </w:r>
      <w:r>
        <w:rPr>
          <w:rFonts w:hint="eastAsia" w:asciiTheme="minorEastAsia" w:hAnsiTheme="minorEastAsia" w:eastAsiaTheme="minorEastAsia" w:cstheme="minorEastAsia"/>
          <w:i w:val="0"/>
          <w:iCs w:val="0"/>
          <w:color w:val="auto"/>
          <w:kern w:val="2"/>
          <w:sz w:val="24"/>
          <w:szCs w:val="24"/>
          <w:u w:val="none"/>
          <w:lang w:val="en-US" w:eastAsia="zh-CN" w:bidi="ar-SA"/>
        </w:rPr>
        <w:t>。</w:t>
      </w:r>
    </w:p>
    <w:p w14:paraId="5EC023C7">
      <w:pPr>
        <w:pageBreakBefore w:val="0"/>
        <w:widowControl/>
        <w:wordWrap/>
        <w:overflowPunct/>
        <w:topLinePunct w:val="0"/>
        <w:bidi w:val="0"/>
        <w:spacing w:line="480" w:lineRule="exact"/>
        <w:ind w:firstLine="482" w:firstLineChars="200"/>
        <w:jc w:val="left"/>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（3）服务方式（履约形式）</w:t>
      </w:r>
    </w:p>
    <w:p w14:paraId="3CA1FD5D">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包工包料，按照招标文件及相关技术规程，完成退化林采伐修复工程的全部内容，包括但不限于：采伐（间伐）、修枝、林地及剩余物清理、整地施肥、苗木补植、抚育管护等。</w:t>
      </w:r>
    </w:p>
    <w:p w14:paraId="4DB87924">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特别要求：</w:t>
      </w:r>
    </w:p>
    <w:p w14:paraId="1E16827F">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（1）中标人不得将合同转包或违法分包。</w:t>
      </w:r>
    </w:p>
    <w:p w14:paraId="1C1BEB94">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（2）中标人须为所有参加施工作业的人员购买人身意外伤害保险。</w:t>
      </w:r>
    </w:p>
    <w:p w14:paraId="50C127A9">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（3）苗木须具备“三证一签一说明”，经采购人验收合格后方可用于施工。</w:t>
      </w:r>
    </w:p>
    <w:p w14:paraId="102C5427">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（4）疫木处理须严格执行松材线虫病防控要求，就地粉碎或焚烧，严禁外运。</w:t>
      </w:r>
    </w:p>
    <w:p w14:paraId="0F30DF2D">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特别说明：</w:t>
      </w:r>
    </w:p>
    <w:p w14:paraId="0C4C1E07">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世界自然遗产地保护要求：本项目位于世界自然遗产地——武陵源风景名胜区，施工过程中须严格控制噪音、扬尘、水土流失，保护古树名木和野生动物栖息地，严禁破坏原生植被。实施方案须经采购人审核同意后方可实施。</w:t>
      </w:r>
    </w:p>
    <w:p w14:paraId="0081C605">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（2）松材线虫病防控要求：采伐的马尾松疫木必须严格按照《松材线虫病防治技术方案》要求处理，就地粉碎或焚烧，严禁运出林区。伐桩高度不超过5厘米，并采用磷化铝熏蒸或覆膜处理。</w:t>
      </w:r>
    </w:p>
    <w:p w14:paraId="195F1169">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安全生产要求：中标人须严格遵守《湖南省安全生产条例》，施工前对作业人员进行安全培训，施工期间跟班作业，杜绝安全生产事故。施工期间在主要交通路口设置简易施工牌一块标明项目名称，施工期限及施工内容，施工负责人及联系电话，避免施工行动被误解。</w:t>
      </w:r>
    </w:p>
    <w:p w14:paraId="72691A29">
      <w:pPr>
        <w:pageBreakBefore w:val="0"/>
        <w:widowControl/>
        <w:wordWrap/>
        <w:overflowPunct/>
        <w:topLinePunct w:val="0"/>
        <w:bidi w:val="0"/>
        <w:spacing w:line="480" w:lineRule="exact"/>
        <w:ind w:firstLine="482" w:firstLineChars="200"/>
        <w:jc w:val="left"/>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（4）质量保证期</w:t>
      </w:r>
    </w:p>
    <w:p w14:paraId="54DBF0DE">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质量保证期：成果验收合格之日起24个月（含2027年、2028年两年的抚育管护工作）。</w:t>
      </w:r>
    </w:p>
    <w:p w14:paraId="33B1F6C2">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保证期内要求：采伐修复合格率 ≥ 90%</w:t>
      </w:r>
    </w:p>
    <w:p w14:paraId="528B3347">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如未达到上述标准，中标人须在下一个适宜栽植季节内无偿补植，补植后管护期顺延，费用由中标人承担。</w:t>
      </w:r>
    </w:p>
    <w:p w14:paraId="1DAFD09F">
      <w:pPr>
        <w:pageBreakBefore w:val="0"/>
        <w:widowControl/>
        <w:wordWrap/>
        <w:overflowPunct/>
        <w:topLinePunct w:val="0"/>
        <w:bidi w:val="0"/>
        <w:spacing w:line="480" w:lineRule="exact"/>
        <w:ind w:firstLine="482" w:firstLineChars="200"/>
        <w:jc w:val="left"/>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（5）响应时间</w:t>
      </w:r>
    </w:p>
    <w:p w14:paraId="72192FA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16" w:firstLineChars="200"/>
        <w:jc w:val="left"/>
        <w:textAlignment w:val="auto"/>
        <w:rPr>
          <w:rFonts w:hint="eastAsia" w:asciiTheme="minorEastAsia" w:hAnsiTheme="minorEastAsia" w:eastAsiaTheme="minorEastAsia" w:cstheme="minorEastAsia"/>
          <w:i w:val="0"/>
          <w:iCs w:val="0"/>
          <w:color w:val="auto"/>
          <w:spacing w:val="-1"/>
          <w:kern w:val="2"/>
          <w:sz w:val="24"/>
          <w:szCs w:val="24"/>
          <w:u w:val="none"/>
          <w:lang w:val="en-US" w:eastAsia="zh-CN" w:bidi="ar-SA"/>
        </w:rPr>
      </w:pPr>
      <w:r>
        <w:rPr>
          <w:rFonts w:hint="eastAsia" w:asciiTheme="minorEastAsia" w:hAnsiTheme="minorEastAsia" w:eastAsiaTheme="minorEastAsia" w:cstheme="minorEastAsia"/>
          <w:i w:val="0"/>
          <w:iCs w:val="0"/>
          <w:color w:val="auto"/>
          <w:spacing w:val="-16"/>
          <w:kern w:val="2"/>
          <w:sz w:val="24"/>
          <w:szCs w:val="24"/>
          <w:u w:val="none"/>
          <w:lang w:val="en-US" w:eastAsia="zh-CN" w:bidi="ar-SA"/>
        </w:rPr>
        <w:t>①服务时间内</w:t>
      </w:r>
      <w:r>
        <w:rPr>
          <w:rFonts w:hint="eastAsia" w:asciiTheme="minorEastAsia" w:hAnsiTheme="minorEastAsia" w:eastAsiaTheme="minorEastAsia" w:cstheme="minorEastAsia"/>
          <w:i w:val="0"/>
          <w:iCs w:val="0"/>
          <w:color w:val="auto"/>
          <w:spacing w:val="-15"/>
          <w:kern w:val="2"/>
          <w:sz w:val="24"/>
          <w:szCs w:val="24"/>
          <w:u w:val="none"/>
          <w:lang w:val="en-US" w:eastAsia="zh-CN" w:bidi="ar-SA"/>
        </w:rPr>
        <w:t>，中标</w:t>
      </w:r>
      <w:r>
        <w:rPr>
          <w:rFonts w:hint="eastAsia" w:asciiTheme="minorEastAsia" w:hAnsiTheme="minorEastAsia" w:eastAsiaTheme="minorEastAsia" w:cstheme="minorEastAsia"/>
          <w:i w:val="0"/>
          <w:iCs w:val="0"/>
          <w:color w:val="auto"/>
          <w:spacing w:val="-8"/>
          <w:kern w:val="2"/>
          <w:sz w:val="24"/>
          <w:szCs w:val="24"/>
          <w:u w:val="none"/>
          <w:lang w:val="en-US" w:eastAsia="zh-CN" w:bidi="ar-SA"/>
        </w:rPr>
        <w:t>供</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应商须提供常设服务专线技术支持。</w:t>
      </w:r>
    </w:p>
    <w:p w14:paraId="5FE61D71">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76"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spacing w:val="-1"/>
          <w:kern w:val="2"/>
          <w:sz w:val="24"/>
          <w:szCs w:val="24"/>
          <w:u w:val="none"/>
          <w:lang w:val="en-US" w:eastAsia="zh-CN" w:bidi="ar-SA"/>
        </w:rPr>
        <w:t>②对采购人的服务通知，</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中标供应商须符合</w:t>
      </w:r>
      <w:r>
        <w:rPr>
          <w:rFonts w:hint="eastAsia" w:asciiTheme="minorEastAsia" w:hAnsiTheme="minorEastAsia" w:eastAsiaTheme="minorEastAsia" w:cstheme="minorEastAsia"/>
          <w:i w:val="0"/>
          <w:iCs w:val="0"/>
          <w:color w:val="auto"/>
          <w:spacing w:val="-5"/>
          <w:kern w:val="2"/>
          <w:sz w:val="24"/>
          <w:szCs w:val="24"/>
          <w:u w:val="none"/>
          <w:lang w:val="en-US" w:eastAsia="zh-CN" w:bidi="ar-SA"/>
        </w:rPr>
        <w:t>以下要求：在</w:t>
      </w:r>
      <w:r>
        <w:rPr>
          <w:rFonts w:hint="eastAsia" w:asciiTheme="minorEastAsia" w:hAnsiTheme="minorEastAsia" w:eastAsiaTheme="minorEastAsia" w:cstheme="minorEastAsia"/>
          <w:i w:val="0"/>
          <w:iCs w:val="0"/>
          <w:color w:val="auto"/>
          <w:spacing w:val="3"/>
          <w:kern w:val="2"/>
          <w:sz w:val="24"/>
          <w:szCs w:val="24"/>
          <w:u w:val="none"/>
          <w:lang w:val="en-US" w:eastAsia="zh-CN" w:bidi="ar-SA"/>
        </w:rPr>
        <w:t>接报后1小时内响应；</w:t>
      </w:r>
      <w:r>
        <w:rPr>
          <w:rFonts w:hint="eastAsia" w:asciiTheme="minorEastAsia" w:hAnsiTheme="minorEastAsia" w:eastAsiaTheme="minorEastAsia" w:cstheme="minorEastAsia"/>
          <w:i w:val="0"/>
          <w:iCs w:val="0"/>
          <w:color w:val="auto"/>
          <w:kern w:val="2"/>
          <w:sz w:val="24"/>
          <w:szCs w:val="24"/>
          <w:u w:val="none"/>
          <w:lang w:val="en-US" w:eastAsia="zh-CN" w:bidi="ar-SA"/>
        </w:rPr>
        <w:t>2小时内到达现</w:t>
      </w:r>
      <w:r>
        <w:rPr>
          <w:rFonts w:hint="eastAsia" w:asciiTheme="minorEastAsia" w:hAnsiTheme="minorEastAsia" w:eastAsiaTheme="minorEastAsia" w:cstheme="minorEastAsia"/>
          <w:i w:val="0"/>
          <w:iCs w:val="0"/>
          <w:color w:val="auto"/>
          <w:spacing w:val="2"/>
          <w:kern w:val="2"/>
          <w:sz w:val="24"/>
          <w:szCs w:val="24"/>
          <w:u w:val="none"/>
          <w:lang w:val="en-US" w:eastAsia="zh-CN" w:bidi="ar-SA"/>
        </w:rPr>
        <w:t>场；12小时内</w:t>
      </w:r>
      <w:r>
        <w:rPr>
          <w:rFonts w:hint="eastAsia" w:asciiTheme="minorEastAsia" w:hAnsiTheme="minorEastAsia" w:eastAsiaTheme="minorEastAsia" w:cstheme="minorEastAsia"/>
          <w:i w:val="0"/>
          <w:iCs w:val="0"/>
          <w:color w:val="auto"/>
          <w:spacing w:val="-2"/>
          <w:kern w:val="2"/>
          <w:sz w:val="24"/>
          <w:szCs w:val="24"/>
          <w:u w:val="none"/>
          <w:lang w:val="en-US" w:eastAsia="zh-CN" w:bidi="ar-SA"/>
        </w:rPr>
        <w:t>提供处理方案给采购</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人确认。24小时内按采购人确认的</w:t>
      </w:r>
      <w:r>
        <w:rPr>
          <w:rFonts w:hint="eastAsia" w:asciiTheme="minorEastAsia" w:hAnsiTheme="minorEastAsia" w:eastAsiaTheme="minorEastAsia" w:cstheme="minorEastAsia"/>
          <w:i w:val="0"/>
          <w:iCs w:val="0"/>
          <w:color w:val="auto"/>
          <w:kern w:val="2"/>
          <w:sz w:val="24"/>
          <w:szCs w:val="24"/>
          <w:u w:val="none"/>
          <w:lang w:val="en-US" w:eastAsia="zh-CN" w:bidi="ar-SA"/>
        </w:rPr>
        <w:t>处理方案安排人员进</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场处理，处理时间不</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得晚于采购人指定的</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合理期限。③上述服</w:t>
      </w:r>
      <w:r>
        <w:rPr>
          <w:rFonts w:hint="eastAsia" w:asciiTheme="minorEastAsia" w:hAnsiTheme="minorEastAsia" w:eastAsiaTheme="minorEastAsia" w:cstheme="minorEastAsia"/>
          <w:i w:val="0"/>
          <w:iCs w:val="0"/>
          <w:color w:val="auto"/>
          <w:spacing w:val="-2"/>
          <w:kern w:val="2"/>
          <w:sz w:val="24"/>
          <w:szCs w:val="24"/>
          <w:u w:val="none"/>
          <w:lang w:val="en-US" w:eastAsia="zh-CN" w:bidi="ar-SA"/>
        </w:rPr>
        <w:t>务响应费用包含在服</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务费中。注：上述费</w:t>
      </w:r>
      <w:r>
        <w:rPr>
          <w:rFonts w:hint="eastAsia" w:asciiTheme="minorEastAsia" w:hAnsiTheme="minorEastAsia" w:eastAsiaTheme="minorEastAsia" w:cstheme="minorEastAsia"/>
          <w:i w:val="0"/>
          <w:iCs w:val="0"/>
          <w:color w:val="auto"/>
          <w:spacing w:val="5"/>
          <w:kern w:val="2"/>
          <w:sz w:val="24"/>
          <w:szCs w:val="24"/>
          <w:u w:val="none"/>
          <w:lang w:val="en-US" w:eastAsia="zh-CN" w:bidi="ar-SA"/>
        </w:rPr>
        <w:t>用报价时可不单列。</w:t>
      </w:r>
    </w:p>
    <w:p w14:paraId="1994EC91">
      <w:pPr>
        <w:pageBreakBefore w:val="0"/>
        <w:widowControl/>
        <w:wordWrap/>
        <w:overflowPunct/>
        <w:topLinePunct w:val="0"/>
        <w:bidi w:val="0"/>
        <w:spacing w:line="480" w:lineRule="exact"/>
        <w:ind w:firstLine="482" w:firstLineChars="200"/>
        <w:jc w:val="left"/>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（6）合同价款支付方式</w:t>
      </w:r>
    </w:p>
    <w:p w14:paraId="4F10D81E">
      <w:pPr>
        <w:pageBreakBefore w:val="0"/>
        <w:widowControl/>
        <w:wordWrap/>
        <w:overflowPunct/>
        <w:topLinePunct w:val="0"/>
        <w:bidi w:val="0"/>
        <w:spacing w:line="480" w:lineRule="exact"/>
        <w:ind w:firstLine="480" w:firstLineChars="200"/>
        <w:jc w:val="left"/>
        <w:rPr>
          <w:rFonts w:hint="eastAsia" w:asciiTheme="minorEastAsia" w:hAnsi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①预付款的付款方式及扣回：与中标人签订合同后预付项目合同价款 30%，在拨付预付款时，中标人必须提供相同金额的预付款担保，保函形式由中标人自行选择，预付款担保函由采购人会同市林业局、市公共资源交易中心对保函的真实性和有效性进行核验。预付款分两次扣回，即在第一阶段和第二阶段拨付进度款时分别扣回50%的预付款。</w:t>
      </w:r>
    </w:p>
    <w:p w14:paraId="6AA98170">
      <w:pPr>
        <w:pageBreakBefore w:val="0"/>
        <w:widowControl/>
        <w:wordWrap/>
        <w:overflowPunct/>
        <w:topLinePunct w:val="0"/>
        <w:bidi w:val="0"/>
        <w:spacing w:line="480" w:lineRule="exact"/>
        <w:ind w:firstLine="480" w:firstLineChars="200"/>
        <w:jc w:val="left"/>
        <w:rPr>
          <w:rFonts w:hint="eastAsia" w:asciiTheme="minorEastAsia" w:hAnsi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②进度款付款方式：</w:t>
      </w:r>
    </w:p>
    <w:p w14:paraId="2172E30C">
      <w:pPr>
        <w:pageBreakBefore w:val="0"/>
        <w:widowControl/>
        <w:wordWrap/>
        <w:overflowPunct/>
        <w:topLinePunct w:val="0"/>
        <w:bidi w:val="0"/>
        <w:spacing w:line="480" w:lineRule="exact"/>
        <w:ind w:firstLine="480" w:firstLineChars="200"/>
        <w:jc w:val="left"/>
        <w:rPr>
          <w:rFonts w:hint="eastAsia" w:asciiTheme="minorEastAsia" w:hAnsi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本项目共分三个阶段，每个阶段分两次付款，第一阶段为采伐、修枝及剩余物清理，第二阶段为整地施肥，第三阶段为补植（或更换树种）和抚育管护。</w:t>
      </w:r>
    </w:p>
    <w:p w14:paraId="49B1D9C1">
      <w:pPr>
        <w:pageBreakBefore w:val="0"/>
        <w:widowControl/>
        <w:wordWrap/>
        <w:overflowPunct/>
        <w:topLinePunct w:val="0"/>
        <w:bidi w:val="0"/>
        <w:spacing w:line="480" w:lineRule="exact"/>
        <w:ind w:firstLine="480" w:firstLineChars="200"/>
        <w:jc w:val="left"/>
        <w:rPr>
          <w:rFonts w:hint="eastAsia" w:asciiTheme="minorEastAsia" w:hAnsi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A.完成每一个阶段60%的工作量后支付实际完成工作量金额的80%，完成每个阶段的全部工作量后再按第二次实际完成工作量金额的80%再支付一次。项目完工后支付至合同金额的90%，农民工工资按甲方确认产值的工资比重，拨付至中标供应商农民工工资专户，通过实名制平台，实名制发放；</w:t>
      </w:r>
    </w:p>
    <w:p w14:paraId="34823CD0">
      <w:pPr>
        <w:pageBreakBefore w:val="0"/>
        <w:widowControl/>
        <w:wordWrap/>
        <w:overflowPunct/>
        <w:topLinePunct w:val="0"/>
        <w:bidi w:val="0"/>
        <w:spacing w:line="480" w:lineRule="exact"/>
        <w:ind w:firstLine="480" w:firstLineChars="200"/>
        <w:jc w:val="left"/>
        <w:rPr>
          <w:rFonts w:hint="eastAsia" w:asciiTheme="minorEastAsia" w:hAnsi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B.完成项目结算审核后由中标供应商提交付款申请及相关资料，支付至结算总价的97% ；</w:t>
      </w:r>
    </w:p>
    <w:p w14:paraId="4569CACE">
      <w:pPr>
        <w:pageBreakBefore w:val="0"/>
        <w:widowControl/>
        <w:wordWrap/>
        <w:overflowPunct/>
        <w:topLinePunct w:val="0"/>
        <w:bidi w:val="0"/>
        <w:spacing w:line="480" w:lineRule="exact"/>
        <w:ind w:firstLine="480" w:firstLineChars="200"/>
        <w:jc w:val="left"/>
        <w:rPr>
          <w:rFonts w:hint="eastAsia" w:asciiTheme="minorEastAsia" w:hAnsi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 xml:space="preserve">C.采购人预留结算总价3%款项，自整体项目竣工验收合格之日起计算，24个月质保期；质保期满，采购人核查项目无遗留问题后，一次性无息付清预留款项。承包人在质保期内仍按合同约定承担项目维修、缺陷整改义务。     </w:t>
      </w:r>
    </w:p>
    <w:p w14:paraId="17CAF416">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③</w:t>
      </w:r>
      <w:r>
        <w:rPr>
          <w:rFonts w:hint="eastAsia" w:asciiTheme="minorEastAsia" w:hAnsiTheme="minorEastAsia" w:eastAsiaTheme="minorEastAsia" w:cstheme="minorEastAsia"/>
          <w:i w:val="0"/>
          <w:iCs w:val="0"/>
          <w:color w:val="auto"/>
          <w:kern w:val="2"/>
          <w:sz w:val="24"/>
          <w:szCs w:val="24"/>
          <w:u w:val="none"/>
          <w:lang w:val="en-US" w:eastAsia="zh-CN" w:bidi="ar-SA"/>
        </w:rPr>
        <w:t>其他说明：所有款项支付以财政资金实际到位为前提。每次付款前，中标人须向采购人提供合法有效的增值税发票、付款申请及验收报告等资料。</w:t>
      </w:r>
    </w:p>
    <w:p w14:paraId="2CE9C9C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left"/>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color w:val="auto"/>
          <w:kern w:val="2"/>
          <w:sz w:val="24"/>
          <w:szCs w:val="24"/>
          <w:lang w:val="en-US" w:eastAsia="zh-CN" w:bidi="ar-SA"/>
        </w:rPr>
        <w:t xml:space="preserve"> </w:t>
      </w:r>
      <w:r>
        <w:rPr>
          <w:rFonts w:hint="eastAsia" w:asciiTheme="minorEastAsia" w:hAnsiTheme="minorEastAsia" w:eastAsiaTheme="minorEastAsia" w:cstheme="minorEastAsia"/>
          <w:b/>
          <w:bCs/>
          <w:i w:val="0"/>
          <w:iCs w:val="0"/>
          <w:color w:val="auto"/>
          <w:kern w:val="2"/>
          <w:sz w:val="24"/>
          <w:szCs w:val="24"/>
          <w:u w:val="none"/>
          <w:lang w:val="en-US" w:eastAsia="zh-CN" w:bidi="ar-SA"/>
        </w:rPr>
        <w:t>（7）验收要求</w:t>
      </w:r>
    </w:p>
    <w:p w14:paraId="1B40435F">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①种苗验收要求</w:t>
      </w:r>
    </w:p>
    <w:p w14:paraId="47851EA6">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A.</w:t>
      </w:r>
      <w:r>
        <w:rPr>
          <w:rFonts w:hint="eastAsia" w:asciiTheme="minorEastAsia" w:hAnsiTheme="minorEastAsia" w:eastAsiaTheme="minorEastAsia" w:cstheme="minorEastAsia"/>
          <w:i w:val="0"/>
          <w:iCs w:val="0"/>
          <w:color w:val="auto"/>
          <w:kern w:val="2"/>
          <w:sz w:val="24"/>
          <w:szCs w:val="24"/>
          <w:u w:val="none"/>
          <w:lang w:val="en-US" w:eastAsia="zh-CN" w:bidi="ar-SA"/>
        </w:rPr>
        <w:t>货到时，采购人对苗木进行验收，如有发现不符合规格一律退还给</w:t>
      </w:r>
      <w:r>
        <w:rPr>
          <w:rFonts w:hint="eastAsia" w:asciiTheme="minorEastAsia" w:hAnsiTheme="minorEastAsia" w:cstheme="minorEastAsia"/>
          <w:i w:val="0"/>
          <w:iCs w:val="0"/>
          <w:color w:val="auto"/>
          <w:kern w:val="2"/>
          <w:sz w:val="24"/>
          <w:szCs w:val="24"/>
          <w:u w:val="none"/>
          <w:lang w:val="en-US" w:eastAsia="zh-CN" w:bidi="ar-SA"/>
        </w:rPr>
        <w:t>中标供应商</w:t>
      </w:r>
      <w:r>
        <w:rPr>
          <w:rFonts w:hint="eastAsia" w:asciiTheme="minorEastAsia" w:hAnsiTheme="minorEastAsia" w:eastAsiaTheme="minorEastAsia" w:cstheme="minorEastAsia"/>
          <w:i w:val="0"/>
          <w:iCs w:val="0"/>
          <w:color w:val="auto"/>
          <w:kern w:val="2"/>
          <w:sz w:val="24"/>
          <w:szCs w:val="24"/>
          <w:u w:val="none"/>
          <w:lang w:val="en-US" w:eastAsia="zh-CN" w:bidi="ar-SA"/>
        </w:rPr>
        <w:t>，由此造成的损失由中标单位承担。</w:t>
      </w:r>
    </w:p>
    <w:p w14:paraId="3DC8188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B.苗木养护由中标单位负责，在正常的种植季节内中标单位所提供的苗木成活率要求在85%(含)以上，成活率在投标人承诺的成活率以下部分的一切补种费用从中标单位履约保证金中扣除。</w:t>
      </w:r>
    </w:p>
    <w:p w14:paraId="25CAE8A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提供的所有苗木为合法货物，须有合法的供货来源，中标供应商须随同苗木交付时提供“三证一签一说明”即林草种子生产经营许可证、苗木质量检验证、植物检疫证书、苗木标签和苗木特性栽植等使用说明，若不提供，采购人有权拒绝签收。</w:t>
      </w:r>
    </w:p>
    <w:p w14:paraId="2083558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D.所供的苗木必须符合招标清单中的规格、数量要求。</w:t>
      </w:r>
    </w:p>
    <w:p w14:paraId="4A2F734F">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E.</w:t>
      </w:r>
      <w:r>
        <w:rPr>
          <w:rFonts w:hint="eastAsia" w:asciiTheme="minorEastAsia" w:hAnsiTheme="minorEastAsia" w:eastAsiaTheme="minorEastAsia" w:cstheme="minorEastAsia"/>
          <w:i w:val="0"/>
          <w:iCs w:val="0"/>
          <w:color w:val="auto"/>
          <w:kern w:val="2"/>
          <w:sz w:val="24"/>
          <w:szCs w:val="24"/>
          <w:u w:val="none"/>
          <w:lang w:val="en-US" w:eastAsia="zh-CN" w:bidi="ar-SA"/>
        </w:rPr>
        <w:t>中标供应商到达采购人指定现场的苗木需保证树皮完好不破损，生长健壮，无病虫害，质量和规格符合要求。</w:t>
      </w:r>
    </w:p>
    <w:p w14:paraId="2B7BD02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F.所有苗木移植时应保持根系完整和根系湿润；起挖苗木根系切口要平滑，根系无劈裂、无拉断、无干枯现象，裸根苗木保留主根、根幅必须达到规定标准且必须保留侧根和须根。</w:t>
      </w:r>
    </w:p>
    <w:p w14:paraId="613A5FC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G.供应的苗木规格除招标要求的规格外，未标明的规格如胸径、地径、高度、冠幅、土球、密实度、树形等其他质量控制要求需按照采购人现场种植要求配合提供。</w:t>
      </w:r>
    </w:p>
    <w:p w14:paraId="06267AD4">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②劳务施工验收要求</w:t>
      </w:r>
    </w:p>
    <w:p w14:paraId="19033F9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A、</w:t>
      </w:r>
      <w:r>
        <w:rPr>
          <w:rFonts w:hint="eastAsia" w:asciiTheme="minorEastAsia" w:hAnsiTheme="minorEastAsia" w:eastAsiaTheme="minorEastAsia" w:cstheme="minorEastAsia"/>
          <w:i w:val="0"/>
          <w:iCs w:val="0"/>
          <w:color w:val="auto"/>
          <w:kern w:val="2"/>
          <w:sz w:val="24"/>
          <w:szCs w:val="24"/>
          <w:u w:val="none"/>
          <w:lang w:val="en-US" w:eastAsia="zh-CN" w:bidi="ar-SA"/>
        </w:rPr>
        <w:t>本项目施工劳务为采伐、林地及剩余物清理、整地、补植、施肥、抚育管护（具体内容详见表1</w:t>
      </w:r>
      <w:r>
        <w:rPr>
          <w:rFonts w:hint="eastAsia" w:asciiTheme="minorEastAsia" w:hAnsiTheme="minorEastAsia" w:cstheme="minorEastAsia"/>
          <w:i w:val="0"/>
          <w:iCs w:val="0"/>
          <w:color w:val="auto"/>
          <w:kern w:val="2"/>
          <w:sz w:val="24"/>
          <w:szCs w:val="24"/>
          <w:u w:val="none"/>
          <w:lang w:val="en-US" w:eastAsia="zh-CN" w:bidi="ar-SA"/>
        </w:rPr>
        <w:t>-3</w:t>
      </w:r>
      <w:r>
        <w:rPr>
          <w:rFonts w:hint="eastAsia" w:asciiTheme="minorEastAsia" w:hAnsiTheme="minorEastAsia" w:eastAsiaTheme="minorEastAsia" w:cstheme="minorEastAsia"/>
          <w:i w:val="0"/>
          <w:iCs w:val="0"/>
          <w:color w:val="auto"/>
          <w:kern w:val="2"/>
          <w:sz w:val="24"/>
          <w:szCs w:val="24"/>
          <w:u w:val="none"/>
          <w:lang w:val="en-US" w:eastAsia="zh-CN" w:bidi="ar-SA"/>
        </w:rPr>
        <w:t>：</w:t>
      </w:r>
      <w:r>
        <w:rPr>
          <w:rFonts w:hint="eastAsia" w:asciiTheme="minorEastAsia" w:hAnsiTheme="minorEastAsia" w:eastAsiaTheme="minorEastAsia" w:cstheme="minorEastAsia"/>
          <w:i w:val="0"/>
          <w:iCs w:val="0"/>
          <w:color w:val="auto"/>
          <w:kern w:val="2"/>
          <w:sz w:val="24"/>
          <w:szCs w:val="24"/>
          <w:u w:val="none"/>
          <w:lang w:val="en-US" w:eastAsia="en-US" w:bidi="ar-SA"/>
        </w:rPr>
        <w:t>主要技术措施</w:t>
      </w:r>
      <w:r>
        <w:rPr>
          <w:rFonts w:hint="eastAsia" w:asciiTheme="minorEastAsia" w:hAnsiTheme="minorEastAsia" w:eastAsiaTheme="minorEastAsia" w:cstheme="minorEastAsia"/>
          <w:i w:val="0"/>
          <w:iCs w:val="0"/>
          <w:color w:val="auto"/>
          <w:kern w:val="2"/>
          <w:sz w:val="24"/>
          <w:szCs w:val="24"/>
          <w:u w:val="none"/>
          <w:lang w:val="en-US" w:eastAsia="zh-CN" w:bidi="ar-SA"/>
        </w:rPr>
        <w:t>）</w:t>
      </w:r>
      <w:r>
        <w:rPr>
          <w:rFonts w:hint="eastAsia" w:asciiTheme="minorEastAsia" w:hAnsiTheme="minorEastAsia" w:cstheme="minorEastAsia"/>
          <w:i w:val="0"/>
          <w:iCs w:val="0"/>
          <w:color w:val="auto"/>
          <w:kern w:val="2"/>
          <w:sz w:val="24"/>
          <w:szCs w:val="24"/>
          <w:u w:val="none"/>
          <w:lang w:val="en-US" w:eastAsia="zh-CN" w:bidi="ar-SA"/>
        </w:rPr>
        <w:t>；</w:t>
      </w:r>
    </w:p>
    <w:p w14:paraId="6FEACB3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B、中标供应商应主动与该项目相关乡镇、村、林农协调关系，妥善处理项目实施过程中的各类矛盾问题，保障项目顺利推进。</w:t>
      </w:r>
      <w:r>
        <w:rPr>
          <w:rFonts w:hint="eastAsia" w:asciiTheme="minorEastAsia" w:hAnsiTheme="minorEastAsia" w:eastAsiaTheme="minorEastAsia" w:cstheme="minorEastAsia"/>
          <w:i w:val="0"/>
          <w:iCs w:val="0"/>
          <w:color w:val="auto"/>
          <w:kern w:val="2"/>
          <w:sz w:val="24"/>
          <w:szCs w:val="24"/>
          <w:u w:val="none"/>
          <w:lang w:val="en-US" w:eastAsia="zh-CN" w:bidi="ar-SA"/>
        </w:rPr>
        <w:br w:type="page"/>
      </w:r>
    </w:p>
    <w:p w14:paraId="13337B1F">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sectPr>
          <w:pgSz w:w="11906" w:h="16838"/>
          <w:pgMar w:top="1531" w:right="1531" w:bottom="1531" w:left="1531" w:header="1134" w:footer="680"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E820509">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center"/>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cstheme="minorEastAsia"/>
          <w:b/>
          <w:bCs/>
          <w:i w:val="0"/>
          <w:iCs w:val="0"/>
          <w:color w:val="auto"/>
          <w:kern w:val="2"/>
          <w:sz w:val="24"/>
          <w:szCs w:val="24"/>
          <w:u w:val="none"/>
          <w:lang w:val="en-US" w:eastAsia="zh-CN" w:bidi="ar-SA"/>
        </w:rPr>
        <w:t>表</w:t>
      </w:r>
      <w:r>
        <w:rPr>
          <w:rFonts w:hint="eastAsia" w:asciiTheme="minorEastAsia" w:hAnsiTheme="minorEastAsia" w:eastAsiaTheme="minorEastAsia" w:cstheme="minorEastAsia"/>
          <w:b/>
          <w:bCs/>
          <w:i w:val="0"/>
          <w:iCs w:val="0"/>
          <w:color w:val="auto"/>
          <w:kern w:val="2"/>
          <w:sz w:val="24"/>
          <w:szCs w:val="24"/>
          <w:u w:val="none"/>
          <w:lang w:val="en-US" w:eastAsia="zh-CN" w:bidi="ar-SA"/>
        </w:rPr>
        <w:t>1</w:t>
      </w:r>
      <w:r>
        <w:rPr>
          <w:rFonts w:hint="eastAsia" w:asciiTheme="minorEastAsia" w:hAnsiTheme="minorEastAsia" w:cstheme="minorEastAsia"/>
          <w:b/>
          <w:bCs/>
          <w:i w:val="0"/>
          <w:iCs w:val="0"/>
          <w:color w:val="auto"/>
          <w:kern w:val="2"/>
          <w:sz w:val="24"/>
          <w:szCs w:val="24"/>
          <w:u w:val="none"/>
          <w:lang w:val="en-US" w:eastAsia="zh-CN" w:bidi="ar-SA"/>
        </w:rPr>
        <w:t>-3</w:t>
      </w:r>
      <w:r>
        <w:rPr>
          <w:rFonts w:hint="eastAsia" w:asciiTheme="minorEastAsia" w:hAnsiTheme="minorEastAsia" w:eastAsiaTheme="minorEastAsia" w:cstheme="minorEastAsia"/>
          <w:b/>
          <w:bCs/>
          <w:i w:val="0"/>
          <w:iCs w:val="0"/>
          <w:color w:val="auto"/>
          <w:kern w:val="2"/>
          <w:sz w:val="24"/>
          <w:szCs w:val="24"/>
          <w:u w:val="none"/>
          <w:lang w:val="en-US" w:eastAsia="zh-CN" w:bidi="ar-SA"/>
        </w:rPr>
        <w:t>：主要技术措施</w:t>
      </w:r>
    </w:p>
    <w:tbl>
      <w:tblPr>
        <w:tblStyle w:val="13"/>
        <w:tblW w:w="1465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8"/>
        <w:gridCol w:w="413"/>
        <w:gridCol w:w="1158"/>
        <w:gridCol w:w="497"/>
        <w:gridCol w:w="661"/>
        <w:gridCol w:w="436"/>
        <w:gridCol w:w="572"/>
        <w:gridCol w:w="495"/>
        <w:gridCol w:w="525"/>
        <w:gridCol w:w="2100"/>
        <w:gridCol w:w="1125"/>
        <w:gridCol w:w="945"/>
        <w:gridCol w:w="1230"/>
        <w:gridCol w:w="2726"/>
        <w:gridCol w:w="1474"/>
      </w:tblGrid>
      <w:tr w14:paraId="42025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0" w:hRule="atLeast"/>
          <w:tblHeader/>
          <w:jc w:val="center"/>
        </w:trPr>
        <w:tc>
          <w:tcPr>
            <w:tcW w:w="298" w:type="dxa"/>
            <w:vMerge w:val="restart"/>
            <w:tcBorders>
              <w:bottom w:val="nil"/>
            </w:tcBorders>
            <w:vAlign w:val="center"/>
          </w:tcPr>
          <w:p w14:paraId="043C9B16">
            <w:pPr>
              <w:kinsoku w:val="0"/>
              <w:autoSpaceDE w:val="0"/>
              <w:autoSpaceDN w:val="0"/>
              <w:adjustRightInd w:val="0"/>
              <w:snapToGrid w:val="0"/>
              <w:spacing w:before="237"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1"/>
                <w:kern w:val="0"/>
                <w:sz w:val="21"/>
                <w:szCs w:val="21"/>
                <w:lang w:val="en-US" w:eastAsia="en-US" w:bidi="ar-SA"/>
              </w:rPr>
              <w:t>措施</w:t>
            </w:r>
            <w:r>
              <w:rPr>
                <w:rFonts w:hint="eastAsia" w:asciiTheme="minorEastAsia" w:hAnsiTheme="minorEastAsia" w:eastAsiaTheme="minorEastAsia" w:cstheme="minorEastAsia"/>
                <w:b/>
                <w:bCs/>
                <w:snapToGrid w:val="0"/>
                <w:color w:val="000000"/>
                <w:spacing w:val="-1"/>
                <w:kern w:val="0"/>
                <w:sz w:val="21"/>
                <w:szCs w:val="21"/>
                <w:lang w:val="en-US" w:eastAsia="en-US" w:bidi="ar-SA"/>
              </w:rPr>
              <w:t>类型</w:t>
            </w:r>
          </w:p>
        </w:tc>
        <w:tc>
          <w:tcPr>
            <w:tcW w:w="413" w:type="dxa"/>
            <w:vMerge w:val="restart"/>
            <w:tcBorders>
              <w:bottom w:val="nil"/>
            </w:tcBorders>
            <w:vAlign w:val="center"/>
          </w:tcPr>
          <w:p w14:paraId="1EE08EE2">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1"/>
                <w:kern w:val="0"/>
                <w:sz w:val="21"/>
                <w:szCs w:val="21"/>
                <w:lang w:val="en-US" w:eastAsia="en-US" w:bidi="ar-SA"/>
              </w:rPr>
              <w:t>林分</w:t>
            </w:r>
          </w:p>
        </w:tc>
        <w:tc>
          <w:tcPr>
            <w:tcW w:w="1158" w:type="dxa"/>
            <w:vMerge w:val="restart"/>
            <w:tcBorders>
              <w:bottom w:val="nil"/>
            </w:tcBorders>
            <w:vAlign w:val="center"/>
          </w:tcPr>
          <w:p w14:paraId="0ED81D87">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适用条件</w:t>
            </w:r>
          </w:p>
        </w:tc>
        <w:tc>
          <w:tcPr>
            <w:tcW w:w="497" w:type="dxa"/>
            <w:vMerge w:val="restart"/>
            <w:tcBorders>
              <w:bottom w:val="nil"/>
            </w:tcBorders>
            <w:vAlign w:val="center"/>
          </w:tcPr>
          <w:p w14:paraId="43E06567">
            <w:pPr>
              <w:kinsoku w:val="0"/>
              <w:autoSpaceDE w:val="0"/>
              <w:autoSpaceDN w:val="0"/>
              <w:adjustRightInd w:val="0"/>
              <w:snapToGrid w:val="0"/>
              <w:spacing w:before="237"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1"/>
                <w:kern w:val="0"/>
                <w:sz w:val="21"/>
                <w:szCs w:val="21"/>
                <w:lang w:val="en-US" w:eastAsia="en-US" w:bidi="ar-SA"/>
              </w:rPr>
              <w:t>退化</w:t>
            </w:r>
            <w:r>
              <w:rPr>
                <w:rFonts w:hint="eastAsia" w:asciiTheme="minorEastAsia" w:hAnsiTheme="minorEastAsia" w:eastAsiaTheme="minorEastAsia" w:cstheme="minorEastAsia"/>
                <w:b/>
                <w:bCs/>
                <w:snapToGrid w:val="0"/>
                <w:color w:val="000000"/>
                <w:spacing w:val="-3"/>
                <w:kern w:val="0"/>
                <w:sz w:val="21"/>
                <w:szCs w:val="21"/>
                <w:lang w:val="en-US" w:eastAsia="en-US" w:bidi="ar-SA"/>
              </w:rPr>
              <w:t>等级</w:t>
            </w:r>
          </w:p>
        </w:tc>
        <w:tc>
          <w:tcPr>
            <w:tcW w:w="661" w:type="dxa"/>
            <w:vMerge w:val="restart"/>
            <w:tcBorders>
              <w:bottom w:val="nil"/>
            </w:tcBorders>
            <w:vAlign w:val="center"/>
          </w:tcPr>
          <w:p w14:paraId="6752BB52">
            <w:pPr>
              <w:kinsoku w:val="0"/>
              <w:autoSpaceDE w:val="0"/>
              <w:autoSpaceDN w:val="0"/>
              <w:adjustRightInd w:val="0"/>
              <w:snapToGrid w:val="0"/>
              <w:spacing w:before="79"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2"/>
                <w:kern w:val="0"/>
                <w:sz w:val="21"/>
                <w:szCs w:val="21"/>
                <w:lang w:val="en-US" w:eastAsia="en-US" w:bidi="ar-SA"/>
              </w:rPr>
              <w:t>具体修</w:t>
            </w:r>
            <w:r>
              <w:rPr>
                <w:rFonts w:hint="eastAsia" w:asciiTheme="minorEastAsia" w:hAnsiTheme="minorEastAsia" w:eastAsiaTheme="minorEastAsia" w:cstheme="minorEastAsia"/>
                <w:b/>
                <w:bCs/>
                <w:snapToGrid w:val="0"/>
                <w:color w:val="000000"/>
                <w:kern w:val="0"/>
                <w:sz w:val="21"/>
                <w:szCs w:val="21"/>
                <w:lang w:val="en-US" w:eastAsia="en-US" w:bidi="ar-SA"/>
              </w:rPr>
              <w:t>复模式</w:t>
            </w:r>
            <w:r>
              <w:rPr>
                <w:rFonts w:hint="eastAsia" w:asciiTheme="minorEastAsia" w:hAnsiTheme="minorEastAsia" w:eastAsiaTheme="minorEastAsia" w:cstheme="minorEastAsia"/>
                <w:b/>
                <w:bCs/>
                <w:snapToGrid w:val="0"/>
                <w:color w:val="000000"/>
                <w:spacing w:val="-1"/>
                <w:kern w:val="0"/>
                <w:sz w:val="21"/>
                <w:szCs w:val="21"/>
                <w:lang w:val="en-US" w:eastAsia="en-US" w:bidi="ar-SA"/>
              </w:rPr>
              <w:t>类型</w:t>
            </w:r>
          </w:p>
        </w:tc>
        <w:tc>
          <w:tcPr>
            <w:tcW w:w="436" w:type="dxa"/>
            <w:vMerge w:val="restart"/>
            <w:tcBorders>
              <w:bottom w:val="nil"/>
            </w:tcBorders>
            <w:vAlign w:val="center"/>
          </w:tcPr>
          <w:p w14:paraId="6FAD0ABE">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3"/>
                <w:kern w:val="0"/>
                <w:sz w:val="21"/>
                <w:szCs w:val="21"/>
                <w:lang w:val="en-US" w:eastAsia="en-US" w:bidi="ar-SA"/>
              </w:rPr>
              <w:t>模式号</w:t>
            </w:r>
          </w:p>
        </w:tc>
        <w:tc>
          <w:tcPr>
            <w:tcW w:w="572" w:type="dxa"/>
            <w:vMerge w:val="restart"/>
            <w:tcBorders>
              <w:bottom w:val="nil"/>
            </w:tcBorders>
            <w:vAlign w:val="center"/>
          </w:tcPr>
          <w:p w14:paraId="5C85248D">
            <w:pPr>
              <w:kinsoku w:val="0"/>
              <w:autoSpaceDE w:val="0"/>
              <w:autoSpaceDN w:val="0"/>
              <w:adjustRightInd w:val="0"/>
              <w:snapToGrid w:val="0"/>
              <w:spacing w:before="238"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1"/>
                <w:kern w:val="0"/>
                <w:sz w:val="21"/>
                <w:szCs w:val="21"/>
                <w:lang w:val="en-US" w:eastAsia="en-US" w:bidi="ar-SA"/>
              </w:rPr>
              <w:t>森林类别</w:t>
            </w:r>
          </w:p>
        </w:tc>
        <w:tc>
          <w:tcPr>
            <w:tcW w:w="495" w:type="dxa"/>
            <w:vMerge w:val="restart"/>
            <w:tcBorders>
              <w:bottom w:val="nil"/>
            </w:tcBorders>
            <w:vAlign w:val="center"/>
          </w:tcPr>
          <w:p w14:paraId="67464005">
            <w:pPr>
              <w:kinsoku w:val="0"/>
              <w:autoSpaceDE w:val="0"/>
              <w:autoSpaceDN w:val="0"/>
              <w:adjustRightInd w:val="0"/>
              <w:snapToGrid w:val="0"/>
              <w:spacing w:before="237"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3"/>
                <w:kern w:val="0"/>
                <w:sz w:val="21"/>
                <w:szCs w:val="21"/>
                <w:lang w:val="en-US" w:eastAsia="en-US" w:bidi="ar-SA"/>
              </w:rPr>
              <w:t>林分建设目标</w:t>
            </w:r>
          </w:p>
        </w:tc>
        <w:tc>
          <w:tcPr>
            <w:tcW w:w="525" w:type="dxa"/>
            <w:vMerge w:val="restart"/>
            <w:tcBorders>
              <w:bottom w:val="nil"/>
            </w:tcBorders>
            <w:vAlign w:val="center"/>
          </w:tcPr>
          <w:p w14:paraId="4CAC5B1D">
            <w:pPr>
              <w:kinsoku w:val="0"/>
              <w:autoSpaceDE w:val="0"/>
              <w:autoSpaceDN w:val="0"/>
              <w:adjustRightInd w:val="0"/>
              <w:snapToGrid w:val="0"/>
              <w:spacing w:before="79"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3"/>
                <w:kern w:val="0"/>
                <w:sz w:val="21"/>
                <w:szCs w:val="21"/>
                <w:lang w:val="en-US" w:eastAsia="en-US" w:bidi="ar-SA"/>
              </w:rPr>
              <w:t>适宜立地类型</w:t>
            </w:r>
            <w:r>
              <w:rPr>
                <w:rFonts w:hint="eastAsia" w:asciiTheme="minorEastAsia" w:hAnsiTheme="minorEastAsia" w:eastAsiaTheme="minorEastAsia" w:cstheme="minorEastAsia"/>
                <w:b/>
                <w:bCs/>
                <w:snapToGrid w:val="0"/>
                <w:color w:val="000000"/>
                <w:spacing w:val="-3"/>
                <w:kern w:val="0"/>
                <w:sz w:val="21"/>
                <w:szCs w:val="21"/>
                <w:lang w:val="en-US" w:eastAsia="en-US" w:bidi="ar-SA"/>
              </w:rPr>
              <w:t>号</w:t>
            </w:r>
          </w:p>
        </w:tc>
        <w:tc>
          <w:tcPr>
            <w:tcW w:w="9600" w:type="dxa"/>
            <w:gridSpan w:val="6"/>
            <w:vAlign w:val="center"/>
          </w:tcPr>
          <w:p w14:paraId="26D9EFAA">
            <w:pPr>
              <w:kinsoku w:val="0"/>
              <w:autoSpaceDE w:val="0"/>
              <w:autoSpaceDN w:val="0"/>
              <w:adjustRightInd w:val="0"/>
              <w:snapToGrid w:val="0"/>
              <w:spacing w:before="74"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主要技术措施</w:t>
            </w:r>
          </w:p>
        </w:tc>
      </w:tr>
      <w:tr w14:paraId="0DFAA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blHeader/>
          <w:jc w:val="center"/>
        </w:trPr>
        <w:tc>
          <w:tcPr>
            <w:tcW w:w="298" w:type="dxa"/>
            <w:vMerge w:val="continue"/>
            <w:tcBorders>
              <w:top w:val="nil"/>
              <w:bottom w:val="single" w:color="auto" w:sz="4" w:space="0"/>
            </w:tcBorders>
            <w:vAlign w:val="center"/>
          </w:tcPr>
          <w:p w14:paraId="0963144D">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413" w:type="dxa"/>
            <w:vMerge w:val="continue"/>
            <w:tcBorders>
              <w:top w:val="nil"/>
              <w:bottom w:val="single" w:color="auto" w:sz="4" w:space="0"/>
            </w:tcBorders>
            <w:vAlign w:val="center"/>
          </w:tcPr>
          <w:p w14:paraId="1550E578">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1158" w:type="dxa"/>
            <w:vMerge w:val="continue"/>
            <w:tcBorders>
              <w:top w:val="nil"/>
              <w:bottom w:val="single" w:color="auto" w:sz="4" w:space="0"/>
            </w:tcBorders>
            <w:vAlign w:val="center"/>
          </w:tcPr>
          <w:p w14:paraId="46113C19">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497" w:type="dxa"/>
            <w:vMerge w:val="continue"/>
            <w:tcBorders>
              <w:top w:val="nil"/>
              <w:bottom w:val="single" w:color="auto" w:sz="4" w:space="0"/>
            </w:tcBorders>
            <w:vAlign w:val="center"/>
          </w:tcPr>
          <w:p w14:paraId="37C848F9">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661" w:type="dxa"/>
            <w:vMerge w:val="continue"/>
            <w:tcBorders>
              <w:top w:val="nil"/>
              <w:bottom w:val="single" w:color="auto" w:sz="4" w:space="0"/>
            </w:tcBorders>
            <w:vAlign w:val="center"/>
          </w:tcPr>
          <w:p w14:paraId="7F0985FE">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436" w:type="dxa"/>
            <w:vMerge w:val="continue"/>
            <w:tcBorders>
              <w:top w:val="nil"/>
              <w:bottom w:val="single" w:color="auto" w:sz="4" w:space="0"/>
            </w:tcBorders>
            <w:vAlign w:val="center"/>
          </w:tcPr>
          <w:p w14:paraId="39712E1C">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572" w:type="dxa"/>
            <w:vMerge w:val="continue"/>
            <w:tcBorders>
              <w:top w:val="nil"/>
              <w:bottom w:val="single" w:color="auto" w:sz="4" w:space="0"/>
            </w:tcBorders>
            <w:vAlign w:val="center"/>
          </w:tcPr>
          <w:p w14:paraId="22E5D5EE">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495" w:type="dxa"/>
            <w:vMerge w:val="continue"/>
            <w:tcBorders>
              <w:top w:val="nil"/>
              <w:bottom w:val="single" w:color="auto" w:sz="4" w:space="0"/>
            </w:tcBorders>
            <w:vAlign w:val="center"/>
          </w:tcPr>
          <w:p w14:paraId="6CCB7E36">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525" w:type="dxa"/>
            <w:vMerge w:val="continue"/>
            <w:tcBorders>
              <w:top w:val="nil"/>
              <w:bottom w:val="single" w:color="auto" w:sz="4" w:space="0"/>
            </w:tcBorders>
            <w:vAlign w:val="center"/>
          </w:tcPr>
          <w:p w14:paraId="66DA846D">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2100" w:type="dxa"/>
            <w:tcBorders>
              <w:bottom w:val="single" w:color="auto" w:sz="4" w:space="0"/>
            </w:tcBorders>
            <w:vAlign w:val="center"/>
          </w:tcPr>
          <w:p w14:paraId="07500892">
            <w:pPr>
              <w:kinsoku w:val="0"/>
              <w:autoSpaceDE w:val="0"/>
              <w:autoSpaceDN w:val="0"/>
              <w:adjustRightInd w:val="0"/>
              <w:snapToGrid w:val="0"/>
              <w:spacing w:before="214"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kern w:val="0"/>
                <w:sz w:val="21"/>
                <w:szCs w:val="21"/>
                <w:lang w:val="en-US" w:eastAsia="en-US" w:bidi="ar-SA"/>
              </w:rPr>
              <w:t>采伐</w:t>
            </w:r>
          </w:p>
        </w:tc>
        <w:tc>
          <w:tcPr>
            <w:tcW w:w="1125" w:type="dxa"/>
            <w:tcBorders>
              <w:bottom w:val="single" w:color="auto" w:sz="4" w:space="0"/>
            </w:tcBorders>
            <w:vAlign w:val="center"/>
          </w:tcPr>
          <w:p w14:paraId="090B2B44">
            <w:pPr>
              <w:kinsoku w:val="0"/>
              <w:autoSpaceDE w:val="0"/>
              <w:autoSpaceDN w:val="0"/>
              <w:adjustRightInd w:val="0"/>
              <w:snapToGrid w:val="0"/>
              <w:spacing w:before="214"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1"/>
                <w:kern w:val="0"/>
                <w:sz w:val="21"/>
                <w:szCs w:val="21"/>
                <w:lang w:val="en-US" w:eastAsia="en-US" w:bidi="ar-SA"/>
              </w:rPr>
              <w:t>修枝</w:t>
            </w:r>
          </w:p>
        </w:tc>
        <w:tc>
          <w:tcPr>
            <w:tcW w:w="945" w:type="dxa"/>
            <w:tcBorders>
              <w:bottom w:val="single" w:color="auto" w:sz="4" w:space="0"/>
            </w:tcBorders>
            <w:vAlign w:val="center"/>
          </w:tcPr>
          <w:p w14:paraId="7589581F">
            <w:pPr>
              <w:kinsoku w:val="0"/>
              <w:autoSpaceDE w:val="0"/>
              <w:autoSpaceDN w:val="0"/>
              <w:adjustRightInd w:val="0"/>
              <w:snapToGrid w:val="0"/>
              <w:spacing w:before="55"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林地及剩余</w:t>
            </w:r>
            <w:r>
              <w:rPr>
                <w:rFonts w:hint="eastAsia" w:asciiTheme="minorEastAsia" w:hAnsiTheme="minorEastAsia" w:eastAsiaTheme="minorEastAsia" w:cstheme="minorEastAsia"/>
                <w:b/>
                <w:bCs/>
                <w:snapToGrid w:val="0"/>
                <w:color w:val="000000"/>
                <w:spacing w:val="3"/>
                <w:kern w:val="0"/>
                <w:sz w:val="21"/>
                <w:szCs w:val="21"/>
                <w:lang w:val="en-US" w:eastAsia="en-US" w:bidi="ar-SA"/>
              </w:rPr>
              <w:t>物清理</w:t>
            </w:r>
          </w:p>
        </w:tc>
        <w:tc>
          <w:tcPr>
            <w:tcW w:w="1230" w:type="dxa"/>
            <w:tcBorders>
              <w:bottom w:val="single" w:color="auto" w:sz="4" w:space="0"/>
            </w:tcBorders>
            <w:vAlign w:val="center"/>
          </w:tcPr>
          <w:p w14:paraId="44773AF7">
            <w:pPr>
              <w:kinsoku w:val="0"/>
              <w:autoSpaceDE w:val="0"/>
              <w:autoSpaceDN w:val="0"/>
              <w:adjustRightInd w:val="0"/>
              <w:snapToGrid w:val="0"/>
              <w:spacing w:before="214"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整地施肥</w:t>
            </w:r>
          </w:p>
        </w:tc>
        <w:tc>
          <w:tcPr>
            <w:tcW w:w="2726" w:type="dxa"/>
            <w:tcBorders>
              <w:bottom w:val="single" w:color="auto" w:sz="4" w:space="0"/>
            </w:tcBorders>
            <w:vAlign w:val="center"/>
          </w:tcPr>
          <w:p w14:paraId="031B22B4">
            <w:pPr>
              <w:kinsoku w:val="0"/>
              <w:autoSpaceDE w:val="0"/>
              <w:autoSpaceDN w:val="0"/>
              <w:adjustRightInd w:val="0"/>
              <w:snapToGrid w:val="0"/>
              <w:spacing w:before="214"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补植(或更新造林)</w:t>
            </w:r>
          </w:p>
        </w:tc>
        <w:tc>
          <w:tcPr>
            <w:tcW w:w="1474" w:type="dxa"/>
            <w:tcBorders>
              <w:bottom w:val="single" w:color="auto" w:sz="4" w:space="0"/>
            </w:tcBorders>
            <w:vAlign w:val="center"/>
          </w:tcPr>
          <w:p w14:paraId="695F8812">
            <w:pPr>
              <w:kinsoku w:val="0"/>
              <w:autoSpaceDE w:val="0"/>
              <w:autoSpaceDN w:val="0"/>
              <w:adjustRightInd w:val="0"/>
              <w:snapToGrid w:val="0"/>
              <w:spacing w:before="214"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抚育管护</w:t>
            </w:r>
          </w:p>
        </w:tc>
      </w:tr>
      <w:tr w14:paraId="4C460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298" w:type="dxa"/>
            <w:vMerge w:val="restart"/>
            <w:tcBorders>
              <w:top w:val="single" w:color="auto" w:sz="4" w:space="0"/>
              <w:left w:val="single" w:color="auto" w:sz="4" w:space="0"/>
              <w:bottom w:val="single" w:color="auto" w:sz="4" w:space="0"/>
              <w:right w:val="single" w:color="auto" w:sz="4" w:space="0"/>
            </w:tcBorders>
            <w:vAlign w:val="center"/>
          </w:tcPr>
          <w:p w14:paraId="14779838">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1"/>
                <w:kern w:val="0"/>
                <w:sz w:val="21"/>
                <w:szCs w:val="21"/>
                <w:lang w:val="en-US" w:eastAsia="en-US" w:bidi="ar-SA"/>
              </w:rPr>
              <w:t>采伐</w:t>
            </w:r>
            <w:r>
              <w:rPr>
                <w:rFonts w:hint="eastAsia" w:asciiTheme="minorEastAsia" w:hAnsiTheme="minorEastAsia" w:eastAsiaTheme="minorEastAsia" w:cstheme="minorEastAsia"/>
                <w:snapToGrid w:val="0"/>
                <w:color w:val="000000"/>
                <w:spacing w:val="2"/>
                <w:kern w:val="0"/>
                <w:sz w:val="21"/>
                <w:szCs w:val="21"/>
                <w:lang w:val="en-US" w:eastAsia="en-US" w:bidi="ar-SA"/>
              </w:rPr>
              <w:t>修复</w:t>
            </w:r>
          </w:p>
        </w:tc>
        <w:tc>
          <w:tcPr>
            <w:tcW w:w="413" w:type="dxa"/>
            <w:tcBorders>
              <w:top w:val="single" w:color="auto" w:sz="4" w:space="0"/>
              <w:left w:val="single" w:color="auto" w:sz="4" w:space="0"/>
              <w:bottom w:val="single" w:color="auto" w:sz="4" w:space="0"/>
              <w:right w:val="single" w:color="auto" w:sz="4" w:space="0"/>
            </w:tcBorders>
            <w:vAlign w:val="center"/>
          </w:tcPr>
          <w:p w14:paraId="3B769D2B">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2"/>
                <w:kern w:val="0"/>
                <w:sz w:val="21"/>
                <w:szCs w:val="21"/>
                <w:lang w:val="en-US" w:eastAsia="en-US" w:bidi="ar-SA"/>
              </w:rPr>
              <w:t>杉木</w:t>
            </w:r>
            <w:r>
              <w:rPr>
                <w:rFonts w:hint="eastAsia" w:asciiTheme="minorEastAsia" w:hAnsiTheme="minorEastAsia" w:eastAsiaTheme="minorEastAsia" w:cstheme="minorEastAsia"/>
                <w:snapToGrid w:val="0"/>
                <w:color w:val="000000"/>
                <w:kern w:val="0"/>
                <w:sz w:val="21"/>
                <w:szCs w:val="21"/>
                <w:lang w:val="en-US" w:eastAsia="en-US" w:bidi="ar-SA"/>
              </w:rPr>
              <w:t>林</w:t>
            </w:r>
          </w:p>
        </w:tc>
        <w:tc>
          <w:tcPr>
            <w:tcW w:w="1158" w:type="dxa"/>
            <w:tcBorders>
              <w:top w:val="single" w:color="auto" w:sz="4" w:space="0"/>
              <w:left w:val="single" w:color="auto" w:sz="4" w:space="0"/>
              <w:bottom w:val="single" w:color="auto" w:sz="4" w:space="0"/>
              <w:right w:val="single" w:color="auto" w:sz="4" w:space="0"/>
            </w:tcBorders>
            <w:vAlign w:val="center"/>
          </w:tcPr>
          <w:p w14:paraId="21647DED">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（1）过密过纯，林木</w:t>
            </w:r>
            <w:r>
              <w:rPr>
                <w:rFonts w:hint="eastAsia" w:asciiTheme="minorEastAsia" w:hAnsiTheme="minorEastAsia" w:eastAsiaTheme="minorEastAsia" w:cstheme="minorEastAsia"/>
                <w:snapToGrid w:val="0"/>
                <w:color w:val="000000"/>
                <w:spacing w:val="2"/>
                <w:kern w:val="0"/>
                <w:sz w:val="21"/>
                <w:szCs w:val="21"/>
                <w:lang w:val="en-US" w:eastAsia="en-US" w:bidi="ar-SA"/>
              </w:rPr>
              <w:t>生长受限，长势差。(2)</w:t>
            </w:r>
            <w:r>
              <w:rPr>
                <w:rFonts w:hint="eastAsia" w:asciiTheme="minorEastAsia" w:hAnsiTheme="minorEastAsia" w:eastAsiaTheme="minorEastAsia" w:cstheme="minorEastAsia"/>
                <w:snapToGrid w:val="0"/>
                <w:color w:val="000000"/>
                <w:spacing w:val="6"/>
                <w:kern w:val="0"/>
                <w:sz w:val="21"/>
                <w:szCs w:val="21"/>
                <w:lang w:val="en-US" w:eastAsia="en-US" w:bidi="ar-SA"/>
              </w:rPr>
              <w:t>多代萌生杉木，林木生</w:t>
            </w:r>
            <w:r>
              <w:rPr>
                <w:rFonts w:hint="eastAsia" w:asciiTheme="minorEastAsia" w:hAnsiTheme="minorEastAsia" w:eastAsiaTheme="minorEastAsia" w:cstheme="minorEastAsia"/>
                <w:snapToGrid w:val="0"/>
                <w:color w:val="000000"/>
                <w:spacing w:val="5"/>
                <w:kern w:val="0"/>
                <w:sz w:val="21"/>
                <w:szCs w:val="21"/>
                <w:lang w:val="en-US" w:eastAsia="en-US" w:bidi="ar-SA"/>
              </w:rPr>
              <w:t>长衰退，无培育价值。</w:t>
            </w:r>
          </w:p>
        </w:tc>
        <w:tc>
          <w:tcPr>
            <w:tcW w:w="497" w:type="dxa"/>
            <w:tcBorders>
              <w:top w:val="single" w:color="auto" w:sz="4" w:space="0"/>
              <w:left w:val="single" w:color="auto" w:sz="4" w:space="0"/>
              <w:bottom w:val="single" w:color="auto" w:sz="4" w:space="0"/>
              <w:right w:val="single" w:color="auto" w:sz="4" w:space="0"/>
            </w:tcBorders>
            <w:vAlign w:val="center"/>
          </w:tcPr>
          <w:p w14:paraId="7B1E7CD5">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kern w:val="0"/>
                <w:sz w:val="21"/>
                <w:szCs w:val="21"/>
                <w:lang w:val="en-US" w:eastAsia="en-US" w:bidi="ar-SA"/>
              </w:rPr>
              <w:t>一般</w:t>
            </w:r>
          </w:p>
        </w:tc>
        <w:tc>
          <w:tcPr>
            <w:tcW w:w="661" w:type="dxa"/>
            <w:tcBorders>
              <w:top w:val="single" w:color="auto" w:sz="4" w:space="0"/>
              <w:left w:val="single" w:color="auto" w:sz="4" w:space="0"/>
              <w:bottom w:val="single" w:color="auto" w:sz="4" w:space="0"/>
              <w:right w:val="single" w:color="auto" w:sz="4" w:space="0"/>
            </w:tcBorders>
            <w:vAlign w:val="center"/>
          </w:tcPr>
          <w:p w14:paraId="21D42A76">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5"/>
                <w:kern w:val="0"/>
                <w:sz w:val="21"/>
                <w:szCs w:val="21"/>
                <w:lang w:val="en-US" w:eastAsia="en-US" w:bidi="ar-SA"/>
              </w:rPr>
              <w:t>杉木退</w:t>
            </w:r>
            <w:r>
              <w:rPr>
                <w:rFonts w:hint="eastAsia" w:asciiTheme="minorEastAsia" w:hAnsiTheme="minorEastAsia" w:eastAsiaTheme="minorEastAsia" w:cstheme="minorEastAsia"/>
                <w:snapToGrid w:val="0"/>
                <w:color w:val="000000"/>
                <w:spacing w:val="4"/>
                <w:kern w:val="0"/>
                <w:sz w:val="21"/>
                <w:szCs w:val="21"/>
                <w:lang w:val="en-US" w:eastAsia="en-US" w:bidi="ar-SA"/>
              </w:rPr>
              <w:t>化林采伐修复</w:t>
            </w:r>
          </w:p>
        </w:tc>
        <w:tc>
          <w:tcPr>
            <w:tcW w:w="436" w:type="dxa"/>
            <w:tcBorders>
              <w:top w:val="single" w:color="auto" w:sz="4" w:space="0"/>
              <w:left w:val="single" w:color="auto" w:sz="4" w:space="0"/>
              <w:bottom w:val="single" w:color="auto" w:sz="4" w:space="0"/>
              <w:right w:val="single" w:color="auto" w:sz="4" w:space="0"/>
            </w:tcBorders>
            <w:vAlign w:val="center"/>
          </w:tcPr>
          <w:p w14:paraId="2426EAC7">
            <w:pPr>
              <w:widowControl/>
              <w:kinsoku w:val="0"/>
              <w:autoSpaceDE w:val="0"/>
              <w:autoSpaceDN w:val="0"/>
              <w:adjustRightInd w:val="0"/>
              <w:snapToGrid w:val="0"/>
              <w:spacing w:before="57"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r>
              <w:rPr>
                <w:rFonts w:hint="eastAsia" w:asciiTheme="minorEastAsia" w:hAnsiTheme="minorEastAsia" w:eastAsiaTheme="minorEastAsia" w:cstheme="minorEastAsia"/>
                <w:snapToGrid w:val="0"/>
                <w:color w:val="000000"/>
                <w:kern w:val="0"/>
                <w:position w:val="2"/>
                <w:sz w:val="21"/>
                <w:szCs w:val="21"/>
                <w:lang w:eastAsia="en-US"/>
              </w:rPr>
              <w:t>CFXF</w:t>
            </w:r>
            <w:r>
              <w:rPr>
                <w:rFonts w:hint="eastAsia" w:asciiTheme="minorEastAsia" w:hAnsiTheme="minorEastAsia" w:eastAsiaTheme="minorEastAsia" w:cstheme="minorEastAsia"/>
                <w:snapToGrid w:val="0"/>
                <w:color w:val="000000"/>
                <w:spacing w:val="17"/>
                <w:kern w:val="0"/>
                <w:position w:val="2"/>
                <w:sz w:val="21"/>
                <w:szCs w:val="21"/>
                <w:lang w:eastAsia="en-US"/>
              </w:rPr>
              <w:t>2</w:t>
            </w:r>
          </w:p>
        </w:tc>
        <w:tc>
          <w:tcPr>
            <w:tcW w:w="572" w:type="dxa"/>
            <w:tcBorders>
              <w:top w:val="single" w:color="auto" w:sz="4" w:space="0"/>
              <w:left w:val="single" w:color="auto" w:sz="4" w:space="0"/>
              <w:bottom w:val="single" w:color="auto" w:sz="4" w:space="0"/>
              <w:right w:val="single" w:color="auto" w:sz="4" w:space="0"/>
            </w:tcBorders>
            <w:vAlign w:val="center"/>
          </w:tcPr>
          <w:p w14:paraId="5A5B8E0F">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1"/>
                <w:kern w:val="0"/>
                <w:sz w:val="21"/>
                <w:szCs w:val="21"/>
                <w:lang w:val="en-US" w:eastAsia="en-US" w:bidi="ar-SA"/>
              </w:rPr>
              <w:t>公益</w:t>
            </w:r>
            <w:r>
              <w:rPr>
                <w:rFonts w:hint="eastAsia" w:asciiTheme="minorEastAsia" w:hAnsiTheme="minorEastAsia" w:eastAsiaTheme="minorEastAsia" w:cstheme="minorEastAsia"/>
                <w:snapToGrid w:val="0"/>
                <w:color w:val="000000"/>
                <w:kern w:val="0"/>
                <w:sz w:val="21"/>
                <w:szCs w:val="21"/>
                <w:lang w:val="en-US" w:eastAsia="en-US" w:bidi="ar-SA"/>
              </w:rPr>
              <w:t>林</w:t>
            </w:r>
          </w:p>
        </w:tc>
        <w:tc>
          <w:tcPr>
            <w:tcW w:w="495" w:type="dxa"/>
            <w:tcBorders>
              <w:top w:val="single" w:color="auto" w:sz="4" w:space="0"/>
              <w:left w:val="single" w:color="auto" w:sz="4" w:space="0"/>
              <w:bottom w:val="single" w:color="auto" w:sz="4" w:space="0"/>
              <w:right w:val="single" w:color="auto" w:sz="4" w:space="0"/>
            </w:tcBorders>
            <w:vAlign w:val="center"/>
          </w:tcPr>
          <w:p w14:paraId="56309B11">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16"/>
                <w:kern w:val="0"/>
                <w:sz w:val="21"/>
                <w:szCs w:val="21"/>
                <w:lang w:val="en-US" w:eastAsia="en-US" w:bidi="ar-SA"/>
              </w:rPr>
              <w:t>水保林、</w:t>
            </w:r>
            <w:r>
              <w:rPr>
                <w:rFonts w:hint="eastAsia" w:asciiTheme="minorEastAsia" w:hAnsiTheme="minorEastAsia" w:eastAsiaTheme="minorEastAsia" w:cstheme="minorEastAsia"/>
                <w:snapToGrid w:val="0"/>
                <w:color w:val="000000"/>
                <w:spacing w:val="-8"/>
                <w:kern w:val="0"/>
                <w:sz w:val="21"/>
                <w:szCs w:val="21"/>
                <w:lang w:val="en-US" w:eastAsia="en-US" w:bidi="ar-SA"/>
              </w:rPr>
              <w:t>风景林</w:t>
            </w:r>
          </w:p>
        </w:tc>
        <w:tc>
          <w:tcPr>
            <w:tcW w:w="525" w:type="dxa"/>
            <w:tcBorders>
              <w:top w:val="single" w:color="auto" w:sz="4" w:space="0"/>
              <w:left w:val="single" w:color="auto" w:sz="4" w:space="0"/>
              <w:bottom w:val="single" w:color="auto" w:sz="4" w:space="0"/>
              <w:right w:val="single" w:color="auto" w:sz="4" w:space="0"/>
            </w:tcBorders>
            <w:vAlign w:val="center"/>
          </w:tcPr>
          <w:p w14:paraId="06C0E43E">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27"/>
                <w:kern w:val="0"/>
                <w:sz w:val="21"/>
                <w:szCs w:val="21"/>
                <w:lang w:val="en-US" w:eastAsia="en-US" w:bidi="ar-SA"/>
              </w:rPr>
              <w:t>Ⅰ</w:t>
            </w:r>
            <w:r>
              <w:rPr>
                <w:rFonts w:hint="eastAsia" w:asciiTheme="minorEastAsia" w:hAnsiTheme="minorEastAsia" w:eastAsiaTheme="minorEastAsia" w:cstheme="minorEastAsia"/>
                <w:snapToGrid w:val="0"/>
                <w:color w:val="000000"/>
                <w:spacing w:val="-67"/>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7"/>
                <w:kern w:val="0"/>
                <w:sz w:val="21"/>
                <w:szCs w:val="21"/>
                <w:lang w:val="en-US" w:eastAsia="en-US" w:bidi="ar-SA"/>
              </w:rPr>
              <w:t>、Ⅲ</w:t>
            </w:r>
          </w:p>
        </w:tc>
        <w:tc>
          <w:tcPr>
            <w:tcW w:w="2100" w:type="dxa"/>
            <w:tcBorders>
              <w:top w:val="single" w:color="auto" w:sz="4" w:space="0"/>
              <w:left w:val="single" w:color="auto" w:sz="4" w:space="0"/>
              <w:bottom w:val="single" w:color="auto" w:sz="4" w:space="0"/>
              <w:right w:val="single" w:color="auto" w:sz="4" w:space="0"/>
            </w:tcBorders>
            <w:vAlign w:val="center"/>
          </w:tcPr>
          <w:p w14:paraId="33FDFFED">
            <w:pPr>
              <w:kinsoku w:val="0"/>
              <w:autoSpaceDE w:val="0"/>
              <w:autoSpaceDN w:val="0"/>
              <w:adjustRightInd w:val="0"/>
              <w:snapToGrid w:val="0"/>
              <w:spacing w:before="57"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4"/>
                <w:kern w:val="0"/>
                <w:sz w:val="21"/>
                <w:szCs w:val="21"/>
                <w:lang w:val="en-US" w:eastAsia="en-US" w:bidi="ar-SA"/>
              </w:rPr>
              <w:t>1.</w:t>
            </w:r>
            <w:r>
              <w:rPr>
                <w:rFonts w:hint="eastAsia" w:asciiTheme="minorEastAsia" w:hAnsiTheme="minorEastAsia" w:eastAsiaTheme="minorEastAsia" w:cstheme="minorEastAsia"/>
                <w:b/>
                <w:bCs/>
                <w:snapToGrid w:val="0"/>
                <w:color w:val="000000"/>
                <w:spacing w:val="-13"/>
                <w:kern w:val="0"/>
                <w:sz w:val="21"/>
                <w:szCs w:val="21"/>
                <w:lang w:val="en-US" w:eastAsia="en-US" w:bidi="ar-SA"/>
              </w:rPr>
              <w:t xml:space="preserve"> </w:t>
            </w:r>
            <w:r>
              <w:rPr>
                <w:rFonts w:hint="eastAsia" w:asciiTheme="minorEastAsia" w:hAnsiTheme="minorEastAsia" w:eastAsiaTheme="minorEastAsia" w:cstheme="minorEastAsia"/>
                <w:b/>
                <w:bCs/>
                <w:snapToGrid w:val="0"/>
                <w:color w:val="000000"/>
                <w:spacing w:val="4"/>
                <w:kern w:val="0"/>
                <w:sz w:val="21"/>
                <w:szCs w:val="21"/>
                <w:lang w:val="en-US" w:eastAsia="en-US" w:bidi="ar-SA"/>
              </w:rPr>
              <w:t>间伐</w:t>
            </w:r>
            <w:r>
              <w:rPr>
                <w:rFonts w:hint="eastAsia" w:asciiTheme="minorEastAsia" w:hAnsiTheme="minorEastAsia" w:eastAsiaTheme="minorEastAsia" w:cstheme="minorEastAsia"/>
                <w:snapToGrid w:val="0"/>
                <w:color w:val="000000"/>
                <w:spacing w:val="4"/>
                <w:kern w:val="0"/>
                <w:sz w:val="21"/>
                <w:szCs w:val="21"/>
                <w:lang w:val="en-US" w:eastAsia="en-US" w:bidi="ar-SA"/>
              </w:rPr>
              <w:t>:伐除与目标树竞争</w:t>
            </w:r>
            <w:r>
              <w:rPr>
                <w:rFonts w:hint="eastAsia" w:asciiTheme="minorEastAsia" w:hAnsiTheme="minorEastAsia" w:eastAsiaTheme="minorEastAsia" w:cstheme="minorEastAsia"/>
                <w:snapToGrid w:val="0"/>
                <w:color w:val="000000"/>
                <w:spacing w:val="2"/>
                <w:kern w:val="0"/>
                <w:sz w:val="21"/>
                <w:szCs w:val="21"/>
                <w:lang w:val="en-US" w:eastAsia="en-US" w:bidi="ar-SA"/>
              </w:rPr>
              <w:t>激烈、生长不良或遭受病虫害严重的非目的树种，保留</w:t>
            </w:r>
            <w:r>
              <w:rPr>
                <w:rFonts w:hint="eastAsia" w:asciiTheme="minorEastAsia" w:hAnsiTheme="minorEastAsia" w:eastAsiaTheme="minorEastAsia" w:cstheme="minorEastAsia"/>
                <w:snapToGrid w:val="0"/>
                <w:color w:val="000000"/>
                <w:spacing w:val="7"/>
                <w:kern w:val="0"/>
                <w:sz w:val="21"/>
                <w:szCs w:val="21"/>
                <w:lang w:val="en-US" w:eastAsia="en-US" w:bidi="ar-SA"/>
              </w:rPr>
              <w:t>林下阔叶幼树幼苗。</w:t>
            </w:r>
          </w:p>
          <w:p w14:paraId="467A0AA4">
            <w:pPr>
              <w:kinsoku w:val="0"/>
              <w:autoSpaceDE w:val="0"/>
              <w:autoSpaceDN w:val="0"/>
              <w:adjustRightInd w:val="0"/>
              <w:snapToGrid w:val="0"/>
              <w:spacing w:before="1"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2.采伐强度：</w:t>
            </w:r>
            <w:r>
              <w:rPr>
                <w:rFonts w:hint="eastAsia" w:asciiTheme="minorEastAsia" w:hAnsiTheme="minorEastAsia" w:eastAsiaTheme="minorEastAsia" w:cstheme="minorEastAsia"/>
                <w:snapToGrid w:val="0"/>
                <w:color w:val="000000"/>
                <w:spacing w:val="5"/>
                <w:kern w:val="0"/>
                <w:sz w:val="21"/>
                <w:szCs w:val="21"/>
                <w:lang w:val="en-US" w:eastAsia="en-US" w:bidi="ar-SA"/>
              </w:rPr>
              <w:t>采伐蓄积强度</w:t>
            </w:r>
            <w:r>
              <w:rPr>
                <w:rFonts w:hint="eastAsia" w:asciiTheme="minorEastAsia" w:hAnsiTheme="minorEastAsia" w:eastAsiaTheme="minorEastAsia" w:cstheme="minorEastAsia"/>
                <w:snapToGrid w:val="0"/>
                <w:color w:val="000000"/>
                <w:spacing w:val="-2"/>
                <w:kern w:val="0"/>
                <w:sz w:val="21"/>
                <w:szCs w:val="21"/>
                <w:lang w:val="en-US" w:eastAsia="en-US" w:bidi="ar-SA"/>
              </w:rPr>
              <w:t>不超过</w:t>
            </w:r>
            <w:r>
              <w:rPr>
                <w:rFonts w:hint="eastAsia" w:asciiTheme="minorEastAsia" w:hAnsiTheme="minorEastAsia" w:eastAsiaTheme="minorEastAsia" w:cstheme="minorEastAsia"/>
                <w:snapToGrid w:val="0"/>
                <w:color w:val="000000"/>
                <w:spacing w:val="-15"/>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
                <w:kern w:val="0"/>
                <w:sz w:val="21"/>
                <w:szCs w:val="21"/>
                <w:lang w:val="en-US" w:eastAsia="en-US" w:bidi="ar-SA"/>
              </w:rPr>
              <w:t>15%，平均胸径大于</w:t>
            </w:r>
            <w:r>
              <w:rPr>
                <w:rFonts w:hint="eastAsia" w:asciiTheme="minorEastAsia" w:hAnsiTheme="minorEastAsia" w:eastAsiaTheme="minorEastAsia" w:cstheme="minorEastAsia"/>
                <w:snapToGrid w:val="0"/>
                <w:color w:val="000000"/>
                <w:spacing w:val="2"/>
                <w:kern w:val="0"/>
                <w:sz w:val="21"/>
                <w:szCs w:val="21"/>
                <w:lang w:val="en-US" w:eastAsia="en-US" w:bidi="ar-SA"/>
              </w:rPr>
              <w:t>采伐前，确保生态功能和森</w:t>
            </w:r>
            <w:r>
              <w:rPr>
                <w:rFonts w:hint="eastAsia" w:asciiTheme="minorEastAsia" w:hAnsiTheme="minorEastAsia" w:eastAsiaTheme="minorEastAsia" w:cstheme="minorEastAsia"/>
                <w:snapToGrid w:val="0"/>
                <w:color w:val="000000"/>
                <w:spacing w:val="6"/>
                <w:kern w:val="0"/>
                <w:sz w:val="21"/>
                <w:szCs w:val="21"/>
                <w:lang w:val="en-US" w:eastAsia="en-US" w:bidi="ar-SA"/>
              </w:rPr>
              <w:t>林景观连续性。</w:t>
            </w:r>
          </w:p>
        </w:tc>
        <w:tc>
          <w:tcPr>
            <w:tcW w:w="1125" w:type="dxa"/>
            <w:tcBorders>
              <w:top w:val="single" w:color="auto" w:sz="4" w:space="0"/>
              <w:left w:val="single" w:color="auto" w:sz="4" w:space="0"/>
              <w:bottom w:val="single" w:color="auto" w:sz="4" w:space="0"/>
              <w:right w:val="single" w:color="auto" w:sz="4" w:space="0"/>
            </w:tcBorders>
            <w:vAlign w:val="center"/>
          </w:tcPr>
          <w:p w14:paraId="2123DAC0">
            <w:pPr>
              <w:kinsoku w:val="0"/>
              <w:autoSpaceDE w:val="0"/>
              <w:autoSpaceDN w:val="0"/>
              <w:adjustRightInd w:val="0"/>
              <w:snapToGrid w:val="0"/>
              <w:spacing w:before="211"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针对目标树、补植及保留的珍贵树种进行修枝，于春秋两季作业，保证林分通透、</w:t>
            </w:r>
            <w:r>
              <w:rPr>
                <w:rFonts w:hint="eastAsia" w:asciiTheme="minorEastAsia" w:hAnsiTheme="minorEastAsia" w:eastAsiaTheme="minorEastAsia" w:cstheme="minorEastAsia"/>
                <w:snapToGrid w:val="0"/>
                <w:color w:val="000000"/>
                <w:spacing w:val="4"/>
                <w:kern w:val="0"/>
                <w:sz w:val="21"/>
                <w:szCs w:val="21"/>
                <w:lang w:val="en-US" w:eastAsia="en-US" w:bidi="ar-SA"/>
              </w:rPr>
              <w:t>树形优美。</w:t>
            </w:r>
          </w:p>
        </w:tc>
        <w:tc>
          <w:tcPr>
            <w:tcW w:w="945" w:type="dxa"/>
            <w:tcBorders>
              <w:top w:val="single" w:color="auto" w:sz="4" w:space="0"/>
              <w:left w:val="single" w:color="auto" w:sz="4" w:space="0"/>
              <w:bottom w:val="single" w:color="auto" w:sz="4" w:space="0"/>
              <w:right w:val="single" w:color="auto" w:sz="4" w:space="0"/>
            </w:tcBorders>
            <w:vAlign w:val="center"/>
          </w:tcPr>
          <w:p w14:paraId="05058211">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6"/>
                <w:kern w:val="0"/>
                <w:sz w:val="21"/>
                <w:szCs w:val="21"/>
                <w:lang w:val="en-US" w:eastAsia="en-US" w:bidi="ar-SA"/>
              </w:rPr>
              <w:t>清理有碍于</w:t>
            </w:r>
          </w:p>
          <w:p w14:paraId="427A7259">
            <w:pPr>
              <w:kinsoku w:val="0"/>
              <w:autoSpaceDE w:val="0"/>
              <w:autoSpaceDN w:val="0"/>
              <w:adjustRightInd w:val="0"/>
              <w:snapToGrid w:val="0"/>
              <w:spacing w:before="68"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6"/>
                <w:kern w:val="0"/>
                <w:sz w:val="21"/>
                <w:szCs w:val="21"/>
                <w:lang w:val="en-US" w:eastAsia="en-US" w:bidi="ar-SA"/>
              </w:rPr>
              <w:t>苗木栽植和</w:t>
            </w:r>
          </w:p>
          <w:p w14:paraId="1D88D75D">
            <w:pPr>
              <w:kinsoku w:val="0"/>
              <w:autoSpaceDE w:val="0"/>
              <w:autoSpaceDN w:val="0"/>
              <w:adjustRightInd w:val="0"/>
              <w:snapToGrid w:val="0"/>
              <w:spacing w:before="69"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林木生长的</w:t>
            </w:r>
            <w:r>
              <w:rPr>
                <w:rFonts w:hint="eastAsia" w:asciiTheme="minorEastAsia" w:hAnsiTheme="minorEastAsia" w:eastAsiaTheme="minorEastAsia" w:cstheme="minorEastAsia"/>
                <w:snapToGrid w:val="0"/>
                <w:color w:val="000000"/>
                <w:spacing w:val="-6"/>
                <w:kern w:val="0"/>
                <w:sz w:val="21"/>
                <w:szCs w:val="21"/>
                <w:lang w:val="en-US" w:eastAsia="en-US" w:bidi="ar-SA"/>
              </w:rPr>
              <w:t>藤蔓、灌木、</w:t>
            </w:r>
            <w:r>
              <w:rPr>
                <w:rFonts w:hint="eastAsia" w:asciiTheme="minorEastAsia" w:hAnsiTheme="minorEastAsia" w:eastAsiaTheme="minorEastAsia" w:cstheme="minorEastAsia"/>
                <w:snapToGrid w:val="0"/>
                <w:color w:val="000000"/>
                <w:spacing w:val="6"/>
                <w:kern w:val="0"/>
                <w:sz w:val="21"/>
                <w:szCs w:val="21"/>
                <w:lang w:val="en-US" w:eastAsia="en-US" w:bidi="ar-SA"/>
              </w:rPr>
              <w:t>有害生物</w:t>
            </w:r>
          </w:p>
          <w:p w14:paraId="6D7A1E8A">
            <w:pPr>
              <w:kinsoku w:val="0"/>
              <w:autoSpaceDE w:val="0"/>
              <w:autoSpaceDN w:val="0"/>
              <w:adjustRightInd w:val="0"/>
              <w:snapToGrid w:val="0"/>
              <w:spacing w:before="2"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等。</w:t>
            </w:r>
          </w:p>
        </w:tc>
        <w:tc>
          <w:tcPr>
            <w:tcW w:w="1230" w:type="dxa"/>
            <w:tcBorders>
              <w:top w:val="single" w:color="auto" w:sz="4" w:space="0"/>
              <w:left w:val="single" w:color="auto" w:sz="4" w:space="0"/>
              <w:bottom w:val="single" w:color="auto" w:sz="4" w:space="0"/>
              <w:right w:val="single" w:color="auto" w:sz="4" w:space="0"/>
            </w:tcBorders>
            <w:vAlign w:val="center"/>
          </w:tcPr>
          <w:p w14:paraId="473F9E50">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3"/>
                <w:kern w:val="0"/>
                <w:sz w:val="21"/>
                <w:szCs w:val="21"/>
                <w:lang w:val="en-US" w:eastAsia="en-US" w:bidi="ar-SA"/>
              </w:rPr>
              <w:t>整地在造林前</w:t>
            </w:r>
            <w:r>
              <w:rPr>
                <w:rFonts w:hint="eastAsia" w:asciiTheme="minorEastAsia" w:hAnsiTheme="minorEastAsia" w:eastAsiaTheme="minorEastAsia" w:cstheme="minorEastAsia"/>
                <w:snapToGrid w:val="0"/>
                <w:color w:val="000000"/>
                <w:spacing w:val="-21"/>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3"/>
                <w:kern w:val="0"/>
                <w:sz w:val="21"/>
                <w:szCs w:val="21"/>
                <w:lang w:val="en-US" w:eastAsia="en-US" w:bidi="ar-SA"/>
              </w:rPr>
              <w:t>1 个月</w:t>
            </w:r>
            <w:r>
              <w:rPr>
                <w:rFonts w:hint="eastAsia" w:asciiTheme="minorEastAsia" w:hAnsiTheme="minorEastAsia" w:eastAsiaTheme="minorEastAsia" w:cstheme="minorEastAsia"/>
                <w:snapToGrid w:val="0"/>
                <w:color w:val="000000"/>
                <w:spacing w:val="6"/>
                <w:kern w:val="0"/>
                <w:sz w:val="21"/>
                <w:szCs w:val="21"/>
                <w:lang w:val="en-US" w:eastAsia="en-US" w:bidi="ar-SA"/>
              </w:rPr>
              <w:t>完成，采用穴状整地</w:t>
            </w:r>
            <w:r>
              <w:rPr>
                <w:rFonts w:hint="eastAsia" w:asciiTheme="minorEastAsia" w:hAnsiTheme="minorEastAsia" w:eastAsiaTheme="minorEastAsia" w:cstheme="minorEastAsia"/>
                <w:snapToGrid w:val="0"/>
                <w:color w:val="000000"/>
                <w:spacing w:val="5"/>
                <w:kern w:val="0"/>
                <w:sz w:val="21"/>
                <w:szCs w:val="21"/>
                <w:lang w:val="en-US" w:eastAsia="en-US" w:bidi="ar-SA"/>
              </w:rPr>
              <w:t>（严禁全垦</w:t>
            </w:r>
            <w:r>
              <w:rPr>
                <w:rFonts w:hint="eastAsia" w:asciiTheme="minorEastAsia" w:hAnsiTheme="minorEastAsia" w:eastAsiaTheme="minorEastAsia" w:cstheme="minorEastAsia"/>
                <w:snapToGrid w:val="0"/>
                <w:color w:val="000000"/>
                <w:spacing w:val="12"/>
                <w:kern w:val="0"/>
                <w:sz w:val="21"/>
                <w:szCs w:val="21"/>
                <w:lang w:val="en-US" w:eastAsia="en-US" w:bidi="ar-SA"/>
              </w:rPr>
              <w:t>），</w:t>
            </w:r>
            <w:r>
              <w:rPr>
                <w:rFonts w:hint="eastAsia" w:asciiTheme="minorEastAsia" w:hAnsiTheme="minorEastAsia" w:eastAsiaTheme="minorEastAsia" w:cstheme="minorEastAsia"/>
                <w:snapToGrid w:val="0"/>
                <w:color w:val="000000"/>
                <w:spacing w:val="5"/>
                <w:kern w:val="0"/>
                <w:sz w:val="21"/>
                <w:szCs w:val="21"/>
                <w:lang w:val="en-US" w:eastAsia="en-US" w:bidi="ar-SA"/>
              </w:rPr>
              <w:t>穴规格</w:t>
            </w:r>
            <w:r>
              <w:rPr>
                <w:rFonts w:hint="eastAsia" w:asciiTheme="minorEastAsia" w:hAnsiTheme="minorEastAsia" w:eastAsiaTheme="minorEastAsia" w:cstheme="minorEastAsia"/>
                <w:snapToGrid w:val="0"/>
                <w:color w:val="000000"/>
                <w:spacing w:val="-38"/>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5"/>
                <w:kern w:val="0"/>
                <w:sz w:val="21"/>
                <w:szCs w:val="21"/>
                <w:lang w:val="en-US" w:eastAsia="en-US" w:bidi="ar-SA"/>
              </w:rPr>
              <w:t>50×50×40</w:t>
            </w:r>
            <w:r>
              <w:rPr>
                <w:rFonts w:hint="eastAsia" w:asciiTheme="minorEastAsia" w:hAnsiTheme="minorEastAsia" w:eastAsiaTheme="minorEastAsia" w:cstheme="minorEastAsia"/>
                <w:snapToGrid w:val="0"/>
                <w:color w:val="000000"/>
                <w:spacing w:val="17"/>
                <w:w w:val="101"/>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5"/>
                <w:kern w:val="0"/>
                <w:sz w:val="21"/>
                <w:szCs w:val="21"/>
                <w:lang w:val="en-US" w:eastAsia="en-US" w:bidi="ar-SA"/>
              </w:rPr>
              <w:t>厘米，</w:t>
            </w:r>
            <w:r>
              <w:rPr>
                <w:rFonts w:hint="eastAsia" w:asciiTheme="minorEastAsia" w:hAnsiTheme="minorEastAsia" w:eastAsiaTheme="minorEastAsia" w:cstheme="minorEastAsia"/>
                <w:snapToGrid w:val="0"/>
                <w:color w:val="000000"/>
                <w:spacing w:val="10"/>
                <w:kern w:val="0"/>
                <w:sz w:val="21"/>
                <w:szCs w:val="21"/>
                <w:lang w:val="en-US" w:eastAsia="en-US" w:bidi="ar-SA"/>
              </w:rPr>
              <w:t>每穴底施复合肥0.20</w:t>
            </w:r>
            <w:r>
              <w:rPr>
                <w:rFonts w:hint="eastAsia" w:asciiTheme="minorEastAsia" w:hAnsiTheme="minorEastAsia" w:eastAsiaTheme="minorEastAsia" w:cstheme="minorEastAsia"/>
                <w:snapToGrid w:val="0"/>
                <w:color w:val="000000"/>
                <w:spacing w:val="5"/>
                <w:kern w:val="0"/>
                <w:sz w:val="21"/>
                <w:szCs w:val="21"/>
                <w:lang w:val="en-US" w:eastAsia="en-US" w:bidi="ar-SA"/>
              </w:rPr>
              <w:t>千克作基肥。</w:t>
            </w:r>
          </w:p>
        </w:tc>
        <w:tc>
          <w:tcPr>
            <w:tcW w:w="2726" w:type="dxa"/>
            <w:tcBorders>
              <w:top w:val="single" w:color="auto" w:sz="4" w:space="0"/>
              <w:left w:val="single" w:color="auto" w:sz="4" w:space="0"/>
              <w:bottom w:val="single" w:color="auto" w:sz="4" w:space="0"/>
              <w:right w:val="single" w:color="auto" w:sz="4" w:space="0"/>
            </w:tcBorders>
            <w:vAlign w:val="center"/>
          </w:tcPr>
          <w:p w14:paraId="21D52D3D">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spacing w:val="9"/>
                <w:kern w:val="0"/>
                <w:sz w:val="21"/>
                <w:szCs w:val="21"/>
                <w:lang w:val="en-US" w:eastAsia="en-US" w:bidi="ar-SA"/>
              </w:rPr>
            </w:pPr>
            <w:r>
              <w:rPr>
                <w:rFonts w:hint="eastAsia" w:asciiTheme="minorEastAsia" w:hAnsiTheme="minorEastAsia" w:eastAsiaTheme="minorEastAsia" w:cstheme="minorEastAsia"/>
                <w:snapToGrid w:val="0"/>
                <w:color w:val="000000"/>
                <w:spacing w:val="9"/>
                <w:kern w:val="0"/>
                <w:sz w:val="21"/>
                <w:szCs w:val="21"/>
                <w:lang w:val="en-US" w:eastAsia="en-US" w:bidi="ar-SA"/>
              </w:rPr>
              <w:t>以培育水保林、风景林为目标，优先选用珍贵乡土树种，每个小班补植树种一般不少于3 种。景区入 口、景观公路及村道旁增加特色景观树种，丰富季相变化。补植树种包括青冈、大叶榉树、檫木、南酸枣、香椿、红千层等，补植密度为 30-38 株/亩。</w:t>
            </w:r>
          </w:p>
        </w:tc>
        <w:tc>
          <w:tcPr>
            <w:tcW w:w="1474" w:type="dxa"/>
            <w:tcBorders>
              <w:top w:val="single" w:color="auto" w:sz="4" w:space="0"/>
              <w:left w:val="single" w:color="auto" w:sz="4" w:space="0"/>
              <w:bottom w:val="single" w:color="auto" w:sz="4" w:space="0"/>
              <w:right w:val="single" w:color="auto" w:sz="4" w:space="0"/>
            </w:tcBorders>
            <w:vAlign w:val="center"/>
          </w:tcPr>
          <w:p w14:paraId="6CAF913C">
            <w:pPr>
              <w:tabs>
                <w:tab w:val="left" w:pos="1260"/>
              </w:tabs>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spacing w:val="9"/>
                <w:kern w:val="0"/>
                <w:sz w:val="21"/>
                <w:szCs w:val="21"/>
                <w:lang w:val="en-US" w:eastAsia="en-US" w:bidi="ar-SA"/>
              </w:rPr>
            </w:pPr>
            <w:r>
              <w:rPr>
                <w:rFonts w:hint="eastAsia" w:asciiTheme="minorEastAsia" w:hAnsiTheme="minorEastAsia" w:eastAsiaTheme="minorEastAsia" w:cstheme="minorEastAsia"/>
                <w:snapToGrid w:val="0"/>
                <w:color w:val="000000"/>
                <w:spacing w:val="9"/>
                <w:kern w:val="0"/>
                <w:sz w:val="21"/>
                <w:szCs w:val="21"/>
                <w:lang w:val="en-US" w:eastAsia="en-US" w:bidi="ar-SA"/>
              </w:rPr>
              <w:t>造林当年 5-6 月、8-9月各抚育 1 次，清除 1米直径范围内的杂草杂灌、培蔸除萌、覆盖保墒，并加强林分管护。</w:t>
            </w:r>
          </w:p>
        </w:tc>
      </w:tr>
      <w:tr w14:paraId="1139E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298" w:type="dxa"/>
            <w:vMerge w:val="continue"/>
            <w:tcBorders>
              <w:top w:val="single" w:color="auto" w:sz="4" w:space="0"/>
              <w:left w:val="single" w:color="auto" w:sz="4" w:space="0"/>
            </w:tcBorders>
            <w:vAlign w:val="center"/>
          </w:tcPr>
          <w:p w14:paraId="2EF0673F">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413" w:type="dxa"/>
            <w:tcBorders>
              <w:top w:val="single" w:color="auto" w:sz="4" w:space="0"/>
            </w:tcBorders>
            <w:vAlign w:val="center"/>
          </w:tcPr>
          <w:p w14:paraId="3FB3969F">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1"/>
                <w:kern w:val="0"/>
                <w:sz w:val="21"/>
                <w:szCs w:val="21"/>
                <w:lang w:val="en-US" w:eastAsia="en-US" w:bidi="ar-SA"/>
              </w:rPr>
              <w:t>马尾</w:t>
            </w:r>
            <w:r>
              <w:rPr>
                <w:rFonts w:hint="eastAsia" w:asciiTheme="minorEastAsia" w:hAnsiTheme="minorEastAsia" w:eastAsiaTheme="minorEastAsia" w:cstheme="minorEastAsia"/>
                <w:snapToGrid w:val="0"/>
                <w:color w:val="000000"/>
                <w:spacing w:val="2"/>
                <w:kern w:val="0"/>
                <w:sz w:val="21"/>
                <w:szCs w:val="21"/>
                <w:lang w:val="en-US" w:eastAsia="en-US" w:bidi="ar-SA"/>
              </w:rPr>
              <w:t>松林</w:t>
            </w:r>
          </w:p>
        </w:tc>
        <w:tc>
          <w:tcPr>
            <w:tcW w:w="1158" w:type="dxa"/>
            <w:tcBorders>
              <w:top w:val="single" w:color="auto" w:sz="4" w:space="0"/>
            </w:tcBorders>
            <w:vAlign w:val="center"/>
          </w:tcPr>
          <w:p w14:paraId="19118356">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（1）马尾松纯林，密</w:t>
            </w:r>
            <w:r>
              <w:rPr>
                <w:rFonts w:hint="eastAsia" w:asciiTheme="minorEastAsia" w:hAnsiTheme="minorEastAsia" w:eastAsiaTheme="minorEastAsia" w:cstheme="minorEastAsia"/>
                <w:snapToGrid w:val="0"/>
                <w:color w:val="000000"/>
                <w:spacing w:val="6"/>
                <w:kern w:val="0"/>
                <w:sz w:val="21"/>
                <w:szCs w:val="21"/>
                <w:lang w:val="en-US" w:eastAsia="en-US" w:bidi="ar-SA"/>
              </w:rPr>
              <w:t>度过高、林层单一，林</w:t>
            </w:r>
            <w:r>
              <w:rPr>
                <w:rFonts w:hint="eastAsia" w:asciiTheme="minorEastAsia" w:hAnsiTheme="minorEastAsia" w:eastAsiaTheme="minorEastAsia" w:cstheme="minorEastAsia"/>
                <w:snapToGrid w:val="0"/>
                <w:color w:val="000000"/>
                <w:spacing w:val="8"/>
                <w:kern w:val="0"/>
                <w:sz w:val="21"/>
                <w:szCs w:val="21"/>
                <w:lang w:val="en-US" w:eastAsia="en-US" w:bidi="ar-SA"/>
              </w:rPr>
              <w:t>木竞争激烈、生长衰</w:t>
            </w:r>
            <w:r>
              <w:rPr>
                <w:rFonts w:hint="eastAsia" w:asciiTheme="minorEastAsia" w:hAnsiTheme="minorEastAsia" w:eastAsiaTheme="minorEastAsia" w:cstheme="minorEastAsia"/>
                <w:snapToGrid w:val="0"/>
                <w:color w:val="000000"/>
                <w:spacing w:val="7"/>
                <w:kern w:val="0"/>
                <w:sz w:val="21"/>
                <w:szCs w:val="21"/>
                <w:lang w:val="en-US" w:eastAsia="en-US" w:bidi="ar-SA"/>
              </w:rPr>
              <w:t>退。（2）发生松材线</w:t>
            </w:r>
            <w:r>
              <w:rPr>
                <w:rFonts w:hint="eastAsia" w:asciiTheme="minorEastAsia" w:hAnsiTheme="minorEastAsia" w:eastAsiaTheme="minorEastAsia" w:cstheme="minorEastAsia"/>
                <w:snapToGrid w:val="0"/>
                <w:color w:val="000000"/>
                <w:spacing w:val="6"/>
                <w:kern w:val="0"/>
                <w:sz w:val="21"/>
                <w:szCs w:val="21"/>
                <w:lang w:val="en-US" w:eastAsia="en-US" w:bidi="ar-SA"/>
              </w:rPr>
              <w:t>虫病害，需要清除部分</w:t>
            </w:r>
            <w:r>
              <w:rPr>
                <w:rFonts w:hint="eastAsia" w:asciiTheme="minorEastAsia" w:hAnsiTheme="minorEastAsia" w:eastAsiaTheme="minorEastAsia" w:cstheme="minorEastAsia"/>
                <w:snapToGrid w:val="0"/>
                <w:color w:val="000000"/>
                <w:spacing w:val="7"/>
                <w:kern w:val="0"/>
                <w:sz w:val="21"/>
                <w:szCs w:val="21"/>
                <w:lang w:val="en-US" w:eastAsia="en-US" w:bidi="ar-SA"/>
              </w:rPr>
              <w:t>受害木、枯死木等。</w:t>
            </w:r>
          </w:p>
        </w:tc>
        <w:tc>
          <w:tcPr>
            <w:tcW w:w="497" w:type="dxa"/>
            <w:tcBorders>
              <w:top w:val="single" w:color="auto" w:sz="4" w:space="0"/>
            </w:tcBorders>
            <w:vAlign w:val="center"/>
          </w:tcPr>
          <w:p w14:paraId="79BB0C22">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kern w:val="0"/>
                <w:sz w:val="21"/>
                <w:szCs w:val="21"/>
                <w:lang w:val="en-US" w:eastAsia="en-US" w:bidi="ar-SA"/>
              </w:rPr>
              <w:t>一般</w:t>
            </w:r>
          </w:p>
        </w:tc>
        <w:tc>
          <w:tcPr>
            <w:tcW w:w="661" w:type="dxa"/>
            <w:tcBorders>
              <w:top w:val="single" w:color="auto" w:sz="4" w:space="0"/>
            </w:tcBorders>
            <w:vAlign w:val="center"/>
          </w:tcPr>
          <w:p w14:paraId="34C19DD9">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3"/>
                <w:kern w:val="0"/>
                <w:sz w:val="21"/>
                <w:szCs w:val="21"/>
                <w:lang w:val="en-US" w:eastAsia="en-US" w:bidi="ar-SA"/>
              </w:rPr>
              <w:t>马尾松</w:t>
            </w:r>
            <w:r>
              <w:rPr>
                <w:rFonts w:hint="eastAsia" w:asciiTheme="minorEastAsia" w:hAnsiTheme="minorEastAsia" w:eastAsiaTheme="minorEastAsia" w:cstheme="minorEastAsia"/>
                <w:snapToGrid w:val="0"/>
                <w:color w:val="000000"/>
                <w:spacing w:val="4"/>
                <w:kern w:val="0"/>
                <w:sz w:val="21"/>
                <w:szCs w:val="21"/>
                <w:lang w:val="en-US" w:eastAsia="en-US" w:bidi="ar-SA"/>
              </w:rPr>
              <w:t>退化林采伐修</w:t>
            </w:r>
            <w:r>
              <w:rPr>
                <w:rFonts w:hint="eastAsia" w:asciiTheme="minorEastAsia" w:hAnsiTheme="minorEastAsia" w:eastAsiaTheme="minorEastAsia" w:cstheme="minorEastAsia"/>
                <w:snapToGrid w:val="0"/>
                <w:color w:val="000000"/>
                <w:kern w:val="0"/>
                <w:sz w:val="21"/>
                <w:szCs w:val="21"/>
                <w:lang w:val="en-US" w:eastAsia="en-US" w:bidi="ar-SA"/>
              </w:rPr>
              <w:t>复</w:t>
            </w:r>
          </w:p>
        </w:tc>
        <w:tc>
          <w:tcPr>
            <w:tcW w:w="436" w:type="dxa"/>
            <w:tcBorders>
              <w:top w:val="single" w:color="auto" w:sz="4" w:space="0"/>
            </w:tcBorders>
            <w:vAlign w:val="center"/>
          </w:tcPr>
          <w:p w14:paraId="19700FC7">
            <w:pPr>
              <w:widowControl/>
              <w:kinsoku w:val="0"/>
              <w:autoSpaceDE w:val="0"/>
              <w:autoSpaceDN w:val="0"/>
              <w:adjustRightInd w:val="0"/>
              <w:snapToGrid w:val="0"/>
              <w:spacing w:before="58"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r>
              <w:rPr>
                <w:rFonts w:hint="eastAsia" w:asciiTheme="minorEastAsia" w:hAnsiTheme="minorEastAsia" w:eastAsiaTheme="minorEastAsia" w:cstheme="minorEastAsia"/>
                <w:snapToGrid w:val="0"/>
                <w:color w:val="000000"/>
                <w:kern w:val="0"/>
                <w:sz w:val="21"/>
                <w:szCs w:val="21"/>
                <w:lang w:eastAsia="en-US"/>
              </w:rPr>
              <w:t>CFXF</w:t>
            </w:r>
            <w:r>
              <w:rPr>
                <w:rFonts w:hint="eastAsia" w:asciiTheme="minorEastAsia" w:hAnsiTheme="minorEastAsia" w:eastAsiaTheme="minorEastAsia" w:cstheme="minorEastAsia"/>
                <w:snapToGrid w:val="0"/>
                <w:color w:val="000000"/>
                <w:spacing w:val="17"/>
                <w:kern w:val="0"/>
                <w:sz w:val="21"/>
                <w:szCs w:val="21"/>
                <w:lang w:eastAsia="en-US"/>
              </w:rPr>
              <w:t>5</w:t>
            </w:r>
          </w:p>
        </w:tc>
        <w:tc>
          <w:tcPr>
            <w:tcW w:w="572" w:type="dxa"/>
            <w:tcBorders>
              <w:top w:val="single" w:color="auto" w:sz="4" w:space="0"/>
            </w:tcBorders>
            <w:vAlign w:val="center"/>
          </w:tcPr>
          <w:p w14:paraId="070ED510">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1"/>
                <w:kern w:val="0"/>
                <w:sz w:val="21"/>
                <w:szCs w:val="21"/>
                <w:lang w:val="en-US" w:eastAsia="en-US" w:bidi="ar-SA"/>
              </w:rPr>
              <w:t>公益</w:t>
            </w:r>
            <w:r>
              <w:rPr>
                <w:rFonts w:hint="eastAsia" w:asciiTheme="minorEastAsia" w:hAnsiTheme="minorEastAsia" w:eastAsiaTheme="minorEastAsia" w:cstheme="minorEastAsia"/>
                <w:snapToGrid w:val="0"/>
                <w:color w:val="000000"/>
                <w:kern w:val="0"/>
                <w:sz w:val="21"/>
                <w:szCs w:val="21"/>
                <w:lang w:val="en-US" w:eastAsia="en-US" w:bidi="ar-SA"/>
              </w:rPr>
              <w:t>林</w:t>
            </w:r>
          </w:p>
        </w:tc>
        <w:tc>
          <w:tcPr>
            <w:tcW w:w="495" w:type="dxa"/>
            <w:tcBorders>
              <w:top w:val="single" w:color="auto" w:sz="4" w:space="0"/>
            </w:tcBorders>
            <w:vAlign w:val="center"/>
          </w:tcPr>
          <w:p w14:paraId="4A7C44F1">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16"/>
                <w:kern w:val="0"/>
                <w:sz w:val="21"/>
                <w:szCs w:val="21"/>
                <w:lang w:val="en-US" w:eastAsia="en-US" w:bidi="ar-SA"/>
              </w:rPr>
              <w:t>水保林、</w:t>
            </w:r>
            <w:r>
              <w:rPr>
                <w:rFonts w:hint="eastAsia" w:asciiTheme="minorEastAsia" w:hAnsiTheme="minorEastAsia" w:eastAsiaTheme="minorEastAsia" w:cstheme="minorEastAsia"/>
                <w:snapToGrid w:val="0"/>
                <w:color w:val="000000"/>
                <w:spacing w:val="-8"/>
                <w:kern w:val="0"/>
                <w:sz w:val="21"/>
                <w:szCs w:val="21"/>
                <w:lang w:val="en-US" w:eastAsia="en-US" w:bidi="ar-SA"/>
              </w:rPr>
              <w:t>风景林</w:t>
            </w:r>
          </w:p>
        </w:tc>
        <w:tc>
          <w:tcPr>
            <w:tcW w:w="525" w:type="dxa"/>
            <w:tcBorders>
              <w:top w:val="single" w:color="auto" w:sz="4" w:space="0"/>
            </w:tcBorders>
            <w:vAlign w:val="center"/>
          </w:tcPr>
          <w:p w14:paraId="6FAB2698">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27"/>
                <w:kern w:val="0"/>
                <w:sz w:val="21"/>
                <w:szCs w:val="21"/>
                <w:lang w:val="en-US" w:eastAsia="en-US" w:bidi="ar-SA"/>
              </w:rPr>
              <w:t>Ⅰ</w:t>
            </w:r>
            <w:r>
              <w:rPr>
                <w:rFonts w:hint="eastAsia" w:asciiTheme="minorEastAsia" w:hAnsiTheme="minorEastAsia" w:eastAsiaTheme="minorEastAsia" w:cstheme="minorEastAsia"/>
                <w:snapToGrid w:val="0"/>
                <w:color w:val="000000"/>
                <w:spacing w:val="-67"/>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7"/>
                <w:kern w:val="0"/>
                <w:sz w:val="21"/>
                <w:szCs w:val="21"/>
                <w:lang w:val="en-US" w:eastAsia="en-US" w:bidi="ar-SA"/>
              </w:rPr>
              <w:t>、Ⅲ</w:t>
            </w:r>
          </w:p>
        </w:tc>
        <w:tc>
          <w:tcPr>
            <w:tcW w:w="2100" w:type="dxa"/>
            <w:tcBorders>
              <w:top w:val="single" w:color="auto" w:sz="4" w:space="0"/>
            </w:tcBorders>
            <w:vAlign w:val="center"/>
          </w:tcPr>
          <w:p w14:paraId="1EBFDFAC">
            <w:pPr>
              <w:kinsoku w:val="0"/>
              <w:autoSpaceDE w:val="0"/>
              <w:autoSpaceDN w:val="0"/>
              <w:adjustRightInd w:val="0"/>
              <w:snapToGrid w:val="0"/>
              <w:spacing w:before="56"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1"/>
                <w:kern w:val="0"/>
                <w:sz w:val="21"/>
                <w:szCs w:val="21"/>
                <w:lang w:val="en-US" w:eastAsia="en-US" w:bidi="ar-SA"/>
              </w:rPr>
              <w:t>1.</w:t>
            </w:r>
            <w:r>
              <w:rPr>
                <w:rFonts w:hint="eastAsia" w:asciiTheme="minorEastAsia" w:hAnsiTheme="minorEastAsia" w:eastAsiaTheme="minorEastAsia" w:cstheme="minorEastAsia"/>
                <w:b/>
                <w:bCs/>
                <w:snapToGrid w:val="0"/>
                <w:color w:val="000000"/>
                <w:spacing w:val="-18"/>
                <w:kern w:val="0"/>
                <w:sz w:val="21"/>
                <w:szCs w:val="21"/>
                <w:lang w:val="en-US" w:eastAsia="en-US" w:bidi="ar-SA"/>
              </w:rPr>
              <w:t xml:space="preserve"> </w:t>
            </w:r>
            <w:r>
              <w:rPr>
                <w:rFonts w:hint="eastAsia" w:asciiTheme="minorEastAsia" w:hAnsiTheme="minorEastAsia" w:eastAsiaTheme="minorEastAsia" w:cstheme="minorEastAsia"/>
                <w:b/>
                <w:bCs/>
                <w:snapToGrid w:val="0"/>
                <w:color w:val="000000"/>
                <w:spacing w:val="-1"/>
                <w:kern w:val="0"/>
                <w:sz w:val="21"/>
                <w:szCs w:val="21"/>
                <w:lang w:val="en-US" w:eastAsia="en-US" w:bidi="ar-SA"/>
              </w:rPr>
              <w:t>间伐</w:t>
            </w:r>
            <w:r>
              <w:rPr>
                <w:rFonts w:hint="eastAsia" w:asciiTheme="minorEastAsia" w:hAnsiTheme="minorEastAsia" w:eastAsiaTheme="minorEastAsia" w:cstheme="minorEastAsia"/>
                <w:snapToGrid w:val="0"/>
                <w:color w:val="000000"/>
                <w:spacing w:val="-1"/>
                <w:kern w:val="0"/>
                <w:sz w:val="21"/>
                <w:szCs w:val="21"/>
                <w:lang w:val="en-US" w:eastAsia="en-US" w:bidi="ar-SA"/>
              </w:rPr>
              <w:t>:伐除竞争木、病虫害</w:t>
            </w:r>
            <w:r>
              <w:rPr>
                <w:rFonts w:hint="eastAsia" w:asciiTheme="minorEastAsia" w:hAnsiTheme="minorEastAsia" w:eastAsiaTheme="minorEastAsia" w:cstheme="minorEastAsia"/>
                <w:snapToGrid w:val="0"/>
                <w:color w:val="000000"/>
                <w:spacing w:val="8"/>
                <w:kern w:val="0"/>
                <w:sz w:val="21"/>
                <w:szCs w:val="21"/>
                <w:lang w:val="en-US" w:eastAsia="en-US" w:bidi="ar-SA"/>
              </w:rPr>
              <w:t>严重木及短寿命低价值树种，保留林下阔叶幼树幼</w:t>
            </w:r>
            <w:r>
              <w:rPr>
                <w:rFonts w:hint="eastAsia" w:asciiTheme="minorEastAsia" w:hAnsiTheme="minorEastAsia" w:eastAsiaTheme="minorEastAsia" w:cstheme="minorEastAsia"/>
                <w:snapToGrid w:val="0"/>
                <w:color w:val="000000"/>
                <w:spacing w:val="-4"/>
                <w:kern w:val="0"/>
                <w:sz w:val="21"/>
                <w:szCs w:val="21"/>
                <w:lang w:val="en-US" w:eastAsia="en-US" w:bidi="ar-SA"/>
              </w:rPr>
              <w:t>苗。</w:t>
            </w:r>
          </w:p>
          <w:p w14:paraId="0A657749">
            <w:pPr>
              <w:kinsoku w:val="0"/>
              <w:autoSpaceDE w:val="0"/>
              <w:autoSpaceDN w:val="0"/>
              <w:adjustRightInd w:val="0"/>
              <w:snapToGrid w:val="0"/>
              <w:spacing w:before="2"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2.采伐强度：</w:t>
            </w:r>
            <w:r>
              <w:rPr>
                <w:rFonts w:hint="eastAsia" w:asciiTheme="minorEastAsia" w:hAnsiTheme="minorEastAsia" w:eastAsiaTheme="minorEastAsia" w:cstheme="minorEastAsia"/>
                <w:snapToGrid w:val="0"/>
                <w:color w:val="000000"/>
                <w:spacing w:val="5"/>
                <w:kern w:val="0"/>
                <w:sz w:val="21"/>
                <w:szCs w:val="21"/>
                <w:lang w:val="en-US" w:eastAsia="en-US" w:bidi="ar-SA"/>
              </w:rPr>
              <w:t>采伐蓄积强度</w:t>
            </w:r>
            <w:r>
              <w:rPr>
                <w:rFonts w:hint="eastAsia" w:asciiTheme="minorEastAsia" w:hAnsiTheme="minorEastAsia" w:eastAsiaTheme="minorEastAsia" w:cstheme="minorEastAsia"/>
                <w:snapToGrid w:val="0"/>
                <w:color w:val="000000"/>
                <w:spacing w:val="-2"/>
                <w:kern w:val="0"/>
                <w:sz w:val="21"/>
                <w:szCs w:val="21"/>
                <w:lang w:val="en-US" w:eastAsia="en-US" w:bidi="ar-SA"/>
              </w:rPr>
              <w:t>不超过</w:t>
            </w:r>
            <w:r>
              <w:rPr>
                <w:rFonts w:hint="eastAsia" w:asciiTheme="minorEastAsia" w:hAnsiTheme="minorEastAsia" w:eastAsiaTheme="minorEastAsia" w:cstheme="minorEastAsia"/>
                <w:snapToGrid w:val="0"/>
                <w:color w:val="000000"/>
                <w:spacing w:val="-15"/>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
                <w:kern w:val="0"/>
                <w:sz w:val="21"/>
                <w:szCs w:val="21"/>
                <w:lang w:val="en-US" w:eastAsia="en-US" w:bidi="ar-SA"/>
              </w:rPr>
              <w:t>15%，平均胸径大于</w:t>
            </w:r>
            <w:r>
              <w:rPr>
                <w:rFonts w:hint="eastAsia" w:asciiTheme="minorEastAsia" w:hAnsiTheme="minorEastAsia" w:eastAsiaTheme="minorEastAsia" w:cstheme="minorEastAsia"/>
                <w:snapToGrid w:val="0"/>
                <w:color w:val="000000"/>
                <w:spacing w:val="2"/>
                <w:kern w:val="0"/>
                <w:sz w:val="21"/>
                <w:szCs w:val="21"/>
                <w:lang w:val="en-US" w:eastAsia="en-US" w:bidi="ar-SA"/>
              </w:rPr>
              <w:t>采伐前，确保生态功能和森</w:t>
            </w:r>
            <w:r>
              <w:rPr>
                <w:rFonts w:hint="eastAsia" w:asciiTheme="minorEastAsia" w:hAnsiTheme="minorEastAsia" w:eastAsiaTheme="minorEastAsia" w:cstheme="minorEastAsia"/>
                <w:snapToGrid w:val="0"/>
                <w:color w:val="000000"/>
                <w:spacing w:val="6"/>
                <w:kern w:val="0"/>
                <w:sz w:val="21"/>
                <w:szCs w:val="21"/>
                <w:lang w:val="en-US" w:eastAsia="en-US" w:bidi="ar-SA"/>
              </w:rPr>
              <w:t>林景观连续性。</w:t>
            </w:r>
          </w:p>
        </w:tc>
        <w:tc>
          <w:tcPr>
            <w:tcW w:w="1125" w:type="dxa"/>
            <w:tcBorders>
              <w:top w:val="single" w:color="auto" w:sz="4" w:space="0"/>
            </w:tcBorders>
            <w:vAlign w:val="center"/>
          </w:tcPr>
          <w:p w14:paraId="42CED318">
            <w:pPr>
              <w:kinsoku w:val="0"/>
              <w:autoSpaceDE w:val="0"/>
              <w:autoSpaceDN w:val="0"/>
              <w:adjustRightInd w:val="0"/>
              <w:snapToGrid w:val="0"/>
              <w:spacing w:before="213"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针对目标树、补植及保留的珍贵树种进行修枝，于春秋两季作业，保证林分通透、</w:t>
            </w:r>
            <w:r>
              <w:rPr>
                <w:rFonts w:hint="eastAsia" w:asciiTheme="minorEastAsia" w:hAnsiTheme="minorEastAsia" w:eastAsiaTheme="minorEastAsia" w:cstheme="minorEastAsia"/>
                <w:snapToGrid w:val="0"/>
                <w:color w:val="000000"/>
                <w:spacing w:val="4"/>
                <w:kern w:val="0"/>
                <w:sz w:val="21"/>
                <w:szCs w:val="21"/>
                <w:lang w:val="en-US" w:eastAsia="en-US" w:bidi="ar-SA"/>
              </w:rPr>
              <w:t>树形优美。</w:t>
            </w:r>
          </w:p>
        </w:tc>
        <w:tc>
          <w:tcPr>
            <w:tcW w:w="945" w:type="dxa"/>
            <w:tcBorders>
              <w:top w:val="single" w:color="auto" w:sz="4" w:space="0"/>
            </w:tcBorders>
            <w:vAlign w:val="center"/>
          </w:tcPr>
          <w:p w14:paraId="656A6033">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6"/>
                <w:kern w:val="0"/>
                <w:sz w:val="21"/>
                <w:szCs w:val="21"/>
                <w:lang w:val="en-US" w:eastAsia="en-US" w:bidi="ar-SA"/>
              </w:rPr>
              <w:t>清理有碍于</w:t>
            </w:r>
          </w:p>
          <w:p w14:paraId="285636DB">
            <w:pPr>
              <w:kinsoku w:val="0"/>
              <w:autoSpaceDE w:val="0"/>
              <w:autoSpaceDN w:val="0"/>
              <w:adjustRightInd w:val="0"/>
              <w:snapToGrid w:val="0"/>
              <w:spacing w:before="66"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6"/>
                <w:kern w:val="0"/>
                <w:sz w:val="21"/>
                <w:szCs w:val="21"/>
                <w:lang w:val="en-US" w:eastAsia="en-US" w:bidi="ar-SA"/>
              </w:rPr>
              <w:t>苗木栽植和</w:t>
            </w:r>
          </w:p>
          <w:p w14:paraId="60AD5D48">
            <w:pPr>
              <w:kinsoku w:val="0"/>
              <w:autoSpaceDE w:val="0"/>
              <w:autoSpaceDN w:val="0"/>
              <w:adjustRightInd w:val="0"/>
              <w:snapToGrid w:val="0"/>
              <w:spacing w:before="72"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林木生长的</w:t>
            </w:r>
            <w:r>
              <w:rPr>
                <w:rFonts w:hint="eastAsia" w:asciiTheme="minorEastAsia" w:hAnsiTheme="minorEastAsia" w:eastAsiaTheme="minorEastAsia" w:cstheme="minorEastAsia"/>
                <w:snapToGrid w:val="0"/>
                <w:color w:val="000000"/>
                <w:spacing w:val="-6"/>
                <w:kern w:val="0"/>
                <w:sz w:val="21"/>
                <w:szCs w:val="21"/>
                <w:lang w:val="en-US" w:eastAsia="en-US" w:bidi="ar-SA"/>
              </w:rPr>
              <w:t>藤蔓、灌木、</w:t>
            </w:r>
            <w:r>
              <w:rPr>
                <w:rFonts w:hint="eastAsia" w:asciiTheme="minorEastAsia" w:hAnsiTheme="minorEastAsia" w:eastAsiaTheme="minorEastAsia" w:cstheme="minorEastAsia"/>
                <w:snapToGrid w:val="0"/>
                <w:color w:val="000000"/>
                <w:spacing w:val="6"/>
                <w:kern w:val="0"/>
                <w:sz w:val="21"/>
                <w:szCs w:val="21"/>
                <w:lang w:val="en-US" w:eastAsia="en-US" w:bidi="ar-SA"/>
              </w:rPr>
              <w:t>有害生物</w:t>
            </w:r>
          </w:p>
          <w:p w14:paraId="36DF825F">
            <w:pPr>
              <w:kinsoku w:val="0"/>
              <w:autoSpaceDE w:val="0"/>
              <w:autoSpaceDN w:val="0"/>
              <w:adjustRightInd w:val="0"/>
              <w:snapToGrid w:val="0"/>
              <w:spacing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等。</w:t>
            </w:r>
          </w:p>
        </w:tc>
        <w:tc>
          <w:tcPr>
            <w:tcW w:w="1230" w:type="dxa"/>
            <w:tcBorders>
              <w:top w:val="single" w:color="auto" w:sz="4" w:space="0"/>
            </w:tcBorders>
            <w:vAlign w:val="center"/>
          </w:tcPr>
          <w:p w14:paraId="3036E15D">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3"/>
                <w:kern w:val="0"/>
                <w:sz w:val="21"/>
                <w:szCs w:val="21"/>
                <w:lang w:val="en-US" w:eastAsia="en-US" w:bidi="ar-SA"/>
              </w:rPr>
              <w:t>整地在造林前</w:t>
            </w:r>
            <w:r>
              <w:rPr>
                <w:rFonts w:hint="eastAsia" w:asciiTheme="minorEastAsia" w:hAnsiTheme="minorEastAsia" w:eastAsiaTheme="minorEastAsia" w:cstheme="minorEastAsia"/>
                <w:snapToGrid w:val="0"/>
                <w:color w:val="000000"/>
                <w:spacing w:val="-21"/>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3"/>
                <w:kern w:val="0"/>
                <w:sz w:val="21"/>
                <w:szCs w:val="21"/>
                <w:lang w:val="en-US" w:eastAsia="en-US" w:bidi="ar-SA"/>
              </w:rPr>
              <w:t>1 个月</w:t>
            </w:r>
            <w:r>
              <w:rPr>
                <w:rFonts w:hint="eastAsia" w:asciiTheme="minorEastAsia" w:hAnsiTheme="minorEastAsia" w:eastAsiaTheme="minorEastAsia" w:cstheme="minorEastAsia"/>
                <w:snapToGrid w:val="0"/>
                <w:color w:val="000000"/>
                <w:spacing w:val="6"/>
                <w:kern w:val="0"/>
                <w:sz w:val="21"/>
                <w:szCs w:val="21"/>
                <w:lang w:val="en-US" w:eastAsia="en-US" w:bidi="ar-SA"/>
              </w:rPr>
              <w:t>完成，采用穴状整地</w:t>
            </w:r>
            <w:r>
              <w:rPr>
                <w:rFonts w:hint="eastAsia" w:asciiTheme="minorEastAsia" w:hAnsiTheme="minorEastAsia" w:eastAsiaTheme="minorEastAsia" w:cstheme="minorEastAsia"/>
                <w:snapToGrid w:val="0"/>
                <w:color w:val="000000"/>
                <w:spacing w:val="5"/>
                <w:kern w:val="0"/>
                <w:sz w:val="21"/>
                <w:szCs w:val="21"/>
                <w:lang w:val="en-US" w:eastAsia="en-US" w:bidi="ar-SA"/>
              </w:rPr>
              <w:t>（严禁全垦</w:t>
            </w:r>
            <w:r>
              <w:rPr>
                <w:rFonts w:hint="eastAsia" w:asciiTheme="minorEastAsia" w:hAnsiTheme="minorEastAsia" w:eastAsiaTheme="minorEastAsia" w:cstheme="minorEastAsia"/>
                <w:snapToGrid w:val="0"/>
                <w:color w:val="000000"/>
                <w:spacing w:val="12"/>
                <w:kern w:val="0"/>
                <w:sz w:val="21"/>
                <w:szCs w:val="21"/>
                <w:lang w:val="en-US" w:eastAsia="en-US" w:bidi="ar-SA"/>
              </w:rPr>
              <w:t>），</w:t>
            </w:r>
            <w:r>
              <w:rPr>
                <w:rFonts w:hint="eastAsia" w:asciiTheme="minorEastAsia" w:hAnsiTheme="minorEastAsia" w:eastAsiaTheme="minorEastAsia" w:cstheme="minorEastAsia"/>
                <w:snapToGrid w:val="0"/>
                <w:color w:val="000000"/>
                <w:spacing w:val="5"/>
                <w:kern w:val="0"/>
                <w:sz w:val="21"/>
                <w:szCs w:val="21"/>
                <w:lang w:val="en-US" w:eastAsia="en-US" w:bidi="ar-SA"/>
              </w:rPr>
              <w:t>穴规格</w:t>
            </w:r>
            <w:r>
              <w:rPr>
                <w:rFonts w:hint="eastAsia" w:asciiTheme="minorEastAsia" w:hAnsiTheme="minorEastAsia" w:eastAsiaTheme="minorEastAsia" w:cstheme="minorEastAsia"/>
                <w:snapToGrid w:val="0"/>
                <w:color w:val="000000"/>
                <w:spacing w:val="-38"/>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5"/>
                <w:kern w:val="0"/>
                <w:sz w:val="21"/>
                <w:szCs w:val="21"/>
                <w:lang w:val="en-US" w:eastAsia="en-US" w:bidi="ar-SA"/>
              </w:rPr>
              <w:t>50×50×40</w:t>
            </w:r>
            <w:r>
              <w:rPr>
                <w:rFonts w:hint="eastAsia" w:asciiTheme="minorEastAsia" w:hAnsiTheme="minorEastAsia" w:eastAsiaTheme="minorEastAsia" w:cstheme="minorEastAsia"/>
                <w:snapToGrid w:val="0"/>
                <w:color w:val="000000"/>
                <w:spacing w:val="17"/>
                <w:w w:val="101"/>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5"/>
                <w:kern w:val="0"/>
                <w:sz w:val="21"/>
                <w:szCs w:val="21"/>
                <w:lang w:val="en-US" w:eastAsia="en-US" w:bidi="ar-SA"/>
              </w:rPr>
              <w:t>厘米，</w:t>
            </w:r>
            <w:r>
              <w:rPr>
                <w:rFonts w:hint="eastAsia" w:asciiTheme="minorEastAsia" w:hAnsiTheme="minorEastAsia" w:eastAsiaTheme="minorEastAsia" w:cstheme="minorEastAsia"/>
                <w:snapToGrid w:val="0"/>
                <w:color w:val="000000"/>
                <w:spacing w:val="10"/>
                <w:kern w:val="0"/>
                <w:sz w:val="21"/>
                <w:szCs w:val="21"/>
                <w:lang w:val="en-US" w:eastAsia="en-US" w:bidi="ar-SA"/>
              </w:rPr>
              <w:t>每穴底施复合肥0.20</w:t>
            </w:r>
            <w:r>
              <w:rPr>
                <w:rFonts w:hint="eastAsia" w:asciiTheme="minorEastAsia" w:hAnsiTheme="minorEastAsia" w:eastAsiaTheme="minorEastAsia" w:cstheme="minorEastAsia"/>
                <w:snapToGrid w:val="0"/>
                <w:color w:val="000000"/>
                <w:spacing w:val="5"/>
                <w:kern w:val="0"/>
                <w:sz w:val="21"/>
                <w:szCs w:val="21"/>
                <w:lang w:val="en-US" w:eastAsia="en-US" w:bidi="ar-SA"/>
              </w:rPr>
              <w:t>千克作基肥。</w:t>
            </w:r>
          </w:p>
        </w:tc>
        <w:tc>
          <w:tcPr>
            <w:tcW w:w="2726" w:type="dxa"/>
            <w:tcBorders>
              <w:top w:val="single" w:color="auto" w:sz="4" w:space="0"/>
            </w:tcBorders>
            <w:vAlign w:val="center"/>
          </w:tcPr>
          <w:p w14:paraId="39583E29">
            <w:pPr>
              <w:kinsoku w:val="0"/>
              <w:autoSpaceDE w:val="0"/>
              <w:autoSpaceDN w:val="0"/>
              <w:adjustRightInd w:val="0"/>
              <w:snapToGrid w:val="0"/>
              <w:spacing w:before="219"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以培育水保林、风景林为目标，优先选用</w:t>
            </w:r>
            <w:r>
              <w:rPr>
                <w:rFonts w:hint="eastAsia" w:asciiTheme="minorEastAsia" w:hAnsiTheme="minorEastAsia" w:eastAsiaTheme="minorEastAsia" w:cstheme="minorEastAsia"/>
                <w:snapToGrid w:val="0"/>
                <w:color w:val="000000"/>
                <w:spacing w:val="9"/>
                <w:kern w:val="0"/>
                <w:sz w:val="21"/>
                <w:szCs w:val="21"/>
                <w:lang w:val="en-US" w:eastAsia="en-US" w:bidi="ar-SA"/>
              </w:rPr>
              <w:t>珍贵乡土树种，每个小班补植树种一般不</w:t>
            </w:r>
            <w:r>
              <w:rPr>
                <w:rFonts w:hint="eastAsia" w:asciiTheme="minorEastAsia" w:hAnsiTheme="minorEastAsia" w:eastAsiaTheme="minorEastAsia" w:cstheme="minorEastAsia"/>
                <w:snapToGrid w:val="0"/>
                <w:color w:val="000000"/>
                <w:spacing w:val="8"/>
                <w:kern w:val="0"/>
                <w:sz w:val="21"/>
                <w:szCs w:val="21"/>
                <w:lang w:val="en-US" w:eastAsia="en-US" w:bidi="ar-SA"/>
              </w:rPr>
              <w:t>少于3</w:t>
            </w:r>
            <w:r>
              <w:rPr>
                <w:rFonts w:hint="eastAsia" w:asciiTheme="minorEastAsia" w:hAnsiTheme="minorEastAsia" w:eastAsiaTheme="minorEastAsia" w:cstheme="minorEastAsia"/>
                <w:snapToGrid w:val="0"/>
                <w:color w:val="000000"/>
                <w:spacing w:val="20"/>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8"/>
                <w:kern w:val="0"/>
                <w:sz w:val="21"/>
                <w:szCs w:val="21"/>
                <w:lang w:val="en-US" w:eastAsia="en-US" w:bidi="ar-SA"/>
              </w:rPr>
              <w:t>种。景区入</w:t>
            </w:r>
            <w:r>
              <w:rPr>
                <w:rFonts w:hint="eastAsia" w:asciiTheme="minorEastAsia" w:hAnsiTheme="minorEastAsia" w:eastAsiaTheme="minorEastAsia" w:cstheme="minorEastAsia"/>
                <w:snapToGrid w:val="0"/>
                <w:color w:val="000000"/>
                <w:spacing w:val="-49"/>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8"/>
                <w:kern w:val="0"/>
                <w:sz w:val="21"/>
                <w:szCs w:val="21"/>
                <w:lang w:val="en-US" w:eastAsia="en-US" w:bidi="ar-SA"/>
              </w:rPr>
              <w:t>口、公路及重要节点两</w:t>
            </w:r>
            <w:r>
              <w:rPr>
                <w:rFonts w:hint="eastAsia" w:asciiTheme="minorEastAsia" w:hAnsiTheme="minorEastAsia" w:eastAsiaTheme="minorEastAsia" w:cstheme="minorEastAsia"/>
                <w:snapToGrid w:val="0"/>
                <w:color w:val="000000"/>
                <w:spacing w:val="9"/>
                <w:kern w:val="0"/>
                <w:sz w:val="21"/>
                <w:szCs w:val="21"/>
                <w:lang w:val="en-US" w:eastAsia="en-US" w:bidi="ar-SA"/>
              </w:rPr>
              <w:t>侧增加特色景观树种，提升景观品质与生态功能。补植树种包括青冈、大叶榉树、檫木、南酸枣、香椿、红千层等，补植密</w:t>
            </w:r>
            <w:r>
              <w:rPr>
                <w:rFonts w:hint="eastAsia" w:asciiTheme="minorEastAsia" w:hAnsiTheme="minorEastAsia" w:eastAsiaTheme="minorEastAsia" w:cstheme="minorEastAsia"/>
                <w:snapToGrid w:val="0"/>
                <w:color w:val="000000"/>
                <w:spacing w:val="2"/>
                <w:kern w:val="0"/>
                <w:sz w:val="21"/>
                <w:szCs w:val="21"/>
                <w:lang w:val="en-US" w:eastAsia="en-US" w:bidi="ar-SA"/>
              </w:rPr>
              <w:t>度为</w:t>
            </w:r>
            <w:r>
              <w:rPr>
                <w:rFonts w:hint="eastAsia" w:asciiTheme="minorEastAsia" w:hAnsiTheme="minorEastAsia" w:eastAsiaTheme="minorEastAsia" w:cstheme="minorEastAsia"/>
                <w:snapToGrid w:val="0"/>
                <w:color w:val="000000"/>
                <w:spacing w:val="-36"/>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
                <w:kern w:val="0"/>
                <w:sz w:val="21"/>
                <w:szCs w:val="21"/>
                <w:lang w:val="en-US" w:eastAsia="en-US" w:bidi="ar-SA"/>
              </w:rPr>
              <w:t>30-40</w:t>
            </w:r>
            <w:r>
              <w:rPr>
                <w:rFonts w:hint="eastAsia" w:asciiTheme="minorEastAsia" w:hAnsiTheme="minorEastAsia" w:eastAsiaTheme="minorEastAsia" w:cstheme="minorEastAsia"/>
                <w:snapToGrid w:val="0"/>
                <w:color w:val="000000"/>
                <w:spacing w:val="20"/>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
                <w:kern w:val="0"/>
                <w:sz w:val="21"/>
                <w:szCs w:val="21"/>
                <w:lang w:val="en-US" w:eastAsia="en-US" w:bidi="ar-SA"/>
              </w:rPr>
              <w:t>株/亩。</w:t>
            </w:r>
          </w:p>
        </w:tc>
        <w:tc>
          <w:tcPr>
            <w:tcW w:w="1474" w:type="dxa"/>
            <w:tcBorders>
              <w:top w:val="single" w:color="auto" w:sz="4" w:space="0"/>
            </w:tcBorders>
            <w:vAlign w:val="center"/>
          </w:tcPr>
          <w:p w14:paraId="245658D7">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2"/>
                <w:kern w:val="0"/>
                <w:sz w:val="21"/>
                <w:szCs w:val="21"/>
                <w:lang w:val="en-US" w:eastAsia="en-US" w:bidi="ar-SA"/>
              </w:rPr>
              <w:t>造林当年</w:t>
            </w:r>
            <w:r>
              <w:rPr>
                <w:rFonts w:hint="eastAsia" w:asciiTheme="minorEastAsia" w:hAnsiTheme="minorEastAsia" w:eastAsiaTheme="minorEastAsia" w:cstheme="minorEastAsia"/>
                <w:snapToGrid w:val="0"/>
                <w:color w:val="000000"/>
                <w:spacing w:val="-28"/>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
                <w:kern w:val="0"/>
                <w:sz w:val="21"/>
                <w:szCs w:val="21"/>
                <w:lang w:val="en-US" w:eastAsia="en-US" w:bidi="ar-SA"/>
              </w:rPr>
              <w:t>5-6</w:t>
            </w:r>
            <w:r>
              <w:rPr>
                <w:rFonts w:hint="eastAsia" w:asciiTheme="minorEastAsia" w:hAnsiTheme="minorEastAsia" w:eastAsiaTheme="minorEastAsia" w:cstheme="minorEastAsia"/>
                <w:snapToGrid w:val="0"/>
                <w:color w:val="000000"/>
                <w:spacing w:val="30"/>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
                <w:kern w:val="0"/>
                <w:sz w:val="21"/>
                <w:szCs w:val="21"/>
                <w:lang w:val="en-US" w:eastAsia="en-US" w:bidi="ar-SA"/>
              </w:rPr>
              <w:t>月、8-9</w:t>
            </w:r>
            <w:r>
              <w:rPr>
                <w:rFonts w:hint="eastAsia" w:asciiTheme="minorEastAsia" w:hAnsiTheme="minorEastAsia" w:eastAsiaTheme="minorEastAsia" w:cstheme="minorEastAsia"/>
                <w:snapToGrid w:val="0"/>
                <w:color w:val="000000"/>
                <w:spacing w:val="-3"/>
                <w:kern w:val="0"/>
                <w:sz w:val="21"/>
                <w:szCs w:val="21"/>
                <w:lang w:val="en-US" w:eastAsia="en-US" w:bidi="ar-SA"/>
              </w:rPr>
              <w:t>月各抚育</w:t>
            </w:r>
            <w:r>
              <w:rPr>
                <w:rFonts w:hint="eastAsia" w:asciiTheme="minorEastAsia" w:hAnsiTheme="minorEastAsia" w:eastAsiaTheme="minorEastAsia" w:cstheme="minorEastAsia"/>
                <w:snapToGrid w:val="0"/>
                <w:color w:val="000000"/>
                <w:spacing w:val="-19"/>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3"/>
                <w:kern w:val="0"/>
                <w:sz w:val="21"/>
                <w:szCs w:val="21"/>
                <w:lang w:val="en-US" w:eastAsia="en-US" w:bidi="ar-SA"/>
              </w:rPr>
              <w:t>1</w:t>
            </w:r>
            <w:r>
              <w:rPr>
                <w:rFonts w:hint="eastAsia" w:asciiTheme="minorEastAsia" w:hAnsiTheme="minorEastAsia" w:eastAsiaTheme="minorEastAsia" w:cstheme="minorEastAsia"/>
                <w:snapToGrid w:val="0"/>
                <w:color w:val="000000"/>
                <w:spacing w:val="17"/>
                <w:w w:val="101"/>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3"/>
                <w:kern w:val="0"/>
                <w:sz w:val="21"/>
                <w:szCs w:val="21"/>
                <w:lang w:val="en-US" w:eastAsia="en-US" w:bidi="ar-SA"/>
              </w:rPr>
              <w:t>次，清除</w:t>
            </w:r>
            <w:r>
              <w:rPr>
                <w:rFonts w:hint="eastAsia" w:asciiTheme="minorEastAsia" w:hAnsiTheme="minorEastAsia" w:eastAsiaTheme="minorEastAsia" w:cstheme="minorEastAsia"/>
                <w:snapToGrid w:val="0"/>
                <w:color w:val="000000"/>
                <w:spacing w:val="-21"/>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3"/>
                <w:kern w:val="0"/>
                <w:sz w:val="21"/>
                <w:szCs w:val="21"/>
                <w:lang w:val="en-US" w:eastAsia="en-US" w:bidi="ar-SA"/>
              </w:rPr>
              <w:t>1</w:t>
            </w:r>
            <w:r>
              <w:rPr>
                <w:rFonts w:hint="eastAsia" w:asciiTheme="minorEastAsia" w:hAnsiTheme="minorEastAsia" w:eastAsiaTheme="minorEastAsia" w:cstheme="minorEastAsia"/>
                <w:snapToGrid w:val="0"/>
                <w:color w:val="000000"/>
                <w:spacing w:val="8"/>
                <w:kern w:val="0"/>
                <w:sz w:val="21"/>
                <w:szCs w:val="21"/>
                <w:lang w:val="en-US" w:eastAsia="en-US" w:bidi="ar-SA"/>
              </w:rPr>
              <w:t>米直径范围内的杂草</w:t>
            </w:r>
            <w:r>
              <w:rPr>
                <w:rFonts w:hint="eastAsia" w:asciiTheme="minorEastAsia" w:hAnsiTheme="minorEastAsia" w:eastAsiaTheme="minorEastAsia" w:cstheme="minorEastAsia"/>
                <w:snapToGrid w:val="0"/>
                <w:color w:val="000000"/>
                <w:spacing w:val="-1"/>
                <w:kern w:val="0"/>
                <w:sz w:val="21"/>
                <w:szCs w:val="21"/>
                <w:lang w:val="en-US" w:eastAsia="en-US" w:bidi="ar-SA"/>
              </w:rPr>
              <w:t>杂灌、培蔸除萌、覆盖</w:t>
            </w:r>
            <w:r>
              <w:rPr>
                <w:rFonts w:hint="eastAsia" w:asciiTheme="minorEastAsia" w:hAnsiTheme="minorEastAsia" w:eastAsiaTheme="minorEastAsia" w:cstheme="minorEastAsia"/>
                <w:snapToGrid w:val="0"/>
                <w:color w:val="000000"/>
                <w:spacing w:val="8"/>
                <w:kern w:val="0"/>
                <w:sz w:val="21"/>
                <w:szCs w:val="21"/>
                <w:lang w:val="en-US" w:eastAsia="en-US" w:bidi="ar-SA"/>
              </w:rPr>
              <w:t>保墒，并加强林分管</w:t>
            </w:r>
            <w:r>
              <w:rPr>
                <w:rFonts w:hint="eastAsia" w:asciiTheme="minorEastAsia" w:hAnsiTheme="minorEastAsia" w:eastAsiaTheme="minorEastAsia" w:cstheme="minorEastAsia"/>
                <w:snapToGrid w:val="0"/>
                <w:color w:val="000000"/>
                <w:spacing w:val="-3"/>
                <w:kern w:val="0"/>
                <w:sz w:val="21"/>
                <w:szCs w:val="21"/>
                <w:lang w:val="en-US" w:eastAsia="en-US" w:bidi="ar-SA"/>
              </w:rPr>
              <w:t>护。</w:t>
            </w:r>
          </w:p>
        </w:tc>
      </w:tr>
    </w:tbl>
    <w:p w14:paraId="30B5C2B9">
      <w:pPr>
        <w:rPr>
          <w:rFonts w:hint="default" w:asciiTheme="minorEastAsia" w:hAnsiTheme="minorEastAsia" w:eastAsiaTheme="minorEastAsia" w:cstheme="minorEastAsia"/>
          <w:b/>
          <w:bCs/>
          <w:i w:val="0"/>
          <w:iCs w:val="0"/>
          <w:color w:val="auto"/>
          <w:kern w:val="2"/>
          <w:sz w:val="24"/>
          <w:szCs w:val="24"/>
          <w:u w:val="none"/>
          <w:lang w:val="en-US" w:eastAsia="zh-CN" w:bidi="ar-SA"/>
        </w:rPr>
      </w:pPr>
    </w:p>
    <w:p w14:paraId="4D0DE7F1">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Theme="minorEastAsia" w:hAnsiTheme="minorEastAsia" w:eastAsiaTheme="minorEastAsia" w:cstheme="minorEastAsia"/>
          <w:b/>
          <w:bCs/>
          <w:i w:val="0"/>
          <w:iCs w:val="0"/>
          <w:color w:val="auto"/>
          <w:kern w:val="2"/>
          <w:sz w:val="24"/>
          <w:szCs w:val="24"/>
          <w:u w:val="none"/>
          <w:lang w:val="en-US" w:eastAsia="zh-CN" w:bidi="ar-SA"/>
        </w:rPr>
        <w:sectPr>
          <w:pgSz w:w="16838" w:h="11906" w:orient="landscape"/>
          <w:pgMar w:top="1531" w:right="1531" w:bottom="1531" w:left="1531" w:header="1134" w:footer="680" w:gutter="0"/>
          <w:pgBorders>
            <w:top w:val="none" w:sz="0" w:space="0"/>
            <w:left w:val="none" w:sz="0" w:space="0"/>
            <w:bottom w:val="none" w:sz="0" w:space="0"/>
            <w:right w:val="none" w:sz="0" w:space="0"/>
          </w:pgBorders>
          <w:pgNumType w:fmt="decimal"/>
          <w:cols w:space="0" w:num="1"/>
          <w:rtlGutter w:val="0"/>
          <w:docGrid w:type="lines" w:linePitch="315" w:charSpace="0"/>
        </w:sectPr>
      </w:pPr>
    </w:p>
    <w:p w14:paraId="57E50833">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default" w:asciiTheme="minorEastAsia" w:hAnsiTheme="minorEastAsia" w:eastAsiaTheme="minorEastAsia" w:cstheme="minorEastAsia"/>
          <w:b/>
          <w:bCs/>
          <w:i w:val="0"/>
          <w:iCs w:val="0"/>
          <w:color w:val="auto"/>
          <w:kern w:val="2"/>
          <w:sz w:val="24"/>
          <w:szCs w:val="24"/>
          <w:u w:val="none"/>
          <w:lang w:val="en-US" w:eastAsia="zh-CN" w:bidi="ar-SA"/>
        </w:rPr>
        <w:t>③</w:t>
      </w:r>
      <w:r>
        <w:rPr>
          <w:rFonts w:hint="eastAsia" w:asciiTheme="minorEastAsia" w:hAnsiTheme="minorEastAsia" w:eastAsiaTheme="minorEastAsia" w:cstheme="minorEastAsia"/>
          <w:b/>
          <w:bCs/>
          <w:i w:val="0"/>
          <w:iCs w:val="0"/>
          <w:color w:val="auto"/>
          <w:kern w:val="2"/>
          <w:sz w:val="24"/>
          <w:szCs w:val="24"/>
          <w:u w:val="none"/>
          <w:lang w:val="en-US" w:eastAsia="zh-CN" w:bidi="ar-SA"/>
        </w:rPr>
        <w:t>竣工验收及管护期满验收要求</w:t>
      </w:r>
    </w:p>
    <w:p w14:paraId="4F59463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b w:val="0"/>
          <w:bCs w:val="0"/>
          <w:color w:val="auto"/>
          <w:spacing w:val="-9"/>
          <w:kern w:val="2"/>
          <w:sz w:val="24"/>
          <w:szCs w:val="24"/>
          <w:highlight w:val="none"/>
          <w:u w:val="none"/>
          <w:lang w:val="en-US" w:eastAsia="zh-CN" w:bidi="ar-SA"/>
        </w:rPr>
      </w:pPr>
      <w:r>
        <w:rPr>
          <w:rFonts w:hint="eastAsia" w:asciiTheme="minorEastAsia" w:hAnsiTheme="minorEastAsia" w:eastAsiaTheme="minorEastAsia" w:cstheme="minorEastAsia"/>
          <w:b w:val="0"/>
          <w:bCs w:val="0"/>
          <w:color w:val="auto"/>
          <w:kern w:val="2"/>
          <w:sz w:val="24"/>
          <w:szCs w:val="24"/>
          <w:u w:val="none"/>
          <w:lang w:val="en-US" w:eastAsia="zh-CN" w:bidi="ar-SA"/>
        </w:rPr>
        <w:t>A.核查验收流程项目建设完成后，实行区(县)级自查、市级抽查、省级核验、国家验收的逐级检查验收制度。</w:t>
      </w:r>
      <w:r>
        <w:rPr>
          <w:rFonts w:hint="eastAsia" w:asciiTheme="minorEastAsia" w:hAnsiTheme="minorEastAsia" w:cstheme="minorEastAsia"/>
          <w:b w:val="0"/>
          <w:bCs w:val="0"/>
          <w:color w:val="auto"/>
          <w:kern w:val="2"/>
          <w:sz w:val="24"/>
          <w:szCs w:val="24"/>
          <w:u w:val="none"/>
          <w:lang w:val="en-US" w:eastAsia="zh-CN" w:bidi="ar-SA"/>
        </w:rPr>
        <w:t>采购人</w:t>
      </w:r>
      <w:r>
        <w:rPr>
          <w:rFonts w:hint="eastAsia" w:asciiTheme="minorEastAsia" w:hAnsiTheme="minorEastAsia" w:eastAsiaTheme="minorEastAsia" w:cstheme="minorEastAsia"/>
          <w:b w:val="0"/>
          <w:bCs w:val="0"/>
          <w:color w:val="auto"/>
          <w:kern w:val="2"/>
          <w:sz w:val="24"/>
          <w:szCs w:val="24"/>
          <w:u w:val="none"/>
          <w:lang w:val="en-US" w:eastAsia="zh-CN" w:bidi="ar-SA"/>
        </w:rPr>
        <w:t>先进行全面自查，上级林业主管部门组织复查和核查验收。具体流程以国家及省、市要求为准。验收的主要依据是国家及省、市下达的绩效目标以及相关文件；林业主管部门批复的项目相关设计文件；概算调整及其批准文件；招投标和监理文件(书);承包合同、工程结算等有关资料；有关的财务核算制度、办法；其他与项目有关资料</w:t>
      </w:r>
      <w:r>
        <w:rPr>
          <w:rFonts w:hint="eastAsia" w:asciiTheme="minorEastAsia" w:hAnsiTheme="minorEastAsia" w:eastAsiaTheme="minorEastAsia" w:cstheme="minorEastAsia"/>
          <w:b w:val="0"/>
          <w:bCs w:val="0"/>
          <w:color w:val="auto"/>
          <w:spacing w:val="-9"/>
          <w:kern w:val="2"/>
          <w:sz w:val="24"/>
          <w:szCs w:val="24"/>
          <w:highlight w:val="none"/>
          <w:u w:val="none"/>
          <w:lang w:val="en-US" w:eastAsia="zh-CN" w:bidi="ar-SA"/>
        </w:rPr>
        <w:t>。</w:t>
      </w:r>
    </w:p>
    <w:p w14:paraId="10B17E99">
      <w:pPr>
        <w:keepNext w:val="0"/>
        <w:keepLines w:val="0"/>
        <w:pageBreakBefore w:val="0"/>
        <w:widowControl w:val="0"/>
        <w:kinsoku/>
        <w:wordWrap/>
        <w:overflowPunct/>
        <w:topLinePunct w:val="0"/>
        <w:autoSpaceDE/>
        <w:autoSpaceDN/>
        <w:bidi w:val="0"/>
        <w:adjustRightInd/>
        <w:snapToGrid/>
        <w:spacing w:line="480" w:lineRule="exact"/>
        <w:ind w:firstLine="476" w:firstLineChars="200"/>
        <w:jc w:val="left"/>
        <w:textAlignment w:val="auto"/>
        <w:rPr>
          <w:rFonts w:hint="eastAsia" w:asciiTheme="minorEastAsia" w:hAnsiTheme="minorEastAsia" w:eastAsiaTheme="minorEastAsia" w:cstheme="minorEastAsia"/>
          <w:b w:val="0"/>
          <w:bCs w:val="0"/>
          <w:color w:val="auto"/>
          <w:spacing w:val="3"/>
          <w:kern w:val="2"/>
          <w:sz w:val="24"/>
          <w:szCs w:val="24"/>
          <w:highlight w:val="none"/>
          <w:u w:val="none"/>
          <w:lang w:val="en-US" w:eastAsia="zh-CN" w:bidi="ar-SA"/>
        </w:rPr>
      </w:pPr>
      <w:r>
        <w:rPr>
          <w:rFonts w:hint="eastAsia" w:asciiTheme="minorEastAsia" w:hAnsiTheme="minorEastAsia" w:eastAsiaTheme="minorEastAsia" w:cstheme="minorEastAsia"/>
          <w:b w:val="0"/>
          <w:bCs w:val="0"/>
          <w:color w:val="auto"/>
          <w:spacing w:val="-1"/>
          <w:kern w:val="2"/>
          <w:sz w:val="24"/>
          <w:szCs w:val="24"/>
          <w:highlight w:val="none"/>
          <w:u w:val="none"/>
          <w:lang w:val="en-US" w:eastAsia="zh-CN" w:bidi="ar-SA"/>
        </w:rPr>
        <w:t>B.验收要求有下列情况之一的，不能进行竣工验收：工程建设规模和质量达不到批复的项目相关设计文件要求和项目合同要求的；未经批准，擅自调整项目建设规模、建设地点和建设内容的；财务管理混乱，未按要求做好资金核算，违规使用项目专项资金的；档案资料不健全的。在项目实施过程中，中标供应商自觉接受监理单位对造林每个工序的质量检查验收，监理单位在检查验收时分作业小班或作业区域开展各工序的验收，当作业小班或作业区域内存在不合格的工序时必须返工直至质量合格为止，否则该作业小班或作业区域就不能转入下一工序施工。对未达到验收标准的，要求进行整改，达标后再次验收，直至合格</w:t>
      </w:r>
      <w:r>
        <w:rPr>
          <w:rFonts w:hint="eastAsia" w:asciiTheme="minorEastAsia" w:hAnsiTheme="minorEastAsia" w:eastAsiaTheme="minorEastAsia" w:cstheme="minorEastAsia"/>
          <w:b w:val="0"/>
          <w:bCs w:val="0"/>
          <w:color w:val="auto"/>
          <w:spacing w:val="3"/>
          <w:kern w:val="2"/>
          <w:sz w:val="24"/>
          <w:szCs w:val="24"/>
          <w:highlight w:val="none"/>
          <w:u w:val="none"/>
          <w:lang w:val="en-US" w:eastAsia="zh-CN" w:bidi="ar-SA"/>
        </w:rPr>
        <w:t>。</w:t>
      </w:r>
    </w:p>
    <w:p w14:paraId="7896FF04">
      <w:pPr>
        <w:keepNext w:val="0"/>
        <w:keepLines w:val="0"/>
        <w:pageBreakBefore w:val="0"/>
        <w:widowControl w:val="0"/>
        <w:kinsoku/>
        <w:wordWrap/>
        <w:overflowPunct/>
        <w:topLinePunct w:val="0"/>
        <w:autoSpaceDE/>
        <w:autoSpaceDN/>
        <w:bidi w:val="0"/>
        <w:adjustRightInd/>
        <w:snapToGrid/>
        <w:spacing w:line="480" w:lineRule="exact"/>
        <w:ind w:firstLine="498" w:firstLineChars="200"/>
        <w:jc w:val="left"/>
        <w:textAlignment w:val="auto"/>
        <w:rPr>
          <w:rFonts w:hint="eastAsia" w:asciiTheme="minorEastAsia" w:hAnsiTheme="minorEastAsia" w:eastAsiaTheme="minorEastAsia" w:cstheme="minorEastAsia"/>
          <w:b/>
          <w:bCs/>
          <w:color w:val="auto"/>
          <w:spacing w:val="4"/>
          <w:kern w:val="2"/>
          <w:sz w:val="24"/>
          <w:szCs w:val="24"/>
          <w:highlight w:val="none"/>
          <w:u w:val="none"/>
          <w:lang w:val="en-US" w:eastAsia="zh-CN" w:bidi="ar-SA"/>
        </w:rPr>
      </w:pPr>
      <w:r>
        <w:rPr>
          <w:rFonts w:hint="eastAsia" w:asciiTheme="minorEastAsia" w:hAnsiTheme="minorEastAsia" w:eastAsiaTheme="minorEastAsia" w:cstheme="minorEastAsia"/>
          <w:b/>
          <w:bCs/>
          <w:color w:val="auto"/>
          <w:spacing w:val="4"/>
          <w:kern w:val="2"/>
          <w:sz w:val="24"/>
          <w:szCs w:val="24"/>
          <w:highlight w:val="none"/>
          <w:u w:val="none"/>
          <w:lang w:val="en-US" w:eastAsia="zh-CN" w:bidi="ar-SA"/>
        </w:rPr>
        <w:t>C.</w:t>
      </w:r>
      <w:r>
        <w:rPr>
          <w:rFonts w:hint="eastAsia" w:asciiTheme="minorEastAsia" w:hAnsiTheme="minorEastAsia" w:eastAsiaTheme="minorEastAsia" w:cstheme="minorEastAsia"/>
          <w:b w:val="0"/>
          <w:bCs w:val="0"/>
          <w:color w:val="auto"/>
          <w:spacing w:val="4"/>
          <w:kern w:val="2"/>
          <w:sz w:val="24"/>
          <w:szCs w:val="24"/>
          <w:highlight w:val="none"/>
          <w:u w:val="none"/>
          <w:lang w:val="en-US" w:eastAsia="zh-CN" w:bidi="ar-SA"/>
        </w:rPr>
        <w:t>管护期满验收</w:t>
      </w:r>
      <w:r>
        <w:rPr>
          <w:rFonts w:hint="eastAsia" w:asciiTheme="minorEastAsia" w:hAnsiTheme="minorEastAsia" w:cstheme="minorEastAsia"/>
          <w:b w:val="0"/>
          <w:bCs w:val="0"/>
          <w:color w:val="auto"/>
          <w:spacing w:val="4"/>
          <w:kern w:val="2"/>
          <w:sz w:val="24"/>
          <w:szCs w:val="24"/>
          <w:highlight w:val="none"/>
          <w:u w:val="none"/>
          <w:lang w:val="en-US" w:eastAsia="zh-CN" w:bidi="ar-SA"/>
        </w:rPr>
        <w:t>采用遥感判读、地形图勾绘、无人机测绘等方式，现场实地全面核查各作业小班面积核实误差在±5%(含)以内的以作业设计面积为准，±5%(不含)以上的以核实面积为准。苗木长势良好，苗木生长效果、生长量达到国家、省、市验收要求，树种配置、树种混交符合设计要求。中龄林抚育工作合格标准为：已取得林木采伐许可证并按作业设计要求进行采伐、修枝、割灌除草，采伐剩余物清理符合要求，各环节施工质量均达到验收要求。符合项目合同书要求。如国家、省、市需要组织的核验。验收人员：采购人；中标供应商；监理单位；(如有)上级林业主管部门或其委托的第三方机构、项目审计服务单位</w:t>
      </w:r>
      <w:r>
        <w:rPr>
          <w:rFonts w:hint="eastAsia" w:asciiTheme="minorEastAsia" w:hAnsiTheme="minorEastAsia" w:eastAsiaTheme="minorEastAsia" w:cstheme="minorEastAsia"/>
          <w:color w:val="auto"/>
          <w:spacing w:val="-6"/>
          <w:kern w:val="2"/>
          <w:sz w:val="24"/>
          <w:szCs w:val="24"/>
          <w:highlight w:val="none"/>
          <w:u w:val="none"/>
          <w:lang w:val="en-US" w:eastAsia="zh-CN" w:bidi="ar-SA"/>
        </w:rPr>
        <w:t>。</w:t>
      </w:r>
    </w:p>
    <w:p w14:paraId="15AC3D2A">
      <w:pPr>
        <w:keepNext w:val="0"/>
        <w:keepLines w:val="0"/>
        <w:pageBreakBefore w:val="0"/>
        <w:widowControl w:val="0"/>
        <w:kinsoku/>
        <w:wordWrap/>
        <w:overflowPunct/>
        <w:topLinePunct w:val="0"/>
        <w:autoSpaceDE/>
        <w:autoSpaceDN/>
        <w:bidi w:val="0"/>
        <w:adjustRightInd/>
        <w:snapToGrid/>
        <w:spacing w:line="480" w:lineRule="exact"/>
        <w:ind w:firstLine="498" w:firstLineChars="200"/>
        <w:jc w:val="left"/>
        <w:textAlignment w:val="auto"/>
        <w:rPr>
          <w:rFonts w:hint="eastAsia" w:asciiTheme="minorEastAsia" w:hAnsiTheme="minorEastAsia" w:eastAsiaTheme="minorEastAsia" w:cstheme="minorEastAsia"/>
          <w:color w:val="auto"/>
          <w:kern w:val="2"/>
          <w:sz w:val="24"/>
          <w:szCs w:val="24"/>
          <w:highlight w:val="none"/>
          <w:u w:val="none"/>
          <w:lang w:val="en-US" w:eastAsia="zh-CN" w:bidi="ar-SA"/>
        </w:rPr>
      </w:pPr>
      <w:r>
        <w:rPr>
          <w:rFonts w:hint="eastAsia" w:asciiTheme="minorEastAsia" w:hAnsiTheme="minorEastAsia" w:eastAsiaTheme="minorEastAsia" w:cstheme="minorEastAsia"/>
          <w:b/>
          <w:bCs/>
          <w:color w:val="auto"/>
          <w:spacing w:val="4"/>
          <w:kern w:val="2"/>
          <w:sz w:val="24"/>
          <w:szCs w:val="24"/>
          <w:highlight w:val="none"/>
          <w:u w:val="none"/>
          <w:lang w:val="en-US" w:eastAsia="zh-CN" w:bidi="ar-SA"/>
        </w:rPr>
        <w:t>D.</w:t>
      </w:r>
      <w:r>
        <w:rPr>
          <w:rFonts w:hint="eastAsia" w:asciiTheme="minorEastAsia" w:hAnsiTheme="minorEastAsia" w:eastAsiaTheme="minorEastAsia" w:cstheme="minorEastAsia"/>
          <w:i w:val="0"/>
          <w:iCs w:val="0"/>
          <w:color w:val="auto"/>
          <w:kern w:val="2"/>
          <w:sz w:val="24"/>
          <w:szCs w:val="24"/>
          <w:highlight w:val="none"/>
          <w:u w:val="none"/>
          <w:lang w:val="en-US" w:eastAsia="zh-CN" w:bidi="ar-SA"/>
        </w:rPr>
        <w:t>项目执行的技术标准（包括但不限于）：</w:t>
      </w:r>
      <w:r>
        <w:rPr>
          <w:rFonts w:hint="eastAsia" w:asciiTheme="minorEastAsia" w:hAnsiTheme="minorEastAsia" w:eastAsiaTheme="minorEastAsia" w:cstheme="minorEastAsia"/>
          <w:color w:val="auto"/>
          <w:kern w:val="2"/>
          <w:sz w:val="24"/>
          <w:szCs w:val="24"/>
          <w:highlight w:val="none"/>
          <w:u w:val="none"/>
          <w:lang w:val="en-US" w:eastAsia="zh-CN" w:bidi="ar-SA"/>
        </w:rPr>
        <w:t>《林木采伐技术规程》（GB/T 45088-2024）；《退化林修复技术规程》（GB/T 44351-2024）；《造林技术规程》（GB/T 15776-2023）；《森林抚育规程》（GB/T 15781-2015）；《造林作业设计规程》（LY/T 1607-2024）；《林地分类》（LY/T 1812-2021）；《低效林改造技术规程》（LY/T 1690-2017）；《造林技术规程》（DB43/T 140-2023）；《森林质量精准提升技术规程》（DB43/T 2045-2021）；《主要造林树种苗木质量分级》（DB 43/T 094-2005）等。</w:t>
      </w:r>
    </w:p>
    <w:p w14:paraId="4EE6B55A">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200" w:firstLine="482" w:firstLineChars="200"/>
        <w:jc w:val="left"/>
        <w:textAlignment w:val="auto"/>
        <w:rPr>
          <w:rFonts w:hint="eastAsia" w:asciiTheme="minorEastAsia" w:hAnsiTheme="minorEastAsia" w:eastAsiaTheme="minorEastAsia" w:cstheme="minorEastAsia"/>
          <w:b/>
          <w:bCs/>
          <w:i w:val="0"/>
          <w:iCs w:val="0"/>
          <w:kern w:val="2"/>
          <w:sz w:val="24"/>
          <w:szCs w:val="24"/>
          <w:highlight w:val="none"/>
          <w:u w:val="none"/>
          <w:lang w:val="en-US" w:eastAsia="zh-CN" w:bidi="ar-SA"/>
        </w:rPr>
      </w:pPr>
      <w:r>
        <w:rPr>
          <w:rFonts w:hint="eastAsia" w:asciiTheme="minorEastAsia" w:hAnsiTheme="minorEastAsia" w:eastAsiaTheme="minorEastAsia" w:cstheme="minorEastAsia"/>
          <w:b/>
          <w:bCs/>
          <w:i w:val="0"/>
          <w:iCs w:val="0"/>
          <w:kern w:val="2"/>
          <w:sz w:val="24"/>
          <w:szCs w:val="24"/>
          <w:highlight w:val="none"/>
          <w:u w:val="none"/>
          <w:lang w:val="en-US" w:eastAsia="zh-CN" w:bidi="ar-SA"/>
        </w:rPr>
        <w:t>（8）履约保证金</w:t>
      </w:r>
    </w:p>
    <w:p w14:paraId="4B7D1F3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i w:val="0"/>
          <w:iCs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①缴纳金额：履约保证金的数额为政府采购合同金额的</w:t>
      </w:r>
      <w:r>
        <w:rPr>
          <w:rFonts w:hint="eastAsia" w:asciiTheme="minorEastAsia" w:hAnsiTheme="minorEastAsia" w:eastAsiaTheme="minorEastAsia" w:cstheme="minorEastAsia"/>
          <w:b/>
          <w:bCs/>
          <w:i w:val="0"/>
          <w:iCs w:val="0"/>
          <w:color w:val="000000"/>
          <w:kern w:val="2"/>
          <w:sz w:val="24"/>
          <w:szCs w:val="24"/>
          <w:highlight w:val="none"/>
          <w:u w:val="single"/>
          <w:lang w:val="en-US" w:eastAsia="zh-CN" w:bidi="ar-SA"/>
        </w:rPr>
        <w:t xml:space="preserve"> 10% </w:t>
      </w: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；缴纳形式：履约保证金可以采用保函、银行转账、本票、汇票等非现金形式。由中标（成交）供应商自行选择。保函应当是见索即付、不可撤销、不可转让、不可拆分的独立保函。</w:t>
      </w:r>
    </w:p>
    <w:p w14:paraId="640EF1D1">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i w:val="0"/>
          <w:iCs w:val="0"/>
          <w:snapToGrid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②中标供应商需在中标通知书发出后</w:t>
      </w:r>
      <w:r>
        <w:rPr>
          <w:rFonts w:hint="eastAsia" w:asciiTheme="minorEastAsia" w:hAnsiTheme="minorEastAsia" w:eastAsiaTheme="minorEastAsia" w:cstheme="minorEastAsia"/>
          <w:b/>
          <w:bCs/>
          <w:i w:val="0"/>
          <w:iCs w:val="0"/>
          <w:color w:val="000000"/>
          <w:kern w:val="2"/>
          <w:sz w:val="24"/>
          <w:szCs w:val="24"/>
          <w:highlight w:val="none"/>
          <w:u w:val="single"/>
          <w:lang w:val="en-US" w:eastAsia="zh-CN" w:bidi="ar-SA"/>
        </w:rPr>
        <w:t xml:space="preserve"> 14 个工作日 </w:t>
      </w: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内提交，履约担保的担保责任期为项目签订合同之日起至出具项目验收合格书之日止。履约保函到期前，项目未完工的，采购人督促供应商在到期前办理履约保函延续手续，可结合剩余工作量按比例递减的方式延续履约保函。</w:t>
      </w:r>
      <w:r>
        <w:rPr>
          <w:rFonts w:hint="eastAsia" w:asciiTheme="minorEastAsia" w:hAnsiTheme="minorEastAsia" w:eastAsiaTheme="minorEastAsia" w:cstheme="minorEastAsia"/>
          <w:i w:val="0"/>
          <w:iCs w:val="0"/>
          <w:snapToGrid w:val="0"/>
          <w:color w:val="000000"/>
          <w:kern w:val="2"/>
          <w:sz w:val="24"/>
          <w:szCs w:val="24"/>
          <w:highlight w:val="none"/>
          <w:u w:val="none"/>
          <w:lang w:val="en-US" w:eastAsia="zh-CN" w:bidi="ar-SA"/>
        </w:rPr>
        <w:t>投标人在收到中标通知书后，超过期限未按规定提交符合要求的履约担保的，依法取消其中标资格。</w:t>
      </w:r>
    </w:p>
    <w:p w14:paraId="10F26F8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rPr>
          <w:rFonts w:hint="eastAsia" w:asciiTheme="minorEastAsia" w:hAnsiTheme="minorEastAsia" w:eastAsiaTheme="minorEastAsia" w:cstheme="minorEastAsia"/>
          <w:i w:val="0"/>
          <w:iCs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③履约保证金在项目全部履约完毕、验收合格、合同约定质保期届满，且无质量缺陷、无违约纠纷，由中标供应商提出申请后</w:t>
      </w:r>
      <w:r>
        <w:rPr>
          <w:rFonts w:hint="eastAsia" w:asciiTheme="minorEastAsia" w:hAnsiTheme="minorEastAsia" w:eastAsiaTheme="minorEastAsia" w:cstheme="minorEastAsia"/>
          <w:b/>
          <w:bCs/>
          <w:i w:val="0"/>
          <w:iCs w:val="0"/>
          <w:color w:val="000000"/>
          <w:kern w:val="2"/>
          <w:sz w:val="24"/>
          <w:szCs w:val="24"/>
          <w:highlight w:val="none"/>
          <w:u w:val="none"/>
          <w:lang w:val="en-US" w:eastAsia="zh-CN" w:bidi="ar-SA"/>
        </w:rPr>
        <w:t>，</w:t>
      </w:r>
      <w:r>
        <w:rPr>
          <w:rFonts w:hint="eastAsia" w:asciiTheme="minorEastAsia" w:hAnsiTheme="minorEastAsia" w:eastAsiaTheme="minorEastAsia" w:cstheme="minorEastAsia"/>
          <w:b/>
          <w:bCs/>
          <w:i w:val="0"/>
          <w:iCs w:val="0"/>
          <w:color w:val="000000"/>
          <w:kern w:val="2"/>
          <w:sz w:val="24"/>
          <w:szCs w:val="24"/>
          <w:highlight w:val="none"/>
          <w:u w:val="single"/>
          <w:lang w:val="en-US" w:eastAsia="zh-CN" w:bidi="ar-SA"/>
        </w:rPr>
        <w:t xml:space="preserve"> 5个工作日 </w:t>
      </w: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内一次性原路退还或解除履约担保，在此期间履约担保均不计息。中标（成交）供应商未按照投标文件履约的，无权要求退还履约担保。</w:t>
      </w:r>
    </w:p>
    <w:p w14:paraId="5200FFF8">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480" w:lineRule="exact"/>
        <w:ind w:leftChars="0" w:firstLine="480" w:firstLineChars="200"/>
        <w:jc w:val="left"/>
        <w:textAlignment w:val="auto"/>
        <w:rPr>
          <w:rFonts w:hint="eastAsia" w:asciiTheme="minorEastAsia" w:hAnsiTheme="minorEastAsia" w:eastAsiaTheme="minorEastAsia" w:cstheme="minorEastAsia"/>
          <w:i w:val="0"/>
          <w:iCs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iCs w:val="0"/>
          <w:snapToGrid w:val="0"/>
          <w:color w:val="000000"/>
          <w:kern w:val="2"/>
          <w:sz w:val="24"/>
          <w:szCs w:val="24"/>
          <w:highlight w:val="none"/>
          <w:u w:val="none"/>
          <w:lang w:val="en-US" w:eastAsia="zh-CN" w:bidi="ar-SA"/>
        </w:rPr>
        <w:t>④</w:t>
      </w: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采购人应当自收到保函后</w:t>
      </w:r>
      <w:r>
        <w:rPr>
          <w:rFonts w:hint="eastAsia" w:asciiTheme="minorEastAsia" w:hAnsiTheme="minorEastAsia" w:eastAsiaTheme="minorEastAsia" w:cstheme="minorEastAsia"/>
          <w:i w:val="0"/>
          <w:iCs w:val="0"/>
          <w:color w:val="000000"/>
          <w:kern w:val="2"/>
          <w:sz w:val="24"/>
          <w:szCs w:val="24"/>
          <w:highlight w:val="none"/>
          <w:u w:val="single"/>
          <w:lang w:val="en-US" w:eastAsia="zh-CN" w:bidi="ar-SA"/>
        </w:rPr>
        <w:t xml:space="preserve"> </w:t>
      </w:r>
      <w:r>
        <w:rPr>
          <w:rFonts w:hint="eastAsia" w:asciiTheme="minorEastAsia" w:hAnsiTheme="minorEastAsia" w:eastAsiaTheme="minorEastAsia" w:cstheme="minorEastAsia"/>
          <w:b/>
          <w:bCs/>
          <w:i w:val="0"/>
          <w:iCs w:val="0"/>
          <w:color w:val="000000"/>
          <w:kern w:val="2"/>
          <w:sz w:val="24"/>
          <w:szCs w:val="24"/>
          <w:highlight w:val="none"/>
          <w:u w:val="single"/>
          <w:lang w:val="en-US" w:eastAsia="zh-CN" w:bidi="ar-SA"/>
        </w:rPr>
        <w:t>5</w:t>
      </w:r>
      <w:r>
        <w:rPr>
          <w:rFonts w:hint="eastAsia" w:asciiTheme="minorEastAsia" w:hAnsiTheme="minorEastAsia" w:eastAsiaTheme="minorEastAsia" w:cstheme="minorEastAsia"/>
          <w:i w:val="0"/>
          <w:iCs w:val="0"/>
          <w:color w:val="000000"/>
          <w:kern w:val="2"/>
          <w:sz w:val="24"/>
          <w:szCs w:val="24"/>
          <w:highlight w:val="none"/>
          <w:u w:val="single"/>
          <w:lang w:val="en-US" w:eastAsia="zh-CN" w:bidi="ar-SA"/>
        </w:rPr>
        <w:t xml:space="preserve"> </w:t>
      </w: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日内会同市林业局、市公共资源交易中心对</w:t>
      </w:r>
      <w:r>
        <w:rPr>
          <w:rFonts w:hint="eastAsia" w:asciiTheme="minorEastAsia" w:hAnsiTheme="minorEastAsia" w:eastAsiaTheme="minorEastAsia" w:cstheme="minorEastAsia"/>
          <w:i w:val="0"/>
          <w:iCs w:val="0"/>
          <w:snapToGrid w:val="0"/>
          <w:color w:val="000000"/>
          <w:kern w:val="2"/>
          <w:sz w:val="24"/>
          <w:szCs w:val="24"/>
          <w:highlight w:val="none"/>
          <w:u w:val="none"/>
          <w:lang w:val="en-US" w:eastAsia="zh-CN" w:bidi="ar-SA"/>
        </w:rPr>
        <w:t>保函的真实性和有效性进行</w:t>
      </w: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核验。</w:t>
      </w:r>
    </w:p>
    <w:p w14:paraId="722A1E78">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200" w:right="145" w:rightChars="0"/>
        <w:jc w:val="both"/>
        <w:rPr>
          <w:rFonts w:hint="eastAsia" w:asciiTheme="minorEastAsia" w:hAnsiTheme="minorEastAsia" w:eastAsiaTheme="minorEastAsia" w:cstheme="minorEastAsia"/>
          <w:b/>
          <w:bCs/>
          <w:i w:val="0"/>
          <w:iCs w:val="0"/>
          <w:kern w:val="2"/>
          <w:sz w:val="24"/>
          <w:szCs w:val="24"/>
          <w:highlight w:val="none"/>
          <w:u w:val="none"/>
          <w:lang w:val="en-US" w:eastAsia="zh-CN" w:bidi="ar-SA"/>
        </w:rPr>
      </w:pPr>
      <w:r>
        <w:rPr>
          <w:rFonts w:hint="eastAsia" w:asciiTheme="minorEastAsia" w:hAnsiTheme="minorEastAsia" w:eastAsiaTheme="minorEastAsia" w:cstheme="minorEastAsia"/>
          <w:b/>
          <w:bCs/>
          <w:i w:val="0"/>
          <w:iCs w:val="0"/>
          <w:kern w:val="2"/>
          <w:sz w:val="24"/>
          <w:szCs w:val="24"/>
          <w:highlight w:val="none"/>
          <w:u w:val="none"/>
          <w:lang w:val="en-US" w:eastAsia="zh-CN" w:bidi="ar-SA"/>
        </w:rPr>
        <w:t>（9）报价要求</w:t>
      </w:r>
    </w:p>
    <w:p w14:paraId="72178119">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right="145" w:rightChars="0" w:firstLine="480" w:firstLineChars="200"/>
        <w:jc w:val="both"/>
        <w:rPr>
          <w:rFonts w:hint="eastAsia" w:asciiTheme="minorEastAsia" w:hAnsiTheme="minorEastAsia" w:eastAsiaTheme="minorEastAsia" w:cstheme="minorEastAsia"/>
          <w:b w:val="0"/>
          <w:bCs w:val="0"/>
          <w:i w:val="0"/>
          <w:iCs w:val="0"/>
          <w:kern w:val="2"/>
          <w:sz w:val="24"/>
          <w:szCs w:val="24"/>
          <w:u w:val="none"/>
          <w:lang w:val="en-US" w:eastAsia="zh-CN" w:bidi="ar-SA"/>
        </w:rPr>
      </w:pPr>
      <w:r>
        <w:rPr>
          <w:rFonts w:hint="eastAsia" w:asciiTheme="minorEastAsia" w:hAnsiTheme="minorEastAsia" w:eastAsiaTheme="minorEastAsia" w:cstheme="minorEastAsia"/>
          <w:b w:val="0"/>
          <w:bCs w:val="0"/>
          <w:i w:val="0"/>
          <w:iCs w:val="0"/>
          <w:kern w:val="2"/>
          <w:sz w:val="24"/>
          <w:szCs w:val="24"/>
          <w:u w:val="none"/>
          <w:lang w:val="en-US" w:eastAsia="zh-CN" w:bidi="ar-SA"/>
        </w:rPr>
        <w:t>①报价性质方面：</w:t>
      </w:r>
    </w:p>
    <w:p w14:paraId="6111892A">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right="145" w:rightChars="0" w:firstLine="468" w:firstLineChars="200"/>
        <w:jc w:val="both"/>
        <w:rPr>
          <w:rFonts w:hint="eastAsia" w:asciiTheme="minorEastAsia" w:hAnsiTheme="minorEastAsia" w:eastAsiaTheme="minorEastAsia" w:cstheme="minorEastAsia"/>
          <w:i w:val="0"/>
          <w:iCs w:val="0"/>
          <w:spacing w:val="10"/>
          <w:kern w:val="2"/>
          <w:sz w:val="24"/>
          <w:szCs w:val="24"/>
          <w:u w:val="none"/>
          <w:lang w:val="en-US" w:eastAsia="zh-CN" w:bidi="ar-SA"/>
        </w:rPr>
      </w:pPr>
      <w:r>
        <w:rPr>
          <w:rFonts w:hint="eastAsia" w:asciiTheme="minorEastAsia" w:hAnsiTheme="minorEastAsia" w:eastAsiaTheme="minorEastAsia" w:cstheme="minorEastAsia"/>
          <w:i w:val="0"/>
          <w:iCs w:val="0"/>
          <w:spacing w:val="-3"/>
          <w:kern w:val="2"/>
          <w:sz w:val="24"/>
          <w:szCs w:val="24"/>
          <w:u w:val="none"/>
          <w:lang w:val="en-US" w:eastAsia="zh-CN" w:bidi="ar-SA"/>
        </w:rPr>
        <w:t>A.本项目报价是</w:t>
      </w:r>
      <w:r>
        <w:rPr>
          <w:rFonts w:hint="eastAsia" w:asciiTheme="minorEastAsia" w:hAnsiTheme="minorEastAsia" w:eastAsiaTheme="minorEastAsia" w:cstheme="minorEastAsia"/>
          <w:i w:val="0"/>
          <w:iCs w:val="0"/>
          <w:spacing w:val="7"/>
          <w:kern w:val="2"/>
          <w:sz w:val="24"/>
          <w:szCs w:val="24"/>
          <w:u w:val="none"/>
          <w:lang w:val="en-US" w:eastAsia="zh-CN" w:bidi="ar-SA"/>
        </w:rPr>
        <w:t>投</w:t>
      </w:r>
      <w:r>
        <w:rPr>
          <w:rFonts w:hint="eastAsia" w:asciiTheme="minorEastAsia" w:hAnsiTheme="minorEastAsia" w:eastAsiaTheme="minorEastAsia" w:cstheme="minorEastAsia"/>
          <w:i w:val="0"/>
          <w:iCs w:val="0"/>
          <w:spacing w:val="1"/>
          <w:kern w:val="2"/>
          <w:sz w:val="24"/>
          <w:szCs w:val="24"/>
          <w:u w:val="none"/>
          <w:lang w:val="en-US" w:eastAsia="zh-CN" w:bidi="ar-SA"/>
        </w:rPr>
        <w:t>标人为完成本项目所</w:t>
      </w:r>
      <w:r>
        <w:rPr>
          <w:rFonts w:hint="eastAsia" w:asciiTheme="minorEastAsia" w:hAnsiTheme="minorEastAsia" w:eastAsiaTheme="minorEastAsia" w:cstheme="minorEastAsia"/>
          <w:i w:val="0"/>
          <w:iCs w:val="0"/>
          <w:spacing w:val="4"/>
          <w:kern w:val="2"/>
          <w:sz w:val="24"/>
          <w:szCs w:val="24"/>
          <w:u w:val="none"/>
          <w:lang w:val="en-US" w:eastAsia="zh-CN" w:bidi="ar-SA"/>
        </w:rPr>
        <w:t>收取的固</w:t>
      </w:r>
      <w:r>
        <w:rPr>
          <w:rFonts w:hint="eastAsia" w:asciiTheme="minorEastAsia" w:hAnsiTheme="minorEastAsia" w:eastAsiaTheme="minorEastAsia" w:cstheme="minorEastAsia"/>
          <w:i w:val="0"/>
          <w:iCs w:val="0"/>
          <w:spacing w:val="3"/>
          <w:kern w:val="2"/>
          <w:sz w:val="24"/>
          <w:szCs w:val="24"/>
          <w:u w:val="none"/>
          <w:lang w:val="en-US" w:eastAsia="zh-CN" w:bidi="ar-SA"/>
        </w:rPr>
        <w:t>定总价，应</w:t>
      </w:r>
      <w:r>
        <w:rPr>
          <w:rFonts w:hint="eastAsia" w:asciiTheme="minorEastAsia" w:hAnsiTheme="minorEastAsia" w:eastAsiaTheme="minorEastAsia" w:cstheme="minorEastAsia"/>
          <w:i w:val="0"/>
          <w:iCs w:val="0"/>
          <w:spacing w:val="4"/>
          <w:kern w:val="2"/>
          <w:sz w:val="24"/>
          <w:szCs w:val="24"/>
          <w:u w:val="none"/>
          <w:lang w:val="en-US" w:eastAsia="zh-CN" w:bidi="ar-SA"/>
        </w:rPr>
        <w:t>包含但不限于以下费用：成</w:t>
      </w:r>
      <w:r>
        <w:rPr>
          <w:rFonts w:hint="eastAsia" w:asciiTheme="minorEastAsia" w:hAnsiTheme="minorEastAsia" w:eastAsiaTheme="minorEastAsia" w:cstheme="minorEastAsia"/>
          <w:i w:val="0"/>
          <w:iCs w:val="0"/>
          <w:spacing w:val="2"/>
          <w:kern w:val="2"/>
          <w:sz w:val="24"/>
          <w:szCs w:val="24"/>
          <w:u w:val="none"/>
          <w:lang w:val="en-US" w:eastAsia="zh-CN" w:bidi="ar-SA"/>
        </w:rPr>
        <w:t>本费、劳务费、交通</w:t>
      </w:r>
      <w:r>
        <w:rPr>
          <w:rFonts w:hint="eastAsia" w:asciiTheme="minorEastAsia" w:hAnsiTheme="minorEastAsia" w:eastAsiaTheme="minorEastAsia" w:cstheme="minorEastAsia"/>
          <w:i w:val="0"/>
          <w:iCs w:val="0"/>
          <w:spacing w:val="-2"/>
          <w:kern w:val="2"/>
          <w:sz w:val="24"/>
          <w:szCs w:val="24"/>
          <w:u w:val="none"/>
          <w:lang w:val="en-US" w:eastAsia="zh-CN" w:bidi="ar-SA"/>
        </w:rPr>
        <w:t>费、水电费、场地费、</w:t>
      </w:r>
      <w:r>
        <w:rPr>
          <w:rFonts w:hint="eastAsia" w:asciiTheme="minorEastAsia" w:hAnsiTheme="minorEastAsia" w:eastAsiaTheme="minorEastAsia" w:cstheme="minorEastAsia"/>
          <w:i w:val="0"/>
          <w:iCs w:val="0"/>
          <w:spacing w:val="-3"/>
          <w:kern w:val="2"/>
          <w:sz w:val="24"/>
          <w:szCs w:val="24"/>
          <w:u w:val="none"/>
          <w:lang w:val="en-US" w:eastAsia="zh-CN" w:bidi="ar-SA"/>
        </w:rPr>
        <w:t>管理费、文明施工费、</w:t>
      </w:r>
      <w:r>
        <w:rPr>
          <w:rFonts w:hint="eastAsia" w:asciiTheme="minorEastAsia" w:hAnsiTheme="minorEastAsia" w:eastAsiaTheme="minorEastAsia" w:cstheme="minorEastAsia"/>
          <w:i w:val="0"/>
          <w:iCs w:val="0"/>
          <w:spacing w:val="15"/>
          <w:kern w:val="2"/>
          <w:sz w:val="24"/>
          <w:szCs w:val="24"/>
          <w:u w:val="none"/>
          <w:lang w:val="en-US" w:eastAsia="zh-CN" w:bidi="ar-SA"/>
        </w:rPr>
        <w:t>保险费、税金(全额</w:t>
      </w:r>
      <w:r>
        <w:rPr>
          <w:rFonts w:hint="eastAsia" w:asciiTheme="minorEastAsia" w:hAnsiTheme="minorEastAsia" w:eastAsiaTheme="minorEastAsia" w:cstheme="minorEastAsia"/>
          <w:i w:val="0"/>
          <w:iCs w:val="0"/>
          <w:spacing w:val="14"/>
          <w:kern w:val="2"/>
          <w:sz w:val="24"/>
          <w:szCs w:val="24"/>
          <w:u w:val="none"/>
          <w:lang w:val="en-US" w:eastAsia="zh-CN" w:bidi="ar-SA"/>
        </w:rPr>
        <w:t>含税发票)、雇员费</w:t>
      </w:r>
      <w:r>
        <w:rPr>
          <w:rFonts w:hint="eastAsia" w:asciiTheme="minorEastAsia" w:hAnsiTheme="minorEastAsia" w:eastAsiaTheme="minorEastAsia" w:cstheme="minorEastAsia"/>
          <w:i w:val="0"/>
          <w:iCs w:val="0"/>
          <w:spacing w:val="4"/>
          <w:kern w:val="2"/>
          <w:sz w:val="24"/>
          <w:szCs w:val="24"/>
          <w:u w:val="none"/>
          <w:lang w:val="en-US" w:eastAsia="zh-CN" w:bidi="ar-SA"/>
        </w:rPr>
        <w:t>用，全部费用</w:t>
      </w:r>
      <w:r>
        <w:rPr>
          <w:rFonts w:hint="eastAsia" w:asciiTheme="minorEastAsia" w:hAnsiTheme="minorEastAsia" w:eastAsiaTheme="minorEastAsia" w:cstheme="minorEastAsia"/>
          <w:i w:val="0"/>
          <w:iCs w:val="0"/>
          <w:spacing w:val="3"/>
          <w:kern w:val="2"/>
          <w:sz w:val="24"/>
          <w:szCs w:val="24"/>
          <w:u w:val="none"/>
          <w:lang w:val="en-US" w:eastAsia="zh-CN" w:bidi="ar-SA"/>
        </w:rPr>
        <w:t>包工、</w:t>
      </w:r>
      <w:r>
        <w:rPr>
          <w:rFonts w:hint="eastAsia" w:asciiTheme="minorEastAsia" w:hAnsiTheme="minorEastAsia" w:eastAsiaTheme="minorEastAsia" w:cstheme="minorEastAsia"/>
          <w:i w:val="0"/>
          <w:iCs w:val="0"/>
          <w:spacing w:val="5"/>
          <w:kern w:val="2"/>
          <w:sz w:val="24"/>
          <w:szCs w:val="24"/>
          <w:u w:val="none"/>
          <w:lang w:val="en-US" w:eastAsia="zh-CN" w:bidi="ar-SA"/>
        </w:rPr>
        <w:t>包料、包工期、包质</w:t>
      </w:r>
      <w:r>
        <w:rPr>
          <w:rFonts w:hint="eastAsia" w:asciiTheme="minorEastAsia" w:hAnsiTheme="minorEastAsia" w:eastAsiaTheme="minorEastAsia" w:cstheme="minorEastAsia"/>
          <w:i w:val="0"/>
          <w:iCs w:val="0"/>
          <w:spacing w:val="4"/>
          <w:kern w:val="2"/>
          <w:sz w:val="24"/>
          <w:szCs w:val="24"/>
          <w:u w:val="none"/>
          <w:lang w:val="en-US" w:eastAsia="zh-CN" w:bidi="ar-SA"/>
        </w:rPr>
        <w:t>量、包安全，及项目实施过程</w:t>
      </w:r>
      <w:r>
        <w:rPr>
          <w:rFonts w:hint="eastAsia" w:asciiTheme="minorEastAsia" w:hAnsiTheme="minorEastAsia" w:eastAsiaTheme="minorEastAsia" w:cstheme="minorEastAsia"/>
          <w:i w:val="0"/>
          <w:iCs w:val="0"/>
          <w:spacing w:val="3"/>
          <w:kern w:val="2"/>
          <w:sz w:val="24"/>
          <w:szCs w:val="24"/>
          <w:u w:val="none"/>
          <w:lang w:val="en-US" w:eastAsia="zh-CN" w:bidi="ar-SA"/>
        </w:rPr>
        <w:t>中其他应预见和不可</w:t>
      </w:r>
      <w:r>
        <w:rPr>
          <w:rFonts w:hint="eastAsia" w:asciiTheme="minorEastAsia" w:hAnsiTheme="minorEastAsia" w:eastAsiaTheme="minorEastAsia" w:cstheme="minorEastAsia"/>
          <w:i w:val="0"/>
          <w:iCs w:val="0"/>
          <w:spacing w:val="1"/>
          <w:kern w:val="2"/>
          <w:sz w:val="24"/>
          <w:szCs w:val="24"/>
          <w:u w:val="none"/>
          <w:lang w:val="en-US" w:eastAsia="zh-CN" w:bidi="ar-SA"/>
        </w:rPr>
        <w:t>预见费用等完成本采购项目、达到采购人</w:t>
      </w:r>
      <w:r>
        <w:rPr>
          <w:rFonts w:hint="eastAsia" w:asciiTheme="minorEastAsia" w:hAnsiTheme="minorEastAsia" w:eastAsiaTheme="minorEastAsia" w:cstheme="minorEastAsia"/>
          <w:i w:val="0"/>
          <w:iCs w:val="0"/>
          <w:spacing w:val="4"/>
          <w:kern w:val="2"/>
          <w:sz w:val="24"/>
          <w:szCs w:val="24"/>
          <w:u w:val="none"/>
          <w:lang w:val="en-US" w:eastAsia="zh-CN" w:bidi="ar-SA"/>
        </w:rPr>
        <w:t>目的的一切费用及企</w:t>
      </w:r>
      <w:r>
        <w:rPr>
          <w:rFonts w:hint="eastAsia" w:asciiTheme="minorEastAsia" w:hAnsiTheme="minorEastAsia" w:eastAsiaTheme="minorEastAsia" w:cstheme="minorEastAsia"/>
          <w:i w:val="0"/>
          <w:iCs w:val="0"/>
          <w:spacing w:val="10"/>
          <w:kern w:val="2"/>
          <w:sz w:val="24"/>
          <w:szCs w:val="24"/>
          <w:u w:val="none"/>
          <w:lang w:val="en-US" w:eastAsia="zh-CN" w:bidi="ar-SA"/>
        </w:rPr>
        <w:t>业利润。</w:t>
      </w:r>
    </w:p>
    <w:p w14:paraId="68B23B1B">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right="145" w:rightChars="0" w:firstLine="520" w:firstLineChars="200"/>
        <w:jc w:val="both"/>
        <w:rPr>
          <w:rFonts w:hint="eastAsia" w:asciiTheme="minorEastAsia" w:hAnsiTheme="minorEastAsia" w:eastAsiaTheme="minorEastAsia" w:cstheme="minorEastAsia"/>
          <w:i w:val="0"/>
          <w:iCs w:val="0"/>
          <w:spacing w:val="7"/>
          <w:kern w:val="2"/>
          <w:sz w:val="24"/>
          <w:szCs w:val="24"/>
          <w:u w:val="none"/>
          <w:lang w:val="en-US" w:eastAsia="zh-CN" w:bidi="ar-SA"/>
        </w:rPr>
      </w:pPr>
      <w:r>
        <w:rPr>
          <w:rFonts w:hint="eastAsia" w:asciiTheme="minorEastAsia" w:hAnsiTheme="minorEastAsia" w:eastAsiaTheme="minorEastAsia" w:cstheme="minorEastAsia"/>
          <w:i w:val="0"/>
          <w:iCs w:val="0"/>
          <w:spacing w:val="10"/>
          <w:kern w:val="2"/>
          <w:sz w:val="24"/>
          <w:szCs w:val="24"/>
          <w:u w:val="none"/>
          <w:lang w:val="en-US" w:eastAsia="zh-CN" w:bidi="ar-SA"/>
        </w:rPr>
        <w:t>B.投标人须</w:t>
      </w:r>
      <w:r>
        <w:rPr>
          <w:rFonts w:hint="eastAsia" w:asciiTheme="minorEastAsia" w:hAnsiTheme="minorEastAsia" w:eastAsiaTheme="minorEastAsia" w:cstheme="minorEastAsia"/>
          <w:i w:val="0"/>
          <w:iCs w:val="0"/>
          <w:spacing w:val="4"/>
          <w:kern w:val="2"/>
          <w:sz w:val="24"/>
          <w:szCs w:val="24"/>
          <w:u w:val="none"/>
          <w:lang w:val="en-US" w:eastAsia="zh-CN" w:bidi="ar-SA"/>
        </w:rPr>
        <w:t>考虑本项目在实施期</w:t>
      </w:r>
      <w:r>
        <w:rPr>
          <w:rFonts w:hint="eastAsia" w:asciiTheme="minorEastAsia" w:hAnsiTheme="minorEastAsia" w:eastAsiaTheme="minorEastAsia" w:cstheme="minorEastAsia"/>
          <w:i w:val="0"/>
          <w:iCs w:val="0"/>
          <w:spacing w:val="3"/>
          <w:kern w:val="2"/>
          <w:sz w:val="24"/>
          <w:szCs w:val="24"/>
          <w:u w:val="none"/>
          <w:lang w:val="en-US" w:eastAsia="zh-CN" w:bidi="ar-SA"/>
        </w:rPr>
        <w:t>间的一切可能产生的</w:t>
      </w:r>
      <w:r>
        <w:rPr>
          <w:rFonts w:hint="eastAsia" w:asciiTheme="minorEastAsia" w:hAnsiTheme="minorEastAsia" w:eastAsiaTheme="minorEastAsia" w:cstheme="minorEastAsia"/>
          <w:i w:val="0"/>
          <w:iCs w:val="0"/>
          <w:spacing w:val="7"/>
          <w:kern w:val="2"/>
          <w:sz w:val="24"/>
          <w:szCs w:val="24"/>
          <w:u w:val="none"/>
          <w:lang w:val="en-US" w:eastAsia="zh-CN" w:bidi="ar-SA"/>
        </w:rPr>
        <w:t>费用。</w:t>
      </w:r>
    </w:p>
    <w:p w14:paraId="7EBA3E16">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right="145" w:rightChars="0" w:firstLine="520" w:firstLineChars="200"/>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i w:val="0"/>
          <w:iCs w:val="0"/>
          <w:spacing w:val="10"/>
          <w:kern w:val="2"/>
          <w:sz w:val="24"/>
          <w:szCs w:val="24"/>
          <w:u w:val="none"/>
          <w:lang w:val="en-US" w:eastAsia="zh-CN" w:bidi="ar-SA"/>
        </w:rPr>
        <w:t>C.报价不</w:t>
      </w:r>
      <w:r>
        <w:rPr>
          <w:rFonts w:hint="eastAsia" w:asciiTheme="minorEastAsia" w:hAnsiTheme="minorEastAsia" w:eastAsiaTheme="minorEastAsia" w:cstheme="minorEastAsia"/>
          <w:i w:val="0"/>
          <w:iCs w:val="0"/>
          <w:spacing w:val="7"/>
          <w:kern w:val="2"/>
          <w:sz w:val="24"/>
          <w:szCs w:val="24"/>
          <w:u w:val="none"/>
          <w:lang w:val="en-US" w:eastAsia="zh-CN" w:bidi="ar-SA"/>
        </w:rPr>
        <w:t>得高</w:t>
      </w:r>
      <w:r>
        <w:rPr>
          <w:rFonts w:hint="eastAsia" w:asciiTheme="minorEastAsia" w:hAnsiTheme="minorEastAsia" w:eastAsiaTheme="minorEastAsia" w:cstheme="minorEastAsia"/>
          <w:i w:val="0"/>
          <w:iCs w:val="0"/>
          <w:spacing w:val="6"/>
          <w:kern w:val="2"/>
          <w:sz w:val="24"/>
          <w:szCs w:val="24"/>
          <w:u w:val="none"/>
          <w:lang w:val="en-US" w:eastAsia="zh-CN" w:bidi="ar-SA"/>
        </w:rPr>
        <w:t>于本项目的预算金</w:t>
      </w:r>
      <w:r>
        <w:rPr>
          <w:rFonts w:hint="eastAsia" w:asciiTheme="minorEastAsia" w:hAnsiTheme="minorEastAsia" w:eastAsiaTheme="minorEastAsia" w:cstheme="minorEastAsia"/>
          <w:i w:val="0"/>
          <w:iCs w:val="0"/>
          <w:spacing w:val="-1"/>
          <w:kern w:val="2"/>
          <w:sz w:val="24"/>
          <w:szCs w:val="24"/>
          <w:u w:val="none"/>
          <w:lang w:val="en-US" w:eastAsia="zh-CN" w:bidi="ar-SA"/>
        </w:rPr>
        <w:t>额，否则视为无效报</w:t>
      </w:r>
      <w:r>
        <w:rPr>
          <w:rFonts w:hint="eastAsia" w:asciiTheme="minorEastAsia" w:hAnsiTheme="minorEastAsia" w:eastAsiaTheme="minorEastAsia" w:cstheme="minorEastAsia"/>
          <w:i w:val="0"/>
          <w:iCs w:val="0"/>
          <w:spacing w:val="-4"/>
          <w:kern w:val="2"/>
          <w:sz w:val="24"/>
          <w:szCs w:val="24"/>
          <w:u w:val="none"/>
          <w:lang w:val="en-US" w:eastAsia="zh-CN" w:bidi="ar-SA"/>
        </w:rPr>
        <w:t>价，作无效投标处理。</w:t>
      </w:r>
    </w:p>
    <w:p w14:paraId="0DAF9600">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0" w:right="145" w:rightChars="0" w:firstLine="472" w:firstLineChars="200"/>
        <w:jc w:val="both"/>
        <w:rPr>
          <w:rFonts w:hint="eastAsia" w:asciiTheme="minorEastAsia" w:hAnsiTheme="minorEastAsia" w:eastAsiaTheme="minorEastAsia" w:cstheme="minorEastAsia"/>
          <w:i w:val="0"/>
          <w:iCs w:val="0"/>
          <w:spacing w:val="-2"/>
          <w:kern w:val="2"/>
          <w:sz w:val="24"/>
          <w:szCs w:val="24"/>
          <w:u w:val="none"/>
          <w:lang w:val="en-US" w:eastAsia="zh-CN" w:bidi="ar-SA"/>
        </w:rPr>
      </w:pPr>
      <w:r>
        <w:rPr>
          <w:rFonts w:hint="eastAsia" w:asciiTheme="minorEastAsia" w:hAnsiTheme="minorEastAsia" w:eastAsiaTheme="minorEastAsia" w:cstheme="minorEastAsia"/>
          <w:i w:val="0"/>
          <w:iCs w:val="0"/>
          <w:spacing w:val="-2"/>
          <w:kern w:val="2"/>
          <w:sz w:val="24"/>
          <w:szCs w:val="24"/>
          <w:u w:val="none"/>
          <w:lang w:val="en-US" w:eastAsia="zh-CN" w:bidi="ar-SA"/>
        </w:rPr>
        <w:t>②报价合理性方面：</w:t>
      </w:r>
    </w:p>
    <w:p w14:paraId="6343FF40">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0" w:right="145" w:rightChars="0" w:firstLine="530" w:firstLineChars="200"/>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b/>
          <w:bCs/>
          <w:i w:val="0"/>
          <w:iCs w:val="0"/>
          <w:spacing w:val="12"/>
          <w:kern w:val="2"/>
          <w:sz w:val="24"/>
          <w:szCs w:val="24"/>
          <w:u w:val="none"/>
          <w:lang w:val="en-US" w:eastAsia="zh-CN" w:bidi="ar-SA"/>
        </w:rPr>
        <w:t>A.</w:t>
      </w:r>
      <w:r>
        <w:rPr>
          <w:rFonts w:hint="eastAsia" w:asciiTheme="minorEastAsia" w:hAnsiTheme="minorEastAsia" w:eastAsiaTheme="minorEastAsia" w:cstheme="minorEastAsia"/>
          <w:i w:val="0"/>
          <w:iCs w:val="0"/>
          <w:spacing w:val="12"/>
          <w:kern w:val="2"/>
          <w:sz w:val="24"/>
          <w:szCs w:val="24"/>
          <w:u w:val="none"/>
          <w:lang w:val="en-US" w:eastAsia="zh-CN" w:bidi="ar-SA"/>
        </w:rPr>
        <w:t>根据财库〔2026〕2号文件，政府采购评审中出现下列情形之一的，评审委员会应当启动异常低价投标（响应）审查程序：</w:t>
      </w:r>
    </w:p>
    <w:p w14:paraId="1745C2B7">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0" w:right="145" w:rightChars="0" w:firstLine="528" w:firstLineChars="200"/>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i w:val="0"/>
          <w:iCs w:val="0"/>
          <w:spacing w:val="12"/>
          <w:kern w:val="2"/>
          <w:sz w:val="24"/>
          <w:szCs w:val="24"/>
          <w:u w:val="none"/>
          <w:lang w:val="en-US" w:eastAsia="zh-CN" w:bidi="ar-SA"/>
        </w:rPr>
        <w:t>a.投标（响应）报价低于全部通过符合性审查供应商投标（响应）报价平均值65%的，即投标（响应）报价&lt;全部通过符合性审查供应商投标（响应）报价平均值×65%；</w:t>
      </w:r>
    </w:p>
    <w:p w14:paraId="72A17682">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0" w:right="145" w:rightChars="0" w:firstLine="528" w:firstLineChars="200"/>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i w:val="0"/>
          <w:iCs w:val="0"/>
          <w:spacing w:val="12"/>
          <w:kern w:val="2"/>
          <w:sz w:val="24"/>
          <w:szCs w:val="24"/>
          <w:u w:val="none"/>
          <w:lang w:val="en-US" w:eastAsia="zh-CN" w:bidi="ar-SA"/>
        </w:rPr>
        <w:t>b.投标（响应）报价低于通过符合性审查的次低报价供应商投标（响应）报价65%的，即投标（响应）报价&lt;通过符合性审查的次低报价供应商投标（响应）报价×65%；</w:t>
      </w:r>
    </w:p>
    <w:p w14:paraId="3E1A9F9A">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0" w:right="145" w:rightChars="0" w:firstLine="528" w:firstLineChars="200"/>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i w:val="0"/>
          <w:iCs w:val="0"/>
          <w:spacing w:val="12"/>
          <w:kern w:val="2"/>
          <w:sz w:val="24"/>
          <w:szCs w:val="24"/>
          <w:u w:val="none"/>
          <w:lang w:val="en-US" w:eastAsia="zh-CN" w:bidi="ar-SA"/>
        </w:rPr>
        <w:t>c.投标（响应）报价低于采购项目最高限价65%的，即投标（响应）报价&lt;采购项目最高限价×65%。</w:t>
      </w:r>
    </w:p>
    <w:p w14:paraId="01C4D891">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0" w:right="145" w:rightChars="0" w:firstLine="530" w:firstLineChars="200"/>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b/>
          <w:bCs/>
          <w:i w:val="0"/>
          <w:iCs w:val="0"/>
          <w:spacing w:val="12"/>
          <w:kern w:val="2"/>
          <w:sz w:val="24"/>
          <w:szCs w:val="24"/>
          <w:u w:val="none"/>
          <w:lang w:val="en-US" w:eastAsia="zh-CN" w:bidi="ar-SA"/>
        </w:rPr>
        <w:t>B.</w:t>
      </w:r>
      <w:r>
        <w:rPr>
          <w:rFonts w:hint="eastAsia" w:asciiTheme="minorEastAsia" w:hAnsiTheme="minorEastAsia" w:eastAsiaTheme="minorEastAsia" w:cstheme="minorEastAsia"/>
          <w:i w:val="0"/>
          <w:iCs w:val="0"/>
          <w:spacing w:val="12"/>
          <w:kern w:val="2"/>
          <w:sz w:val="24"/>
          <w:szCs w:val="24"/>
          <w:u w:val="none"/>
          <w:lang w:val="en-US" w:eastAsia="zh-CN" w:bidi="ar-SA"/>
        </w:rPr>
        <w:t>评审委员会启动异常低价投标（响应）审查后，属于前述第1项至第3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Theme="minorEastAsia" w:hAnsiTheme="minorEastAsia" w:eastAsiaTheme="minorEastAsia" w:cstheme="minorEastAsia"/>
          <w:i w:val="0"/>
          <w:iCs w:val="0"/>
          <w:spacing w:val="12"/>
          <w:kern w:val="2"/>
          <w:sz w:val="24"/>
          <w:szCs w:val="24"/>
          <w:u w:val="single"/>
          <w:lang w:val="en-US" w:eastAsia="zh-CN" w:bidi="ar-SA"/>
        </w:rPr>
        <w:t xml:space="preserve"> 60</w:t>
      </w:r>
      <w:r>
        <w:rPr>
          <w:rFonts w:hint="eastAsia" w:asciiTheme="minorEastAsia" w:hAnsiTheme="minorEastAsia" w:eastAsiaTheme="minorEastAsia" w:cstheme="minorEastAsia"/>
          <w:i w:val="0"/>
          <w:iCs w:val="0"/>
          <w:spacing w:val="12"/>
          <w:kern w:val="2"/>
          <w:sz w:val="24"/>
          <w:szCs w:val="24"/>
          <w:u w:val="none"/>
          <w:lang w:val="en-US" w:eastAsia="zh-CN" w:bidi="ar-SA"/>
        </w:rPr>
        <w:t>分钟，具体由评审委员会根据实际情况自主确定合理时间。其中，属于第3项情形，供应商已随投标（响应）文件一并提交相关书面说明及必要的证明材料的，在评审现场可不再重复提交。</w:t>
      </w:r>
    </w:p>
    <w:p w14:paraId="372CF952">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0" w:right="145" w:rightChars="0" w:firstLine="530" w:firstLineChars="200"/>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b/>
          <w:bCs/>
          <w:i w:val="0"/>
          <w:iCs w:val="0"/>
          <w:spacing w:val="12"/>
          <w:kern w:val="2"/>
          <w:sz w:val="24"/>
          <w:szCs w:val="24"/>
          <w:u w:val="none"/>
          <w:lang w:val="en-US" w:eastAsia="zh-CN" w:bidi="ar-SA"/>
        </w:rPr>
        <w:t>C.</w:t>
      </w:r>
      <w:r>
        <w:rPr>
          <w:rFonts w:hint="eastAsia" w:asciiTheme="minorEastAsia" w:hAnsiTheme="minorEastAsia" w:eastAsiaTheme="minorEastAsia" w:cstheme="minorEastAsia"/>
          <w:i w:val="0"/>
          <w:iCs w:val="0"/>
          <w:spacing w:val="12"/>
          <w:kern w:val="2"/>
          <w:sz w:val="24"/>
          <w:szCs w:val="24"/>
          <w:u w:val="none"/>
          <w:lang w:val="en-US" w:eastAsia="zh-CN" w:bidi="ar-SA"/>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592A59F8">
      <w:pPr>
        <w:keepNext w:val="0"/>
        <w:keepLines w:val="0"/>
        <w:pageBreakBefore w:val="0"/>
        <w:widowControl w:val="0"/>
        <w:kinsoku/>
        <w:wordWrap/>
        <w:overflowPunct/>
        <w:topLinePunct w:val="0"/>
        <w:autoSpaceDE/>
        <w:autoSpaceDN/>
        <w:bidi w:val="0"/>
        <w:adjustRightInd w:val="0"/>
        <w:snapToGrid w:val="0"/>
        <w:spacing w:afterAutospacing="0" w:line="480" w:lineRule="exact"/>
        <w:ind w:right="145" w:firstLine="551" w:firstLineChars="209"/>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i w:val="0"/>
          <w:iCs w:val="0"/>
          <w:spacing w:val="12"/>
          <w:kern w:val="2"/>
          <w:sz w:val="24"/>
          <w:szCs w:val="24"/>
          <w:u w:val="none"/>
          <w:lang w:val="en-US" w:eastAsia="zh-CN" w:bidi="ar-SA"/>
        </w:rPr>
        <w:t>采购人、采购代理机构应当为评审委员会在评审现场及时获取同类项目中标（成交）价格、类似产品市场价格水平、行业人工费用标准、国家有关部门指导行业协会发布的行业平均成本等相关信息资料提供查询便利。评审委员会借助互联网等渠道查询相关信息的，应当严格遵守评审工作纪律，不得实施影响评审公正的行为。</w:t>
      </w:r>
    </w:p>
    <w:p w14:paraId="7B0A840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jc w:val="left"/>
        <w:textAlignment w:val="auto"/>
        <w:rPr>
          <w:rFonts w:hint="eastAsia" w:asciiTheme="minorEastAsia" w:hAnsiTheme="minorEastAsia" w:eastAsiaTheme="minorEastAsia" w:cstheme="minorEastAsia"/>
          <w:b/>
          <w:bCs/>
          <w:i w:val="0"/>
          <w:iCs w:val="0"/>
          <w:kern w:val="2"/>
          <w:sz w:val="24"/>
          <w:szCs w:val="24"/>
          <w:u w:val="none"/>
          <w:lang w:val="en-US" w:eastAsia="zh-CN" w:bidi="ar-SA"/>
        </w:rPr>
      </w:pPr>
      <w:r>
        <w:rPr>
          <w:rFonts w:hint="eastAsia" w:asciiTheme="minorEastAsia" w:hAnsiTheme="minorEastAsia" w:eastAsiaTheme="minorEastAsia" w:cstheme="minorEastAsia"/>
          <w:b/>
          <w:bCs/>
          <w:i w:val="0"/>
          <w:iCs w:val="0"/>
          <w:kern w:val="2"/>
          <w:sz w:val="24"/>
          <w:szCs w:val="24"/>
          <w:u w:val="none"/>
          <w:lang w:val="en-US" w:eastAsia="zh-CN" w:bidi="ar-SA"/>
        </w:rPr>
        <w:t>（10）人员管理</w:t>
      </w:r>
    </w:p>
    <w:p w14:paraId="572C513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jc w:val="left"/>
        <w:textAlignment w:val="auto"/>
        <w:rPr>
          <w:rFonts w:hint="eastAsia" w:asciiTheme="minorEastAsia" w:hAnsiTheme="minorEastAsia" w:eastAsiaTheme="minorEastAsia" w:cstheme="minorEastAsia"/>
          <w:i w:val="0"/>
          <w:iCs w:val="0"/>
          <w:spacing w:val="-1"/>
          <w:kern w:val="2"/>
          <w:sz w:val="24"/>
          <w:szCs w:val="24"/>
          <w:u w:val="none"/>
          <w:lang w:val="en-US" w:eastAsia="zh-CN" w:bidi="ar-SA"/>
        </w:rPr>
      </w:pPr>
      <w:r>
        <w:rPr>
          <w:rFonts w:hint="eastAsia" w:asciiTheme="minorEastAsia" w:hAnsiTheme="minorEastAsia" w:eastAsiaTheme="minorEastAsia" w:cstheme="minorEastAsia"/>
          <w:b/>
          <w:bCs/>
          <w:i w:val="0"/>
          <w:iCs w:val="0"/>
          <w:kern w:val="2"/>
          <w:sz w:val="24"/>
          <w:szCs w:val="24"/>
          <w:u w:val="none"/>
          <w:lang w:val="en-US" w:eastAsia="zh-CN" w:bidi="ar-SA"/>
        </w:rPr>
        <w:t>①</w:t>
      </w:r>
      <w:r>
        <w:rPr>
          <w:rFonts w:hint="eastAsia" w:asciiTheme="minorEastAsia" w:hAnsiTheme="minorEastAsia" w:eastAsiaTheme="minorEastAsia" w:cstheme="minorEastAsia"/>
          <w:i w:val="0"/>
          <w:iCs w:val="0"/>
          <w:kern w:val="2"/>
          <w:sz w:val="24"/>
          <w:szCs w:val="24"/>
          <w:u w:val="none"/>
          <w:lang w:val="en-US" w:eastAsia="zh-CN" w:bidi="ar-SA"/>
        </w:rPr>
        <w:t>中标供应商须按其响应文件中承诺提供的项目组人员要求投</w:t>
      </w:r>
      <w:r>
        <w:rPr>
          <w:rFonts w:hint="eastAsia" w:asciiTheme="minorEastAsia" w:hAnsiTheme="minorEastAsia" w:eastAsiaTheme="minorEastAsia" w:cstheme="minorEastAsia"/>
          <w:i w:val="0"/>
          <w:iCs w:val="0"/>
          <w:spacing w:val="-1"/>
          <w:kern w:val="2"/>
          <w:sz w:val="24"/>
          <w:szCs w:val="24"/>
          <w:u w:val="none"/>
          <w:lang w:val="en-US" w:eastAsia="zh-CN" w:bidi="ar-SA"/>
        </w:rPr>
        <w:t>入到本项目中，在合</w:t>
      </w:r>
      <w:r>
        <w:rPr>
          <w:rFonts w:hint="eastAsia" w:asciiTheme="minorEastAsia" w:hAnsiTheme="minorEastAsia" w:eastAsiaTheme="minorEastAsia" w:cstheme="minorEastAsia"/>
          <w:i w:val="0"/>
          <w:iCs w:val="0"/>
          <w:spacing w:val="13"/>
          <w:kern w:val="2"/>
          <w:sz w:val="24"/>
          <w:szCs w:val="24"/>
          <w:u w:val="none"/>
          <w:lang w:val="en-US" w:eastAsia="zh-CN" w:bidi="ar-SA"/>
        </w:rPr>
        <w:t>同期内不得擅自更</w:t>
      </w:r>
      <w:r>
        <w:rPr>
          <w:rFonts w:hint="eastAsia" w:asciiTheme="minorEastAsia" w:hAnsiTheme="minorEastAsia" w:eastAsiaTheme="minorEastAsia" w:cstheme="minorEastAsia"/>
          <w:i w:val="0"/>
          <w:iCs w:val="0"/>
          <w:spacing w:val="2"/>
          <w:kern w:val="2"/>
          <w:sz w:val="24"/>
          <w:szCs w:val="24"/>
          <w:u w:val="none"/>
          <w:lang w:val="en-US" w:eastAsia="zh-CN" w:bidi="ar-SA"/>
        </w:rPr>
        <w:t>换。中标供应商如因</w:t>
      </w:r>
      <w:r>
        <w:rPr>
          <w:rFonts w:hint="eastAsia" w:asciiTheme="minorEastAsia" w:hAnsiTheme="minorEastAsia" w:eastAsiaTheme="minorEastAsia" w:cstheme="minorEastAsia"/>
          <w:i w:val="0"/>
          <w:iCs w:val="0"/>
          <w:spacing w:val="14"/>
          <w:kern w:val="2"/>
          <w:sz w:val="24"/>
          <w:szCs w:val="24"/>
          <w:u w:val="none"/>
          <w:lang w:val="en-US" w:eastAsia="zh-CN" w:bidi="ar-SA"/>
        </w:rPr>
        <w:t>工作安排或其它原</w:t>
      </w:r>
      <w:r>
        <w:rPr>
          <w:rFonts w:hint="eastAsia" w:asciiTheme="minorEastAsia" w:hAnsiTheme="minorEastAsia" w:eastAsiaTheme="minorEastAsia" w:cstheme="minorEastAsia"/>
          <w:i w:val="0"/>
          <w:iCs w:val="0"/>
          <w:kern w:val="2"/>
          <w:sz w:val="24"/>
          <w:szCs w:val="24"/>
          <w:u w:val="none"/>
          <w:lang w:val="en-US" w:eastAsia="zh-CN" w:bidi="ar-SA"/>
        </w:rPr>
        <w:t>因，需要更换项目组</w:t>
      </w:r>
      <w:r>
        <w:rPr>
          <w:rFonts w:hint="eastAsia" w:asciiTheme="minorEastAsia" w:hAnsiTheme="minorEastAsia" w:eastAsiaTheme="minorEastAsia" w:cstheme="minorEastAsia"/>
          <w:i w:val="0"/>
          <w:iCs w:val="0"/>
          <w:spacing w:val="-2"/>
          <w:kern w:val="2"/>
          <w:sz w:val="24"/>
          <w:szCs w:val="24"/>
          <w:u w:val="none"/>
          <w:lang w:val="en-US" w:eastAsia="zh-CN" w:bidi="ar-SA"/>
        </w:rPr>
        <w:t>人员时，应事前向采</w:t>
      </w:r>
      <w:r>
        <w:rPr>
          <w:rFonts w:hint="eastAsia" w:asciiTheme="minorEastAsia" w:hAnsiTheme="minorEastAsia" w:eastAsiaTheme="minorEastAsia" w:cstheme="minorEastAsia"/>
          <w:i w:val="0"/>
          <w:iCs w:val="0"/>
          <w:spacing w:val="5"/>
          <w:kern w:val="2"/>
          <w:sz w:val="24"/>
          <w:szCs w:val="24"/>
          <w:u w:val="none"/>
          <w:lang w:val="en-US" w:eastAsia="zh-CN" w:bidi="ar-SA"/>
        </w:rPr>
        <w:t>购人提出书面申请、</w:t>
      </w:r>
      <w:r>
        <w:rPr>
          <w:rFonts w:hint="eastAsia" w:asciiTheme="minorEastAsia" w:hAnsiTheme="minorEastAsia" w:eastAsiaTheme="minorEastAsia" w:cstheme="minorEastAsia"/>
          <w:i w:val="0"/>
          <w:iCs w:val="0"/>
          <w:spacing w:val="1"/>
          <w:kern w:val="2"/>
          <w:sz w:val="24"/>
          <w:szCs w:val="24"/>
          <w:u w:val="none"/>
          <w:lang w:val="en-US" w:eastAsia="zh-CN" w:bidi="ar-SA"/>
        </w:rPr>
        <w:t>未经采购人同意，不</w:t>
      </w:r>
      <w:r>
        <w:rPr>
          <w:rFonts w:hint="eastAsia" w:asciiTheme="minorEastAsia" w:hAnsiTheme="minorEastAsia" w:eastAsiaTheme="minorEastAsia" w:cstheme="minorEastAsia"/>
          <w:i w:val="0"/>
          <w:iCs w:val="0"/>
          <w:spacing w:val="-1"/>
          <w:kern w:val="2"/>
          <w:sz w:val="24"/>
          <w:szCs w:val="24"/>
          <w:u w:val="none"/>
          <w:lang w:val="en-US" w:eastAsia="zh-CN" w:bidi="ar-SA"/>
        </w:rPr>
        <w:t>得更换人员。</w:t>
      </w:r>
    </w:p>
    <w:p w14:paraId="3CA149F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76" w:firstLineChars="200"/>
        <w:jc w:val="left"/>
        <w:textAlignment w:val="auto"/>
        <w:rPr>
          <w:rFonts w:hint="eastAsia" w:asciiTheme="minorEastAsia" w:hAnsiTheme="minorEastAsia" w:eastAsiaTheme="minorEastAsia" w:cstheme="minorEastAsia"/>
          <w:i w:val="0"/>
          <w:iCs w:val="0"/>
          <w:spacing w:val="-1"/>
          <w:kern w:val="2"/>
          <w:sz w:val="24"/>
          <w:szCs w:val="24"/>
          <w:u w:val="none"/>
          <w:lang w:val="en-US" w:eastAsia="zh-CN" w:bidi="ar-SA"/>
        </w:rPr>
      </w:pPr>
      <w:r>
        <w:rPr>
          <w:rFonts w:hint="eastAsia" w:asciiTheme="minorEastAsia" w:hAnsiTheme="minorEastAsia" w:eastAsiaTheme="minorEastAsia" w:cstheme="minorEastAsia"/>
          <w:i w:val="0"/>
          <w:iCs w:val="0"/>
          <w:spacing w:val="-1"/>
          <w:kern w:val="2"/>
          <w:sz w:val="24"/>
          <w:szCs w:val="24"/>
          <w:u w:val="none"/>
          <w:lang w:val="en-US" w:eastAsia="zh-CN" w:bidi="ar-SA"/>
        </w:rPr>
        <w:t>②采购</w:t>
      </w:r>
      <w:r>
        <w:rPr>
          <w:rFonts w:hint="eastAsia" w:asciiTheme="minorEastAsia" w:hAnsiTheme="minorEastAsia" w:eastAsiaTheme="minorEastAsia" w:cstheme="minorEastAsia"/>
          <w:i w:val="0"/>
          <w:iCs w:val="0"/>
          <w:spacing w:val="1"/>
          <w:kern w:val="2"/>
          <w:sz w:val="24"/>
          <w:szCs w:val="24"/>
          <w:u w:val="none"/>
          <w:lang w:val="en-US" w:eastAsia="zh-CN" w:bidi="ar-SA"/>
        </w:rPr>
        <w:t>人有权以书面形式要求中标供应商更换不能按规定履行合同的</w:t>
      </w:r>
      <w:r>
        <w:rPr>
          <w:rFonts w:hint="eastAsia" w:asciiTheme="minorEastAsia" w:hAnsiTheme="minorEastAsia" w:eastAsiaTheme="minorEastAsia" w:cstheme="minorEastAsia"/>
          <w:i w:val="0"/>
          <w:iCs w:val="0"/>
          <w:spacing w:val="-1"/>
          <w:kern w:val="2"/>
          <w:sz w:val="24"/>
          <w:szCs w:val="24"/>
          <w:u w:val="none"/>
          <w:lang w:val="en-US" w:eastAsia="zh-CN" w:bidi="ar-SA"/>
        </w:rPr>
        <w:t>人员。即使是采购人要求或同意更换的人</w:t>
      </w:r>
      <w:r>
        <w:rPr>
          <w:rFonts w:hint="eastAsia" w:asciiTheme="minorEastAsia" w:hAnsiTheme="minorEastAsia" w:eastAsiaTheme="minorEastAsia" w:cstheme="minorEastAsia"/>
          <w:i w:val="0"/>
          <w:iCs w:val="0"/>
          <w:spacing w:val="1"/>
          <w:kern w:val="2"/>
          <w:sz w:val="24"/>
          <w:szCs w:val="24"/>
          <w:u w:val="none"/>
          <w:lang w:val="en-US" w:eastAsia="zh-CN" w:bidi="ar-SA"/>
        </w:rPr>
        <w:t>员，其代替人员的资质仍应得到采购人的</w:t>
      </w:r>
      <w:r>
        <w:rPr>
          <w:rFonts w:hint="eastAsia" w:asciiTheme="minorEastAsia" w:hAnsiTheme="minorEastAsia" w:eastAsiaTheme="minorEastAsia" w:cstheme="minorEastAsia"/>
          <w:i w:val="0"/>
          <w:iCs w:val="0"/>
          <w:spacing w:val="-1"/>
          <w:kern w:val="2"/>
          <w:sz w:val="24"/>
          <w:szCs w:val="24"/>
          <w:u w:val="none"/>
          <w:lang w:val="en-US" w:eastAsia="zh-CN" w:bidi="ar-SA"/>
        </w:rPr>
        <w:t>认可，且其资历和经验均不低于被更换人</w:t>
      </w:r>
      <w:r>
        <w:rPr>
          <w:rFonts w:hint="eastAsia" w:asciiTheme="minorEastAsia" w:hAnsiTheme="minorEastAsia" w:eastAsiaTheme="minorEastAsia" w:cstheme="minorEastAsia"/>
          <w:i w:val="0"/>
          <w:iCs w:val="0"/>
          <w:spacing w:val="1"/>
          <w:kern w:val="2"/>
          <w:sz w:val="24"/>
          <w:szCs w:val="24"/>
          <w:u w:val="none"/>
          <w:lang w:val="en-US" w:eastAsia="zh-CN" w:bidi="ar-SA"/>
        </w:rPr>
        <w:t>员。由此而产生的费</w:t>
      </w:r>
      <w:r>
        <w:rPr>
          <w:rFonts w:hint="eastAsia" w:asciiTheme="minorEastAsia" w:hAnsiTheme="minorEastAsia" w:eastAsiaTheme="minorEastAsia" w:cstheme="minorEastAsia"/>
          <w:i w:val="0"/>
          <w:iCs w:val="0"/>
          <w:spacing w:val="-2"/>
          <w:kern w:val="2"/>
          <w:sz w:val="24"/>
          <w:szCs w:val="24"/>
          <w:u w:val="none"/>
          <w:lang w:val="en-US" w:eastAsia="zh-CN" w:bidi="ar-SA"/>
        </w:rPr>
        <w:t>用由中标供应商承</w:t>
      </w:r>
      <w:r>
        <w:rPr>
          <w:rFonts w:hint="eastAsia" w:asciiTheme="minorEastAsia" w:hAnsiTheme="minorEastAsia" w:eastAsiaTheme="minorEastAsia" w:cstheme="minorEastAsia"/>
          <w:i w:val="0"/>
          <w:iCs w:val="0"/>
          <w:spacing w:val="-1"/>
          <w:kern w:val="2"/>
          <w:sz w:val="24"/>
          <w:szCs w:val="24"/>
          <w:u w:val="none"/>
          <w:lang w:val="en-US" w:eastAsia="zh-CN" w:bidi="ar-SA"/>
        </w:rPr>
        <w:t>担。</w:t>
      </w:r>
    </w:p>
    <w:p w14:paraId="32194FB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76" w:firstLineChars="200"/>
        <w:jc w:val="left"/>
        <w:textAlignment w:val="auto"/>
        <w:rPr>
          <w:rFonts w:hint="eastAsia" w:asciiTheme="minorEastAsia" w:hAnsiTheme="minorEastAsia" w:eastAsiaTheme="minorEastAsia" w:cstheme="minorEastAsia"/>
          <w:i w:val="0"/>
          <w:iCs w:val="0"/>
          <w:spacing w:val="-1"/>
          <w:kern w:val="2"/>
          <w:sz w:val="24"/>
          <w:szCs w:val="24"/>
          <w:u w:val="none"/>
          <w:lang w:val="en-US" w:eastAsia="zh-CN" w:bidi="ar-SA"/>
        </w:rPr>
      </w:pPr>
      <w:r>
        <w:rPr>
          <w:rFonts w:hint="eastAsia" w:asciiTheme="minorEastAsia" w:hAnsiTheme="minorEastAsia" w:eastAsiaTheme="minorEastAsia" w:cstheme="minorEastAsia"/>
          <w:i w:val="0"/>
          <w:iCs w:val="0"/>
          <w:spacing w:val="-1"/>
          <w:kern w:val="2"/>
          <w:sz w:val="24"/>
          <w:szCs w:val="24"/>
          <w:u w:val="none"/>
          <w:lang w:val="en-US" w:eastAsia="zh-CN" w:bidi="ar-SA"/>
        </w:rPr>
        <w:t>③中标供应商对</w:t>
      </w:r>
      <w:r>
        <w:rPr>
          <w:rFonts w:hint="eastAsia" w:asciiTheme="minorEastAsia" w:hAnsiTheme="minorEastAsia" w:eastAsiaTheme="minorEastAsia" w:cstheme="minorEastAsia"/>
          <w:i w:val="0"/>
          <w:iCs w:val="0"/>
          <w:spacing w:val="2"/>
          <w:kern w:val="2"/>
          <w:sz w:val="24"/>
          <w:szCs w:val="24"/>
          <w:u w:val="none"/>
          <w:lang w:val="en-US" w:eastAsia="zh-CN" w:bidi="ar-SA"/>
        </w:rPr>
        <w:t>作业现场人员的人身安全负</w:t>
      </w:r>
      <w:r>
        <w:rPr>
          <w:rFonts w:hint="eastAsia" w:asciiTheme="minorEastAsia" w:hAnsiTheme="minorEastAsia" w:eastAsiaTheme="minorEastAsia" w:cstheme="minorEastAsia"/>
          <w:i w:val="0"/>
          <w:iCs w:val="0"/>
          <w:spacing w:val="-1"/>
          <w:kern w:val="2"/>
          <w:sz w:val="24"/>
          <w:szCs w:val="24"/>
          <w:u w:val="none"/>
          <w:lang w:val="en-US" w:eastAsia="zh-CN" w:bidi="ar-SA"/>
        </w:rPr>
        <w:t>全部责任。在项目实施过程中，中标供应商对作业现场的和非作业人</w:t>
      </w:r>
      <w:r>
        <w:rPr>
          <w:rFonts w:hint="eastAsia" w:asciiTheme="minorEastAsia" w:hAnsiTheme="minorEastAsia" w:eastAsiaTheme="minorEastAsia" w:cstheme="minorEastAsia"/>
          <w:i w:val="0"/>
          <w:iCs w:val="0"/>
          <w:spacing w:val="2"/>
          <w:kern w:val="2"/>
          <w:sz w:val="24"/>
          <w:szCs w:val="24"/>
          <w:u w:val="none"/>
          <w:lang w:val="en-US" w:eastAsia="zh-CN" w:bidi="ar-SA"/>
        </w:rPr>
        <w:t>员的人身责任造成的</w:t>
      </w:r>
      <w:r>
        <w:rPr>
          <w:rFonts w:hint="eastAsia" w:asciiTheme="minorEastAsia" w:hAnsiTheme="minorEastAsia" w:eastAsiaTheme="minorEastAsia" w:cstheme="minorEastAsia"/>
          <w:i w:val="0"/>
          <w:iCs w:val="0"/>
          <w:spacing w:val="-1"/>
          <w:kern w:val="2"/>
          <w:sz w:val="24"/>
          <w:szCs w:val="24"/>
          <w:u w:val="none"/>
          <w:lang w:val="en-US" w:eastAsia="zh-CN" w:bidi="ar-SA"/>
        </w:rPr>
        <w:t>伤、残、亡事故，要立即向</w:t>
      </w:r>
      <w:r>
        <w:rPr>
          <w:rFonts w:hint="eastAsia" w:asciiTheme="minorEastAsia" w:hAnsiTheme="minorEastAsia" w:cstheme="minorEastAsia"/>
          <w:i w:val="0"/>
          <w:iCs w:val="0"/>
          <w:spacing w:val="-1"/>
          <w:kern w:val="2"/>
          <w:sz w:val="24"/>
          <w:szCs w:val="24"/>
          <w:u w:val="none"/>
          <w:lang w:val="en-US" w:eastAsia="zh-CN" w:bidi="ar-SA"/>
        </w:rPr>
        <w:t>采购人</w:t>
      </w:r>
      <w:r>
        <w:rPr>
          <w:rFonts w:hint="eastAsia" w:asciiTheme="minorEastAsia" w:hAnsiTheme="minorEastAsia" w:eastAsiaTheme="minorEastAsia" w:cstheme="minorEastAsia"/>
          <w:i w:val="0"/>
          <w:iCs w:val="0"/>
          <w:spacing w:val="-1"/>
          <w:kern w:val="2"/>
          <w:sz w:val="24"/>
          <w:szCs w:val="24"/>
          <w:u w:val="none"/>
          <w:lang w:val="en-US" w:eastAsia="zh-CN" w:bidi="ar-SA"/>
        </w:rPr>
        <w:t>报</w:t>
      </w:r>
      <w:r>
        <w:rPr>
          <w:rFonts w:hint="eastAsia" w:asciiTheme="minorEastAsia" w:hAnsiTheme="minorEastAsia" w:eastAsiaTheme="minorEastAsia" w:cstheme="minorEastAsia"/>
          <w:i w:val="0"/>
          <w:iCs w:val="0"/>
          <w:spacing w:val="1"/>
          <w:kern w:val="2"/>
          <w:sz w:val="24"/>
          <w:szCs w:val="24"/>
          <w:u w:val="none"/>
          <w:lang w:val="en-US" w:eastAsia="zh-CN" w:bidi="ar-SA"/>
        </w:rPr>
        <w:t>告，同时由中标供应商参照国家现行规定负责处理，并负责事故人员及家属的全部经济赔偿。如果供应商需向第三人追偿，依照法律规定</w:t>
      </w:r>
      <w:r>
        <w:rPr>
          <w:rFonts w:hint="eastAsia" w:asciiTheme="minorEastAsia" w:hAnsiTheme="minorEastAsia" w:eastAsiaTheme="minorEastAsia" w:cstheme="minorEastAsia"/>
          <w:i w:val="0"/>
          <w:iCs w:val="0"/>
          <w:spacing w:val="-1"/>
          <w:kern w:val="2"/>
          <w:sz w:val="24"/>
          <w:szCs w:val="24"/>
          <w:u w:val="none"/>
          <w:lang w:val="en-US" w:eastAsia="zh-CN" w:bidi="ar-SA"/>
        </w:rPr>
        <w:t>。</w:t>
      </w:r>
    </w:p>
    <w:p w14:paraId="530A9A7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76" w:firstLineChars="200"/>
        <w:jc w:val="left"/>
        <w:textAlignment w:val="auto"/>
        <w:rPr>
          <w:rFonts w:hint="eastAsia" w:asciiTheme="minorEastAsia" w:hAnsiTheme="minorEastAsia" w:eastAsiaTheme="minorEastAsia" w:cstheme="minorEastAsia"/>
          <w:i w:val="0"/>
          <w:iCs w:val="0"/>
          <w:kern w:val="2"/>
          <w:sz w:val="24"/>
          <w:szCs w:val="24"/>
          <w:u w:val="none"/>
          <w:lang w:val="en-US" w:eastAsia="zh-CN" w:bidi="ar-SA"/>
        </w:rPr>
      </w:pPr>
      <w:r>
        <w:rPr>
          <w:rFonts w:hint="eastAsia" w:asciiTheme="minorEastAsia" w:hAnsiTheme="minorEastAsia" w:eastAsiaTheme="minorEastAsia" w:cstheme="minorEastAsia"/>
          <w:i w:val="0"/>
          <w:iCs w:val="0"/>
          <w:spacing w:val="-1"/>
          <w:kern w:val="2"/>
          <w:sz w:val="24"/>
          <w:szCs w:val="24"/>
          <w:u w:val="none"/>
          <w:lang w:val="en-US" w:eastAsia="zh-CN" w:bidi="ar-SA"/>
        </w:rPr>
        <w:t>④中标供应商人</w:t>
      </w:r>
      <w:r>
        <w:rPr>
          <w:rFonts w:hint="eastAsia" w:asciiTheme="minorEastAsia" w:hAnsiTheme="minorEastAsia" w:eastAsiaTheme="minorEastAsia" w:cstheme="minorEastAsia"/>
          <w:i w:val="0"/>
          <w:iCs w:val="0"/>
          <w:spacing w:val="4"/>
          <w:kern w:val="2"/>
          <w:sz w:val="24"/>
          <w:szCs w:val="24"/>
          <w:u w:val="none"/>
          <w:lang w:val="en-US" w:eastAsia="zh-CN" w:bidi="ar-SA"/>
        </w:rPr>
        <w:t>员进场前，须将项目</w:t>
      </w:r>
      <w:r>
        <w:rPr>
          <w:rFonts w:hint="eastAsia" w:asciiTheme="minorEastAsia" w:hAnsiTheme="minorEastAsia" w:eastAsiaTheme="minorEastAsia" w:cstheme="minorEastAsia"/>
          <w:i w:val="0"/>
          <w:iCs w:val="0"/>
          <w:spacing w:val="1"/>
          <w:kern w:val="2"/>
          <w:sz w:val="24"/>
          <w:szCs w:val="24"/>
          <w:u w:val="none"/>
          <w:lang w:val="en-US" w:eastAsia="zh-CN" w:bidi="ar-SA"/>
        </w:rPr>
        <w:t>管理人员名单，包含</w:t>
      </w:r>
      <w:r>
        <w:rPr>
          <w:rFonts w:hint="eastAsia" w:asciiTheme="minorEastAsia" w:hAnsiTheme="minorEastAsia" w:eastAsiaTheme="minorEastAsia" w:cstheme="minorEastAsia"/>
          <w:i w:val="0"/>
          <w:iCs w:val="0"/>
          <w:spacing w:val="10"/>
          <w:kern w:val="2"/>
          <w:sz w:val="24"/>
          <w:szCs w:val="24"/>
          <w:u w:val="none"/>
          <w:lang w:val="en-US" w:eastAsia="zh-CN" w:bidi="ar-SA"/>
        </w:rPr>
        <w:t>管理人员基本信息、</w:t>
      </w:r>
      <w:r>
        <w:rPr>
          <w:rFonts w:hint="eastAsia" w:asciiTheme="minorEastAsia" w:hAnsiTheme="minorEastAsia" w:eastAsiaTheme="minorEastAsia" w:cstheme="minorEastAsia"/>
          <w:i w:val="0"/>
          <w:iCs w:val="0"/>
          <w:spacing w:val="1"/>
          <w:kern w:val="2"/>
          <w:sz w:val="24"/>
          <w:szCs w:val="24"/>
          <w:u w:val="none"/>
          <w:lang w:val="en-US" w:eastAsia="zh-CN" w:bidi="ar-SA"/>
        </w:rPr>
        <w:t>联系方式、资质以及工人数量等，送</w:t>
      </w:r>
      <w:r>
        <w:rPr>
          <w:rFonts w:hint="eastAsia" w:asciiTheme="minorEastAsia" w:hAnsiTheme="minorEastAsia" w:cstheme="minorEastAsia"/>
          <w:i w:val="0"/>
          <w:iCs w:val="0"/>
          <w:spacing w:val="1"/>
          <w:kern w:val="2"/>
          <w:sz w:val="24"/>
          <w:szCs w:val="24"/>
          <w:u w:val="none"/>
          <w:lang w:val="en-US" w:eastAsia="zh-CN" w:bidi="ar-SA"/>
        </w:rPr>
        <w:t>采购人</w:t>
      </w:r>
      <w:r>
        <w:rPr>
          <w:rFonts w:hint="eastAsia" w:asciiTheme="minorEastAsia" w:hAnsiTheme="minorEastAsia" w:eastAsiaTheme="minorEastAsia" w:cstheme="minorEastAsia"/>
          <w:i w:val="0"/>
          <w:iCs w:val="0"/>
          <w:spacing w:val="-2"/>
          <w:kern w:val="2"/>
          <w:sz w:val="24"/>
          <w:szCs w:val="24"/>
          <w:u w:val="none"/>
          <w:lang w:val="en-US" w:eastAsia="zh-CN" w:bidi="ar-SA"/>
        </w:rPr>
        <w:t>和监理单位备案。</w:t>
      </w:r>
    </w:p>
    <w:p w14:paraId="31A93C67">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2" w:firstLineChars="200"/>
        <w:jc w:val="both"/>
        <w:textAlignment w:val="baseline"/>
        <w:rPr>
          <w:rFonts w:hint="eastAsia" w:asciiTheme="minorEastAsia" w:hAnsiTheme="minorEastAsia" w:eastAsiaTheme="minorEastAsia" w:cstheme="minorEastAsia"/>
          <w:b/>
          <w:bCs/>
          <w:i w:val="0"/>
          <w:iCs w:val="0"/>
          <w:kern w:val="2"/>
          <w:sz w:val="24"/>
          <w:szCs w:val="24"/>
          <w:u w:val="none"/>
          <w:lang w:val="en-US" w:eastAsia="zh-CN" w:bidi="ar-SA"/>
        </w:rPr>
      </w:pPr>
      <w:r>
        <w:rPr>
          <w:rFonts w:hint="eastAsia" w:asciiTheme="minorEastAsia" w:hAnsiTheme="minorEastAsia" w:eastAsiaTheme="minorEastAsia" w:cstheme="minorEastAsia"/>
          <w:b/>
          <w:bCs/>
          <w:i w:val="0"/>
          <w:iCs w:val="0"/>
          <w:kern w:val="2"/>
          <w:sz w:val="24"/>
          <w:szCs w:val="24"/>
          <w:u w:val="none"/>
          <w:lang w:val="en-US" w:eastAsia="zh-CN" w:bidi="ar-SA"/>
        </w:rPr>
        <w:t>（10）违约责任</w:t>
      </w:r>
    </w:p>
    <w:p w14:paraId="7A64F79C">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2" w:firstLineChars="200"/>
        <w:jc w:val="both"/>
        <w:textAlignment w:val="baseline"/>
        <w:rPr>
          <w:rFonts w:hint="eastAsia" w:asciiTheme="minorEastAsia" w:hAnsiTheme="minorEastAsia" w:eastAsiaTheme="minorEastAsia" w:cstheme="minorEastAsia"/>
          <w:color w:val="000000"/>
          <w:spacing w:val="1"/>
          <w:kern w:val="2"/>
          <w:sz w:val="24"/>
          <w:szCs w:val="24"/>
          <w:lang w:val="en-US" w:eastAsia="zh-CN" w:bidi="ar-SA"/>
        </w:rPr>
      </w:pPr>
      <w:r>
        <w:rPr>
          <w:rFonts w:hint="eastAsia" w:asciiTheme="minorEastAsia" w:hAnsiTheme="minorEastAsia" w:eastAsiaTheme="minorEastAsia" w:cstheme="minorEastAsia"/>
          <w:b/>
          <w:bCs/>
          <w:i w:val="0"/>
          <w:iCs w:val="0"/>
          <w:color w:val="000000"/>
          <w:kern w:val="2"/>
          <w:sz w:val="24"/>
          <w:szCs w:val="24"/>
          <w:u w:val="none"/>
          <w:lang w:val="en-US" w:eastAsia="zh-CN" w:bidi="ar-SA"/>
        </w:rPr>
        <w:t>①</w:t>
      </w:r>
      <w:r>
        <w:rPr>
          <w:rFonts w:hint="eastAsia" w:asciiTheme="minorEastAsia" w:hAnsiTheme="minorEastAsia" w:eastAsiaTheme="minorEastAsia" w:cstheme="minorEastAsia"/>
          <w:color w:val="000000"/>
          <w:spacing w:val="1"/>
          <w:kern w:val="2"/>
          <w:sz w:val="24"/>
          <w:szCs w:val="24"/>
          <w:lang w:val="en-US" w:eastAsia="en-US" w:bidi="ar-SA"/>
        </w:rPr>
        <w:t>中标供应商未按要</w:t>
      </w:r>
      <w:r>
        <w:rPr>
          <w:rFonts w:hint="eastAsia" w:asciiTheme="minorEastAsia" w:hAnsiTheme="minorEastAsia" w:eastAsiaTheme="minorEastAsia" w:cstheme="minorEastAsia"/>
          <w:color w:val="000000"/>
          <w:spacing w:val="-1"/>
          <w:kern w:val="2"/>
          <w:sz w:val="24"/>
          <w:szCs w:val="24"/>
          <w:lang w:val="en-US" w:eastAsia="en-US" w:bidi="ar-SA"/>
        </w:rPr>
        <w:t>求履行核心合同义务</w:t>
      </w:r>
      <w:r>
        <w:rPr>
          <w:rFonts w:hint="eastAsia" w:asciiTheme="minorEastAsia" w:hAnsiTheme="minorEastAsia" w:eastAsiaTheme="minorEastAsia" w:cstheme="minorEastAsia"/>
          <w:color w:val="000000"/>
          <w:spacing w:val="1"/>
          <w:kern w:val="2"/>
          <w:sz w:val="24"/>
          <w:szCs w:val="24"/>
          <w:lang w:val="en-US" w:eastAsia="en-US" w:bidi="ar-SA"/>
        </w:rPr>
        <w:t>(包括但不限于未按</w:t>
      </w:r>
      <w:r>
        <w:rPr>
          <w:rFonts w:hint="eastAsia" w:asciiTheme="minorEastAsia" w:hAnsiTheme="minorEastAsia" w:eastAsiaTheme="minorEastAsia" w:cstheme="minorEastAsia"/>
          <w:color w:val="000000"/>
          <w:spacing w:val="-17"/>
          <w:kern w:val="2"/>
          <w:sz w:val="24"/>
          <w:szCs w:val="24"/>
          <w:lang w:val="en-US" w:eastAsia="en-US" w:bidi="ar-SA"/>
        </w:rPr>
        <w:t>约定完成造林、修复、</w:t>
      </w:r>
      <w:r>
        <w:rPr>
          <w:rFonts w:hint="eastAsia" w:asciiTheme="minorEastAsia" w:hAnsiTheme="minorEastAsia" w:eastAsiaTheme="minorEastAsia" w:cstheme="minorEastAsia"/>
          <w:color w:val="000000"/>
          <w:spacing w:val="2"/>
          <w:kern w:val="2"/>
          <w:sz w:val="24"/>
          <w:szCs w:val="24"/>
          <w:lang w:val="en-US" w:eastAsia="en-US" w:bidi="ar-SA"/>
        </w:rPr>
        <w:t>抚育任务、未达到约</w:t>
      </w:r>
      <w:r>
        <w:rPr>
          <w:rFonts w:hint="eastAsia" w:asciiTheme="minorEastAsia" w:hAnsiTheme="minorEastAsia" w:eastAsiaTheme="minorEastAsia" w:cstheme="minorEastAsia"/>
          <w:color w:val="000000"/>
          <w:kern w:val="2"/>
          <w:sz w:val="24"/>
          <w:szCs w:val="24"/>
          <w:lang w:val="en-US" w:eastAsia="en-US" w:bidi="ar-SA"/>
        </w:rPr>
        <w:t>定质量标准等)时，</w:t>
      </w:r>
      <w:r>
        <w:rPr>
          <w:rFonts w:hint="eastAsia" w:asciiTheme="minorEastAsia" w:hAnsiTheme="minorEastAsia" w:eastAsiaTheme="minorEastAsia" w:cstheme="minorEastAsia"/>
          <w:color w:val="000000"/>
          <w:spacing w:val="4"/>
          <w:kern w:val="2"/>
          <w:sz w:val="24"/>
          <w:szCs w:val="24"/>
          <w:lang w:val="en-US" w:eastAsia="en-US" w:bidi="ar-SA"/>
        </w:rPr>
        <w:t>须从违约之日起每日</w:t>
      </w:r>
      <w:r>
        <w:rPr>
          <w:rFonts w:hint="eastAsia" w:asciiTheme="minorEastAsia" w:hAnsiTheme="minorEastAsia" w:eastAsiaTheme="minorEastAsia" w:cstheme="minorEastAsia"/>
          <w:color w:val="000000"/>
          <w:spacing w:val="-1"/>
          <w:kern w:val="2"/>
          <w:sz w:val="24"/>
          <w:szCs w:val="24"/>
          <w:lang w:val="en-US" w:eastAsia="en-US" w:bidi="ar-SA"/>
        </w:rPr>
        <w:t>按对应未履行部分合</w:t>
      </w:r>
      <w:r>
        <w:rPr>
          <w:rFonts w:hint="eastAsia" w:asciiTheme="minorEastAsia" w:hAnsiTheme="minorEastAsia" w:eastAsiaTheme="minorEastAsia" w:cstheme="minorEastAsia"/>
          <w:color w:val="000000"/>
          <w:spacing w:val="2"/>
          <w:kern w:val="2"/>
          <w:sz w:val="24"/>
          <w:szCs w:val="24"/>
          <w:lang w:val="en-US" w:eastAsia="en-US" w:bidi="ar-SA"/>
        </w:rPr>
        <w:t>同金额的</w:t>
      </w:r>
      <w:r>
        <w:rPr>
          <w:rFonts w:hint="eastAsia" w:asciiTheme="minorEastAsia" w:hAnsiTheme="minorEastAsia" w:eastAsiaTheme="minorEastAsia" w:cstheme="minorEastAsia"/>
          <w:color w:val="000000"/>
          <w:spacing w:val="2"/>
          <w:kern w:val="2"/>
          <w:sz w:val="24"/>
          <w:szCs w:val="24"/>
          <w:lang w:val="en-US" w:eastAsia="zh-CN" w:bidi="ar-SA"/>
        </w:rPr>
        <w:t>1</w:t>
      </w:r>
      <w:r>
        <w:rPr>
          <w:rFonts w:hint="eastAsia" w:asciiTheme="minorEastAsia" w:hAnsiTheme="minorEastAsia" w:eastAsiaTheme="minorEastAsia" w:cstheme="minorEastAsia"/>
          <w:color w:val="000000"/>
          <w:spacing w:val="2"/>
          <w:kern w:val="2"/>
          <w:sz w:val="24"/>
          <w:szCs w:val="24"/>
          <w:lang w:val="en-US" w:eastAsia="en-US" w:bidi="ar-SA"/>
        </w:rPr>
        <w:t>‰的比例向采购人支付违约</w:t>
      </w:r>
      <w:r>
        <w:rPr>
          <w:rFonts w:hint="eastAsia" w:asciiTheme="minorEastAsia" w:hAnsiTheme="minorEastAsia" w:eastAsiaTheme="minorEastAsia" w:cstheme="minorEastAsia"/>
          <w:color w:val="000000"/>
          <w:spacing w:val="1"/>
          <w:kern w:val="2"/>
          <w:sz w:val="24"/>
          <w:szCs w:val="24"/>
          <w:lang w:val="en-US" w:eastAsia="en-US" w:bidi="ar-SA"/>
        </w:rPr>
        <w:t>金；逾期达</w:t>
      </w:r>
      <w:r>
        <w:rPr>
          <w:rFonts w:hint="eastAsia" w:asciiTheme="minorEastAsia" w:hAnsiTheme="minorEastAsia" w:eastAsiaTheme="minorEastAsia" w:cstheme="minorEastAsia"/>
          <w:b/>
          <w:bCs/>
          <w:color w:val="000000"/>
          <w:spacing w:val="1"/>
          <w:kern w:val="2"/>
          <w:sz w:val="24"/>
          <w:szCs w:val="24"/>
          <w:u w:val="single"/>
          <w:lang w:val="en-US" w:eastAsia="zh-CN" w:bidi="ar-SA"/>
        </w:rPr>
        <w:t xml:space="preserve"> 15 </w:t>
      </w:r>
      <w:r>
        <w:rPr>
          <w:rFonts w:hint="eastAsia" w:asciiTheme="minorEastAsia" w:hAnsiTheme="minorEastAsia" w:eastAsiaTheme="minorEastAsia" w:cstheme="minorEastAsia"/>
          <w:b/>
          <w:bCs/>
          <w:color w:val="000000"/>
          <w:spacing w:val="1"/>
          <w:kern w:val="2"/>
          <w:sz w:val="24"/>
          <w:szCs w:val="24"/>
          <w:lang w:val="en-US" w:eastAsia="en-US" w:bidi="ar-SA"/>
        </w:rPr>
        <w:t>个</w:t>
      </w:r>
      <w:r>
        <w:rPr>
          <w:rFonts w:hint="eastAsia" w:asciiTheme="minorEastAsia" w:hAnsiTheme="minorEastAsia" w:eastAsiaTheme="minorEastAsia" w:cstheme="minorEastAsia"/>
          <w:color w:val="000000"/>
          <w:spacing w:val="1"/>
          <w:kern w:val="2"/>
          <w:sz w:val="24"/>
          <w:szCs w:val="24"/>
          <w:lang w:val="en-US" w:eastAsia="en-US" w:bidi="ar-SA"/>
        </w:rPr>
        <w:t>日历</w:t>
      </w:r>
      <w:r>
        <w:rPr>
          <w:rFonts w:hint="eastAsia" w:asciiTheme="minorEastAsia" w:hAnsiTheme="minorEastAsia" w:eastAsiaTheme="minorEastAsia" w:cstheme="minorEastAsia"/>
          <w:color w:val="000000"/>
          <w:kern w:val="2"/>
          <w:sz w:val="24"/>
          <w:szCs w:val="24"/>
          <w:lang w:val="en-US" w:eastAsia="en-US" w:bidi="ar-SA"/>
        </w:rPr>
        <w:t>日时，采购人有权终</w:t>
      </w:r>
      <w:r>
        <w:rPr>
          <w:rFonts w:hint="eastAsia" w:asciiTheme="minorEastAsia" w:hAnsiTheme="minorEastAsia" w:eastAsiaTheme="minorEastAsia" w:cstheme="minorEastAsia"/>
          <w:color w:val="000000"/>
          <w:spacing w:val="-1"/>
          <w:kern w:val="2"/>
          <w:sz w:val="24"/>
          <w:szCs w:val="24"/>
          <w:lang w:val="en-US" w:eastAsia="en-US" w:bidi="ar-SA"/>
        </w:rPr>
        <w:t>止合同，由此造成采</w:t>
      </w:r>
      <w:r>
        <w:rPr>
          <w:rFonts w:hint="eastAsia" w:asciiTheme="minorEastAsia" w:hAnsiTheme="minorEastAsia" w:eastAsiaTheme="minorEastAsia" w:cstheme="minorEastAsia"/>
          <w:color w:val="000000"/>
          <w:spacing w:val="2"/>
          <w:kern w:val="2"/>
          <w:sz w:val="24"/>
          <w:szCs w:val="24"/>
          <w:lang w:val="en-US" w:eastAsia="en-US" w:bidi="ar-SA"/>
        </w:rPr>
        <w:t>购人的经济损失由中标供应商承担。违约</w:t>
      </w:r>
      <w:r>
        <w:rPr>
          <w:rFonts w:hint="eastAsia" w:asciiTheme="minorEastAsia" w:hAnsiTheme="minorEastAsia" w:eastAsiaTheme="minorEastAsia" w:cstheme="minorEastAsia"/>
          <w:color w:val="000000"/>
          <w:spacing w:val="1"/>
          <w:kern w:val="2"/>
          <w:sz w:val="24"/>
          <w:szCs w:val="24"/>
          <w:lang w:val="en-US" w:eastAsia="en-US" w:bidi="ar-SA"/>
        </w:rPr>
        <w:t>金不足以弥补损失的，中标供应商应按</w:t>
      </w:r>
      <w:r>
        <w:rPr>
          <w:rFonts w:hint="eastAsia" w:asciiTheme="minorEastAsia" w:hAnsiTheme="minorEastAsia" w:eastAsiaTheme="minorEastAsia" w:cstheme="minorEastAsia"/>
          <w:color w:val="000000"/>
          <w:spacing w:val="2"/>
          <w:kern w:val="2"/>
          <w:sz w:val="24"/>
          <w:szCs w:val="24"/>
          <w:lang w:val="en-US" w:eastAsia="en-US" w:bidi="ar-SA"/>
        </w:rPr>
        <w:t>全额赔偿。</w:t>
      </w:r>
    </w:p>
    <w:p w14:paraId="1E9CD8F0">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512" w:firstLineChars="200"/>
        <w:jc w:val="both"/>
        <w:textAlignment w:val="baseline"/>
        <w:rPr>
          <w:rFonts w:hint="eastAsia" w:asciiTheme="minorEastAsia" w:hAnsiTheme="minorEastAsia" w:eastAsiaTheme="minorEastAsia" w:cstheme="minorEastAsia"/>
          <w:color w:val="000000"/>
          <w:spacing w:val="1"/>
          <w:kern w:val="2"/>
          <w:sz w:val="24"/>
          <w:szCs w:val="24"/>
          <w:lang w:val="en-US" w:eastAsia="zh-CN" w:bidi="ar-SA"/>
        </w:rPr>
      </w:pPr>
      <w:r>
        <w:rPr>
          <w:rFonts w:hint="eastAsia" w:asciiTheme="minorEastAsia" w:hAnsiTheme="minorEastAsia" w:eastAsiaTheme="minorEastAsia" w:cstheme="minorEastAsia"/>
          <w:color w:val="000000"/>
          <w:spacing w:val="8"/>
          <w:kern w:val="2"/>
          <w:sz w:val="24"/>
          <w:szCs w:val="24"/>
          <w:lang w:val="en-US" w:eastAsia="zh-CN" w:bidi="ar-SA"/>
        </w:rPr>
        <w:t>②</w:t>
      </w:r>
      <w:r>
        <w:rPr>
          <w:rFonts w:hint="eastAsia" w:asciiTheme="minorEastAsia" w:hAnsiTheme="minorEastAsia" w:eastAsiaTheme="minorEastAsia" w:cstheme="minorEastAsia"/>
          <w:color w:val="000000"/>
          <w:spacing w:val="1"/>
          <w:kern w:val="2"/>
          <w:sz w:val="24"/>
          <w:szCs w:val="24"/>
          <w:lang w:val="en-US" w:eastAsia="en-US" w:bidi="ar-SA"/>
        </w:rPr>
        <w:t>因中标供应商原因导</w:t>
      </w:r>
      <w:r>
        <w:rPr>
          <w:rFonts w:hint="eastAsia" w:asciiTheme="minorEastAsia" w:hAnsiTheme="minorEastAsia" w:eastAsiaTheme="minorEastAsia" w:cstheme="minorEastAsia"/>
          <w:color w:val="000000"/>
          <w:spacing w:val="-1"/>
          <w:kern w:val="2"/>
          <w:sz w:val="24"/>
          <w:szCs w:val="24"/>
          <w:lang w:val="en-US" w:eastAsia="en-US" w:bidi="ar-SA"/>
        </w:rPr>
        <w:t>致项目分部工程未达</w:t>
      </w:r>
      <w:r>
        <w:rPr>
          <w:rFonts w:hint="eastAsia" w:asciiTheme="minorEastAsia" w:hAnsiTheme="minorEastAsia" w:eastAsiaTheme="minorEastAsia" w:cstheme="minorEastAsia"/>
          <w:color w:val="000000"/>
          <w:kern w:val="2"/>
          <w:sz w:val="24"/>
          <w:szCs w:val="24"/>
          <w:lang w:val="en-US" w:eastAsia="en-US" w:bidi="ar-SA"/>
        </w:rPr>
        <w:t>到合同约定的质量标</w:t>
      </w:r>
      <w:r>
        <w:rPr>
          <w:rFonts w:hint="eastAsia" w:asciiTheme="minorEastAsia" w:hAnsiTheme="minorEastAsia" w:eastAsiaTheme="minorEastAsia" w:cstheme="minorEastAsia"/>
          <w:color w:val="000000"/>
          <w:spacing w:val="1"/>
          <w:kern w:val="2"/>
          <w:sz w:val="24"/>
          <w:szCs w:val="24"/>
          <w:lang w:val="en-US" w:eastAsia="en-US" w:bidi="ar-SA"/>
        </w:rPr>
        <w:t>准，中标供应商应</w:t>
      </w:r>
      <w:r>
        <w:rPr>
          <w:rFonts w:hint="eastAsia" w:asciiTheme="minorEastAsia" w:hAnsiTheme="minorEastAsia" w:eastAsiaTheme="minorEastAsia" w:cstheme="minorEastAsia"/>
          <w:color w:val="000000"/>
          <w:spacing w:val="1"/>
          <w:kern w:val="2"/>
          <w:sz w:val="24"/>
          <w:szCs w:val="24"/>
          <w:lang w:val="en-US" w:eastAsia="zh-CN" w:bidi="ar-SA"/>
        </w:rPr>
        <w:t>在</w:t>
      </w:r>
      <w:r>
        <w:rPr>
          <w:rFonts w:hint="eastAsia" w:asciiTheme="minorEastAsia" w:hAnsiTheme="minorEastAsia" w:eastAsiaTheme="minorEastAsia" w:cstheme="minorEastAsia"/>
          <w:color w:val="000000"/>
          <w:spacing w:val="3"/>
          <w:kern w:val="2"/>
          <w:sz w:val="24"/>
          <w:szCs w:val="24"/>
          <w:lang w:val="en-US" w:eastAsia="en-US" w:bidi="ar-SA"/>
        </w:rPr>
        <w:t>采购人要求的期限内</w:t>
      </w:r>
      <w:r>
        <w:rPr>
          <w:rFonts w:hint="eastAsia" w:asciiTheme="minorEastAsia" w:hAnsiTheme="minorEastAsia" w:eastAsiaTheme="minorEastAsia" w:cstheme="minorEastAsia"/>
          <w:color w:val="000000"/>
          <w:kern w:val="2"/>
          <w:sz w:val="24"/>
          <w:szCs w:val="24"/>
          <w:lang w:val="en-US" w:eastAsia="en-US" w:bidi="ar-SA"/>
        </w:rPr>
        <w:t>负责整改，累计三次</w:t>
      </w:r>
      <w:r>
        <w:rPr>
          <w:rFonts w:hint="eastAsia" w:asciiTheme="minorEastAsia" w:hAnsiTheme="minorEastAsia" w:eastAsiaTheme="minorEastAsia" w:cstheme="minorEastAsia"/>
          <w:color w:val="000000"/>
          <w:spacing w:val="-1"/>
          <w:kern w:val="2"/>
          <w:sz w:val="24"/>
          <w:szCs w:val="24"/>
          <w:lang w:val="en-US" w:eastAsia="en-US" w:bidi="ar-SA"/>
        </w:rPr>
        <w:t>整改不符合质量标准</w:t>
      </w:r>
      <w:r>
        <w:rPr>
          <w:rFonts w:hint="eastAsia" w:asciiTheme="minorEastAsia" w:hAnsiTheme="minorEastAsia" w:eastAsiaTheme="minorEastAsia" w:cstheme="minorEastAsia"/>
          <w:color w:val="000000"/>
          <w:spacing w:val="2"/>
          <w:kern w:val="2"/>
          <w:sz w:val="24"/>
          <w:szCs w:val="24"/>
          <w:lang w:val="en-US" w:eastAsia="en-US" w:bidi="ar-SA"/>
        </w:rPr>
        <w:t>按合同价款的</w:t>
      </w:r>
      <w:r>
        <w:rPr>
          <w:rFonts w:hint="eastAsia" w:asciiTheme="minorEastAsia" w:hAnsiTheme="minorEastAsia" w:eastAsiaTheme="minorEastAsia" w:cstheme="minorEastAsia"/>
          <w:b/>
          <w:bCs/>
          <w:color w:val="000000"/>
          <w:spacing w:val="2"/>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2"/>
          <w:kern w:val="2"/>
          <w:sz w:val="24"/>
          <w:szCs w:val="24"/>
          <w:u w:val="single"/>
          <w:lang w:val="en-US" w:eastAsia="en-US" w:bidi="ar-SA"/>
        </w:rPr>
        <w:t>5</w:t>
      </w:r>
      <w:r>
        <w:rPr>
          <w:rFonts w:hint="eastAsia" w:asciiTheme="minorEastAsia" w:hAnsiTheme="minorEastAsia" w:eastAsiaTheme="minorEastAsia" w:cstheme="minorEastAsia"/>
          <w:b/>
          <w:bCs/>
          <w:color w:val="000000"/>
          <w:spacing w:val="2"/>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2"/>
          <w:kern w:val="2"/>
          <w:sz w:val="24"/>
          <w:szCs w:val="24"/>
          <w:u w:val="single"/>
          <w:lang w:val="en-US" w:eastAsia="en-US" w:bidi="ar-SA"/>
        </w:rPr>
        <w:t>%</w:t>
      </w:r>
      <w:r>
        <w:rPr>
          <w:rFonts w:hint="eastAsia" w:asciiTheme="minorEastAsia" w:hAnsiTheme="minorEastAsia" w:eastAsiaTheme="minorEastAsia" w:cstheme="minorEastAsia"/>
          <w:color w:val="000000"/>
          <w:spacing w:val="2"/>
          <w:kern w:val="2"/>
          <w:sz w:val="24"/>
          <w:szCs w:val="24"/>
          <w:lang w:val="en-US" w:eastAsia="en-US" w:bidi="ar-SA"/>
        </w:rPr>
        <w:t>向</w:t>
      </w:r>
      <w:r>
        <w:rPr>
          <w:rFonts w:hint="eastAsia" w:asciiTheme="minorEastAsia" w:hAnsiTheme="minorEastAsia" w:eastAsiaTheme="minorEastAsia" w:cstheme="minorEastAsia"/>
          <w:color w:val="000000"/>
          <w:kern w:val="2"/>
          <w:sz w:val="24"/>
          <w:szCs w:val="24"/>
          <w:lang w:val="en-US" w:eastAsia="en-US" w:bidi="ar-SA"/>
        </w:rPr>
        <w:t>采购人支付违约金，</w:t>
      </w:r>
      <w:r>
        <w:rPr>
          <w:rFonts w:hint="eastAsia" w:asciiTheme="minorEastAsia" w:hAnsiTheme="minorEastAsia" w:eastAsiaTheme="minorEastAsia" w:cstheme="minorEastAsia"/>
          <w:color w:val="000000"/>
          <w:spacing w:val="-1"/>
          <w:kern w:val="2"/>
          <w:sz w:val="24"/>
          <w:szCs w:val="24"/>
          <w:lang w:val="en-US" w:eastAsia="en-US" w:bidi="ar-SA"/>
        </w:rPr>
        <w:t>采购人有权要求解除本合同并追究相关违</w:t>
      </w:r>
      <w:r>
        <w:rPr>
          <w:rFonts w:hint="eastAsia" w:asciiTheme="minorEastAsia" w:hAnsiTheme="minorEastAsia" w:eastAsiaTheme="minorEastAsia" w:cstheme="minorEastAsia"/>
          <w:color w:val="000000"/>
          <w:spacing w:val="1"/>
          <w:kern w:val="2"/>
          <w:sz w:val="24"/>
          <w:szCs w:val="24"/>
          <w:lang w:val="en-US" w:eastAsia="en-US" w:bidi="ar-SA"/>
        </w:rPr>
        <w:t>约责任。</w:t>
      </w:r>
      <w:r>
        <w:rPr>
          <w:rFonts w:hint="eastAsia" w:asciiTheme="minorEastAsia" w:hAnsiTheme="minorEastAsia" w:eastAsiaTheme="minorEastAsia" w:cstheme="minorEastAsia"/>
          <w:color w:val="000000"/>
          <w:spacing w:val="1"/>
          <w:kern w:val="2"/>
          <w:sz w:val="24"/>
          <w:szCs w:val="24"/>
          <w:lang w:val="en-US" w:eastAsia="zh-CN" w:bidi="ar-SA"/>
        </w:rPr>
        <w:t xml:space="preserve"> </w:t>
      </w:r>
    </w:p>
    <w:p w14:paraId="2E781315">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4" w:firstLineChars="200"/>
        <w:jc w:val="both"/>
        <w:textAlignment w:val="baseline"/>
        <w:rPr>
          <w:rFonts w:hint="eastAsia" w:asciiTheme="minorEastAsia" w:hAnsiTheme="minorEastAsia" w:eastAsiaTheme="minorEastAsia" w:cstheme="minorEastAsia"/>
          <w:color w:val="000000"/>
          <w:spacing w:val="2"/>
          <w:kern w:val="2"/>
          <w:sz w:val="24"/>
          <w:szCs w:val="24"/>
          <w:lang w:val="en-US" w:eastAsia="en-US" w:bidi="ar-SA"/>
        </w:rPr>
      </w:pPr>
      <w:r>
        <w:rPr>
          <w:rFonts w:hint="eastAsia" w:asciiTheme="minorEastAsia" w:hAnsiTheme="minorEastAsia" w:eastAsiaTheme="minorEastAsia" w:cstheme="minorEastAsia"/>
          <w:color w:val="000000"/>
          <w:spacing w:val="1"/>
          <w:kern w:val="2"/>
          <w:sz w:val="24"/>
          <w:szCs w:val="24"/>
          <w:lang w:val="en-US" w:eastAsia="zh-CN" w:bidi="ar-SA"/>
        </w:rPr>
        <w:t>③</w:t>
      </w:r>
      <w:r>
        <w:rPr>
          <w:rFonts w:hint="eastAsia" w:asciiTheme="minorEastAsia" w:hAnsiTheme="minorEastAsia" w:eastAsiaTheme="minorEastAsia" w:cstheme="minorEastAsia"/>
          <w:color w:val="000000"/>
          <w:spacing w:val="1"/>
          <w:kern w:val="2"/>
          <w:sz w:val="24"/>
          <w:szCs w:val="24"/>
          <w:lang w:val="en-US" w:eastAsia="en-US" w:bidi="ar-SA"/>
        </w:rPr>
        <w:t>中标供应</w:t>
      </w:r>
      <w:r>
        <w:rPr>
          <w:rFonts w:hint="eastAsia" w:asciiTheme="minorEastAsia" w:hAnsiTheme="minorEastAsia" w:eastAsiaTheme="minorEastAsia" w:cstheme="minorEastAsia"/>
          <w:color w:val="000000"/>
          <w:kern w:val="2"/>
          <w:sz w:val="24"/>
          <w:szCs w:val="24"/>
          <w:lang w:val="en-US" w:eastAsia="en-US" w:bidi="ar-SA"/>
        </w:rPr>
        <w:t>商违反本合同约定，</w:t>
      </w:r>
      <w:r>
        <w:rPr>
          <w:rFonts w:hint="eastAsia" w:asciiTheme="minorEastAsia" w:hAnsiTheme="minorEastAsia" w:eastAsiaTheme="minorEastAsia" w:cstheme="minorEastAsia"/>
          <w:color w:val="000000"/>
          <w:spacing w:val="-1"/>
          <w:kern w:val="2"/>
          <w:sz w:val="24"/>
          <w:szCs w:val="24"/>
          <w:lang w:val="en-US" w:eastAsia="en-US" w:bidi="ar-SA"/>
        </w:rPr>
        <w:t>存在违法转包或挂</w:t>
      </w:r>
      <w:r>
        <w:rPr>
          <w:rFonts w:hint="eastAsia" w:asciiTheme="minorEastAsia" w:hAnsiTheme="minorEastAsia" w:eastAsiaTheme="minorEastAsia" w:cstheme="minorEastAsia"/>
          <w:color w:val="000000"/>
          <w:spacing w:val="-8"/>
          <w:kern w:val="2"/>
          <w:sz w:val="24"/>
          <w:szCs w:val="24"/>
          <w:lang w:val="en-US" w:eastAsia="en-US" w:bidi="ar-SA"/>
        </w:rPr>
        <w:t>靠，违法分包等情形，</w:t>
      </w:r>
      <w:r>
        <w:rPr>
          <w:rFonts w:hint="eastAsia" w:asciiTheme="minorEastAsia" w:hAnsiTheme="minorEastAsia" w:eastAsiaTheme="minorEastAsia" w:cstheme="minorEastAsia"/>
          <w:color w:val="000000"/>
          <w:spacing w:val="-1"/>
          <w:kern w:val="2"/>
          <w:sz w:val="24"/>
          <w:szCs w:val="24"/>
          <w:lang w:val="en-US" w:eastAsia="en-US" w:bidi="ar-SA"/>
        </w:rPr>
        <w:t>采购人有权选择解除</w:t>
      </w:r>
      <w:r>
        <w:rPr>
          <w:rFonts w:hint="eastAsia" w:asciiTheme="minorEastAsia" w:hAnsiTheme="minorEastAsia" w:eastAsiaTheme="minorEastAsia" w:cstheme="minorEastAsia"/>
          <w:color w:val="000000"/>
          <w:kern w:val="2"/>
          <w:sz w:val="24"/>
          <w:szCs w:val="24"/>
          <w:lang w:val="en-US" w:eastAsia="en-US" w:bidi="ar-SA"/>
        </w:rPr>
        <w:t>本合同，</w:t>
      </w:r>
      <w:r>
        <w:rPr>
          <w:rFonts w:hint="eastAsia" w:asciiTheme="minorEastAsia" w:hAnsiTheme="minorEastAsia" w:eastAsiaTheme="minorEastAsia" w:cstheme="minorEastAsia"/>
          <w:color w:val="000000"/>
          <w:spacing w:val="1"/>
          <w:kern w:val="2"/>
          <w:sz w:val="24"/>
          <w:szCs w:val="24"/>
          <w:lang w:val="en-US" w:eastAsia="en-US" w:bidi="ar-SA"/>
        </w:rPr>
        <w:t>并要求中标供应商按合同价款的</w:t>
      </w:r>
      <w:r>
        <w:rPr>
          <w:rFonts w:hint="eastAsia" w:asciiTheme="minorEastAsia" w:hAnsiTheme="minorEastAsia" w:eastAsiaTheme="minorEastAsia" w:cstheme="minorEastAsia"/>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1"/>
          <w:kern w:val="2"/>
          <w:sz w:val="24"/>
          <w:szCs w:val="24"/>
          <w:u w:val="single"/>
          <w:lang w:val="en-US" w:eastAsia="en-US" w:bidi="ar-SA"/>
        </w:rPr>
        <w:t>10</w:t>
      </w:r>
      <w:r>
        <w:rPr>
          <w:rFonts w:hint="eastAsia" w:asciiTheme="minorEastAsia" w:hAnsiTheme="minorEastAsia" w:eastAsiaTheme="minorEastAsia" w:cstheme="minorEastAsia"/>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1"/>
          <w:kern w:val="2"/>
          <w:sz w:val="24"/>
          <w:szCs w:val="24"/>
          <w:u w:val="single"/>
          <w:lang w:val="en-US" w:eastAsia="en-US" w:bidi="ar-SA"/>
        </w:rPr>
        <w:t>%</w:t>
      </w:r>
      <w:r>
        <w:rPr>
          <w:rFonts w:hint="eastAsia" w:asciiTheme="minorEastAsia" w:hAnsiTheme="minorEastAsia" w:eastAsiaTheme="minorEastAsia" w:cstheme="minorEastAsia"/>
          <w:color w:val="000000"/>
          <w:spacing w:val="1"/>
          <w:kern w:val="2"/>
          <w:sz w:val="24"/>
          <w:szCs w:val="24"/>
          <w:lang w:val="en-US" w:eastAsia="en-US" w:bidi="ar-SA"/>
        </w:rPr>
        <w:t>向采</w:t>
      </w:r>
      <w:r>
        <w:rPr>
          <w:rFonts w:hint="eastAsia" w:asciiTheme="minorEastAsia" w:hAnsiTheme="minorEastAsia" w:eastAsiaTheme="minorEastAsia" w:cstheme="minorEastAsia"/>
          <w:color w:val="000000"/>
          <w:spacing w:val="-1"/>
          <w:kern w:val="2"/>
          <w:sz w:val="24"/>
          <w:szCs w:val="24"/>
          <w:lang w:val="en-US" w:eastAsia="en-US" w:bidi="ar-SA"/>
        </w:rPr>
        <w:t>购人支付违约金；该违约金不足以弥补采购人损失的，中标供应商应负责继续赔</w:t>
      </w:r>
      <w:r>
        <w:rPr>
          <w:rFonts w:hint="eastAsia" w:asciiTheme="minorEastAsia" w:hAnsiTheme="minorEastAsia" w:eastAsiaTheme="minorEastAsia" w:cstheme="minorEastAsia"/>
          <w:color w:val="000000"/>
          <w:spacing w:val="2"/>
          <w:kern w:val="2"/>
          <w:sz w:val="24"/>
          <w:szCs w:val="24"/>
          <w:lang w:val="en-US" w:eastAsia="en-US" w:bidi="ar-SA"/>
        </w:rPr>
        <w:t>偿。</w:t>
      </w:r>
    </w:p>
    <w:p w14:paraId="6299515D">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8" w:firstLineChars="200"/>
        <w:jc w:val="both"/>
        <w:textAlignment w:val="baseline"/>
        <w:rPr>
          <w:rFonts w:hint="eastAsia" w:asciiTheme="minorEastAsia" w:hAnsiTheme="minorEastAsia" w:eastAsiaTheme="minorEastAsia" w:cstheme="minorEastAsia"/>
          <w:color w:val="000000"/>
          <w:kern w:val="2"/>
          <w:sz w:val="24"/>
          <w:szCs w:val="24"/>
          <w:lang w:val="en-US" w:eastAsia="en-US" w:bidi="ar-SA"/>
        </w:rPr>
      </w:pPr>
      <w:r>
        <w:rPr>
          <w:rFonts w:hint="eastAsia" w:asciiTheme="minorEastAsia" w:hAnsiTheme="minorEastAsia" w:eastAsiaTheme="minorEastAsia" w:cstheme="minorEastAsia"/>
          <w:color w:val="000000"/>
          <w:spacing w:val="2"/>
          <w:kern w:val="2"/>
          <w:sz w:val="24"/>
          <w:szCs w:val="24"/>
          <w:lang w:val="en-US" w:eastAsia="zh-CN" w:bidi="ar-SA"/>
        </w:rPr>
        <w:t>④</w:t>
      </w:r>
      <w:r>
        <w:rPr>
          <w:rFonts w:hint="eastAsia" w:asciiTheme="minorEastAsia" w:hAnsiTheme="minorEastAsia" w:eastAsiaTheme="minorEastAsia" w:cstheme="minorEastAsia"/>
          <w:color w:val="000000"/>
          <w:spacing w:val="2"/>
          <w:kern w:val="2"/>
          <w:sz w:val="24"/>
          <w:szCs w:val="24"/>
          <w:lang w:val="en-US" w:eastAsia="en-US" w:bidi="ar-SA"/>
        </w:rPr>
        <w:t>关于投入人员</w:t>
      </w:r>
      <w:r>
        <w:rPr>
          <w:rFonts w:hint="eastAsia" w:asciiTheme="minorEastAsia" w:hAnsiTheme="minorEastAsia" w:eastAsiaTheme="minorEastAsia" w:cstheme="minorEastAsia"/>
          <w:color w:val="000000"/>
          <w:spacing w:val="-1"/>
          <w:kern w:val="2"/>
          <w:sz w:val="24"/>
          <w:szCs w:val="24"/>
          <w:lang w:val="en-US" w:eastAsia="en-US" w:bidi="ar-SA"/>
        </w:rPr>
        <w:t>和投入机械设备的违</w:t>
      </w:r>
      <w:r>
        <w:rPr>
          <w:rFonts w:hint="eastAsia" w:asciiTheme="minorEastAsia" w:hAnsiTheme="minorEastAsia" w:eastAsiaTheme="minorEastAsia" w:cstheme="minorEastAsia"/>
          <w:color w:val="000000"/>
          <w:spacing w:val="-2"/>
          <w:kern w:val="2"/>
          <w:sz w:val="24"/>
          <w:szCs w:val="24"/>
          <w:lang w:val="en-US" w:eastAsia="en-US" w:bidi="ar-SA"/>
        </w:rPr>
        <w:t>约责任</w:t>
      </w:r>
      <w:r>
        <w:rPr>
          <w:rFonts w:hint="eastAsia" w:asciiTheme="minorEastAsia" w:hAnsiTheme="minorEastAsia" w:eastAsiaTheme="minorEastAsia" w:cstheme="minorEastAsia"/>
          <w:color w:val="000000"/>
          <w:spacing w:val="-2"/>
          <w:kern w:val="2"/>
          <w:sz w:val="24"/>
          <w:szCs w:val="24"/>
          <w:lang w:val="en-US" w:eastAsia="zh-CN" w:bidi="ar-SA"/>
        </w:rPr>
        <w:t>：</w:t>
      </w:r>
      <w:r>
        <w:rPr>
          <w:rFonts w:hint="eastAsia" w:asciiTheme="minorEastAsia" w:hAnsiTheme="minorEastAsia" w:eastAsiaTheme="minorEastAsia" w:cstheme="minorEastAsia"/>
          <w:b/>
          <w:bCs/>
          <w:color w:val="000000"/>
          <w:spacing w:val="1"/>
          <w:kern w:val="2"/>
          <w:sz w:val="24"/>
          <w:szCs w:val="24"/>
          <w:lang w:val="en-US" w:eastAsia="zh-CN" w:bidi="ar-SA"/>
        </w:rPr>
        <w:t>A.</w:t>
      </w:r>
      <w:r>
        <w:rPr>
          <w:rFonts w:hint="eastAsia" w:asciiTheme="minorEastAsia" w:hAnsiTheme="minorEastAsia" w:eastAsiaTheme="minorEastAsia" w:cstheme="minorEastAsia"/>
          <w:color w:val="000000"/>
          <w:spacing w:val="-2"/>
          <w:kern w:val="2"/>
          <w:sz w:val="24"/>
          <w:szCs w:val="24"/>
          <w:lang w:val="en-US" w:eastAsia="en-US" w:bidi="ar-SA"/>
        </w:rPr>
        <w:t>采购人</w:t>
      </w:r>
      <w:r>
        <w:rPr>
          <w:rFonts w:hint="eastAsia" w:asciiTheme="minorEastAsia" w:hAnsiTheme="minorEastAsia" w:eastAsiaTheme="minorEastAsia" w:cstheme="minorEastAsia"/>
          <w:color w:val="000000"/>
          <w:spacing w:val="-1"/>
          <w:kern w:val="2"/>
          <w:sz w:val="24"/>
          <w:szCs w:val="24"/>
          <w:lang w:val="en-US" w:eastAsia="en-US" w:bidi="ar-SA"/>
        </w:rPr>
        <w:t>采取随时抽查的形</w:t>
      </w:r>
      <w:r>
        <w:rPr>
          <w:rFonts w:hint="eastAsia" w:asciiTheme="minorEastAsia" w:hAnsiTheme="minorEastAsia" w:eastAsiaTheme="minorEastAsia" w:cstheme="minorEastAsia"/>
          <w:color w:val="000000"/>
          <w:spacing w:val="1"/>
          <w:kern w:val="2"/>
          <w:sz w:val="24"/>
          <w:szCs w:val="24"/>
          <w:lang w:val="en-US" w:eastAsia="en-US" w:bidi="ar-SA"/>
        </w:rPr>
        <w:t>式，项目负责人或项目管理人员未经批</w:t>
      </w:r>
      <w:r>
        <w:rPr>
          <w:rFonts w:hint="eastAsia" w:asciiTheme="minorEastAsia" w:hAnsiTheme="minorEastAsia" w:eastAsiaTheme="minorEastAsia" w:cstheme="minorEastAsia"/>
          <w:color w:val="000000"/>
          <w:spacing w:val="-1"/>
          <w:kern w:val="2"/>
          <w:sz w:val="24"/>
          <w:szCs w:val="24"/>
          <w:lang w:val="en-US" w:eastAsia="en-US" w:bidi="ar-SA"/>
        </w:rPr>
        <w:t>准，擅自离开施工现</w:t>
      </w:r>
      <w:r>
        <w:rPr>
          <w:rFonts w:hint="eastAsia" w:asciiTheme="minorEastAsia" w:hAnsiTheme="minorEastAsia" w:eastAsiaTheme="minorEastAsia" w:cstheme="minorEastAsia"/>
          <w:color w:val="000000"/>
          <w:spacing w:val="5"/>
          <w:kern w:val="2"/>
          <w:sz w:val="24"/>
          <w:szCs w:val="24"/>
          <w:lang w:val="en-US" w:eastAsia="en-US" w:bidi="ar-SA"/>
        </w:rPr>
        <w:t>场的(按缺勤处理)</w:t>
      </w:r>
      <w:r>
        <w:rPr>
          <w:rFonts w:hint="eastAsia" w:asciiTheme="minorEastAsia" w:hAnsiTheme="minorEastAsia" w:eastAsiaTheme="minorEastAsia" w:cstheme="minorEastAsia"/>
          <w:color w:val="000000"/>
          <w:spacing w:val="2"/>
          <w:kern w:val="2"/>
          <w:sz w:val="24"/>
          <w:szCs w:val="24"/>
          <w:lang w:val="en-US" w:eastAsia="en-US" w:bidi="ar-SA"/>
        </w:rPr>
        <w:t>或缺勤的，每缺勤一</w:t>
      </w:r>
      <w:r>
        <w:rPr>
          <w:rFonts w:hint="eastAsia" w:asciiTheme="minorEastAsia" w:hAnsiTheme="minorEastAsia" w:eastAsiaTheme="minorEastAsia" w:cstheme="minorEastAsia"/>
          <w:color w:val="000000"/>
          <w:spacing w:val="1"/>
          <w:kern w:val="2"/>
          <w:sz w:val="24"/>
          <w:szCs w:val="24"/>
          <w:lang w:val="en-US" w:eastAsia="en-US" w:bidi="ar-SA"/>
        </w:rPr>
        <w:t>次，采购人有权要求</w:t>
      </w:r>
      <w:r>
        <w:rPr>
          <w:rFonts w:hint="eastAsia" w:asciiTheme="minorEastAsia" w:hAnsiTheme="minorEastAsia" w:eastAsiaTheme="minorEastAsia" w:cstheme="minorEastAsia"/>
          <w:color w:val="000000"/>
          <w:spacing w:val="2"/>
          <w:kern w:val="2"/>
          <w:sz w:val="24"/>
          <w:szCs w:val="24"/>
          <w:lang w:val="en-US" w:eastAsia="en-US" w:bidi="ar-SA"/>
        </w:rPr>
        <w:t>中标供应商支付违约</w:t>
      </w:r>
      <w:r>
        <w:rPr>
          <w:rFonts w:hint="eastAsia" w:asciiTheme="minorEastAsia" w:hAnsiTheme="minorEastAsia" w:eastAsiaTheme="minorEastAsia" w:cstheme="minorEastAsia"/>
          <w:color w:val="000000"/>
          <w:kern w:val="2"/>
          <w:sz w:val="24"/>
          <w:szCs w:val="24"/>
          <w:lang w:val="en-US" w:eastAsia="en-US" w:bidi="ar-SA"/>
        </w:rPr>
        <w:t>金人民币</w:t>
      </w:r>
      <w:r>
        <w:rPr>
          <w:rFonts w:hint="eastAsia" w:asciiTheme="minorEastAsia" w:hAnsiTheme="minorEastAsia" w:eastAsiaTheme="minorEastAsia" w:cstheme="minorEastAsia"/>
          <w:color w:val="000000"/>
          <w:kern w:val="2"/>
          <w:sz w:val="24"/>
          <w:szCs w:val="24"/>
          <w:u w:val="single"/>
          <w:lang w:val="en-US" w:eastAsia="zh-CN" w:bidi="ar-SA"/>
        </w:rPr>
        <w:t xml:space="preserve"> </w:t>
      </w:r>
      <w:r>
        <w:rPr>
          <w:rFonts w:hint="eastAsia" w:asciiTheme="minorEastAsia" w:hAnsiTheme="minorEastAsia" w:eastAsiaTheme="minorEastAsia" w:cstheme="minorEastAsia"/>
          <w:b/>
          <w:bCs/>
          <w:color w:val="000000"/>
          <w:kern w:val="2"/>
          <w:sz w:val="24"/>
          <w:szCs w:val="24"/>
          <w:u w:val="single"/>
          <w:lang w:val="en-US" w:eastAsia="zh-CN" w:bidi="ar-SA"/>
        </w:rPr>
        <w:t>1</w:t>
      </w:r>
      <w:r>
        <w:rPr>
          <w:rFonts w:hint="eastAsia" w:asciiTheme="minorEastAsia" w:hAnsiTheme="minorEastAsia" w:eastAsiaTheme="minorEastAsia" w:cstheme="minorEastAsia"/>
          <w:b/>
          <w:bCs/>
          <w:color w:val="000000"/>
          <w:kern w:val="2"/>
          <w:sz w:val="24"/>
          <w:szCs w:val="24"/>
          <w:u w:val="single"/>
          <w:lang w:val="en-US" w:eastAsia="en-US" w:bidi="ar-SA"/>
        </w:rPr>
        <w:t>0000</w:t>
      </w:r>
      <w:r>
        <w:rPr>
          <w:rFonts w:hint="eastAsia" w:asciiTheme="minorEastAsia" w:hAnsiTheme="minorEastAsia" w:eastAsiaTheme="minorEastAsia" w:cstheme="minorEastAsia"/>
          <w:b/>
          <w:bCs/>
          <w:color w:val="000000"/>
          <w:kern w:val="2"/>
          <w:sz w:val="24"/>
          <w:szCs w:val="24"/>
          <w:u w:val="single"/>
          <w:lang w:val="en-US" w:eastAsia="zh-CN" w:bidi="ar-SA"/>
        </w:rPr>
        <w:t>.00</w:t>
      </w:r>
      <w:r>
        <w:rPr>
          <w:rFonts w:hint="eastAsia" w:asciiTheme="minorEastAsia" w:hAnsiTheme="minorEastAsia" w:eastAsiaTheme="minorEastAsia" w:cstheme="minorEastAsia"/>
          <w:color w:val="000000"/>
          <w:kern w:val="2"/>
          <w:sz w:val="24"/>
          <w:szCs w:val="24"/>
          <w:u w:val="single"/>
          <w:lang w:val="en-US" w:eastAsia="zh-CN" w:bidi="ar-SA"/>
        </w:rPr>
        <w:t xml:space="preserve"> </w:t>
      </w:r>
      <w:r>
        <w:rPr>
          <w:rFonts w:hint="eastAsia" w:asciiTheme="minorEastAsia" w:hAnsiTheme="minorEastAsia" w:eastAsiaTheme="minorEastAsia" w:cstheme="minorEastAsia"/>
          <w:color w:val="000000"/>
          <w:kern w:val="2"/>
          <w:sz w:val="24"/>
          <w:szCs w:val="24"/>
          <w:u w:val="single"/>
          <w:lang w:val="en-US" w:eastAsia="en-US" w:bidi="ar-SA"/>
        </w:rPr>
        <w:t>元</w:t>
      </w:r>
      <w:r>
        <w:rPr>
          <w:rFonts w:hint="eastAsia" w:asciiTheme="minorEastAsia" w:hAnsiTheme="minorEastAsia" w:eastAsiaTheme="minorEastAsia" w:cstheme="minorEastAsia"/>
          <w:color w:val="000000"/>
          <w:kern w:val="2"/>
          <w:sz w:val="24"/>
          <w:szCs w:val="24"/>
          <w:lang w:val="en-US" w:eastAsia="en-US" w:bidi="ar-SA"/>
        </w:rPr>
        <w:t>，</w:t>
      </w:r>
      <w:r>
        <w:rPr>
          <w:rFonts w:hint="eastAsia" w:asciiTheme="minorEastAsia" w:hAnsiTheme="minorEastAsia" w:eastAsiaTheme="minorEastAsia" w:cstheme="minorEastAsia"/>
          <w:color w:val="000000"/>
          <w:spacing w:val="4"/>
          <w:kern w:val="2"/>
          <w:sz w:val="24"/>
          <w:szCs w:val="24"/>
          <w:lang w:val="en-US" w:eastAsia="en-US" w:bidi="ar-SA"/>
        </w:rPr>
        <w:t>累计超过</w:t>
      </w:r>
      <w:r>
        <w:rPr>
          <w:rFonts w:hint="eastAsia" w:asciiTheme="minorEastAsia" w:hAnsiTheme="minorEastAsia" w:eastAsiaTheme="minorEastAsia" w:cstheme="minorEastAsia"/>
          <w:b/>
          <w:bCs/>
          <w:color w:val="000000"/>
          <w:spacing w:val="4"/>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4"/>
          <w:kern w:val="2"/>
          <w:sz w:val="24"/>
          <w:szCs w:val="24"/>
          <w:u w:val="single"/>
          <w:lang w:val="en-US" w:eastAsia="en-US" w:bidi="ar-SA"/>
        </w:rPr>
        <w:t>3</w:t>
      </w:r>
      <w:r>
        <w:rPr>
          <w:rFonts w:hint="eastAsia" w:asciiTheme="minorEastAsia" w:hAnsiTheme="minorEastAsia" w:eastAsiaTheme="minorEastAsia" w:cstheme="minorEastAsia"/>
          <w:b/>
          <w:bCs/>
          <w:color w:val="000000"/>
          <w:spacing w:val="4"/>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4"/>
          <w:kern w:val="2"/>
          <w:sz w:val="24"/>
          <w:szCs w:val="24"/>
          <w:lang w:val="en-US" w:eastAsia="en-US" w:bidi="ar-SA"/>
        </w:rPr>
        <w:t>次(含3次)或缺勤满7个日历日</w:t>
      </w:r>
      <w:r>
        <w:rPr>
          <w:rFonts w:hint="eastAsia" w:asciiTheme="minorEastAsia" w:hAnsiTheme="minorEastAsia" w:eastAsiaTheme="minorEastAsia" w:cstheme="minorEastAsia"/>
          <w:color w:val="000000"/>
          <w:kern w:val="2"/>
          <w:sz w:val="24"/>
          <w:szCs w:val="24"/>
          <w:lang w:val="en-US" w:eastAsia="en-US" w:bidi="ar-SA"/>
        </w:rPr>
        <w:t>的，采购人有权单方</w:t>
      </w:r>
      <w:r>
        <w:rPr>
          <w:rFonts w:hint="eastAsia" w:asciiTheme="minorEastAsia" w:hAnsiTheme="minorEastAsia" w:eastAsiaTheme="minorEastAsia" w:cstheme="minorEastAsia"/>
          <w:color w:val="000000"/>
          <w:spacing w:val="-2"/>
          <w:kern w:val="2"/>
          <w:sz w:val="24"/>
          <w:szCs w:val="24"/>
          <w:lang w:val="en-US" w:eastAsia="en-US" w:bidi="ar-SA"/>
        </w:rPr>
        <w:t>面解除合同，中标供</w:t>
      </w:r>
      <w:r>
        <w:rPr>
          <w:rFonts w:hint="eastAsia" w:asciiTheme="minorEastAsia" w:hAnsiTheme="minorEastAsia" w:eastAsiaTheme="minorEastAsia" w:cstheme="minorEastAsia"/>
          <w:color w:val="000000"/>
          <w:spacing w:val="3"/>
          <w:kern w:val="2"/>
          <w:sz w:val="24"/>
          <w:szCs w:val="24"/>
          <w:lang w:val="en-US" w:eastAsia="en-US" w:bidi="ar-SA"/>
        </w:rPr>
        <w:t>应商负全部责任。</w:t>
      </w:r>
      <w:r>
        <w:rPr>
          <w:rFonts w:hint="eastAsia" w:asciiTheme="minorEastAsia" w:hAnsiTheme="minorEastAsia" w:eastAsiaTheme="minorEastAsia" w:cstheme="minorEastAsia"/>
          <w:b/>
          <w:bCs/>
          <w:color w:val="000000"/>
          <w:spacing w:val="1"/>
          <w:kern w:val="2"/>
          <w:sz w:val="24"/>
          <w:szCs w:val="24"/>
          <w:lang w:val="en-US" w:eastAsia="zh-CN" w:bidi="ar-SA"/>
        </w:rPr>
        <w:t>B.</w:t>
      </w:r>
      <w:r>
        <w:rPr>
          <w:rFonts w:hint="eastAsia" w:asciiTheme="minorEastAsia" w:hAnsiTheme="minorEastAsia" w:eastAsiaTheme="minorEastAsia" w:cstheme="minorEastAsia"/>
          <w:color w:val="000000"/>
          <w:spacing w:val="1"/>
          <w:kern w:val="2"/>
          <w:sz w:val="24"/>
          <w:szCs w:val="24"/>
          <w:lang w:val="en-US" w:eastAsia="en-US" w:bidi="ar-SA"/>
        </w:rPr>
        <w:t>中标供应商未经</w:t>
      </w:r>
      <w:r>
        <w:rPr>
          <w:rFonts w:hint="eastAsia" w:asciiTheme="minorEastAsia" w:hAnsiTheme="minorEastAsia" w:eastAsiaTheme="minorEastAsia" w:cstheme="minorEastAsia"/>
          <w:color w:val="000000"/>
          <w:spacing w:val="3"/>
          <w:kern w:val="2"/>
          <w:sz w:val="24"/>
          <w:szCs w:val="24"/>
          <w:lang w:val="en-US" w:eastAsia="en-US" w:bidi="ar-SA"/>
        </w:rPr>
        <w:t>采购人同意不得擅自</w:t>
      </w:r>
      <w:r>
        <w:rPr>
          <w:rFonts w:hint="eastAsia" w:asciiTheme="minorEastAsia" w:hAnsiTheme="minorEastAsia" w:eastAsiaTheme="minorEastAsia" w:cstheme="minorEastAsia"/>
          <w:color w:val="000000"/>
          <w:spacing w:val="1"/>
          <w:kern w:val="2"/>
          <w:sz w:val="24"/>
          <w:szCs w:val="24"/>
          <w:lang w:val="en-US" w:eastAsia="en-US" w:bidi="ar-SA"/>
        </w:rPr>
        <w:t>更换项目负责人和项</w:t>
      </w:r>
      <w:r>
        <w:rPr>
          <w:rFonts w:hint="eastAsia" w:asciiTheme="minorEastAsia" w:hAnsiTheme="minorEastAsia" w:eastAsiaTheme="minorEastAsia" w:cstheme="minorEastAsia"/>
          <w:color w:val="000000"/>
          <w:kern w:val="2"/>
          <w:sz w:val="24"/>
          <w:szCs w:val="24"/>
          <w:lang w:val="en-US" w:eastAsia="en-US" w:bidi="ar-SA"/>
        </w:rPr>
        <w:t>目管理人员，未经采</w:t>
      </w:r>
      <w:r>
        <w:rPr>
          <w:rFonts w:hint="eastAsia" w:asciiTheme="minorEastAsia" w:hAnsiTheme="minorEastAsia" w:eastAsiaTheme="minorEastAsia" w:cstheme="minorEastAsia"/>
          <w:color w:val="000000"/>
          <w:spacing w:val="-1"/>
          <w:kern w:val="2"/>
          <w:sz w:val="24"/>
          <w:szCs w:val="24"/>
          <w:lang w:val="en-US" w:eastAsia="en-US" w:bidi="ar-SA"/>
        </w:rPr>
        <w:t>购人书面同意擅自更</w:t>
      </w:r>
      <w:r>
        <w:rPr>
          <w:rFonts w:hint="eastAsia" w:asciiTheme="minorEastAsia" w:hAnsiTheme="minorEastAsia" w:eastAsiaTheme="minorEastAsia" w:cstheme="minorEastAsia"/>
          <w:color w:val="000000"/>
          <w:spacing w:val="1"/>
          <w:kern w:val="2"/>
          <w:sz w:val="24"/>
          <w:szCs w:val="24"/>
          <w:lang w:val="en-US" w:eastAsia="en-US" w:bidi="ar-SA"/>
        </w:rPr>
        <w:t>换项目组人员，采购</w:t>
      </w:r>
      <w:r>
        <w:rPr>
          <w:rFonts w:hint="eastAsia" w:asciiTheme="minorEastAsia" w:hAnsiTheme="minorEastAsia" w:eastAsiaTheme="minorEastAsia" w:cstheme="minorEastAsia"/>
          <w:color w:val="000000"/>
          <w:spacing w:val="-1"/>
          <w:kern w:val="2"/>
          <w:sz w:val="24"/>
          <w:szCs w:val="24"/>
          <w:lang w:val="en-US" w:eastAsia="en-US" w:bidi="ar-SA"/>
        </w:rPr>
        <w:t>人有权扣除中标供应</w:t>
      </w:r>
      <w:r>
        <w:rPr>
          <w:rFonts w:hint="eastAsia" w:asciiTheme="minorEastAsia" w:hAnsiTheme="minorEastAsia" w:eastAsiaTheme="minorEastAsia" w:cstheme="minorEastAsia"/>
          <w:color w:val="000000"/>
          <w:spacing w:val="1"/>
          <w:kern w:val="2"/>
          <w:sz w:val="24"/>
          <w:szCs w:val="24"/>
          <w:lang w:val="en-US" w:eastAsia="en-US" w:bidi="ar-SA"/>
        </w:rPr>
        <w:t>商</w:t>
      </w:r>
      <w:r>
        <w:rPr>
          <w:rFonts w:hint="eastAsia" w:asciiTheme="minorEastAsia" w:hAnsiTheme="minorEastAsia" w:eastAsiaTheme="minorEastAsia" w:cstheme="minorEastAsia"/>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1"/>
          <w:kern w:val="2"/>
          <w:sz w:val="24"/>
          <w:szCs w:val="24"/>
          <w:u w:val="single"/>
          <w:lang w:val="en-US" w:eastAsia="zh-CN" w:bidi="ar-SA"/>
        </w:rPr>
        <w:t>1</w:t>
      </w:r>
      <w:r>
        <w:rPr>
          <w:rFonts w:hint="eastAsia" w:asciiTheme="minorEastAsia" w:hAnsiTheme="minorEastAsia" w:eastAsiaTheme="minorEastAsia" w:cstheme="minorEastAsia"/>
          <w:b/>
          <w:bCs/>
          <w:color w:val="000000"/>
          <w:spacing w:val="1"/>
          <w:kern w:val="2"/>
          <w:sz w:val="24"/>
          <w:szCs w:val="24"/>
          <w:u w:val="single"/>
          <w:lang w:val="en-US" w:eastAsia="en-US" w:bidi="ar-SA"/>
        </w:rPr>
        <w:t>0000</w:t>
      </w:r>
      <w:r>
        <w:rPr>
          <w:rFonts w:hint="eastAsia" w:asciiTheme="minorEastAsia" w:hAnsiTheme="minorEastAsia" w:eastAsiaTheme="minorEastAsia" w:cstheme="minorEastAsia"/>
          <w:b/>
          <w:bCs/>
          <w:color w:val="000000"/>
          <w:spacing w:val="1"/>
          <w:kern w:val="2"/>
          <w:sz w:val="24"/>
          <w:szCs w:val="24"/>
          <w:u w:val="single"/>
          <w:lang w:val="en-US" w:eastAsia="zh-CN" w:bidi="ar-SA"/>
        </w:rPr>
        <w:t>.00</w:t>
      </w:r>
      <w:r>
        <w:rPr>
          <w:rFonts w:hint="eastAsia" w:asciiTheme="minorEastAsia" w:hAnsiTheme="minorEastAsia" w:eastAsiaTheme="minorEastAsia" w:cstheme="minorEastAsia"/>
          <w:b/>
          <w:bCs/>
          <w:color w:val="000000"/>
          <w:spacing w:val="1"/>
          <w:kern w:val="2"/>
          <w:sz w:val="24"/>
          <w:szCs w:val="24"/>
          <w:u w:val="single"/>
          <w:lang w:val="en-US" w:eastAsia="en-US" w:bidi="ar-SA"/>
        </w:rPr>
        <w:t>元/人/次</w:t>
      </w:r>
      <w:r>
        <w:rPr>
          <w:rFonts w:hint="eastAsia" w:asciiTheme="minorEastAsia" w:hAnsiTheme="minorEastAsia" w:eastAsiaTheme="minorEastAsia" w:cstheme="minorEastAsia"/>
          <w:b/>
          <w:bCs/>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1"/>
          <w:kern w:val="2"/>
          <w:sz w:val="24"/>
          <w:szCs w:val="24"/>
          <w:lang w:val="en-US" w:eastAsia="en-US" w:bidi="ar-SA"/>
        </w:rPr>
        <w:t>的</w:t>
      </w:r>
      <w:r>
        <w:rPr>
          <w:rFonts w:hint="eastAsia" w:asciiTheme="minorEastAsia" w:hAnsiTheme="minorEastAsia" w:eastAsiaTheme="minorEastAsia" w:cstheme="minorEastAsia"/>
          <w:color w:val="000000"/>
          <w:spacing w:val="-1"/>
          <w:kern w:val="2"/>
          <w:sz w:val="24"/>
          <w:szCs w:val="24"/>
          <w:lang w:val="en-US" w:eastAsia="en-US" w:bidi="ar-SA"/>
        </w:rPr>
        <w:t>违约金。发生本条上</w:t>
      </w:r>
      <w:r>
        <w:rPr>
          <w:rFonts w:hint="eastAsia" w:asciiTheme="minorEastAsia" w:hAnsiTheme="minorEastAsia" w:eastAsiaTheme="minorEastAsia" w:cstheme="minorEastAsia"/>
          <w:color w:val="000000"/>
          <w:spacing w:val="-2"/>
          <w:kern w:val="2"/>
          <w:sz w:val="24"/>
          <w:szCs w:val="24"/>
          <w:lang w:val="en-US" w:eastAsia="en-US" w:bidi="ar-SA"/>
        </w:rPr>
        <w:t>述情况累计达</w:t>
      </w:r>
      <w:r>
        <w:rPr>
          <w:rFonts w:hint="eastAsia" w:asciiTheme="minorEastAsia" w:hAnsiTheme="minorEastAsia" w:eastAsiaTheme="minorEastAsia" w:cstheme="minorEastAsia"/>
          <w:color w:val="000000"/>
          <w:spacing w:val="-2"/>
          <w:kern w:val="2"/>
          <w:sz w:val="24"/>
          <w:szCs w:val="24"/>
          <w:lang w:val="en-US" w:eastAsia="zh-CN" w:bidi="ar-SA"/>
        </w:rPr>
        <w:t>3</w:t>
      </w:r>
      <w:r>
        <w:rPr>
          <w:rFonts w:hint="eastAsia" w:asciiTheme="minorEastAsia" w:hAnsiTheme="minorEastAsia" w:eastAsiaTheme="minorEastAsia" w:cstheme="minorEastAsia"/>
          <w:color w:val="000000"/>
          <w:spacing w:val="-2"/>
          <w:kern w:val="2"/>
          <w:sz w:val="24"/>
          <w:szCs w:val="24"/>
          <w:lang w:val="en-US" w:eastAsia="en-US" w:bidi="ar-SA"/>
        </w:rPr>
        <w:t>次后，</w:t>
      </w:r>
      <w:r>
        <w:rPr>
          <w:rFonts w:hint="eastAsia" w:asciiTheme="minorEastAsia" w:hAnsiTheme="minorEastAsia" w:eastAsiaTheme="minorEastAsia" w:cstheme="minorEastAsia"/>
          <w:color w:val="000000"/>
          <w:spacing w:val="-1"/>
          <w:kern w:val="2"/>
          <w:sz w:val="24"/>
          <w:szCs w:val="24"/>
          <w:lang w:val="en-US" w:eastAsia="en-US" w:bidi="ar-SA"/>
        </w:rPr>
        <w:t>采购人有权终止合</w:t>
      </w:r>
      <w:r>
        <w:rPr>
          <w:rFonts w:hint="eastAsia" w:asciiTheme="minorEastAsia" w:hAnsiTheme="minorEastAsia" w:eastAsiaTheme="minorEastAsia" w:cstheme="minorEastAsia"/>
          <w:color w:val="000000"/>
          <w:spacing w:val="1"/>
          <w:kern w:val="2"/>
          <w:sz w:val="24"/>
          <w:szCs w:val="24"/>
          <w:lang w:val="en-US" w:eastAsia="en-US" w:bidi="ar-SA"/>
        </w:rPr>
        <w:t>同，由此引致的经济</w:t>
      </w:r>
      <w:r>
        <w:rPr>
          <w:rFonts w:hint="eastAsia" w:asciiTheme="minorEastAsia" w:hAnsiTheme="minorEastAsia" w:eastAsiaTheme="minorEastAsia" w:cstheme="minorEastAsia"/>
          <w:color w:val="000000"/>
          <w:spacing w:val="-1"/>
          <w:kern w:val="2"/>
          <w:sz w:val="24"/>
          <w:szCs w:val="24"/>
          <w:lang w:val="en-US" w:eastAsia="en-US" w:bidi="ar-SA"/>
        </w:rPr>
        <w:t>损失，中标供应商须全额赔偿，采购人保</w:t>
      </w:r>
      <w:r>
        <w:rPr>
          <w:rFonts w:hint="eastAsia" w:asciiTheme="minorEastAsia" w:hAnsiTheme="minorEastAsia" w:eastAsiaTheme="minorEastAsia" w:cstheme="minorEastAsia"/>
          <w:color w:val="000000"/>
          <w:spacing w:val="1"/>
          <w:kern w:val="2"/>
          <w:sz w:val="24"/>
          <w:szCs w:val="24"/>
          <w:lang w:val="en-US" w:eastAsia="en-US" w:bidi="ar-SA"/>
        </w:rPr>
        <w:t>留追究中标供应商相</w:t>
      </w:r>
      <w:r>
        <w:rPr>
          <w:rFonts w:hint="eastAsia" w:asciiTheme="minorEastAsia" w:hAnsiTheme="minorEastAsia" w:eastAsiaTheme="minorEastAsia" w:cstheme="minorEastAsia"/>
          <w:color w:val="000000"/>
          <w:spacing w:val="5"/>
          <w:kern w:val="2"/>
          <w:sz w:val="24"/>
          <w:szCs w:val="24"/>
          <w:lang w:val="en-US" w:eastAsia="en-US" w:bidi="ar-SA"/>
        </w:rPr>
        <w:t>关责任的权利。</w:t>
      </w:r>
      <w:r>
        <w:rPr>
          <w:rFonts w:hint="eastAsia" w:asciiTheme="minorEastAsia" w:hAnsiTheme="minorEastAsia" w:eastAsiaTheme="minorEastAsia" w:cstheme="minorEastAsia"/>
          <w:b/>
          <w:bCs/>
          <w:color w:val="000000"/>
          <w:spacing w:val="1"/>
          <w:kern w:val="2"/>
          <w:sz w:val="24"/>
          <w:szCs w:val="24"/>
          <w:lang w:val="en-US" w:eastAsia="zh-CN" w:bidi="ar-SA"/>
        </w:rPr>
        <w:t>C.</w:t>
      </w:r>
      <w:r>
        <w:rPr>
          <w:rFonts w:hint="eastAsia" w:asciiTheme="minorEastAsia" w:hAnsiTheme="minorEastAsia" w:eastAsiaTheme="minorEastAsia" w:cstheme="minorEastAsia"/>
          <w:color w:val="000000"/>
          <w:spacing w:val="1"/>
          <w:kern w:val="2"/>
          <w:sz w:val="24"/>
          <w:szCs w:val="24"/>
          <w:lang w:val="en-US" w:eastAsia="en-US" w:bidi="ar-SA"/>
        </w:rPr>
        <w:t>中标供应商现场的管</w:t>
      </w:r>
      <w:r>
        <w:rPr>
          <w:rFonts w:hint="eastAsia" w:asciiTheme="minorEastAsia" w:hAnsiTheme="minorEastAsia" w:eastAsiaTheme="minorEastAsia" w:cstheme="minorEastAsia"/>
          <w:color w:val="000000"/>
          <w:spacing w:val="-2"/>
          <w:kern w:val="2"/>
          <w:sz w:val="24"/>
          <w:szCs w:val="24"/>
          <w:lang w:val="en-US" w:eastAsia="en-US" w:bidi="ar-SA"/>
        </w:rPr>
        <w:t>理人员需接受监理单</w:t>
      </w:r>
      <w:r>
        <w:rPr>
          <w:rFonts w:hint="eastAsia" w:asciiTheme="minorEastAsia" w:hAnsiTheme="minorEastAsia" w:eastAsiaTheme="minorEastAsia" w:cstheme="minorEastAsia"/>
          <w:color w:val="000000"/>
          <w:spacing w:val="-1"/>
          <w:kern w:val="2"/>
          <w:sz w:val="24"/>
          <w:szCs w:val="24"/>
          <w:lang w:val="en-US" w:eastAsia="en-US" w:bidi="ar-SA"/>
        </w:rPr>
        <w:t>位的监督，肥料、苗木等相关物料进场前</w:t>
      </w:r>
      <w:r>
        <w:rPr>
          <w:rFonts w:hint="eastAsia" w:asciiTheme="minorEastAsia" w:hAnsiTheme="minorEastAsia" w:eastAsiaTheme="minorEastAsia" w:cstheme="minorEastAsia"/>
          <w:color w:val="000000"/>
          <w:spacing w:val="1"/>
          <w:kern w:val="2"/>
          <w:sz w:val="24"/>
          <w:szCs w:val="24"/>
          <w:lang w:val="en-US" w:eastAsia="en-US" w:bidi="ar-SA"/>
        </w:rPr>
        <w:t>需要向采购人报备并自觉接受监理单位检</w:t>
      </w:r>
      <w:r>
        <w:rPr>
          <w:rFonts w:hint="eastAsia" w:asciiTheme="minorEastAsia" w:hAnsiTheme="minorEastAsia" w:eastAsiaTheme="minorEastAsia" w:cstheme="minorEastAsia"/>
          <w:color w:val="000000"/>
          <w:spacing w:val="-2"/>
          <w:kern w:val="2"/>
          <w:sz w:val="24"/>
          <w:szCs w:val="24"/>
          <w:lang w:val="en-US" w:eastAsia="en-US" w:bidi="ar-SA"/>
        </w:rPr>
        <w:t>查，若未通知监理单</w:t>
      </w:r>
      <w:r>
        <w:rPr>
          <w:rFonts w:hint="eastAsia" w:asciiTheme="minorEastAsia" w:hAnsiTheme="minorEastAsia" w:eastAsiaTheme="minorEastAsia" w:cstheme="minorEastAsia"/>
          <w:color w:val="000000"/>
          <w:spacing w:val="-1"/>
          <w:kern w:val="2"/>
          <w:sz w:val="24"/>
          <w:szCs w:val="24"/>
          <w:lang w:val="en-US" w:eastAsia="en-US" w:bidi="ar-SA"/>
        </w:rPr>
        <w:t>位自行将物料进场施</w:t>
      </w:r>
      <w:r>
        <w:rPr>
          <w:rFonts w:hint="eastAsia" w:asciiTheme="minorEastAsia" w:hAnsiTheme="minorEastAsia" w:eastAsiaTheme="minorEastAsia" w:cstheme="minorEastAsia"/>
          <w:color w:val="000000"/>
          <w:spacing w:val="1"/>
          <w:kern w:val="2"/>
          <w:sz w:val="24"/>
          <w:szCs w:val="24"/>
          <w:lang w:val="en-US" w:eastAsia="en-US" w:bidi="ar-SA"/>
        </w:rPr>
        <w:t>工的，采购人可要求</w:t>
      </w:r>
      <w:r>
        <w:rPr>
          <w:rFonts w:hint="eastAsia" w:asciiTheme="minorEastAsia" w:hAnsiTheme="minorEastAsia" w:eastAsiaTheme="minorEastAsia" w:cstheme="minorEastAsia"/>
          <w:color w:val="000000"/>
          <w:kern w:val="2"/>
          <w:sz w:val="24"/>
          <w:szCs w:val="24"/>
          <w:lang w:val="en-US" w:eastAsia="en-US" w:bidi="ar-SA"/>
        </w:rPr>
        <w:t>中标供应商将物料撤</w:t>
      </w:r>
      <w:r>
        <w:rPr>
          <w:rFonts w:hint="eastAsia" w:asciiTheme="minorEastAsia" w:hAnsiTheme="minorEastAsia" w:eastAsiaTheme="minorEastAsia" w:cstheme="minorEastAsia"/>
          <w:color w:val="000000"/>
          <w:spacing w:val="1"/>
          <w:kern w:val="2"/>
          <w:sz w:val="24"/>
          <w:szCs w:val="24"/>
          <w:lang w:val="en-US" w:eastAsia="en-US" w:bidi="ar-SA"/>
        </w:rPr>
        <w:t>走。若发现进场的物</w:t>
      </w:r>
      <w:r>
        <w:rPr>
          <w:rFonts w:hint="eastAsia" w:asciiTheme="minorEastAsia" w:hAnsiTheme="minorEastAsia" w:eastAsiaTheme="minorEastAsia" w:cstheme="minorEastAsia"/>
          <w:color w:val="000000"/>
          <w:spacing w:val="-1"/>
          <w:kern w:val="2"/>
          <w:sz w:val="24"/>
          <w:szCs w:val="24"/>
          <w:lang w:val="en-US" w:eastAsia="en-US" w:bidi="ar-SA"/>
        </w:rPr>
        <w:t>料未经检查或检查不</w:t>
      </w:r>
      <w:r>
        <w:rPr>
          <w:rFonts w:hint="eastAsia" w:asciiTheme="minorEastAsia" w:hAnsiTheme="minorEastAsia" w:eastAsiaTheme="minorEastAsia" w:cstheme="minorEastAsia"/>
          <w:color w:val="000000"/>
          <w:spacing w:val="1"/>
          <w:kern w:val="2"/>
          <w:sz w:val="24"/>
          <w:szCs w:val="24"/>
          <w:lang w:val="en-US" w:eastAsia="en-US" w:bidi="ar-SA"/>
        </w:rPr>
        <w:t>合格或被认定为以劣</w:t>
      </w:r>
      <w:r>
        <w:rPr>
          <w:rFonts w:hint="eastAsia" w:asciiTheme="minorEastAsia" w:hAnsiTheme="minorEastAsia" w:eastAsiaTheme="minorEastAsia" w:cstheme="minorEastAsia"/>
          <w:color w:val="000000"/>
          <w:spacing w:val="-2"/>
          <w:kern w:val="2"/>
          <w:sz w:val="24"/>
          <w:szCs w:val="24"/>
          <w:lang w:val="en-US" w:eastAsia="en-US" w:bidi="ar-SA"/>
        </w:rPr>
        <w:t>充好时</w:t>
      </w:r>
      <w:r>
        <w:rPr>
          <w:rFonts w:hint="eastAsia" w:asciiTheme="minorEastAsia" w:hAnsiTheme="minorEastAsia" w:eastAsiaTheme="minorEastAsia" w:cstheme="minorEastAsia"/>
          <w:color w:val="000000"/>
          <w:spacing w:val="-2"/>
          <w:kern w:val="2"/>
          <w:sz w:val="24"/>
          <w:szCs w:val="24"/>
          <w:lang w:val="en-US" w:eastAsia="zh-CN" w:bidi="ar-SA"/>
        </w:rPr>
        <w:t>，</w:t>
      </w:r>
      <w:r>
        <w:rPr>
          <w:rFonts w:hint="eastAsia" w:asciiTheme="minorEastAsia" w:hAnsiTheme="minorEastAsia" w:eastAsiaTheme="minorEastAsia" w:cstheme="minorEastAsia"/>
          <w:color w:val="000000"/>
          <w:spacing w:val="-2"/>
          <w:kern w:val="2"/>
          <w:sz w:val="24"/>
          <w:szCs w:val="24"/>
          <w:lang w:val="en-US" w:eastAsia="en-US" w:bidi="ar-SA"/>
        </w:rPr>
        <w:t>除中标供应</w:t>
      </w:r>
      <w:r>
        <w:rPr>
          <w:rFonts w:hint="eastAsia" w:asciiTheme="minorEastAsia" w:hAnsiTheme="minorEastAsia" w:eastAsiaTheme="minorEastAsia" w:cstheme="minorEastAsia"/>
          <w:color w:val="000000"/>
          <w:spacing w:val="13"/>
          <w:kern w:val="2"/>
          <w:sz w:val="24"/>
          <w:szCs w:val="24"/>
          <w:lang w:val="en-US" w:eastAsia="en-US" w:bidi="ar-SA"/>
        </w:rPr>
        <w:t>商需要将物料撤走</w:t>
      </w:r>
      <w:r>
        <w:rPr>
          <w:rFonts w:hint="eastAsia" w:asciiTheme="minorEastAsia" w:hAnsiTheme="minorEastAsia" w:eastAsiaTheme="minorEastAsia" w:cstheme="minorEastAsia"/>
          <w:color w:val="000000"/>
          <w:spacing w:val="1"/>
          <w:kern w:val="2"/>
          <w:sz w:val="24"/>
          <w:szCs w:val="24"/>
          <w:lang w:val="en-US" w:eastAsia="en-US" w:bidi="ar-SA"/>
        </w:rPr>
        <w:t>外，中标供应商还应</w:t>
      </w:r>
      <w:r>
        <w:rPr>
          <w:rFonts w:hint="eastAsia" w:asciiTheme="minorEastAsia" w:hAnsiTheme="minorEastAsia" w:eastAsiaTheme="minorEastAsia" w:cstheme="minorEastAsia"/>
          <w:color w:val="000000"/>
          <w:spacing w:val="2"/>
          <w:kern w:val="2"/>
          <w:sz w:val="24"/>
          <w:szCs w:val="24"/>
          <w:lang w:val="en-US" w:eastAsia="en-US" w:bidi="ar-SA"/>
        </w:rPr>
        <w:t>当向采购人支付违约</w:t>
      </w:r>
      <w:r>
        <w:rPr>
          <w:rFonts w:hint="eastAsia" w:asciiTheme="minorEastAsia" w:hAnsiTheme="minorEastAsia" w:eastAsiaTheme="minorEastAsia" w:cstheme="minorEastAsia"/>
          <w:color w:val="000000"/>
          <w:spacing w:val="8"/>
          <w:kern w:val="2"/>
          <w:sz w:val="24"/>
          <w:szCs w:val="24"/>
          <w:lang w:val="en-US" w:eastAsia="en-US" w:bidi="ar-SA"/>
        </w:rPr>
        <w:t>金人民币</w:t>
      </w:r>
      <w:r>
        <w:rPr>
          <w:rFonts w:hint="eastAsia" w:asciiTheme="minorEastAsia" w:hAnsiTheme="minorEastAsia" w:eastAsiaTheme="minorEastAsia" w:cstheme="minorEastAsia"/>
          <w:color w:val="000000"/>
          <w:spacing w:val="8"/>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8"/>
          <w:kern w:val="2"/>
          <w:sz w:val="24"/>
          <w:szCs w:val="24"/>
          <w:u w:val="single"/>
          <w:lang w:val="en-US" w:eastAsia="en-US" w:bidi="ar-SA"/>
        </w:rPr>
        <w:t>50000</w:t>
      </w:r>
      <w:r>
        <w:rPr>
          <w:rFonts w:hint="eastAsia" w:asciiTheme="minorEastAsia" w:hAnsiTheme="minorEastAsia" w:eastAsiaTheme="minorEastAsia" w:cstheme="minorEastAsia"/>
          <w:color w:val="000000"/>
          <w:spacing w:val="8"/>
          <w:kern w:val="2"/>
          <w:sz w:val="24"/>
          <w:szCs w:val="24"/>
          <w:u w:val="single"/>
          <w:lang w:val="en-US" w:eastAsia="en-US" w:bidi="ar-SA"/>
        </w:rPr>
        <w:t>元/</w:t>
      </w:r>
      <w:r>
        <w:rPr>
          <w:rFonts w:hint="eastAsia" w:asciiTheme="minorEastAsia" w:hAnsiTheme="minorEastAsia" w:eastAsiaTheme="minorEastAsia" w:cstheme="minorEastAsia"/>
          <w:color w:val="000000"/>
          <w:spacing w:val="5"/>
          <w:kern w:val="2"/>
          <w:sz w:val="24"/>
          <w:szCs w:val="24"/>
          <w:u w:val="single"/>
          <w:lang w:val="en-US" w:eastAsia="en-US" w:bidi="ar-SA"/>
        </w:rPr>
        <w:t>次</w:t>
      </w:r>
      <w:r>
        <w:rPr>
          <w:rFonts w:hint="eastAsia" w:asciiTheme="minorEastAsia" w:hAnsiTheme="minorEastAsia" w:eastAsiaTheme="minorEastAsia" w:cstheme="minorEastAsia"/>
          <w:color w:val="000000"/>
          <w:spacing w:val="5"/>
          <w:kern w:val="2"/>
          <w:sz w:val="24"/>
          <w:szCs w:val="24"/>
          <w:lang w:val="en-US" w:eastAsia="en-US" w:bidi="ar-SA"/>
        </w:rPr>
        <w:t>。</w:t>
      </w:r>
      <w:r>
        <w:rPr>
          <w:rFonts w:hint="eastAsia" w:asciiTheme="minorEastAsia" w:hAnsiTheme="minorEastAsia" w:eastAsiaTheme="minorEastAsia" w:cstheme="minorEastAsia"/>
          <w:b/>
          <w:bCs/>
          <w:color w:val="000000"/>
          <w:spacing w:val="1"/>
          <w:kern w:val="2"/>
          <w:sz w:val="24"/>
          <w:szCs w:val="24"/>
          <w:lang w:val="en-US" w:eastAsia="zh-CN" w:bidi="ar-SA"/>
        </w:rPr>
        <w:t>D.</w:t>
      </w:r>
      <w:r>
        <w:rPr>
          <w:rFonts w:hint="eastAsia" w:asciiTheme="minorEastAsia" w:hAnsiTheme="minorEastAsia" w:eastAsiaTheme="minorEastAsia" w:cstheme="minorEastAsia"/>
          <w:color w:val="000000"/>
          <w:spacing w:val="5"/>
          <w:kern w:val="2"/>
          <w:sz w:val="24"/>
          <w:szCs w:val="24"/>
          <w:lang w:val="en-US" w:eastAsia="en-US" w:bidi="ar-SA"/>
        </w:rPr>
        <w:t>当发现中</w:t>
      </w:r>
      <w:r>
        <w:rPr>
          <w:rFonts w:hint="eastAsia" w:asciiTheme="minorEastAsia" w:hAnsiTheme="minorEastAsia" w:eastAsiaTheme="minorEastAsia" w:cstheme="minorEastAsia"/>
          <w:color w:val="000000"/>
          <w:spacing w:val="3"/>
          <w:kern w:val="2"/>
          <w:sz w:val="24"/>
          <w:szCs w:val="24"/>
          <w:lang w:val="en-US" w:eastAsia="en-US" w:bidi="ar-SA"/>
        </w:rPr>
        <w:t>标供应商投入的人员</w:t>
      </w:r>
      <w:r>
        <w:rPr>
          <w:rFonts w:hint="eastAsia" w:asciiTheme="minorEastAsia" w:hAnsiTheme="minorEastAsia" w:eastAsiaTheme="minorEastAsia" w:cstheme="minorEastAsia"/>
          <w:color w:val="000000"/>
          <w:spacing w:val="1"/>
          <w:kern w:val="2"/>
          <w:sz w:val="24"/>
          <w:szCs w:val="24"/>
          <w:lang w:val="en-US" w:eastAsia="en-US" w:bidi="ar-SA"/>
        </w:rPr>
        <w:t>和机械无法满足施工</w:t>
      </w:r>
      <w:r>
        <w:rPr>
          <w:rFonts w:hint="eastAsia" w:asciiTheme="minorEastAsia" w:hAnsiTheme="minorEastAsia" w:eastAsiaTheme="minorEastAsia" w:cstheme="minorEastAsia"/>
          <w:color w:val="000000"/>
          <w:spacing w:val="-1"/>
          <w:kern w:val="2"/>
          <w:sz w:val="24"/>
          <w:szCs w:val="24"/>
          <w:lang w:val="en-US" w:eastAsia="en-US" w:bidi="ar-SA"/>
        </w:rPr>
        <w:t>进度要求，采购人将委托监理机构向中标</w:t>
      </w:r>
      <w:r>
        <w:rPr>
          <w:rFonts w:hint="eastAsia" w:asciiTheme="minorEastAsia" w:hAnsiTheme="minorEastAsia" w:eastAsiaTheme="minorEastAsia" w:cstheme="minorEastAsia"/>
          <w:color w:val="000000"/>
          <w:spacing w:val="11"/>
          <w:kern w:val="2"/>
          <w:sz w:val="24"/>
          <w:szCs w:val="24"/>
          <w:lang w:val="en-US" w:eastAsia="en-US" w:bidi="ar-SA"/>
        </w:rPr>
        <w:t>供应商发出书面催</w:t>
      </w:r>
      <w:r>
        <w:rPr>
          <w:rFonts w:hint="eastAsia" w:asciiTheme="minorEastAsia" w:hAnsiTheme="minorEastAsia" w:eastAsiaTheme="minorEastAsia" w:cstheme="minorEastAsia"/>
          <w:color w:val="000000"/>
          <w:spacing w:val="1"/>
          <w:kern w:val="2"/>
          <w:sz w:val="24"/>
          <w:szCs w:val="24"/>
          <w:lang w:val="en-US" w:eastAsia="en-US" w:bidi="ar-SA"/>
        </w:rPr>
        <w:t>告，要求其在合理期限内整改并满足进度要求。若中标供应商</w:t>
      </w:r>
      <w:r>
        <w:rPr>
          <w:rFonts w:hint="eastAsia" w:asciiTheme="minorEastAsia" w:hAnsiTheme="minorEastAsia" w:eastAsiaTheme="minorEastAsia" w:cstheme="minorEastAsia"/>
          <w:color w:val="000000"/>
          <w:spacing w:val="5"/>
          <w:kern w:val="2"/>
          <w:sz w:val="24"/>
          <w:szCs w:val="24"/>
          <w:lang w:val="en-US" w:eastAsia="en-US" w:bidi="ar-SA"/>
        </w:rPr>
        <w:t>在达到催告期限后</w:t>
      </w:r>
      <w:r>
        <w:rPr>
          <w:rFonts w:hint="eastAsia" w:asciiTheme="minorEastAsia" w:hAnsiTheme="minorEastAsia" w:eastAsiaTheme="minorEastAsia" w:cstheme="minorEastAsia"/>
          <w:color w:val="000000"/>
          <w:spacing w:val="5"/>
          <w:kern w:val="2"/>
          <w:sz w:val="24"/>
          <w:szCs w:val="24"/>
          <w:lang w:val="en-US" w:eastAsia="zh-CN" w:bidi="ar-SA"/>
        </w:rPr>
        <w:t>，</w:t>
      </w:r>
      <w:r>
        <w:rPr>
          <w:rFonts w:hint="eastAsia" w:asciiTheme="minorEastAsia" w:hAnsiTheme="minorEastAsia" w:eastAsiaTheme="minorEastAsia" w:cstheme="minorEastAsia"/>
          <w:color w:val="000000"/>
          <w:spacing w:val="1"/>
          <w:kern w:val="2"/>
          <w:sz w:val="24"/>
          <w:szCs w:val="24"/>
          <w:lang w:val="en-US" w:eastAsia="en-US" w:bidi="ar-SA"/>
        </w:rPr>
        <w:t>投入人员和机械仍未</w:t>
      </w:r>
      <w:r>
        <w:rPr>
          <w:rFonts w:hint="eastAsia" w:asciiTheme="minorEastAsia" w:hAnsiTheme="minorEastAsia" w:eastAsiaTheme="minorEastAsia" w:cstheme="minorEastAsia"/>
          <w:color w:val="000000"/>
          <w:spacing w:val="4"/>
          <w:kern w:val="2"/>
          <w:sz w:val="24"/>
          <w:szCs w:val="24"/>
          <w:lang w:val="en-US" w:eastAsia="en-US" w:bidi="ar-SA"/>
        </w:rPr>
        <w:t>能满足进度要求的</w:t>
      </w:r>
      <w:r>
        <w:rPr>
          <w:rFonts w:hint="eastAsia" w:asciiTheme="minorEastAsia" w:hAnsiTheme="minorEastAsia" w:eastAsiaTheme="minorEastAsia" w:cstheme="minorEastAsia"/>
          <w:color w:val="000000"/>
          <w:spacing w:val="4"/>
          <w:kern w:val="2"/>
          <w:sz w:val="24"/>
          <w:szCs w:val="24"/>
          <w:lang w:val="en-US" w:eastAsia="zh-CN" w:bidi="ar-SA"/>
        </w:rPr>
        <w:t>，</w:t>
      </w:r>
      <w:r>
        <w:rPr>
          <w:rFonts w:hint="eastAsia" w:asciiTheme="minorEastAsia" w:hAnsiTheme="minorEastAsia" w:eastAsiaTheme="minorEastAsia" w:cstheme="minorEastAsia"/>
          <w:color w:val="000000"/>
          <w:spacing w:val="-1"/>
          <w:kern w:val="2"/>
          <w:sz w:val="24"/>
          <w:szCs w:val="24"/>
          <w:lang w:val="en-US" w:eastAsia="en-US" w:bidi="ar-SA"/>
        </w:rPr>
        <w:t>采购人有权单方面解</w:t>
      </w:r>
      <w:r>
        <w:rPr>
          <w:rFonts w:hint="eastAsia" w:asciiTheme="minorEastAsia" w:hAnsiTheme="minorEastAsia" w:eastAsiaTheme="minorEastAsia" w:cstheme="minorEastAsia"/>
          <w:color w:val="000000"/>
          <w:spacing w:val="1"/>
          <w:kern w:val="2"/>
          <w:sz w:val="24"/>
          <w:szCs w:val="24"/>
          <w:lang w:val="en-US" w:eastAsia="en-US" w:bidi="ar-SA"/>
        </w:rPr>
        <w:t>除合同，中标供应商</w:t>
      </w:r>
      <w:r>
        <w:rPr>
          <w:rFonts w:hint="eastAsia" w:asciiTheme="minorEastAsia" w:hAnsiTheme="minorEastAsia" w:eastAsiaTheme="minorEastAsia" w:cstheme="minorEastAsia"/>
          <w:color w:val="000000"/>
          <w:kern w:val="2"/>
          <w:sz w:val="24"/>
          <w:szCs w:val="24"/>
          <w:lang w:val="en-US" w:eastAsia="en-US" w:bidi="ar-SA"/>
        </w:rPr>
        <w:t>负全部责任。</w:t>
      </w:r>
    </w:p>
    <w:p w14:paraId="4E10C22C">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0" w:firstLineChars="200"/>
        <w:jc w:val="both"/>
        <w:textAlignment w:val="baseline"/>
        <w:rPr>
          <w:rFonts w:hint="eastAsia" w:asciiTheme="minorEastAsia" w:hAnsiTheme="minorEastAsia" w:eastAsiaTheme="minorEastAsia" w:cstheme="minorEastAsia"/>
          <w:color w:val="000000"/>
          <w:spacing w:val="1"/>
          <w:kern w:val="2"/>
          <w:sz w:val="24"/>
          <w:szCs w:val="24"/>
          <w:lang w:val="en-US" w:eastAsia="en-US" w:bidi="ar-SA"/>
        </w:rPr>
      </w:pPr>
      <w:r>
        <w:rPr>
          <w:rFonts w:hint="eastAsia" w:asciiTheme="minorEastAsia" w:hAnsiTheme="minorEastAsia" w:eastAsiaTheme="minorEastAsia" w:cstheme="minorEastAsia"/>
          <w:color w:val="000000"/>
          <w:kern w:val="2"/>
          <w:sz w:val="24"/>
          <w:szCs w:val="24"/>
          <w:lang w:val="en-US" w:eastAsia="zh-CN" w:bidi="ar-SA"/>
        </w:rPr>
        <w:t>⑤</w:t>
      </w:r>
      <w:r>
        <w:rPr>
          <w:rFonts w:hint="eastAsia" w:asciiTheme="minorEastAsia" w:hAnsiTheme="minorEastAsia" w:eastAsiaTheme="minorEastAsia" w:cstheme="minorEastAsia"/>
          <w:color w:val="000000"/>
          <w:kern w:val="2"/>
          <w:sz w:val="24"/>
          <w:szCs w:val="24"/>
          <w:lang w:val="en-US" w:eastAsia="en-US" w:bidi="ar-SA"/>
        </w:rPr>
        <w:t>中标</w:t>
      </w:r>
      <w:r>
        <w:rPr>
          <w:rFonts w:hint="eastAsia" w:asciiTheme="minorEastAsia" w:hAnsiTheme="minorEastAsia" w:eastAsiaTheme="minorEastAsia" w:cstheme="minorEastAsia"/>
          <w:color w:val="000000"/>
          <w:spacing w:val="-1"/>
          <w:kern w:val="2"/>
          <w:sz w:val="24"/>
          <w:szCs w:val="24"/>
          <w:lang w:val="en-US" w:eastAsia="en-US" w:bidi="ar-SA"/>
        </w:rPr>
        <w:t>供应商发生拖欠工人</w:t>
      </w:r>
      <w:r>
        <w:rPr>
          <w:rFonts w:hint="eastAsia" w:asciiTheme="minorEastAsia" w:hAnsiTheme="minorEastAsia" w:eastAsiaTheme="minorEastAsia" w:cstheme="minorEastAsia"/>
          <w:color w:val="000000"/>
          <w:spacing w:val="-2"/>
          <w:kern w:val="2"/>
          <w:sz w:val="24"/>
          <w:szCs w:val="24"/>
          <w:lang w:val="en-US" w:eastAsia="en-US" w:bidi="ar-SA"/>
        </w:rPr>
        <w:t>工资的行为，采购人</w:t>
      </w:r>
      <w:r>
        <w:rPr>
          <w:rFonts w:hint="eastAsia" w:asciiTheme="minorEastAsia" w:hAnsiTheme="minorEastAsia" w:eastAsiaTheme="minorEastAsia" w:cstheme="minorEastAsia"/>
          <w:color w:val="000000"/>
          <w:spacing w:val="1"/>
          <w:kern w:val="2"/>
          <w:sz w:val="24"/>
          <w:szCs w:val="24"/>
          <w:lang w:val="en-US" w:eastAsia="en-US" w:bidi="ar-SA"/>
        </w:rPr>
        <w:t>有权直接将项目进度</w:t>
      </w:r>
      <w:r>
        <w:rPr>
          <w:rFonts w:hint="eastAsia" w:asciiTheme="minorEastAsia" w:hAnsiTheme="minorEastAsia" w:eastAsiaTheme="minorEastAsia" w:cstheme="minorEastAsia"/>
          <w:color w:val="000000"/>
          <w:spacing w:val="13"/>
          <w:kern w:val="2"/>
          <w:sz w:val="24"/>
          <w:szCs w:val="24"/>
          <w:lang w:val="en-US" w:eastAsia="en-US" w:bidi="ar-SA"/>
        </w:rPr>
        <w:t>款用于发放工人工</w:t>
      </w:r>
      <w:r>
        <w:rPr>
          <w:rFonts w:hint="eastAsia" w:asciiTheme="minorEastAsia" w:hAnsiTheme="minorEastAsia" w:eastAsiaTheme="minorEastAsia" w:cstheme="minorEastAsia"/>
          <w:color w:val="000000"/>
          <w:spacing w:val="1"/>
          <w:kern w:val="2"/>
          <w:sz w:val="24"/>
          <w:szCs w:val="24"/>
          <w:lang w:val="en-US" w:eastAsia="en-US" w:bidi="ar-SA"/>
        </w:rPr>
        <w:t>资，中标供应商须提</w:t>
      </w:r>
      <w:r>
        <w:rPr>
          <w:rFonts w:hint="eastAsia" w:asciiTheme="minorEastAsia" w:hAnsiTheme="minorEastAsia" w:eastAsiaTheme="minorEastAsia" w:cstheme="minorEastAsia"/>
          <w:color w:val="000000"/>
          <w:spacing w:val="11"/>
          <w:kern w:val="2"/>
          <w:sz w:val="24"/>
          <w:szCs w:val="24"/>
          <w:lang w:val="en-US" w:eastAsia="en-US" w:bidi="ar-SA"/>
        </w:rPr>
        <w:t>供必要的配合及手</w:t>
      </w:r>
      <w:r>
        <w:rPr>
          <w:rFonts w:hint="eastAsia" w:asciiTheme="minorEastAsia" w:hAnsiTheme="minorEastAsia" w:eastAsiaTheme="minorEastAsia" w:cstheme="minorEastAsia"/>
          <w:color w:val="000000"/>
          <w:spacing w:val="-2"/>
          <w:kern w:val="2"/>
          <w:sz w:val="24"/>
          <w:szCs w:val="24"/>
          <w:lang w:val="en-US" w:eastAsia="en-US" w:bidi="ar-SA"/>
        </w:rPr>
        <w:t>续，同时按应付工人</w:t>
      </w:r>
      <w:r>
        <w:rPr>
          <w:rFonts w:hint="eastAsia" w:asciiTheme="minorEastAsia" w:hAnsiTheme="minorEastAsia" w:eastAsiaTheme="minorEastAsia" w:cstheme="minorEastAsia"/>
          <w:color w:val="000000"/>
          <w:spacing w:val="9"/>
          <w:kern w:val="2"/>
          <w:sz w:val="24"/>
          <w:szCs w:val="24"/>
          <w:lang w:val="en-US" w:eastAsia="en-US" w:bidi="ar-SA"/>
        </w:rPr>
        <w:t>工资总额的</w:t>
      </w:r>
      <w:r>
        <w:rPr>
          <w:rFonts w:hint="eastAsia" w:asciiTheme="minorEastAsia" w:hAnsiTheme="minorEastAsia" w:eastAsiaTheme="minorEastAsia" w:cstheme="minorEastAsia"/>
          <w:color w:val="000000"/>
          <w:spacing w:val="9"/>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9"/>
          <w:kern w:val="2"/>
          <w:sz w:val="24"/>
          <w:szCs w:val="24"/>
          <w:u w:val="single"/>
          <w:lang w:val="en-US" w:eastAsia="en-US" w:bidi="ar-SA"/>
        </w:rPr>
        <w:t>1%</w:t>
      </w:r>
      <w:r>
        <w:rPr>
          <w:rFonts w:hint="eastAsia" w:asciiTheme="minorEastAsia" w:hAnsiTheme="minorEastAsia" w:eastAsiaTheme="minorEastAsia" w:cstheme="minorEastAsia"/>
          <w:b/>
          <w:bCs/>
          <w:color w:val="000000"/>
          <w:spacing w:val="9"/>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9"/>
          <w:kern w:val="2"/>
          <w:sz w:val="24"/>
          <w:szCs w:val="24"/>
          <w:lang w:val="en-US" w:eastAsia="en-US" w:bidi="ar-SA"/>
        </w:rPr>
        <w:t>向采</w:t>
      </w:r>
      <w:r>
        <w:rPr>
          <w:rFonts w:hint="eastAsia" w:asciiTheme="minorEastAsia" w:hAnsiTheme="minorEastAsia" w:eastAsiaTheme="minorEastAsia" w:cstheme="minorEastAsia"/>
          <w:color w:val="000000"/>
          <w:spacing w:val="-1"/>
          <w:kern w:val="2"/>
          <w:sz w:val="24"/>
          <w:szCs w:val="24"/>
          <w:lang w:val="en-US" w:eastAsia="en-US" w:bidi="ar-SA"/>
        </w:rPr>
        <w:t>购人支付违约金，并</w:t>
      </w:r>
      <w:r>
        <w:rPr>
          <w:rFonts w:hint="eastAsia" w:asciiTheme="minorEastAsia" w:hAnsiTheme="minorEastAsia" w:eastAsiaTheme="minorEastAsia" w:cstheme="minorEastAsia"/>
          <w:color w:val="000000"/>
          <w:spacing w:val="1"/>
          <w:kern w:val="2"/>
          <w:sz w:val="24"/>
          <w:szCs w:val="24"/>
          <w:lang w:val="en-US" w:eastAsia="en-US" w:bidi="ar-SA"/>
        </w:rPr>
        <w:t>赔偿给采购人造成的损失。</w:t>
      </w:r>
    </w:p>
    <w:p w14:paraId="35F03560">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4" w:firstLineChars="200"/>
        <w:jc w:val="both"/>
        <w:textAlignment w:val="baseline"/>
        <w:rPr>
          <w:rFonts w:hint="eastAsia" w:asciiTheme="minorEastAsia" w:hAnsiTheme="minorEastAsia" w:eastAsiaTheme="minorEastAsia" w:cstheme="minorEastAsia"/>
          <w:color w:val="000000"/>
          <w:spacing w:val="1"/>
          <w:kern w:val="2"/>
          <w:sz w:val="24"/>
          <w:szCs w:val="24"/>
          <w:lang w:val="en-US" w:eastAsia="en-US" w:bidi="ar-SA"/>
        </w:rPr>
      </w:pPr>
      <w:r>
        <w:rPr>
          <w:rFonts w:hint="eastAsia" w:asciiTheme="minorEastAsia" w:hAnsiTheme="minorEastAsia" w:eastAsiaTheme="minorEastAsia" w:cstheme="minorEastAsia"/>
          <w:color w:val="000000"/>
          <w:spacing w:val="1"/>
          <w:kern w:val="2"/>
          <w:sz w:val="24"/>
          <w:szCs w:val="24"/>
          <w:lang w:val="en-US" w:eastAsia="zh-CN" w:bidi="ar-SA"/>
        </w:rPr>
        <w:t>⑥</w:t>
      </w:r>
      <w:r>
        <w:rPr>
          <w:rFonts w:hint="eastAsia" w:asciiTheme="minorEastAsia" w:hAnsiTheme="minorEastAsia" w:eastAsiaTheme="minorEastAsia" w:cstheme="minorEastAsia"/>
          <w:color w:val="000000"/>
          <w:spacing w:val="1"/>
          <w:kern w:val="2"/>
          <w:sz w:val="24"/>
          <w:szCs w:val="24"/>
          <w:lang w:val="en-US" w:eastAsia="en-US" w:bidi="ar-SA"/>
        </w:rPr>
        <w:t>中标供应商未能有效处理施</w:t>
      </w:r>
      <w:r>
        <w:rPr>
          <w:rFonts w:hint="eastAsia" w:asciiTheme="minorEastAsia" w:hAnsiTheme="minorEastAsia" w:eastAsiaTheme="minorEastAsia" w:cstheme="minorEastAsia"/>
          <w:color w:val="000000"/>
          <w:spacing w:val="-2"/>
          <w:kern w:val="2"/>
          <w:sz w:val="24"/>
          <w:szCs w:val="24"/>
          <w:lang w:val="en-US" w:eastAsia="en-US" w:bidi="ar-SA"/>
        </w:rPr>
        <w:t>工过程中的纠纷，造</w:t>
      </w:r>
      <w:r>
        <w:rPr>
          <w:rFonts w:hint="eastAsia" w:asciiTheme="minorEastAsia" w:hAnsiTheme="minorEastAsia" w:eastAsiaTheme="minorEastAsia" w:cstheme="minorEastAsia"/>
          <w:color w:val="000000"/>
          <w:spacing w:val="1"/>
          <w:kern w:val="2"/>
          <w:sz w:val="24"/>
          <w:szCs w:val="24"/>
          <w:lang w:val="en-US" w:eastAsia="en-US" w:bidi="ar-SA"/>
        </w:rPr>
        <w:t>成</w:t>
      </w:r>
      <w:r>
        <w:rPr>
          <w:rFonts w:hint="eastAsia" w:asciiTheme="minorEastAsia" w:hAnsiTheme="minorEastAsia" w:eastAsiaTheme="minorEastAsia" w:cstheme="minorEastAsia"/>
          <w:color w:val="000000"/>
          <w:spacing w:val="1"/>
          <w:kern w:val="2"/>
          <w:sz w:val="24"/>
          <w:szCs w:val="24"/>
          <w:lang w:val="en-US" w:eastAsia="zh-CN" w:bidi="ar-SA"/>
        </w:rPr>
        <w:t>严重</w:t>
      </w:r>
      <w:r>
        <w:rPr>
          <w:rFonts w:hint="eastAsia" w:asciiTheme="minorEastAsia" w:hAnsiTheme="minorEastAsia" w:eastAsiaTheme="minorEastAsia" w:cstheme="minorEastAsia"/>
          <w:color w:val="000000"/>
          <w:spacing w:val="1"/>
          <w:kern w:val="2"/>
          <w:sz w:val="24"/>
          <w:szCs w:val="24"/>
          <w:lang w:val="en-US" w:eastAsia="en-US" w:bidi="ar-SA"/>
        </w:rPr>
        <w:t>影响进度或导致项目无法实施的，采购</w:t>
      </w:r>
      <w:r>
        <w:rPr>
          <w:rFonts w:hint="eastAsia" w:asciiTheme="minorEastAsia" w:hAnsiTheme="minorEastAsia" w:eastAsiaTheme="minorEastAsia" w:cstheme="minorEastAsia"/>
          <w:color w:val="000000"/>
          <w:spacing w:val="-2"/>
          <w:kern w:val="2"/>
          <w:sz w:val="24"/>
          <w:szCs w:val="24"/>
          <w:lang w:val="en-US" w:eastAsia="en-US" w:bidi="ar-SA"/>
        </w:rPr>
        <w:t>人有权单方面解除合</w:t>
      </w:r>
      <w:r>
        <w:rPr>
          <w:rFonts w:hint="eastAsia" w:asciiTheme="minorEastAsia" w:hAnsiTheme="minorEastAsia" w:eastAsiaTheme="minorEastAsia" w:cstheme="minorEastAsia"/>
          <w:color w:val="000000"/>
          <w:spacing w:val="1"/>
          <w:kern w:val="2"/>
          <w:sz w:val="24"/>
          <w:szCs w:val="24"/>
          <w:lang w:val="en-US" w:eastAsia="en-US" w:bidi="ar-SA"/>
        </w:rPr>
        <w:t>同。</w:t>
      </w:r>
    </w:p>
    <w:p w14:paraId="2388E412">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4" w:firstLineChars="200"/>
        <w:jc w:val="both"/>
        <w:textAlignment w:val="baseline"/>
        <w:rPr>
          <w:rFonts w:hint="eastAsia" w:asciiTheme="minorEastAsia" w:hAnsiTheme="minorEastAsia" w:eastAsiaTheme="minorEastAsia" w:cstheme="minorEastAsia"/>
          <w:color w:val="000000"/>
          <w:spacing w:val="-6"/>
          <w:kern w:val="2"/>
          <w:sz w:val="24"/>
          <w:szCs w:val="24"/>
          <w:lang w:val="en-US" w:eastAsia="en-US" w:bidi="ar-SA"/>
        </w:rPr>
      </w:pPr>
      <w:r>
        <w:rPr>
          <w:rFonts w:hint="eastAsia" w:asciiTheme="minorEastAsia" w:hAnsiTheme="minorEastAsia" w:eastAsiaTheme="minorEastAsia" w:cstheme="minorEastAsia"/>
          <w:color w:val="000000"/>
          <w:spacing w:val="1"/>
          <w:kern w:val="2"/>
          <w:sz w:val="24"/>
          <w:szCs w:val="24"/>
          <w:lang w:val="en-US" w:eastAsia="zh-CN" w:bidi="ar-SA"/>
        </w:rPr>
        <w:t>⑦</w:t>
      </w:r>
      <w:r>
        <w:rPr>
          <w:rFonts w:hint="eastAsia" w:asciiTheme="minorEastAsia" w:hAnsiTheme="minorEastAsia" w:eastAsiaTheme="minorEastAsia" w:cstheme="minorEastAsia"/>
          <w:color w:val="000000"/>
          <w:spacing w:val="1"/>
          <w:kern w:val="2"/>
          <w:sz w:val="24"/>
          <w:szCs w:val="24"/>
          <w:lang w:val="en-US" w:eastAsia="en-US" w:bidi="ar-SA"/>
        </w:rPr>
        <w:t>中标供应商不履行或不按约定履行</w:t>
      </w:r>
      <w:r>
        <w:rPr>
          <w:rFonts w:hint="eastAsia" w:asciiTheme="minorEastAsia" w:hAnsiTheme="minorEastAsia" w:eastAsiaTheme="minorEastAsia" w:cstheme="minorEastAsia"/>
          <w:color w:val="000000"/>
          <w:spacing w:val="-1"/>
          <w:kern w:val="2"/>
          <w:sz w:val="24"/>
          <w:szCs w:val="24"/>
          <w:lang w:val="en-US" w:eastAsia="en-US" w:bidi="ar-SA"/>
        </w:rPr>
        <w:t>其在本合同项下的其</w:t>
      </w:r>
      <w:r>
        <w:rPr>
          <w:rFonts w:hint="eastAsia" w:asciiTheme="minorEastAsia" w:hAnsiTheme="minorEastAsia" w:eastAsiaTheme="minorEastAsia" w:cstheme="minorEastAsia"/>
          <w:color w:val="000000"/>
          <w:spacing w:val="-3"/>
          <w:kern w:val="2"/>
          <w:sz w:val="24"/>
          <w:szCs w:val="24"/>
          <w:lang w:val="en-US" w:eastAsia="en-US" w:bidi="ar-SA"/>
        </w:rPr>
        <w:t>他义务，应当承担继</w:t>
      </w:r>
      <w:r>
        <w:rPr>
          <w:rFonts w:hint="eastAsia" w:asciiTheme="minorEastAsia" w:hAnsiTheme="minorEastAsia" w:eastAsiaTheme="minorEastAsia" w:cstheme="minorEastAsia"/>
          <w:color w:val="000000"/>
          <w:kern w:val="2"/>
          <w:sz w:val="24"/>
          <w:szCs w:val="24"/>
          <w:lang w:val="en-US" w:eastAsia="en-US" w:bidi="ar-SA"/>
        </w:rPr>
        <w:t>续履行，采取补救措</w:t>
      </w:r>
      <w:r>
        <w:rPr>
          <w:rFonts w:hint="eastAsia" w:asciiTheme="minorEastAsia" w:hAnsiTheme="minorEastAsia" w:eastAsiaTheme="minorEastAsia" w:cstheme="minorEastAsia"/>
          <w:color w:val="000000"/>
          <w:spacing w:val="-2"/>
          <w:kern w:val="2"/>
          <w:sz w:val="24"/>
          <w:szCs w:val="24"/>
          <w:lang w:val="en-US" w:eastAsia="en-US" w:bidi="ar-SA"/>
        </w:rPr>
        <w:t>施或者赔偿损失等违</w:t>
      </w:r>
      <w:r>
        <w:rPr>
          <w:rFonts w:hint="eastAsia" w:asciiTheme="minorEastAsia" w:hAnsiTheme="minorEastAsia" w:eastAsiaTheme="minorEastAsia" w:cstheme="minorEastAsia"/>
          <w:color w:val="000000"/>
          <w:spacing w:val="-1"/>
          <w:kern w:val="2"/>
          <w:sz w:val="24"/>
          <w:szCs w:val="24"/>
          <w:lang w:val="en-US" w:eastAsia="en-US" w:bidi="ar-SA"/>
        </w:rPr>
        <w:t>约责任，因中标供应</w:t>
      </w:r>
      <w:r>
        <w:rPr>
          <w:rFonts w:hint="eastAsia" w:asciiTheme="minorEastAsia" w:hAnsiTheme="minorEastAsia" w:eastAsiaTheme="minorEastAsia" w:cstheme="minorEastAsia"/>
          <w:color w:val="000000"/>
          <w:kern w:val="2"/>
          <w:sz w:val="24"/>
          <w:szCs w:val="24"/>
          <w:lang w:val="en-US" w:eastAsia="en-US" w:bidi="ar-SA"/>
        </w:rPr>
        <w:t>商违约导致工期延误</w:t>
      </w:r>
      <w:r>
        <w:rPr>
          <w:rFonts w:hint="eastAsia" w:asciiTheme="minorEastAsia" w:hAnsiTheme="minorEastAsia" w:eastAsiaTheme="minorEastAsia" w:cstheme="minorEastAsia"/>
          <w:color w:val="000000"/>
          <w:spacing w:val="-6"/>
          <w:kern w:val="2"/>
          <w:sz w:val="24"/>
          <w:szCs w:val="24"/>
          <w:lang w:val="en-US" w:eastAsia="en-US" w:bidi="ar-SA"/>
        </w:rPr>
        <w:t>的，工期不予顺延。</w:t>
      </w:r>
    </w:p>
    <w:p w14:paraId="076456C6">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56" w:firstLineChars="200"/>
        <w:jc w:val="both"/>
        <w:textAlignment w:val="baseline"/>
        <w:rPr>
          <w:rFonts w:hint="eastAsia" w:asciiTheme="minorEastAsia" w:hAnsiTheme="minorEastAsia" w:eastAsiaTheme="minorEastAsia" w:cstheme="minorEastAsia"/>
          <w:color w:val="000000"/>
          <w:spacing w:val="-1"/>
          <w:kern w:val="2"/>
          <w:sz w:val="24"/>
          <w:szCs w:val="24"/>
          <w:lang w:val="en-US" w:eastAsia="en-US" w:bidi="ar-SA"/>
        </w:rPr>
      </w:pPr>
      <w:r>
        <w:rPr>
          <w:rFonts w:hint="eastAsia" w:asciiTheme="minorEastAsia" w:hAnsiTheme="minorEastAsia" w:eastAsiaTheme="minorEastAsia" w:cstheme="minorEastAsia"/>
          <w:color w:val="000000"/>
          <w:spacing w:val="-6"/>
          <w:kern w:val="2"/>
          <w:sz w:val="24"/>
          <w:szCs w:val="24"/>
          <w:lang w:val="en-US" w:eastAsia="zh-CN" w:bidi="ar-SA"/>
        </w:rPr>
        <w:t>⑧</w:t>
      </w:r>
      <w:r>
        <w:rPr>
          <w:rFonts w:hint="eastAsia" w:asciiTheme="minorEastAsia" w:hAnsiTheme="minorEastAsia" w:eastAsiaTheme="minorEastAsia" w:cstheme="minorEastAsia"/>
          <w:color w:val="000000"/>
          <w:spacing w:val="1"/>
          <w:kern w:val="2"/>
          <w:sz w:val="24"/>
          <w:szCs w:val="24"/>
          <w:lang w:val="en-US" w:eastAsia="en-US" w:bidi="ar-SA"/>
        </w:rPr>
        <w:t>中标供应商应严格遵</w:t>
      </w:r>
      <w:r>
        <w:rPr>
          <w:rFonts w:hint="eastAsia" w:asciiTheme="minorEastAsia" w:hAnsiTheme="minorEastAsia" w:eastAsiaTheme="minorEastAsia" w:cstheme="minorEastAsia"/>
          <w:color w:val="000000"/>
          <w:kern w:val="2"/>
          <w:sz w:val="24"/>
          <w:szCs w:val="24"/>
          <w:lang w:val="en-US" w:eastAsia="en-US" w:bidi="ar-SA"/>
        </w:rPr>
        <w:t>守森林防火规定，禁</w:t>
      </w:r>
      <w:r>
        <w:rPr>
          <w:rFonts w:hint="eastAsia" w:asciiTheme="minorEastAsia" w:hAnsiTheme="minorEastAsia" w:eastAsiaTheme="minorEastAsia" w:cstheme="minorEastAsia"/>
          <w:color w:val="000000"/>
          <w:spacing w:val="1"/>
          <w:kern w:val="2"/>
          <w:sz w:val="24"/>
          <w:szCs w:val="24"/>
          <w:lang w:val="en-US" w:eastAsia="en-US" w:bidi="ar-SA"/>
        </w:rPr>
        <w:t>止其派出人员在本项</w:t>
      </w:r>
      <w:r>
        <w:rPr>
          <w:rFonts w:hint="eastAsia" w:asciiTheme="minorEastAsia" w:hAnsiTheme="minorEastAsia" w:eastAsiaTheme="minorEastAsia" w:cstheme="minorEastAsia"/>
          <w:color w:val="000000"/>
          <w:kern w:val="2"/>
          <w:sz w:val="24"/>
          <w:szCs w:val="24"/>
          <w:lang w:val="en-US" w:eastAsia="en-US" w:bidi="ar-SA"/>
        </w:rPr>
        <w:t>目作业范围内进行吸</w:t>
      </w:r>
      <w:r>
        <w:rPr>
          <w:rFonts w:hint="eastAsia" w:asciiTheme="minorEastAsia" w:hAnsiTheme="minorEastAsia" w:eastAsiaTheme="minorEastAsia" w:cstheme="minorEastAsia"/>
          <w:color w:val="000000"/>
          <w:spacing w:val="-1"/>
          <w:kern w:val="2"/>
          <w:sz w:val="24"/>
          <w:szCs w:val="24"/>
          <w:lang w:val="en-US" w:eastAsia="en-US" w:bidi="ar-SA"/>
        </w:rPr>
        <w:t>烟、焚烧秸秆、明火</w:t>
      </w:r>
      <w:r>
        <w:rPr>
          <w:rFonts w:hint="eastAsia" w:asciiTheme="minorEastAsia" w:hAnsiTheme="minorEastAsia" w:eastAsiaTheme="minorEastAsia" w:cstheme="minorEastAsia"/>
          <w:color w:val="000000"/>
          <w:spacing w:val="1"/>
          <w:kern w:val="2"/>
          <w:sz w:val="24"/>
          <w:szCs w:val="24"/>
          <w:lang w:val="en-US" w:eastAsia="en-US" w:bidi="ar-SA"/>
        </w:rPr>
        <w:t>取暖等各种用火行</w:t>
      </w:r>
      <w:r>
        <w:rPr>
          <w:rFonts w:hint="eastAsia" w:asciiTheme="minorEastAsia" w:hAnsiTheme="minorEastAsia" w:eastAsiaTheme="minorEastAsia" w:cstheme="minorEastAsia"/>
          <w:color w:val="000000"/>
          <w:spacing w:val="-2"/>
          <w:kern w:val="2"/>
          <w:sz w:val="24"/>
          <w:szCs w:val="24"/>
          <w:lang w:val="en-US" w:eastAsia="en-US" w:bidi="ar-SA"/>
        </w:rPr>
        <w:t>为；禁止种植违禁植</w:t>
      </w:r>
      <w:r>
        <w:rPr>
          <w:rFonts w:hint="eastAsia" w:asciiTheme="minorEastAsia" w:hAnsiTheme="minorEastAsia" w:eastAsiaTheme="minorEastAsia" w:cstheme="minorEastAsia"/>
          <w:color w:val="000000"/>
          <w:spacing w:val="-1"/>
          <w:kern w:val="2"/>
          <w:sz w:val="24"/>
          <w:szCs w:val="24"/>
          <w:lang w:val="en-US" w:eastAsia="en-US" w:bidi="ar-SA"/>
        </w:rPr>
        <w:t>物、盗采野生保护植</w:t>
      </w:r>
      <w:r>
        <w:rPr>
          <w:rFonts w:hint="eastAsia" w:asciiTheme="minorEastAsia" w:hAnsiTheme="minorEastAsia" w:eastAsiaTheme="minorEastAsia" w:cstheme="minorEastAsia"/>
          <w:color w:val="000000"/>
          <w:spacing w:val="1"/>
          <w:kern w:val="2"/>
          <w:sz w:val="24"/>
          <w:szCs w:val="24"/>
          <w:lang w:val="en-US" w:eastAsia="en-US" w:bidi="ar-SA"/>
        </w:rPr>
        <w:t>物、捕捉野生保护动</w:t>
      </w:r>
      <w:r>
        <w:rPr>
          <w:rFonts w:hint="eastAsia" w:asciiTheme="minorEastAsia" w:hAnsiTheme="minorEastAsia" w:eastAsiaTheme="minorEastAsia" w:cstheme="minorEastAsia"/>
          <w:color w:val="000000"/>
          <w:spacing w:val="-1"/>
          <w:kern w:val="2"/>
          <w:sz w:val="24"/>
          <w:szCs w:val="24"/>
          <w:lang w:val="en-US" w:eastAsia="en-US" w:bidi="ar-SA"/>
        </w:rPr>
        <w:t>物。一经发现，中标供应商除自行承担该</w:t>
      </w:r>
      <w:r>
        <w:rPr>
          <w:rFonts w:hint="eastAsia" w:asciiTheme="minorEastAsia" w:hAnsiTheme="minorEastAsia" w:eastAsiaTheme="minorEastAsia" w:cstheme="minorEastAsia"/>
          <w:color w:val="000000"/>
          <w:spacing w:val="1"/>
          <w:kern w:val="2"/>
          <w:sz w:val="24"/>
          <w:szCs w:val="24"/>
          <w:lang w:val="en-US" w:eastAsia="en-US" w:bidi="ar-SA"/>
        </w:rPr>
        <w:t>行为造成的一切责</w:t>
      </w:r>
      <w:r>
        <w:rPr>
          <w:rFonts w:hint="eastAsia" w:asciiTheme="minorEastAsia" w:hAnsiTheme="minorEastAsia" w:eastAsiaTheme="minorEastAsia" w:cstheme="minorEastAsia"/>
          <w:color w:val="000000"/>
          <w:spacing w:val="-1"/>
          <w:kern w:val="2"/>
          <w:sz w:val="24"/>
          <w:szCs w:val="24"/>
          <w:lang w:val="en-US" w:eastAsia="en-US" w:bidi="ar-SA"/>
        </w:rPr>
        <w:t>任、损失并负责赔偿</w:t>
      </w:r>
      <w:r>
        <w:rPr>
          <w:rFonts w:hint="eastAsia" w:asciiTheme="minorEastAsia" w:hAnsiTheme="minorEastAsia" w:eastAsiaTheme="minorEastAsia" w:cstheme="minorEastAsia"/>
          <w:color w:val="000000"/>
          <w:spacing w:val="1"/>
          <w:kern w:val="2"/>
          <w:sz w:val="24"/>
          <w:szCs w:val="24"/>
          <w:lang w:val="en-US" w:eastAsia="en-US" w:bidi="ar-SA"/>
        </w:rPr>
        <w:t>外，还应当向采购人</w:t>
      </w:r>
      <w:r>
        <w:rPr>
          <w:rFonts w:hint="eastAsia" w:asciiTheme="minorEastAsia" w:hAnsiTheme="minorEastAsia" w:eastAsiaTheme="minorEastAsia" w:cstheme="minorEastAsia"/>
          <w:color w:val="000000"/>
          <w:spacing w:val="3"/>
          <w:kern w:val="2"/>
          <w:sz w:val="24"/>
          <w:szCs w:val="24"/>
          <w:lang w:val="en-US" w:eastAsia="en-US" w:bidi="ar-SA"/>
        </w:rPr>
        <w:t>支付违约金人民币</w:t>
      </w:r>
      <w:r>
        <w:rPr>
          <w:rFonts w:hint="eastAsia" w:asciiTheme="minorEastAsia" w:hAnsiTheme="minorEastAsia" w:eastAsiaTheme="minorEastAsia" w:cstheme="minorEastAsia"/>
          <w:color w:val="000000"/>
          <w:spacing w:val="3"/>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1"/>
          <w:kern w:val="2"/>
          <w:sz w:val="24"/>
          <w:szCs w:val="24"/>
          <w:u w:val="single"/>
          <w:lang w:val="en-US" w:eastAsia="en-US" w:bidi="ar-SA"/>
        </w:rPr>
        <w:t>1000</w:t>
      </w:r>
      <w:r>
        <w:rPr>
          <w:rFonts w:hint="eastAsia" w:asciiTheme="minorEastAsia" w:hAnsiTheme="minorEastAsia" w:eastAsiaTheme="minorEastAsia" w:cstheme="minorEastAsia"/>
          <w:b/>
          <w:bCs/>
          <w:color w:val="000000"/>
          <w:spacing w:val="1"/>
          <w:kern w:val="2"/>
          <w:sz w:val="24"/>
          <w:szCs w:val="24"/>
          <w:u w:val="single"/>
          <w:lang w:val="en-US" w:eastAsia="zh-CN" w:bidi="ar-SA"/>
        </w:rPr>
        <w:t xml:space="preserve">.00 </w:t>
      </w:r>
      <w:r>
        <w:rPr>
          <w:rFonts w:hint="eastAsia" w:asciiTheme="minorEastAsia" w:hAnsiTheme="minorEastAsia" w:eastAsiaTheme="minorEastAsia" w:cstheme="minorEastAsia"/>
          <w:color w:val="000000"/>
          <w:spacing w:val="1"/>
          <w:kern w:val="2"/>
          <w:sz w:val="24"/>
          <w:szCs w:val="24"/>
          <w:u w:val="single"/>
          <w:lang w:val="en-US" w:eastAsia="en-US" w:bidi="ar-SA"/>
        </w:rPr>
        <w:t>元/次</w:t>
      </w:r>
      <w:r>
        <w:rPr>
          <w:rFonts w:hint="eastAsia" w:asciiTheme="minorEastAsia" w:hAnsiTheme="minorEastAsia" w:eastAsiaTheme="minorEastAsia" w:cstheme="minorEastAsia"/>
          <w:color w:val="000000"/>
          <w:spacing w:val="1"/>
          <w:kern w:val="2"/>
          <w:sz w:val="24"/>
          <w:szCs w:val="24"/>
          <w:lang w:val="en-US" w:eastAsia="en-US" w:bidi="ar-SA"/>
        </w:rPr>
        <w:t>，采购人保留追究中标供应商责</w:t>
      </w:r>
      <w:r>
        <w:rPr>
          <w:rFonts w:hint="eastAsia" w:asciiTheme="minorEastAsia" w:hAnsiTheme="minorEastAsia" w:eastAsiaTheme="minorEastAsia" w:cstheme="minorEastAsia"/>
          <w:color w:val="000000"/>
          <w:spacing w:val="-1"/>
          <w:kern w:val="2"/>
          <w:sz w:val="24"/>
          <w:szCs w:val="24"/>
          <w:lang w:val="en-US" w:eastAsia="en-US" w:bidi="ar-SA"/>
        </w:rPr>
        <w:t>任的权利。</w:t>
      </w:r>
    </w:p>
    <w:p w14:paraId="72BEDF7C">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76" w:firstLineChars="200"/>
        <w:jc w:val="both"/>
        <w:textAlignment w:val="baseline"/>
        <w:rPr>
          <w:rFonts w:hint="eastAsia" w:asciiTheme="minorEastAsia" w:hAnsiTheme="minorEastAsia" w:eastAsiaTheme="minorEastAsia" w:cstheme="minorEastAsia"/>
          <w:color w:val="000000"/>
          <w:spacing w:val="1"/>
          <w:kern w:val="2"/>
          <w:sz w:val="24"/>
          <w:szCs w:val="24"/>
          <w:lang w:val="en-US" w:eastAsia="en-US" w:bidi="ar-SA"/>
        </w:rPr>
      </w:pPr>
      <w:r>
        <w:rPr>
          <w:rFonts w:hint="eastAsia" w:asciiTheme="minorEastAsia" w:hAnsiTheme="minorEastAsia" w:eastAsiaTheme="minorEastAsia" w:cstheme="minorEastAsia"/>
          <w:color w:val="000000"/>
          <w:spacing w:val="-1"/>
          <w:kern w:val="2"/>
          <w:sz w:val="24"/>
          <w:szCs w:val="24"/>
          <w:lang w:val="en-US" w:eastAsia="zh-CN" w:bidi="ar-SA"/>
        </w:rPr>
        <w:t>⑨</w:t>
      </w:r>
      <w:r>
        <w:rPr>
          <w:rFonts w:hint="eastAsia" w:asciiTheme="minorEastAsia" w:hAnsiTheme="minorEastAsia" w:eastAsiaTheme="minorEastAsia" w:cstheme="minorEastAsia"/>
          <w:color w:val="000000"/>
          <w:spacing w:val="-1"/>
          <w:kern w:val="2"/>
          <w:sz w:val="24"/>
          <w:szCs w:val="24"/>
          <w:lang w:val="en-US" w:eastAsia="en-US" w:bidi="ar-SA"/>
        </w:rPr>
        <w:t>合同履</w:t>
      </w:r>
      <w:r>
        <w:rPr>
          <w:rFonts w:hint="eastAsia" w:asciiTheme="minorEastAsia" w:hAnsiTheme="minorEastAsia" w:eastAsiaTheme="minorEastAsia" w:cstheme="minorEastAsia"/>
          <w:color w:val="000000"/>
          <w:spacing w:val="1"/>
          <w:kern w:val="2"/>
          <w:sz w:val="24"/>
          <w:szCs w:val="24"/>
          <w:lang w:val="en-US" w:eastAsia="en-US" w:bidi="ar-SA"/>
        </w:rPr>
        <w:t>行期间，履约保证金出现被扣除、没收或</w:t>
      </w:r>
      <w:r>
        <w:rPr>
          <w:rFonts w:hint="eastAsia" w:asciiTheme="minorEastAsia" w:hAnsiTheme="minorEastAsia" w:eastAsiaTheme="minorEastAsia" w:cstheme="minorEastAsia"/>
          <w:color w:val="000000"/>
          <w:spacing w:val="-1"/>
          <w:kern w:val="2"/>
          <w:sz w:val="24"/>
          <w:szCs w:val="24"/>
          <w:lang w:val="en-US" w:eastAsia="en-US" w:bidi="ar-SA"/>
        </w:rPr>
        <w:t>有效期过期的，中标供应商应于</w:t>
      </w:r>
      <w:r>
        <w:rPr>
          <w:rFonts w:hint="eastAsia" w:asciiTheme="minorEastAsia" w:hAnsiTheme="minorEastAsia" w:eastAsiaTheme="minorEastAsia" w:cstheme="minorEastAsia"/>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1"/>
          <w:kern w:val="2"/>
          <w:sz w:val="24"/>
          <w:szCs w:val="24"/>
          <w:u w:val="single"/>
          <w:lang w:val="en-US" w:eastAsia="en-US" w:bidi="ar-SA"/>
        </w:rPr>
        <w:t>7个工作</w:t>
      </w:r>
      <w:r>
        <w:rPr>
          <w:rFonts w:hint="eastAsia" w:asciiTheme="minorEastAsia" w:hAnsiTheme="minorEastAsia" w:eastAsiaTheme="minorEastAsia" w:cstheme="minorEastAsia"/>
          <w:b/>
          <w:bCs/>
          <w:color w:val="000000"/>
          <w:kern w:val="2"/>
          <w:sz w:val="24"/>
          <w:szCs w:val="24"/>
          <w:u w:val="single"/>
          <w:lang w:val="en-US" w:eastAsia="en-US" w:bidi="ar-SA"/>
        </w:rPr>
        <w:t>日</w:t>
      </w:r>
      <w:r>
        <w:rPr>
          <w:rFonts w:hint="eastAsia" w:asciiTheme="minorEastAsia" w:hAnsiTheme="minorEastAsia" w:eastAsiaTheme="minorEastAsia" w:cstheme="minorEastAsia"/>
          <w:color w:val="000000"/>
          <w:kern w:val="2"/>
          <w:sz w:val="24"/>
          <w:szCs w:val="24"/>
          <w:u w:val="single"/>
          <w:lang w:val="en-US" w:eastAsia="zh-CN" w:bidi="ar-SA"/>
        </w:rPr>
        <w:t xml:space="preserve"> </w:t>
      </w:r>
      <w:r>
        <w:rPr>
          <w:rFonts w:hint="eastAsia" w:asciiTheme="minorEastAsia" w:hAnsiTheme="minorEastAsia" w:eastAsiaTheme="minorEastAsia" w:cstheme="minorEastAsia"/>
          <w:color w:val="000000"/>
          <w:kern w:val="2"/>
          <w:sz w:val="24"/>
          <w:szCs w:val="24"/>
          <w:lang w:val="en-US" w:eastAsia="en-US" w:bidi="ar-SA"/>
        </w:rPr>
        <w:t>内向采购人补足被</w:t>
      </w:r>
      <w:r>
        <w:rPr>
          <w:rFonts w:hint="eastAsia" w:asciiTheme="minorEastAsia" w:hAnsiTheme="minorEastAsia" w:eastAsiaTheme="minorEastAsia" w:cstheme="minorEastAsia"/>
          <w:color w:val="000000"/>
          <w:spacing w:val="2"/>
          <w:kern w:val="2"/>
          <w:sz w:val="24"/>
          <w:szCs w:val="24"/>
          <w:lang w:val="en-US" w:eastAsia="en-US" w:bidi="ar-SA"/>
        </w:rPr>
        <w:t>扣除部分或按本合同</w:t>
      </w:r>
      <w:r>
        <w:rPr>
          <w:rFonts w:hint="eastAsia" w:asciiTheme="minorEastAsia" w:hAnsiTheme="minorEastAsia" w:eastAsiaTheme="minorEastAsia" w:cstheme="minorEastAsia"/>
          <w:color w:val="000000"/>
          <w:spacing w:val="1"/>
          <w:kern w:val="2"/>
          <w:sz w:val="24"/>
          <w:szCs w:val="24"/>
          <w:lang w:val="en-US" w:eastAsia="en-US" w:bidi="ar-SA"/>
        </w:rPr>
        <w:t>约定重新出具合法有</w:t>
      </w:r>
      <w:r>
        <w:rPr>
          <w:rFonts w:hint="eastAsia" w:asciiTheme="minorEastAsia" w:hAnsiTheme="minorEastAsia" w:eastAsiaTheme="minorEastAsia" w:cstheme="minorEastAsia"/>
          <w:color w:val="000000"/>
          <w:kern w:val="2"/>
          <w:sz w:val="24"/>
          <w:szCs w:val="24"/>
          <w:lang w:val="en-US" w:eastAsia="en-US" w:bidi="ar-SA"/>
        </w:rPr>
        <w:t>效的银行保函</w:t>
      </w:r>
      <w:r>
        <w:rPr>
          <w:rFonts w:hint="eastAsia" w:asciiTheme="minorEastAsia" w:hAnsiTheme="minorEastAsia" w:eastAsiaTheme="minorEastAsia" w:cstheme="minorEastAsia"/>
          <w:color w:val="000000"/>
          <w:kern w:val="2"/>
          <w:sz w:val="24"/>
          <w:szCs w:val="24"/>
          <w:lang w:val="en-US" w:eastAsia="zh-CN" w:bidi="ar-SA"/>
        </w:rPr>
        <w:t>、</w:t>
      </w:r>
      <w:r>
        <w:rPr>
          <w:rFonts w:hint="eastAsia" w:asciiTheme="minorEastAsia" w:hAnsiTheme="minorEastAsia" w:eastAsiaTheme="minorEastAsia" w:cstheme="minorEastAsia"/>
          <w:color w:val="000000"/>
          <w:kern w:val="2"/>
          <w:sz w:val="24"/>
          <w:szCs w:val="24"/>
          <w:lang w:val="en-US" w:eastAsia="en-US" w:bidi="ar-SA"/>
        </w:rPr>
        <w:t>担</w:t>
      </w:r>
      <w:r>
        <w:rPr>
          <w:rFonts w:hint="eastAsia" w:asciiTheme="minorEastAsia" w:hAnsiTheme="minorEastAsia" w:eastAsiaTheme="minorEastAsia" w:cstheme="minorEastAsia"/>
          <w:color w:val="000000"/>
          <w:kern w:val="2"/>
          <w:sz w:val="24"/>
          <w:szCs w:val="24"/>
          <w:lang w:val="en-US" w:eastAsia="zh-CN" w:bidi="ar-SA"/>
        </w:rPr>
        <w:t>保</w:t>
      </w:r>
      <w:r>
        <w:rPr>
          <w:rFonts w:hint="eastAsia" w:asciiTheme="minorEastAsia" w:hAnsiTheme="minorEastAsia" w:eastAsiaTheme="minorEastAsia" w:cstheme="minorEastAsia"/>
          <w:color w:val="000000"/>
          <w:kern w:val="2"/>
          <w:sz w:val="24"/>
          <w:szCs w:val="24"/>
          <w:lang w:val="en-US" w:eastAsia="en-US" w:bidi="ar-SA"/>
        </w:rPr>
        <w:t>保</w:t>
      </w:r>
      <w:r>
        <w:rPr>
          <w:rFonts w:hint="eastAsia" w:asciiTheme="minorEastAsia" w:hAnsiTheme="minorEastAsia" w:eastAsiaTheme="minorEastAsia" w:cstheme="minorEastAsia"/>
          <w:color w:val="000000"/>
          <w:spacing w:val="1"/>
          <w:kern w:val="2"/>
          <w:sz w:val="24"/>
          <w:szCs w:val="24"/>
          <w:lang w:val="en-US" w:eastAsia="en-US" w:bidi="ar-SA"/>
        </w:rPr>
        <w:t>函</w:t>
      </w:r>
      <w:r>
        <w:rPr>
          <w:rFonts w:hint="eastAsia" w:asciiTheme="minorEastAsia" w:hAnsiTheme="minorEastAsia" w:eastAsiaTheme="minorEastAsia" w:cstheme="minorEastAsia"/>
          <w:color w:val="000000"/>
          <w:spacing w:val="1"/>
          <w:kern w:val="2"/>
          <w:sz w:val="24"/>
          <w:szCs w:val="24"/>
          <w:lang w:val="en-US" w:eastAsia="zh-CN" w:bidi="ar-SA"/>
        </w:rPr>
        <w:t>或保险保函</w:t>
      </w:r>
      <w:r>
        <w:rPr>
          <w:rFonts w:hint="eastAsia" w:asciiTheme="minorEastAsia" w:hAnsiTheme="minorEastAsia" w:eastAsiaTheme="minorEastAsia" w:cstheme="minorEastAsia"/>
          <w:color w:val="000000"/>
          <w:spacing w:val="1"/>
          <w:kern w:val="2"/>
          <w:sz w:val="24"/>
          <w:szCs w:val="24"/>
          <w:lang w:val="en-US" w:eastAsia="en-US" w:bidi="ar-SA"/>
        </w:rPr>
        <w:t>。中标供应商不及</w:t>
      </w:r>
      <w:r>
        <w:rPr>
          <w:rFonts w:hint="eastAsia" w:asciiTheme="minorEastAsia" w:hAnsiTheme="minorEastAsia" w:eastAsiaTheme="minorEastAsia" w:cstheme="minorEastAsia"/>
          <w:color w:val="000000"/>
          <w:kern w:val="2"/>
          <w:sz w:val="24"/>
          <w:szCs w:val="24"/>
          <w:lang w:val="en-US" w:eastAsia="en-US" w:bidi="ar-SA"/>
        </w:rPr>
        <w:t>时补足或续保的，应</w:t>
      </w:r>
      <w:r>
        <w:rPr>
          <w:rFonts w:hint="eastAsia" w:asciiTheme="minorEastAsia" w:hAnsiTheme="minorEastAsia" w:eastAsiaTheme="minorEastAsia" w:cstheme="minorEastAsia"/>
          <w:color w:val="000000"/>
          <w:spacing w:val="1"/>
          <w:kern w:val="2"/>
          <w:sz w:val="24"/>
          <w:szCs w:val="24"/>
          <w:lang w:val="en-US" w:eastAsia="en-US" w:bidi="ar-SA"/>
        </w:rPr>
        <w:t>按保证金额的</w:t>
      </w:r>
      <w:r>
        <w:rPr>
          <w:rFonts w:hint="eastAsia" w:asciiTheme="minorEastAsia" w:hAnsiTheme="minorEastAsia" w:eastAsiaTheme="minorEastAsia" w:cstheme="minorEastAsia"/>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1"/>
          <w:kern w:val="2"/>
          <w:sz w:val="24"/>
          <w:szCs w:val="24"/>
          <w:u w:val="single"/>
          <w:lang w:val="en-US" w:eastAsia="en-US" w:bidi="ar-SA"/>
        </w:rPr>
        <w:t>2‰</w:t>
      </w:r>
      <w:r>
        <w:rPr>
          <w:rFonts w:hint="eastAsia" w:asciiTheme="minorEastAsia" w:hAnsiTheme="minorEastAsia" w:eastAsiaTheme="minorEastAsia" w:cstheme="minorEastAsia"/>
          <w:b/>
          <w:bCs/>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1"/>
          <w:kern w:val="2"/>
          <w:sz w:val="24"/>
          <w:szCs w:val="24"/>
          <w:lang w:val="en-US" w:eastAsia="en-US" w:bidi="ar-SA"/>
        </w:rPr>
        <w:t>天</w:t>
      </w:r>
      <w:r>
        <w:rPr>
          <w:rFonts w:hint="eastAsia" w:asciiTheme="minorEastAsia" w:hAnsiTheme="minorEastAsia" w:eastAsiaTheme="minorEastAsia" w:cstheme="minorEastAsia"/>
          <w:color w:val="000000"/>
          <w:kern w:val="2"/>
          <w:sz w:val="24"/>
          <w:szCs w:val="24"/>
          <w:lang w:val="en-US" w:eastAsia="en-US" w:bidi="ar-SA"/>
        </w:rPr>
        <w:t>的标准向采购人支付</w:t>
      </w:r>
      <w:r>
        <w:rPr>
          <w:rFonts w:hint="eastAsia" w:asciiTheme="minorEastAsia" w:hAnsiTheme="minorEastAsia" w:eastAsiaTheme="minorEastAsia" w:cstheme="minorEastAsia"/>
          <w:color w:val="000000"/>
          <w:spacing w:val="1"/>
          <w:kern w:val="2"/>
          <w:sz w:val="24"/>
          <w:szCs w:val="24"/>
          <w:lang w:val="en-US" w:eastAsia="en-US" w:bidi="ar-SA"/>
        </w:rPr>
        <w:t>违约金。</w:t>
      </w:r>
    </w:p>
    <w:p w14:paraId="4E87D91F">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4" w:firstLineChars="200"/>
        <w:jc w:val="both"/>
        <w:textAlignment w:val="baseline"/>
        <w:rPr>
          <w:rFonts w:hint="eastAsia" w:asciiTheme="minorEastAsia" w:hAnsiTheme="minorEastAsia" w:eastAsiaTheme="minorEastAsia" w:cstheme="minorEastAsia"/>
          <w:color w:val="000000"/>
          <w:spacing w:val="-1"/>
          <w:kern w:val="2"/>
          <w:sz w:val="24"/>
          <w:szCs w:val="24"/>
          <w:lang w:val="en-US" w:eastAsia="en-US" w:bidi="ar-SA"/>
        </w:rPr>
      </w:pPr>
      <w:r>
        <w:rPr>
          <w:rFonts w:hint="eastAsia" w:asciiTheme="minorEastAsia" w:hAnsiTheme="minorEastAsia" w:eastAsiaTheme="minorEastAsia" w:cstheme="minorEastAsia"/>
          <w:color w:val="000000"/>
          <w:spacing w:val="1"/>
          <w:kern w:val="2"/>
          <w:sz w:val="24"/>
          <w:szCs w:val="24"/>
          <w:lang w:val="en-US" w:eastAsia="en-US" w:bidi="ar-SA"/>
        </w:rPr>
        <w:t>⑩采购人逾</w:t>
      </w:r>
      <w:r>
        <w:rPr>
          <w:rFonts w:hint="eastAsia" w:asciiTheme="minorEastAsia" w:hAnsiTheme="minorEastAsia" w:eastAsiaTheme="minorEastAsia" w:cstheme="minorEastAsia"/>
          <w:color w:val="000000"/>
          <w:spacing w:val="-2"/>
          <w:kern w:val="2"/>
          <w:sz w:val="24"/>
          <w:szCs w:val="24"/>
          <w:lang w:val="en-US" w:eastAsia="en-US" w:bidi="ar-SA"/>
        </w:rPr>
        <w:t>期退还履约保证金</w:t>
      </w:r>
      <w:r>
        <w:rPr>
          <w:rFonts w:hint="eastAsia" w:asciiTheme="minorEastAsia" w:hAnsiTheme="minorEastAsia" w:eastAsiaTheme="minorEastAsia" w:cstheme="minorEastAsia"/>
          <w:color w:val="000000"/>
          <w:spacing w:val="2"/>
          <w:kern w:val="2"/>
          <w:sz w:val="24"/>
          <w:szCs w:val="24"/>
          <w:lang w:val="en-US" w:eastAsia="en-US" w:bidi="ar-SA"/>
        </w:rPr>
        <w:t>的，除应当退还履约</w:t>
      </w:r>
      <w:r>
        <w:rPr>
          <w:rFonts w:hint="eastAsia" w:asciiTheme="minorEastAsia" w:hAnsiTheme="minorEastAsia" w:eastAsiaTheme="minorEastAsia" w:cstheme="minorEastAsia"/>
          <w:color w:val="000000"/>
          <w:spacing w:val="-1"/>
          <w:kern w:val="2"/>
          <w:sz w:val="24"/>
          <w:szCs w:val="24"/>
          <w:lang w:val="en-US" w:eastAsia="en-US" w:bidi="ar-SA"/>
        </w:rPr>
        <w:t>保证金本金外，还应</w:t>
      </w:r>
      <w:r>
        <w:rPr>
          <w:rFonts w:hint="eastAsia" w:asciiTheme="minorEastAsia" w:hAnsiTheme="minorEastAsia" w:eastAsiaTheme="minorEastAsia" w:cstheme="minorEastAsia"/>
          <w:color w:val="000000"/>
          <w:kern w:val="2"/>
          <w:sz w:val="24"/>
          <w:szCs w:val="24"/>
          <w:lang w:val="en-US" w:eastAsia="en-US" w:bidi="ar-SA"/>
        </w:rPr>
        <w:t>当每日按履约保证金</w:t>
      </w:r>
      <w:r>
        <w:rPr>
          <w:rFonts w:hint="eastAsia" w:asciiTheme="minorEastAsia" w:hAnsiTheme="minorEastAsia" w:eastAsiaTheme="minorEastAsia" w:cstheme="minorEastAsia"/>
          <w:color w:val="000000"/>
          <w:spacing w:val="-2"/>
          <w:kern w:val="2"/>
          <w:sz w:val="24"/>
          <w:szCs w:val="24"/>
          <w:lang w:val="en-US" w:eastAsia="en-US" w:bidi="ar-SA"/>
        </w:rPr>
        <w:t>总价的</w:t>
      </w:r>
      <w:r>
        <w:rPr>
          <w:rFonts w:hint="eastAsia" w:asciiTheme="minorEastAsia" w:hAnsiTheme="minorEastAsia" w:eastAsiaTheme="minorEastAsia" w:cstheme="minorEastAsia"/>
          <w:color w:val="000000"/>
          <w:spacing w:val="-2"/>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2"/>
          <w:kern w:val="2"/>
          <w:sz w:val="24"/>
          <w:szCs w:val="24"/>
          <w:u w:val="single"/>
          <w:lang w:val="en-US" w:eastAsia="en-US" w:bidi="ar-SA"/>
        </w:rPr>
        <w:t>0.3</w:t>
      </w:r>
      <w:r>
        <w:rPr>
          <w:rFonts w:hint="eastAsia" w:asciiTheme="minorEastAsia" w:hAnsiTheme="minorEastAsia" w:eastAsiaTheme="minorEastAsia" w:cstheme="minorEastAsia"/>
          <w:b/>
          <w:bCs/>
          <w:color w:val="000000"/>
          <w:spacing w:val="-2"/>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2"/>
          <w:kern w:val="2"/>
          <w:sz w:val="24"/>
          <w:szCs w:val="24"/>
          <w:u w:val="single"/>
          <w:lang w:val="en-US" w:eastAsia="en-US" w:bidi="ar-SA"/>
        </w:rPr>
        <w:t>‰</w:t>
      </w:r>
      <w:r>
        <w:rPr>
          <w:rFonts w:hint="eastAsia" w:asciiTheme="minorEastAsia" w:hAnsiTheme="minorEastAsia" w:eastAsiaTheme="minorEastAsia" w:cstheme="minorEastAsia"/>
          <w:color w:val="000000"/>
          <w:spacing w:val="-2"/>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2"/>
          <w:kern w:val="2"/>
          <w:sz w:val="24"/>
          <w:szCs w:val="24"/>
          <w:lang w:val="en-US" w:eastAsia="en-US" w:bidi="ar-SA"/>
        </w:rPr>
        <w:t>向中标</w:t>
      </w:r>
      <w:r>
        <w:rPr>
          <w:rFonts w:hint="eastAsia" w:asciiTheme="minorEastAsia" w:hAnsiTheme="minorEastAsia" w:eastAsiaTheme="minorEastAsia" w:cstheme="minorEastAsia"/>
          <w:color w:val="000000"/>
          <w:spacing w:val="-1"/>
          <w:kern w:val="2"/>
          <w:sz w:val="24"/>
          <w:szCs w:val="24"/>
          <w:lang w:val="en-US" w:eastAsia="en-US" w:bidi="ar-SA"/>
        </w:rPr>
        <w:t>供应商偿付违约金，但因合同的履行产生</w:t>
      </w:r>
      <w:r>
        <w:rPr>
          <w:rFonts w:hint="eastAsia" w:asciiTheme="minorEastAsia" w:hAnsiTheme="minorEastAsia" w:eastAsiaTheme="minorEastAsia" w:cstheme="minorEastAsia"/>
          <w:color w:val="000000"/>
          <w:spacing w:val="1"/>
          <w:kern w:val="2"/>
          <w:sz w:val="24"/>
          <w:szCs w:val="24"/>
          <w:lang w:val="en-US" w:eastAsia="en-US" w:bidi="ar-SA"/>
        </w:rPr>
        <w:t>争议中标供应商自身</w:t>
      </w:r>
      <w:r>
        <w:rPr>
          <w:rFonts w:hint="eastAsia" w:asciiTheme="minorEastAsia" w:hAnsiTheme="minorEastAsia" w:eastAsiaTheme="minorEastAsia" w:cstheme="minorEastAsia"/>
          <w:color w:val="000000"/>
          <w:kern w:val="2"/>
          <w:sz w:val="24"/>
          <w:szCs w:val="24"/>
          <w:lang w:val="en-US" w:eastAsia="en-US" w:bidi="ar-SA"/>
        </w:rPr>
        <w:t>原因导致无法及时退</w:t>
      </w:r>
      <w:r>
        <w:rPr>
          <w:rFonts w:hint="eastAsia" w:asciiTheme="minorEastAsia" w:hAnsiTheme="minorEastAsia" w:eastAsiaTheme="minorEastAsia" w:cstheme="minorEastAsia"/>
          <w:color w:val="000000"/>
          <w:spacing w:val="-1"/>
          <w:kern w:val="2"/>
          <w:sz w:val="24"/>
          <w:szCs w:val="24"/>
          <w:lang w:val="en-US" w:eastAsia="en-US" w:bidi="ar-SA"/>
        </w:rPr>
        <w:t>还的除外。</w:t>
      </w:r>
    </w:p>
    <w:p w14:paraId="099DAC3A">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4" w:firstLineChars="200"/>
        <w:jc w:val="both"/>
        <w:textAlignment w:val="baseline"/>
        <w:rPr>
          <w:rFonts w:hint="eastAsia" w:asciiTheme="minorEastAsia" w:hAnsiTheme="minorEastAsia" w:eastAsiaTheme="minorEastAsia" w:cstheme="minorEastAsia"/>
          <w:color w:val="000000"/>
          <w:spacing w:val="8"/>
          <w:kern w:val="2"/>
          <w:sz w:val="24"/>
          <w:szCs w:val="24"/>
          <w:lang w:val="en-US" w:eastAsia="en-US" w:bidi="ar-SA"/>
        </w:rPr>
      </w:pPr>
      <w:r>
        <w:rPr>
          <w:rFonts w:hint="eastAsia" w:asciiTheme="minorEastAsia" w:hAnsiTheme="minorEastAsia" w:eastAsiaTheme="minorEastAsia" w:cstheme="minorEastAsia"/>
          <w:color w:val="000000"/>
          <w:spacing w:val="1"/>
          <w:kern w:val="2"/>
          <w:sz w:val="24"/>
          <w:szCs w:val="24"/>
          <w:lang w:val="en-US" w:eastAsia="en-US" w:bidi="ar-SA"/>
        </w:rPr>
        <w:t>⑪</w:t>
      </w:r>
      <w:r>
        <w:rPr>
          <w:rFonts w:hint="eastAsia" w:asciiTheme="minorEastAsia" w:hAnsiTheme="minorEastAsia" w:eastAsiaTheme="minorEastAsia" w:cstheme="minorEastAsia"/>
          <w:color w:val="000000"/>
          <w:spacing w:val="-1"/>
          <w:kern w:val="2"/>
          <w:sz w:val="24"/>
          <w:szCs w:val="24"/>
          <w:lang w:val="en-US" w:eastAsia="en-US" w:bidi="ar-SA"/>
        </w:rPr>
        <w:t>采购人</w:t>
      </w:r>
      <w:r>
        <w:rPr>
          <w:rFonts w:hint="eastAsia" w:asciiTheme="minorEastAsia" w:hAnsiTheme="minorEastAsia" w:eastAsiaTheme="minorEastAsia" w:cstheme="minorEastAsia"/>
          <w:color w:val="000000"/>
          <w:spacing w:val="-2"/>
          <w:kern w:val="2"/>
          <w:sz w:val="24"/>
          <w:szCs w:val="24"/>
          <w:lang w:val="en-US" w:eastAsia="en-US" w:bidi="ar-SA"/>
        </w:rPr>
        <w:t>无正当理由逾期付</w:t>
      </w:r>
      <w:r>
        <w:rPr>
          <w:rFonts w:hint="eastAsia" w:asciiTheme="minorEastAsia" w:hAnsiTheme="minorEastAsia" w:eastAsiaTheme="minorEastAsia" w:cstheme="minorEastAsia"/>
          <w:color w:val="000000"/>
          <w:spacing w:val="-1"/>
          <w:kern w:val="2"/>
          <w:sz w:val="24"/>
          <w:szCs w:val="24"/>
          <w:lang w:val="en-US" w:eastAsia="en-US" w:bidi="ar-SA"/>
        </w:rPr>
        <w:t>款，则每日按逾期金</w:t>
      </w:r>
      <w:r>
        <w:rPr>
          <w:rFonts w:hint="eastAsia" w:asciiTheme="minorEastAsia" w:hAnsiTheme="minorEastAsia" w:eastAsiaTheme="minorEastAsia" w:cstheme="minorEastAsia"/>
          <w:color w:val="000000"/>
          <w:spacing w:val="1"/>
          <w:kern w:val="2"/>
          <w:sz w:val="24"/>
          <w:szCs w:val="24"/>
          <w:lang w:val="en-US" w:eastAsia="en-US" w:bidi="ar-SA"/>
        </w:rPr>
        <w:t>额的</w:t>
      </w:r>
      <w:r>
        <w:rPr>
          <w:rFonts w:hint="eastAsia" w:asciiTheme="minorEastAsia" w:hAnsiTheme="minorEastAsia" w:eastAsiaTheme="minorEastAsia" w:cstheme="minorEastAsia"/>
          <w:b/>
          <w:bCs/>
          <w:color w:val="000000"/>
          <w:spacing w:val="1"/>
          <w:kern w:val="2"/>
          <w:sz w:val="24"/>
          <w:szCs w:val="24"/>
          <w:u w:val="single"/>
          <w:lang w:val="en-US" w:eastAsia="zh-CN" w:bidi="ar-SA"/>
        </w:rPr>
        <w:t xml:space="preserve"> 0.</w:t>
      </w:r>
      <w:r>
        <w:rPr>
          <w:rFonts w:hint="eastAsia" w:asciiTheme="minorEastAsia" w:hAnsiTheme="minorEastAsia" w:eastAsiaTheme="minorEastAsia" w:cstheme="minorEastAsia"/>
          <w:b/>
          <w:bCs/>
          <w:color w:val="000000"/>
          <w:spacing w:val="1"/>
          <w:kern w:val="2"/>
          <w:sz w:val="24"/>
          <w:szCs w:val="24"/>
          <w:u w:val="single"/>
          <w:lang w:val="en-US" w:eastAsia="en-US" w:bidi="ar-SA"/>
        </w:rPr>
        <w:t>1‰</w:t>
      </w:r>
      <w:r>
        <w:rPr>
          <w:rFonts w:hint="eastAsia" w:asciiTheme="minorEastAsia" w:hAnsiTheme="minorEastAsia" w:eastAsiaTheme="minorEastAsia" w:cstheme="minorEastAsia"/>
          <w:b/>
          <w:bCs/>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1"/>
          <w:kern w:val="2"/>
          <w:sz w:val="24"/>
          <w:szCs w:val="24"/>
          <w:lang w:val="en-US" w:eastAsia="en-US" w:bidi="ar-SA"/>
        </w:rPr>
        <w:t>向中标供应</w:t>
      </w:r>
      <w:r>
        <w:rPr>
          <w:rFonts w:hint="eastAsia" w:asciiTheme="minorEastAsia" w:hAnsiTheme="minorEastAsia" w:eastAsiaTheme="minorEastAsia" w:cstheme="minorEastAsia"/>
          <w:color w:val="000000"/>
          <w:spacing w:val="8"/>
          <w:kern w:val="2"/>
          <w:sz w:val="24"/>
          <w:szCs w:val="24"/>
          <w:lang w:val="en-US" w:eastAsia="en-US" w:bidi="ar-SA"/>
        </w:rPr>
        <w:t>商偿付违约金。</w:t>
      </w:r>
    </w:p>
    <w:p w14:paraId="55F07844">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4" w:firstLineChars="200"/>
        <w:jc w:val="both"/>
        <w:textAlignment w:val="baseline"/>
        <w:rPr>
          <w:rFonts w:hint="eastAsia" w:asciiTheme="minorEastAsia" w:hAnsiTheme="minorEastAsia" w:eastAsiaTheme="minorEastAsia" w:cstheme="minorEastAsia"/>
          <w:b/>
          <w:bCs/>
          <w:i w:val="0"/>
          <w:iCs w:val="0"/>
          <w:kern w:val="2"/>
          <w:sz w:val="24"/>
          <w:szCs w:val="24"/>
          <w:u w:val="none"/>
          <w:lang w:val="en-US" w:eastAsia="zh-CN" w:bidi="ar-SA"/>
        </w:rPr>
      </w:pPr>
      <w:r>
        <w:rPr>
          <w:rFonts w:hint="eastAsia" w:asciiTheme="minorEastAsia" w:hAnsiTheme="minorEastAsia" w:eastAsiaTheme="minorEastAsia" w:cstheme="minorEastAsia"/>
          <w:color w:val="000000"/>
          <w:spacing w:val="1"/>
          <w:kern w:val="2"/>
          <w:sz w:val="24"/>
          <w:szCs w:val="24"/>
          <w:lang w:val="en-US" w:eastAsia="en-US" w:bidi="ar-SA"/>
        </w:rPr>
        <w:t>⑫因中标供应商违约责</w:t>
      </w:r>
      <w:r>
        <w:rPr>
          <w:rFonts w:hint="eastAsia" w:asciiTheme="minorEastAsia" w:hAnsiTheme="minorEastAsia" w:eastAsiaTheme="minorEastAsia" w:cstheme="minorEastAsia"/>
          <w:color w:val="000000"/>
          <w:spacing w:val="-1"/>
          <w:kern w:val="2"/>
          <w:sz w:val="24"/>
          <w:szCs w:val="24"/>
          <w:lang w:val="en-US" w:eastAsia="en-US" w:bidi="ar-SA"/>
        </w:rPr>
        <w:t>任造成采购人解除合</w:t>
      </w:r>
      <w:r>
        <w:rPr>
          <w:rFonts w:hint="eastAsia" w:asciiTheme="minorEastAsia" w:hAnsiTheme="minorEastAsia" w:eastAsiaTheme="minorEastAsia" w:cstheme="minorEastAsia"/>
          <w:color w:val="000000"/>
          <w:spacing w:val="1"/>
          <w:kern w:val="2"/>
          <w:sz w:val="24"/>
          <w:szCs w:val="24"/>
          <w:lang w:val="en-US" w:eastAsia="en-US" w:bidi="ar-SA"/>
        </w:rPr>
        <w:t>同的，赔偿采购人损</w:t>
      </w:r>
      <w:r>
        <w:rPr>
          <w:rFonts w:hint="eastAsia" w:asciiTheme="minorEastAsia" w:hAnsiTheme="minorEastAsia" w:eastAsiaTheme="minorEastAsia" w:cstheme="minorEastAsia"/>
          <w:color w:val="000000"/>
          <w:spacing w:val="3"/>
          <w:kern w:val="2"/>
          <w:sz w:val="24"/>
          <w:szCs w:val="24"/>
          <w:lang w:val="en-US" w:eastAsia="en-US" w:bidi="ar-SA"/>
        </w:rPr>
        <w:t>失包括但不限于：</w:t>
      </w:r>
      <w:r>
        <w:rPr>
          <w:rFonts w:hint="eastAsia" w:asciiTheme="minorEastAsia" w:hAnsiTheme="minorEastAsia" w:eastAsiaTheme="minorEastAsia" w:cstheme="minorEastAsia"/>
          <w:color w:val="000000"/>
          <w:spacing w:val="1"/>
          <w:kern w:val="2"/>
          <w:sz w:val="24"/>
          <w:szCs w:val="24"/>
          <w:lang w:val="en-US" w:eastAsia="en-US" w:bidi="ar-SA"/>
        </w:rPr>
        <w:t>解除合同后，退回采购人对本项目支</w:t>
      </w:r>
      <w:r>
        <w:rPr>
          <w:rFonts w:hint="eastAsia" w:asciiTheme="minorEastAsia" w:hAnsiTheme="minorEastAsia" w:eastAsiaTheme="minorEastAsia" w:cstheme="minorEastAsia"/>
          <w:color w:val="000000"/>
          <w:spacing w:val="10"/>
          <w:kern w:val="2"/>
          <w:sz w:val="24"/>
          <w:szCs w:val="24"/>
          <w:lang w:val="en-US" w:eastAsia="en-US" w:bidi="ar-SA"/>
        </w:rPr>
        <w:t>付的全部费用；</w:t>
      </w:r>
      <w:r>
        <w:rPr>
          <w:rFonts w:hint="eastAsia" w:asciiTheme="minorEastAsia" w:hAnsiTheme="minorEastAsia" w:eastAsiaTheme="minorEastAsia" w:cstheme="minorEastAsia"/>
          <w:color w:val="000000"/>
          <w:spacing w:val="2"/>
          <w:kern w:val="2"/>
          <w:sz w:val="24"/>
          <w:szCs w:val="24"/>
          <w:lang w:val="en-US" w:eastAsia="en-US" w:bidi="ar-SA"/>
        </w:rPr>
        <w:t>发生的工期延误，质</w:t>
      </w:r>
      <w:r>
        <w:rPr>
          <w:rFonts w:hint="eastAsia" w:asciiTheme="minorEastAsia" w:hAnsiTheme="minorEastAsia" w:eastAsiaTheme="minorEastAsia" w:cstheme="minorEastAsia"/>
          <w:color w:val="000000"/>
          <w:spacing w:val="-1"/>
          <w:kern w:val="2"/>
          <w:sz w:val="24"/>
          <w:szCs w:val="24"/>
          <w:lang w:val="en-US" w:eastAsia="en-US" w:bidi="ar-SA"/>
        </w:rPr>
        <w:t>量隐患或事故所导致</w:t>
      </w:r>
      <w:r>
        <w:rPr>
          <w:rFonts w:hint="eastAsia" w:asciiTheme="minorEastAsia" w:hAnsiTheme="minorEastAsia" w:eastAsiaTheme="minorEastAsia" w:cstheme="minorEastAsia"/>
          <w:color w:val="000000"/>
          <w:spacing w:val="-4"/>
          <w:kern w:val="2"/>
          <w:sz w:val="24"/>
          <w:szCs w:val="24"/>
          <w:lang w:val="en-US" w:eastAsia="en-US" w:bidi="ar-SA"/>
        </w:rPr>
        <w:t>的全部费用；</w:t>
      </w:r>
      <w:r>
        <w:rPr>
          <w:rFonts w:hint="eastAsia" w:asciiTheme="minorEastAsia" w:hAnsiTheme="minorEastAsia" w:eastAsiaTheme="minorEastAsia" w:cstheme="minorEastAsia"/>
          <w:color w:val="000000"/>
          <w:spacing w:val="2"/>
          <w:kern w:val="2"/>
          <w:sz w:val="24"/>
          <w:szCs w:val="24"/>
          <w:lang w:val="en-US" w:eastAsia="en-US" w:bidi="ar-SA"/>
        </w:rPr>
        <w:t>发生的诉讼，仲裁纠</w:t>
      </w:r>
      <w:r>
        <w:rPr>
          <w:rFonts w:hint="eastAsia" w:asciiTheme="minorEastAsia" w:hAnsiTheme="minorEastAsia" w:eastAsiaTheme="minorEastAsia" w:cstheme="minorEastAsia"/>
          <w:color w:val="000000"/>
          <w:spacing w:val="1"/>
          <w:kern w:val="2"/>
          <w:sz w:val="24"/>
          <w:szCs w:val="24"/>
          <w:lang w:val="en-US" w:eastAsia="en-US" w:bidi="ar-SA"/>
        </w:rPr>
        <w:t>纷案件或其他争议而给采购人造成的全部</w:t>
      </w:r>
      <w:r>
        <w:rPr>
          <w:rFonts w:hint="eastAsia" w:asciiTheme="minorEastAsia" w:hAnsiTheme="minorEastAsia" w:eastAsiaTheme="minorEastAsia" w:cstheme="minorEastAsia"/>
          <w:color w:val="000000"/>
          <w:spacing w:val="2"/>
          <w:kern w:val="2"/>
          <w:sz w:val="24"/>
          <w:szCs w:val="24"/>
          <w:lang w:val="en-US" w:eastAsia="en-US" w:bidi="ar-SA"/>
        </w:rPr>
        <w:t>损失；采购人</w:t>
      </w:r>
      <w:r>
        <w:rPr>
          <w:rFonts w:hint="eastAsia" w:asciiTheme="minorEastAsia" w:hAnsiTheme="minorEastAsia" w:eastAsiaTheme="minorEastAsia" w:cstheme="minorEastAsia"/>
          <w:color w:val="000000"/>
          <w:spacing w:val="1"/>
          <w:kern w:val="2"/>
          <w:sz w:val="24"/>
          <w:szCs w:val="24"/>
          <w:lang w:val="en-US" w:eastAsia="en-US" w:bidi="ar-SA"/>
        </w:rPr>
        <w:t>为实现权益而支出</w:t>
      </w:r>
      <w:r>
        <w:rPr>
          <w:rFonts w:hint="eastAsia" w:asciiTheme="minorEastAsia" w:hAnsiTheme="minorEastAsia" w:eastAsiaTheme="minorEastAsia" w:cstheme="minorEastAsia"/>
          <w:color w:val="000000"/>
          <w:spacing w:val="-9"/>
          <w:kern w:val="2"/>
          <w:sz w:val="24"/>
          <w:szCs w:val="24"/>
          <w:lang w:val="en-US" w:eastAsia="en-US" w:bidi="ar-SA"/>
        </w:rPr>
        <w:t>包括但不限于律师</w:t>
      </w:r>
      <w:r>
        <w:rPr>
          <w:rFonts w:hint="eastAsia" w:asciiTheme="minorEastAsia" w:hAnsiTheme="minorEastAsia" w:eastAsiaTheme="minorEastAsia" w:cstheme="minorEastAsia"/>
          <w:color w:val="000000"/>
          <w:spacing w:val="-8"/>
          <w:kern w:val="2"/>
          <w:sz w:val="24"/>
          <w:szCs w:val="24"/>
          <w:lang w:val="en-US" w:eastAsia="en-US" w:bidi="ar-SA"/>
        </w:rPr>
        <w:t>费，评估费，鉴定费，</w:t>
      </w:r>
      <w:r>
        <w:rPr>
          <w:rFonts w:hint="eastAsia" w:asciiTheme="minorEastAsia" w:hAnsiTheme="minorEastAsia" w:eastAsiaTheme="minorEastAsia" w:cstheme="minorEastAsia"/>
          <w:color w:val="000000"/>
          <w:spacing w:val="-3"/>
          <w:kern w:val="2"/>
          <w:sz w:val="24"/>
          <w:szCs w:val="24"/>
          <w:lang w:val="en-US" w:eastAsia="en-US" w:bidi="ar-SA"/>
        </w:rPr>
        <w:t>担保费，差旅费等合</w:t>
      </w:r>
      <w:r>
        <w:rPr>
          <w:rFonts w:hint="eastAsia" w:asciiTheme="minorEastAsia" w:hAnsiTheme="minorEastAsia" w:eastAsiaTheme="minorEastAsia" w:cstheme="minorEastAsia"/>
          <w:color w:val="000000"/>
          <w:spacing w:val="-6"/>
          <w:kern w:val="2"/>
          <w:sz w:val="24"/>
          <w:szCs w:val="24"/>
          <w:lang w:val="en-US" w:eastAsia="en-US" w:bidi="ar-SA"/>
        </w:rPr>
        <w:t>理费用。因中</w:t>
      </w:r>
      <w:r>
        <w:rPr>
          <w:rFonts w:hint="eastAsia" w:asciiTheme="minorEastAsia" w:hAnsiTheme="minorEastAsia" w:eastAsiaTheme="minorEastAsia" w:cstheme="minorEastAsia"/>
          <w:color w:val="000000"/>
          <w:kern w:val="2"/>
          <w:sz w:val="24"/>
          <w:szCs w:val="24"/>
          <w:lang w:val="en-US" w:eastAsia="en-US" w:bidi="ar-SA"/>
        </w:rPr>
        <w:t>标供应商问题造成国家、省资金拨付减少的，赔偿采购人减少</w:t>
      </w:r>
      <w:r>
        <w:rPr>
          <w:rFonts w:hint="eastAsia" w:asciiTheme="minorEastAsia" w:hAnsiTheme="minorEastAsia" w:eastAsiaTheme="minorEastAsia" w:cstheme="minorEastAsia"/>
          <w:color w:val="000000"/>
          <w:spacing w:val="11"/>
          <w:kern w:val="2"/>
          <w:sz w:val="24"/>
          <w:szCs w:val="24"/>
          <w:lang w:val="en-US" w:eastAsia="en-US" w:bidi="ar-SA"/>
        </w:rPr>
        <w:t>的资金</w:t>
      </w:r>
      <w:r>
        <w:rPr>
          <w:rFonts w:hint="eastAsia" w:asciiTheme="minorEastAsia" w:hAnsiTheme="minorEastAsia" w:eastAsiaTheme="minorEastAsia" w:cstheme="minorEastAsia"/>
          <w:spacing w:val="11"/>
          <w:kern w:val="2"/>
          <w:sz w:val="24"/>
          <w:szCs w:val="24"/>
          <w:lang w:val="en-US" w:eastAsia="en-US" w:bidi="ar-SA"/>
        </w:rPr>
        <w:t>。</w:t>
      </w:r>
    </w:p>
    <w:p w14:paraId="4991185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jc w:val="left"/>
        <w:rPr>
          <w:rFonts w:hint="eastAsia" w:asciiTheme="minorEastAsia" w:hAnsiTheme="minorEastAsia" w:eastAsiaTheme="minorEastAsia" w:cstheme="minorEastAsia"/>
          <w:i w:val="0"/>
          <w:iCs w:val="0"/>
          <w:snapToGrid w:val="0"/>
          <w:color w:val="auto"/>
          <w:kern w:val="2"/>
          <w:sz w:val="24"/>
          <w:szCs w:val="24"/>
          <w:highlight w:val="white"/>
          <w:u w:val="none"/>
          <w:lang w:val="en-US" w:eastAsia="zh-CN" w:bidi="ar-SA"/>
        </w:rPr>
      </w:pPr>
      <w:r>
        <w:rPr>
          <w:rFonts w:hint="eastAsia" w:asciiTheme="minorEastAsia" w:hAnsiTheme="minorEastAsia" w:eastAsiaTheme="minorEastAsia" w:cstheme="minorEastAsia"/>
          <w:b/>
          <w:bCs/>
          <w:i w:val="0"/>
          <w:iCs w:val="0"/>
          <w:kern w:val="2"/>
          <w:sz w:val="24"/>
          <w:szCs w:val="24"/>
          <w:u w:val="none"/>
          <w:lang w:val="en-US" w:eastAsia="zh-CN" w:bidi="ar-SA"/>
        </w:rPr>
        <w:t>（11）其他要求</w:t>
      </w:r>
    </w:p>
    <w:p w14:paraId="315BD68A">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spacing w:val="1"/>
          <w:kern w:val="2"/>
          <w:sz w:val="24"/>
          <w:szCs w:val="24"/>
          <w:lang w:val="en-US" w:eastAsia="zh-CN" w:bidi="ar-SA"/>
        </w:rPr>
      </w:pPr>
      <w:r>
        <w:rPr>
          <w:rFonts w:hint="eastAsia" w:asciiTheme="minorEastAsia" w:hAnsiTheme="minorEastAsia" w:eastAsiaTheme="minorEastAsia" w:cstheme="minorEastAsia"/>
          <w:spacing w:val="1"/>
          <w:kern w:val="2"/>
          <w:sz w:val="24"/>
          <w:szCs w:val="24"/>
          <w:lang w:val="en-US" w:eastAsia="zh-CN" w:bidi="ar-SA"/>
        </w:rPr>
        <w:t>①合同签订：</w:t>
      </w:r>
    </w:p>
    <w:p w14:paraId="0C2068BF">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spacing w:val="1"/>
          <w:kern w:val="2"/>
          <w:sz w:val="24"/>
          <w:szCs w:val="24"/>
          <w:lang w:val="en-US" w:eastAsia="zh-CN" w:bidi="ar-SA"/>
        </w:rPr>
      </w:pPr>
      <w:r>
        <w:rPr>
          <w:rFonts w:hint="eastAsia" w:asciiTheme="minorEastAsia" w:hAnsiTheme="minorEastAsia" w:eastAsiaTheme="minorEastAsia" w:cstheme="minorEastAsia"/>
          <w:spacing w:val="1"/>
          <w:kern w:val="2"/>
          <w:sz w:val="24"/>
          <w:szCs w:val="24"/>
          <w:lang w:val="en-US" w:eastAsia="zh-CN" w:bidi="ar-SA"/>
        </w:rPr>
        <w:t>合同签订生效后 30 日历日内，中标供应商应当完成进场前置协调工作并具备进场施工条件。因中标供应商自身原因（人员配置不足、属地协调不力、自有手续办理滞后等）逾期未能进场的，采购人向中标供应商发送书面催告函，催告限期7~10 日内整改进场；催告期满仍无法正常进场开展施工，构成根本违约，采购人有权单方解除本合同，履约保证金不予退还，中标供应商还应当赔偿采购人全部实际损失。</w:t>
      </w:r>
    </w:p>
    <w:p w14:paraId="643DCD92">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spacing w:val="1"/>
          <w:kern w:val="2"/>
          <w:sz w:val="24"/>
          <w:szCs w:val="24"/>
          <w:lang w:val="en-US" w:eastAsia="zh-CN" w:bidi="ar-SA"/>
        </w:rPr>
      </w:pPr>
      <w:r>
        <w:rPr>
          <w:rFonts w:hint="eastAsia" w:asciiTheme="minorEastAsia" w:hAnsiTheme="minorEastAsia" w:eastAsiaTheme="minorEastAsia" w:cstheme="minorEastAsia"/>
          <w:spacing w:val="1"/>
          <w:kern w:val="2"/>
          <w:sz w:val="24"/>
          <w:szCs w:val="24"/>
          <w:lang w:val="en-US" w:eastAsia="zh-CN" w:bidi="ar-SA"/>
        </w:rPr>
        <w:t>中标供应商主动放弃或者未按照招标文件期限与采购人约定签订合同、未按时提交履约保证金、未按规定组织进场施工被采购人取消资格后，中标供应商履约保证金不予退还，中标供应商还应当赔偿采购人全部实际损失，采购人可根据评审结果，从评审小组评审后通过资格审查和符合性审查的供应商中按第二候选人、第三候选人的顺序从而到三顺延中标。若顺延至第三候选人均不接受顺延中标，采购人应当重新组织采购活动。</w:t>
      </w:r>
    </w:p>
    <w:p w14:paraId="67DB5B59">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spacing w:val="1"/>
          <w:kern w:val="2"/>
          <w:sz w:val="24"/>
          <w:szCs w:val="24"/>
          <w:lang w:val="en-US" w:eastAsia="zh-CN" w:bidi="ar-SA"/>
        </w:rPr>
      </w:pPr>
      <w:r>
        <w:rPr>
          <w:rFonts w:hint="eastAsia" w:asciiTheme="minorEastAsia" w:hAnsiTheme="minorEastAsia" w:eastAsiaTheme="minorEastAsia" w:cstheme="minorEastAsia"/>
          <w:spacing w:val="1"/>
          <w:kern w:val="2"/>
          <w:sz w:val="24"/>
          <w:szCs w:val="24"/>
          <w:lang w:val="en-US" w:eastAsia="zh-CN" w:bidi="ar-SA"/>
        </w:rPr>
        <w:t>②农民工工资：</w:t>
      </w:r>
    </w:p>
    <w:p w14:paraId="26309C87">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spacing w:val="1"/>
          <w:kern w:val="2"/>
          <w:sz w:val="24"/>
          <w:szCs w:val="24"/>
          <w:lang w:val="en-US" w:eastAsia="zh-CN" w:bidi="ar-SA"/>
        </w:rPr>
      </w:pPr>
      <w:r>
        <w:rPr>
          <w:rFonts w:hint="eastAsia" w:asciiTheme="minorEastAsia" w:hAnsiTheme="minorEastAsia" w:eastAsiaTheme="minorEastAsia" w:cstheme="minorEastAsia"/>
          <w:spacing w:val="1"/>
          <w:kern w:val="2"/>
          <w:sz w:val="24"/>
          <w:szCs w:val="24"/>
          <w:lang w:val="en-US" w:eastAsia="zh-CN" w:bidi="ar-SA"/>
        </w:rPr>
        <w:t>采购人应当建立保障农民工工资支付协调机制和工资拖欠预防机制，督促中标供应商落实保障农民工工资各项制度，为中标供应商落实各项制度提供必要条件。</w:t>
      </w:r>
    </w:p>
    <w:p w14:paraId="69A70C94">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color w:val="auto"/>
          <w:spacing w:val="1"/>
          <w:kern w:val="2"/>
          <w:sz w:val="24"/>
          <w:szCs w:val="24"/>
          <w:lang w:val="en-US" w:eastAsia="zh-CN" w:bidi="ar-SA"/>
        </w:rPr>
      </w:pPr>
      <w:r>
        <w:rPr>
          <w:rFonts w:hint="eastAsia" w:asciiTheme="minorEastAsia" w:hAnsiTheme="minorEastAsia" w:eastAsiaTheme="minorEastAsia" w:cstheme="minorEastAsia"/>
          <w:spacing w:val="1"/>
          <w:kern w:val="2"/>
          <w:sz w:val="24"/>
          <w:szCs w:val="24"/>
          <w:lang w:val="en-US" w:eastAsia="zh-CN" w:bidi="ar-SA"/>
        </w:rPr>
        <w:t>中标供应商设立农民工工资专户，采购人将人工费按月足额支付至中标供应商农民工资专用帐户，中标供应商必须按月支付农民工工资。中标供应商拖欠或者挪用农</w:t>
      </w:r>
      <w:r>
        <w:rPr>
          <w:rFonts w:hint="eastAsia" w:asciiTheme="minorEastAsia" w:hAnsiTheme="minorEastAsia" w:eastAsiaTheme="minorEastAsia" w:cstheme="minorEastAsia"/>
          <w:color w:val="auto"/>
          <w:spacing w:val="1"/>
          <w:kern w:val="2"/>
          <w:sz w:val="24"/>
          <w:szCs w:val="24"/>
          <w:lang w:val="en-US" w:eastAsia="zh-CN" w:bidi="ar-SA"/>
        </w:rPr>
        <w:t>民工工资专户资金的，停拨工程进度款，直至改正为止，因此造成的工期延误或者损失由中标供应商负责。</w:t>
      </w:r>
    </w:p>
    <w:p w14:paraId="69F074C6">
      <w:pPr>
        <w:rPr>
          <w:rFonts w:ascii="等线" w:hAnsi="等线" w:eastAsia="等线" w:cs="Times New Roman"/>
          <w:color w:val="auto"/>
          <w:szCs w:val="22"/>
        </w:rPr>
      </w:pPr>
    </w:p>
    <w:p w14:paraId="476395AD">
      <w:pPr>
        <w:rPr>
          <w:rFonts w:ascii="等线" w:hAnsi="等线" w:eastAsia="等线" w:cs="Times New Roman"/>
          <w:color w:val="auto"/>
          <w:szCs w:val="22"/>
        </w:rPr>
      </w:pPr>
    </w:p>
    <w:p w14:paraId="0764E87E">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color w:val="auto"/>
          <w:spacing w:val="1"/>
          <w:kern w:val="2"/>
          <w:sz w:val="24"/>
          <w:szCs w:val="24"/>
          <w:lang w:val="en-US" w:eastAsia="zh-CN" w:bidi="ar-SA"/>
        </w:rPr>
      </w:pPr>
      <w:r>
        <w:rPr>
          <w:rFonts w:hint="eastAsia" w:asciiTheme="minorEastAsia" w:hAnsiTheme="minorEastAsia" w:eastAsiaTheme="minorEastAsia" w:cstheme="minorEastAsia"/>
          <w:color w:val="auto"/>
          <w:spacing w:val="1"/>
          <w:kern w:val="2"/>
          <w:sz w:val="24"/>
          <w:szCs w:val="24"/>
          <w:lang w:val="en-US" w:eastAsia="zh-CN" w:bidi="ar-SA"/>
        </w:rPr>
        <w:t>附件清单</w:t>
      </w:r>
      <w:r>
        <w:rPr>
          <w:rFonts w:hint="eastAsia" w:asciiTheme="minorEastAsia" w:hAnsiTheme="minorEastAsia" w:cstheme="minorEastAsia"/>
          <w:color w:val="auto"/>
          <w:spacing w:val="1"/>
          <w:kern w:val="2"/>
          <w:sz w:val="24"/>
          <w:szCs w:val="24"/>
          <w:lang w:val="en-US" w:eastAsia="zh-CN" w:bidi="ar-SA"/>
        </w:rPr>
        <w:t>：</w:t>
      </w:r>
    </w:p>
    <w:p w14:paraId="219A8178">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color w:val="auto"/>
          <w:spacing w:val="1"/>
          <w:kern w:val="2"/>
          <w:sz w:val="24"/>
          <w:szCs w:val="24"/>
          <w:lang w:val="en-US" w:eastAsia="zh-CN" w:bidi="ar-SA"/>
        </w:rPr>
      </w:pPr>
      <w:r>
        <w:rPr>
          <w:rFonts w:hint="eastAsia" w:asciiTheme="minorEastAsia" w:hAnsiTheme="minorEastAsia" w:eastAsiaTheme="minorEastAsia" w:cstheme="minorEastAsia"/>
          <w:color w:val="auto"/>
          <w:spacing w:val="1"/>
          <w:kern w:val="2"/>
          <w:sz w:val="24"/>
          <w:szCs w:val="24"/>
          <w:lang w:val="en-US" w:eastAsia="zh-CN" w:bidi="ar-SA"/>
        </w:rPr>
        <w:t>（1）《武陵源区初步设计》说明书（PDF格式）</w:t>
      </w:r>
    </w:p>
    <w:p w14:paraId="204F3A0A">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color w:val="auto"/>
          <w:spacing w:val="1"/>
          <w:kern w:val="2"/>
          <w:sz w:val="24"/>
          <w:szCs w:val="24"/>
          <w:lang w:val="en-US" w:eastAsia="zh-CN" w:bidi="ar-SA"/>
        </w:rPr>
      </w:pPr>
      <w:r>
        <w:rPr>
          <w:rFonts w:hint="eastAsia" w:asciiTheme="minorEastAsia" w:hAnsiTheme="minorEastAsia" w:eastAsiaTheme="minorEastAsia" w:cstheme="minorEastAsia"/>
          <w:color w:val="auto"/>
          <w:spacing w:val="1"/>
          <w:kern w:val="2"/>
          <w:sz w:val="24"/>
          <w:szCs w:val="24"/>
          <w:lang w:val="en-US" w:eastAsia="zh-CN" w:bidi="ar-SA"/>
        </w:rPr>
        <w:t>（2）小班设计及工程量统计表（EXCEL格式）</w:t>
      </w:r>
    </w:p>
    <w:p w14:paraId="030781C5">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color w:val="auto"/>
          <w:spacing w:val="1"/>
          <w:kern w:val="2"/>
          <w:sz w:val="24"/>
          <w:szCs w:val="24"/>
          <w:lang w:val="en-US" w:eastAsia="zh-CN" w:bidi="ar-SA"/>
        </w:rPr>
      </w:pPr>
      <w:r>
        <w:rPr>
          <w:rFonts w:hint="eastAsia" w:asciiTheme="minorEastAsia" w:hAnsiTheme="minorEastAsia" w:eastAsiaTheme="minorEastAsia" w:cstheme="minorEastAsia"/>
          <w:color w:val="auto"/>
          <w:spacing w:val="1"/>
          <w:kern w:val="2"/>
          <w:sz w:val="24"/>
          <w:szCs w:val="24"/>
          <w:lang w:val="en-US" w:eastAsia="zh-CN" w:bidi="ar-SA"/>
        </w:rPr>
        <w:t>（3）项目总体布局图（PDF格式）</w:t>
      </w:r>
    </w:p>
    <w:p w14:paraId="5B723D8B">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color w:val="auto"/>
          <w:spacing w:val="1"/>
          <w:kern w:val="2"/>
          <w:sz w:val="24"/>
          <w:szCs w:val="24"/>
          <w:lang w:val="en-US" w:eastAsia="zh-CN" w:bidi="ar-SA"/>
        </w:rPr>
      </w:pPr>
      <w:r>
        <w:rPr>
          <w:rFonts w:hint="eastAsia" w:asciiTheme="minorEastAsia" w:hAnsiTheme="minorEastAsia" w:eastAsiaTheme="minorEastAsia" w:cstheme="minorEastAsia"/>
          <w:color w:val="auto"/>
          <w:spacing w:val="1"/>
          <w:kern w:val="2"/>
          <w:sz w:val="24"/>
          <w:szCs w:val="24"/>
          <w:lang w:val="en-US" w:eastAsia="zh-CN" w:bidi="ar-SA"/>
        </w:rPr>
        <w:t>（</w:t>
      </w:r>
      <w:r>
        <w:rPr>
          <w:rFonts w:hint="eastAsia" w:asciiTheme="minorEastAsia" w:hAnsiTheme="minorEastAsia" w:cstheme="minorEastAsia"/>
          <w:color w:val="auto"/>
          <w:spacing w:val="1"/>
          <w:kern w:val="2"/>
          <w:sz w:val="24"/>
          <w:szCs w:val="24"/>
          <w:lang w:val="en-US" w:eastAsia="zh-CN" w:bidi="ar-SA"/>
        </w:rPr>
        <w:t>4</w:t>
      </w:r>
      <w:r>
        <w:rPr>
          <w:rFonts w:hint="eastAsia" w:asciiTheme="minorEastAsia" w:hAnsiTheme="minorEastAsia" w:eastAsiaTheme="minorEastAsia" w:cstheme="minorEastAsia"/>
          <w:color w:val="auto"/>
          <w:spacing w:val="1"/>
          <w:kern w:val="2"/>
          <w:sz w:val="24"/>
          <w:szCs w:val="24"/>
          <w:lang w:val="en-US" w:eastAsia="zh-CN" w:bidi="ar-SA"/>
        </w:rPr>
        <w:t>）各小班作业设计图（PDF格式）</w:t>
      </w:r>
    </w:p>
    <w:p w14:paraId="785B5773">
      <w:pPr>
        <w:rPr>
          <w:rFonts w:ascii="等线" w:hAnsi="等线" w:eastAsia="等线" w:cs="Times New Roman"/>
          <w:szCs w:val="22"/>
        </w:rPr>
      </w:pPr>
    </w:p>
    <w:p w14:paraId="2FA93A7F">
      <w:pPr>
        <w:rPr>
          <w:rFonts w:ascii="等线" w:hAnsi="等线" w:eastAsia="等线" w:cs="Times New Roman"/>
          <w:szCs w:val="22"/>
        </w:rPr>
      </w:pPr>
    </w:p>
    <w:p w14:paraId="654FAA5F">
      <w:pPr>
        <w:rPr>
          <w:rFonts w:hint="eastAsia"/>
          <w:b/>
          <w:lang w:val="en-US" w:eastAsia="zh-CN"/>
        </w:rPr>
      </w:pPr>
      <w:bookmarkStart w:id="43" w:name="_Toc16230"/>
      <w:r>
        <w:rPr>
          <w:rFonts w:hint="eastAsia"/>
          <w:b/>
          <w:lang w:val="en-US" w:eastAsia="zh-CN"/>
        </w:rPr>
        <w:br w:type="page"/>
      </w:r>
    </w:p>
    <w:p w14:paraId="4868B0A4">
      <w:pPr>
        <w:pStyle w:val="2"/>
        <w:bidi w:val="0"/>
        <w:jc w:val="center"/>
        <w:rPr>
          <w:rFonts w:hint="eastAsia"/>
          <w:b/>
          <w:lang w:val="en-US" w:eastAsia="zh-CN"/>
        </w:rPr>
      </w:pPr>
      <w:r>
        <w:rPr>
          <w:rFonts w:hint="eastAsia"/>
          <w:b/>
          <w:lang w:val="en-US" w:eastAsia="zh-CN"/>
        </w:rPr>
        <w:t>第四章 评标方法及标准</w:t>
      </w:r>
      <w:bookmarkEnd w:id="35"/>
      <w:bookmarkEnd w:id="43"/>
    </w:p>
    <w:p w14:paraId="55C8E6E6">
      <w:pPr>
        <w:widowControl w:val="0"/>
        <w:adjustRightInd w:val="0"/>
        <w:snapToGrid w:val="0"/>
        <w:spacing w:before="312" w:beforeLines="100" w:line="44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本项目将按照招标文件</w:t>
      </w:r>
      <w:r>
        <w:rPr>
          <w:rFonts w:hint="eastAsia" w:ascii="Times New Roman" w:hAnsi="Times New Roman" w:eastAsia="宋体" w:cs="Times New Roman"/>
          <w:b/>
          <w:bCs/>
          <w:color w:val="000000"/>
          <w:kern w:val="2"/>
          <w:sz w:val="24"/>
          <w:szCs w:val="22"/>
          <w:lang w:val="en-US" w:eastAsia="zh-CN" w:bidi="ar-SA"/>
        </w:rPr>
        <w:t>第二章投标人须知</w:t>
      </w:r>
      <w:r>
        <w:rPr>
          <w:rFonts w:hint="eastAsia" w:ascii="Times New Roman" w:hAnsi="Times New Roman" w:eastAsia="宋体" w:cs="Times New Roman"/>
          <w:color w:val="000000"/>
          <w:kern w:val="2"/>
          <w:sz w:val="24"/>
          <w:szCs w:val="22"/>
          <w:lang w:val="en-US" w:eastAsia="zh-CN" w:bidi="ar-SA"/>
        </w:rPr>
        <w:t>的相关要求及本章的规定评标。</w:t>
      </w:r>
    </w:p>
    <w:p w14:paraId="0E76D90D">
      <w:pPr>
        <w:pStyle w:val="3"/>
        <w:bidi w:val="0"/>
        <w:jc w:val="center"/>
        <w:rPr>
          <w:lang w:val="en-US" w:eastAsia="zh-CN"/>
        </w:rPr>
      </w:pPr>
      <w:bookmarkStart w:id="44" w:name="_Toc10407"/>
      <w:bookmarkStart w:id="45" w:name="_Toc4100"/>
      <w:bookmarkStart w:id="46" w:name="_Toc26217"/>
      <w:r>
        <w:rPr>
          <w:rFonts w:hint="eastAsia"/>
          <w:lang w:val="en-US" w:eastAsia="zh-CN"/>
        </w:rPr>
        <w:t>第一节 资格审查</w:t>
      </w:r>
      <w:bookmarkEnd w:id="44"/>
      <w:bookmarkEnd w:id="45"/>
      <w:bookmarkEnd w:id="46"/>
    </w:p>
    <w:p w14:paraId="79E2259F">
      <w:pPr>
        <w:widowControl w:val="0"/>
        <w:adjustRightInd w:val="0"/>
        <w:snapToGrid w:val="0"/>
        <w:spacing w:before="312" w:beforeLines="100" w:line="440" w:lineRule="exact"/>
        <w:ind w:firstLine="480" w:firstLineChars="20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1.1依据政府采购相关法律法规规定，由采购人或采购代理机构对投标人进行资格审查。资格审查表如下：</w:t>
      </w:r>
    </w:p>
    <w:p w14:paraId="729CE375">
      <w:pPr>
        <w:widowControl w:val="0"/>
        <w:adjustRightInd w:val="0"/>
        <w:snapToGrid w:val="0"/>
        <w:spacing w:before="312" w:beforeLines="100" w:line="440" w:lineRule="exact"/>
        <w:ind w:firstLine="0" w:firstLineChars="0"/>
        <w:jc w:val="center"/>
        <w:textAlignment w:val="baseline"/>
        <w:rPr>
          <w:rFonts w:ascii="方正小标宋_GBK" w:hAnsi="方正小标宋_GBK" w:eastAsia="方正小标宋_GBK" w:cs="方正小标宋_GBK"/>
          <w:color w:val="000000"/>
          <w:kern w:val="2"/>
          <w:sz w:val="30"/>
          <w:szCs w:val="30"/>
          <w:lang w:val="en-US" w:eastAsia="zh-CN" w:bidi="ar-SA"/>
        </w:rPr>
      </w:pPr>
      <w:r>
        <w:rPr>
          <w:rFonts w:hint="eastAsia" w:ascii="方正小标宋_GBK" w:hAnsi="方正小标宋_GBK" w:eastAsia="方正小标宋_GBK" w:cs="方正小标宋_GBK"/>
          <w:color w:val="000000"/>
          <w:kern w:val="2"/>
          <w:sz w:val="30"/>
          <w:szCs w:val="30"/>
          <w:lang w:val="en-US" w:eastAsia="zh-CN" w:bidi="ar-SA"/>
        </w:rPr>
        <w:t>资格审查表</w:t>
      </w:r>
    </w:p>
    <w:tbl>
      <w:tblPr>
        <w:tblStyle w:val="11"/>
        <w:tblW w:w="9503"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263"/>
        <w:gridCol w:w="2400"/>
        <w:gridCol w:w="4010"/>
      </w:tblGrid>
      <w:tr w14:paraId="49CF72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blHeader/>
          <w:jc w:val="center"/>
        </w:trPr>
        <w:tc>
          <w:tcPr>
            <w:tcW w:w="830" w:type="dxa"/>
            <w:tcBorders>
              <w:tl2br w:val="nil"/>
              <w:tr2bl w:val="nil"/>
            </w:tcBorders>
            <w:shd w:val="pct10" w:color="ADB9CA" w:fill="D6DCE5"/>
            <w:vAlign w:val="center"/>
          </w:tcPr>
          <w:p w14:paraId="71B356E7">
            <w:pPr>
              <w:widowControl w:val="0"/>
              <w:spacing w:line="240" w:lineRule="exact"/>
              <w:jc w:val="center"/>
              <w:textAlignment w:val="baseline"/>
              <w:rPr>
                <w:rFonts w:ascii="Times New Roman" w:hAnsi="Times New Roman" w:eastAsia="微软雅黑" w:cs="Times New Roman"/>
                <w:b/>
                <w:color w:val="000000"/>
                <w:kern w:val="2"/>
                <w:sz w:val="20"/>
                <w:szCs w:val="20"/>
                <w:lang w:val="en-US" w:eastAsia="zh-CN" w:bidi="ar-SA"/>
              </w:rPr>
            </w:pPr>
            <w:r>
              <w:rPr>
                <w:rFonts w:ascii="Times New Roman" w:hAnsi="Times New Roman" w:eastAsia="微软雅黑" w:cs="Times New Roman"/>
                <w:b/>
                <w:color w:val="000000"/>
                <w:kern w:val="2"/>
                <w:sz w:val="20"/>
                <w:szCs w:val="20"/>
                <w:lang w:val="en-US" w:eastAsia="zh-CN" w:bidi="ar-SA"/>
              </w:rPr>
              <w:t>序号</w:t>
            </w:r>
          </w:p>
        </w:tc>
        <w:tc>
          <w:tcPr>
            <w:tcW w:w="2263" w:type="dxa"/>
            <w:tcBorders>
              <w:tl2br w:val="nil"/>
              <w:tr2bl w:val="nil"/>
            </w:tcBorders>
            <w:shd w:val="pct10" w:color="ADB9CA" w:fill="D6DCE5"/>
            <w:vAlign w:val="center"/>
          </w:tcPr>
          <w:p w14:paraId="371ED4E4">
            <w:pPr>
              <w:widowControl w:val="0"/>
              <w:spacing w:line="240" w:lineRule="exact"/>
              <w:jc w:val="center"/>
              <w:textAlignment w:val="baseline"/>
              <w:rPr>
                <w:rFonts w:ascii="Times New Roman" w:hAnsi="Times New Roman" w:eastAsia="微软雅黑" w:cs="Times New Roman"/>
                <w:b/>
                <w:color w:val="000000"/>
                <w:kern w:val="2"/>
                <w:sz w:val="20"/>
                <w:szCs w:val="20"/>
                <w:lang w:val="en-US" w:eastAsia="zh-CN" w:bidi="ar-SA"/>
              </w:rPr>
            </w:pPr>
            <w:r>
              <w:rPr>
                <w:rFonts w:ascii="Times New Roman" w:hAnsi="Times New Roman" w:eastAsia="微软雅黑" w:cs="Times New Roman"/>
                <w:b/>
                <w:color w:val="000000"/>
                <w:kern w:val="2"/>
                <w:sz w:val="20"/>
                <w:szCs w:val="20"/>
                <w:lang w:val="en-US" w:eastAsia="zh-CN" w:bidi="ar-SA"/>
              </w:rPr>
              <w:t>评审指标</w:t>
            </w:r>
          </w:p>
        </w:tc>
        <w:tc>
          <w:tcPr>
            <w:tcW w:w="2400" w:type="dxa"/>
            <w:tcBorders>
              <w:tl2br w:val="nil"/>
              <w:tr2bl w:val="nil"/>
            </w:tcBorders>
            <w:shd w:val="pct10" w:color="ADB9CA" w:fill="D6DCE5"/>
            <w:vAlign w:val="center"/>
          </w:tcPr>
          <w:p w14:paraId="7D67AD5D">
            <w:pPr>
              <w:widowControl w:val="0"/>
              <w:spacing w:line="240" w:lineRule="exact"/>
              <w:jc w:val="center"/>
              <w:textAlignment w:val="baseline"/>
              <w:rPr>
                <w:rFonts w:ascii="Times New Roman" w:hAnsi="Times New Roman" w:eastAsia="微软雅黑" w:cs="Times New Roman"/>
                <w:b/>
                <w:color w:val="000000"/>
                <w:kern w:val="2"/>
                <w:sz w:val="20"/>
                <w:szCs w:val="20"/>
                <w:lang w:val="en-US" w:eastAsia="zh-CN" w:bidi="ar-SA"/>
              </w:rPr>
            </w:pPr>
            <w:r>
              <w:rPr>
                <w:rFonts w:ascii="Times New Roman" w:hAnsi="Times New Roman" w:eastAsia="微软雅黑" w:cs="Times New Roman"/>
                <w:b/>
                <w:color w:val="000000"/>
                <w:kern w:val="2"/>
                <w:sz w:val="20"/>
                <w:szCs w:val="20"/>
                <w:lang w:val="en-US" w:eastAsia="zh-CN" w:bidi="ar-SA"/>
              </w:rPr>
              <w:t>评审标准</w:t>
            </w:r>
          </w:p>
        </w:tc>
        <w:tc>
          <w:tcPr>
            <w:tcW w:w="4010" w:type="dxa"/>
            <w:tcBorders>
              <w:tl2br w:val="nil"/>
              <w:tr2bl w:val="nil"/>
            </w:tcBorders>
            <w:shd w:val="pct10" w:color="ADB9CA" w:fill="D6DCE5"/>
            <w:vAlign w:val="center"/>
          </w:tcPr>
          <w:p w14:paraId="10E139E5">
            <w:pPr>
              <w:widowControl w:val="0"/>
              <w:spacing w:line="240" w:lineRule="exact"/>
              <w:jc w:val="center"/>
              <w:textAlignment w:val="baseline"/>
              <w:rPr>
                <w:rFonts w:ascii="Times New Roman" w:hAnsi="Times New Roman" w:eastAsia="微软雅黑" w:cs="Times New Roman"/>
                <w:b/>
                <w:color w:val="000000"/>
                <w:kern w:val="2"/>
                <w:sz w:val="20"/>
                <w:szCs w:val="20"/>
                <w:lang w:val="en-US" w:eastAsia="zh-CN" w:bidi="ar-SA"/>
              </w:rPr>
            </w:pPr>
            <w:r>
              <w:rPr>
                <w:rFonts w:ascii="Times New Roman" w:hAnsi="Times New Roman" w:eastAsia="微软雅黑" w:cs="Times New Roman"/>
                <w:b/>
                <w:color w:val="000000"/>
                <w:kern w:val="2"/>
                <w:sz w:val="20"/>
                <w:szCs w:val="20"/>
                <w:lang w:val="en-US" w:eastAsia="zh-CN" w:bidi="ar-SA"/>
              </w:rPr>
              <w:t>格式及材料要求</w:t>
            </w:r>
          </w:p>
        </w:tc>
      </w:tr>
      <w:tr w14:paraId="0BC1AB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jc w:val="center"/>
        </w:trPr>
        <w:tc>
          <w:tcPr>
            <w:tcW w:w="830" w:type="dxa"/>
            <w:tcBorders>
              <w:tl2br w:val="nil"/>
              <w:tr2bl w:val="nil"/>
            </w:tcBorders>
            <w:vAlign w:val="center"/>
          </w:tcPr>
          <w:p w14:paraId="558D5A65">
            <w:pPr>
              <w:widowControl w:val="0"/>
              <w:numPr>
                <w:ilvl w:val="0"/>
                <w:numId w:val="11"/>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2263" w:type="dxa"/>
            <w:tcBorders>
              <w:tl2br w:val="nil"/>
              <w:tr2bl w:val="nil"/>
            </w:tcBorders>
            <w:vAlign w:val="center"/>
          </w:tcPr>
          <w:p w14:paraId="53E78F53">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法人或者其他组织的营业执照等主体资格证明文件，自然人的身份证明</w:t>
            </w:r>
          </w:p>
        </w:tc>
        <w:tc>
          <w:tcPr>
            <w:tcW w:w="2400" w:type="dxa"/>
            <w:tcBorders>
              <w:tl2br w:val="nil"/>
              <w:tr2bl w:val="nil"/>
            </w:tcBorders>
            <w:vAlign w:val="center"/>
          </w:tcPr>
          <w:p w14:paraId="39599BD9">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合法有效</w:t>
            </w:r>
          </w:p>
        </w:tc>
        <w:tc>
          <w:tcPr>
            <w:tcW w:w="4010" w:type="dxa"/>
            <w:tcBorders>
              <w:tl2br w:val="nil"/>
              <w:tr2bl w:val="nil"/>
            </w:tcBorders>
            <w:vAlign w:val="center"/>
          </w:tcPr>
          <w:p w14:paraId="6FF614E7">
            <w:pPr>
              <w:widowControl w:val="0"/>
              <w:spacing w:before="31" w:beforeLines="10" w:line="240" w:lineRule="exact"/>
              <w:ind w:firstLine="400" w:firstLineChars="200"/>
              <w:jc w:val="left"/>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提供有效的投标人营业执照（或事业单位法人登记证书）和税务登记证的扫描件，应完整地体现出营业执照（或事业单位法人登记证书）和税务登记证的全部内容。已办理“三证合一”或“五证合一”登记的， 投标文件中提供营业执照（或事业单位法人登记证书）扫描件即可。</w:t>
            </w:r>
          </w:p>
        </w:tc>
      </w:tr>
      <w:tr w14:paraId="192497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830" w:type="dxa"/>
            <w:tcBorders>
              <w:tl2br w:val="nil"/>
              <w:tr2bl w:val="nil"/>
            </w:tcBorders>
            <w:vAlign w:val="center"/>
          </w:tcPr>
          <w:p w14:paraId="3BC5A065">
            <w:pPr>
              <w:widowControl w:val="0"/>
              <w:numPr>
                <w:ilvl w:val="0"/>
                <w:numId w:val="11"/>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2263" w:type="dxa"/>
            <w:tcBorders>
              <w:tl2br w:val="nil"/>
              <w:tr2bl w:val="nil"/>
            </w:tcBorders>
            <w:vAlign w:val="center"/>
          </w:tcPr>
          <w:p w14:paraId="1102E18F">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信用记录查询</w:t>
            </w:r>
          </w:p>
        </w:tc>
        <w:tc>
          <w:tcPr>
            <w:tcW w:w="2400" w:type="dxa"/>
            <w:tcBorders>
              <w:tl2br w:val="nil"/>
              <w:tr2bl w:val="nil"/>
            </w:tcBorders>
            <w:vAlign w:val="center"/>
          </w:tcPr>
          <w:p w14:paraId="34B0ECC6">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投标人不得存在投标人资格中的不良信用</w:t>
            </w:r>
          </w:p>
          <w:p w14:paraId="63E8B509">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记录情形</w:t>
            </w:r>
          </w:p>
        </w:tc>
        <w:tc>
          <w:tcPr>
            <w:tcW w:w="4010" w:type="dxa"/>
            <w:tcBorders>
              <w:tl2br w:val="nil"/>
              <w:tr2bl w:val="nil"/>
            </w:tcBorders>
            <w:vAlign w:val="center"/>
          </w:tcPr>
          <w:p w14:paraId="70713611">
            <w:pPr>
              <w:widowControl w:val="0"/>
              <w:spacing w:before="31" w:beforeLines="10" w:line="240" w:lineRule="exact"/>
              <w:ind w:firstLine="400" w:firstLineChars="200"/>
              <w:jc w:val="left"/>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详见投标人须知第 21.2 条要求</w:t>
            </w:r>
          </w:p>
        </w:tc>
      </w:tr>
      <w:tr w14:paraId="42D930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30" w:type="dxa"/>
            <w:tcBorders>
              <w:tl2br w:val="nil"/>
              <w:tr2bl w:val="nil"/>
            </w:tcBorders>
            <w:vAlign w:val="center"/>
          </w:tcPr>
          <w:p w14:paraId="15432532">
            <w:pPr>
              <w:widowControl w:val="0"/>
              <w:numPr>
                <w:ilvl w:val="0"/>
                <w:numId w:val="11"/>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2263" w:type="dxa"/>
            <w:tcBorders>
              <w:tl2br w:val="nil"/>
              <w:tr2bl w:val="nil"/>
            </w:tcBorders>
            <w:vAlign w:val="center"/>
          </w:tcPr>
          <w:p w14:paraId="0C1F4A23">
            <w:pPr>
              <w:widowControl w:val="0"/>
              <w:spacing w:line="300" w:lineRule="exact"/>
              <w:jc w:val="center"/>
              <w:textAlignment w:val="baseline"/>
              <w:rPr>
                <w:rFonts w:ascii="Times New Roman" w:hAnsi="Times New Roman" w:eastAsia="微软雅黑" w:cs="Times New Roman"/>
                <w:color w:val="000000"/>
                <w:kern w:val="2"/>
                <w:sz w:val="21"/>
                <w:szCs w:val="24"/>
                <w:lang w:val="en-US" w:eastAsia="zh-CN" w:bidi="ar-SA"/>
              </w:rPr>
            </w:pPr>
            <w:r>
              <w:rPr>
                <w:rFonts w:ascii="Times New Roman" w:hAnsi="Times New Roman" w:eastAsia="微软雅黑" w:cs="Times New Roman"/>
                <w:color w:val="000000"/>
                <w:kern w:val="2"/>
                <w:sz w:val="21"/>
                <w:szCs w:val="24"/>
                <w:lang w:val="en-US" w:eastAsia="zh-CN" w:bidi="ar-SA"/>
              </w:rPr>
              <w:t>授权</w:t>
            </w:r>
            <w:r>
              <w:rPr>
                <w:rFonts w:hint="eastAsia" w:ascii="Times New Roman" w:hAnsi="Times New Roman" w:eastAsia="微软雅黑" w:cs="Times New Roman"/>
                <w:color w:val="000000"/>
                <w:kern w:val="2"/>
                <w:sz w:val="21"/>
                <w:szCs w:val="24"/>
                <w:lang w:val="en-US" w:eastAsia="zh-CN" w:bidi="ar-SA"/>
              </w:rPr>
              <w:t>委托</w:t>
            </w:r>
            <w:r>
              <w:rPr>
                <w:rFonts w:ascii="Times New Roman" w:hAnsi="Times New Roman" w:eastAsia="微软雅黑" w:cs="Times New Roman"/>
                <w:color w:val="000000"/>
                <w:kern w:val="2"/>
                <w:sz w:val="21"/>
                <w:szCs w:val="24"/>
                <w:lang w:val="en-US" w:eastAsia="zh-CN" w:bidi="ar-SA"/>
              </w:rPr>
              <w:t>书</w:t>
            </w:r>
          </w:p>
        </w:tc>
        <w:tc>
          <w:tcPr>
            <w:tcW w:w="2400" w:type="dxa"/>
            <w:tcBorders>
              <w:tl2br w:val="nil"/>
              <w:tr2bl w:val="nil"/>
            </w:tcBorders>
            <w:vAlign w:val="center"/>
          </w:tcPr>
          <w:p w14:paraId="36EB33A9">
            <w:pPr>
              <w:widowControl w:val="0"/>
              <w:spacing w:line="300" w:lineRule="exact"/>
              <w:jc w:val="center"/>
              <w:textAlignment w:val="baseline"/>
              <w:rPr>
                <w:rFonts w:ascii="Times New Roman" w:hAnsi="Times New Roman" w:eastAsia="微软雅黑" w:cs="Times New Roman"/>
                <w:color w:val="000000"/>
                <w:kern w:val="2"/>
                <w:sz w:val="21"/>
                <w:szCs w:val="24"/>
                <w:lang w:val="en-US" w:eastAsia="zh-CN" w:bidi="ar-SA"/>
              </w:rPr>
            </w:pPr>
            <w:r>
              <w:rPr>
                <w:rFonts w:ascii="Times New Roman" w:hAnsi="Times New Roman" w:eastAsia="微软雅黑" w:cs="Times New Roman"/>
                <w:color w:val="000000"/>
                <w:kern w:val="2"/>
                <w:sz w:val="21"/>
                <w:szCs w:val="24"/>
                <w:lang w:val="en-US" w:eastAsia="zh-CN" w:bidi="ar-SA"/>
              </w:rPr>
              <w:t>格式、填写要求符合招标文件规定并加盖投标人</w:t>
            </w:r>
            <w:r>
              <w:rPr>
                <w:rFonts w:hint="eastAsia" w:ascii="Times New Roman" w:hAnsi="Times New Roman" w:eastAsia="微软雅黑" w:cs="Times New Roman"/>
                <w:color w:val="000000"/>
                <w:kern w:val="2"/>
                <w:sz w:val="21"/>
                <w:szCs w:val="24"/>
                <w:lang w:val="en-US" w:eastAsia="zh-CN" w:bidi="ar-SA"/>
              </w:rPr>
              <w:t>电子签章</w:t>
            </w:r>
          </w:p>
        </w:tc>
        <w:tc>
          <w:tcPr>
            <w:tcW w:w="4010" w:type="dxa"/>
            <w:tcBorders>
              <w:tl2br w:val="nil"/>
              <w:tr2bl w:val="nil"/>
            </w:tcBorders>
            <w:vAlign w:val="center"/>
          </w:tcPr>
          <w:p w14:paraId="2FE71065">
            <w:pPr>
              <w:widowControl w:val="0"/>
              <w:spacing w:line="300" w:lineRule="exact"/>
              <w:ind w:firstLine="420" w:firstLineChars="200"/>
              <w:jc w:val="left"/>
              <w:textAlignment w:val="baseline"/>
              <w:rPr>
                <w:rFonts w:hint="eastAsia" w:ascii="Times New Roman" w:hAnsi="Times New Roman" w:eastAsia="微软雅黑" w:cs="Times New Roman"/>
                <w:color w:val="000000"/>
                <w:kern w:val="2"/>
                <w:sz w:val="21"/>
                <w:szCs w:val="24"/>
                <w:lang w:val="en-US" w:eastAsia="zh-CN" w:bidi="ar-SA"/>
              </w:rPr>
            </w:pPr>
            <w:r>
              <w:rPr>
                <w:rFonts w:ascii="Times New Roman" w:hAnsi="Times New Roman" w:eastAsia="微软雅黑" w:cs="Times New Roman"/>
                <w:color w:val="000000"/>
                <w:kern w:val="2"/>
                <w:sz w:val="21"/>
                <w:szCs w:val="24"/>
                <w:lang w:val="en-US" w:eastAsia="zh-CN" w:bidi="ar-SA"/>
              </w:rPr>
              <w:t>法定代表人参加投标的无需此件，提供身份证明即可。详见第六章投标文件</w:t>
            </w:r>
            <w:r>
              <w:rPr>
                <w:rFonts w:hint="eastAsia" w:ascii="Times New Roman" w:hAnsi="Times New Roman" w:eastAsia="微软雅黑" w:cs="Times New Roman"/>
                <w:color w:val="000000"/>
                <w:kern w:val="2"/>
                <w:sz w:val="21"/>
                <w:szCs w:val="24"/>
                <w:lang w:val="en-US" w:eastAsia="zh-CN" w:bidi="ar-SA"/>
              </w:rPr>
              <w:t>的组成</w:t>
            </w:r>
            <w:r>
              <w:rPr>
                <w:rFonts w:ascii="Times New Roman" w:hAnsi="Times New Roman" w:eastAsia="微软雅黑" w:cs="Times New Roman"/>
                <w:color w:val="000000"/>
                <w:kern w:val="2"/>
                <w:sz w:val="21"/>
                <w:szCs w:val="24"/>
                <w:lang w:val="en-US" w:eastAsia="zh-CN" w:bidi="ar-SA"/>
              </w:rPr>
              <w:t>格</w:t>
            </w:r>
            <w:r>
              <w:rPr>
                <w:rFonts w:hint="eastAsia" w:ascii="Times New Roman" w:hAnsi="Times New Roman" w:eastAsia="微软雅黑" w:cs="Times New Roman"/>
                <w:color w:val="000000"/>
                <w:kern w:val="2"/>
                <w:sz w:val="21"/>
                <w:szCs w:val="24"/>
                <w:lang w:val="en-US" w:eastAsia="zh-CN" w:bidi="ar-SA"/>
              </w:rPr>
              <w:t>二</w:t>
            </w:r>
          </w:p>
        </w:tc>
      </w:tr>
      <w:tr w14:paraId="31BA0A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830" w:type="dxa"/>
            <w:tcBorders>
              <w:tl2br w:val="nil"/>
              <w:tr2bl w:val="nil"/>
            </w:tcBorders>
            <w:vAlign w:val="center"/>
          </w:tcPr>
          <w:p w14:paraId="4E15F674">
            <w:pPr>
              <w:widowControl w:val="0"/>
              <w:numPr>
                <w:ilvl w:val="0"/>
                <w:numId w:val="11"/>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2263" w:type="dxa"/>
            <w:tcBorders>
              <w:tl2br w:val="nil"/>
              <w:tr2bl w:val="nil"/>
            </w:tcBorders>
            <w:vAlign w:val="center"/>
          </w:tcPr>
          <w:p w14:paraId="2B4C3E82">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投标人资格声明</w:t>
            </w:r>
          </w:p>
        </w:tc>
        <w:tc>
          <w:tcPr>
            <w:tcW w:w="2400" w:type="dxa"/>
            <w:tcBorders>
              <w:tl2br w:val="nil"/>
              <w:tr2bl w:val="nil"/>
            </w:tcBorders>
            <w:vAlign w:val="center"/>
          </w:tcPr>
          <w:p w14:paraId="6987D710">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格式、填写要求符合招标文件规定并加盖投标人电子签章</w:t>
            </w:r>
          </w:p>
        </w:tc>
        <w:tc>
          <w:tcPr>
            <w:tcW w:w="4010" w:type="dxa"/>
            <w:tcBorders>
              <w:tl2br w:val="nil"/>
              <w:tr2bl w:val="nil"/>
            </w:tcBorders>
            <w:vAlign w:val="center"/>
          </w:tcPr>
          <w:p w14:paraId="5228B75F">
            <w:pPr>
              <w:widowControl w:val="0"/>
              <w:spacing w:before="31" w:beforeLines="10" w:line="240" w:lineRule="exact"/>
              <w:ind w:firstLine="400" w:firstLineChars="200"/>
              <w:jc w:val="left"/>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详见第六章投标文件格式附件3-1</w:t>
            </w:r>
          </w:p>
        </w:tc>
      </w:tr>
      <w:tr w14:paraId="432A58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830" w:type="dxa"/>
            <w:tcBorders>
              <w:tl2br w:val="nil"/>
              <w:tr2bl w:val="nil"/>
            </w:tcBorders>
            <w:vAlign w:val="center"/>
          </w:tcPr>
          <w:p w14:paraId="0382B661">
            <w:pPr>
              <w:widowControl w:val="0"/>
              <w:numPr>
                <w:ilvl w:val="0"/>
                <w:numId w:val="11"/>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2263" w:type="dxa"/>
            <w:tcBorders>
              <w:tl2br w:val="nil"/>
              <w:tr2bl w:val="nil"/>
            </w:tcBorders>
            <w:vAlign w:val="center"/>
          </w:tcPr>
          <w:p w14:paraId="5BA7C91F">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湖南省政府采购供应商资格承诺函</w:t>
            </w:r>
          </w:p>
        </w:tc>
        <w:tc>
          <w:tcPr>
            <w:tcW w:w="2400" w:type="dxa"/>
            <w:tcBorders>
              <w:tl2br w:val="nil"/>
              <w:tr2bl w:val="nil"/>
            </w:tcBorders>
            <w:vAlign w:val="center"/>
          </w:tcPr>
          <w:p w14:paraId="4F719C5B">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格式、填写要求符合招标文件规定并加盖投标人电子签章</w:t>
            </w:r>
          </w:p>
        </w:tc>
        <w:tc>
          <w:tcPr>
            <w:tcW w:w="4010" w:type="dxa"/>
            <w:tcBorders>
              <w:tl2br w:val="nil"/>
              <w:tr2bl w:val="nil"/>
            </w:tcBorders>
            <w:vAlign w:val="center"/>
          </w:tcPr>
          <w:p w14:paraId="3AC3E00C">
            <w:pPr>
              <w:widowControl w:val="0"/>
              <w:spacing w:before="31" w:beforeLines="10" w:line="240" w:lineRule="exact"/>
              <w:ind w:firstLine="400" w:firstLineChars="200"/>
              <w:jc w:val="left"/>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详见第六章投标文件格式附件3-4</w:t>
            </w:r>
          </w:p>
        </w:tc>
      </w:tr>
      <w:tr w14:paraId="5E03DC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830" w:type="dxa"/>
            <w:tcBorders>
              <w:tl2br w:val="nil"/>
              <w:tr2bl w:val="nil"/>
            </w:tcBorders>
            <w:vAlign w:val="center"/>
          </w:tcPr>
          <w:p w14:paraId="56DB53ED">
            <w:pPr>
              <w:widowControl w:val="0"/>
              <w:numPr>
                <w:ilvl w:val="0"/>
                <w:numId w:val="11"/>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2263" w:type="dxa"/>
            <w:tcBorders>
              <w:tl2br w:val="nil"/>
              <w:tr2bl w:val="nil"/>
            </w:tcBorders>
            <w:vAlign w:val="center"/>
          </w:tcPr>
          <w:p w14:paraId="4A0274AA">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存在关联关系的供应商不参与政府采购项目竞争的承诺书</w:t>
            </w:r>
          </w:p>
        </w:tc>
        <w:tc>
          <w:tcPr>
            <w:tcW w:w="2400" w:type="dxa"/>
            <w:tcBorders>
              <w:tl2br w:val="nil"/>
              <w:tr2bl w:val="nil"/>
            </w:tcBorders>
            <w:vAlign w:val="center"/>
          </w:tcPr>
          <w:p w14:paraId="614DDFBE">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格式、填写要求符合招标文件规定并加盖投标人电子签章</w:t>
            </w:r>
          </w:p>
        </w:tc>
        <w:tc>
          <w:tcPr>
            <w:tcW w:w="4010" w:type="dxa"/>
            <w:tcBorders>
              <w:tl2br w:val="nil"/>
              <w:tr2bl w:val="nil"/>
            </w:tcBorders>
            <w:vAlign w:val="center"/>
          </w:tcPr>
          <w:p w14:paraId="4D0B1EF8">
            <w:pPr>
              <w:widowControl w:val="0"/>
              <w:spacing w:before="31" w:beforeLines="10" w:line="240" w:lineRule="exact"/>
              <w:ind w:firstLine="400" w:firstLineChars="200"/>
              <w:jc w:val="left"/>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详见第六章投标文件格式附件3-6</w:t>
            </w:r>
          </w:p>
        </w:tc>
      </w:tr>
      <w:tr w14:paraId="174CE3D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830" w:type="dxa"/>
            <w:tcBorders>
              <w:tl2br w:val="nil"/>
              <w:tr2bl w:val="nil"/>
            </w:tcBorders>
            <w:vAlign w:val="center"/>
          </w:tcPr>
          <w:p w14:paraId="4D21DA72">
            <w:pPr>
              <w:widowControl w:val="0"/>
              <w:numPr>
                <w:ilvl w:val="0"/>
                <w:numId w:val="11"/>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2263" w:type="dxa"/>
            <w:tcBorders>
              <w:tl2br w:val="nil"/>
              <w:tr2bl w:val="nil"/>
            </w:tcBorders>
            <w:vAlign w:val="center"/>
          </w:tcPr>
          <w:p w14:paraId="596C8523">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无重大违法记录声明函、无不良信用</w:t>
            </w:r>
          </w:p>
          <w:p w14:paraId="120E337C">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记录声明函</w:t>
            </w:r>
          </w:p>
        </w:tc>
        <w:tc>
          <w:tcPr>
            <w:tcW w:w="2400" w:type="dxa"/>
            <w:tcBorders>
              <w:tl2br w:val="nil"/>
              <w:tr2bl w:val="nil"/>
            </w:tcBorders>
            <w:vAlign w:val="center"/>
          </w:tcPr>
          <w:p w14:paraId="5B2DE284">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格式、填写要求符合招标文件规定并加盖投标人电子签章</w:t>
            </w:r>
          </w:p>
        </w:tc>
        <w:tc>
          <w:tcPr>
            <w:tcW w:w="4010" w:type="dxa"/>
            <w:tcBorders>
              <w:tl2br w:val="nil"/>
              <w:tr2bl w:val="nil"/>
            </w:tcBorders>
            <w:vAlign w:val="center"/>
          </w:tcPr>
          <w:p w14:paraId="5451871E">
            <w:pPr>
              <w:widowControl w:val="0"/>
              <w:spacing w:before="31" w:beforeLines="10" w:line="240" w:lineRule="exact"/>
              <w:ind w:firstLine="400" w:firstLineChars="200"/>
              <w:jc w:val="left"/>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详见第六章投标文件格式附件3-7</w:t>
            </w:r>
          </w:p>
        </w:tc>
      </w:tr>
      <w:tr w14:paraId="2886C3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30" w:type="dxa"/>
            <w:tcBorders>
              <w:tl2br w:val="nil"/>
              <w:tr2bl w:val="nil"/>
            </w:tcBorders>
            <w:vAlign w:val="center"/>
          </w:tcPr>
          <w:p w14:paraId="64688D7D">
            <w:pPr>
              <w:widowControl w:val="0"/>
              <w:numPr>
                <w:ilvl w:val="0"/>
                <w:numId w:val="11"/>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2263" w:type="dxa"/>
            <w:tcBorders>
              <w:tl2br w:val="nil"/>
              <w:tr2bl w:val="nil"/>
            </w:tcBorders>
            <w:vAlign w:val="center"/>
          </w:tcPr>
          <w:p w14:paraId="7E1BBA76">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特定资格条件（如有）</w:t>
            </w:r>
          </w:p>
        </w:tc>
        <w:tc>
          <w:tcPr>
            <w:tcW w:w="2400" w:type="dxa"/>
            <w:tcBorders>
              <w:tl2br w:val="nil"/>
              <w:tr2bl w:val="nil"/>
            </w:tcBorders>
            <w:vAlign w:val="center"/>
          </w:tcPr>
          <w:p w14:paraId="52831BB8">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符合特定资格条件证明材料复印件或者情况说明原件</w:t>
            </w:r>
          </w:p>
        </w:tc>
        <w:tc>
          <w:tcPr>
            <w:tcW w:w="4010" w:type="dxa"/>
            <w:tcBorders>
              <w:tl2br w:val="nil"/>
              <w:tr2bl w:val="nil"/>
            </w:tcBorders>
            <w:vAlign w:val="center"/>
          </w:tcPr>
          <w:p w14:paraId="35CA976C">
            <w:pPr>
              <w:widowControl w:val="0"/>
              <w:spacing w:before="31" w:beforeLines="10" w:line="240" w:lineRule="exact"/>
              <w:ind w:firstLine="400" w:firstLineChars="200"/>
              <w:jc w:val="left"/>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详见第六章投标文件格式附件3-3</w:t>
            </w:r>
          </w:p>
        </w:tc>
      </w:tr>
      <w:tr w14:paraId="490BA7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830" w:type="dxa"/>
            <w:tcBorders>
              <w:tl2br w:val="nil"/>
              <w:tr2bl w:val="nil"/>
            </w:tcBorders>
            <w:vAlign w:val="center"/>
          </w:tcPr>
          <w:p w14:paraId="4105CC5F">
            <w:pPr>
              <w:widowControl w:val="0"/>
              <w:numPr>
                <w:ilvl w:val="0"/>
                <w:numId w:val="11"/>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2263" w:type="dxa"/>
            <w:tcBorders>
              <w:tl2br w:val="nil"/>
              <w:tr2bl w:val="nil"/>
            </w:tcBorders>
            <w:vAlign w:val="center"/>
          </w:tcPr>
          <w:p w14:paraId="012177EE">
            <w:pPr>
              <w:widowControl w:val="0"/>
              <w:spacing w:before="31" w:beforeLines="10" w:line="240" w:lineRule="exact"/>
              <w:ind w:firstLine="0" w:firstLineChars="0"/>
              <w:jc w:val="center"/>
              <w:textAlignment w:val="baseline"/>
              <w:rPr>
                <w:rFonts w:hint="eastAsia"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投标保证金（如有）</w:t>
            </w:r>
          </w:p>
        </w:tc>
        <w:tc>
          <w:tcPr>
            <w:tcW w:w="2400" w:type="dxa"/>
            <w:tcBorders>
              <w:tl2br w:val="nil"/>
              <w:tr2bl w:val="nil"/>
            </w:tcBorders>
            <w:vAlign w:val="center"/>
          </w:tcPr>
          <w:p w14:paraId="1F0BF51D">
            <w:pPr>
              <w:widowControl w:val="0"/>
              <w:spacing w:line="300" w:lineRule="exact"/>
              <w:jc w:val="center"/>
              <w:textAlignment w:val="baseline"/>
              <w:rPr>
                <w:rFonts w:ascii="Times New Roman" w:hAnsi="Times New Roman" w:eastAsia="微软雅黑" w:cs="Times New Roman"/>
                <w:color w:val="000000"/>
                <w:kern w:val="2"/>
                <w:sz w:val="21"/>
                <w:szCs w:val="24"/>
                <w:lang w:val="en-US" w:eastAsia="zh-CN" w:bidi="ar-SA"/>
              </w:rPr>
            </w:pPr>
            <w:r>
              <w:rPr>
                <w:rFonts w:ascii="Times New Roman" w:hAnsi="Times New Roman" w:eastAsia="微软雅黑" w:cs="Times New Roman"/>
                <w:color w:val="000000"/>
                <w:kern w:val="2"/>
                <w:sz w:val="21"/>
                <w:szCs w:val="24"/>
                <w:lang w:val="en-US" w:eastAsia="zh-CN" w:bidi="ar-SA"/>
              </w:rPr>
              <w:t>符合招标文件投标人须知正文第1</w:t>
            </w:r>
            <w:r>
              <w:rPr>
                <w:rFonts w:hint="eastAsia" w:ascii="Times New Roman" w:hAnsi="Times New Roman" w:eastAsia="微软雅黑" w:cs="Times New Roman"/>
                <w:color w:val="000000"/>
                <w:kern w:val="2"/>
                <w:sz w:val="21"/>
                <w:szCs w:val="24"/>
                <w:lang w:val="en-US" w:eastAsia="zh-CN" w:bidi="ar-SA"/>
              </w:rPr>
              <w:t>5</w:t>
            </w:r>
            <w:r>
              <w:rPr>
                <w:rFonts w:ascii="Times New Roman" w:hAnsi="Times New Roman" w:eastAsia="微软雅黑" w:cs="Times New Roman"/>
                <w:color w:val="000000"/>
                <w:kern w:val="2"/>
                <w:sz w:val="21"/>
                <w:szCs w:val="24"/>
                <w:lang w:val="en-US" w:eastAsia="zh-CN" w:bidi="ar-SA"/>
              </w:rPr>
              <w:t>条要求</w:t>
            </w:r>
          </w:p>
        </w:tc>
        <w:tc>
          <w:tcPr>
            <w:tcW w:w="4010" w:type="dxa"/>
            <w:tcBorders>
              <w:tl2br w:val="nil"/>
              <w:tr2bl w:val="nil"/>
            </w:tcBorders>
            <w:vAlign w:val="center"/>
          </w:tcPr>
          <w:p w14:paraId="63CE24AB">
            <w:pPr>
              <w:widowControl w:val="0"/>
              <w:spacing w:line="300" w:lineRule="exact"/>
              <w:ind w:firstLine="420" w:firstLineChars="200"/>
              <w:jc w:val="left"/>
              <w:textAlignment w:val="baseline"/>
              <w:rPr>
                <w:rFonts w:ascii="Times New Roman" w:hAnsi="Times New Roman" w:eastAsia="微软雅黑" w:cs="Times New Roman"/>
                <w:color w:val="000000"/>
                <w:kern w:val="2"/>
                <w:sz w:val="21"/>
                <w:szCs w:val="24"/>
                <w:lang w:val="en-US" w:eastAsia="zh-CN" w:bidi="ar-SA"/>
              </w:rPr>
            </w:pPr>
            <w:r>
              <w:rPr>
                <w:rFonts w:ascii="Times New Roman" w:hAnsi="Times New Roman" w:eastAsia="微软雅黑" w:cs="Times New Roman"/>
                <w:color w:val="000000"/>
                <w:kern w:val="2"/>
                <w:sz w:val="21"/>
                <w:szCs w:val="24"/>
                <w:lang w:val="en-US" w:eastAsia="zh-CN" w:bidi="ar-SA"/>
              </w:rPr>
              <w:t>查询投标保证金缴纳情况</w:t>
            </w:r>
          </w:p>
        </w:tc>
      </w:tr>
      <w:tr w14:paraId="19BC7E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830" w:type="dxa"/>
            <w:tcBorders>
              <w:tl2br w:val="nil"/>
              <w:tr2bl w:val="nil"/>
            </w:tcBorders>
            <w:vAlign w:val="center"/>
          </w:tcPr>
          <w:p w14:paraId="050ECC6B">
            <w:pPr>
              <w:widowControl w:val="0"/>
              <w:numPr>
                <w:ilvl w:val="0"/>
                <w:numId w:val="11"/>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2263" w:type="dxa"/>
            <w:tcBorders>
              <w:tl2br w:val="nil"/>
              <w:tr2bl w:val="nil"/>
            </w:tcBorders>
            <w:vAlign w:val="center"/>
          </w:tcPr>
          <w:p w14:paraId="5D3D1699">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投标报价</w:t>
            </w:r>
          </w:p>
        </w:tc>
        <w:tc>
          <w:tcPr>
            <w:tcW w:w="2400" w:type="dxa"/>
            <w:tcBorders>
              <w:tl2br w:val="nil"/>
              <w:tr2bl w:val="nil"/>
            </w:tcBorders>
            <w:vAlign w:val="center"/>
          </w:tcPr>
          <w:p w14:paraId="4EAAC0F6">
            <w:pPr>
              <w:widowControl w:val="0"/>
              <w:spacing w:line="300" w:lineRule="exact"/>
              <w:jc w:val="center"/>
              <w:textAlignment w:val="baseline"/>
              <w:rPr>
                <w:rFonts w:ascii="Times New Roman" w:hAnsi="Times New Roman" w:eastAsia="微软雅黑" w:cs="Times New Roman"/>
                <w:color w:val="000000"/>
                <w:kern w:val="2"/>
                <w:sz w:val="21"/>
                <w:szCs w:val="24"/>
                <w:lang w:val="en-US" w:eastAsia="zh-CN" w:bidi="ar-SA"/>
              </w:rPr>
            </w:pPr>
            <w:r>
              <w:rPr>
                <w:rFonts w:ascii="Times New Roman" w:hAnsi="Times New Roman" w:eastAsia="微软雅黑" w:cs="Times New Roman"/>
                <w:color w:val="000000"/>
                <w:kern w:val="2"/>
                <w:sz w:val="21"/>
                <w:szCs w:val="24"/>
                <w:lang w:val="en-US" w:eastAsia="zh-CN" w:bidi="ar-SA"/>
              </w:rPr>
              <w:t>符合招标文件投标人须知正文第1</w:t>
            </w:r>
            <w:r>
              <w:rPr>
                <w:rFonts w:hint="eastAsia" w:ascii="Times New Roman" w:hAnsi="Times New Roman" w:eastAsia="微软雅黑" w:cs="Times New Roman"/>
                <w:color w:val="000000"/>
                <w:kern w:val="2"/>
                <w:sz w:val="21"/>
                <w:szCs w:val="24"/>
                <w:lang w:val="en-US" w:eastAsia="zh-CN" w:bidi="ar-SA"/>
              </w:rPr>
              <w:t>4</w:t>
            </w:r>
            <w:r>
              <w:rPr>
                <w:rFonts w:ascii="Times New Roman" w:hAnsi="Times New Roman" w:eastAsia="微软雅黑" w:cs="Times New Roman"/>
                <w:color w:val="000000"/>
                <w:kern w:val="2"/>
                <w:sz w:val="21"/>
                <w:szCs w:val="24"/>
                <w:lang w:val="en-US" w:eastAsia="zh-CN" w:bidi="ar-SA"/>
              </w:rPr>
              <w:t>条要求</w:t>
            </w:r>
          </w:p>
        </w:tc>
        <w:tc>
          <w:tcPr>
            <w:tcW w:w="4010" w:type="dxa"/>
            <w:tcBorders>
              <w:tl2br w:val="nil"/>
              <w:tr2bl w:val="nil"/>
            </w:tcBorders>
            <w:vAlign w:val="center"/>
          </w:tcPr>
          <w:p w14:paraId="38D54AD1">
            <w:pPr>
              <w:widowControl w:val="0"/>
              <w:spacing w:line="300" w:lineRule="exact"/>
              <w:ind w:firstLine="420" w:firstLineChars="200"/>
              <w:jc w:val="left"/>
              <w:textAlignment w:val="baseline"/>
              <w:rPr>
                <w:rFonts w:ascii="Times New Roman" w:hAnsi="Times New Roman" w:eastAsia="微软雅黑" w:cs="Times New Roman"/>
                <w:color w:val="000000"/>
                <w:kern w:val="2"/>
                <w:sz w:val="21"/>
                <w:szCs w:val="24"/>
                <w:lang w:val="en-US" w:eastAsia="zh-CN" w:bidi="ar-SA"/>
              </w:rPr>
            </w:pPr>
            <w:r>
              <w:rPr>
                <w:rFonts w:ascii="Times New Roman" w:hAnsi="Times New Roman" w:eastAsia="微软雅黑" w:cs="Times New Roman"/>
                <w:color w:val="000000"/>
                <w:kern w:val="2"/>
                <w:sz w:val="21"/>
                <w:szCs w:val="24"/>
                <w:lang w:val="en-US" w:eastAsia="zh-CN" w:bidi="ar-SA"/>
              </w:rPr>
              <w:t>详见第六章投标文件</w:t>
            </w:r>
            <w:r>
              <w:rPr>
                <w:rFonts w:hint="eastAsia" w:ascii="Times New Roman" w:hAnsi="Times New Roman" w:eastAsia="微软雅黑" w:cs="Times New Roman"/>
                <w:color w:val="000000"/>
                <w:kern w:val="2"/>
                <w:sz w:val="21"/>
                <w:szCs w:val="24"/>
                <w:lang w:val="en-US" w:eastAsia="zh-CN" w:bidi="ar-SA"/>
              </w:rPr>
              <w:t>开标一览表</w:t>
            </w:r>
          </w:p>
        </w:tc>
      </w:tr>
      <w:tr w14:paraId="46FEE6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830" w:type="dxa"/>
            <w:tcBorders>
              <w:tl2br w:val="nil"/>
              <w:tr2bl w:val="nil"/>
            </w:tcBorders>
            <w:vAlign w:val="center"/>
          </w:tcPr>
          <w:p w14:paraId="14BA6E60">
            <w:pPr>
              <w:widowControl w:val="0"/>
              <w:numPr>
                <w:ilvl w:val="0"/>
                <w:numId w:val="11"/>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2263" w:type="dxa"/>
            <w:tcBorders>
              <w:tl2br w:val="nil"/>
              <w:tr2bl w:val="nil"/>
            </w:tcBorders>
          </w:tcPr>
          <w:p w14:paraId="4EE4CBDB">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投标文件的资格证明文件按照招标文件要求签署、盖章</w:t>
            </w:r>
          </w:p>
        </w:tc>
        <w:tc>
          <w:tcPr>
            <w:tcW w:w="2400" w:type="dxa"/>
            <w:tcBorders>
              <w:tl2br w:val="nil"/>
              <w:tr2bl w:val="nil"/>
            </w:tcBorders>
            <w:vAlign w:val="center"/>
          </w:tcPr>
          <w:p w14:paraId="5FF2282E">
            <w:pPr>
              <w:widowControl w:val="0"/>
              <w:spacing w:before="31" w:beforeLines="10" w:line="240" w:lineRule="exact"/>
              <w:ind w:firstLine="0" w:firstLineChars="0"/>
              <w:jc w:val="center"/>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符合招标文件的要求</w:t>
            </w:r>
          </w:p>
        </w:tc>
        <w:tc>
          <w:tcPr>
            <w:tcW w:w="4010" w:type="dxa"/>
            <w:tcBorders>
              <w:tl2br w:val="nil"/>
              <w:tr2bl w:val="nil"/>
            </w:tcBorders>
            <w:vAlign w:val="center"/>
          </w:tcPr>
          <w:p w14:paraId="2C7178C6">
            <w:pPr>
              <w:widowControl w:val="0"/>
              <w:spacing w:before="31" w:beforeLines="10" w:line="240" w:lineRule="exact"/>
              <w:ind w:firstLine="400" w:firstLineChars="200"/>
              <w:jc w:val="left"/>
              <w:textAlignment w:val="baseline"/>
              <w:rPr>
                <w:rFonts w:hint="default" w:ascii="Times New Roman" w:hAnsi="Times New Roman" w:eastAsia="微软雅黑" w:cs="Times New Roman"/>
                <w:color w:val="000000"/>
                <w:kern w:val="2"/>
                <w:sz w:val="20"/>
                <w:szCs w:val="22"/>
                <w:lang w:val="en-US" w:eastAsia="zh-CN" w:bidi="ar-SA"/>
              </w:rPr>
            </w:pPr>
            <w:r>
              <w:rPr>
                <w:rFonts w:hint="eastAsia" w:ascii="Times New Roman" w:hAnsi="Times New Roman" w:eastAsia="微软雅黑" w:cs="Times New Roman"/>
                <w:color w:val="000000"/>
                <w:kern w:val="2"/>
                <w:sz w:val="20"/>
                <w:szCs w:val="22"/>
                <w:lang w:val="en-US" w:eastAsia="zh-CN" w:bidi="ar-SA"/>
              </w:rPr>
              <w:t>详见投标人须知第17条要求</w:t>
            </w:r>
          </w:p>
        </w:tc>
      </w:tr>
    </w:tbl>
    <w:p w14:paraId="1A4891ED">
      <w:pPr>
        <w:widowControl w:val="0"/>
        <w:adjustRightInd w:val="0"/>
        <w:snapToGrid w:val="0"/>
        <w:spacing w:before="312" w:beforeLines="100" w:line="440" w:lineRule="exact"/>
        <w:ind w:firstLine="0" w:firstLineChars="0"/>
        <w:jc w:val="both"/>
        <w:textAlignment w:val="baseline"/>
        <w:rPr>
          <w:rFonts w:ascii="等线" w:hAnsi="等线" w:eastAsia="等线" w:cs="宋体"/>
          <w:color w:val="000000"/>
          <w:kern w:val="2"/>
          <w:sz w:val="24"/>
          <w:szCs w:val="22"/>
          <w:lang w:val="en-US" w:eastAsia="zh-CN" w:bidi="ar-SA"/>
        </w:rPr>
      </w:pPr>
      <w:r>
        <w:rPr>
          <w:rFonts w:hint="eastAsia" w:ascii="Times New Roman" w:hAnsi="Times New Roman" w:eastAsia="宋体" w:cs="Times New Roman"/>
          <w:b/>
          <w:bCs/>
          <w:color w:val="000000"/>
          <w:kern w:val="2"/>
          <w:sz w:val="24"/>
          <w:szCs w:val="22"/>
          <w:lang w:val="en-US" w:eastAsia="zh-CN" w:bidi="ar-SA"/>
        </w:rPr>
        <w:t>资格审查指标通过标准：</w:t>
      </w:r>
      <w:r>
        <w:rPr>
          <w:rFonts w:hint="eastAsia" w:ascii="Times New Roman" w:hAnsi="Times New Roman" w:eastAsia="宋体" w:cs="Times New Roman"/>
          <w:color w:val="000000"/>
          <w:kern w:val="2"/>
          <w:sz w:val="24"/>
          <w:szCs w:val="22"/>
          <w:lang w:val="en-US" w:eastAsia="zh-CN" w:bidi="ar-SA"/>
        </w:rPr>
        <w:t>投标人必须通过资格审查表中的全部评审指标。</w:t>
      </w:r>
    </w:p>
    <w:p w14:paraId="6DAA020A">
      <w:pPr>
        <w:textAlignment w:val="baseline"/>
        <w:rPr>
          <w:rFonts w:hint="eastAsia" w:ascii="方正大黑体_GBK" w:hAnsi="方正大黑体_GBK" w:eastAsia="方正大黑体_GBK" w:cs="方正大黑体_GBK"/>
          <w:color w:val="000000"/>
          <w:sz w:val="20"/>
          <w:szCs w:val="22"/>
        </w:rPr>
      </w:pPr>
      <w:r>
        <w:rPr>
          <w:rFonts w:hint="eastAsia" w:ascii="等线" w:hAnsi="等线" w:eastAsia="等线" w:cs="Times New Roman"/>
          <w:color w:val="000000"/>
          <w:szCs w:val="22"/>
        </w:rPr>
        <w:br w:type="page"/>
      </w:r>
    </w:p>
    <w:p w14:paraId="00A8DDC3">
      <w:pPr>
        <w:pStyle w:val="3"/>
        <w:bidi w:val="0"/>
        <w:jc w:val="center"/>
        <w:rPr>
          <w:lang w:val="en-US" w:eastAsia="zh-CN"/>
        </w:rPr>
      </w:pPr>
      <w:bookmarkStart w:id="47" w:name="_Toc10017"/>
      <w:bookmarkStart w:id="48" w:name="_Toc19353"/>
      <w:bookmarkStart w:id="49" w:name="_Toc7790"/>
      <w:r>
        <w:rPr>
          <w:rFonts w:hint="eastAsia"/>
          <w:lang w:val="en-US" w:eastAsia="zh-CN"/>
        </w:rPr>
        <w:t>第二节 符合性审查</w:t>
      </w:r>
      <w:bookmarkEnd w:id="47"/>
      <w:bookmarkEnd w:id="48"/>
      <w:bookmarkEnd w:id="49"/>
    </w:p>
    <w:p w14:paraId="086ED43E">
      <w:pPr>
        <w:widowControl w:val="0"/>
        <w:spacing w:after="120" w:line="440" w:lineRule="exact"/>
        <w:ind w:firstLine="480" w:firstLineChars="200"/>
        <w:jc w:val="both"/>
        <w:textAlignment w:val="baseline"/>
        <w:rPr>
          <w:rFonts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2.1评标委员会对通过资格审查的投标人的投标文件进行符合性审查，以确定其是否满足招标文件的实质性要求。符合性审查表如下：</w:t>
      </w:r>
    </w:p>
    <w:p w14:paraId="5BA9FEAE">
      <w:pPr>
        <w:widowControl w:val="0"/>
        <w:adjustRightInd w:val="0"/>
        <w:snapToGrid w:val="0"/>
        <w:spacing w:before="312" w:beforeLines="100" w:line="440" w:lineRule="exact"/>
        <w:ind w:firstLine="0" w:firstLineChars="0"/>
        <w:jc w:val="center"/>
        <w:textAlignment w:val="baseline"/>
        <w:rPr>
          <w:rFonts w:ascii="方正小标宋_GBK" w:hAnsi="方正小标宋_GBK" w:eastAsia="方正小标宋_GBK" w:cs="方正小标宋_GBK"/>
          <w:color w:val="000000"/>
          <w:kern w:val="2"/>
          <w:sz w:val="30"/>
          <w:szCs w:val="30"/>
          <w:lang w:val="en-US" w:eastAsia="zh-CN" w:bidi="ar-SA"/>
        </w:rPr>
      </w:pPr>
      <w:r>
        <w:rPr>
          <w:rFonts w:hint="eastAsia" w:ascii="方正小标宋_GBK" w:hAnsi="方正小标宋_GBK" w:eastAsia="方正小标宋_GBK" w:cs="方正小标宋_GBK"/>
          <w:color w:val="000000"/>
          <w:kern w:val="2"/>
          <w:sz w:val="30"/>
          <w:szCs w:val="30"/>
          <w:lang w:val="en-US" w:eastAsia="zh-CN" w:bidi="ar-SA"/>
        </w:rPr>
        <w:t>符合性审查表</w:t>
      </w:r>
    </w:p>
    <w:tbl>
      <w:tblPr>
        <w:tblStyle w:val="11"/>
        <w:tblW w:w="997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3176"/>
        <w:gridCol w:w="3611"/>
        <w:gridCol w:w="2564"/>
      </w:tblGrid>
      <w:tr w14:paraId="48D80D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blHeader/>
          <w:jc w:val="center"/>
        </w:trPr>
        <w:tc>
          <w:tcPr>
            <w:tcW w:w="628" w:type="dxa"/>
            <w:tcBorders>
              <w:tl2br w:val="nil"/>
              <w:tr2bl w:val="nil"/>
            </w:tcBorders>
            <w:shd w:val="pct10" w:color="ADB9CA" w:fill="D6DCE5"/>
            <w:vAlign w:val="center"/>
          </w:tcPr>
          <w:p w14:paraId="0A94F178">
            <w:pPr>
              <w:widowControl w:val="0"/>
              <w:spacing w:line="240" w:lineRule="exact"/>
              <w:jc w:val="center"/>
              <w:textAlignment w:val="baseline"/>
              <w:rPr>
                <w:rFonts w:ascii="Times New Roman" w:hAnsi="Times New Roman" w:eastAsia="微软雅黑" w:cs="Times New Roman"/>
                <w:b/>
                <w:color w:val="000000"/>
                <w:kern w:val="2"/>
                <w:sz w:val="20"/>
                <w:szCs w:val="20"/>
                <w:lang w:val="en-US" w:eastAsia="zh-CN" w:bidi="ar-SA"/>
              </w:rPr>
            </w:pPr>
            <w:r>
              <w:rPr>
                <w:rFonts w:ascii="Times New Roman" w:hAnsi="Times New Roman" w:eastAsia="微软雅黑" w:cs="Times New Roman"/>
                <w:b/>
                <w:color w:val="000000"/>
                <w:kern w:val="2"/>
                <w:sz w:val="20"/>
                <w:szCs w:val="20"/>
                <w:lang w:val="en-US" w:eastAsia="zh-CN" w:bidi="ar-SA"/>
              </w:rPr>
              <w:t>序号</w:t>
            </w:r>
          </w:p>
        </w:tc>
        <w:tc>
          <w:tcPr>
            <w:tcW w:w="3176" w:type="dxa"/>
            <w:tcBorders>
              <w:tl2br w:val="nil"/>
              <w:tr2bl w:val="nil"/>
            </w:tcBorders>
            <w:shd w:val="pct10" w:color="ADB9CA" w:fill="D6DCE5"/>
            <w:vAlign w:val="center"/>
          </w:tcPr>
          <w:p w14:paraId="6BBA3216">
            <w:pPr>
              <w:widowControl w:val="0"/>
              <w:spacing w:line="240" w:lineRule="exact"/>
              <w:jc w:val="center"/>
              <w:textAlignment w:val="baseline"/>
              <w:rPr>
                <w:rFonts w:ascii="Times New Roman" w:hAnsi="Times New Roman" w:eastAsia="微软雅黑" w:cs="Times New Roman"/>
                <w:b/>
                <w:color w:val="000000"/>
                <w:kern w:val="2"/>
                <w:sz w:val="20"/>
                <w:szCs w:val="20"/>
                <w:lang w:val="en-US" w:eastAsia="zh-CN" w:bidi="ar-SA"/>
              </w:rPr>
            </w:pPr>
            <w:r>
              <w:rPr>
                <w:rFonts w:ascii="Times New Roman" w:hAnsi="Times New Roman" w:eastAsia="微软雅黑" w:cs="Times New Roman"/>
                <w:b/>
                <w:color w:val="000000"/>
                <w:kern w:val="2"/>
                <w:sz w:val="20"/>
                <w:szCs w:val="20"/>
                <w:lang w:val="en-US" w:eastAsia="zh-CN" w:bidi="ar-SA"/>
              </w:rPr>
              <w:t>评审指标</w:t>
            </w:r>
          </w:p>
        </w:tc>
        <w:tc>
          <w:tcPr>
            <w:tcW w:w="3611" w:type="dxa"/>
            <w:tcBorders>
              <w:tl2br w:val="nil"/>
              <w:tr2bl w:val="nil"/>
            </w:tcBorders>
            <w:shd w:val="pct10" w:color="ADB9CA" w:fill="D6DCE5"/>
            <w:vAlign w:val="center"/>
          </w:tcPr>
          <w:p w14:paraId="0793E151">
            <w:pPr>
              <w:widowControl w:val="0"/>
              <w:spacing w:line="240" w:lineRule="exact"/>
              <w:jc w:val="center"/>
              <w:textAlignment w:val="baseline"/>
              <w:rPr>
                <w:rFonts w:ascii="Times New Roman" w:hAnsi="Times New Roman" w:eastAsia="微软雅黑" w:cs="Times New Roman"/>
                <w:b/>
                <w:color w:val="000000"/>
                <w:kern w:val="2"/>
                <w:sz w:val="20"/>
                <w:szCs w:val="20"/>
                <w:lang w:val="en-US" w:eastAsia="zh-CN" w:bidi="ar-SA"/>
              </w:rPr>
            </w:pPr>
            <w:r>
              <w:rPr>
                <w:rFonts w:ascii="Times New Roman" w:hAnsi="Times New Roman" w:eastAsia="微软雅黑" w:cs="Times New Roman"/>
                <w:b/>
                <w:color w:val="000000"/>
                <w:kern w:val="2"/>
                <w:sz w:val="20"/>
                <w:szCs w:val="20"/>
                <w:lang w:val="en-US" w:eastAsia="zh-CN" w:bidi="ar-SA"/>
              </w:rPr>
              <w:t>评审标准</w:t>
            </w:r>
          </w:p>
        </w:tc>
        <w:tc>
          <w:tcPr>
            <w:tcW w:w="2564" w:type="dxa"/>
            <w:tcBorders>
              <w:tl2br w:val="nil"/>
              <w:tr2bl w:val="nil"/>
            </w:tcBorders>
            <w:shd w:val="pct10" w:color="ADB9CA" w:fill="D6DCE5"/>
            <w:vAlign w:val="center"/>
          </w:tcPr>
          <w:p w14:paraId="75B32197">
            <w:pPr>
              <w:widowControl w:val="0"/>
              <w:spacing w:line="240" w:lineRule="exact"/>
              <w:jc w:val="center"/>
              <w:textAlignment w:val="baseline"/>
              <w:rPr>
                <w:rFonts w:ascii="Times New Roman" w:hAnsi="Times New Roman" w:eastAsia="微软雅黑" w:cs="Times New Roman"/>
                <w:b/>
                <w:color w:val="000000"/>
                <w:kern w:val="2"/>
                <w:sz w:val="20"/>
                <w:szCs w:val="20"/>
                <w:lang w:val="en-US" w:eastAsia="zh-CN" w:bidi="ar-SA"/>
              </w:rPr>
            </w:pPr>
            <w:r>
              <w:rPr>
                <w:rFonts w:ascii="Times New Roman" w:hAnsi="Times New Roman" w:eastAsia="微软雅黑" w:cs="Times New Roman"/>
                <w:b/>
                <w:color w:val="000000"/>
                <w:kern w:val="2"/>
                <w:sz w:val="20"/>
                <w:szCs w:val="20"/>
                <w:lang w:val="en-US" w:eastAsia="zh-CN" w:bidi="ar-SA"/>
              </w:rPr>
              <w:t>格式及材料要求</w:t>
            </w:r>
          </w:p>
        </w:tc>
      </w:tr>
      <w:tr w14:paraId="47B74F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98" w:hRule="exact"/>
          <w:jc w:val="center"/>
        </w:trPr>
        <w:tc>
          <w:tcPr>
            <w:tcW w:w="628" w:type="dxa"/>
            <w:tcBorders>
              <w:tl2br w:val="nil"/>
              <w:tr2bl w:val="nil"/>
            </w:tcBorders>
            <w:vAlign w:val="center"/>
          </w:tcPr>
          <w:p w14:paraId="3AC18123">
            <w:pPr>
              <w:widowControl w:val="0"/>
              <w:numPr>
                <w:ilvl w:val="0"/>
                <w:numId w:val="12"/>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3176" w:type="dxa"/>
            <w:tcBorders>
              <w:tl2br w:val="nil"/>
              <w:tr2bl w:val="nil"/>
            </w:tcBorders>
            <w:shd w:val="clear" w:color="auto" w:fill="auto"/>
            <w:vAlign w:val="center"/>
          </w:tcPr>
          <w:p w14:paraId="4DD3DE01">
            <w:pPr>
              <w:spacing w:line="420" w:lineRule="exact"/>
              <w:rPr>
                <w:rFonts w:ascii="Times New Roman" w:hAnsi="Times New Roman" w:eastAsia="微软雅黑" w:cs="Times New Roman"/>
                <w:color w:val="000000"/>
                <w:szCs w:val="24"/>
              </w:rPr>
            </w:pPr>
            <w:r>
              <w:rPr>
                <w:rFonts w:hint="eastAsia" w:ascii="Times New Roman" w:hAnsi="Times New Roman" w:eastAsia="微软雅黑" w:cs="Times New Roman"/>
                <w:color w:val="000000"/>
                <w:szCs w:val="24"/>
              </w:rPr>
              <w:t>投标文件未按照招标文件规定要求签署、盖章的</w:t>
            </w:r>
          </w:p>
        </w:tc>
        <w:tc>
          <w:tcPr>
            <w:tcW w:w="3611" w:type="dxa"/>
            <w:tcBorders>
              <w:tl2br w:val="nil"/>
              <w:tr2bl w:val="nil"/>
            </w:tcBorders>
            <w:vAlign w:val="center"/>
          </w:tcPr>
          <w:p w14:paraId="045EEA81">
            <w:pPr>
              <w:widowControl w:val="0"/>
              <w:spacing w:line="300" w:lineRule="exact"/>
              <w:jc w:val="left"/>
              <w:textAlignment w:val="baseline"/>
              <w:rPr>
                <w:rFonts w:ascii="Times New Roman" w:hAnsi="Times New Roman" w:eastAsia="微软雅黑" w:cs="Times New Roman"/>
                <w:color w:val="000000"/>
                <w:kern w:val="2"/>
                <w:sz w:val="21"/>
                <w:szCs w:val="24"/>
                <w:lang w:val="en-US" w:eastAsia="zh-CN" w:bidi="ar-SA"/>
              </w:rPr>
            </w:pPr>
            <w:r>
              <w:rPr>
                <w:rFonts w:ascii="Times New Roman" w:hAnsi="Times New Roman" w:eastAsia="微软雅黑" w:cs="Times New Roman"/>
                <w:color w:val="000000"/>
                <w:kern w:val="2"/>
                <w:sz w:val="21"/>
                <w:szCs w:val="24"/>
                <w:lang w:val="en-US" w:eastAsia="zh-CN" w:bidi="ar-SA"/>
              </w:rPr>
              <w:t>格式、填写要求符合招标文件规定并加盖投标人</w:t>
            </w:r>
            <w:r>
              <w:rPr>
                <w:rFonts w:hint="eastAsia" w:ascii="Times New Roman" w:hAnsi="Times New Roman" w:eastAsia="微软雅黑" w:cs="Times New Roman"/>
                <w:color w:val="000000"/>
                <w:kern w:val="2"/>
                <w:sz w:val="21"/>
                <w:szCs w:val="24"/>
                <w:lang w:val="en-US" w:eastAsia="zh-CN" w:bidi="ar-SA"/>
              </w:rPr>
              <w:t>电子签章</w:t>
            </w:r>
          </w:p>
        </w:tc>
        <w:tc>
          <w:tcPr>
            <w:tcW w:w="2564" w:type="dxa"/>
            <w:tcBorders>
              <w:tl2br w:val="nil"/>
              <w:tr2bl w:val="nil"/>
            </w:tcBorders>
            <w:vAlign w:val="center"/>
          </w:tcPr>
          <w:p w14:paraId="73A96976">
            <w:pPr>
              <w:widowControl w:val="0"/>
              <w:spacing w:line="300" w:lineRule="exact"/>
              <w:jc w:val="left"/>
              <w:textAlignment w:val="baseline"/>
              <w:rPr>
                <w:rFonts w:ascii="Times New Roman" w:hAnsi="Times New Roman" w:eastAsia="微软雅黑" w:cs="Times New Roman"/>
                <w:color w:val="000000"/>
                <w:kern w:val="2"/>
                <w:sz w:val="21"/>
                <w:szCs w:val="24"/>
                <w:lang w:val="en-US" w:eastAsia="zh-CN" w:bidi="ar-SA"/>
              </w:rPr>
            </w:pPr>
            <w:r>
              <w:rPr>
                <w:rFonts w:ascii="Times New Roman" w:hAnsi="Times New Roman" w:eastAsia="微软雅黑" w:cs="Times New Roman"/>
                <w:color w:val="000000"/>
                <w:kern w:val="2"/>
                <w:sz w:val="21"/>
                <w:szCs w:val="24"/>
                <w:lang w:val="en-US" w:eastAsia="zh-CN" w:bidi="ar-SA"/>
              </w:rPr>
              <w:t>详见投标人须知第17条要求</w:t>
            </w:r>
          </w:p>
        </w:tc>
      </w:tr>
      <w:tr w14:paraId="1D67EA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80" w:hRule="exact"/>
          <w:jc w:val="center"/>
        </w:trPr>
        <w:tc>
          <w:tcPr>
            <w:tcW w:w="628" w:type="dxa"/>
            <w:tcBorders>
              <w:tl2br w:val="nil"/>
              <w:tr2bl w:val="nil"/>
            </w:tcBorders>
            <w:vAlign w:val="center"/>
          </w:tcPr>
          <w:p w14:paraId="36F01191">
            <w:pPr>
              <w:widowControl w:val="0"/>
              <w:numPr>
                <w:ilvl w:val="0"/>
                <w:numId w:val="12"/>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3176" w:type="dxa"/>
            <w:tcBorders>
              <w:tl2br w:val="nil"/>
              <w:tr2bl w:val="nil"/>
            </w:tcBorders>
            <w:shd w:val="clear" w:color="auto" w:fill="auto"/>
            <w:vAlign w:val="center"/>
          </w:tcPr>
          <w:p w14:paraId="346725D5">
            <w:pPr>
              <w:spacing w:line="420" w:lineRule="exact"/>
              <w:rPr>
                <w:rFonts w:ascii="Times New Roman" w:hAnsi="Times New Roman" w:eastAsia="微软雅黑" w:cs="Times New Roman"/>
                <w:color w:val="000000"/>
                <w:szCs w:val="24"/>
              </w:rPr>
            </w:pPr>
            <w:r>
              <w:rPr>
                <w:rFonts w:hint="eastAsia" w:ascii="Times New Roman" w:hAnsi="Times New Roman" w:eastAsia="微软雅黑" w:cs="Times New Roman"/>
                <w:color w:val="000000"/>
                <w:szCs w:val="24"/>
              </w:rPr>
              <w:t>投标文件是否对招标文件的实质性要求和条件作出响应</w:t>
            </w:r>
          </w:p>
        </w:tc>
        <w:tc>
          <w:tcPr>
            <w:tcW w:w="3611" w:type="dxa"/>
            <w:tcBorders>
              <w:tl2br w:val="nil"/>
              <w:tr2bl w:val="nil"/>
            </w:tcBorders>
            <w:vAlign w:val="center"/>
          </w:tcPr>
          <w:p w14:paraId="0A8EA55C">
            <w:pPr>
              <w:widowControl w:val="0"/>
              <w:spacing w:line="300" w:lineRule="exact"/>
              <w:jc w:val="left"/>
              <w:textAlignment w:val="baseline"/>
              <w:rPr>
                <w:rFonts w:ascii="Times New Roman" w:hAnsi="Times New Roman" w:eastAsia="微软雅黑" w:cs="Times New Roman"/>
                <w:color w:val="000000"/>
                <w:kern w:val="2"/>
                <w:sz w:val="21"/>
                <w:szCs w:val="24"/>
                <w:lang w:val="en-US" w:eastAsia="zh-CN" w:bidi="ar-SA"/>
              </w:rPr>
            </w:pPr>
            <w:r>
              <w:rPr>
                <w:rFonts w:hint="eastAsia" w:ascii="Times New Roman" w:hAnsi="Times New Roman" w:eastAsia="微软雅黑" w:cs="Times New Roman"/>
                <w:color w:val="000000"/>
                <w:kern w:val="2"/>
                <w:sz w:val="21"/>
                <w:szCs w:val="24"/>
                <w:lang w:val="en-US" w:eastAsia="zh-CN" w:bidi="ar-SA"/>
              </w:rPr>
              <w:t>符合招标文件采购需求中的要求</w:t>
            </w:r>
          </w:p>
        </w:tc>
        <w:tc>
          <w:tcPr>
            <w:tcW w:w="2564" w:type="dxa"/>
            <w:tcBorders>
              <w:tl2br w:val="nil"/>
              <w:tr2bl w:val="nil"/>
            </w:tcBorders>
            <w:vAlign w:val="center"/>
          </w:tcPr>
          <w:p w14:paraId="4257148F">
            <w:pPr>
              <w:widowControl w:val="0"/>
              <w:spacing w:line="300" w:lineRule="exact"/>
              <w:jc w:val="left"/>
              <w:textAlignment w:val="baseline"/>
              <w:rPr>
                <w:rFonts w:ascii="Times New Roman" w:hAnsi="Times New Roman" w:eastAsia="微软雅黑" w:cs="Times New Roman"/>
                <w:color w:val="000000"/>
                <w:kern w:val="2"/>
                <w:sz w:val="21"/>
                <w:szCs w:val="24"/>
                <w:lang w:val="en-US" w:eastAsia="zh-CN" w:bidi="ar-SA"/>
              </w:rPr>
            </w:pPr>
            <w:r>
              <w:rPr>
                <w:rFonts w:hint="eastAsia" w:ascii="Times New Roman" w:hAnsi="Times New Roman" w:eastAsia="微软雅黑" w:cs="Times New Roman"/>
                <w:color w:val="000000"/>
                <w:kern w:val="2"/>
                <w:sz w:val="21"/>
                <w:szCs w:val="24"/>
                <w:lang w:val="en-US" w:eastAsia="zh-CN" w:bidi="ar-SA"/>
              </w:rPr>
              <w:t>需满足招标文件第三章要求</w:t>
            </w:r>
          </w:p>
        </w:tc>
      </w:tr>
      <w:tr w14:paraId="14DB7BC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88" w:hRule="exact"/>
          <w:jc w:val="center"/>
        </w:trPr>
        <w:tc>
          <w:tcPr>
            <w:tcW w:w="628" w:type="dxa"/>
            <w:tcBorders>
              <w:tl2br w:val="nil"/>
              <w:tr2bl w:val="nil"/>
            </w:tcBorders>
            <w:vAlign w:val="center"/>
          </w:tcPr>
          <w:p w14:paraId="1C8DF6F5">
            <w:pPr>
              <w:widowControl w:val="0"/>
              <w:numPr>
                <w:ilvl w:val="0"/>
                <w:numId w:val="12"/>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3176" w:type="dxa"/>
            <w:tcBorders>
              <w:tl2br w:val="nil"/>
              <w:tr2bl w:val="nil"/>
            </w:tcBorders>
            <w:shd w:val="clear" w:color="auto" w:fill="auto"/>
            <w:vAlign w:val="center"/>
          </w:tcPr>
          <w:p w14:paraId="64AF8D7A">
            <w:pPr>
              <w:spacing w:line="420" w:lineRule="exact"/>
              <w:rPr>
                <w:rFonts w:ascii="Times New Roman" w:hAnsi="Times New Roman" w:eastAsia="微软雅黑" w:cs="Times New Roman"/>
                <w:color w:val="000000"/>
                <w:szCs w:val="24"/>
              </w:rPr>
            </w:pPr>
            <w:r>
              <w:rPr>
                <w:rFonts w:hint="eastAsia" w:ascii="Times New Roman" w:hAnsi="Times New Roman" w:eastAsia="微软雅黑" w:cs="Times New Roman"/>
                <w:color w:val="000000"/>
                <w:szCs w:val="24"/>
              </w:rPr>
              <w:t>投标文件对招标文件的偏离是否超出招标文件规定的偏离范围和幅度的</w:t>
            </w:r>
          </w:p>
        </w:tc>
        <w:tc>
          <w:tcPr>
            <w:tcW w:w="3611" w:type="dxa"/>
            <w:tcBorders>
              <w:tl2br w:val="nil"/>
              <w:tr2bl w:val="nil"/>
            </w:tcBorders>
            <w:vAlign w:val="center"/>
          </w:tcPr>
          <w:p w14:paraId="29450587">
            <w:pPr>
              <w:widowControl w:val="0"/>
              <w:spacing w:line="300" w:lineRule="exact"/>
              <w:jc w:val="left"/>
              <w:textAlignment w:val="baseline"/>
              <w:rPr>
                <w:rFonts w:ascii="Times New Roman" w:hAnsi="Times New Roman" w:eastAsia="微软雅黑" w:cs="Times New Roman"/>
                <w:color w:val="000000"/>
                <w:kern w:val="2"/>
                <w:sz w:val="21"/>
                <w:szCs w:val="24"/>
                <w:lang w:val="en-US" w:eastAsia="zh-CN" w:bidi="ar-SA"/>
              </w:rPr>
            </w:pPr>
            <w:r>
              <w:rPr>
                <w:rFonts w:hint="eastAsia" w:ascii="Times New Roman" w:hAnsi="Times New Roman" w:eastAsia="微软雅黑" w:cs="Times New Roman"/>
                <w:color w:val="000000"/>
                <w:kern w:val="2"/>
                <w:sz w:val="21"/>
                <w:szCs w:val="24"/>
                <w:lang w:val="en-US" w:eastAsia="zh-CN" w:bidi="ar-SA"/>
              </w:rPr>
              <w:t>符合招标文件采购需求中的要求</w:t>
            </w:r>
          </w:p>
        </w:tc>
        <w:tc>
          <w:tcPr>
            <w:tcW w:w="2564" w:type="dxa"/>
            <w:tcBorders>
              <w:tl2br w:val="nil"/>
              <w:tr2bl w:val="nil"/>
            </w:tcBorders>
            <w:vAlign w:val="center"/>
          </w:tcPr>
          <w:p w14:paraId="788F224C">
            <w:pPr>
              <w:widowControl w:val="0"/>
              <w:spacing w:line="300" w:lineRule="exact"/>
              <w:jc w:val="left"/>
              <w:textAlignment w:val="baseline"/>
              <w:rPr>
                <w:rFonts w:ascii="Times New Roman" w:hAnsi="Times New Roman" w:eastAsia="微软雅黑" w:cs="Times New Roman"/>
                <w:color w:val="000000"/>
                <w:kern w:val="2"/>
                <w:sz w:val="21"/>
                <w:szCs w:val="24"/>
                <w:lang w:val="en-US" w:eastAsia="zh-CN" w:bidi="ar-SA"/>
              </w:rPr>
            </w:pPr>
            <w:r>
              <w:rPr>
                <w:rFonts w:hint="eastAsia" w:ascii="Times New Roman" w:hAnsi="Times New Roman" w:eastAsia="微软雅黑" w:cs="Times New Roman"/>
                <w:color w:val="000000"/>
                <w:kern w:val="2"/>
                <w:sz w:val="21"/>
                <w:szCs w:val="24"/>
                <w:lang w:val="en-US" w:eastAsia="zh-CN" w:bidi="ar-SA"/>
              </w:rPr>
              <w:t>需满足招标文件第三章要求</w:t>
            </w:r>
          </w:p>
        </w:tc>
      </w:tr>
      <w:tr w14:paraId="64BDCA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1" w:hRule="exact"/>
          <w:jc w:val="center"/>
        </w:trPr>
        <w:tc>
          <w:tcPr>
            <w:tcW w:w="628" w:type="dxa"/>
            <w:tcBorders>
              <w:tl2br w:val="nil"/>
              <w:tr2bl w:val="nil"/>
            </w:tcBorders>
            <w:vAlign w:val="center"/>
          </w:tcPr>
          <w:p w14:paraId="44CADDA4">
            <w:pPr>
              <w:widowControl w:val="0"/>
              <w:numPr>
                <w:ilvl w:val="0"/>
                <w:numId w:val="12"/>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3176" w:type="dxa"/>
            <w:tcBorders>
              <w:tl2br w:val="nil"/>
              <w:tr2bl w:val="nil"/>
            </w:tcBorders>
            <w:shd w:val="clear" w:color="auto" w:fill="auto"/>
            <w:vAlign w:val="center"/>
          </w:tcPr>
          <w:p w14:paraId="5E0914A3">
            <w:pPr>
              <w:spacing w:line="420" w:lineRule="exact"/>
              <w:rPr>
                <w:rFonts w:ascii="Times New Roman" w:hAnsi="Times New Roman" w:eastAsia="微软雅黑" w:cs="Times New Roman"/>
                <w:color w:val="000000"/>
                <w:szCs w:val="24"/>
              </w:rPr>
            </w:pPr>
            <w:r>
              <w:rPr>
                <w:rFonts w:hint="eastAsia" w:ascii="Times New Roman" w:hAnsi="Times New Roman" w:eastAsia="微软雅黑" w:cs="Times New Roman"/>
                <w:color w:val="000000"/>
                <w:szCs w:val="24"/>
              </w:rPr>
              <w:t>投标有效期</w:t>
            </w:r>
          </w:p>
        </w:tc>
        <w:tc>
          <w:tcPr>
            <w:tcW w:w="3611" w:type="dxa"/>
            <w:tcBorders>
              <w:tl2br w:val="nil"/>
              <w:tr2bl w:val="nil"/>
            </w:tcBorders>
            <w:vAlign w:val="center"/>
          </w:tcPr>
          <w:p w14:paraId="50F65DE0">
            <w:pPr>
              <w:widowControl w:val="0"/>
              <w:spacing w:line="300" w:lineRule="exact"/>
              <w:jc w:val="left"/>
              <w:textAlignment w:val="baseline"/>
              <w:rPr>
                <w:rFonts w:ascii="Times New Roman" w:hAnsi="Times New Roman" w:eastAsia="微软雅黑" w:cs="Times New Roman"/>
                <w:color w:val="000000"/>
                <w:kern w:val="2"/>
                <w:sz w:val="21"/>
                <w:szCs w:val="24"/>
                <w:lang w:val="en-US" w:eastAsia="zh-CN" w:bidi="ar-SA"/>
              </w:rPr>
            </w:pPr>
            <w:r>
              <w:rPr>
                <w:rFonts w:hint="eastAsia" w:ascii="Times New Roman" w:hAnsi="Times New Roman" w:eastAsia="微软雅黑" w:cs="Times New Roman"/>
                <w:color w:val="000000"/>
                <w:kern w:val="2"/>
                <w:sz w:val="21"/>
                <w:szCs w:val="24"/>
                <w:lang w:val="en-US" w:eastAsia="zh-CN" w:bidi="ar-SA"/>
              </w:rPr>
              <w:t>需满足招标文件第二章第16.1款要求</w:t>
            </w:r>
          </w:p>
        </w:tc>
        <w:tc>
          <w:tcPr>
            <w:tcW w:w="2564" w:type="dxa"/>
            <w:tcBorders>
              <w:tl2br w:val="nil"/>
              <w:tr2bl w:val="nil"/>
            </w:tcBorders>
            <w:vAlign w:val="center"/>
          </w:tcPr>
          <w:p w14:paraId="5E778BCE">
            <w:pPr>
              <w:widowControl w:val="0"/>
              <w:spacing w:line="300" w:lineRule="exact"/>
              <w:jc w:val="left"/>
              <w:textAlignment w:val="baseline"/>
              <w:rPr>
                <w:rFonts w:ascii="Times New Roman" w:hAnsi="Times New Roman" w:eastAsia="微软雅黑" w:cs="Times New Roman"/>
                <w:color w:val="000000"/>
                <w:kern w:val="2"/>
                <w:sz w:val="21"/>
                <w:szCs w:val="24"/>
                <w:lang w:val="en-US" w:eastAsia="zh-CN" w:bidi="ar-SA"/>
              </w:rPr>
            </w:pPr>
            <w:r>
              <w:rPr>
                <w:rFonts w:ascii="Times New Roman" w:hAnsi="Times New Roman" w:eastAsia="微软雅黑" w:cs="Times New Roman"/>
                <w:color w:val="000000"/>
                <w:kern w:val="2"/>
                <w:sz w:val="21"/>
                <w:szCs w:val="24"/>
                <w:lang w:val="en-US" w:eastAsia="zh-CN" w:bidi="ar-SA"/>
              </w:rPr>
              <w:t>详见第六章投标文件</w:t>
            </w:r>
            <w:r>
              <w:rPr>
                <w:rFonts w:hint="eastAsia" w:ascii="Times New Roman" w:hAnsi="Times New Roman" w:eastAsia="微软雅黑" w:cs="Times New Roman"/>
                <w:color w:val="000000"/>
                <w:kern w:val="2"/>
                <w:sz w:val="21"/>
                <w:szCs w:val="24"/>
                <w:lang w:val="en-US" w:eastAsia="zh-CN" w:bidi="ar-SA"/>
              </w:rPr>
              <w:t>的组成</w:t>
            </w:r>
            <w:r>
              <w:rPr>
                <w:rFonts w:ascii="Times New Roman" w:hAnsi="Times New Roman" w:eastAsia="微软雅黑" w:cs="Times New Roman"/>
                <w:color w:val="000000"/>
                <w:kern w:val="2"/>
                <w:sz w:val="21"/>
                <w:szCs w:val="24"/>
                <w:lang w:val="en-US" w:eastAsia="zh-CN" w:bidi="ar-SA"/>
              </w:rPr>
              <w:t>格式</w:t>
            </w:r>
            <w:r>
              <w:rPr>
                <w:rFonts w:hint="eastAsia" w:ascii="Times New Roman" w:hAnsi="Times New Roman" w:eastAsia="微软雅黑" w:cs="Times New Roman"/>
                <w:color w:val="000000"/>
                <w:kern w:val="2"/>
                <w:sz w:val="21"/>
                <w:szCs w:val="24"/>
                <w:lang w:val="en-US" w:eastAsia="zh-CN" w:bidi="ar-SA"/>
              </w:rPr>
              <w:t>四</w:t>
            </w:r>
          </w:p>
        </w:tc>
      </w:tr>
      <w:tr w14:paraId="65D764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42" w:hRule="exact"/>
          <w:jc w:val="center"/>
        </w:trPr>
        <w:tc>
          <w:tcPr>
            <w:tcW w:w="628" w:type="dxa"/>
            <w:tcBorders>
              <w:tl2br w:val="nil"/>
              <w:tr2bl w:val="nil"/>
            </w:tcBorders>
            <w:vAlign w:val="center"/>
          </w:tcPr>
          <w:p w14:paraId="0B715B97">
            <w:pPr>
              <w:widowControl w:val="0"/>
              <w:numPr>
                <w:ilvl w:val="0"/>
                <w:numId w:val="12"/>
              </w:numPr>
              <w:tabs>
                <w:tab w:val="left" w:pos="0"/>
              </w:tabs>
              <w:adjustRightInd w:val="0"/>
              <w:snapToGrid w:val="0"/>
              <w:spacing w:line="240" w:lineRule="exact"/>
              <w:jc w:val="center"/>
              <w:textAlignment w:val="baseline"/>
              <w:rPr>
                <w:rFonts w:ascii="Times New Roman" w:hAnsi="Times New Roman" w:eastAsia="微软雅黑" w:cs="Times New Roman"/>
                <w:color w:val="000000"/>
                <w:kern w:val="2"/>
                <w:sz w:val="21"/>
                <w:szCs w:val="24"/>
                <w:lang w:val="en-US" w:eastAsia="zh-CN" w:bidi="ar-SA"/>
              </w:rPr>
            </w:pPr>
          </w:p>
        </w:tc>
        <w:tc>
          <w:tcPr>
            <w:tcW w:w="3176" w:type="dxa"/>
            <w:tcBorders>
              <w:tl2br w:val="nil"/>
              <w:tr2bl w:val="nil"/>
            </w:tcBorders>
            <w:vAlign w:val="center"/>
          </w:tcPr>
          <w:p w14:paraId="2E9ED8B1">
            <w:pPr>
              <w:widowControl w:val="0"/>
              <w:spacing w:line="300" w:lineRule="exact"/>
              <w:jc w:val="left"/>
              <w:textAlignment w:val="baseline"/>
              <w:rPr>
                <w:rFonts w:ascii="Times New Roman" w:hAnsi="Times New Roman" w:eastAsia="微软雅黑" w:cs="Times New Roman"/>
                <w:color w:val="000000"/>
                <w:kern w:val="2"/>
                <w:sz w:val="21"/>
                <w:szCs w:val="24"/>
                <w:lang w:val="en-US" w:eastAsia="zh-CN" w:bidi="ar-SA"/>
              </w:rPr>
            </w:pPr>
            <w:r>
              <w:rPr>
                <w:rFonts w:hint="eastAsia" w:ascii="Times New Roman" w:hAnsi="Times New Roman" w:eastAsia="微软雅黑" w:cs="Times New Roman"/>
                <w:color w:val="000000"/>
                <w:kern w:val="2"/>
                <w:sz w:val="21"/>
                <w:szCs w:val="24"/>
                <w:lang w:val="en-US" w:eastAsia="zh-CN" w:bidi="ar-SA"/>
              </w:rPr>
              <w:t>其他要求</w:t>
            </w:r>
          </w:p>
        </w:tc>
        <w:tc>
          <w:tcPr>
            <w:tcW w:w="3611" w:type="dxa"/>
            <w:tcBorders>
              <w:tl2br w:val="nil"/>
              <w:tr2bl w:val="nil"/>
            </w:tcBorders>
            <w:vAlign w:val="center"/>
          </w:tcPr>
          <w:p w14:paraId="029497FA">
            <w:pPr>
              <w:widowControl w:val="0"/>
              <w:spacing w:line="300" w:lineRule="exact"/>
              <w:jc w:val="left"/>
              <w:rPr>
                <w:rFonts w:ascii="Times New Roman" w:hAnsi="Times New Roman" w:eastAsia="微软雅黑" w:cs="Times New Roman"/>
                <w:color w:val="000000"/>
                <w:kern w:val="2"/>
                <w:sz w:val="21"/>
                <w:szCs w:val="24"/>
                <w:lang w:val="en-US" w:eastAsia="zh-CN" w:bidi="ar-SA"/>
              </w:rPr>
            </w:pPr>
            <w:r>
              <w:rPr>
                <w:rFonts w:hint="eastAsia" w:ascii="Times New Roman" w:hAnsi="Times New Roman" w:eastAsia="微软雅黑" w:cs="Times New Roman"/>
                <w:color w:val="000000"/>
                <w:kern w:val="2"/>
                <w:sz w:val="21"/>
                <w:szCs w:val="24"/>
                <w:lang w:val="en-US" w:eastAsia="zh-CN" w:bidi="ar-SA"/>
              </w:rPr>
              <w:t>符合法律、行政法规规定的其他条件或招标文件列明的其他要求</w:t>
            </w:r>
          </w:p>
        </w:tc>
        <w:tc>
          <w:tcPr>
            <w:tcW w:w="2564" w:type="dxa"/>
            <w:tcBorders>
              <w:tl2br w:val="nil"/>
              <w:tr2bl w:val="nil"/>
            </w:tcBorders>
            <w:vAlign w:val="center"/>
          </w:tcPr>
          <w:p w14:paraId="1C314D37">
            <w:pPr>
              <w:widowControl w:val="0"/>
              <w:spacing w:line="300" w:lineRule="exact"/>
              <w:jc w:val="left"/>
              <w:textAlignment w:val="baseline"/>
              <w:rPr>
                <w:rFonts w:ascii="Times New Roman" w:hAnsi="Times New Roman" w:eastAsia="微软雅黑" w:cs="Times New Roman"/>
                <w:color w:val="000000"/>
                <w:kern w:val="2"/>
                <w:sz w:val="21"/>
                <w:szCs w:val="24"/>
                <w:lang w:val="en-US" w:eastAsia="zh-CN" w:bidi="ar-SA"/>
              </w:rPr>
            </w:pPr>
          </w:p>
        </w:tc>
      </w:tr>
    </w:tbl>
    <w:p w14:paraId="485822BD">
      <w:pPr>
        <w:widowControl w:val="0"/>
        <w:adjustRightInd w:val="0"/>
        <w:snapToGrid w:val="0"/>
        <w:spacing w:before="312" w:beforeLines="100" w:line="440" w:lineRule="exact"/>
        <w:ind w:firstLine="482" w:firstLineChars="200"/>
        <w:jc w:val="both"/>
        <w:textAlignment w:val="baseline"/>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b/>
          <w:bCs/>
          <w:color w:val="000000"/>
          <w:kern w:val="2"/>
          <w:sz w:val="24"/>
          <w:szCs w:val="22"/>
          <w:lang w:val="en-US" w:eastAsia="zh-CN" w:bidi="ar-SA"/>
        </w:rPr>
        <w:t>符合性审查指标通过标准：</w:t>
      </w:r>
      <w:r>
        <w:rPr>
          <w:rFonts w:hint="eastAsia" w:ascii="Times New Roman" w:hAnsi="Times New Roman" w:eastAsia="宋体" w:cs="Times New Roman"/>
          <w:color w:val="000000"/>
          <w:kern w:val="2"/>
          <w:sz w:val="24"/>
          <w:szCs w:val="22"/>
          <w:lang w:val="en-US" w:eastAsia="zh-CN" w:bidi="ar-SA"/>
        </w:rPr>
        <w:t>投标人必须通过符合性审查表中的全部评审指标。</w:t>
      </w:r>
    </w:p>
    <w:p w14:paraId="210EBC18">
      <w:pPr>
        <w:rPr>
          <w:rFonts w:ascii="等线" w:hAnsi="等线" w:eastAsia="等线" w:cs="Times New Roman"/>
          <w:color w:val="000000"/>
          <w:sz w:val="30"/>
          <w:szCs w:val="22"/>
        </w:rPr>
      </w:pPr>
      <w:r>
        <w:rPr>
          <w:rFonts w:hint="eastAsia" w:ascii="等线" w:hAnsi="等线" w:eastAsia="等线" w:cs="Times New Roman"/>
          <w:color w:val="000000"/>
          <w:sz w:val="30"/>
          <w:szCs w:val="22"/>
        </w:rPr>
        <w:br w:type="page"/>
      </w:r>
    </w:p>
    <w:bookmarkEnd w:id="23"/>
    <w:bookmarkEnd w:id="24"/>
    <w:bookmarkEnd w:id="25"/>
    <w:bookmarkEnd w:id="26"/>
    <w:p w14:paraId="683A59D1">
      <w:pPr>
        <w:pStyle w:val="3"/>
        <w:bidi w:val="0"/>
        <w:jc w:val="center"/>
        <w:rPr>
          <w:lang w:val="en-US" w:eastAsia="zh-CN"/>
        </w:rPr>
      </w:pPr>
      <w:bookmarkStart w:id="50" w:name="_Toc16653"/>
      <w:bookmarkStart w:id="51" w:name="_Toc8079"/>
      <w:bookmarkStart w:id="52" w:name="_Toc28517"/>
      <w:r>
        <w:rPr>
          <w:rFonts w:hint="eastAsia"/>
          <w:lang w:val="en-US" w:eastAsia="zh-CN"/>
        </w:rPr>
        <w:t>第三节 投标文件的比较与评价（详细审查）</w:t>
      </w:r>
      <w:bookmarkEnd w:id="50"/>
      <w:bookmarkEnd w:id="51"/>
      <w:bookmarkEnd w:id="52"/>
    </w:p>
    <w:p w14:paraId="43D459A5">
      <w:pPr>
        <w:bidi w:val="0"/>
        <w:jc w:val="center"/>
        <w:rPr>
          <w:rFonts w:hint="eastAsia"/>
          <w:sz w:val="24"/>
          <w:szCs w:val="24"/>
          <w:lang w:val="en-US" w:eastAsia="zh-CN"/>
        </w:rPr>
      </w:pPr>
      <w:bookmarkStart w:id="53" w:name="_Toc14694"/>
      <w:bookmarkStart w:id="54" w:name="_Toc1730"/>
      <w:bookmarkStart w:id="55" w:name="_Toc27859"/>
      <w:r>
        <w:rPr>
          <w:rFonts w:hint="eastAsia"/>
          <w:sz w:val="24"/>
          <w:szCs w:val="24"/>
          <w:lang w:val="en-US" w:eastAsia="zh-CN"/>
        </w:rPr>
        <w:t>投标文件的比较与评价（综合评分法）</w:t>
      </w:r>
    </w:p>
    <w:p w14:paraId="13419A57">
      <w:pPr>
        <w:keepNext w:val="0"/>
        <w:keepLines w:val="0"/>
        <w:pageBreakBefore w:val="0"/>
        <w:widowControl/>
        <w:kinsoku w:val="0"/>
        <w:wordWrap/>
        <w:overflowPunct/>
        <w:topLinePunct w:val="0"/>
        <w:autoSpaceDE w:val="0"/>
        <w:autoSpaceDN w:val="0"/>
        <w:bidi w:val="0"/>
        <w:adjustRightInd w:val="0"/>
        <w:snapToGrid w:val="0"/>
        <w:spacing w:line="480" w:lineRule="exact"/>
        <w:ind w:firstLine="482" w:firstLineChars="200"/>
        <w:jc w:val="left"/>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1.综合评分法</w:t>
      </w:r>
    </w:p>
    <w:p w14:paraId="5DBD3709">
      <w:pPr>
        <w:keepNext w:val="0"/>
        <w:keepLines w:val="0"/>
        <w:pageBreakBefore w:val="0"/>
        <w:kinsoku w:val="0"/>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综合评分法，指投标文件满足招标文件全部实质性要求，且按照评审因素的量化指标评审得分最高的投标人为中标候选人的评标方法。</w:t>
      </w:r>
    </w:p>
    <w:p w14:paraId="04113E37">
      <w:pPr>
        <w:keepNext w:val="0"/>
        <w:keepLines w:val="0"/>
        <w:pageBreakBefore w:val="0"/>
        <w:kinsoku w:val="0"/>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lang w:val="en-US" w:eastAsia="zh-CN"/>
        </w:rPr>
        <w:t>2</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评标因素：评审因素的设定应当与投标人所提供货物服务的质量相关，包括投标报价、技术或者服务水平、履约能力、售后服务等。本采购项目的评标因素和标准见本章本节附表1“评标方法及标准表”。</w:t>
      </w:r>
    </w:p>
    <w:p w14:paraId="72C5AD2E">
      <w:pPr>
        <w:keepNext w:val="0"/>
        <w:keepLines w:val="0"/>
        <w:pageBreakBefore w:val="0"/>
        <w:kinsoku w:val="0"/>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lang w:val="en-US" w:eastAsia="zh-CN"/>
        </w:rPr>
        <w:t>3</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未通过符合性审查的投标文件不得进入比较与评价。</w:t>
      </w:r>
    </w:p>
    <w:p w14:paraId="6868662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480" w:lineRule="exact"/>
        <w:ind w:firstLine="482" w:firstLineChars="200"/>
        <w:jc w:val="left"/>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rPr>
        <w:t>2.投标报价的算术修正及政府采购政策调整</w:t>
      </w:r>
      <w:r>
        <w:rPr>
          <w:rFonts w:hint="eastAsia" w:asciiTheme="minorEastAsia" w:hAnsiTheme="minorEastAsia" w:eastAsiaTheme="minorEastAsia" w:cstheme="minorEastAsia"/>
          <w:b/>
          <w:bCs/>
          <w:sz w:val="24"/>
          <w:szCs w:val="24"/>
          <w:lang w:eastAsia="zh-CN"/>
        </w:rPr>
        <w:t>（详见招标文件）</w:t>
      </w:r>
    </w:p>
    <w:p w14:paraId="3335ABF4">
      <w:pPr>
        <w:keepNext w:val="0"/>
        <w:keepLines w:val="0"/>
        <w:pageBreakBefore w:val="0"/>
        <w:kinsoku w:val="0"/>
        <w:wordWrap/>
        <w:overflowPunct/>
        <w:topLinePunct w:val="0"/>
        <w:autoSpaceDE w:val="0"/>
        <w:autoSpaceDN w:val="0"/>
        <w:bidi w:val="0"/>
        <w:adjustRightInd w:val="0"/>
        <w:snapToGrid w:val="0"/>
        <w:spacing w:line="480" w:lineRule="exact"/>
        <w:ind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3.投标报价评价</w:t>
      </w:r>
      <w:r>
        <w:rPr>
          <w:rFonts w:hint="eastAsia" w:asciiTheme="minorEastAsia" w:hAnsiTheme="minorEastAsia" w:eastAsiaTheme="minorEastAsia" w:cstheme="minorEastAsia"/>
          <w:b/>
          <w:bCs/>
          <w:sz w:val="24"/>
          <w:szCs w:val="24"/>
          <w:lang w:eastAsia="zh-CN"/>
        </w:rPr>
        <w:t>（详见招标文件）</w:t>
      </w:r>
    </w:p>
    <w:p w14:paraId="02A5FA76">
      <w:pPr>
        <w:keepNext w:val="0"/>
        <w:keepLines w:val="0"/>
        <w:pageBreakBefore w:val="0"/>
        <w:numPr>
          <w:ilvl w:val="0"/>
          <w:numId w:val="0"/>
        </w:numPr>
        <w:kinsoku w:val="0"/>
        <w:wordWrap/>
        <w:overflowPunct/>
        <w:topLinePunct w:val="0"/>
        <w:autoSpaceDE w:val="0"/>
        <w:autoSpaceDN w:val="0"/>
        <w:bidi w:val="0"/>
        <w:adjustRightInd w:val="0"/>
        <w:snapToGrid w:val="0"/>
        <w:spacing w:line="480" w:lineRule="exact"/>
        <w:ind w:firstLine="482" w:firstLineChars="200"/>
        <w:jc w:val="left"/>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rPr>
        <w:t>技术、商务等评分项响应评价及政府采购政策加分</w:t>
      </w:r>
      <w:r>
        <w:rPr>
          <w:rFonts w:hint="eastAsia" w:asciiTheme="minorEastAsia" w:hAnsiTheme="minorEastAsia" w:eastAsiaTheme="minorEastAsia" w:cstheme="minorEastAsia"/>
          <w:b/>
          <w:bCs/>
          <w:sz w:val="24"/>
          <w:szCs w:val="24"/>
          <w:lang w:eastAsia="zh-CN"/>
        </w:rPr>
        <w:t>（详见招标文件）</w:t>
      </w:r>
    </w:p>
    <w:p w14:paraId="090159DC">
      <w:pPr>
        <w:keepNext w:val="0"/>
        <w:keepLines w:val="0"/>
        <w:pageBreakBefore w:val="0"/>
        <w:numPr>
          <w:ilvl w:val="0"/>
          <w:numId w:val="0"/>
        </w:numPr>
        <w:kinsoku w:val="0"/>
        <w:wordWrap/>
        <w:overflowPunct/>
        <w:topLinePunct w:val="0"/>
        <w:autoSpaceDE w:val="0"/>
        <w:autoSpaceDN w:val="0"/>
        <w:bidi w:val="0"/>
        <w:adjustRightInd w:val="0"/>
        <w:snapToGrid w:val="0"/>
        <w:spacing w:line="480" w:lineRule="exact"/>
        <w:ind w:firstLine="482" w:firstLineChars="200"/>
        <w:jc w:val="left"/>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评标总得分</w:t>
      </w:r>
      <w:r>
        <w:rPr>
          <w:rFonts w:hint="eastAsia" w:asciiTheme="minorEastAsia" w:hAnsiTheme="minorEastAsia" w:eastAsiaTheme="minorEastAsia" w:cstheme="minorEastAsia"/>
          <w:b/>
          <w:bCs/>
          <w:sz w:val="24"/>
          <w:szCs w:val="24"/>
          <w:lang w:eastAsia="zh-CN"/>
        </w:rPr>
        <w:t>（详见招标文件）</w:t>
      </w:r>
    </w:p>
    <w:p w14:paraId="4E9EF687">
      <w:pPr>
        <w:keepNext w:val="0"/>
        <w:keepLines w:val="0"/>
        <w:pageBreakBefore w:val="0"/>
        <w:numPr>
          <w:ilvl w:val="0"/>
          <w:numId w:val="0"/>
        </w:numPr>
        <w:kinsoku w:val="0"/>
        <w:wordWrap/>
        <w:overflowPunct/>
        <w:topLinePunct w:val="0"/>
        <w:autoSpaceDE w:val="0"/>
        <w:autoSpaceDN w:val="0"/>
        <w:bidi w:val="0"/>
        <w:adjustRightInd w:val="0"/>
        <w:snapToGrid w:val="0"/>
        <w:spacing w:line="480" w:lineRule="exact"/>
        <w:ind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rPr>
        <w:t>中标候选人的推荐方法</w:t>
      </w:r>
    </w:p>
    <w:p w14:paraId="036CE57A">
      <w:pPr>
        <w:keepNext w:val="0"/>
        <w:keepLines w:val="0"/>
        <w:pageBreakBefore w:val="0"/>
        <w:kinsoku w:val="0"/>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635F0AE8">
      <w:pPr>
        <w:keepLines w:val="0"/>
        <w:pageBreakBefore w:val="0"/>
        <w:widowControl w:val="0"/>
        <w:overflowPunct/>
        <w:topLinePunct w:val="0"/>
        <w:bidi w:val="0"/>
        <w:spacing w:afterAutospacing="0" w:line="480" w:lineRule="exact"/>
        <w:jc w:val="both"/>
        <w:textAlignment w:val="auto"/>
        <w:rPr>
          <w:rFonts w:hint="eastAsia" w:asciiTheme="minorEastAsia" w:hAnsiTheme="minorEastAsia" w:eastAsiaTheme="minorEastAsia" w:cstheme="minorEastAsia"/>
          <w:kern w:val="2"/>
          <w:sz w:val="24"/>
          <w:szCs w:val="24"/>
          <w:lang w:val="en-US" w:eastAsia="zh-CN" w:bidi="ar-SA"/>
        </w:rPr>
      </w:pPr>
    </w:p>
    <w:p w14:paraId="72A72CD7">
      <w:pPr>
        <w:keepNext w:val="0"/>
        <w:keepLines w:val="0"/>
        <w:pageBreakBefore w:val="0"/>
        <w:widowControl w:val="0"/>
        <w:kinsoku w:val="0"/>
        <w:wordWrap/>
        <w:overflowPunct/>
        <w:topLinePunct w:val="0"/>
        <w:autoSpaceDE w:val="0"/>
        <w:autoSpaceDN w:val="0"/>
        <w:bidi w:val="0"/>
        <w:adjustRightInd w:val="0"/>
        <w:snapToGrid w:val="0"/>
        <w:spacing w:line="480" w:lineRule="exact"/>
        <w:ind w:left="1080" w:hanging="720"/>
        <w:jc w:val="both"/>
        <w:textAlignment w:val="auto"/>
        <w:outlineLvl w:val="2"/>
        <w:rPr>
          <w:rFonts w:hint="eastAsia" w:asciiTheme="minorEastAsia" w:hAnsiTheme="minorEastAsia" w:eastAsiaTheme="minorEastAsia" w:cstheme="minorEastAsia"/>
          <w:b/>
          <w:bCs w:val="0"/>
          <w:kern w:val="2"/>
          <w:sz w:val="24"/>
          <w:szCs w:val="24"/>
          <w:lang w:val="en-US" w:eastAsia="zh-CN" w:bidi="ar-SA"/>
        </w:rPr>
      </w:pPr>
      <w:bookmarkStart w:id="56" w:name="_Toc5780"/>
      <w:r>
        <w:rPr>
          <w:rFonts w:hint="eastAsia" w:asciiTheme="minorEastAsia" w:hAnsiTheme="minorEastAsia" w:eastAsiaTheme="minorEastAsia" w:cstheme="minorEastAsia"/>
          <w:b/>
          <w:bCs w:val="0"/>
          <w:kern w:val="2"/>
          <w:sz w:val="24"/>
          <w:szCs w:val="24"/>
          <w:lang w:val="en-US" w:eastAsia="zh-CN" w:bidi="ar-SA"/>
        </w:rPr>
        <w:t xml:space="preserve">附表1 </w:t>
      </w:r>
      <w:r>
        <w:rPr>
          <w:rFonts w:hint="eastAsia" w:asciiTheme="minorEastAsia" w:hAnsiTheme="minorEastAsia" w:eastAsiaTheme="minorEastAsia" w:cstheme="minorEastAsia"/>
          <w:b/>
          <w:kern w:val="2"/>
          <w:sz w:val="24"/>
          <w:szCs w:val="24"/>
          <w:lang w:val="en-US" w:eastAsia="zh-CN" w:bidi="ar-SA"/>
        </w:rPr>
        <w:t xml:space="preserve"> </w:t>
      </w:r>
      <w:r>
        <w:rPr>
          <w:rFonts w:hint="eastAsia" w:asciiTheme="minorEastAsia" w:hAnsiTheme="minorEastAsia" w:eastAsiaTheme="minorEastAsia" w:cstheme="minorEastAsia"/>
          <w:b/>
          <w:bCs w:val="0"/>
          <w:kern w:val="2"/>
          <w:sz w:val="24"/>
          <w:szCs w:val="24"/>
          <w:lang w:val="en-US" w:eastAsia="zh-CN" w:bidi="ar-SA"/>
        </w:rPr>
        <w:t>评标方法及标准表</w:t>
      </w:r>
      <w:bookmarkEnd w:id="56"/>
    </w:p>
    <w:tbl>
      <w:tblPr>
        <w:tblStyle w:val="10"/>
        <w:tblW w:w="961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
        <w:gridCol w:w="616"/>
        <w:gridCol w:w="759"/>
        <w:gridCol w:w="1245"/>
        <w:gridCol w:w="798"/>
        <w:gridCol w:w="6093"/>
      </w:tblGrid>
      <w:tr w14:paraId="1EB8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102" w:type="dxa"/>
          <w:trHeight w:val="425" w:hRule="atLeast"/>
        </w:trPr>
        <w:tc>
          <w:tcPr>
            <w:tcW w:w="9511" w:type="dxa"/>
            <w:gridSpan w:val="5"/>
            <w:noWrap w:val="0"/>
            <w:vAlign w:val="top"/>
          </w:tcPr>
          <w:p w14:paraId="26DA99F6">
            <w:pPr>
              <w:keepNext w:val="0"/>
              <w:keepLines w:val="0"/>
              <w:pageBreakBefore w:val="0"/>
              <w:widowControl w:val="0"/>
              <w:kinsoku w:val="0"/>
              <w:wordWrap/>
              <w:overflowPunct/>
              <w:topLinePunct w:val="0"/>
              <w:autoSpaceDE w:val="0"/>
              <w:autoSpaceDN w:val="0"/>
              <w:bidi w:val="0"/>
              <w:adjustRightInd w:val="0"/>
              <w:snapToGrid w:val="0"/>
              <w:spacing w:line="480" w:lineRule="exact"/>
              <w:ind w:left="380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评审因</w:t>
            </w:r>
            <w:r>
              <w:rPr>
                <w:rFonts w:hint="eastAsia" w:asciiTheme="minorEastAsia" w:hAnsiTheme="minorEastAsia" w:eastAsiaTheme="minorEastAsia" w:cstheme="minorEastAsia"/>
                <w:sz w:val="24"/>
                <w:szCs w:val="24"/>
              </w:rPr>
              <w:t>素及权值</w:t>
            </w:r>
          </w:p>
        </w:tc>
      </w:tr>
      <w:tr w14:paraId="23A2F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102" w:type="dxa"/>
          <w:trHeight w:val="425" w:hRule="atLeast"/>
        </w:trPr>
        <w:tc>
          <w:tcPr>
            <w:tcW w:w="0" w:type="auto"/>
            <w:gridSpan w:val="4"/>
            <w:noWrap w:val="0"/>
            <w:vAlign w:val="top"/>
          </w:tcPr>
          <w:p w14:paraId="519A6FAA">
            <w:pPr>
              <w:keepNext w:val="0"/>
              <w:keepLines w:val="0"/>
              <w:pageBreakBefore w:val="0"/>
              <w:widowControl w:val="0"/>
              <w:kinsoku w:val="0"/>
              <w:wordWrap/>
              <w:overflowPunct/>
              <w:topLinePunct w:val="0"/>
              <w:autoSpaceDE w:val="0"/>
              <w:autoSpaceDN w:val="0"/>
              <w:bidi w:val="0"/>
              <w:adjustRightInd w:val="0"/>
              <w:snapToGrid w:val="0"/>
              <w:spacing w:line="480" w:lineRule="exact"/>
              <w:ind w:left="170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评审</w:t>
            </w:r>
            <w:r>
              <w:rPr>
                <w:rFonts w:hint="eastAsia" w:asciiTheme="minorEastAsia" w:hAnsiTheme="minorEastAsia" w:eastAsiaTheme="minorEastAsia" w:cstheme="minorEastAsia"/>
                <w:sz w:val="24"/>
                <w:szCs w:val="24"/>
              </w:rPr>
              <w:t>因素</w:t>
            </w:r>
          </w:p>
        </w:tc>
        <w:tc>
          <w:tcPr>
            <w:tcW w:w="6093" w:type="dxa"/>
            <w:noWrap w:val="0"/>
            <w:vAlign w:val="top"/>
          </w:tcPr>
          <w:p w14:paraId="2EAF4D47">
            <w:pPr>
              <w:keepNext w:val="0"/>
              <w:keepLines w:val="0"/>
              <w:pageBreakBefore w:val="0"/>
              <w:widowControl w:val="0"/>
              <w:kinsoku w:val="0"/>
              <w:wordWrap/>
              <w:overflowPunct/>
              <w:topLinePunct w:val="0"/>
              <w:autoSpaceDE w:val="0"/>
              <w:autoSpaceDN w:val="0"/>
              <w:bidi w:val="0"/>
              <w:adjustRightInd w:val="0"/>
              <w:snapToGrid w:val="0"/>
              <w:spacing w:line="480" w:lineRule="exact"/>
              <w:ind w:left="200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权值</w:t>
            </w:r>
            <w:r>
              <w:rPr>
                <w:rFonts w:hint="eastAsia" w:asciiTheme="minorEastAsia" w:hAnsiTheme="minorEastAsia" w:eastAsiaTheme="minorEastAsia" w:cstheme="minorEastAsia"/>
                <w:sz w:val="24"/>
                <w:szCs w:val="24"/>
              </w:rPr>
              <w:t>范围</w:t>
            </w:r>
          </w:p>
        </w:tc>
      </w:tr>
      <w:tr w14:paraId="0E134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102" w:type="dxa"/>
          <w:trHeight w:val="425" w:hRule="atLeast"/>
        </w:trPr>
        <w:tc>
          <w:tcPr>
            <w:tcW w:w="0" w:type="auto"/>
            <w:gridSpan w:val="4"/>
            <w:noWrap w:val="0"/>
            <w:vAlign w:val="top"/>
          </w:tcPr>
          <w:p w14:paraId="3A59AA6E">
            <w:pPr>
              <w:keepNext w:val="0"/>
              <w:keepLines w:val="0"/>
              <w:pageBreakBefore w:val="0"/>
              <w:widowControl w:val="0"/>
              <w:kinsoku w:val="0"/>
              <w:wordWrap/>
              <w:overflowPunct/>
              <w:topLinePunct w:val="0"/>
              <w:autoSpaceDE w:val="0"/>
              <w:autoSpaceDN w:val="0"/>
              <w:bidi w:val="0"/>
              <w:adjustRightInd w:val="0"/>
              <w:snapToGrid w:val="0"/>
              <w:spacing w:line="480" w:lineRule="exact"/>
              <w:ind w:left="1704"/>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价格部分</w:t>
            </w:r>
          </w:p>
        </w:tc>
        <w:tc>
          <w:tcPr>
            <w:tcW w:w="6093" w:type="dxa"/>
            <w:noWrap w:val="0"/>
            <w:vAlign w:val="center"/>
          </w:tcPr>
          <w:p w14:paraId="2A9E892B">
            <w:pPr>
              <w:keepNext w:val="0"/>
              <w:keepLines w:val="0"/>
              <w:pageBreakBefore w:val="0"/>
              <w:widowControl w:val="0"/>
              <w:kinsoku/>
              <w:wordWrap/>
              <w:overflowPunct/>
              <w:topLinePunct w:val="0"/>
              <w:bidi w:val="0"/>
              <w:spacing w:afterAutospacing="0" w:line="480" w:lineRule="exact"/>
              <w:jc w:val="center"/>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i w:val="0"/>
                <w:iCs w:val="0"/>
                <w:color w:val="auto"/>
                <w:kern w:val="2"/>
                <w:sz w:val="24"/>
                <w:szCs w:val="24"/>
                <w:highlight w:val="none"/>
                <w:lang w:val="en-US" w:eastAsia="zh-CN" w:bidi="ar-SA"/>
              </w:rPr>
              <w:t>10%</w:t>
            </w:r>
          </w:p>
        </w:tc>
      </w:tr>
      <w:tr w14:paraId="3AEB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102" w:type="dxa"/>
          <w:trHeight w:val="425" w:hRule="atLeast"/>
        </w:trPr>
        <w:tc>
          <w:tcPr>
            <w:tcW w:w="0" w:type="auto"/>
            <w:gridSpan w:val="4"/>
            <w:noWrap w:val="0"/>
            <w:vAlign w:val="top"/>
          </w:tcPr>
          <w:p w14:paraId="4FCD8FD6">
            <w:pPr>
              <w:keepNext w:val="0"/>
              <w:keepLines w:val="0"/>
              <w:pageBreakBefore w:val="0"/>
              <w:widowControl w:val="0"/>
              <w:kinsoku w:val="0"/>
              <w:wordWrap/>
              <w:overflowPunct/>
              <w:topLinePunct w:val="0"/>
              <w:autoSpaceDE w:val="0"/>
              <w:autoSpaceDN w:val="0"/>
              <w:bidi w:val="0"/>
              <w:adjustRightInd w:val="0"/>
              <w:snapToGrid w:val="0"/>
              <w:spacing w:line="480" w:lineRule="exact"/>
              <w:ind w:left="1707"/>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技术部分</w:t>
            </w:r>
          </w:p>
        </w:tc>
        <w:tc>
          <w:tcPr>
            <w:tcW w:w="6093" w:type="dxa"/>
            <w:noWrap w:val="0"/>
            <w:vAlign w:val="center"/>
          </w:tcPr>
          <w:p w14:paraId="019CA5F6">
            <w:pPr>
              <w:keepNext w:val="0"/>
              <w:keepLines w:val="0"/>
              <w:pageBreakBefore w:val="0"/>
              <w:widowControl w:val="0"/>
              <w:kinsoku/>
              <w:wordWrap/>
              <w:overflowPunct/>
              <w:topLinePunct w:val="0"/>
              <w:bidi w:val="0"/>
              <w:spacing w:afterAutospacing="0" w:line="480" w:lineRule="exact"/>
              <w:jc w:val="center"/>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cstheme="minorEastAsia"/>
                <w:i w:val="0"/>
                <w:iCs w:val="0"/>
                <w:color w:val="auto"/>
                <w:kern w:val="2"/>
                <w:sz w:val="24"/>
                <w:szCs w:val="24"/>
                <w:highlight w:val="none"/>
                <w:lang w:val="en-US" w:eastAsia="zh-CN" w:bidi="ar-SA"/>
              </w:rPr>
              <w:t>4</w:t>
            </w:r>
            <w:r>
              <w:rPr>
                <w:rFonts w:hint="eastAsia" w:asciiTheme="minorEastAsia" w:hAnsiTheme="minorEastAsia" w:eastAsiaTheme="minorEastAsia" w:cstheme="minorEastAsia"/>
                <w:i w:val="0"/>
                <w:iCs w:val="0"/>
                <w:color w:val="auto"/>
                <w:kern w:val="2"/>
                <w:sz w:val="24"/>
                <w:szCs w:val="24"/>
                <w:highlight w:val="none"/>
                <w:lang w:val="en-US" w:eastAsia="zh-CN" w:bidi="ar-SA"/>
              </w:rPr>
              <w:t>0%</w:t>
            </w:r>
          </w:p>
        </w:tc>
      </w:tr>
      <w:tr w14:paraId="2F217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102" w:type="dxa"/>
          <w:trHeight w:val="425" w:hRule="atLeast"/>
        </w:trPr>
        <w:tc>
          <w:tcPr>
            <w:tcW w:w="0" w:type="auto"/>
            <w:gridSpan w:val="4"/>
            <w:noWrap w:val="0"/>
            <w:vAlign w:val="top"/>
          </w:tcPr>
          <w:p w14:paraId="2EA5E5D4">
            <w:pPr>
              <w:keepNext w:val="0"/>
              <w:keepLines w:val="0"/>
              <w:pageBreakBefore w:val="0"/>
              <w:widowControl w:val="0"/>
              <w:kinsoku w:val="0"/>
              <w:wordWrap/>
              <w:overflowPunct/>
              <w:topLinePunct w:val="0"/>
              <w:autoSpaceDE w:val="0"/>
              <w:autoSpaceDN w:val="0"/>
              <w:bidi w:val="0"/>
              <w:adjustRightInd w:val="0"/>
              <w:snapToGrid w:val="0"/>
              <w:spacing w:line="480" w:lineRule="exact"/>
              <w:ind w:left="1704"/>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商务</w:t>
            </w:r>
            <w:r>
              <w:rPr>
                <w:rFonts w:hint="eastAsia" w:asciiTheme="minorEastAsia" w:hAnsiTheme="minorEastAsia" w:eastAsiaTheme="minorEastAsia" w:cstheme="minorEastAsia"/>
                <w:spacing w:val="-1"/>
                <w:sz w:val="24"/>
                <w:szCs w:val="24"/>
              </w:rPr>
              <w:t>部分</w:t>
            </w:r>
          </w:p>
        </w:tc>
        <w:tc>
          <w:tcPr>
            <w:tcW w:w="6093" w:type="dxa"/>
            <w:noWrap w:val="0"/>
            <w:vAlign w:val="center"/>
          </w:tcPr>
          <w:p w14:paraId="3EC1BF4A">
            <w:pPr>
              <w:keepNext w:val="0"/>
              <w:keepLines w:val="0"/>
              <w:pageBreakBefore w:val="0"/>
              <w:widowControl w:val="0"/>
              <w:kinsoku/>
              <w:wordWrap/>
              <w:overflowPunct/>
              <w:topLinePunct w:val="0"/>
              <w:bidi w:val="0"/>
              <w:spacing w:afterAutospacing="0" w:line="480" w:lineRule="exact"/>
              <w:jc w:val="center"/>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cstheme="minorEastAsia"/>
                <w:i w:val="0"/>
                <w:iCs w:val="0"/>
                <w:color w:val="auto"/>
                <w:kern w:val="2"/>
                <w:sz w:val="24"/>
                <w:szCs w:val="24"/>
                <w:highlight w:val="none"/>
                <w:lang w:val="en-US" w:eastAsia="zh-CN" w:bidi="ar-SA"/>
              </w:rPr>
              <w:t>5</w:t>
            </w:r>
            <w:r>
              <w:rPr>
                <w:rFonts w:hint="eastAsia" w:asciiTheme="minorEastAsia" w:hAnsiTheme="minorEastAsia" w:eastAsiaTheme="minorEastAsia" w:cstheme="minorEastAsia"/>
                <w:i w:val="0"/>
                <w:iCs w:val="0"/>
                <w:color w:val="auto"/>
                <w:kern w:val="2"/>
                <w:sz w:val="24"/>
                <w:szCs w:val="24"/>
                <w:highlight w:val="none"/>
                <w:lang w:val="en-US" w:eastAsia="zh-CN" w:bidi="ar-SA"/>
              </w:rPr>
              <w:t>0%</w:t>
            </w:r>
          </w:p>
        </w:tc>
      </w:tr>
      <w:tr w14:paraId="7571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blHeader/>
          <w:jc w:val="center"/>
        </w:trPr>
        <w:tc>
          <w:tcPr>
            <w:tcW w:w="718" w:type="dxa"/>
            <w:gridSpan w:val="2"/>
            <w:noWrap w:val="0"/>
            <w:vAlign w:val="center"/>
          </w:tcPr>
          <w:p w14:paraId="6F8C19E1">
            <w:pPr>
              <w:keepNext/>
              <w:keepLines w:val="0"/>
              <w:pageBreakBefore w:val="0"/>
              <w:widowControl/>
              <w:kinsoku w:val="0"/>
              <w:wordWrap/>
              <w:overflowPunct/>
              <w:topLinePunct w:val="0"/>
              <w:autoSpaceDE w:val="0"/>
              <w:autoSpaceDN w:val="0"/>
              <w:bidi w:val="0"/>
              <w:adjustRightInd w:val="0"/>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b w:val="0"/>
                <w:bCs w:val="0"/>
                <w:color w:val="auto"/>
                <w:kern w:val="0"/>
                <w:sz w:val="24"/>
                <w:szCs w:val="24"/>
              </w:rPr>
            </w:pPr>
            <w:r>
              <w:rPr>
                <w:rFonts w:hint="eastAsia" w:asciiTheme="minorEastAsia" w:hAnsiTheme="minorEastAsia" w:eastAsiaTheme="minorEastAsia" w:cstheme="minorEastAsia"/>
                <w:b w:val="0"/>
                <w:bCs w:val="0"/>
                <w:color w:val="auto"/>
                <w:kern w:val="0"/>
                <w:sz w:val="24"/>
                <w:szCs w:val="24"/>
              </w:rPr>
              <w:t>序号</w:t>
            </w:r>
          </w:p>
        </w:tc>
        <w:tc>
          <w:tcPr>
            <w:tcW w:w="2004" w:type="dxa"/>
            <w:gridSpan w:val="2"/>
            <w:noWrap w:val="0"/>
            <w:vAlign w:val="center"/>
          </w:tcPr>
          <w:p w14:paraId="7EE8ECC6">
            <w:pPr>
              <w:keepNext/>
              <w:keepLines w:val="0"/>
              <w:pageBreakBefore w:val="0"/>
              <w:widowControl/>
              <w:kinsoku w:val="0"/>
              <w:wordWrap/>
              <w:overflowPunct/>
              <w:topLinePunct w:val="0"/>
              <w:autoSpaceDE w:val="0"/>
              <w:autoSpaceDN w:val="0"/>
              <w:bidi w:val="0"/>
              <w:adjustRightInd w:val="0"/>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b w:val="0"/>
                <w:bCs w:val="0"/>
                <w:color w:val="auto"/>
                <w:kern w:val="0"/>
                <w:sz w:val="24"/>
                <w:szCs w:val="24"/>
              </w:rPr>
            </w:pPr>
            <w:r>
              <w:rPr>
                <w:rFonts w:hint="eastAsia" w:asciiTheme="minorEastAsia" w:hAnsiTheme="minorEastAsia" w:eastAsiaTheme="minorEastAsia" w:cstheme="minorEastAsia"/>
                <w:b w:val="0"/>
                <w:bCs w:val="0"/>
                <w:color w:val="auto"/>
                <w:kern w:val="0"/>
                <w:sz w:val="24"/>
                <w:szCs w:val="24"/>
              </w:rPr>
              <w:t>评标因素（分值）</w:t>
            </w:r>
          </w:p>
        </w:tc>
        <w:tc>
          <w:tcPr>
            <w:tcW w:w="6891" w:type="dxa"/>
            <w:gridSpan w:val="2"/>
            <w:noWrap w:val="0"/>
            <w:vAlign w:val="center"/>
          </w:tcPr>
          <w:p w14:paraId="0EC3980D">
            <w:pPr>
              <w:keepNext/>
              <w:keepLines w:val="0"/>
              <w:pageBreakBefore w:val="0"/>
              <w:widowControl/>
              <w:kinsoku w:val="0"/>
              <w:wordWrap/>
              <w:overflowPunct/>
              <w:topLinePunct w:val="0"/>
              <w:autoSpaceDE w:val="0"/>
              <w:autoSpaceDN w:val="0"/>
              <w:bidi w:val="0"/>
              <w:adjustRightInd w:val="0"/>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b w:val="0"/>
                <w:bCs w:val="0"/>
                <w:color w:val="auto"/>
                <w:kern w:val="0"/>
                <w:sz w:val="24"/>
                <w:szCs w:val="24"/>
              </w:rPr>
            </w:pPr>
            <w:r>
              <w:rPr>
                <w:rFonts w:hint="eastAsia" w:asciiTheme="minorEastAsia" w:hAnsiTheme="minorEastAsia" w:eastAsiaTheme="minorEastAsia" w:cstheme="minorEastAsia"/>
                <w:b w:val="0"/>
                <w:bCs w:val="0"/>
                <w:color w:val="auto"/>
                <w:kern w:val="0"/>
                <w:sz w:val="24"/>
                <w:szCs w:val="24"/>
              </w:rPr>
              <w:t>评标标准</w:t>
            </w:r>
          </w:p>
        </w:tc>
      </w:tr>
      <w:tr w14:paraId="6FAC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8" w:type="dxa"/>
            <w:gridSpan w:val="2"/>
            <w:noWrap w:val="0"/>
            <w:vAlign w:val="center"/>
          </w:tcPr>
          <w:p w14:paraId="41B76B8F">
            <w:pPr>
              <w:keepNext/>
              <w:keepLines w:val="0"/>
              <w:pageBreakBefore w:val="0"/>
              <w:widowControl/>
              <w:kinsoku/>
              <w:wordWrap/>
              <w:overflowPunct/>
              <w:topLinePunct w:val="0"/>
              <w:autoSpaceDE w:val="0"/>
              <w:autoSpaceDN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w:t>
            </w:r>
          </w:p>
        </w:tc>
        <w:tc>
          <w:tcPr>
            <w:tcW w:w="2004" w:type="dxa"/>
            <w:gridSpan w:val="2"/>
            <w:noWrap w:val="0"/>
            <w:vAlign w:val="center"/>
          </w:tcPr>
          <w:p w14:paraId="0EDF3D13">
            <w:pPr>
              <w:keepNext/>
              <w:keepLines w:val="0"/>
              <w:pageBreakBefore w:val="0"/>
              <w:widowControl/>
              <w:kinsoku/>
              <w:wordWrap/>
              <w:overflowPunct/>
              <w:topLinePunct w:val="0"/>
              <w:autoSpaceDE w:val="0"/>
              <w:autoSpaceDN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价格部分</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（100分）</w:t>
            </w:r>
          </w:p>
        </w:tc>
        <w:tc>
          <w:tcPr>
            <w:tcW w:w="6891" w:type="dxa"/>
            <w:gridSpan w:val="2"/>
            <w:noWrap w:val="0"/>
            <w:vAlign w:val="center"/>
          </w:tcPr>
          <w:p w14:paraId="4ED00E3B">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1、投标报价调整(</w:t>
            </w:r>
            <w:r>
              <w:rPr>
                <w:rFonts w:hint="eastAsia" w:asciiTheme="minorEastAsia" w:hAnsiTheme="minorEastAsia" w:eastAsiaTheme="minorEastAsia" w:cstheme="minorEastAsia"/>
                <w:color w:val="000000"/>
                <w:sz w:val="24"/>
                <w:szCs w:val="24"/>
                <w:lang w:eastAsia="zh-CN"/>
              </w:rPr>
              <w:t>大中型企业承诺向小微企业分包份额占到合同总金额</w:t>
            </w:r>
            <w:r>
              <w:rPr>
                <w:rFonts w:hint="eastAsia" w:asciiTheme="minorEastAsia" w:hAnsiTheme="minorEastAsia" w:eastAsiaTheme="minorEastAsia" w:cstheme="minorEastAsia"/>
                <w:color w:val="000000"/>
                <w:sz w:val="24"/>
                <w:szCs w:val="24"/>
                <w:lang w:val="en-US" w:eastAsia="zh-CN"/>
              </w:rPr>
              <w:t>30%以上服务，</w:t>
            </w:r>
            <w:r>
              <w:rPr>
                <w:rFonts w:hint="eastAsia" w:asciiTheme="minorEastAsia" w:hAnsiTheme="minorEastAsia" w:eastAsiaTheme="minorEastAsia" w:cstheme="minorEastAsia"/>
                <w:color w:val="000000"/>
                <w:sz w:val="24"/>
                <w:szCs w:val="24"/>
              </w:rPr>
              <w:t>小微企业服务，残疾人福利性单位服务、监狱企业服务)；</w:t>
            </w:r>
          </w:p>
          <w:p w14:paraId="056C86D2">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2、满足招标文件要求且投标报价中最低的投标报价为评标基准价其价格分为满分；其他投标人的价格分统一按照以下公式计算：投标报价得分=（评标基准价/投标报价）×价格权值×100</w:t>
            </w:r>
          </w:p>
          <w:p w14:paraId="061A3020">
            <w:pPr>
              <w:keepNext/>
              <w:keepLines w:val="0"/>
              <w:pageBreakBefore w:val="0"/>
              <w:widowControl/>
              <w:kinsoku/>
              <w:wordWrap/>
              <w:overflowPunct/>
              <w:topLinePunct w:val="0"/>
              <w:autoSpaceDE w:val="0"/>
              <w:autoSpaceDN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FF0000"/>
                <w:kern w:val="0"/>
                <w:sz w:val="24"/>
                <w:szCs w:val="24"/>
              </w:rPr>
            </w:pPr>
            <w:r>
              <w:rPr>
                <w:rFonts w:hint="eastAsia" w:asciiTheme="minorEastAsia" w:hAnsiTheme="minorEastAsia" w:eastAsiaTheme="minorEastAsia" w:cstheme="minorEastAsia"/>
                <w:b/>
                <w:color w:val="000000"/>
                <w:sz w:val="24"/>
                <w:szCs w:val="24"/>
              </w:rPr>
              <w:t>注：</w:t>
            </w:r>
            <w:r>
              <w:rPr>
                <w:rFonts w:hint="eastAsia" w:asciiTheme="minorEastAsia" w:hAnsiTheme="minorEastAsia" w:eastAsiaTheme="minorEastAsia" w:cstheme="minorEastAsia"/>
                <w:b/>
                <w:color w:val="000000"/>
                <w:sz w:val="24"/>
                <w:szCs w:val="24"/>
                <w:lang w:eastAsia="zh-CN"/>
              </w:rPr>
              <w:t>按投标人前附表</w:t>
            </w:r>
            <w:r>
              <w:rPr>
                <w:rFonts w:hint="eastAsia" w:asciiTheme="minorEastAsia" w:hAnsiTheme="minorEastAsia" w:eastAsiaTheme="minorEastAsia" w:cstheme="minorEastAsia"/>
                <w:b/>
                <w:color w:val="000000"/>
                <w:sz w:val="24"/>
                <w:szCs w:val="24"/>
                <w:lang w:val="en-US" w:eastAsia="zh-CN"/>
              </w:rPr>
              <w:t>42.6其他补充说明，投标人报价异常时，应当启动异常低价审查程序。</w:t>
            </w:r>
          </w:p>
        </w:tc>
      </w:tr>
      <w:tr w14:paraId="72C9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8" w:type="dxa"/>
            <w:gridSpan w:val="2"/>
            <w:vMerge w:val="restart"/>
            <w:noWrap w:val="0"/>
            <w:vAlign w:val="center"/>
          </w:tcPr>
          <w:p w14:paraId="6A48E51F">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759" w:type="dxa"/>
            <w:vMerge w:val="restart"/>
            <w:noWrap w:val="0"/>
            <w:vAlign w:val="center"/>
          </w:tcPr>
          <w:p w14:paraId="192E4602">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技术</w:t>
            </w:r>
            <w:r>
              <w:rPr>
                <w:rFonts w:hint="eastAsia" w:asciiTheme="minorEastAsia" w:hAnsiTheme="minorEastAsia" w:eastAsiaTheme="minorEastAsia" w:cstheme="minorEastAsia"/>
                <w:color w:val="auto"/>
                <w:sz w:val="24"/>
                <w:szCs w:val="24"/>
              </w:rPr>
              <w:br w:type="textWrapping"/>
            </w:r>
            <w:r>
              <w:rPr>
                <w:rFonts w:hint="eastAsia" w:asciiTheme="minorEastAsia" w:hAnsiTheme="minorEastAsia" w:eastAsiaTheme="minorEastAsia" w:cstheme="minorEastAsia"/>
                <w:color w:val="auto"/>
                <w:sz w:val="24"/>
                <w:szCs w:val="24"/>
              </w:rPr>
              <w:t>部分</w:t>
            </w:r>
            <w:r>
              <w:rPr>
                <w:rFonts w:hint="eastAsia" w:asciiTheme="minorEastAsia" w:hAnsiTheme="minorEastAsia" w:eastAsiaTheme="minorEastAsia" w:cstheme="minorEastAsia"/>
                <w:color w:val="auto"/>
                <w:sz w:val="24"/>
                <w:szCs w:val="24"/>
              </w:rPr>
              <w:br w:type="textWrapping"/>
            </w:r>
            <w:r>
              <w:rPr>
                <w:rFonts w:hint="eastAsia" w:asciiTheme="minorEastAsia" w:hAnsiTheme="minorEastAsia" w:eastAsiaTheme="minorEastAsia" w:cstheme="minorEastAsia"/>
                <w:color w:val="auto"/>
                <w:sz w:val="24"/>
                <w:szCs w:val="24"/>
              </w:rPr>
              <w:t>(100分)</w:t>
            </w:r>
          </w:p>
        </w:tc>
        <w:tc>
          <w:tcPr>
            <w:tcW w:w="1245" w:type="dxa"/>
            <w:shd w:val="clear" w:color="auto" w:fill="auto"/>
            <w:noWrap w:val="0"/>
            <w:vAlign w:val="center"/>
          </w:tcPr>
          <w:p w14:paraId="38521170">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施工组织方案</w:t>
            </w:r>
            <w:r>
              <w:rPr>
                <w:rFonts w:hint="eastAsia" w:asciiTheme="minorEastAsia" w:hAnsi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lang w:val="en-US" w:eastAsia="zh-CN"/>
              </w:rPr>
              <w:t>25</w:t>
            </w:r>
            <w:r>
              <w:rPr>
                <w:rFonts w:hint="eastAsia" w:asciiTheme="minorEastAsia" w:hAnsiTheme="minorEastAsia" w:eastAsiaTheme="minorEastAsia" w:cstheme="minorEastAsia"/>
                <w:color w:val="000000"/>
                <w:sz w:val="24"/>
                <w:szCs w:val="24"/>
              </w:rPr>
              <w:t>分</w:t>
            </w:r>
            <w:r>
              <w:rPr>
                <w:rFonts w:hint="eastAsia" w:asciiTheme="minorEastAsia" w:hAnsiTheme="minorEastAsia" w:cstheme="minorEastAsia"/>
                <w:color w:val="000000"/>
                <w:sz w:val="24"/>
                <w:szCs w:val="24"/>
                <w:lang w:eastAsia="zh-CN"/>
              </w:rPr>
              <w:t>）</w:t>
            </w:r>
          </w:p>
        </w:tc>
        <w:tc>
          <w:tcPr>
            <w:tcW w:w="6891" w:type="dxa"/>
            <w:gridSpan w:val="2"/>
            <w:noWrap w:val="0"/>
            <w:vAlign w:val="center"/>
          </w:tcPr>
          <w:p w14:paraId="5D7CE7E8">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根据供应商提供的施工组织方案，进行综合评审。</w:t>
            </w:r>
          </w:p>
          <w:p w14:paraId="1BB66636">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1.提供施工方案内容包括：</w:t>
            </w:r>
          </w:p>
          <w:p w14:paraId="3F27D9CF">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 施工总体部署；(2)施工组织部署；(3)施工总体流程；(4)施工组织措施；(5)施工技术；(6)施工总平面布置各分部分项工程的施工方法以上6项内容，</w:t>
            </w:r>
            <w:r>
              <w:rPr>
                <w:rFonts w:hint="eastAsia" w:asciiTheme="minorEastAsia" w:hAnsiTheme="minorEastAsia" w:eastAsiaTheme="minorEastAsia" w:cstheme="minorEastAsia"/>
                <w:color w:val="000000"/>
                <w:sz w:val="24"/>
                <w:szCs w:val="24"/>
                <w:lang w:val="en-US" w:eastAsia="zh-CN"/>
              </w:rPr>
              <w:t>每项要涵盖采伐修枝及剩余物清理、苗木采购、整地施肥、补植和抚育管护等，</w:t>
            </w:r>
            <w:r>
              <w:rPr>
                <w:rFonts w:hint="eastAsia" w:asciiTheme="minorEastAsia" w:hAnsiTheme="minorEastAsia" w:eastAsiaTheme="minorEastAsia" w:cstheme="minorEastAsia"/>
                <w:color w:val="000000"/>
                <w:sz w:val="24"/>
                <w:szCs w:val="24"/>
              </w:rPr>
              <w:t>每项内容记</w:t>
            </w:r>
            <w:r>
              <w:rPr>
                <w:rFonts w:hint="eastAsia" w:asciiTheme="minorEastAsia" w:hAnsiTheme="minorEastAsia" w:eastAsiaTheme="minorEastAsia" w:cstheme="minorEastAsia"/>
                <w:color w:val="000000"/>
                <w:sz w:val="24"/>
                <w:szCs w:val="24"/>
                <w:lang w:val="en-US" w:eastAsia="zh-CN"/>
              </w:rPr>
              <w:t>2.5</w:t>
            </w:r>
            <w:r>
              <w:rPr>
                <w:rFonts w:hint="eastAsia" w:asciiTheme="minorEastAsia" w:hAnsiTheme="minorEastAsia" w:eastAsiaTheme="minorEastAsia" w:cstheme="minorEastAsia"/>
                <w:color w:val="000000"/>
                <w:sz w:val="24"/>
                <w:szCs w:val="24"/>
              </w:rPr>
              <w:t>分。本小项最高计</w:t>
            </w:r>
            <w:r>
              <w:rPr>
                <w:rFonts w:hint="eastAsia" w:asciiTheme="minorEastAsia" w:hAnsiTheme="minorEastAsia" w:eastAsiaTheme="minorEastAsia" w:cstheme="minorEastAsia"/>
                <w:color w:val="000000"/>
                <w:sz w:val="24"/>
                <w:szCs w:val="24"/>
                <w:lang w:val="en-US" w:eastAsia="zh-CN"/>
              </w:rPr>
              <w:t>15</w:t>
            </w:r>
            <w:r>
              <w:rPr>
                <w:rFonts w:hint="eastAsia" w:asciiTheme="minorEastAsia" w:hAnsiTheme="minorEastAsia" w:eastAsiaTheme="minorEastAsia" w:cstheme="minorEastAsia"/>
                <w:color w:val="000000"/>
                <w:sz w:val="24"/>
                <w:szCs w:val="24"/>
              </w:rPr>
              <w:t>分。</w:t>
            </w:r>
          </w:p>
          <w:p w14:paraId="128F493B">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2.在完整提供上述内容的前提下：</w:t>
            </w:r>
          </w:p>
          <w:p w14:paraId="7493215B">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(1)内容清晰、全面详细，可操作性强计</w:t>
            </w:r>
            <w:r>
              <w:rPr>
                <w:rFonts w:hint="eastAsia" w:asciiTheme="minorEastAsia" w:hAnsiTheme="minorEastAsia" w:eastAsiaTheme="minorEastAsia" w:cstheme="minorEastAsia"/>
                <w:color w:val="000000"/>
                <w:sz w:val="24"/>
                <w:szCs w:val="24"/>
                <w:lang w:val="en-US" w:eastAsia="zh-CN"/>
              </w:rPr>
              <w:t>10</w:t>
            </w:r>
            <w:r>
              <w:rPr>
                <w:rFonts w:hint="eastAsia" w:asciiTheme="minorEastAsia" w:hAnsiTheme="minorEastAsia" w:eastAsiaTheme="minorEastAsia" w:cstheme="minorEastAsia"/>
                <w:color w:val="000000"/>
                <w:sz w:val="24"/>
                <w:szCs w:val="24"/>
              </w:rPr>
              <w:t>分；</w:t>
            </w:r>
          </w:p>
          <w:p w14:paraId="7ECD2AA0">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(2)内容清晰、全面详细，可操作性强任意1个方面存在欠缺的计</w:t>
            </w:r>
            <w:r>
              <w:rPr>
                <w:rFonts w:hint="eastAsia" w:asciiTheme="minorEastAsia" w:hAnsiTheme="minorEastAsia" w:eastAsiaTheme="minorEastAsia" w:cstheme="minorEastAsia"/>
                <w:color w:val="000000"/>
                <w:sz w:val="24"/>
                <w:szCs w:val="24"/>
                <w:lang w:val="en-US" w:eastAsia="zh-CN"/>
              </w:rPr>
              <w:t>8.75</w:t>
            </w:r>
            <w:r>
              <w:rPr>
                <w:rFonts w:hint="eastAsia" w:asciiTheme="minorEastAsia" w:hAnsiTheme="minorEastAsia" w:eastAsiaTheme="minorEastAsia" w:cstheme="minorEastAsia"/>
                <w:color w:val="000000"/>
                <w:sz w:val="24"/>
                <w:szCs w:val="24"/>
              </w:rPr>
              <w:t>分；</w:t>
            </w:r>
          </w:p>
          <w:p w14:paraId="3C0ACC3B">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(3)内容清晰、全面详细，可操作性强任意2至3个方面存在欠缺的，计</w:t>
            </w:r>
            <w:r>
              <w:rPr>
                <w:rFonts w:hint="eastAsia" w:asciiTheme="minorEastAsia" w:hAnsiTheme="minorEastAsia" w:eastAsiaTheme="minorEastAsia" w:cstheme="minorEastAsia"/>
                <w:color w:val="000000"/>
                <w:sz w:val="24"/>
                <w:szCs w:val="24"/>
                <w:lang w:val="en-US" w:eastAsia="zh-CN"/>
              </w:rPr>
              <w:t>7.5</w:t>
            </w:r>
            <w:r>
              <w:rPr>
                <w:rFonts w:hint="eastAsia" w:asciiTheme="minorEastAsia" w:hAnsiTheme="minorEastAsia" w:eastAsiaTheme="minorEastAsia" w:cstheme="minorEastAsia"/>
                <w:color w:val="000000"/>
                <w:sz w:val="24"/>
                <w:szCs w:val="24"/>
              </w:rPr>
              <w:t>分。</w:t>
            </w:r>
          </w:p>
        </w:tc>
      </w:tr>
      <w:tr w14:paraId="0196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8" w:type="dxa"/>
            <w:gridSpan w:val="2"/>
            <w:vMerge w:val="continue"/>
            <w:noWrap w:val="0"/>
            <w:vAlign w:val="center"/>
          </w:tcPr>
          <w:p w14:paraId="35ABE046">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FF0000"/>
                <w:sz w:val="24"/>
                <w:szCs w:val="24"/>
              </w:rPr>
            </w:pPr>
          </w:p>
        </w:tc>
        <w:tc>
          <w:tcPr>
            <w:tcW w:w="759" w:type="dxa"/>
            <w:vMerge w:val="continue"/>
            <w:noWrap w:val="0"/>
            <w:vAlign w:val="center"/>
          </w:tcPr>
          <w:p w14:paraId="3C8B307F">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p>
        </w:tc>
        <w:tc>
          <w:tcPr>
            <w:tcW w:w="1245" w:type="dxa"/>
            <w:noWrap w:val="0"/>
            <w:vAlign w:val="center"/>
          </w:tcPr>
          <w:p w14:paraId="5E5A1CC9">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施工进度计划与措施</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lang w:val="en-US" w:eastAsia="zh-CN"/>
              </w:rPr>
              <w:t>25</w:t>
            </w:r>
            <w:r>
              <w:rPr>
                <w:rFonts w:hint="eastAsia" w:asciiTheme="minorEastAsia" w:hAnsiTheme="minorEastAsia" w:eastAsiaTheme="minorEastAsia" w:cstheme="minorEastAsia"/>
                <w:color w:val="000000"/>
                <w:sz w:val="24"/>
                <w:szCs w:val="24"/>
              </w:rPr>
              <w:t>分</w:t>
            </w:r>
            <w:r>
              <w:rPr>
                <w:rFonts w:hint="eastAsia" w:asciiTheme="minorEastAsia" w:hAnsiTheme="minorEastAsia" w:cstheme="minorEastAsia"/>
                <w:color w:val="000000"/>
                <w:sz w:val="24"/>
                <w:szCs w:val="24"/>
                <w:lang w:eastAsia="zh-CN"/>
              </w:rPr>
              <w:t>）</w:t>
            </w:r>
          </w:p>
          <w:p w14:paraId="113315F3">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lang w:val="en-US" w:eastAsia="zh-CN"/>
              </w:rPr>
            </w:pPr>
          </w:p>
        </w:tc>
        <w:tc>
          <w:tcPr>
            <w:tcW w:w="6891" w:type="dxa"/>
            <w:gridSpan w:val="2"/>
            <w:noWrap w:val="0"/>
            <w:vAlign w:val="center"/>
          </w:tcPr>
          <w:p w14:paraId="192B4124">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1.提供施工进度计划与措施内容包括：</w:t>
            </w:r>
          </w:p>
          <w:p w14:paraId="1FE1E32F">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(1)施工进度计划；(2)人员分配；(3)进度保证措 施；(4)工期目标；(5)工期保证措施以上5项内容，</w:t>
            </w:r>
            <w:r>
              <w:rPr>
                <w:rFonts w:hint="eastAsia" w:asciiTheme="minorEastAsia" w:hAnsiTheme="minorEastAsia" w:eastAsiaTheme="minorEastAsia" w:cstheme="minorEastAsia"/>
                <w:color w:val="000000"/>
                <w:sz w:val="24"/>
                <w:szCs w:val="24"/>
                <w:lang w:val="en-US" w:eastAsia="zh-CN"/>
              </w:rPr>
              <w:t>每项要涵盖采伐修枝及剩余物清理、苗木采购、整地施肥、补植和抚育管护等，</w:t>
            </w:r>
            <w:r>
              <w:rPr>
                <w:rFonts w:hint="eastAsia" w:asciiTheme="minorEastAsia" w:hAnsiTheme="minorEastAsia" w:eastAsiaTheme="minorEastAsia" w:cstheme="minorEastAsia"/>
                <w:color w:val="000000"/>
                <w:sz w:val="24"/>
                <w:szCs w:val="24"/>
              </w:rPr>
              <w:t>每项内容计</w:t>
            </w:r>
            <w:r>
              <w:rPr>
                <w:rFonts w:hint="eastAsia" w:asciiTheme="minorEastAsia" w:hAnsiTheme="minorEastAsia" w:eastAsiaTheme="minorEastAsia" w:cstheme="minorEastAsia"/>
                <w:color w:val="000000"/>
                <w:sz w:val="24"/>
                <w:szCs w:val="24"/>
                <w:lang w:val="en-US" w:eastAsia="zh-CN"/>
              </w:rPr>
              <w:t>2.5</w:t>
            </w:r>
            <w:r>
              <w:rPr>
                <w:rFonts w:hint="eastAsia" w:asciiTheme="minorEastAsia" w:hAnsiTheme="minorEastAsia" w:eastAsiaTheme="minorEastAsia" w:cstheme="minorEastAsia"/>
                <w:color w:val="000000"/>
                <w:sz w:val="24"/>
                <w:szCs w:val="24"/>
              </w:rPr>
              <w:t>分，本小项最高计</w:t>
            </w:r>
            <w:r>
              <w:rPr>
                <w:rFonts w:hint="eastAsia" w:asciiTheme="minorEastAsia" w:hAnsiTheme="minorEastAsia" w:eastAsiaTheme="minorEastAsia" w:cstheme="minorEastAsia"/>
                <w:color w:val="000000"/>
                <w:sz w:val="24"/>
                <w:szCs w:val="24"/>
                <w:lang w:val="en-US" w:eastAsia="zh-CN"/>
              </w:rPr>
              <w:t>12.5</w:t>
            </w:r>
            <w:r>
              <w:rPr>
                <w:rFonts w:hint="eastAsia" w:asciiTheme="minorEastAsia" w:hAnsiTheme="minorEastAsia" w:eastAsiaTheme="minorEastAsia" w:cstheme="minorEastAsia"/>
                <w:color w:val="000000"/>
                <w:sz w:val="24"/>
                <w:szCs w:val="24"/>
              </w:rPr>
              <w:t>分。</w:t>
            </w:r>
          </w:p>
          <w:p w14:paraId="2B8F36D8">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2.在完整提供上述内容的前提下：</w:t>
            </w:r>
          </w:p>
          <w:p w14:paraId="57F0E79C">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(1)内容清晰、全面详细，可操作性强计</w:t>
            </w:r>
            <w:r>
              <w:rPr>
                <w:rFonts w:hint="eastAsia" w:asciiTheme="minorEastAsia" w:hAnsiTheme="minorEastAsia" w:eastAsiaTheme="minorEastAsia" w:cstheme="minorEastAsia"/>
                <w:color w:val="000000"/>
                <w:sz w:val="24"/>
                <w:szCs w:val="24"/>
                <w:lang w:val="en-US" w:eastAsia="zh-CN"/>
              </w:rPr>
              <w:t>12.5</w:t>
            </w:r>
            <w:r>
              <w:rPr>
                <w:rFonts w:hint="eastAsia" w:asciiTheme="minorEastAsia" w:hAnsiTheme="minorEastAsia" w:eastAsiaTheme="minorEastAsia" w:cstheme="minorEastAsia"/>
                <w:color w:val="000000"/>
                <w:sz w:val="24"/>
                <w:szCs w:val="24"/>
              </w:rPr>
              <w:t>分；</w:t>
            </w:r>
          </w:p>
          <w:p w14:paraId="6D131C5F">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(2)内容清晰、全面详细，可操作性强任意1个方面存在欠缺的计</w:t>
            </w:r>
            <w:r>
              <w:rPr>
                <w:rFonts w:hint="eastAsia" w:asciiTheme="minorEastAsia" w:hAnsiTheme="minorEastAsia" w:eastAsiaTheme="minorEastAsia" w:cstheme="minorEastAsia"/>
                <w:color w:val="000000"/>
                <w:sz w:val="24"/>
                <w:szCs w:val="24"/>
                <w:lang w:val="en-US" w:eastAsia="zh-CN"/>
              </w:rPr>
              <w:t>11.25</w:t>
            </w:r>
            <w:r>
              <w:rPr>
                <w:rFonts w:hint="eastAsia" w:asciiTheme="minorEastAsia" w:hAnsiTheme="minorEastAsia" w:eastAsiaTheme="minorEastAsia" w:cstheme="minorEastAsia"/>
                <w:color w:val="000000"/>
                <w:sz w:val="24"/>
                <w:szCs w:val="24"/>
              </w:rPr>
              <w:t>分；</w:t>
            </w:r>
          </w:p>
          <w:p w14:paraId="1013BB63">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(3)内容清晰、全面详细，可操作性强任意2至3个方面存在欠缺的，计</w:t>
            </w:r>
            <w:r>
              <w:rPr>
                <w:rFonts w:hint="eastAsia" w:asciiTheme="minorEastAsia" w:hAnsiTheme="minorEastAsia" w:eastAsiaTheme="minorEastAsia" w:cstheme="minorEastAsia"/>
                <w:color w:val="000000"/>
                <w:sz w:val="24"/>
                <w:szCs w:val="24"/>
                <w:lang w:val="en-US" w:eastAsia="zh-CN"/>
              </w:rPr>
              <w:t>10</w:t>
            </w:r>
            <w:r>
              <w:rPr>
                <w:rFonts w:hint="eastAsia" w:asciiTheme="minorEastAsia" w:hAnsiTheme="minorEastAsia" w:eastAsiaTheme="minorEastAsia" w:cstheme="minorEastAsia"/>
                <w:color w:val="000000"/>
                <w:sz w:val="24"/>
                <w:szCs w:val="24"/>
              </w:rPr>
              <w:t>分。</w:t>
            </w:r>
          </w:p>
        </w:tc>
      </w:tr>
      <w:tr w14:paraId="00FE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8" w:type="dxa"/>
            <w:gridSpan w:val="2"/>
            <w:vMerge w:val="continue"/>
            <w:noWrap w:val="0"/>
            <w:vAlign w:val="center"/>
          </w:tcPr>
          <w:p w14:paraId="224F6795">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FF0000"/>
                <w:sz w:val="24"/>
                <w:szCs w:val="24"/>
              </w:rPr>
            </w:pPr>
          </w:p>
        </w:tc>
        <w:tc>
          <w:tcPr>
            <w:tcW w:w="759" w:type="dxa"/>
            <w:vMerge w:val="continue"/>
            <w:noWrap w:val="0"/>
            <w:vAlign w:val="center"/>
          </w:tcPr>
          <w:p w14:paraId="0FD04A19">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p>
        </w:tc>
        <w:tc>
          <w:tcPr>
            <w:tcW w:w="1245" w:type="dxa"/>
            <w:noWrap w:val="0"/>
            <w:vAlign w:val="center"/>
          </w:tcPr>
          <w:p w14:paraId="5E3EFEA4">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安全文明施工</w:t>
            </w:r>
            <w:r>
              <w:rPr>
                <w:rFonts w:hint="eastAsia" w:asciiTheme="minorEastAsia" w:hAnsi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rPr>
              <w:t>环保措施</w:t>
            </w:r>
            <w:r>
              <w:rPr>
                <w:rFonts w:hint="eastAsia" w:asciiTheme="minorEastAsia" w:hAnsi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lang w:val="en-US" w:eastAsia="zh-CN"/>
              </w:rPr>
              <w:t>25</w:t>
            </w:r>
            <w:r>
              <w:rPr>
                <w:rFonts w:hint="eastAsia" w:asciiTheme="minorEastAsia" w:hAnsiTheme="minorEastAsia" w:eastAsiaTheme="minorEastAsia" w:cstheme="minorEastAsia"/>
                <w:color w:val="000000"/>
                <w:sz w:val="24"/>
                <w:szCs w:val="24"/>
              </w:rPr>
              <w:t>分</w:t>
            </w:r>
            <w:r>
              <w:rPr>
                <w:rFonts w:hint="eastAsia" w:asciiTheme="minorEastAsia" w:hAnsiTheme="minorEastAsia" w:cstheme="minorEastAsia"/>
                <w:color w:val="000000"/>
                <w:sz w:val="24"/>
                <w:szCs w:val="24"/>
                <w:lang w:eastAsia="zh-CN"/>
              </w:rPr>
              <w:t>）</w:t>
            </w:r>
          </w:p>
          <w:p w14:paraId="44542FE5">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lang w:val="en-US" w:eastAsia="zh-CN"/>
              </w:rPr>
            </w:pPr>
          </w:p>
        </w:tc>
        <w:tc>
          <w:tcPr>
            <w:tcW w:w="6891" w:type="dxa"/>
            <w:gridSpan w:val="2"/>
            <w:noWrap w:val="0"/>
            <w:vAlign w:val="center"/>
          </w:tcPr>
          <w:p w14:paraId="36117FAA">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提供安全文明施工、环保措施内容包括：</w:t>
            </w:r>
          </w:p>
          <w:p w14:paraId="5537038B">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(1)安全施 工管理体系；(2)文明施工管理体系；(3)安全施工措施；(4)文明施工措施；(5)环保体系及措施以上5项内容，</w:t>
            </w:r>
          </w:p>
          <w:p w14:paraId="6BB5EC39">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每项内容计</w:t>
            </w:r>
            <w:r>
              <w:rPr>
                <w:rFonts w:hint="eastAsia" w:asciiTheme="minorEastAsia" w:hAnsiTheme="minorEastAsia" w:eastAsiaTheme="minorEastAsia" w:cstheme="minorEastAsia"/>
                <w:color w:val="000000"/>
                <w:sz w:val="24"/>
                <w:szCs w:val="24"/>
                <w:lang w:val="en-US" w:eastAsia="zh-CN"/>
              </w:rPr>
              <w:t>2.5</w:t>
            </w:r>
            <w:r>
              <w:rPr>
                <w:rFonts w:hint="eastAsia" w:asciiTheme="minorEastAsia" w:hAnsiTheme="minorEastAsia" w:eastAsiaTheme="minorEastAsia" w:cstheme="minorEastAsia"/>
                <w:color w:val="000000"/>
                <w:sz w:val="24"/>
                <w:szCs w:val="24"/>
              </w:rPr>
              <w:t>分，本小项最高计</w:t>
            </w:r>
            <w:r>
              <w:rPr>
                <w:rFonts w:hint="eastAsia" w:asciiTheme="minorEastAsia" w:hAnsiTheme="minorEastAsia" w:eastAsiaTheme="minorEastAsia" w:cstheme="minorEastAsia"/>
                <w:color w:val="000000"/>
                <w:sz w:val="24"/>
                <w:szCs w:val="24"/>
                <w:lang w:val="en-US" w:eastAsia="zh-CN"/>
              </w:rPr>
              <w:t>12.5</w:t>
            </w:r>
            <w:r>
              <w:rPr>
                <w:rFonts w:hint="eastAsia" w:asciiTheme="minorEastAsia" w:hAnsiTheme="minorEastAsia" w:eastAsiaTheme="minorEastAsia" w:cstheme="minorEastAsia"/>
                <w:color w:val="000000"/>
                <w:sz w:val="24"/>
                <w:szCs w:val="24"/>
              </w:rPr>
              <w:t>分。</w:t>
            </w:r>
          </w:p>
          <w:p w14:paraId="3BE2F7E0">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2.在完整提供上述内容的前提下：</w:t>
            </w:r>
          </w:p>
          <w:p w14:paraId="1763E45C">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(1)内容清晰、全面详细，可操作性强计</w:t>
            </w:r>
            <w:r>
              <w:rPr>
                <w:rFonts w:hint="eastAsia" w:asciiTheme="minorEastAsia" w:hAnsiTheme="minorEastAsia" w:eastAsiaTheme="minorEastAsia" w:cstheme="minorEastAsia"/>
                <w:color w:val="000000"/>
                <w:sz w:val="24"/>
                <w:szCs w:val="24"/>
                <w:lang w:val="en-US" w:eastAsia="zh-CN"/>
              </w:rPr>
              <w:t>12.5</w:t>
            </w:r>
            <w:r>
              <w:rPr>
                <w:rFonts w:hint="eastAsia" w:asciiTheme="minorEastAsia" w:hAnsiTheme="minorEastAsia" w:eastAsiaTheme="minorEastAsia" w:cstheme="minorEastAsia"/>
                <w:color w:val="000000"/>
                <w:sz w:val="24"/>
                <w:szCs w:val="24"/>
              </w:rPr>
              <w:t>分；</w:t>
            </w:r>
          </w:p>
          <w:p w14:paraId="149E45D0">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(2)内容清晰、全面详细，可操作性强任意1个方面存在欠缺的计</w:t>
            </w:r>
            <w:r>
              <w:rPr>
                <w:rFonts w:hint="eastAsia" w:asciiTheme="minorEastAsia" w:hAnsiTheme="minorEastAsia" w:eastAsiaTheme="minorEastAsia" w:cstheme="minorEastAsia"/>
                <w:color w:val="000000"/>
                <w:sz w:val="24"/>
                <w:szCs w:val="24"/>
                <w:lang w:val="en-US" w:eastAsia="zh-CN"/>
              </w:rPr>
              <w:t>11.25</w:t>
            </w:r>
            <w:r>
              <w:rPr>
                <w:rFonts w:hint="eastAsia" w:asciiTheme="minorEastAsia" w:hAnsiTheme="minorEastAsia" w:eastAsiaTheme="minorEastAsia" w:cstheme="minorEastAsia"/>
                <w:color w:val="000000"/>
                <w:sz w:val="24"/>
                <w:szCs w:val="24"/>
              </w:rPr>
              <w:t>分；</w:t>
            </w:r>
          </w:p>
          <w:p w14:paraId="1EA9B7BD">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(3)内容清晰、全面详细，可操作性强任意2至3个方面存在欠缺的，计</w:t>
            </w:r>
            <w:r>
              <w:rPr>
                <w:rFonts w:hint="eastAsia" w:asciiTheme="minorEastAsia" w:hAnsiTheme="minorEastAsia" w:eastAsiaTheme="minorEastAsia" w:cstheme="minorEastAsia"/>
                <w:color w:val="000000"/>
                <w:sz w:val="24"/>
                <w:szCs w:val="24"/>
                <w:lang w:val="en-US" w:eastAsia="zh-CN"/>
              </w:rPr>
              <w:t>10</w:t>
            </w:r>
            <w:r>
              <w:rPr>
                <w:rFonts w:hint="eastAsia" w:asciiTheme="minorEastAsia" w:hAnsiTheme="minorEastAsia" w:eastAsiaTheme="minorEastAsia" w:cstheme="minorEastAsia"/>
                <w:color w:val="000000"/>
                <w:sz w:val="24"/>
                <w:szCs w:val="24"/>
              </w:rPr>
              <w:t>分。</w:t>
            </w:r>
          </w:p>
        </w:tc>
      </w:tr>
      <w:tr w14:paraId="777A1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8" w:type="dxa"/>
            <w:gridSpan w:val="2"/>
            <w:vMerge w:val="continue"/>
            <w:noWrap w:val="0"/>
            <w:vAlign w:val="center"/>
          </w:tcPr>
          <w:p w14:paraId="76AB31C4">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FF0000"/>
                <w:sz w:val="24"/>
                <w:szCs w:val="24"/>
              </w:rPr>
            </w:pPr>
          </w:p>
        </w:tc>
        <w:tc>
          <w:tcPr>
            <w:tcW w:w="759" w:type="dxa"/>
            <w:vMerge w:val="continue"/>
            <w:noWrap w:val="0"/>
            <w:vAlign w:val="center"/>
          </w:tcPr>
          <w:p w14:paraId="38B87AFF">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p>
        </w:tc>
        <w:tc>
          <w:tcPr>
            <w:tcW w:w="1245" w:type="dxa"/>
            <w:noWrap w:val="0"/>
            <w:vAlign w:val="center"/>
          </w:tcPr>
          <w:p w14:paraId="01716142">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质量保证体系与措施</w:t>
            </w:r>
            <w:r>
              <w:rPr>
                <w:rFonts w:hint="eastAsia" w:asciiTheme="minorEastAsia" w:hAnsi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lang w:val="en-US" w:eastAsia="zh-CN"/>
              </w:rPr>
              <w:t>25</w:t>
            </w:r>
            <w:r>
              <w:rPr>
                <w:rFonts w:hint="eastAsia" w:asciiTheme="minorEastAsia" w:hAnsiTheme="minorEastAsia" w:eastAsiaTheme="minorEastAsia" w:cstheme="minorEastAsia"/>
                <w:color w:val="000000"/>
                <w:sz w:val="24"/>
                <w:szCs w:val="24"/>
              </w:rPr>
              <w:t>分</w:t>
            </w:r>
            <w:r>
              <w:rPr>
                <w:rFonts w:hint="eastAsia" w:asciiTheme="minorEastAsia" w:hAnsiTheme="minorEastAsia" w:cstheme="minorEastAsia"/>
                <w:color w:val="000000"/>
                <w:sz w:val="24"/>
                <w:szCs w:val="24"/>
                <w:lang w:eastAsia="zh-CN"/>
              </w:rPr>
              <w:t>）</w:t>
            </w:r>
          </w:p>
        </w:tc>
        <w:tc>
          <w:tcPr>
            <w:tcW w:w="6891" w:type="dxa"/>
            <w:gridSpan w:val="2"/>
            <w:noWrap w:val="0"/>
            <w:vAlign w:val="center"/>
          </w:tcPr>
          <w:p w14:paraId="7CB13854">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1.提供质量保证体系与措施内容：</w:t>
            </w:r>
          </w:p>
          <w:p w14:paraId="69212F23">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(1)质量保证体系；(2)质量管理措施办法；(3)关键工序质量控制措施以上3项内容，每项内容 记</w:t>
            </w:r>
            <w:r>
              <w:rPr>
                <w:rFonts w:hint="eastAsia" w:asciiTheme="minorEastAsia" w:hAnsiTheme="minorEastAsia" w:eastAsiaTheme="minorEastAsia" w:cstheme="minorEastAsia"/>
                <w:color w:val="000000"/>
                <w:sz w:val="24"/>
                <w:szCs w:val="24"/>
                <w:lang w:val="en-US" w:eastAsia="zh-CN"/>
              </w:rPr>
              <w:t>5</w:t>
            </w:r>
            <w:r>
              <w:rPr>
                <w:rFonts w:hint="eastAsia" w:asciiTheme="minorEastAsia" w:hAnsiTheme="minorEastAsia" w:eastAsiaTheme="minorEastAsia" w:cstheme="minorEastAsia"/>
                <w:color w:val="000000"/>
                <w:sz w:val="24"/>
                <w:szCs w:val="24"/>
              </w:rPr>
              <w:t>分。本小项最高</w:t>
            </w:r>
            <w:r>
              <w:rPr>
                <w:rFonts w:hint="eastAsia" w:asciiTheme="minorEastAsia" w:hAnsiTheme="minorEastAsia" w:eastAsiaTheme="minorEastAsia" w:cstheme="minorEastAsia"/>
                <w:color w:val="000000"/>
                <w:sz w:val="24"/>
                <w:szCs w:val="24"/>
                <w:lang w:eastAsia="zh-CN"/>
              </w:rPr>
              <w:t>计</w:t>
            </w:r>
            <w:r>
              <w:rPr>
                <w:rFonts w:hint="eastAsia" w:asciiTheme="minorEastAsia" w:hAnsiTheme="minorEastAsia" w:eastAsiaTheme="minorEastAsia" w:cstheme="minorEastAsia"/>
                <w:color w:val="000000"/>
                <w:sz w:val="24"/>
                <w:szCs w:val="24"/>
                <w:lang w:val="en-US" w:eastAsia="zh-CN"/>
              </w:rPr>
              <w:t>15</w:t>
            </w:r>
            <w:r>
              <w:rPr>
                <w:rFonts w:hint="eastAsia" w:asciiTheme="minorEastAsia" w:hAnsiTheme="minorEastAsia" w:eastAsiaTheme="minorEastAsia" w:cstheme="minorEastAsia"/>
                <w:color w:val="000000"/>
                <w:sz w:val="24"/>
                <w:szCs w:val="24"/>
              </w:rPr>
              <w:t>分。</w:t>
            </w:r>
          </w:p>
          <w:p w14:paraId="0106109B">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2.在完整提供上述内容的前提下：</w:t>
            </w:r>
          </w:p>
          <w:p w14:paraId="4580CFA4">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(1)内容清晰、全面详细，可操作性强计</w:t>
            </w:r>
            <w:r>
              <w:rPr>
                <w:rFonts w:hint="eastAsia" w:asciiTheme="minorEastAsia" w:hAnsiTheme="minorEastAsia" w:eastAsiaTheme="minorEastAsia" w:cstheme="minorEastAsia"/>
                <w:color w:val="000000"/>
                <w:sz w:val="24"/>
                <w:szCs w:val="24"/>
                <w:lang w:val="en-US" w:eastAsia="zh-CN"/>
              </w:rPr>
              <w:t>10</w:t>
            </w:r>
            <w:r>
              <w:rPr>
                <w:rFonts w:hint="eastAsia" w:asciiTheme="minorEastAsia" w:hAnsiTheme="minorEastAsia" w:eastAsiaTheme="minorEastAsia" w:cstheme="minorEastAsia"/>
                <w:color w:val="000000"/>
                <w:sz w:val="24"/>
                <w:szCs w:val="24"/>
              </w:rPr>
              <w:t>分；</w:t>
            </w:r>
          </w:p>
          <w:p w14:paraId="77152C84">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(2)内容清晰、全面详细，可操作性强任意1个方面存在欠缺的计</w:t>
            </w:r>
            <w:r>
              <w:rPr>
                <w:rFonts w:hint="eastAsia" w:asciiTheme="minorEastAsia" w:hAnsiTheme="minorEastAsia" w:eastAsiaTheme="minorEastAsia" w:cstheme="minorEastAsia"/>
                <w:color w:val="000000"/>
                <w:sz w:val="24"/>
                <w:szCs w:val="24"/>
                <w:lang w:val="en-US" w:eastAsia="zh-CN"/>
              </w:rPr>
              <w:t>8.75</w:t>
            </w:r>
            <w:r>
              <w:rPr>
                <w:rFonts w:hint="eastAsia" w:asciiTheme="minorEastAsia" w:hAnsiTheme="minorEastAsia" w:eastAsiaTheme="minorEastAsia" w:cstheme="minorEastAsia"/>
                <w:color w:val="000000"/>
                <w:sz w:val="24"/>
                <w:szCs w:val="24"/>
              </w:rPr>
              <w:t>分；</w:t>
            </w:r>
          </w:p>
          <w:p w14:paraId="06720414">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(3)内容清晰、全面详细，可操作性强任意2至3个方面存在欠缺的，计</w:t>
            </w:r>
            <w:r>
              <w:rPr>
                <w:rFonts w:hint="eastAsia" w:asciiTheme="minorEastAsia" w:hAnsiTheme="minorEastAsia" w:eastAsiaTheme="minorEastAsia" w:cstheme="minorEastAsia"/>
                <w:color w:val="000000"/>
                <w:sz w:val="24"/>
                <w:szCs w:val="24"/>
                <w:lang w:val="en-US" w:eastAsia="zh-CN"/>
              </w:rPr>
              <w:t>7.5</w:t>
            </w:r>
            <w:r>
              <w:rPr>
                <w:rFonts w:hint="eastAsia" w:asciiTheme="minorEastAsia" w:hAnsiTheme="minorEastAsia" w:eastAsiaTheme="minorEastAsia" w:cstheme="minorEastAsia"/>
                <w:color w:val="000000"/>
                <w:sz w:val="24"/>
                <w:szCs w:val="24"/>
              </w:rPr>
              <w:t>分。</w:t>
            </w:r>
          </w:p>
        </w:tc>
      </w:tr>
      <w:tr w14:paraId="5653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8" w:type="dxa"/>
            <w:gridSpan w:val="2"/>
            <w:vMerge w:val="restart"/>
            <w:noWrap w:val="0"/>
            <w:vAlign w:val="center"/>
          </w:tcPr>
          <w:p w14:paraId="601110C9">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759" w:type="dxa"/>
            <w:vMerge w:val="restart"/>
            <w:noWrap w:val="0"/>
            <w:vAlign w:val="center"/>
          </w:tcPr>
          <w:p w14:paraId="1B8359AF">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商务</w:t>
            </w:r>
            <w:r>
              <w:rPr>
                <w:rFonts w:hint="eastAsia" w:asciiTheme="minorEastAsia" w:hAnsiTheme="minorEastAsia" w:eastAsiaTheme="minorEastAsia" w:cstheme="minorEastAsia"/>
                <w:color w:val="auto"/>
                <w:sz w:val="24"/>
                <w:szCs w:val="24"/>
              </w:rPr>
              <w:br w:type="textWrapping"/>
            </w:r>
            <w:r>
              <w:rPr>
                <w:rFonts w:hint="eastAsia" w:asciiTheme="minorEastAsia" w:hAnsiTheme="minorEastAsia" w:eastAsiaTheme="minorEastAsia" w:cstheme="minorEastAsia"/>
                <w:color w:val="auto"/>
                <w:sz w:val="24"/>
                <w:szCs w:val="24"/>
              </w:rPr>
              <w:t>部分</w:t>
            </w:r>
            <w:r>
              <w:rPr>
                <w:rFonts w:hint="eastAsia" w:asciiTheme="minorEastAsia" w:hAnsiTheme="minorEastAsia" w:eastAsiaTheme="minorEastAsia" w:cstheme="minorEastAsia"/>
                <w:color w:val="auto"/>
                <w:sz w:val="24"/>
                <w:szCs w:val="24"/>
              </w:rPr>
              <w:br w:type="textWrapping"/>
            </w:r>
            <w:r>
              <w:rPr>
                <w:rFonts w:hint="eastAsia" w:asciiTheme="minorEastAsia" w:hAnsiTheme="minorEastAsia" w:eastAsiaTheme="minorEastAsia" w:cstheme="minorEastAsia"/>
                <w:color w:val="auto"/>
                <w:sz w:val="24"/>
                <w:szCs w:val="24"/>
              </w:rPr>
              <w:t>(100分)</w:t>
            </w:r>
          </w:p>
        </w:tc>
        <w:tc>
          <w:tcPr>
            <w:tcW w:w="1245" w:type="dxa"/>
            <w:noWrap w:val="0"/>
            <w:vAlign w:val="center"/>
          </w:tcPr>
          <w:p w14:paraId="3AEB17AE">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企业类似业绩</w:t>
            </w:r>
            <w:r>
              <w:rPr>
                <w:rFonts w:hint="eastAsia" w:asciiTheme="minorEastAsia" w:hAnsiTheme="minorEastAsia" w:eastAsiaTheme="minorEastAsia" w:cstheme="minorEastAsia"/>
                <w:color w:val="auto"/>
                <w:sz w:val="24"/>
                <w:szCs w:val="24"/>
                <w:lang w:val="en-US" w:eastAsia="zh-CN"/>
              </w:rPr>
              <w:t>36</w:t>
            </w:r>
            <w:r>
              <w:rPr>
                <w:rFonts w:hint="eastAsia" w:asciiTheme="minorEastAsia" w:hAnsiTheme="minorEastAsia" w:eastAsiaTheme="minorEastAsia" w:cstheme="minorEastAsia"/>
                <w:color w:val="auto"/>
                <w:sz w:val="24"/>
                <w:szCs w:val="24"/>
              </w:rPr>
              <w:t>分</w:t>
            </w:r>
          </w:p>
        </w:tc>
        <w:tc>
          <w:tcPr>
            <w:tcW w:w="6891" w:type="dxa"/>
            <w:gridSpan w:val="2"/>
            <w:shd w:val="clear" w:color="auto" w:fill="auto"/>
            <w:noWrap w:val="0"/>
            <w:vAlign w:val="center"/>
          </w:tcPr>
          <w:p w14:paraId="12FE267F">
            <w:pPr>
              <w:keepNext/>
              <w:keepLines w:val="0"/>
              <w:pageBreakBefore w:val="0"/>
              <w:numPr>
                <w:ilvl w:val="0"/>
                <w:numId w:val="13"/>
              </w:numPr>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企业类似业绩</w:t>
            </w:r>
            <w:r>
              <w:rPr>
                <w:rFonts w:hint="eastAsia" w:asciiTheme="minorEastAsia" w:hAnsiTheme="minorEastAsia" w:eastAsiaTheme="minorEastAsia" w:cstheme="minorEastAsia"/>
                <w:color w:val="auto"/>
                <w:sz w:val="24"/>
                <w:szCs w:val="24"/>
                <w:lang w:val="en-US" w:eastAsia="zh-CN"/>
              </w:rPr>
              <w:t>36</w:t>
            </w:r>
            <w:r>
              <w:rPr>
                <w:rFonts w:hint="eastAsia" w:asciiTheme="minorEastAsia" w:hAnsiTheme="minorEastAsia" w:eastAsiaTheme="minorEastAsia" w:cstheme="minorEastAsia"/>
                <w:color w:val="auto"/>
                <w:sz w:val="24"/>
                <w:szCs w:val="24"/>
              </w:rPr>
              <w:t>分。近</w:t>
            </w:r>
            <w:r>
              <w:rPr>
                <w:rFonts w:hint="eastAsia" w:asciiTheme="minorEastAsia" w:hAnsiTheme="minorEastAsia" w:eastAsiaTheme="minorEastAsia" w:cstheme="minorEastAsia"/>
                <w:color w:val="auto"/>
                <w:sz w:val="24"/>
                <w:szCs w:val="24"/>
                <w:lang w:val="en-US" w:eastAsia="zh-CN"/>
              </w:rPr>
              <w:t>五</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lang w:eastAsia="zh-CN"/>
              </w:rPr>
              <w:t>（202</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lang w:eastAsia="zh-CN"/>
              </w:rPr>
              <w:t>年</w:t>
            </w:r>
            <w:r>
              <w:rPr>
                <w:rFonts w:hint="eastAsia" w:asciiTheme="minorEastAsia" w:hAnsiTheme="minorEastAsia" w:cstheme="minorEastAsia"/>
                <w:color w:val="auto"/>
                <w:sz w:val="24"/>
                <w:szCs w:val="24"/>
                <w:lang w:val="en-US" w:eastAsia="zh-CN"/>
              </w:rPr>
              <w:t>0</w:t>
            </w: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lang w:eastAsia="zh-CN"/>
              </w:rPr>
              <w:t>月</w:t>
            </w:r>
            <w:r>
              <w:rPr>
                <w:rFonts w:hint="eastAsia" w:asciiTheme="minorEastAsia" w:hAnsiTheme="minorEastAsia" w:cstheme="minorEastAsia"/>
                <w:color w:val="auto"/>
                <w:sz w:val="24"/>
                <w:szCs w:val="24"/>
                <w:lang w:val="en-US" w:eastAsia="zh-CN"/>
              </w:rPr>
              <w:t>0</w:t>
            </w:r>
            <w:r>
              <w:rPr>
                <w:rFonts w:hint="eastAsia" w:asciiTheme="minorEastAsia" w:hAnsiTheme="minorEastAsia" w:eastAsiaTheme="minorEastAsia" w:cstheme="minorEastAsia"/>
                <w:color w:val="auto"/>
                <w:sz w:val="24"/>
                <w:szCs w:val="24"/>
                <w:lang w:eastAsia="zh-CN"/>
              </w:rPr>
              <w:t>1日至开标时间截止日期）</w:t>
            </w:r>
            <w:r>
              <w:rPr>
                <w:rFonts w:hint="eastAsia" w:asciiTheme="minorEastAsia" w:hAnsiTheme="minorEastAsia" w:cstheme="minorEastAsia"/>
                <w:color w:val="auto"/>
                <w:sz w:val="24"/>
                <w:szCs w:val="24"/>
                <w:lang w:val="en-US" w:eastAsia="zh-CN"/>
              </w:rPr>
              <w:t>投标人或联合体牵头人</w:t>
            </w:r>
            <w:r>
              <w:rPr>
                <w:rFonts w:hint="eastAsia" w:asciiTheme="minorEastAsia" w:hAnsiTheme="minorEastAsia" w:eastAsiaTheme="minorEastAsia" w:cstheme="minorEastAsia"/>
                <w:color w:val="auto"/>
                <w:sz w:val="24"/>
                <w:szCs w:val="24"/>
                <w:lang w:val="en-US" w:eastAsia="zh-CN"/>
              </w:rPr>
              <w:t>具有2</w:t>
            </w:r>
            <w:r>
              <w:rPr>
                <w:rFonts w:hint="eastAsia" w:asciiTheme="minorEastAsia" w:hAnsiTheme="minorEastAsia" w:eastAsiaTheme="minorEastAsia" w:cstheme="minorEastAsia"/>
                <w:color w:val="auto"/>
                <w:sz w:val="24"/>
                <w:szCs w:val="24"/>
              </w:rPr>
              <w:t>个森林质量精准提升</w:t>
            </w:r>
            <w:r>
              <w:rPr>
                <w:rFonts w:hint="eastAsia" w:asciiTheme="minorEastAsia" w:hAnsiTheme="minorEastAsia" w:eastAsiaTheme="minorEastAsia" w:cstheme="minorEastAsia"/>
                <w:color w:val="auto"/>
                <w:sz w:val="24"/>
                <w:szCs w:val="24"/>
                <w:lang w:eastAsia="zh-CN"/>
              </w:rPr>
              <w:t>或</w:t>
            </w:r>
            <w:r>
              <w:rPr>
                <w:rFonts w:hint="eastAsia" w:asciiTheme="minorEastAsia" w:hAnsiTheme="minorEastAsia" w:eastAsiaTheme="minorEastAsia" w:cstheme="minorEastAsia"/>
                <w:color w:val="auto"/>
                <w:sz w:val="24"/>
                <w:szCs w:val="24"/>
              </w:rPr>
              <w:t>优化提升</w:t>
            </w:r>
            <w:r>
              <w:rPr>
                <w:rFonts w:hint="eastAsia" w:asciiTheme="minorEastAsia" w:hAnsiTheme="minorEastAsia" w:eastAsiaTheme="minorEastAsia" w:cstheme="minorEastAsia"/>
                <w:color w:val="auto"/>
                <w:sz w:val="24"/>
                <w:szCs w:val="24"/>
                <w:lang w:eastAsia="zh-CN"/>
              </w:rPr>
              <w:t>或</w:t>
            </w:r>
            <w:r>
              <w:rPr>
                <w:rFonts w:hint="eastAsia" w:asciiTheme="minorEastAsia" w:hAnsiTheme="minorEastAsia" w:eastAsiaTheme="minorEastAsia" w:cstheme="minorEastAsia"/>
                <w:color w:val="auto"/>
                <w:sz w:val="24"/>
                <w:szCs w:val="24"/>
              </w:rPr>
              <w:t>修复提升</w:t>
            </w:r>
            <w:r>
              <w:rPr>
                <w:rFonts w:hint="eastAsia" w:asciiTheme="minorEastAsia" w:hAnsiTheme="minorEastAsia" w:eastAsiaTheme="minorEastAsia" w:cstheme="minorEastAsia"/>
                <w:color w:val="auto"/>
                <w:sz w:val="24"/>
                <w:szCs w:val="24"/>
                <w:lang w:eastAsia="zh-CN"/>
              </w:rPr>
              <w:t>或生物多样性保护与生态修复</w:t>
            </w:r>
            <w:r>
              <w:rPr>
                <w:rFonts w:hint="eastAsia" w:asciiTheme="minorEastAsia" w:hAnsiTheme="minorEastAsia" w:eastAsiaTheme="minorEastAsia" w:cstheme="minorEastAsia"/>
                <w:color w:val="auto"/>
                <w:sz w:val="24"/>
                <w:szCs w:val="24"/>
              </w:rPr>
              <w:t>业绩的每个计</w:t>
            </w:r>
            <w:r>
              <w:rPr>
                <w:rFonts w:hint="eastAsia" w:asciiTheme="minorEastAsia" w:hAnsiTheme="minorEastAsia" w:eastAsiaTheme="minorEastAsia" w:cstheme="minorEastAsia"/>
                <w:color w:val="auto"/>
                <w:sz w:val="24"/>
                <w:szCs w:val="24"/>
                <w:lang w:val="en-US" w:eastAsia="zh-CN"/>
              </w:rPr>
              <w:t>18</w:t>
            </w:r>
            <w:r>
              <w:rPr>
                <w:rFonts w:hint="eastAsia" w:asciiTheme="minorEastAsia" w:hAnsiTheme="minorEastAsia" w:eastAsiaTheme="minorEastAsia" w:cstheme="minorEastAsia"/>
                <w:color w:val="auto"/>
                <w:sz w:val="24"/>
                <w:szCs w:val="24"/>
              </w:rPr>
              <w:t>分，最多</w:t>
            </w:r>
            <w:r>
              <w:rPr>
                <w:rFonts w:hint="eastAsia" w:asciiTheme="minorEastAsia" w:hAnsiTheme="minorEastAsia" w:eastAsiaTheme="minorEastAsia" w:cstheme="minorEastAsia"/>
                <w:color w:val="auto"/>
                <w:sz w:val="24"/>
                <w:szCs w:val="24"/>
                <w:lang w:eastAsia="zh-CN"/>
              </w:rPr>
              <w:t>计</w:t>
            </w:r>
            <w:r>
              <w:rPr>
                <w:rFonts w:hint="eastAsia" w:asciiTheme="minorEastAsia" w:hAnsiTheme="minorEastAsia" w:eastAsiaTheme="minorEastAsia" w:cstheme="minorEastAsia"/>
                <w:color w:val="auto"/>
                <w:sz w:val="24"/>
                <w:szCs w:val="24"/>
                <w:lang w:val="en-US" w:eastAsia="zh-CN"/>
              </w:rPr>
              <w:t>36</w:t>
            </w:r>
            <w:r>
              <w:rPr>
                <w:rFonts w:hint="eastAsia" w:asciiTheme="minorEastAsia" w:hAnsiTheme="minorEastAsia" w:eastAsiaTheme="minorEastAsia" w:cstheme="minorEastAsia"/>
                <w:color w:val="auto"/>
                <w:sz w:val="24"/>
                <w:szCs w:val="24"/>
              </w:rPr>
              <w:t>分</w:t>
            </w:r>
            <w:r>
              <w:rPr>
                <w:rFonts w:hint="eastAsia" w:asciiTheme="minorEastAsia" w:hAnsiTheme="minorEastAsia" w:eastAsiaTheme="minorEastAsia" w:cstheme="minorEastAsia"/>
                <w:color w:val="auto"/>
                <w:sz w:val="24"/>
                <w:szCs w:val="24"/>
                <w:lang w:eastAsia="zh-CN"/>
              </w:rPr>
              <w:t>；</w:t>
            </w:r>
          </w:p>
          <w:p w14:paraId="3A0AF774">
            <w:pPr>
              <w:keepNext/>
              <w:keepLines w:val="0"/>
              <w:pageBreakBefore w:val="0"/>
              <w:numPr>
                <w:ilvl w:val="0"/>
                <w:numId w:val="0"/>
              </w:numPr>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注：</w:t>
            </w:r>
            <w:r>
              <w:rPr>
                <w:rFonts w:hint="eastAsia" w:asciiTheme="minorEastAsia" w:hAnsiTheme="minorEastAsia" w:eastAsiaTheme="minorEastAsia" w:cstheme="minorEastAsia"/>
                <w:color w:val="auto"/>
                <w:sz w:val="24"/>
                <w:szCs w:val="24"/>
                <w:lang w:eastAsia="zh-CN"/>
              </w:rPr>
              <w:t>类似业绩时间以</w:t>
            </w:r>
            <w:r>
              <w:rPr>
                <w:rFonts w:hint="eastAsia" w:asciiTheme="minorEastAsia" w:hAnsiTheme="minorEastAsia" w:eastAsiaTheme="minorEastAsia" w:cstheme="minorEastAsia"/>
                <w:color w:val="auto"/>
                <w:sz w:val="24"/>
                <w:szCs w:val="24"/>
                <w:lang w:val="en-US" w:eastAsia="zh-CN"/>
              </w:rPr>
              <w:t>合同签订</w:t>
            </w:r>
            <w:r>
              <w:rPr>
                <w:rFonts w:hint="eastAsia" w:asciiTheme="minorEastAsia" w:hAnsiTheme="minorEastAsia" w:eastAsiaTheme="minorEastAsia" w:cstheme="minorEastAsia"/>
                <w:color w:val="auto"/>
                <w:sz w:val="24"/>
                <w:szCs w:val="24"/>
                <w:lang w:eastAsia="zh-CN"/>
              </w:rPr>
              <w:t>时间</w:t>
            </w:r>
            <w:r>
              <w:rPr>
                <w:rFonts w:hint="eastAsia" w:asciiTheme="minorEastAsia" w:hAnsiTheme="minorEastAsia" w:eastAsiaTheme="minorEastAsia" w:cstheme="minorEastAsia"/>
                <w:color w:val="auto"/>
                <w:sz w:val="24"/>
                <w:szCs w:val="24"/>
                <w:lang w:val="en-US" w:eastAsia="zh-CN"/>
              </w:rPr>
              <w:t>或中标通知书发出时间</w:t>
            </w:r>
            <w:r>
              <w:rPr>
                <w:rFonts w:hint="eastAsia" w:asciiTheme="minorEastAsia" w:hAnsiTheme="minorEastAsia" w:eastAsiaTheme="minorEastAsia" w:cstheme="minorEastAsia"/>
                <w:color w:val="auto"/>
                <w:sz w:val="24"/>
                <w:szCs w:val="24"/>
                <w:lang w:eastAsia="zh-CN"/>
              </w:rPr>
              <w:t>为准，</w:t>
            </w:r>
            <w:r>
              <w:rPr>
                <w:rFonts w:hint="eastAsia" w:asciiTheme="minorEastAsia" w:hAnsiTheme="minorEastAsia" w:eastAsiaTheme="minorEastAsia" w:cstheme="minorEastAsia"/>
                <w:color w:val="auto"/>
                <w:sz w:val="24"/>
                <w:szCs w:val="24"/>
                <w:lang w:val="en-US" w:eastAsia="zh-CN"/>
              </w:rPr>
              <w:t>须在投标文件中提供中标（发包）通知书复印件和合同关键页（关键页含签订合同双方的单位名称、合同项目名称、项目金额与签订合同双方的落款盖章、签订日期）复印件作为同类业绩证明材料。以上资料加盖投标人公章，未按要求提供证明材料的，不计分。</w:t>
            </w:r>
          </w:p>
        </w:tc>
      </w:tr>
      <w:tr w14:paraId="0157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8" w:type="dxa"/>
            <w:gridSpan w:val="2"/>
            <w:vMerge w:val="continue"/>
            <w:noWrap w:val="0"/>
            <w:vAlign w:val="center"/>
          </w:tcPr>
          <w:p w14:paraId="7C09A5CC">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FF0000"/>
                <w:sz w:val="24"/>
                <w:szCs w:val="24"/>
              </w:rPr>
            </w:pPr>
          </w:p>
        </w:tc>
        <w:tc>
          <w:tcPr>
            <w:tcW w:w="759" w:type="dxa"/>
            <w:vMerge w:val="continue"/>
            <w:noWrap w:val="0"/>
            <w:vAlign w:val="center"/>
          </w:tcPr>
          <w:p w14:paraId="230F9D4D">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FF0000"/>
                <w:sz w:val="24"/>
                <w:szCs w:val="24"/>
              </w:rPr>
            </w:pPr>
          </w:p>
        </w:tc>
        <w:tc>
          <w:tcPr>
            <w:tcW w:w="1245" w:type="dxa"/>
            <w:noWrap w:val="0"/>
            <w:vAlign w:val="center"/>
          </w:tcPr>
          <w:p w14:paraId="691AC5A0">
            <w:pPr>
              <w:keepNext/>
              <w:keepLines w:val="0"/>
              <w:pageBreakBefore w:val="0"/>
              <w:suppressAutoHyphens/>
              <w:kinsoku/>
              <w:wordWrap/>
              <w:overflowPunct/>
              <w:topLinePunct w:val="0"/>
              <w:bidi w:val="0"/>
              <w:adjustRightInd/>
              <w:snapToGrid w:val="0"/>
              <w:spacing w:line="480" w:lineRule="exact"/>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eastAsia="zh-CN"/>
              </w:rPr>
              <w:t>服务团队能力</w:t>
            </w:r>
            <w:r>
              <w:rPr>
                <w:rFonts w:hint="eastAsia" w:asciiTheme="minorEastAsia" w:hAnsiTheme="minorEastAsia" w:eastAsiaTheme="minorEastAsia" w:cstheme="minorEastAsia"/>
                <w:color w:val="auto"/>
                <w:sz w:val="24"/>
                <w:szCs w:val="24"/>
                <w:lang w:val="en-US" w:eastAsia="zh-CN"/>
              </w:rPr>
              <w:t>44分</w:t>
            </w:r>
          </w:p>
        </w:tc>
        <w:tc>
          <w:tcPr>
            <w:tcW w:w="6891" w:type="dxa"/>
            <w:gridSpan w:val="2"/>
            <w:shd w:val="clear" w:color="auto" w:fill="auto"/>
            <w:noWrap w:val="0"/>
            <w:vAlign w:val="center"/>
          </w:tcPr>
          <w:p w14:paraId="2A8C1A3E">
            <w:pPr>
              <w:keepNext/>
              <w:keepLines w:val="0"/>
              <w:pageBreakBefore w:val="0"/>
              <w:suppressAutoHyphens/>
              <w:kinsoku/>
              <w:wordWrap w:val="0"/>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cstheme="minorEastAsia"/>
                <w:color w:val="auto"/>
                <w:sz w:val="24"/>
                <w:szCs w:val="24"/>
                <w:lang w:eastAsia="zh-CN"/>
              </w:rPr>
              <w:t>投标人或联合体牵头人</w:t>
            </w:r>
            <w:r>
              <w:rPr>
                <w:rFonts w:hint="eastAsia" w:asciiTheme="minorEastAsia" w:hAnsiTheme="minorEastAsia" w:eastAsiaTheme="minorEastAsia" w:cstheme="minorEastAsia"/>
                <w:color w:val="auto"/>
                <w:sz w:val="24"/>
                <w:szCs w:val="24"/>
                <w:lang w:val="en-US" w:eastAsia="zh-CN"/>
              </w:rPr>
              <w:t>项目</w:t>
            </w:r>
            <w:r>
              <w:rPr>
                <w:rFonts w:hint="eastAsia" w:asciiTheme="minorEastAsia" w:hAnsiTheme="minorEastAsia" w:eastAsiaTheme="minorEastAsia" w:cstheme="minorEastAsia"/>
                <w:color w:val="auto"/>
                <w:sz w:val="24"/>
                <w:szCs w:val="24"/>
              </w:rPr>
              <w:t>负责人</w:t>
            </w: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分。</w:t>
            </w:r>
          </w:p>
          <w:p w14:paraId="73F5D6FC">
            <w:pPr>
              <w:keepNext/>
              <w:keepLines w:val="0"/>
              <w:pageBreakBefore w:val="0"/>
              <w:suppressAutoHyphens/>
              <w:kinsoku/>
              <w:wordWrap w:val="0"/>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项目</w:t>
            </w:r>
            <w:r>
              <w:rPr>
                <w:rFonts w:hint="eastAsia" w:asciiTheme="minorEastAsia" w:hAnsiTheme="minorEastAsia" w:eastAsiaTheme="minorEastAsia" w:cstheme="minorEastAsia"/>
                <w:color w:val="auto"/>
                <w:sz w:val="24"/>
                <w:szCs w:val="24"/>
              </w:rPr>
              <w:t>负责人具有林业</w:t>
            </w:r>
            <w:r>
              <w:rPr>
                <w:rFonts w:hint="eastAsia" w:asciiTheme="minorEastAsia" w:hAnsiTheme="minorEastAsia" w:eastAsiaTheme="minorEastAsia" w:cstheme="minorEastAsia"/>
                <w:color w:val="auto"/>
                <w:sz w:val="24"/>
                <w:szCs w:val="24"/>
                <w:lang w:val="en-US" w:eastAsia="zh-CN"/>
              </w:rPr>
              <w:t>相关</w:t>
            </w:r>
            <w:r>
              <w:rPr>
                <w:rFonts w:hint="eastAsia" w:asciiTheme="minorEastAsia" w:hAnsiTheme="minorEastAsia" w:eastAsiaTheme="minorEastAsia" w:cstheme="minorEastAsia"/>
                <w:color w:val="auto"/>
                <w:sz w:val="24"/>
                <w:szCs w:val="24"/>
              </w:rPr>
              <w:t>专业</w:t>
            </w:r>
            <w:r>
              <w:rPr>
                <w:rFonts w:hint="eastAsia" w:asciiTheme="minorEastAsia" w:hAnsiTheme="minorEastAsia" w:eastAsiaTheme="minorEastAsia" w:cstheme="minorEastAsia"/>
                <w:color w:val="auto"/>
                <w:sz w:val="24"/>
                <w:szCs w:val="24"/>
                <w:lang w:val="en-US" w:eastAsia="zh-CN"/>
              </w:rPr>
              <w:t>中级</w:t>
            </w:r>
            <w:r>
              <w:rPr>
                <w:rFonts w:hint="eastAsia" w:asciiTheme="minorEastAsia" w:hAnsiTheme="minorEastAsia" w:eastAsiaTheme="minorEastAsia" w:cstheme="minorEastAsia"/>
                <w:color w:val="auto"/>
                <w:sz w:val="24"/>
                <w:szCs w:val="24"/>
              </w:rPr>
              <w:t>工程师或以上职称的计</w:t>
            </w: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分，</w:t>
            </w:r>
            <w:r>
              <w:rPr>
                <w:rFonts w:hint="eastAsia" w:asciiTheme="minorEastAsia" w:hAnsiTheme="minorEastAsia" w:eastAsiaTheme="minorEastAsia" w:cstheme="minorEastAsia"/>
                <w:color w:val="auto"/>
                <w:sz w:val="24"/>
                <w:szCs w:val="24"/>
                <w:lang w:eastAsia="zh-CN"/>
              </w:rPr>
              <w:t>林业</w:t>
            </w:r>
            <w:r>
              <w:rPr>
                <w:rFonts w:hint="eastAsia" w:asciiTheme="minorEastAsia" w:hAnsiTheme="minorEastAsia" w:eastAsiaTheme="minorEastAsia" w:cstheme="minorEastAsia"/>
                <w:color w:val="auto"/>
                <w:sz w:val="24"/>
                <w:szCs w:val="24"/>
                <w:lang w:val="en-US" w:eastAsia="zh-CN"/>
              </w:rPr>
              <w:t>相关</w:t>
            </w:r>
            <w:r>
              <w:rPr>
                <w:rFonts w:hint="eastAsia" w:asciiTheme="minorEastAsia" w:hAnsiTheme="minorEastAsia" w:eastAsiaTheme="minorEastAsia" w:cstheme="minorEastAsia"/>
                <w:color w:val="auto"/>
                <w:sz w:val="24"/>
                <w:szCs w:val="24"/>
                <w:lang w:eastAsia="zh-CN"/>
              </w:rPr>
              <w:t>专业</w:t>
            </w:r>
            <w:r>
              <w:rPr>
                <w:rFonts w:hint="eastAsia" w:asciiTheme="minorEastAsia" w:hAnsiTheme="minorEastAsia" w:eastAsiaTheme="minorEastAsia" w:cstheme="minorEastAsia"/>
                <w:color w:val="auto"/>
                <w:sz w:val="24"/>
                <w:szCs w:val="24"/>
                <w:lang w:val="en-US" w:eastAsia="zh-CN"/>
              </w:rPr>
              <w:t>初</w:t>
            </w:r>
            <w:r>
              <w:rPr>
                <w:rFonts w:hint="eastAsia" w:asciiTheme="minorEastAsia" w:hAnsiTheme="minorEastAsia" w:eastAsiaTheme="minorEastAsia" w:cstheme="minorEastAsia"/>
                <w:color w:val="auto"/>
                <w:sz w:val="24"/>
                <w:szCs w:val="24"/>
              </w:rPr>
              <w:t>级工程师计</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分</w:t>
            </w:r>
            <w:r>
              <w:rPr>
                <w:rFonts w:hint="eastAsia" w:asciiTheme="minorEastAsia" w:hAnsiTheme="minorEastAsia" w:eastAsiaTheme="minorEastAsia" w:cstheme="minorEastAsia"/>
                <w:color w:val="auto"/>
                <w:sz w:val="24"/>
                <w:szCs w:val="24"/>
                <w:lang w:eastAsia="zh-CN"/>
              </w:rPr>
              <w:t>，无或其他不计分。</w:t>
            </w:r>
          </w:p>
          <w:p w14:paraId="686B1AB4">
            <w:pPr>
              <w:keepNext/>
              <w:keepLines w:val="0"/>
              <w:pageBreakBefore w:val="0"/>
              <w:suppressAutoHyphens/>
              <w:kinsoku/>
              <w:wordWrap w:val="0"/>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注：提供职称证书复印件并加盖投标人公章，同一人员不得在“项目负责人”“技术负责人”“现场施工作业团队” 中重复计分，若一人同时符合多个岗位要求，仅按其可获得的最高分值岗位计分。</w:t>
            </w:r>
          </w:p>
          <w:p w14:paraId="4AB802D4">
            <w:pPr>
              <w:keepNext/>
              <w:keepLines w:val="0"/>
              <w:pageBreakBefore w:val="0"/>
              <w:suppressAutoHyphens/>
              <w:kinsoku/>
              <w:wordWrap w:val="0"/>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备注：</w:t>
            </w:r>
            <w:r>
              <w:rPr>
                <w:rFonts w:hint="eastAsia" w:asciiTheme="minorEastAsia" w:hAnsiTheme="minorEastAsia" w:eastAsiaTheme="minorEastAsia" w:cstheme="minorEastAsia"/>
                <w:color w:val="auto"/>
                <w:sz w:val="24"/>
                <w:szCs w:val="24"/>
                <w:lang w:eastAsia="zh-CN"/>
              </w:rPr>
              <w:t>林业</w:t>
            </w:r>
            <w:r>
              <w:rPr>
                <w:rFonts w:hint="eastAsia" w:asciiTheme="minorEastAsia" w:hAnsiTheme="minorEastAsia" w:eastAsiaTheme="minorEastAsia" w:cstheme="minorEastAsia"/>
                <w:color w:val="auto"/>
                <w:sz w:val="24"/>
                <w:szCs w:val="24"/>
                <w:lang w:val="en-US" w:eastAsia="zh-CN"/>
              </w:rPr>
              <w:t>相关专业是指森林经营与培育、森林保护、自然保护地管理。野生动植物保护、林业白蚁防治、园林绿化、风景园林等。</w:t>
            </w:r>
          </w:p>
          <w:p w14:paraId="70096402">
            <w:pPr>
              <w:keepNext/>
              <w:keepLines w:val="0"/>
              <w:pageBreakBefore w:val="0"/>
              <w:suppressAutoHyphens/>
              <w:kinsoku/>
              <w:wordWrap w:val="0"/>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cstheme="minorEastAsia"/>
                <w:color w:val="auto"/>
                <w:sz w:val="24"/>
                <w:szCs w:val="24"/>
                <w:lang w:eastAsia="zh-CN"/>
              </w:rPr>
              <w:t>投标人或联合体牵头人</w:t>
            </w:r>
            <w:r>
              <w:rPr>
                <w:rFonts w:hint="eastAsia" w:asciiTheme="minorEastAsia" w:hAnsiTheme="minorEastAsia" w:eastAsiaTheme="minorEastAsia" w:cstheme="minorEastAsia"/>
                <w:color w:val="auto"/>
                <w:sz w:val="24"/>
                <w:szCs w:val="24"/>
                <w:lang w:val="en-US" w:eastAsia="zh-CN"/>
              </w:rPr>
              <w:t>技术</w:t>
            </w:r>
            <w:r>
              <w:rPr>
                <w:rFonts w:hint="eastAsia" w:asciiTheme="minorEastAsia" w:hAnsiTheme="minorEastAsia" w:eastAsiaTheme="minorEastAsia" w:cstheme="minorEastAsia"/>
                <w:color w:val="auto"/>
                <w:sz w:val="24"/>
                <w:szCs w:val="24"/>
              </w:rPr>
              <w:t>负责人</w:t>
            </w:r>
            <w:r>
              <w:rPr>
                <w:rFonts w:hint="eastAsia" w:asciiTheme="minorEastAsia" w:hAnsiTheme="minorEastAsia" w:eastAsia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szCs w:val="24"/>
              </w:rPr>
              <w:t>分</w:t>
            </w:r>
            <w:r>
              <w:rPr>
                <w:rFonts w:hint="eastAsia" w:asciiTheme="minorEastAsia" w:hAnsiTheme="minorEastAsia" w:eastAsiaTheme="minorEastAsia" w:cstheme="minorEastAsia"/>
                <w:color w:val="auto"/>
                <w:sz w:val="24"/>
                <w:szCs w:val="24"/>
                <w:lang w:eastAsia="zh-CN"/>
              </w:rPr>
              <w:t>。</w:t>
            </w:r>
          </w:p>
          <w:p w14:paraId="600F2414">
            <w:pPr>
              <w:keepNext/>
              <w:keepLines w:val="0"/>
              <w:pageBreakBefore w:val="0"/>
              <w:suppressAutoHyphens/>
              <w:kinsoku/>
              <w:wordWrap w:val="0"/>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eastAsia="zh-CN"/>
              </w:rPr>
              <w:t>以</w:t>
            </w:r>
            <w:r>
              <w:rPr>
                <w:rFonts w:hint="eastAsia" w:asciiTheme="minorEastAsia" w:hAnsiTheme="minorEastAsia" w:eastAsiaTheme="minorEastAsia" w:cstheme="minorEastAsia"/>
                <w:color w:val="auto"/>
                <w:sz w:val="24"/>
                <w:szCs w:val="24"/>
                <w:lang w:val="en-US" w:eastAsia="zh-CN"/>
              </w:rPr>
              <w:t>技术</w:t>
            </w:r>
            <w:r>
              <w:rPr>
                <w:rFonts w:hint="eastAsia" w:asciiTheme="minorEastAsia" w:hAnsiTheme="minorEastAsia" w:eastAsiaTheme="minorEastAsia" w:cstheme="minorEastAsia"/>
                <w:color w:val="auto"/>
                <w:sz w:val="24"/>
                <w:szCs w:val="24"/>
                <w:lang w:eastAsia="zh-CN"/>
              </w:rPr>
              <w:t>负责人</w:t>
            </w:r>
            <w:r>
              <w:rPr>
                <w:rFonts w:hint="eastAsia" w:asciiTheme="minorEastAsia" w:hAnsiTheme="minorEastAsia" w:eastAsiaTheme="minorEastAsia" w:cstheme="minorEastAsia"/>
                <w:color w:val="auto"/>
                <w:sz w:val="24"/>
                <w:szCs w:val="24"/>
              </w:rPr>
              <w:t>近</w:t>
            </w:r>
            <w:r>
              <w:rPr>
                <w:rFonts w:hint="eastAsia" w:asciiTheme="minorEastAsia" w:hAnsiTheme="minorEastAsia" w:eastAsiaTheme="minorEastAsia" w:cstheme="minorEastAsia"/>
                <w:color w:val="auto"/>
                <w:sz w:val="24"/>
                <w:szCs w:val="24"/>
                <w:lang w:val="en-US" w:eastAsia="zh-CN"/>
              </w:rPr>
              <w:t>五</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lang w:eastAsia="zh-CN"/>
              </w:rPr>
              <w:t>（202</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lang w:eastAsia="zh-CN"/>
              </w:rPr>
              <w:t>年</w:t>
            </w:r>
            <w:r>
              <w:rPr>
                <w:rFonts w:hint="eastAsia" w:asciiTheme="minorEastAsia" w:hAnsiTheme="minorEastAsia" w:cstheme="minorEastAsia"/>
                <w:color w:val="auto"/>
                <w:sz w:val="24"/>
                <w:szCs w:val="24"/>
                <w:lang w:val="en-US" w:eastAsia="zh-CN"/>
              </w:rPr>
              <w:t>0</w:t>
            </w: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lang w:eastAsia="zh-CN"/>
              </w:rPr>
              <w:t>月</w:t>
            </w:r>
            <w:r>
              <w:rPr>
                <w:rFonts w:hint="eastAsia" w:asciiTheme="minorEastAsia" w:hAnsiTheme="minorEastAsia" w:cstheme="minorEastAsia"/>
                <w:color w:val="auto"/>
                <w:sz w:val="24"/>
                <w:szCs w:val="24"/>
                <w:lang w:val="en-US" w:eastAsia="zh-CN"/>
              </w:rPr>
              <w:t>0</w:t>
            </w:r>
            <w:r>
              <w:rPr>
                <w:rFonts w:hint="eastAsia" w:asciiTheme="minorEastAsia" w:hAnsiTheme="minorEastAsia" w:eastAsiaTheme="minorEastAsia" w:cstheme="minorEastAsia"/>
                <w:color w:val="auto"/>
                <w:sz w:val="24"/>
                <w:szCs w:val="24"/>
                <w:lang w:eastAsia="zh-CN"/>
              </w:rPr>
              <w:t>1日至开标时间截止日期）完成过</w:t>
            </w:r>
            <w:r>
              <w:rPr>
                <w:rFonts w:hint="eastAsia" w:asciiTheme="minorEastAsia" w:hAnsiTheme="minorEastAsia" w:eastAsiaTheme="minorEastAsia" w:cstheme="minorEastAsia"/>
                <w:color w:val="auto"/>
                <w:sz w:val="24"/>
                <w:szCs w:val="24"/>
                <w:lang w:val="en-US" w:eastAsia="zh-CN"/>
              </w:rPr>
              <w:t>1个类似业绩</w:t>
            </w:r>
            <w:r>
              <w:rPr>
                <w:rFonts w:hint="eastAsia" w:asciiTheme="minorEastAsia" w:hAnsiTheme="minorEastAsia" w:eastAsiaTheme="minorEastAsia" w:cstheme="minorEastAsia"/>
                <w:color w:val="auto"/>
                <w:sz w:val="24"/>
                <w:szCs w:val="24"/>
              </w:rPr>
              <w:t>计</w:t>
            </w: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分；</w:t>
            </w:r>
          </w:p>
          <w:p w14:paraId="5B9E1122">
            <w:pPr>
              <w:keepNext/>
              <w:keepLines w:val="0"/>
              <w:pageBreakBefore w:val="0"/>
              <w:suppressAutoHyphens/>
              <w:kinsoku/>
              <w:wordWrap w:val="0"/>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(2)具有</w:t>
            </w:r>
            <w:r>
              <w:rPr>
                <w:rFonts w:hint="eastAsia" w:asciiTheme="minorEastAsia" w:hAnsiTheme="minorEastAsia" w:eastAsiaTheme="minorEastAsia" w:cstheme="minorEastAsia"/>
                <w:color w:val="auto"/>
                <w:sz w:val="24"/>
                <w:szCs w:val="24"/>
                <w:lang w:eastAsia="zh-CN"/>
              </w:rPr>
              <w:t>林业</w:t>
            </w:r>
            <w:r>
              <w:rPr>
                <w:rFonts w:hint="eastAsia" w:asciiTheme="minorEastAsia" w:hAnsiTheme="minorEastAsia" w:eastAsiaTheme="minorEastAsia" w:cstheme="minorEastAsia"/>
                <w:color w:val="auto"/>
                <w:sz w:val="24"/>
                <w:szCs w:val="24"/>
                <w:lang w:val="en-US" w:eastAsia="zh-CN"/>
              </w:rPr>
              <w:t>相关专业</w:t>
            </w:r>
            <w:r>
              <w:rPr>
                <w:rFonts w:hint="eastAsia" w:asciiTheme="minorEastAsia" w:hAnsiTheme="minorEastAsia" w:eastAsiaTheme="minorEastAsia" w:cstheme="minorEastAsia"/>
                <w:color w:val="auto"/>
                <w:sz w:val="24"/>
                <w:szCs w:val="24"/>
                <w:lang w:eastAsia="zh-CN"/>
              </w:rPr>
              <w:t>专业</w:t>
            </w:r>
            <w:r>
              <w:rPr>
                <w:rFonts w:hint="eastAsia" w:asciiTheme="minorEastAsia" w:hAnsiTheme="minorEastAsia" w:eastAsiaTheme="minorEastAsia" w:cstheme="minorEastAsia"/>
                <w:color w:val="auto"/>
                <w:sz w:val="24"/>
                <w:szCs w:val="24"/>
              </w:rPr>
              <w:t>中级工程师</w:t>
            </w:r>
            <w:r>
              <w:rPr>
                <w:rFonts w:hint="eastAsia" w:asciiTheme="minorEastAsia" w:hAnsiTheme="minorEastAsia" w:eastAsiaTheme="minorEastAsia" w:cstheme="minorEastAsia"/>
                <w:color w:val="auto"/>
                <w:sz w:val="24"/>
                <w:szCs w:val="24"/>
                <w:lang w:val="en-US" w:eastAsia="zh-CN"/>
              </w:rPr>
              <w:t>或以上</w:t>
            </w:r>
            <w:r>
              <w:rPr>
                <w:rFonts w:hint="eastAsia" w:asciiTheme="minorEastAsia" w:hAnsiTheme="minorEastAsia" w:eastAsiaTheme="minorEastAsia" w:cstheme="minorEastAsia"/>
                <w:color w:val="auto"/>
                <w:sz w:val="24"/>
                <w:szCs w:val="24"/>
              </w:rPr>
              <w:t>职称的计</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分，</w:t>
            </w:r>
            <w:r>
              <w:rPr>
                <w:rFonts w:hint="eastAsia" w:asciiTheme="minorEastAsia" w:hAnsiTheme="minorEastAsia" w:eastAsiaTheme="minorEastAsia" w:cstheme="minorEastAsia"/>
                <w:color w:val="auto"/>
                <w:sz w:val="24"/>
                <w:szCs w:val="24"/>
                <w:lang w:eastAsia="zh-CN"/>
              </w:rPr>
              <w:t>林业</w:t>
            </w:r>
            <w:r>
              <w:rPr>
                <w:rFonts w:hint="eastAsia" w:asciiTheme="minorEastAsia" w:hAnsiTheme="minorEastAsia" w:eastAsiaTheme="minorEastAsia" w:cstheme="minorEastAsia"/>
                <w:color w:val="auto"/>
                <w:sz w:val="24"/>
                <w:szCs w:val="24"/>
                <w:lang w:val="en-US" w:eastAsia="zh-CN"/>
              </w:rPr>
              <w:t>相关</w:t>
            </w:r>
            <w:r>
              <w:rPr>
                <w:rFonts w:hint="eastAsia" w:asciiTheme="minorEastAsia" w:hAnsiTheme="minorEastAsia" w:eastAsiaTheme="minorEastAsia" w:cstheme="minorEastAsia"/>
                <w:color w:val="auto"/>
                <w:sz w:val="24"/>
                <w:szCs w:val="24"/>
                <w:lang w:eastAsia="zh-CN"/>
              </w:rPr>
              <w:t>专业</w:t>
            </w:r>
            <w:r>
              <w:rPr>
                <w:rFonts w:hint="eastAsia" w:asciiTheme="minorEastAsia" w:hAnsiTheme="minorEastAsia" w:eastAsiaTheme="minorEastAsia" w:cstheme="minorEastAsia"/>
                <w:color w:val="auto"/>
                <w:sz w:val="24"/>
                <w:szCs w:val="24"/>
                <w:lang w:val="en-US" w:eastAsia="zh-CN"/>
              </w:rPr>
              <w:t>初</w:t>
            </w:r>
            <w:r>
              <w:rPr>
                <w:rFonts w:hint="eastAsia" w:asciiTheme="minorEastAsia" w:hAnsiTheme="minorEastAsia" w:eastAsiaTheme="minorEastAsia" w:cstheme="minorEastAsia"/>
                <w:color w:val="auto"/>
                <w:sz w:val="24"/>
                <w:szCs w:val="24"/>
              </w:rPr>
              <w:t>级工程师计</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分</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无或其他不计分。</w:t>
            </w:r>
          </w:p>
          <w:p w14:paraId="1A03C6FB">
            <w:pPr>
              <w:keepNext/>
              <w:keepLines w:val="0"/>
              <w:pageBreakBefore w:val="0"/>
              <w:suppressAutoHyphens/>
              <w:kinsoku/>
              <w:wordWrap w:val="0"/>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eastAsia="zh-CN"/>
              </w:rPr>
              <w:t>注：①</w:t>
            </w:r>
            <w:r>
              <w:rPr>
                <w:rFonts w:hint="eastAsia" w:asciiTheme="minorEastAsia" w:hAnsiTheme="minorEastAsia" w:eastAsiaTheme="minorEastAsia" w:cstheme="minorEastAsia"/>
                <w:color w:val="auto"/>
                <w:sz w:val="24"/>
                <w:szCs w:val="24"/>
                <w:lang w:val="en-US" w:eastAsia="zh-CN"/>
              </w:rPr>
              <w:t>类似业绩指森林质量精准提升或优化提升或修复提升或生物多样性保护与生态修复业绩，须提供类似业绩的中标通知书、合同关键页，并加盖投标人公章，技术负责人的相关信息须在业绩证明材料中体现，若无法体现不得分。</w:t>
            </w:r>
          </w:p>
          <w:p w14:paraId="6413B9FA">
            <w:pPr>
              <w:keepNext/>
              <w:keepLines w:val="0"/>
              <w:pageBreakBefore w:val="0"/>
              <w:suppressAutoHyphens/>
              <w:kinsoku/>
              <w:wordWrap w:val="0"/>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②</w:t>
            </w:r>
            <w:r>
              <w:rPr>
                <w:rFonts w:hint="eastAsia" w:asciiTheme="minorEastAsia" w:hAnsiTheme="minorEastAsia" w:eastAsiaTheme="minorEastAsia" w:cstheme="minorEastAsia"/>
                <w:color w:val="auto"/>
                <w:sz w:val="24"/>
                <w:szCs w:val="24"/>
                <w:lang w:eastAsia="zh-CN"/>
              </w:rPr>
              <w:t>提供职称证书复印件并加盖投标人公章，同一人员不得在“项目负责人”“技术负责人”“现场施工作业团队” 中重复计分，若一人同时符合多个岗位要求，仅按其可获得的最高分值岗位计分。</w:t>
            </w:r>
          </w:p>
          <w:p w14:paraId="2FE8AD7B">
            <w:pPr>
              <w:keepNext/>
              <w:keepLines w:val="0"/>
              <w:pageBreakBefore w:val="0"/>
              <w:suppressAutoHyphens/>
              <w:kinsoku/>
              <w:wordWrap w:val="0"/>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备注：</w:t>
            </w:r>
            <w:r>
              <w:rPr>
                <w:rFonts w:hint="eastAsia" w:asciiTheme="minorEastAsia" w:hAnsiTheme="minorEastAsia" w:eastAsiaTheme="minorEastAsia" w:cstheme="minorEastAsia"/>
                <w:color w:val="auto"/>
                <w:sz w:val="24"/>
                <w:szCs w:val="24"/>
                <w:lang w:eastAsia="zh-CN"/>
              </w:rPr>
              <w:t>林业</w:t>
            </w:r>
            <w:r>
              <w:rPr>
                <w:rFonts w:hint="eastAsia" w:asciiTheme="minorEastAsia" w:hAnsiTheme="minorEastAsia" w:eastAsiaTheme="minorEastAsia" w:cstheme="minorEastAsia"/>
                <w:color w:val="auto"/>
                <w:sz w:val="24"/>
                <w:szCs w:val="24"/>
                <w:lang w:val="en-US" w:eastAsia="zh-CN"/>
              </w:rPr>
              <w:t>相关专业是指森林经营与培育、森林保护、自然保护地管理。野生动植物保护、林业白蚁防治、园林绿化、风景园林等。</w:t>
            </w:r>
          </w:p>
          <w:p w14:paraId="06664DB1">
            <w:pPr>
              <w:keepNext/>
              <w:keepLines w:val="0"/>
              <w:pageBreakBefore w:val="0"/>
              <w:widowControl w:val="0"/>
              <w:numPr>
                <w:ilvl w:val="0"/>
                <w:numId w:val="14"/>
              </w:numPr>
              <w:suppressAutoHyphens/>
              <w:kinsoku/>
              <w:wordWrap w:val="0"/>
              <w:overflowPunct/>
              <w:topLinePunct w:val="0"/>
              <w:autoSpaceDE/>
              <w:autoSpaceDN/>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eastAsia="zh-CN"/>
              </w:rPr>
              <w:t>投标人或联合体牵头人</w:t>
            </w:r>
            <w:r>
              <w:rPr>
                <w:rFonts w:hint="eastAsia" w:asciiTheme="minorEastAsia" w:hAnsiTheme="minorEastAsia" w:eastAsiaTheme="minorEastAsia" w:cstheme="minorEastAsia"/>
                <w:color w:val="auto"/>
                <w:sz w:val="24"/>
                <w:szCs w:val="24"/>
                <w:lang w:eastAsia="zh-CN"/>
              </w:rPr>
              <w:t>现场施工作业团队</w:t>
            </w:r>
            <w:r>
              <w:rPr>
                <w:rFonts w:hint="eastAsia" w:asciiTheme="minorEastAsia" w:hAnsiTheme="minorEastAsia" w:eastAsiaTheme="minorEastAsia" w:cstheme="minorEastAsia"/>
                <w:color w:val="auto"/>
                <w:sz w:val="24"/>
                <w:szCs w:val="24"/>
              </w:rPr>
              <w:t>(除项目负责人、技术负责人</w:t>
            </w:r>
            <w:r>
              <w:rPr>
                <w:rFonts w:hint="eastAsia" w:asciiTheme="minorEastAsia" w:hAnsiTheme="minorEastAsia" w:eastAsiaTheme="minorEastAsia" w:cstheme="minorEastAsia"/>
                <w:color w:val="auto"/>
                <w:sz w:val="24"/>
                <w:szCs w:val="24"/>
                <w:lang w:eastAsia="zh-CN"/>
              </w:rPr>
              <w:t>外的团队管理人员</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24</w:t>
            </w:r>
            <w:r>
              <w:rPr>
                <w:rFonts w:hint="eastAsia" w:asciiTheme="minorEastAsia" w:hAnsiTheme="minorEastAsia" w:eastAsiaTheme="minorEastAsia" w:cstheme="minorEastAsia"/>
                <w:color w:val="auto"/>
                <w:sz w:val="24"/>
                <w:szCs w:val="24"/>
              </w:rPr>
              <w:t>分。拟投入的</w:t>
            </w:r>
            <w:r>
              <w:rPr>
                <w:rFonts w:hint="eastAsia" w:asciiTheme="minorEastAsia" w:hAnsiTheme="minorEastAsia" w:eastAsiaTheme="minorEastAsia" w:cstheme="minorEastAsia"/>
                <w:color w:val="auto"/>
                <w:sz w:val="24"/>
                <w:szCs w:val="24"/>
                <w:lang w:eastAsia="zh-CN"/>
              </w:rPr>
              <w:t>现场施工作业管理</w:t>
            </w:r>
            <w:r>
              <w:rPr>
                <w:rFonts w:hint="eastAsia" w:asciiTheme="minorEastAsia" w:hAnsiTheme="minorEastAsia" w:eastAsiaTheme="minorEastAsia" w:cstheme="minorEastAsia"/>
                <w:color w:val="auto"/>
                <w:sz w:val="24"/>
                <w:szCs w:val="24"/>
              </w:rPr>
              <w:t>人员</w:t>
            </w:r>
            <w:r>
              <w:rPr>
                <w:rFonts w:hint="eastAsia" w:asciiTheme="minorEastAsia" w:hAnsiTheme="minorEastAsia" w:eastAsiaTheme="minorEastAsia" w:cstheme="minorEastAsia"/>
                <w:color w:val="auto"/>
                <w:sz w:val="24"/>
                <w:szCs w:val="24"/>
                <w:lang w:eastAsia="zh-CN"/>
              </w:rPr>
              <w:t>不少于</w:t>
            </w:r>
            <w:r>
              <w:rPr>
                <w:rFonts w:hint="eastAsia" w:asciiTheme="minorEastAsia" w:hAnsiTheme="minorEastAsia" w:eastAsiaTheme="minorEastAsia" w:cstheme="minorEastAsia"/>
                <w:color w:val="auto"/>
                <w:sz w:val="24"/>
                <w:szCs w:val="24"/>
                <w:lang w:val="en-US" w:eastAsia="zh-CN"/>
              </w:rPr>
              <w:t>6人（含6人），具体工种为</w:t>
            </w:r>
            <w:r>
              <w:rPr>
                <w:rFonts w:hint="eastAsia" w:asciiTheme="minorEastAsia" w:hAnsiTheme="minorEastAsia" w:eastAsiaTheme="minorEastAsia" w:cstheme="minorEastAsia"/>
                <w:color w:val="auto"/>
                <w:sz w:val="24"/>
                <w:szCs w:val="24"/>
              </w:rPr>
              <w:t>:</w:t>
            </w:r>
            <w:r>
              <w:rPr>
                <w:rFonts w:hint="eastAsia" w:asciiTheme="minorEastAsia" w:hAnsiTheme="minorEastAsia" w:cstheme="minorEastAsia"/>
                <w:color w:val="auto"/>
                <w:sz w:val="24"/>
                <w:szCs w:val="24"/>
                <w:lang w:val="en-US" w:eastAsia="zh-CN"/>
              </w:rPr>
              <w:t>绿化工（或造林工）</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人，</w:t>
            </w:r>
            <w:r>
              <w:rPr>
                <w:rFonts w:hint="eastAsia" w:asciiTheme="minorEastAsia" w:hAnsiTheme="minorEastAsia" w:eastAsiaTheme="minorEastAsia" w:cstheme="minorEastAsia"/>
                <w:color w:val="auto"/>
                <w:sz w:val="24"/>
                <w:szCs w:val="24"/>
                <w:lang w:eastAsia="zh-CN"/>
              </w:rPr>
              <w:t>园林</w:t>
            </w:r>
            <w:r>
              <w:rPr>
                <w:rFonts w:hint="eastAsia" w:asciiTheme="minorEastAsia" w:hAnsiTheme="minorEastAsia" w:eastAsiaTheme="minorEastAsia" w:cstheme="minorEastAsia"/>
                <w:color w:val="auto"/>
                <w:sz w:val="24"/>
                <w:szCs w:val="24"/>
              </w:rPr>
              <w:t>植保工</w:t>
            </w:r>
            <w:r>
              <w:rPr>
                <w:rFonts w:hint="eastAsia" w:asciiTheme="minorEastAsia" w:hAnsiTheme="minorEastAsia" w:eastAsiaTheme="minorEastAsia" w:cstheme="minorEastAsia"/>
                <w:color w:val="auto"/>
                <w:sz w:val="24"/>
                <w:szCs w:val="24"/>
                <w:lang w:eastAsia="zh-CN"/>
              </w:rPr>
              <w:t>（或植保工）</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人，每1人计</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分。</w:t>
            </w:r>
            <w:r>
              <w:rPr>
                <w:rFonts w:hint="eastAsia" w:asciiTheme="minorEastAsia" w:hAnsiTheme="minorEastAsia" w:eastAsiaTheme="minorEastAsia" w:cstheme="minorEastAsia"/>
                <w:color w:val="auto"/>
                <w:sz w:val="24"/>
                <w:szCs w:val="24"/>
                <w:lang w:val="en-US" w:eastAsia="zh-CN"/>
              </w:rPr>
              <w:t>1人有多工种</w:t>
            </w:r>
            <w:r>
              <w:rPr>
                <w:rFonts w:hint="eastAsia" w:asciiTheme="minorEastAsia" w:hAnsiTheme="minorEastAsia" w:eastAsiaTheme="minorEastAsia" w:cstheme="minorEastAsia"/>
                <w:strike w:val="0"/>
                <w:dstrike w:val="0"/>
                <w:color w:val="auto"/>
                <w:sz w:val="24"/>
                <w:szCs w:val="24"/>
                <w:lang w:val="en-US" w:eastAsia="zh-CN"/>
              </w:rPr>
              <w:t>相关的</w:t>
            </w:r>
            <w:r>
              <w:rPr>
                <w:rFonts w:hint="eastAsia" w:asciiTheme="minorEastAsia" w:hAnsiTheme="minorEastAsia" w:eastAsiaTheme="minorEastAsia" w:cstheme="minorEastAsia"/>
                <w:color w:val="auto"/>
                <w:sz w:val="24"/>
                <w:szCs w:val="24"/>
                <w:lang w:val="en-US" w:eastAsia="zh-CN"/>
              </w:rPr>
              <w:t>证书的只计4分。每个工种相关的证书最多只能按3人计分。现场施工作业团队中没有上述2类工种相关的证书或虽有以上2类工种相关的证书的其中一类或几类但数量不够的，可提供林业相关专业初级及以上专业职称，每1人计1分。</w:t>
            </w:r>
          </w:p>
          <w:p w14:paraId="4D951409">
            <w:pPr>
              <w:keepNext/>
              <w:keepLines w:val="0"/>
              <w:pageBreakBefore w:val="0"/>
              <w:widowControl w:val="0"/>
              <w:numPr>
                <w:ilvl w:val="0"/>
                <w:numId w:val="0"/>
              </w:numPr>
              <w:suppressAutoHyphens/>
              <w:kinsoku/>
              <w:wordWrap w:val="0"/>
              <w:overflowPunct/>
              <w:topLinePunct w:val="0"/>
              <w:autoSpaceDE/>
              <w:autoSpaceDN/>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注：①</w:t>
            </w:r>
            <w:r>
              <w:rPr>
                <w:rFonts w:hint="eastAsia" w:asciiTheme="minorEastAsia" w:hAnsiTheme="minorEastAsia" w:eastAsiaTheme="minorEastAsia" w:cstheme="minorEastAsia"/>
                <w:color w:val="auto"/>
                <w:sz w:val="24"/>
                <w:szCs w:val="24"/>
                <w:lang w:val="en-US" w:eastAsia="zh-CN"/>
              </w:rPr>
              <w:t>所提供应计分的现场施工作业团队（含上述要求的具有2类工种相关的证书人员和林业类技术职称人员）的管理人员数量不得超出所要求的数量即6人，超出的人数不计分。</w:t>
            </w:r>
          </w:p>
          <w:p w14:paraId="050D43E9">
            <w:pPr>
              <w:keepNext/>
              <w:keepLines w:val="0"/>
              <w:pageBreakBefore w:val="0"/>
              <w:widowControl w:val="0"/>
              <w:numPr>
                <w:ilvl w:val="0"/>
                <w:numId w:val="0"/>
              </w:numPr>
              <w:suppressAutoHyphens/>
              <w:kinsoku/>
              <w:wordWrap w:val="0"/>
              <w:overflowPunct/>
              <w:topLinePunct w:val="0"/>
              <w:autoSpaceDE/>
              <w:autoSpaceDN/>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②</w:t>
            </w:r>
            <w:r>
              <w:rPr>
                <w:rFonts w:hint="eastAsia" w:asciiTheme="minorEastAsia" w:hAnsiTheme="minorEastAsia" w:eastAsiaTheme="minorEastAsia" w:cstheme="minorEastAsia"/>
                <w:color w:val="auto"/>
                <w:sz w:val="24"/>
                <w:szCs w:val="24"/>
                <w:lang w:eastAsia="zh-CN"/>
              </w:rPr>
              <w:t>同一人员不得在“项目负责人”“技术负责人”“现场施工作业团队”中重复计分，若一人同时符合多个岗位要求，仅按其可获得的最高分值岗位计分。</w:t>
            </w:r>
          </w:p>
          <w:p w14:paraId="3B3CA533">
            <w:pPr>
              <w:keepNext/>
              <w:keepLines w:val="0"/>
              <w:pageBreakBefore w:val="0"/>
              <w:widowControl w:val="0"/>
              <w:numPr>
                <w:ilvl w:val="0"/>
                <w:numId w:val="0"/>
              </w:numPr>
              <w:suppressAutoHyphens/>
              <w:kinsoku/>
              <w:wordWrap w:val="0"/>
              <w:overflowPunct/>
              <w:topLinePunct w:val="0"/>
              <w:autoSpaceDE/>
              <w:autoSpaceDN/>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③提供</w:t>
            </w:r>
            <w:r>
              <w:rPr>
                <w:rFonts w:hint="eastAsia" w:asciiTheme="minorEastAsia" w:hAnsiTheme="minorEastAsia" w:cstheme="minorEastAsia"/>
                <w:color w:val="auto"/>
                <w:sz w:val="24"/>
                <w:szCs w:val="24"/>
                <w:lang w:val="en-US" w:eastAsia="zh-CN"/>
              </w:rPr>
              <w:t>绿化工（或造林工）</w:t>
            </w:r>
            <w:r>
              <w:rPr>
                <w:rFonts w:hint="eastAsia" w:asciiTheme="minorEastAsia" w:hAnsiTheme="minorEastAsia" w:eastAsiaTheme="minorEastAsia" w:cstheme="minorEastAsia"/>
                <w:color w:val="auto"/>
                <w:sz w:val="24"/>
                <w:szCs w:val="24"/>
                <w:lang w:eastAsia="zh-CN"/>
              </w:rPr>
              <w:t>、园林</w:t>
            </w:r>
            <w:r>
              <w:rPr>
                <w:rFonts w:hint="eastAsia" w:asciiTheme="minorEastAsia" w:hAnsiTheme="minorEastAsia" w:eastAsiaTheme="minorEastAsia" w:cstheme="minorEastAsia"/>
                <w:color w:val="auto"/>
                <w:sz w:val="24"/>
                <w:szCs w:val="24"/>
              </w:rPr>
              <w:t>植保工</w:t>
            </w:r>
            <w:r>
              <w:rPr>
                <w:rFonts w:hint="eastAsia" w:asciiTheme="minorEastAsia" w:hAnsiTheme="minorEastAsia" w:eastAsiaTheme="minorEastAsia" w:cstheme="minorEastAsia"/>
                <w:color w:val="auto"/>
                <w:sz w:val="24"/>
                <w:szCs w:val="24"/>
                <w:lang w:eastAsia="zh-CN"/>
              </w:rPr>
              <w:t>（或植保工）相关证书的复印件，</w:t>
            </w:r>
            <w:r>
              <w:rPr>
                <w:rFonts w:hint="eastAsia" w:asciiTheme="minorEastAsia" w:hAnsiTheme="minorEastAsia" w:eastAsiaTheme="minorEastAsia" w:cstheme="minorEastAsia"/>
                <w:color w:val="auto"/>
                <w:sz w:val="24"/>
                <w:szCs w:val="24"/>
                <w:lang w:val="en-US" w:eastAsia="zh-CN"/>
              </w:rPr>
              <w:t>并加盖投标人公章。</w:t>
            </w:r>
          </w:p>
          <w:p w14:paraId="7BF2736B">
            <w:pPr>
              <w:keepNext/>
              <w:keepLines w:val="0"/>
              <w:pageBreakBefore w:val="0"/>
              <w:widowControl w:val="0"/>
              <w:numPr>
                <w:ilvl w:val="0"/>
                <w:numId w:val="0"/>
              </w:numPr>
              <w:suppressAutoHyphens/>
              <w:kinsoku/>
              <w:wordWrap w:val="0"/>
              <w:overflowPunct/>
              <w:topLinePunct w:val="0"/>
              <w:autoSpaceDE/>
              <w:autoSpaceDN/>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④有林业类技术职称人员应提供职称证书复印件并加盖投标人公章。</w:t>
            </w:r>
          </w:p>
          <w:p w14:paraId="275495A4">
            <w:pPr>
              <w:keepNext/>
              <w:keepLines w:val="0"/>
              <w:pageBreakBefore w:val="0"/>
              <w:widowControl w:val="0"/>
              <w:numPr>
                <w:ilvl w:val="0"/>
                <w:numId w:val="0"/>
              </w:numPr>
              <w:suppressAutoHyphens/>
              <w:kinsoku/>
              <w:wordWrap w:val="0"/>
              <w:overflowPunct/>
              <w:topLinePunct w:val="0"/>
              <w:autoSpaceDE/>
              <w:autoSpaceDN/>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⑤所提供林业类技术职称人员数量同一专业数量不得超过3人，超出的人数不计分。</w:t>
            </w:r>
          </w:p>
          <w:p w14:paraId="3CCB373A">
            <w:pPr>
              <w:keepNext/>
              <w:keepLines w:val="0"/>
              <w:pageBreakBefore w:val="0"/>
              <w:widowControl w:val="0"/>
              <w:numPr>
                <w:ilvl w:val="0"/>
                <w:numId w:val="14"/>
              </w:numPr>
              <w:suppressAutoHyphens/>
              <w:kinsoku/>
              <w:wordWrap w:val="0"/>
              <w:overflowPunct/>
              <w:topLinePunct w:val="0"/>
              <w:autoSpaceDE/>
              <w:autoSpaceDN/>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eastAsia="zh-CN"/>
              </w:rPr>
              <w:t>投标人或联合体牵头人</w:t>
            </w:r>
            <w:r>
              <w:rPr>
                <w:rFonts w:hint="eastAsia" w:asciiTheme="minorEastAsia" w:hAnsiTheme="minorEastAsia" w:eastAsiaTheme="minorEastAsia" w:cstheme="minorEastAsia"/>
                <w:b w:val="0"/>
                <w:bCs w:val="0"/>
                <w:color w:val="auto"/>
                <w:sz w:val="24"/>
                <w:szCs w:val="24"/>
                <w:lang w:val="en-US" w:eastAsia="zh-CN"/>
              </w:rPr>
              <w:t>服务团队能力加分项重要说明：服务团队能力所有岗位属未退休人员的，投标人须提供开标截止日前近3个月缴纳社会保险的证明材料、相关证书复印件并加盖投标人公章；若属退休人员需提供开标截止日前近3个月投标人支付劳动报酬的证明材料（证明材料为加盖有银行印章的银行流水）和投标人</w:t>
            </w:r>
            <w:r>
              <w:rPr>
                <w:rFonts w:hint="eastAsia" w:asciiTheme="minorEastAsia" w:hAnsiTheme="minorEastAsia" w:eastAsiaTheme="minorEastAsia" w:cstheme="minorEastAsia"/>
                <w:color w:val="auto"/>
                <w:sz w:val="24"/>
                <w:szCs w:val="24"/>
                <w:lang w:val="en-US" w:eastAsia="zh-CN"/>
              </w:rPr>
              <w:t>与该退休人员订立的书面用工协议复印件、相关证书及退休证复印件并加盖投标人公章。（新开办的</w:t>
            </w:r>
            <w:r>
              <w:rPr>
                <w:rFonts w:hint="eastAsia" w:asciiTheme="minorEastAsia" w:hAnsiTheme="minorEastAsia" w:eastAsiaTheme="minorEastAsia" w:cstheme="minorEastAsia"/>
                <w:b w:val="0"/>
                <w:bCs w:val="0"/>
                <w:color w:val="auto"/>
                <w:sz w:val="24"/>
                <w:szCs w:val="24"/>
                <w:lang w:val="en-US" w:eastAsia="zh-CN"/>
              </w:rPr>
              <w:t>投标人</w:t>
            </w:r>
            <w:r>
              <w:rPr>
                <w:rFonts w:hint="eastAsia" w:asciiTheme="minorEastAsia" w:hAnsiTheme="minorEastAsia" w:eastAsiaTheme="minorEastAsia" w:cstheme="minorEastAsia"/>
                <w:color w:val="auto"/>
                <w:sz w:val="24"/>
                <w:szCs w:val="24"/>
                <w:lang w:val="en-US" w:eastAsia="zh-CN"/>
              </w:rPr>
              <w:t>无法提供上述所要求的缴纳社保证明和支付劳动报酬银行流水的作出说明即可；成立时间不足3个月的</w:t>
            </w:r>
            <w:r>
              <w:rPr>
                <w:rFonts w:hint="eastAsia" w:asciiTheme="minorEastAsia" w:hAnsiTheme="minorEastAsia" w:eastAsiaTheme="minorEastAsia" w:cstheme="minorEastAsia"/>
                <w:b w:val="0"/>
                <w:bCs w:val="0"/>
                <w:color w:val="auto"/>
                <w:sz w:val="24"/>
                <w:szCs w:val="24"/>
                <w:lang w:val="en-US" w:eastAsia="zh-CN"/>
              </w:rPr>
              <w:t>投标人</w:t>
            </w:r>
            <w:r>
              <w:rPr>
                <w:rFonts w:hint="eastAsia" w:asciiTheme="minorEastAsia" w:hAnsiTheme="minorEastAsia" w:eastAsiaTheme="minorEastAsia" w:cstheme="minorEastAsia"/>
                <w:color w:val="auto"/>
                <w:sz w:val="24"/>
                <w:szCs w:val="24"/>
                <w:lang w:val="en-US" w:eastAsia="zh-CN"/>
              </w:rPr>
              <w:t>，须按上述要求提供自成立以来至开标截止前的相关证明材料，</w:t>
            </w:r>
            <w:r>
              <w:rPr>
                <w:rFonts w:hint="eastAsia" w:asciiTheme="minorEastAsia" w:hAnsiTheme="minorEastAsia" w:eastAsiaTheme="minorEastAsia" w:cstheme="minorEastAsia"/>
                <w:b w:val="0"/>
                <w:bCs w:val="0"/>
                <w:color w:val="auto"/>
                <w:sz w:val="24"/>
                <w:szCs w:val="24"/>
                <w:lang w:val="en-US" w:eastAsia="zh-CN"/>
              </w:rPr>
              <w:t>未按上述要求配套提供不计分</w:t>
            </w:r>
            <w:r>
              <w:rPr>
                <w:rFonts w:hint="eastAsia" w:asciiTheme="minorEastAsia" w:hAnsiTheme="minorEastAsia" w:eastAsiaTheme="minorEastAsia" w:cstheme="minorEastAsia"/>
                <w:color w:val="auto"/>
                <w:sz w:val="24"/>
                <w:szCs w:val="24"/>
                <w:lang w:val="en-US" w:eastAsia="zh-CN"/>
              </w:rPr>
              <w:t>）。</w:t>
            </w:r>
          </w:p>
          <w:p w14:paraId="5038DD83">
            <w:pPr>
              <w:keepNext/>
              <w:keepLines w:val="0"/>
              <w:pageBreakBefore w:val="0"/>
              <w:widowControl w:val="0"/>
              <w:numPr>
                <w:ilvl w:val="0"/>
                <w:numId w:val="0"/>
              </w:numPr>
              <w:suppressAutoHyphens/>
              <w:kinsoku/>
              <w:wordWrap w:val="0"/>
              <w:overflowPunct/>
              <w:topLinePunct w:val="0"/>
              <w:autoSpaceDE/>
              <w:autoSpaceDN/>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cstheme="minorEastAsia"/>
                <w:color w:val="auto"/>
                <w:sz w:val="24"/>
                <w:szCs w:val="24"/>
                <w:lang w:val="en-US" w:eastAsia="zh-CN"/>
              </w:rPr>
              <w:t>投标人或联合体牵头人</w:t>
            </w:r>
            <w:r>
              <w:rPr>
                <w:rFonts w:hint="eastAsia" w:asciiTheme="minorEastAsia" w:hAnsiTheme="minorEastAsia" w:eastAsiaTheme="minorEastAsia" w:cstheme="minorEastAsia"/>
                <w:color w:val="auto"/>
                <w:sz w:val="24"/>
                <w:szCs w:val="24"/>
                <w:lang w:val="en-US" w:eastAsia="zh-CN"/>
              </w:rPr>
              <w:t>提供的服务团队人员所有的证书复印件和证明材料，采购人将在开标结束后对其真实性进行核查。发现投标人提供虚假材料谋取中标的，按照政府采购法第七十七条规定严肃处理。</w:t>
            </w:r>
          </w:p>
        </w:tc>
      </w:tr>
      <w:tr w14:paraId="3BE5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8" w:type="dxa"/>
            <w:gridSpan w:val="2"/>
            <w:vMerge w:val="continue"/>
            <w:noWrap w:val="0"/>
            <w:vAlign w:val="center"/>
          </w:tcPr>
          <w:p w14:paraId="08344E9D">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FF0000"/>
                <w:sz w:val="24"/>
                <w:szCs w:val="24"/>
              </w:rPr>
            </w:pPr>
          </w:p>
        </w:tc>
        <w:tc>
          <w:tcPr>
            <w:tcW w:w="759" w:type="dxa"/>
            <w:vMerge w:val="continue"/>
            <w:noWrap w:val="0"/>
            <w:vAlign w:val="center"/>
          </w:tcPr>
          <w:p w14:paraId="685818CA">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center"/>
              <w:textAlignment w:val="auto"/>
              <w:rPr>
                <w:rFonts w:hint="eastAsia" w:asciiTheme="minorEastAsia" w:hAnsiTheme="minorEastAsia" w:eastAsiaTheme="minorEastAsia" w:cstheme="minorEastAsia"/>
                <w:color w:val="FF0000"/>
                <w:sz w:val="24"/>
                <w:szCs w:val="24"/>
              </w:rPr>
            </w:pPr>
          </w:p>
        </w:tc>
        <w:tc>
          <w:tcPr>
            <w:tcW w:w="1245" w:type="dxa"/>
            <w:shd w:val="clear" w:color="auto" w:fill="auto"/>
            <w:noWrap w:val="0"/>
            <w:vAlign w:val="center"/>
          </w:tcPr>
          <w:p w14:paraId="74B22A10">
            <w:pPr>
              <w:keepNext/>
              <w:keepLines w:val="0"/>
              <w:pageBreakBefore w:val="0"/>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企业</w:t>
            </w:r>
            <w:r>
              <w:rPr>
                <w:rFonts w:hint="eastAsia" w:asciiTheme="minorEastAsia" w:hAnsiTheme="minorEastAsia" w:eastAsiaTheme="minorEastAsia" w:cstheme="minorEastAsia"/>
                <w:color w:val="auto"/>
                <w:sz w:val="24"/>
                <w:szCs w:val="24"/>
              </w:rPr>
              <w:t>综合能力</w:t>
            </w:r>
            <w:r>
              <w:rPr>
                <w:rFonts w:hint="eastAsia" w:asciiTheme="minorEastAsia" w:hAnsiTheme="minorEastAsia" w:eastAsiaTheme="minorEastAsia" w:cstheme="minorEastAsia"/>
                <w:color w:val="auto"/>
                <w:sz w:val="24"/>
                <w:szCs w:val="24"/>
                <w:lang w:val="en-US" w:eastAsia="zh-CN"/>
              </w:rPr>
              <w:t>20</w:t>
            </w:r>
            <w:r>
              <w:rPr>
                <w:rFonts w:hint="eastAsia" w:asciiTheme="minorEastAsia" w:hAnsiTheme="minorEastAsia" w:eastAsiaTheme="minorEastAsia" w:cstheme="minorEastAsia"/>
                <w:color w:val="auto"/>
                <w:sz w:val="24"/>
                <w:szCs w:val="24"/>
              </w:rPr>
              <w:t>分</w:t>
            </w:r>
          </w:p>
        </w:tc>
        <w:tc>
          <w:tcPr>
            <w:tcW w:w="6891" w:type="dxa"/>
            <w:gridSpan w:val="2"/>
            <w:shd w:val="clear" w:color="auto" w:fill="auto"/>
            <w:noWrap w:val="0"/>
            <w:vAlign w:val="center"/>
          </w:tcPr>
          <w:p w14:paraId="5B5C80A5">
            <w:pPr>
              <w:keepNext/>
              <w:keepLines w:val="0"/>
              <w:pageBreakBefore w:val="0"/>
              <w:numPr>
                <w:ilvl w:val="0"/>
                <w:numId w:val="0"/>
              </w:numPr>
              <w:suppressAutoHyphens/>
              <w:kinsoku/>
              <w:wordWrap/>
              <w:overflowPunct/>
              <w:topLinePunct w:val="0"/>
              <w:bidi w:val="0"/>
              <w:adjustRightInd/>
              <w:snapToGrid w:val="0"/>
              <w:spacing w:line="48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eastAsia="zh-CN"/>
              </w:rPr>
              <w:t>投标人或联合体牵头人</w:t>
            </w:r>
            <w:r>
              <w:rPr>
                <w:rFonts w:hint="eastAsia" w:asciiTheme="minorEastAsia" w:hAnsiTheme="minorEastAsia" w:eastAsiaTheme="minorEastAsia" w:cstheme="minorEastAsia"/>
                <w:color w:val="auto"/>
                <w:sz w:val="24"/>
                <w:szCs w:val="24"/>
              </w:rPr>
              <w:t>具有</w:t>
            </w:r>
            <w:r>
              <w:rPr>
                <w:rFonts w:hint="eastAsia" w:asciiTheme="minorEastAsia" w:hAnsiTheme="minorEastAsia" w:eastAsiaTheme="minorEastAsia" w:cstheme="minorEastAsia"/>
                <w:color w:val="auto"/>
                <w:sz w:val="24"/>
                <w:szCs w:val="24"/>
                <w:lang w:eastAsia="zh-CN"/>
              </w:rPr>
              <w:t>有效期内的</w:t>
            </w:r>
            <w:r>
              <w:rPr>
                <w:rFonts w:hint="eastAsia" w:asciiTheme="minorEastAsia" w:hAnsiTheme="minorEastAsia" w:eastAsiaTheme="minorEastAsia" w:cstheme="minorEastAsia"/>
                <w:color w:val="auto"/>
                <w:sz w:val="24"/>
                <w:szCs w:val="24"/>
              </w:rPr>
              <w:t>林草种子生产经营许可证</w:t>
            </w:r>
            <w:r>
              <w:rPr>
                <w:rFonts w:hint="eastAsia" w:asciiTheme="minorEastAsia" w:hAnsiTheme="minorEastAsia" w:eastAsiaTheme="minorEastAsia" w:cstheme="minorEastAsia"/>
                <w:color w:val="auto"/>
                <w:sz w:val="24"/>
                <w:szCs w:val="24"/>
                <w:lang w:eastAsia="zh-CN"/>
              </w:rPr>
              <w:t>且有生产地点</w:t>
            </w:r>
            <w:r>
              <w:rPr>
                <w:rFonts w:hint="eastAsia" w:asciiTheme="minorEastAsia" w:hAnsiTheme="minorEastAsia" w:eastAsiaTheme="minorEastAsia" w:cstheme="minorEastAsia"/>
                <w:color w:val="auto"/>
                <w:sz w:val="24"/>
                <w:szCs w:val="24"/>
              </w:rPr>
              <w:t>计</w:t>
            </w:r>
            <w:r>
              <w:rPr>
                <w:rFonts w:hint="eastAsia" w:asciiTheme="minorEastAsia" w:hAnsiTheme="minorEastAsia" w:eastAsiaTheme="minorEastAsia" w:cstheme="minorEastAsia"/>
                <w:color w:val="auto"/>
                <w:sz w:val="24"/>
                <w:szCs w:val="24"/>
                <w:lang w:val="en-US" w:eastAsia="zh-CN"/>
              </w:rPr>
              <w:t>20</w:t>
            </w:r>
            <w:r>
              <w:rPr>
                <w:rFonts w:hint="eastAsia" w:asciiTheme="minorEastAsia" w:hAnsiTheme="minorEastAsia" w:eastAsiaTheme="minorEastAsia" w:cstheme="minorEastAsia"/>
                <w:color w:val="auto"/>
                <w:sz w:val="24"/>
                <w:szCs w:val="24"/>
              </w:rPr>
              <w:t>分</w:t>
            </w:r>
            <w:r>
              <w:rPr>
                <w:rFonts w:hint="eastAsia" w:asciiTheme="minorEastAsia" w:hAnsiTheme="minorEastAsia" w:eastAsiaTheme="minorEastAsia" w:cstheme="minorEastAsia"/>
                <w:color w:val="auto"/>
                <w:sz w:val="24"/>
                <w:szCs w:val="24"/>
                <w:lang w:eastAsia="zh-CN"/>
              </w:rPr>
              <w:t>，无或其他不计分。</w:t>
            </w:r>
          </w:p>
          <w:p w14:paraId="1D5F40D3">
            <w:pPr>
              <w:keepNext/>
              <w:keepLines w:val="0"/>
              <w:pageBreakBefore w:val="0"/>
              <w:numPr>
                <w:ilvl w:val="0"/>
                <w:numId w:val="0"/>
              </w:numPr>
              <w:suppressAutoHyphens/>
              <w:kinsoku/>
              <w:wordWrap/>
              <w:overflowPunct/>
              <w:topLinePunct w:val="0"/>
              <w:bidi w:val="0"/>
              <w:adjustRightInd/>
              <w:snapToGrid w:val="0"/>
              <w:spacing w:line="480" w:lineRule="exact"/>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注：林草种子生产经营许可证提供证书复印件并加盖投标人公章，许可证中的生产地点栏不能为空白，需有具体的地址，否则不计分。</w:t>
            </w:r>
          </w:p>
        </w:tc>
      </w:tr>
    </w:tbl>
    <w:p w14:paraId="43DE062E">
      <w:pPr>
        <w:keepNext w:val="0"/>
        <w:keepLines w:val="0"/>
        <w:pageBreakBefore w:val="0"/>
        <w:kinsoku w:val="0"/>
        <w:wordWrap/>
        <w:overflowPunct/>
        <w:topLinePunct w:val="0"/>
        <w:autoSpaceDE w:val="0"/>
        <w:autoSpaceDN w:val="0"/>
        <w:bidi w:val="0"/>
        <w:adjustRightInd w:val="0"/>
        <w:snapToGrid w:val="0"/>
        <w:spacing w:line="480" w:lineRule="exact"/>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说明：</w:t>
      </w:r>
    </w:p>
    <w:p w14:paraId="59E15F5A">
      <w:pPr>
        <w:keepNext w:val="0"/>
        <w:keepLines w:val="0"/>
        <w:pageBreakBefore w:val="0"/>
        <w:widowControl w:val="0"/>
        <w:suppressAutoHyphen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①评分依据评标标准，对照投标文件进行。评标标准涉及要求提供复印件的，投标文件中须附相关证书和证明文件的复印件并加盖投标人单位公章，否则相应计分项不予计分</w:t>
      </w:r>
      <w:r>
        <w:rPr>
          <w:rFonts w:hint="eastAsia" w:asciiTheme="minorEastAsia" w:hAnsiTheme="minorEastAsia" w:eastAsiaTheme="minorEastAsia" w:cstheme="minorEastAsia"/>
          <w:sz w:val="24"/>
          <w:szCs w:val="24"/>
        </w:rPr>
        <w:t>。</w:t>
      </w:r>
    </w:p>
    <w:p w14:paraId="213BEF06">
      <w:pPr>
        <w:keepNext w:val="0"/>
        <w:keepLines w:val="0"/>
        <w:pageBreakBefore w:val="0"/>
        <w:widowControl w:val="0"/>
        <w:suppressAutoHyphen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②投标人参与政府采购应提供真实有效的证明材料，应当诚信守法、公平竞争。业主和市林业局、市公共资源交易中心将在开评标当天、中标候选人公示期间及合同签订前，对中标候选人提供的材料进行核查，其他投标人发现中标候选人提供虚假材料谋取中标，可按相关规定提出质疑；经查实，中标候选人提供虚假材料谋取中标、成交的，取消其中标资格，处以采购金额5‰—10‰的罚款，列入不良行为记录名单，在1-3年内禁止参加政府采购活动</w:t>
      </w:r>
      <w:r>
        <w:rPr>
          <w:rFonts w:hint="eastAsia" w:asciiTheme="minorEastAsia" w:hAnsiTheme="minorEastAsia" w:eastAsiaTheme="minorEastAsia" w:cstheme="minorEastAsia"/>
          <w:sz w:val="24"/>
          <w:szCs w:val="24"/>
        </w:rPr>
        <w:t>。</w:t>
      </w:r>
    </w:p>
    <w:p w14:paraId="72802E5A">
      <w:pPr>
        <w:keepNext w:val="0"/>
        <w:keepLines w:val="0"/>
        <w:pageBreakBefore w:val="0"/>
        <w:widowControl/>
        <w:kinsoku w:val="0"/>
        <w:wordWrap/>
        <w:overflowPunct/>
        <w:topLinePunct w:val="0"/>
        <w:autoSpaceDE w:val="0"/>
        <w:autoSpaceDN w:val="0"/>
        <w:bidi w:val="0"/>
        <w:adjustRightInd w:val="0"/>
        <w:snapToGrid w:val="0"/>
        <w:spacing w:before="120" w:beforeLines="50" w:line="400" w:lineRule="exact"/>
        <w:jc w:val="left"/>
        <w:textAlignment w:val="auto"/>
        <w:rPr>
          <w:rFonts w:hint="eastAsia" w:ascii="宋体" w:hAnsi="宋体" w:eastAsia="宋体" w:cs="宋体"/>
          <w:b/>
          <w:color w:val="000000"/>
          <w:sz w:val="21"/>
          <w:szCs w:val="21"/>
        </w:rPr>
      </w:pPr>
    </w:p>
    <w:p w14:paraId="5302AE48">
      <w:pPr>
        <w:rPr>
          <w:rFonts w:hint="eastAsia"/>
          <w:b/>
          <w:lang w:val="en-US" w:eastAsia="zh-CN"/>
        </w:rPr>
      </w:pPr>
      <w:bookmarkStart w:id="57" w:name="_Toc17801"/>
    </w:p>
    <w:p w14:paraId="25CB5186">
      <w:pPr>
        <w:pStyle w:val="2"/>
        <w:bidi w:val="0"/>
        <w:jc w:val="center"/>
        <w:rPr>
          <w:rFonts w:hint="eastAsia"/>
          <w:b/>
          <w:lang w:val="en-US" w:eastAsia="zh-CN"/>
        </w:rPr>
      </w:pPr>
      <w:r>
        <w:rPr>
          <w:rFonts w:hint="eastAsia"/>
          <w:b/>
          <w:lang w:val="en-US" w:eastAsia="zh-CN"/>
        </w:rPr>
        <w:t>第五章 政府采购合同参考范本</w:t>
      </w:r>
      <w:bookmarkEnd w:id="53"/>
      <w:bookmarkEnd w:id="54"/>
      <w:bookmarkEnd w:id="55"/>
      <w:bookmarkEnd w:id="57"/>
    </w:p>
    <w:tbl>
      <w:tblPr>
        <w:tblStyle w:val="10"/>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889"/>
        <w:gridCol w:w="240"/>
        <w:gridCol w:w="6087"/>
        <w:gridCol w:w="264"/>
      </w:tblGrid>
      <w:tr w14:paraId="2028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8" w:hRule="atLeast"/>
          <w:jc w:val="center"/>
        </w:trPr>
        <w:tc>
          <w:tcPr>
            <w:tcW w:w="9725" w:type="dxa"/>
            <w:gridSpan w:val="5"/>
            <w:tcBorders>
              <w:top w:val="nil"/>
              <w:left w:val="nil"/>
              <w:bottom w:val="nil"/>
              <w:right w:val="nil"/>
            </w:tcBorders>
            <w:noWrap w:val="0"/>
            <w:vAlign w:val="top"/>
          </w:tcPr>
          <w:p w14:paraId="3A4DD335">
            <w:pPr>
              <w:rPr>
                <w:rFonts w:ascii="等线" w:hAnsi="等线" w:eastAsia="等线" w:cs="Times New Roman"/>
                <w:color w:val="000000"/>
                <w:szCs w:val="22"/>
              </w:rPr>
            </w:pPr>
          </w:p>
          <w:p w14:paraId="1F8CC62A">
            <w:pPr>
              <w:widowControl w:val="0"/>
              <w:spacing w:after="120" w:line="440" w:lineRule="exact"/>
              <w:ind w:firstLine="420" w:firstLineChars="200"/>
              <w:jc w:val="both"/>
              <w:rPr>
                <w:rFonts w:ascii="Times New Roman" w:hAnsi="Times New Roman" w:eastAsia="宋体" w:cs="Times New Roman"/>
                <w:color w:val="000000"/>
                <w:kern w:val="2"/>
                <w:sz w:val="21"/>
                <w:szCs w:val="22"/>
                <w:lang w:val="en-US" w:eastAsia="zh-CN" w:bidi="ar-SA"/>
              </w:rPr>
            </w:pPr>
          </w:p>
        </w:tc>
      </w:tr>
      <w:tr w14:paraId="5AC6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5" w:type="dxa"/>
            <w:gridSpan w:val="5"/>
            <w:tcBorders>
              <w:top w:val="nil"/>
              <w:left w:val="nil"/>
              <w:bottom w:val="nil"/>
              <w:right w:val="nil"/>
            </w:tcBorders>
            <w:noWrap w:val="0"/>
            <w:vAlign w:val="top"/>
          </w:tcPr>
          <w:p w14:paraId="1E6F4E2D">
            <w:pPr>
              <w:jc w:val="center"/>
              <w:rPr>
                <w:rFonts w:ascii="Times New Roman" w:hAnsi="Times New Roman" w:eastAsia="等线" w:cs="Times New Roman"/>
                <w:b/>
                <w:color w:val="000000"/>
                <w:szCs w:val="22"/>
              </w:rPr>
            </w:pPr>
            <w:r>
              <w:rPr>
                <w:rFonts w:hint="eastAsia" w:ascii="方正小标宋_GBK" w:hAnsi="方正小标宋_GBK" w:eastAsia="方正小标宋_GBK" w:cs="方正小标宋_GBK"/>
                <w:color w:val="000000"/>
                <w:sz w:val="72"/>
                <w:szCs w:val="72"/>
              </w:rPr>
              <w:t>政府采购合同</w:t>
            </w:r>
          </w:p>
        </w:tc>
      </w:tr>
      <w:tr w14:paraId="32A18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725" w:type="dxa"/>
            <w:gridSpan w:val="5"/>
            <w:tcBorders>
              <w:top w:val="nil"/>
              <w:left w:val="nil"/>
              <w:bottom w:val="nil"/>
              <w:right w:val="nil"/>
            </w:tcBorders>
            <w:noWrap w:val="0"/>
            <w:vAlign w:val="top"/>
          </w:tcPr>
          <w:p w14:paraId="03B3AF74">
            <w:pPr>
              <w:jc w:val="center"/>
              <w:rPr>
                <w:rFonts w:ascii="Times New Roman" w:hAnsi="Times New Roman" w:eastAsia="等线" w:cs="Times New Roman"/>
                <w:color w:val="000000"/>
                <w:sz w:val="44"/>
                <w:szCs w:val="22"/>
              </w:rPr>
            </w:pPr>
            <w:r>
              <w:rPr>
                <w:rFonts w:hint="eastAsia" w:ascii="方正小标宋_GBK" w:hAnsi="方正小标宋_GBK" w:eastAsia="方正小标宋_GBK" w:cs="方正小标宋_GBK"/>
                <w:color w:val="000000"/>
                <w:sz w:val="56"/>
                <w:szCs w:val="56"/>
              </w:rPr>
              <w:t>（服务类）</w:t>
            </w:r>
          </w:p>
        </w:tc>
      </w:tr>
      <w:tr w14:paraId="4E94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9725" w:type="dxa"/>
            <w:gridSpan w:val="5"/>
            <w:tcBorders>
              <w:top w:val="nil"/>
              <w:left w:val="nil"/>
              <w:bottom w:val="nil"/>
              <w:right w:val="nil"/>
            </w:tcBorders>
            <w:noWrap w:val="0"/>
            <w:vAlign w:val="top"/>
          </w:tcPr>
          <w:p w14:paraId="2F6807A8">
            <w:pPr>
              <w:widowControl w:val="0"/>
              <w:adjustRightInd w:val="0"/>
              <w:snapToGrid w:val="0"/>
              <w:spacing w:before="156" w:beforeLines="100" w:line="440" w:lineRule="exact"/>
              <w:ind w:firstLine="480" w:firstLineChars="200"/>
              <w:jc w:val="center"/>
              <w:rPr>
                <w:rFonts w:ascii="Times New Roman" w:hAnsi="Times New Roman" w:eastAsia="宋体" w:cs="Times New Roman"/>
                <w:color w:val="000000"/>
                <w:kern w:val="2"/>
                <w:sz w:val="24"/>
                <w:szCs w:val="22"/>
                <w:lang w:val="en-US" w:eastAsia="zh-CN" w:bidi="ar-SA"/>
              </w:rPr>
            </w:pPr>
          </w:p>
        </w:tc>
      </w:tr>
      <w:tr w14:paraId="48EA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restart"/>
            <w:tcBorders>
              <w:top w:val="nil"/>
              <w:left w:val="nil"/>
              <w:bottom w:val="nil"/>
              <w:right w:val="nil"/>
            </w:tcBorders>
            <w:noWrap w:val="0"/>
            <w:vAlign w:val="center"/>
          </w:tcPr>
          <w:p w14:paraId="00EC1FA2">
            <w:pPr>
              <w:adjustRightInd w:val="0"/>
              <w:snapToGrid w:val="0"/>
              <w:rPr>
                <w:rFonts w:ascii="Times New Roman" w:hAnsi="Times New Roman" w:eastAsia="楷体_GB2312" w:cs="Times New Roman"/>
                <w:color w:val="000000"/>
                <w:sz w:val="52"/>
                <w:szCs w:val="22"/>
              </w:rPr>
            </w:pPr>
          </w:p>
        </w:tc>
        <w:tc>
          <w:tcPr>
            <w:tcW w:w="2891" w:type="dxa"/>
            <w:tcBorders>
              <w:top w:val="nil"/>
              <w:left w:val="nil"/>
              <w:bottom w:val="nil"/>
              <w:right w:val="nil"/>
            </w:tcBorders>
            <w:noWrap w:val="0"/>
            <w:vAlign w:val="center"/>
          </w:tcPr>
          <w:p w14:paraId="5B9ED9FC">
            <w:pPr>
              <w:adjustRightInd w:val="0"/>
              <w:snapToGrid w:val="0"/>
              <w:spacing w:line="360" w:lineRule="auto"/>
              <w:jc w:val="distribute"/>
              <w:rPr>
                <w:rFonts w:ascii="Times New Roman" w:hAnsi="Times New Roman" w:eastAsia="等线" w:cs="Times New Roman"/>
                <w:color w:val="000000"/>
                <w:szCs w:val="22"/>
              </w:rPr>
            </w:pPr>
            <w:r>
              <w:rPr>
                <w:rFonts w:hint="eastAsia" w:ascii="黑体" w:hAnsi="黑体" w:eastAsia="黑体" w:cs="黑体"/>
                <w:color w:val="000000"/>
                <w:sz w:val="32"/>
                <w:szCs w:val="32"/>
              </w:rPr>
              <w:t>项目名称：</w:t>
            </w:r>
          </w:p>
        </w:tc>
        <w:tc>
          <w:tcPr>
            <w:tcW w:w="240" w:type="dxa"/>
            <w:tcBorders>
              <w:top w:val="nil"/>
              <w:left w:val="nil"/>
              <w:bottom w:val="nil"/>
              <w:right w:val="nil"/>
            </w:tcBorders>
            <w:noWrap w:val="0"/>
            <w:vAlign w:val="center"/>
          </w:tcPr>
          <w:p w14:paraId="10DF9B9E">
            <w:pPr>
              <w:ind w:firstLine="1960" w:firstLineChars="700"/>
              <w:rPr>
                <w:rFonts w:ascii="Times New Roman" w:hAnsi="Times New Roman" w:eastAsia="等线" w:cs="Times New Roman"/>
                <w:color w:val="000000"/>
                <w:sz w:val="28"/>
                <w:szCs w:val="28"/>
              </w:rPr>
            </w:pPr>
          </w:p>
        </w:tc>
        <w:tc>
          <w:tcPr>
            <w:tcW w:w="6090" w:type="dxa"/>
            <w:tcBorders>
              <w:top w:val="nil"/>
              <w:left w:val="nil"/>
              <w:bottom w:val="nil"/>
              <w:right w:val="nil"/>
            </w:tcBorders>
            <w:noWrap w:val="0"/>
            <w:vAlign w:val="center"/>
          </w:tcPr>
          <w:p w14:paraId="56B79C49">
            <w:pPr>
              <w:rPr>
                <w:rFonts w:hint="eastAsia" w:ascii="微软雅黑" w:hAnsi="微软雅黑" w:eastAsia="微软雅黑" w:cs="微软雅黑"/>
                <w:color w:val="000000"/>
                <w:spacing w:val="20"/>
                <w:sz w:val="28"/>
                <w:szCs w:val="28"/>
                <w:lang w:eastAsia="zh-CN"/>
              </w:rPr>
            </w:pPr>
            <w:r>
              <w:rPr>
                <w:rFonts w:hint="eastAsia" w:ascii="微软雅黑" w:hAnsi="微软雅黑" w:eastAsia="微软雅黑" w:cs="微软雅黑"/>
                <w:color w:val="000000"/>
                <w:spacing w:val="20"/>
                <w:sz w:val="28"/>
                <w:szCs w:val="28"/>
                <w:lang w:eastAsia="zh-CN"/>
              </w:rPr>
              <w:t xml:space="preserve">张家界市武陵源区湘西北生物多样性保护和生态修复项目（二期） </w:t>
            </w:r>
          </w:p>
        </w:tc>
        <w:tc>
          <w:tcPr>
            <w:tcW w:w="264" w:type="dxa"/>
            <w:vMerge w:val="restart"/>
            <w:tcBorders>
              <w:top w:val="nil"/>
              <w:left w:val="nil"/>
              <w:bottom w:val="nil"/>
              <w:right w:val="nil"/>
            </w:tcBorders>
            <w:noWrap w:val="0"/>
            <w:vAlign w:val="center"/>
          </w:tcPr>
          <w:p w14:paraId="2433CF45">
            <w:pPr>
              <w:adjustRightInd w:val="0"/>
              <w:snapToGrid w:val="0"/>
              <w:rPr>
                <w:rFonts w:ascii="Times New Roman" w:hAnsi="Times New Roman" w:eastAsia="楷体_GB2312" w:cs="Times New Roman"/>
                <w:color w:val="000000"/>
                <w:sz w:val="52"/>
                <w:szCs w:val="22"/>
              </w:rPr>
            </w:pPr>
          </w:p>
        </w:tc>
      </w:tr>
      <w:tr w14:paraId="4061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725" w:type="dxa"/>
            <w:vMerge w:val="continue"/>
            <w:tcBorders>
              <w:top w:val="nil"/>
              <w:left w:val="nil"/>
              <w:bottom w:val="nil"/>
              <w:right w:val="nil"/>
            </w:tcBorders>
            <w:noWrap w:val="0"/>
            <w:vAlign w:val="center"/>
          </w:tcPr>
          <w:p w14:paraId="5177302A">
            <w:pPr>
              <w:widowControl/>
              <w:jc w:val="left"/>
              <w:rPr>
                <w:rFonts w:ascii="Times New Roman" w:hAnsi="Times New Roman" w:eastAsia="楷体_GB2312" w:cs="Times New Roman"/>
                <w:color w:val="000000"/>
                <w:sz w:val="52"/>
                <w:szCs w:val="22"/>
              </w:rPr>
            </w:pPr>
          </w:p>
        </w:tc>
        <w:tc>
          <w:tcPr>
            <w:tcW w:w="2891" w:type="dxa"/>
            <w:tcBorders>
              <w:top w:val="nil"/>
              <w:left w:val="nil"/>
              <w:bottom w:val="nil"/>
              <w:right w:val="nil"/>
            </w:tcBorders>
            <w:noWrap w:val="0"/>
            <w:vAlign w:val="center"/>
          </w:tcPr>
          <w:p w14:paraId="6F22C045">
            <w:pPr>
              <w:adjustRightInd w:val="0"/>
              <w:snapToGrid w:val="0"/>
              <w:spacing w:line="360" w:lineRule="auto"/>
              <w:jc w:val="distribute"/>
              <w:rPr>
                <w:rFonts w:ascii="Times New Roman" w:hAnsi="Times New Roman" w:eastAsia="等线" w:cs="Times New Roman"/>
                <w:color w:val="000000"/>
                <w:szCs w:val="22"/>
              </w:rPr>
            </w:pPr>
            <w:r>
              <w:rPr>
                <w:rFonts w:hint="eastAsia" w:ascii="黑体" w:hAnsi="黑体" w:eastAsia="黑体" w:cs="黑体"/>
                <w:color w:val="000000"/>
                <w:sz w:val="32"/>
                <w:szCs w:val="32"/>
              </w:rPr>
              <w:t>采购合同编号：</w:t>
            </w:r>
          </w:p>
        </w:tc>
        <w:tc>
          <w:tcPr>
            <w:tcW w:w="240" w:type="dxa"/>
            <w:tcBorders>
              <w:top w:val="nil"/>
              <w:left w:val="nil"/>
              <w:bottom w:val="nil"/>
              <w:right w:val="nil"/>
            </w:tcBorders>
            <w:noWrap w:val="0"/>
            <w:vAlign w:val="center"/>
          </w:tcPr>
          <w:p w14:paraId="43D968EA">
            <w:pPr>
              <w:ind w:firstLine="1960" w:firstLineChars="700"/>
              <w:rPr>
                <w:rFonts w:ascii="Times New Roman" w:hAnsi="Times New Roman" w:eastAsia="等线" w:cs="Times New Roman"/>
                <w:color w:val="000000"/>
                <w:sz w:val="28"/>
                <w:szCs w:val="28"/>
              </w:rPr>
            </w:pPr>
          </w:p>
        </w:tc>
        <w:tc>
          <w:tcPr>
            <w:tcW w:w="6090" w:type="dxa"/>
            <w:tcBorders>
              <w:top w:val="nil"/>
              <w:left w:val="nil"/>
              <w:bottom w:val="nil"/>
              <w:right w:val="nil"/>
            </w:tcBorders>
            <w:noWrap w:val="0"/>
            <w:vAlign w:val="center"/>
          </w:tcPr>
          <w:p w14:paraId="4C74509B">
            <w:pPr>
              <w:rPr>
                <w:rFonts w:ascii="微软雅黑" w:hAnsi="微软雅黑" w:eastAsia="微软雅黑" w:cs="微软雅黑"/>
                <w:color w:val="000000"/>
                <w:sz w:val="28"/>
                <w:szCs w:val="28"/>
              </w:rPr>
            </w:pPr>
          </w:p>
        </w:tc>
        <w:tc>
          <w:tcPr>
            <w:tcW w:w="264" w:type="dxa"/>
            <w:vMerge w:val="continue"/>
            <w:tcBorders>
              <w:top w:val="nil"/>
              <w:left w:val="nil"/>
              <w:bottom w:val="nil"/>
              <w:right w:val="nil"/>
            </w:tcBorders>
            <w:noWrap w:val="0"/>
            <w:vAlign w:val="center"/>
          </w:tcPr>
          <w:p w14:paraId="027606BE">
            <w:pPr>
              <w:widowControl/>
              <w:jc w:val="left"/>
              <w:rPr>
                <w:rFonts w:ascii="Times New Roman" w:hAnsi="Times New Roman" w:eastAsia="楷体_GB2312" w:cs="Times New Roman"/>
                <w:color w:val="000000"/>
                <w:sz w:val="52"/>
                <w:szCs w:val="22"/>
              </w:rPr>
            </w:pPr>
          </w:p>
        </w:tc>
      </w:tr>
      <w:tr w14:paraId="08DC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725" w:type="dxa"/>
            <w:vMerge w:val="continue"/>
            <w:tcBorders>
              <w:top w:val="nil"/>
              <w:left w:val="nil"/>
              <w:bottom w:val="nil"/>
              <w:right w:val="nil"/>
            </w:tcBorders>
            <w:noWrap w:val="0"/>
            <w:vAlign w:val="center"/>
          </w:tcPr>
          <w:p w14:paraId="625E85DA">
            <w:pPr>
              <w:widowControl/>
              <w:jc w:val="left"/>
              <w:rPr>
                <w:rFonts w:ascii="Times New Roman" w:hAnsi="Times New Roman" w:eastAsia="楷体_GB2312" w:cs="Times New Roman"/>
                <w:color w:val="000000"/>
                <w:sz w:val="52"/>
                <w:szCs w:val="22"/>
              </w:rPr>
            </w:pPr>
          </w:p>
        </w:tc>
        <w:tc>
          <w:tcPr>
            <w:tcW w:w="2891" w:type="dxa"/>
            <w:tcBorders>
              <w:top w:val="nil"/>
              <w:left w:val="nil"/>
              <w:bottom w:val="nil"/>
              <w:right w:val="nil"/>
            </w:tcBorders>
            <w:noWrap w:val="0"/>
            <w:vAlign w:val="center"/>
          </w:tcPr>
          <w:p w14:paraId="2C45E0AD">
            <w:pPr>
              <w:adjustRightInd w:val="0"/>
              <w:snapToGrid w:val="0"/>
              <w:spacing w:line="360" w:lineRule="auto"/>
              <w:jc w:val="distribute"/>
              <w:rPr>
                <w:rFonts w:ascii="Times New Roman" w:hAnsi="Times New Roman" w:eastAsia="等线" w:cs="Times New Roman"/>
                <w:color w:val="000000"/>
                <w:szCs w:val="22"/>
              </w:rPr>
            </w:pPr>
            <w:r>
              <w:rPr>
                <w:rFonts w:hint="eastAsia" w:ascii="黑体" w:hAnsi="黑体" w:eastAsia="黑体" w:cs="黑体"/>
                <w:color w:val="000000"/>
                <w:sz w:val="32"/>
                <w:szCs w:val="32"/>
              </w:rPr>
              <w:t>甲方（采购人）：</w:t>
            </w:r>
          </w:p>
        </w:tc>
        <w:tc>
          <w:tcPr>
            <w:tcW w:w="240" w:type="dxa"/>
            <w:tcBorders>
              <w:top w:val="nil"/>
              <w:left w:val="nil"/>
              <w:bottom w:val="nil"/>
              <w:right w:val="nil"/>
            </w:tcBorders>
            <w:noWrap w:val="0"/>
            <w:vAlign w:val="center"/>
          </w:tcPr>
          <w:p w14:paraId="240BCBE3">
            <w:pPr>
              <w:ind w:firstLine="1960" w:firstLineChars="700"/>
              <w:rPr>
                <w:rFonts w:ascii="Times New Roman" w:hAnsi="Times New Roman" w:eastAsia="等线" w:cs="Times New Roman"/>
                <w:color w:val="000000"/>
                <w:sz w:val="28"/>
                <w:szCs w:val="28"/>
              </w:rPr>
            </w:pPr>
          </w:p>
        </w:tc>
        <w:tc>
          <w:tcPr>
            <w:tcW w:w="6090" w:type="dxa"/>
            <w:tcBorders>
              <w:top w:val="nil"/>
              <w:left w:val="nil"/>
              <w:bottom w:val="nil"/>
              <w:right w:val="nil"/>
            </w:tcBorders>
            <w:noWrap w:val="0"/>
            <w:vAlign w:val="center"/>
          </w:tcPr>
          <w:p w14:paraId="39587F1C">
            <w:pPr>
              <w:rPr>
                <w:rFonts w:hint="eastAsia"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张家界市武陵源区自然资源和林业局</w:t>
            </w:r>
          </w:p>
        </w:tc>
        <w:tc>
          <w:tcPr>
            <w:tcW w:w="264" w:type="dxa"/>
            <w:vMerge w:val="continue"/>
            <w:tcBorders>
              <w:top w:val="nil"/>
              <w:left w:val="nil"/>
              <w:bottom w:val="nil"/>
              <w:right w:val="nil"/>
            </w:tcBorders>
            <w:noWrap w:val="0"/>
            <w:vAlign w:val="center"/>
          </w:tcPr>
          <w:p w14:paraId="1B1AE26A">
            <w:pPr>
              <w:widowControl/>
              <w:jc w:val="left"/>
              <w:rPr>
                <w:rFonts w:ascii="Times New Roman" w:hAnsi="Times New Roman" w:eastAsia="楷体_GB2312" w:cs="Times New Roman"/>
                <w:color w:val="000000"/>
                <w:sz w:val="52"/>
                <w:szCs w:val="22"/>
              </w:rPr>
            </w:pPr>
          </w:p>
        </w:tc>
      </w:tr>
      <w:tr w14:paraId="008B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725" w:type="dxa"/>
            <w:vMerge w:val="continue"/>
            <w:tcBorders>
              <w:top w:val="nil"/>
              <w:left w:val="nil"/>
              <w:bottom w:val="nil"/>
              <w:right w:val="nil"/>
            </w:tcBorders>
            <w:noWrap w:val="0"/>
            <w:vAlign w:val="center"/>
          </w:tcPr>
          <w:p w14:paraId="78103311">
            <w:pPr>
              <w:widowControl/>
              <w:jc w:val="left"/>
              <w:rPr>
                <w:rFonts w:ascii="Times New Roman" w:hAnsi="Times New Roman" w:eastAsia="楷体_GB2312" w:cs="Times New Roman"/>
                <w:color w:val="000000"/>
                <w:sz w:val="52"/>
                <w:szCs w:val="22"/>
              </w:rPr>
            </w:pPr>
          </w:p>
        </w:tc>
        <w:tc>
          <w:tcPr>
            <w:tcW w:w="2891" w:type="dxa"/>
            <w:tcBorders>
              <w:top w:val="nil"/>
              <w:left w:val="nil"/>
              <w:bottom w:val="nil"/>
              <w:right w:val="nil"/>
            </w:tcBorders>
            <w:noWrap w:val="0"/>
            <w:vAlign w:val="center"/>
          </w:tcPr>
          <w:p w14:paraId="4831D618">
            <w:pPr>
              <w:adjustRightInd w:val="0"/>
              <w:snapToGrid w:val="0"/>
              <w:spacing w:line="360" w:lineRule="auto"/>
              <w:jc w:val="distribute"/>
              <w:rPr>
                <w:rFonts w:ascii="Times New Roman" w:hAnsi="Times New Roman" w:eastAsia="等线" w:cs="Times New Roman"/>
                <w:color w:val="000000"/>
                <w:szCs w:val="22"/>
              </w:rPr>
            </w:pPr>
            <w:r>
              <w:rPr>
                <w:rFonts w:hint="eastAsia" w:ascii="黑体" w:hAnsi="黑体" w:eastAsia="黑体" w:cs="黑体"/>
                <w:color w:val="000000"/>
                <w:sz w:val="32"/>
                <w:szCs w:val="32"/>
              </w:rPr>
              <w:t>乙方（供应商）：</w:t>
            </w:r>
          </w:p>
        </w:tc>
        <w:tc>
          <w:tcPr>
            <w:tcW w:w="240" w:type="dxa"/>
            <w:tcBorders>
              <w:top w:val="nil"/>
              <w:left w:val="nil"/>
              <w:bottom w:val="nil"/>
              <w:right w:val="nil"/>
            </w:tcBorders>
            <w:noWrap w:val="0"/>
            <w:vAlign w:val="center"/>
          </w:tcPr>
          <w:p w14:paraId="3F619612">
            <w:pPr>
              <w:ind w:firstLine="1960" w:firstLineChars="700"/>
              <w:rPr>
                <w:rFonts w:ascii="Times New Roman" w:hAnsi="Times New Roman" w:eastAsia="等线" w:cs="Times New Roman"/>
                <w:color w:val="000000"/>
                <w:sz w:val="28"/>
                <w:szCs w:val="28"/>
              </w:rPr>
            </w:pPr>
          </w:p>
        </w:tc>
        <w:tc>
          <w:tcPr>
            <w:tcW w:w="6090" w:type="dxa"/>
            <w:tcBorders>
              <w:top w:val="nil"/>
              <w:left w:val="nil"/>
              <w:bottom w:val="nil"/>
              <w:right w:val="nil"/>
            </w:tcBorders>
            <w:noWrap w:val="0"/>
            <w:vAlign w:val="center"/>
          </w:tcPr>
          <w:p w14:paraId="214A1F82">
            <w:pPr>
              <w:rPr>
                <w:rFonts w:ascii="Times New Roman" w:hAnsi="Times New Roman" w:eastAsia="等线" w:cs="Times New Roman"/>
                <w:color w:val="000000"/>
                <w:sz w:val="28"/>
                <w:szCs w:val="28"/>
              </w:rPr>
            </w:pPr>
          </w:p>
        </w:tc>
        <w:tc>
          <w:tcPr>
            <w:tcW w:w="264" w:type="dxa"/>
            <w:vMerge w:val="continue"/>
            <w:tcBorders>
              <w:top w:val="nil"/>
              <w:left w:val="nil"/>
              <w:bottom w:val="nil"/>
              <w:right w:val="nil"/>
            </w:tcBorders>
            <w:noWrap w:val="0"/>
            <w:vAlign w:val="center"/>
          </w:tcPr>
          <w:p w14:paraId="63ADF620">
            <w:pPr>
              <w:widowControl/>
              <w:jc w:val="left"/>
              <w:rPr>
                <w:rFonts w:ascii="Times New Roman" w:hAnsi="Times New Roman" w:eastAsia="楷体_GB2312" w:cs="Times New Roman"/>
                <w:color w:val="000000"/>
                <w:sz w:val="52"/>
                <w:szCs w:val="22"/>
              </w:rPr>
            </w:pPr>
          </w:p>
        </w:tc>
      </w:tr>
      <w:tr w14:paraId="2674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tcBorders>
              <w:top w:val="nil"/>
              <w:left w:val="nil"/>
              <w:bottom w:val="nil"/>
              <w:right w:val="nil"/>
            </w:tcBorders>
            <w:noWrap w:val="0"/>
            <w:vAlign w:val="center"/>
          </w:tcPr>
          <w:p w14:paraId="5139AC5A">
            <w:pPr>
              <w:widowControl/>
              <w:jc w:val="left"/>
              <w:rPr>
                <w:rFonts w:ascii="Times New Roman" w:hAnsi="Times New Roman" w:eastAsia="楷体_GB2312" w:cs="Times New Roman"/>
                <w:color w:val="000000"/>
                <w:sz w:val="52"/>
                <w:szCs w:val="22"/>
              </w:rPr>
            </w:pPr>
          </w:p>
        </w:tc>
        <w:tc>
          <w:tcPr>
            <w:tcW w:w="2891" w:type="dxa"/>
            <w:tcBorders>
              <w:top w:val="nil"/>
              <w:left w:val="nil"/>
              <w:bottom w:val="nil"/>
              <w:right w:val="nil"/>
            </w:tcBorders>
            <w:noWrap w:val="0"/>
            <w:vAlign w:val="center"/>
          </w:tcPr>
          <w:p w14:paraId="44C082AA">
            <w:pPr>
              <w:adjustRightInd w:val="0"/>
              <w:snapToGrid w:val="0"/>
              <w:spacing w:line="360" w:lineRule="auto"/>
              <w:jc w:val="distribute"/>
              <w:rPr>
                <w:rFonts w:ascii="黑体" w:hAnsi="黑体" w:eastAsia="黑体" w:cs="黑体"/>
                <w:color w:val="000000"/>
                <w:sz w:val="32"/>
                <w:szCs w:val="32"/>
              </w:rPr>
            </w:pPr>
            <w:r>
              <w:rPr>
                <w:rFonts w:hint="eastAsia" w:ascii="黑体" w:hAnsi="黑体" w:eastAsia="黑体" w:cs="黑体"/>
                <w:color w:val="000000"/>
                <w:sz w:val="32"/>
                <w:szCs w:val="32"/>
              </w:rPr>
              <w:t>签订地点：</w:t>
            </w:r>
          </w:p>
        </w:tc>
        <w:tc>
          <w:tcPr>
            <w:tcW w:w="240" w:type="dxa"/>
            <w:tcBorders>
              <w:top w:val="nil"/>
              <w:left w:val="nil"/>
              <w:bottom w:val="nil"/>
              <w:right w:val="nil"/>
            </w:tcBorders>
            <w:noWrap w:val="0"/>
            <w:vAlign w:val="center"/>
          </w:tcPr>
          <w:p w14:paraId="4C7B3942">
            <w:pPr>
              <w:ind w:firstLine="1960" w:firstLineChars="700"/>
              <w:rPr>
                <w:rFonts w:ascii="Times New Roman" w:hAnsi="Times New Roman" w:eastAsia="等线" w:cs="Times New Roman"/>
                <w:color w:val="000000"/>
                <w:sz w:val="28"/>
                <w:szCs w:val="28"/>
              </w:rPr>
            </w:pPr>
          </w:p>
        </w:tc>
        <w:tc>
          <w:tcPr>
            <w:tcW w:w="6090" w:type="dxa"/>
            <w:tcBorders>
              <w:top w:val="nil"/>
              <w:left w:val="nil"/>
              <w:bottom w:val="nil"/>
              <w:right w:val="nil"/>
            </w:tcBorders>
            <w:noWrap w:val="0"/>
            <w:vAlign w:val="center"/>
          </w:tcPr>
          <w:p w14:paraId="722D8FC6">
            <w:pPr>
              <w:rPr>
                <w:rFonts w:ascii="Times New Roman" w:hAnsi="Times New Roman" w:eastAsia="等线" w:cs="Times New Roman"/>
                <w:color w:val="000000"/>
                <w:sz w:val="28"/>
                <w:szCs w:val="28"/>
              </w:rPr>
            </w:pPr>
          </w:p>
        </w:tc>
        <w:tc>
          <w:tcPr>
            <w:tcW w:w="264" w:type="dxa"/>
            <w:tcBorders>
              <w:top w:val="nil"/>
              <w:left w:val="nil"/>
              <w:bottom w:val="nil"/>
              <w:right w:val="nil"/>
            </w:tcBorders>
            <w:noWrap w:val="0"/>
            <w:vAlign w:val="center"/>
          </w:tcPr>
          <w:p w14:paraId="37BA3ED4">
            <w:pPr>
              <w:widowControl/>
              <w:jc w:val="distribute"/>
              <w:rPr>
                <w:rFonts w:ascii="Times New Roman" w:hAnsi="Times New Roman" w:eastAsia="楷体_GB2312" w:cs="Times New Roman"/>
                <w:color w:val="000000"/>
                <w:sz w:val="52"/>
                <w:szCs w:val="22"/>
              </w:rPr>
            </w:pPr>
          </w:p>
        </w:tc>
      </w:tr>
      <w:tr w14:paraId="222C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tcBorders>
              <w:top w:val="nil"/>
              <w:left w:val="nil"/>
              <w:bottom w:val="nil"/>
              <w:right w:val="nil"/>
            </w:tcBorders>
            <w:noWrap w:val="0"/>
            <w:vAlign w:val="center"/>
          </w:tcPr>
          <w:p w14:paraId="2CC2475F">
            <w:pPr>
              <w:widowControl/>
              <w:jc w:val="left"/>
              <w:rPr>
                <w:rFonts w:ascii="Times New Roman" w:hAnsi="Times New Roman" w:eastAsia="楷体_GB2312" w:cs="Times New Roman"/>
                <w:color w:val="000000"/>
                <w:sz w:val="52"/>
                <w:szCs w:val="22"/>
              </w:rPr>
            </w:pPr>
          </w:p>
        </w:tc>
        <w:tc>
          <w:tcPr>
            <w:tcW w:w="2891" w:type="dxa"/>
            <w:tcBorders>
              <w:top w:val="nil"/>
              <w:left w:val="nil"/>
              <w:bottom w:val="nil"/>
              <w:right w:val="nil"/>
            </w:tcBorders>
            <w:noWrap w:val="0"/>
            <w:vAlign w:val="center"/>
          </w:tcPr>
          <w:p w14:paraId="02B35DBE">
            <w:pPr>
              <w:adjustRightInd w:val="0"/>
              <w:snapToGrid w:val="0"/>
              <w:spacing w:line="360" w:lineRule="auto"/>
              <w:jc w:val="distribute"/>
              <w:rPr>
                <w:rFonts w:ascii="黑体" w:hAnsi="黑体" w:eastAsia="黑体" w:cs="黑体"/>
                <w:color w:val="000000"/>
                <w:sz w:val="32"/>
                <w:szCs w:val="32"/>
              </w:rPr>
            </w:pPr>
            <w:r>
              <w:rPr>
                <w:rFonts w:hint="eastAsia" w:ascii="黑体" w:hAnsi="黑体" w:eastAsia="黑体" w:cs="黑体"/>
                <w:color w:val="000000"/>
                <w:sz w:val="32"/>
                <w:szCs w:val="32"/>
              </w:rPr>
              <w:t>签订日期：</w:t>
            </w:r>
          </w:p>
        </w:tc>
        <w:tc>
          <w:tcPr>
            <w:tcW w:w="240" w:type="dxa"/>
            <w:tcBorders>
              <w:top w:val="nil"/>
              <w:left w:val="nil"/>
              <w:bottom w:val="nil"/>
              <w:right w:val="nil"/>
            </w:tcBorders>
            <w:noWrap w:val="0"/>
            <w:vAlign w:val="center"/>
          </w:tcPr>
          <w:p w14:paraId="5BECBE8E">
            <w:pPr>
              <w:ind w:firstLine="1960" w:firstLineChars="700"/>
              <w:rPr>
                <w:rFonts w:ascii="Times New Roman" w:hAnsi="Times New Roman" w:eastAsia="等线" w:cs="Times New Roman"/>
                <w:color w:val="000000"/>
                <w:sz w:val="28"/>
                <w:szCs w:val="28"/>
              </w:rPr>
            </w:pPr>
          </w:p>
        </w:tc>
        <w:tc>
          <w:tcPr>
            <w:tcW w:w="6090" w:type="dxa"/>
            <w:tcBorders>
              <w:top w:val="nil"/>
              <w:left w:val="nil"/>
              <w:bottom w:val="nil"/>
              <w:right w:val="nil"/>
            </w:tcBorders>
            <w:noWrap w:val="0"/>
            <w:vAlign w:val="center"/>
          </w:tcPr>
          <w:p w14:paraId="29F682A3">
            <w:pPr>
              <w:rPr>
                <w:rFonts w:ascii="Times New Roman" w:hAnsi="Times New Roman" w:eastAsia="等线" w:cs="Times New Roman"/>
                <w:color w:val="000000"/>
                <w:sz w:val="28"/>
                <w:szCs w:val="28"/>
              </w:rPr>
            </w:pPr>
          </w:p>
        </w:tc>
        <w:tc>
          <w:tcPr>
            <w:tcW w:w="264" w:type="dxa"/>
            <w:tcBorders>
              <w:top w:val="nil"/>
              <w:left w:val="nil"/>
              <w:bottom w:val="nil"/>
              <w:right w:val="nil"/>
            </w:tcBorders>
            <w:noWrap w:val="0"/>
            <w:vAlign w:val="center"/>
          </w:tcPr>
          <w:p w14:paraId="605B7DD5">
            <w:pPr>
              <w:widowControl/>
              <w:jc w:val="distribute"/>
              <w:rPr>
                <w:rFonts w:ascii="Times New Roman" w:hAnsi="Times New Roman" w:eastAsia="楷体_GB2312" w:cs="Times New Roman"/>
                <w:color w:val="000000"/>
                <w:sz w:val="52"/>
                <w:szCs w:val="22"/>
              </w:rPr>
            </w:pPr>
          </w:p>
        </w:tc>
      </w:tr>
    </w:tbl>
    <w:p w14:paraId="199A17EE">
      <w:pPr>
        <w:rPr>
          <w:rFonts w:ascii="等线" w:hAnsi="等线" w:eastAsia="等线" w:cs="Times New Roman"/>
          <w:color w:val="000000"/>
          <w:szCs w:val="22"/>
        </w:rPr>
      </w:pPr>
    </w:p>
    <w:p w14:paraId="079EDBA2">
      <w:pPr>
        <w:pStyle w:val="3"/>
        <w:bidi w:val="0"/>
        <w:jc w:val="center"/>
        <w:rPr>
          <w:rFonts w:ascii="黑体" w:hAnsi="华文中宋" w:eastAsia="黑体" w:cs="Times New Roman"/>
          <w:b/>
          <w:bCs/>
          <w:color w:val="auto"/>
          <w:kern w:val="2"/>
          <w:sz w:val="28"/>
          <w:szCs w:val="28"/>
          <w:lang w:val="en-US" w:eastAsia="zh-CN" w:bidi="ar-SA"/>
        </w:rPr>
      </w:pPr>
      <w:r>
        <w:rPr>
          <w:rFonts w:hint="eastAsia" w:ascii="等线" w:hAnsi="等线" w:eastAsia="等线" w:cs="Times New Roman"/>
          <w:color w:val="000000"/>
          <w:szCs w:val="22"/>
        </w:rPr>
        <w:br w:type="page"/>
      </w:r>
      <w:bookmarkStart w:id="58" w:name="_Toc30335"/>
      <w:bookmarkStart w:id="59" w:name="_Toc10372"/>
      <w:r>
        <w:rPr>
          <w:rFonts w:hint="eastAsia" w:ascii="黑体" w:hAnsi="华文中宋" w:eastAsia="黑体" w:cs="Times New Roman"/>
          <w:b/>
          <w:bCs/>
          <w:color w:val="auto"/>
          <w:kern w:val="2"/>
          <w:sz w:val="28"/>
          <w:szCs w:val="28"/>
          <w:lang w:val="en-US" w:eastAsia="zh-CN" w:bidi="ar-SA"/>
        </w:rPr>
        <w:t>第一节</w:t>
      </w:r>
      <w:r>
        <w:rPr>
          <w:rFonts w:ascii="黑体" w:hAnsi="华文中宋" w:eastAsia="黑体" w:cs="Times New Roman"/>
          <w:b/>
          <w:bCs/>
          <w:color w:val="auto"/>
          <w:kern w:val="2"/>
          <w:sz w:val="28"/>
          <w:szCs w:val="28"/>
          <w:lang w:val="en-US" w:eastAsia="zh-CN" w:bidi="ar-SA"/>
        </w:rPr>
        <w:t xml:space="preserve"> </w:t>
      </w:r>
      <w:r>
        <w:rPr>
          <w:rFonts w:hint="eastAsia" w:ascii="黑体" w:hAnsi="华文中宋" w:eastAsia="黑体" w:cs="Times New Roman"/>
          <w:b/>
          <w:bCs/>
          <w:color w:val="auto"/>
          <w:kern w:val="2"/>
          <w:sz w:val="28"/>
          <w:szCs w:val="28"/>
          <w:lang w:val="en-US" w:eastAsia="zh-CN" w:bidi="ar-SA"/>
        </w:rPr>
        <w:t>政府采购合同协议书</w:t>
      </w:r>
      <w:bookmarkEnd w:id="58"/>
      <w:bookmarkEnd w:id="59"/>
    </w:p>
    <w:p w14:paraId="141900E7">
      <w:pPr>
        <w:pageBreakBefore w:val="0"/>
        <w:topLinePunct w:val="0"/>
        <w:bidi w:val="0"/>
        <w:adjustRightInd w:val="0"/>
        <w:snapToGrid w:val="0"/>
        <w:spacing w:line="420" w:lineRule="exact"/>
        <w:jc w:val="center"/>
        <w:rPr>
          <w:rFonts w:ascii="宋体" w:hAnsi="Calibri" w:eastAsia="宋体" w:cs="Times New Roman"/>
          <w:color w:val="auto"/>
          <w:szCs w:val="21"/>
        </w:rPr>
      </w:pPr>
    </w:p>
    <w:p w14:paraId="079ACB35">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rPr>
        <w:t>采购合同编号：</w:t>
      </w:r>
    </w:p>
    <w:p w14:paraId="16FB5B04">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采购人（全称）：</w:t>
      </w:r>
      <w:r>
        <w:rPr>
          <w:rFonts w:hint="eastAsia" w:asciiTheme="minorEastAsia" w:hAnsiTheme="minorEastAsia" w:eastAsiaTheme="minorEastAsia" w:cstheme="minorEastAsia"/>
          <w:color w:val="auto"/>
          <w:sz w:val="24"/>
          <w:szCs w:val="24"/>
          <w:u w:val="single"/>
        </w:rPr>
        <w:t>张家界市武陵源区自然资源和林业局</w:t>
      </w:r>
      <w:r>
        <w:rPr>
          <w:rFonts w:hint="eastAsia" w:asciiTheme="minorEastAsia" w:hAnsiTheme="minorEastAsia" w:eastAsiaTheme="minorEastAsia" w:cstheme="minorEastAsia"/>
          <w:color w:val="auto"/>
          <w:sz w:val="24"/>
          <w:szCs w:val="24"/>
        </w:rPr>
        <w:t>（甲方）</w:t>
      </w:r>
    </w:p>
    <w:p w14:paraId="53B969AB">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供应商（全称）：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（乙方）</w:t>
      </w:r>
    </w:p>
    <w:p w14:paraId="630FFAD3">
      <w:pPr>
        <w:keepNext w:val="0"/>
        <w:keepLines w:val="0"/>
        <w:pageBreakBefore w:val="0"/>
        <w:widowControl w:val="0"/>
        <w:kinsoku/>
        <w:wordWrap/>
        <w:overflowPunct/>
        <w:topLinePunct w:val="0"/>
        <w:autoSpaceDE/>
        <w:autoSpaceDN/>
        <w:bidi w:val="0"/>
        <w:adjustRightInd w:val="0"/>
        <w:snapToGrid w:val="0"/>
        <w:spacing w:after="0" w:line="480" w:lineRule="exact"/>
        <w:ind w:left="420" w:leftChars="200"/>
        <w:jc w:val="both"/>
        <w:textAlignment w:val="auto"/>
        <w:rPr>
          <w:rFonts w:hint="eastAsia" w:asciiTheme="minorEastAsia" w:hAnsiTheme="minorEastAsia" w:eastAsiaTheme="minorEastAsia" w:cstheme="minorEastAsia"/>
          <w:color w:val="auto"/>
          <w:kern w:val="2"/>
          <w:sz w:val="24"/>
          <w:szCs w:val="24"/>
          <w:lang w:val="en-US" w:eastAsia="zh-CN" w:bidi="ar-SA"/>
        </w:rPr>
      </w:pPr>
    </w:p>
    <w:p w14:paraId="6C2022E0">
      <w:pPr>
        <w:keepNext w:val="0"/>
        <w:keepLines w:val="0"/>
        <w:pageBreakBefore w:val="0"/>
        <w:widowControl w:val="0"/>
        <w:kinsoku/>
        <w:wordWrap/>
        <w:overflowPunct/>
        <w:topLinePunct w:val="0"/>
        <w:autoSpaceDE/>
        <w:autoSpaceDN/>
        <w:bidi w:val="0"/>
        <w:adjustRightInd w:val="0"/>
        <w:snapToGrid w:val="0"/>
        <w:spacing w:after="0" w:line="480" w:lineRule="exact"/>
        <w:ind w:left="0"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为了保护甲、乙双方合法权益，根据《中华人民共和国民法典》、《中华人民共和国政府采购法》及其他有关法律、法规、规章，双方签订本合同协议书。</w:t>
      </w:r>
    </w:p>
    <w:p w14:paraId="5E4E14DD">
      <w:pPr>
        <w:keepNext w:val="0"/>
        <w:keepLines w:val="0"/>
        <w:pageBreakBefore w:val="0"/>
        <w:widowControl w:val="0"/>
        <w:kinsoku/>
        <w:wordWrap/>
        <w:overflowPunct/>
        <w:topLinePunct w:val="0"/>
        <w:autoSpaceDE/>
        <w:autoSpaceDN/>
        <w:bidi w:val="0"/>
        <w:adjustRightInd w:val="0"/>
        <w:snapToGrid w:val="0"/>
        <w:spacing w:line="480" w:lineRule="exact"/>
        <w:ind w:firstLine="482" w:firstLineChars="200"/>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1.项目信息</w:t>
      </w:r>
    </w:p>
    <w:p w14:paraId="3511BE1D">
      <w:pPr>
        <w:keepNext w:val="0"/>
        <w:keepLines w:val="0"/>
        <w:pageBreakBefore w:val="0"/>
        <w:widowControl w:val="0"/>
        <w:kinsoku/>
        <w:wordWrap/>
        <w:overflowPunct/>
        <w:topLinePunct w:val="0"/>
        <w:autoSpaceDE/>
        <w:autoSpaceDN/>
        <w:bidi w:val="0"/>
        <w:adjustRightInd w:val="0"/>
        <w:snapToGrid w:val="0"/>
        <w:spacing w:after="0" w:line="480" w:lineRule="exact"/>
        <w:ind w:left="420" w:left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（1）采购项目名称：</w:t>
      </w:r>
      <w:r>
        <w:rPr>
          <w:rFonts w:hint="eastAsia" w:asciiTheme="minorEastAsia" w:hAnsiTheme="minorEastAsia" w:eastAsiaTheme="minorEastAsia" w:cstheme="minorEastAsia"/>
          <w:color w:val="auto"/>
          <w:kern w:val="2"/>
          <w:sz w:val="24"/>
          <w:szCs w:val="24"/>
          <w:u w:val="single"/>
          <w:lang w:val="en-US" w:eastAsia="zh-CN" w:bidi="ar-SA"/>
        </w:rPr>
        <w:t>张家界市武陵源区湘西北生物多样性保护和生态修复项目</w:t>
      </w:r>
      <w:r>
        <w:rPr>
          <w:rFonts w:hint="eastAsia" w:asciiTheme="minorEastAsia" w:hAnsiTheme="minorEastAsia" w:cstheme="minorEastAsia"/>
          <w:color w:val="auto"/>
          <w:kern w:val="2"/>
          <w:sz w:val="24"/>
          <w:szCs w:val="24"/>
          <w:u w:val="single"/>
          <w:lang w:val="en-US" w:eastAsia="zh-CN" w:bidi="ar-SA"/>
        </w:rPr>
        <w:t>（二期）</w:t>
      </w:r>
    </w:p>
    <w:p w14:paraId="45D97D9A">
      <w:pPr>
        <w:keepNext w:val="0"/>
        <w:keepLines w:val="0"/>
        <w:pageBreakBefore w:val="0"/>
        <w:widowControl w:val="0"/>
        <w:kinsoku/>
        <w:wordWrap/>
        <w:overflowPunct/>
        <w:topLinePunct w:val="0"/>
        <w:autoSpaceDE/>
        <w:autoSpaceDN/>
        <w:bidi w:val="0"/>
        <w:adjustRightInd w:val="0"/>
        <w:snapToGrid w:val="0"/>
        <w:spacing w:after="0" w:line="480" w:lineRule="exact"/>
        <w:ind w:left="420" w:left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（2）采购计划编号：</w:t>
      </w:r>
      <w:r>
        <w:rPr>
          <w:rFonts w:hint="eastAsia" w:asciiTheme="minorEastAsia" w:hAnsiTheme="minorEastAsia" w:eastAsiaTheme="minorEastAsia" w:cstheme="minorEastAsia"/>
          <w:color w:val="auto"/>
          <w:kern w:val="2"/>
          <w:sz w:val="24"/>
          <w:szCs w:val="24"/>
          <w:u w:val="single"/>
          <w:lang w:val="en-US" w:eastAsia="zh-CN" w:bidi="ar-SA"/>
        </w:rPr>
        <w:t xml:space="preserve">(2026)430811000003-1 </w:t>
      </w:r>
      <w:r>
        <w:rPr>
          <w:rFonts w:hint="eastAsia" w:asciiTheme="minorEastAsia" w:hAnsiTheme="minorEastAsia" w:eastAsiaTheme="minorEastAsia" w:cstheme="minorEastAsia"/>
          <w:color w:val="auto"/>
          <w:kern w:val="2"/>
          <w:sz w:val="24"/>
          <w:szCs w:val="24"/>
          <w:lang w:val="en-US" w:eastAsia="zh-CN" w:bidi="ar-SA"/>
        </w:rPr>
        <w:t xml:space="preserve"> </w:t>
      </w:r>
    </w:p>
    <w:p w14:paraId="3B4F355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（3）项目内容：</w:t>
      </w:r>
      <w:r>
        <w:rPr>
          <w:rFonts w:hint="eastAsia" w:asciiTheme="minorEastAsia" w:hAnsiTheme="minorEastAsia" w:eastAsiaTheme="minorEastAsia" w:cstheme="minorEastAsia"/>
          <w:color w:val="auto"/>
          <w:sz w:val="24"/>
          <w:szCs w:val="24"/>
          <w:u w:val="single"/>
        </w:rPr>
        <w:t>严格按照招标文件要求及相关技术规程，完成项目区内退化林采伐修复工程的全部工作内容</w:t>
      </w:r>
      <w:r>
        <w:rPr>
          <w:rFonts w:hint="eastAsia" w:asciiTheme="minorEastAsia" w:hAnsiTheme="minorEastAsia" w:eastAsiaTheme="minorEastAsia" w:cstheme="minorEastAsia"/>
          <w:color w:val="auto"/>
          <w:sz w:val="24"/>
          <w:szCs w:val="24"/>
          <w:u w:val="single"/>
          <w:lang w:eastAsia="zh-CN"/>
        </w:rPr>
        <w:t>（包括但不仅限于</w:t>
      </w:r>
      <w:r>
        <w:rPr>
          <w:rFonts w:hint="eastAsia" w:asciiTheme="minorEastAsia" w:hAnsiTheme="minorEastAsia" w:eastAsiaTheme="minorEastAsia" w:cstheme="minorEastAsia"/>
          <w:color w:val="auto"/>
          <w:sz w:val="24"/>
          <w:szCs w:val="24"/>
          <w:u w:val="single"/>
        </w:rPr>
        <w:t>林地清理、采伐（间伐或择伐）、修枝整形、补植、培蔸抚育</w:t>
      </w:r>
      <w:r>
        <w:rPr>
          <w:rFonts w:hint="eastAsia" w:asciiTheme="minorEastAsia" w:hAnsiTheme="minorEastAsia" w:eastAsiaTheme="minorEastAsia" w:cstheme="minorEastAsia"/>
          <w:color w:val="auto"/>
          <w:sz w:val="24"/>
          <w:szCs w:val="24"/>
          <w:u w:val="single"/>
          <w:lang w:eastAsia="zh-CN"/>
        </w:rPr>
        <w:t>）</w:t>
      </w:r>
      <w:r>
        <w:rPr>
          <w:rFonts w:hint="eastAsia" w:asciiTheme="minorEastAsia" w:hAnsiTheme="minorEastAsia" w:eastAsiaTheme="minorEastAsia" w:cstheme="minorEastAsia"/>
          <w:color w:val="auto"/>
          <w:sz w:val="24"/>
          <w:szCs w:val="24"/>
          <w:u w:val="single"/>
        </w:rPr>
        <w:t>。所有实施活动必须符合世界自然遗产地生态保护要求，不得破坏原生植被和野生动物栖息地。</w:t>
      </w:r>
    </w:p>
    <w:p w14:paraId="7B1F3CD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（4）是否分包：</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p w14:paraId="1EE420C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（5）项目负责人：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p w14:paraId="15FC87E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（6）联系电话：</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p w14:paraId="1187C12D">
      <w:pPr>
        <w:keepNext w:val="0"/>
        <w:keepLines w:val="0"/>
        <w:pageBreakBefore w:val="0"/>
        <w:widowControl w:val="0"/>
        <w:kinsoku/>
        <w:wordWrap/>
        <w:overflowPunct/>
        <w:topLinePunct w:val="0"/>
        <w:autoSpaceDE/>
        <w:autoSpaceDN/>
        <w:bidi w:val="0"/>
        <w:adjustRightInd w:val="0"/>
        <w:snapToGrid w:val="0"/>
        <w:spacing w:line="480" w:lineRule="exact"/>
        <w:ind w:firstLine="472" w:firstLineChars="196"/>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2.合同金额</w:t>
      </w:r>
    </w:p>
    <w:p w14:paraId="2A83835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（1）合同金额小写：</w:t>
      </w:r>
      <w:r>
        <w:rPr>
          <w:rFonts w:hint="eastAsia" w:asciiTheme="minorEastAsia" w:hAnsiTheme="minorEastAsia" w:eastAsiaTheme="minorEastAsia" w:cstheme="minorEastAsia"/>
          <w:color w:val="auto"/>
          <w:sz w:val="24"/>
          <w:szCs w:val="24"/>
          <w:u w:val="single"/>
        </w:rPr>
        <w:t xml:space="preserve">                      </w:t>
      </w:r>
    </w:p>
    <w:p w14:paraId="3F39D041">
      <w:pPr>
        <w:keepNext w:val="0"/>
        <w:keepLines w:val="0"/>
        <w:pageBreakBefore w:val="0"/>
        <w:widowControl w:val="0"/>
        <w:kinsoku/>
        <w:wordWrap/>
        <w:overflowPunct/>
        <w:topLinePunct w:val="0"/>
        <w:autoSpaceDE/>
        <w:autoSpaceDN/>
        <w:bidi w:val="0"/>
        <w:adjustRightInd w:val="0"/>
        <w:snapToGrid w:val="0"/>
        <w:spacing w:line="480" w:lineRule="exact"/>
        <w:ind w:firstLine="1440" w:firstLineChars="600"/>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rPr>
        <w:t>大写：</w:t>
      </w:r>
      <w:r>
        <w:rPr>
          <w:rFonts w:hint="eastAsia" w:asciiTheme="minorEastAsia" w:hAnsiTheme="minorEastAsia" w:eastAsiaTheme="minorEastAsia" w:cstheme="minorEastAsia"/>
          <w:color w:val="auto"/>
          <w:sz w:val="24"/>
          <w:szCs w:val="24"/>
          <w:u w:val="single"/>
        </w:rPr>
        <w:t xml:space="preserve">                      </w:t>
      </w:r>
    </w:p>
    <w:p w14:paraId="16D694D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（2）具体标的见附件。</w:t>
      </w:r>
    </w:p>
    <w:p w14:paraId="0EAF5B7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（3）合同定价方式：</w:t>
      </w:r>
      <w:r>
        <w:rPr>
          <w:rFonts w:hint="eastAsia" w:asciiTheme="minorEastAsia" w:hAnsiTheme="minorEastAsia" w:eastAsiaTheme="minorEastAsia" w:cstheme="minorEastAsia"/>
          <w:iCs/>
          <w:color w:val="auto"/>
          <w:sz w:val="24"/>
          <w:szCs w:val="24"/>
        </w:rPr>
        <w:sym w:font="Wingdings" w:char="00FE"/>
      </w:r>
      <w:r>
        <w:rPr>
          <w:rFonts w:hint="eastAsia" w:asciiTheme="minorEastAsia" w:hAnsiTheme="minorEastAsia" w:eastAsiaTheme="minorEastAsia" w:cstheme="minorEastAsia"/>
          <w:iCs/>
          <w:color w:val="auto"/>
          <w:sz w:val="24"/>
          <w:szCs w:val="24"/>
        </w:rPr>
        <w:t xml:space="preserve">固定总价 </w:t>
      </w:r>
      <w:r>
        <w:rPr>
          <w:rFonts w:hint="eastAsia" w:asciiTheme="minorEastAsia" w:hAnsiTheme="minorEastAsia" w:eastAsiaTheme="minorEastAsia" w:cstheme="minorEastAsia"/>
          <w:iCs/>
          <w:color w:val="auto"/>
          <w:sz w:val="24"/>
          <w:szCs w:val="24"/>
        </w:rPr>
        <w:sym w:font="Wingdings" w:char="00A8"/>
      </w:r>
      <w:r>
        <w:rPr>
          <w:rFonts w:hint="eastAsia" w:asciiTheme="minorEastAsia" w:hAnsiTheme="minorEastAsia" w:eastAsiaTheme="minorEastAsia" w:cstheme="minorEastAsia"/>
          <w:iCs/>
          <w:color w:val="auto"/>
          <w:sz w:val="24"/>
          <w:szCs w:val="24"/>
        </w:rPr>
        <w:t xml:space="preserve">固定单价 </w:t>
      </w:r>
      <w:r>
        <w:rPr>
          <w:rFonts w:hint="eastAsia" w:asciiTheme="minorEastAsia" w:hAnsiTheme="minorEastAsia" w:eastAsiaTheme="minorEastAsia" w:cstheme="minorEastAsia"/>
          <w:iCs/>
          <w:color w:val="auto"/>
          <w:sz w:val="24"/>
          <w:szCs w:val="24"/>
        </w:rPr>
        <w:sym w:font="Wingdings" w:char="00A8"/>
      </w:r>
      <w:r>
        <w:rPr>
          <w:rFonts w:hint="eastAsia" w:asciiTheme="minorEastAsia" w:hAnsiTheme="minorEastAsia" w:eastAsiaTheme="minorEastAsia" w:cstheme="minorEastAsia"/>
          <w:iCs/>
          <w:color w:val="auto"/>
          <w:sz w:val="24"/>
          <w:szCs w:val="24"/>
        </w:rPr>
        <w:t xml:space="preserve">成本补偿 </w:t>
      </w:r>
      <w:r>
        <w:rPr>
          <w:rFonts w:hint="eastAsia" w:asciiTheme="minorEastAsia" w:hAnsiTheme="minorEastAsia" w:eastAsiaTheme="minorEastAsia" w:cstheme="minorEastAsia"/>
          <w:iCs/>
          <w:color w:val="auto"/>
          <w:sz w:val="24"/>
          <w:szCs w:val="24"/>
        </w:rPr>
        <w:sym w:font="Wingdings" w:char="00A8"/>
      </w:r>
      <w:r>
        <w:rPr>
          <w:rFonts w:hint="eastAsia" w:asciiTheme="minorEastAsia" w:hAnsiTheme="minorEastAsia" w:eastAsiaTheme="minorEastAsia" w:cstheme="minorEastAsia"/>
          <w:iCs/>
          <w:color w:val="auto"/>
          <w:sz w:val="24"/>
          <w:szCs w:val="24"/>
        </w:rPr>
        <w:t>绩效激励</w:t>
      </w:r>
    </w:p>
    <w:p w14:paraId="59DB48D2">
      <w:pPr>
        <w:keepNext w:val="0"/>
        <w:keepLines w:val="0"/>
        <w:pageBreakBefore w:val="0"/>
        <w:widowControl w:val="0"/>
        <w:kinsoku/>
        <w:wordWrap/>
        <w:overflowPunct/>
        <w:topLinePunct w:val="0"/>
        <w:autoSpaceDE/>
        <w:autoSpaceDN/>
        <w:bidi w:val="0"/>
        <w:spacing w:line="480" w:lineRule="exact"/>
        <w:ind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（4）付款方式（按项目实际勾选填写）：</w:t>
      </w:r>
    </w:p>
    <w:p w14:paraId="16FEDCB5">
      <w:pPr>
        <w:keepNext w:val="0"/>
        <w:keepLines w:val="0"/>
        <w:pageBreakBefore w:val="0"/>
        <w:widowControl w:val="0"/>
        <w:kinsoku/>
        <w:wordWrap/>
        <w:overflowPunct/>
        <w:topLinePunct w:val="0"/>
        <w:autoSpaceDE/>
        <w:autoSpaceDN/>
        <w:bidi w:val="0"/>
        <w:adjustRightInd w:val="0"/>
        <w:snapToGrid w:val="0"/>
        <w:spacing w:line="480" w:lineRule="exact"/>
        <w:ind w:firstLine="720" w:firstLineChars="300"/>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sym w:font="Wingdings" w:char="00A8"/>
      </w:r>
      <w:r>
        <w:rPr>
          <w:rFonts w:hint="eastAsia" w:asciiTheme="minorEastAsia" w:hAnsiTheme="minorEastAsia" w:eastAsiaTheme="minorEastAsia" w:cstheme="minorEastAsia"/>
          <w:color w:val="auto"/>
          <w:sz w:val="24"/>
          <w:szCs w:val="24"/>
        </w:rPr>
        <w:t>全额付款：</w:t>
      </w:r>
      <w:r>
        <w:rPr>
          <w:rFonts w:hint="eastAsia" w:asciiTheme="minorEastAsia" w:hAnsiTheme="minorEastAsia" w:eastAsiaTheme="minorEastAsia" w:cstheme="minorEastAsia"/>
          <w:color w:val="auto"/>
          <w:sz w:val="24"/>
          <w:szCs w:val="24"/>
          <w:u w:val="single"/>
        </w:rPr>
        <w:t xml:space="preserve">     （应一次性支付全部合同款项）                    </w:t>
      </w:r>
    </w:p>
    <w:p w14:paraId="19EC67B5">
      <w:pPr>
        <w:keepNext w:val="0"/>
        <w:keepLines w:val="0"/>
        <w:pageBreakBefore w:val="0"/>
        <w:widowControl w:val="0"/>
        <w:kinsoku/>
        <w:wordWrap/>
        <w:overflowPunct/>
        <w:topLinePunct w:val="0"/>
        <w:autoSpaceDE/>
        <w:autoSpaceDN/>
        <w:bidi w:val="0"/>
        <w:adjustRightInd w:val="0"/>
        <w:snapToGrid w:val="0"/>
        <w:spacing w:line="480" w:lineRule="exact"/>
        <w:ind w:firstLine="720" w:firstLineChars="300"/>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sym w:font="Wingdings" w:char="00A8"/>
      </w:r>
      <w:r>
        <w:rPr>
          <w:rFonts w:hint="eastAsia" w:asciiTheme="minorEastAsia" w:hAnsiTheme="minorEastAsia" w:eastAsiaTheme="minorEastAsia" w:cstheme="minorEastAsia"/>
          <w:color w:val="auto"/>
          <w:sz w:val="24"/>
          <w:szCs w:val="24"/>
        </w:rPr>
        <w:t>预付款：</w:t>
      </w:r>
      <w:r>
        <w:rPr>
          <w:rFonts w:hint="eastAsia" w:asciiTheme="minorEastAsia" w:hAnsiTheme="minorEastAsia" w:eastAsiaTheme="minorEastAsia" w:cstheme="minorEastAsia"/>
          <w:color w:val="auto"/>
          <w:sz w:val="24"/>
          <w:szCs w:val="24"/>
          <w:u w:val="single"/>
        </w:rPr>
        <w:t xml:space="preserve">    （应明确预付款的支付比例和支付条件）               </w:t>
      </w:r>
    </w:p>
    <w:p w14:paraId="2AEFFBD2">
      <w:pPr>
        <w:keepNext w:val="0"/>
        <w:keepLines w:val="0"/>
        <w:pageBreakBefore w:val="0"/>
        <w:widowControl w:val="0"/>
        <w:kinsoku/>
        <w:wordWrap/>
        <w:overflowPunct/>
        <w:topLinePunct w:val="0"/>
        <w:autoSpaceDE/>
        <w:autoSpaceDN/>
        <w:bidi w:val="0"/>
        <w:adjustRightInd w:val="0"/>
        <w:snapToGrid w:val="0"/>
        <w:spacing w:line="480" w:lineRule="exact"/>
        <w:ind w:firstLine="720" w:firstLineChars="300"/>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sym w:font="Wingdings" w:char="00FE"/>
      </w:r>
      <w:r>
        <w:rPr>
          <w:rFonts w:hint="eastAsia" w:asciiTheme="minorEastAsia" w:hAnsiTheme="minorEastAsia" w:eastAsiaTheme="minorEastAsia" w:cstheme="minorEastAsia"/>
          <w:color w:val="auto"/>
          <w:sz w:val="24"/>
          <w:szCs w:val="24"/>
        </w:rPr>
        <w:t>分期付款：</w:t>
      </w:r>
      <w:r>
        <w:rPr>
          <w:rFonts w:hint="eastAsia" w:asciiTheme="minorEastAsia" w:hAnsiTheme="minorEastAsia" w:eastAsiaTheme="minorEastAsia" w:cstheme="minorEastAsia"/>
          <w:color w:val="auto"/>
          <w:sz w:val="24"/>
          <w:szCs w:val="24"/>
          <w:u w:val="single"/>
        </w:rPr>
        <w:t>①预付款的付款方式及扣回：与中标人签订合同后预付项目合同价款 30%，在拨付预付款时，中标人必须提供相同金额的预付款担保，保函形式由中标人自行选择，预付款担保函由采购人会同市林业局、市公共资源交易中心对保函的真实性和有效性进行核验。预付款分两次扣回，即在第一阶段和第二阶段拨付进度款时分别扣回50%的预付款。</w:t>
      </w:r>
    </w:p>
    <w:p w14:paraId="665A23EC">
      <w:pPr>
        <w:keepNext w:val="0"/>
        <w:keepLines w:val="0"/>
        <w:pageBreakBefore w:val="0"/>
        <w:widowControl w:val="0"/>
        <w:kinsoku/>
        <w:wordWrap/>
        <w:overflowPunct/>
        <w:topLinePunct w:val="0"/>
        <w:autoSpaceDE/>
        <w:autoSpaceDN/>
        <w:bidi w:val="0"/>
        <w:adjustRightInd w:val="0"/>
        <w:snapToGrid w:val="0"/>
        <w:spacing w:line="480" w:lineRule="exact"/>
        <w:ind w:firstLine="720" w:firstLineChars="300"/>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u w:val="single"/>
        </w:rPr>
        <w:t>②进度款付款方式：本项目共分三个阶段，每个阶段分两次付款，第一阶段为采伐、修枝及剩余物清理，第二阶段为整地施肥，第三阶段为补植（或更换树种）和抚育管护。</w:t>
      </w:r>
    </w:p>
    <w:p w14:paraId="18E3F78D">
      <w:pPr>
        <w:keepNext w:val="0"/>
        <w:keepLines w:val="0"/>
        <w:pageBreakBefore w:val="0"/>
        <w:widowControl w:val="0"/>
        <w:kinsoku/>
        <w:wordWrap/>
        <w:overflowPunct/>
        <w:topLinePunct w:val="0"/>
        <w:autoSpaceDE/>
        <w:autoSpaceDN/>
        <w:bidi w:val="0"/>
        <w:adjustRightInd w:val="0"/>
        <w:snapToGrid w:val="0"/>
        <w:spacing w:line="480" w:lineRule="exact"/>
        <w:ind w:firstLine="720" w:firstLineChars="300"/>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u w:val="single"/>
        </w:rPr>
        <w:t>A.完成每一个阶段60%的工作量后支付实际完成工作量金额的80%，完成每个阶段的全部工作量后再按第二次实际完成工作量金额的80%再支付一次。项目完工后支付至合同金额的90%，农民工工资按甲方确认产值的工资比重，拨付至中标供应商农民工工资专户，通过实名制平台，实名制发放；</w:t>
      </w:r>
    </w:p>
    <w:p w14:paraId="12BF72EF">
      <w:pPr>
        <w:keepNext w:val="0"/>
        <w:keepLines w:val="0"/>
        <w:pageBreakBefore w:val="0"/>
        <w:widowControl w:val="0"/>
        <w:kinsoku/>
        <w:wordWrap/>
        <w:overflowPunct/>
        <w:topLinePunct w:val="0"/>
        <w:autoSpaceDE/>
        <w:autoSpaceDN/>
        <w:bidi w:val="0"/>
        <w:adjustRightInd w:val="0"/>
        <w:snapToGrid w:val="0"/>
        <w:spacing w:line="480" w:lineRule="exact"/>
        <w:ind w:firstLine="720" w:firstLineChars="300"/>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u w:val="single"/>
        </w:rPr>
        <w:t>B.完成项目结算审核后由中标供应商提交付款申请及相关资料，支付至结算总价的97% ；</w:t>
      </w:r>
    </w:p>
    <w:p w14:paraId="6A201639">
      <w:pPr>
        <w:keepNext w:val="0"/>
        <w:keepLines w:val="0"/>
        <w:pageBreakBefore w:val="0"/>
        <w:widowControl w:val="0"/>
        <w:kinsoku/>
        <w:wordWrap/>
        <w:overflowPunct/>
        <w:topLinePunct w:val="0"/>
        <w:autoSpaceDE/>
        <w:autoSpaceDN/>
        <w:bidi w:val="0"/>
        <w:adjustRightInd w:val="0"/>
        <w:snapToGrid w:val="0"/>
        <w:spacing w:line="48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u w:val="single"/>
        </w:rPr>
        <w:t xml:space="preserve">C.采购人预留结算总价3%款项，自整体项目竣工验收合格之日起计算，24个月质保期；质保期满，采购人核查项目无遗留问题后，一次性无息付清预留款项。承包人在质保期内仍按合同约定承担项目维修、缺陷整改义务。 </w:t>
      </w:r>
    </w:p>
    <w:p w14:paraId="2E99AF67">
      <w:pPr>
        <w:keepNext w:val="0"/>
        <w:keepLines w:val="0"/>
        <w:pageBreakBefore w:val="0"/>
        <w:widowControl w:val="0"/>
        <w:kinsoku/>
        <w:wordWrap/>
        <w:overflowPunct/>
        <w:topLinePunct w:val="0"/>
        <w:autoSpaceDE/>
        <w:autoSpaceDN/>
        <w:bidi w:val="0"/>
        <w:adjustRightInd w:val="0"/>
        <w:snapToGrid w:val="0"/>
        <w:spacing w:line="48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sym w:font="Wingdings" w:char="00A8"/>
      </w:r>
      <w:r>
        <w:rPr>
          <w:rFonts w:hint="eastAsia" w:asciiTheme="minorEastAsia" w:hAnsiTheme="minorEastAsia" w:eastAsiaTheme="minorEastAsia" w:cstheme="minorEastAsia"/>
          <w:color w:val="auto"/>
          <w:sz w:val="24"/>
          <w:szCs w:val="24"/>
        </w:rPr>
        <w:t>成本补偿：</w:t>
      </w:r>
      <w:r>
        <w:rPr>
          <w:rFonts w:hint="eastAsia" w:asciiTheme="minorEastAsia" w:hAnsiTheme="minorEastAsia" w:eastAsiaTheme="minorEastAsia" w:cstheme="minorEastAsia"/>
          <w:color w:val="auto"/>
          <w:sz w:val="24"/>
          <w:szCs w:val="24"/>
          <w:u w:val="single"/>
        </w:rPr>
        <w:t xml:space="preserve">      （应明确按照成本补偿方式的支付方式和支付条件）   </w:t>
      </w:r>
    </w:p>
    <w:p w14:paraId="52D188AF">
      <w:pPr>
        <w:keepNext w:val="0"/>
        <w:keepLines w:val="0"/>
        <w:pageBreakBefore w:val="0"/>
        <w:widowControl w:val="0"/>
        <w:kinsoku/>
        <w:wordWrap/>
        <w:overflowPunct/>
        <w:topLinePunct w:val="0"/>
        <w:autoSpaceDE/>
        <w:autoSpaceDN/>
        <w:bidi w:val="0"/>
        <w:adjustRightInd w:val="0"/>
        <w:snapToGrid w:val="0"/>
        <w:spacing w:line="48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sym w:font="Wingdings" w:char="00A8"/>
      </w:r>
      <w:r>
        <w:rPr>
          <w:rFonts w:hint="eastAsia" w:asciiTheme="minorEastAsia" w:hAnsiTheme="minorEastAsia" w:eastAsiaTheme="minorEastAsia" w:cstheme="minorEastAsia"/>
          <w:color w:val="auto"/>
          <w:sz w:val="24"/>
          <w:szCs w:val="24"/>
        </w:rPr>
        <w:t>绩效激励：</w:t>
      </w:r>
      <w:r>
        <w:rPr>
          <w:rFonts w:hint="eastAsia" w:asciiTheme="minorEastAsia" w:hAnsiTheme="minorEastAsia" w:eastAsiaTheme="minorEastAsia" w:cstheme="minorEastAsia"/>
          <w:color w:val="auto"/>
          <w:sz w:val="24"/>
          <w:szCs w:val="24"/>
          <w:u w:val="single"/>
        </w:rPr>
        <w:t xml:space="preserve">      （应明确按照绩效激励方式的支付方式和支付条件）   </w:t>
      </w:r>
    </w:p>
    <w:p w14:paraId="2A470FBB">
      <w:pPr>
        <w:keepNext w:val="0"/>
        <w:keepLines w:val="0"/>
        <w:pageBreakBefore w:val="0"/>
        <w:widowControl w:val="0"/>
        <w:kinsoku/>
        <w:wordWrap/>
        <w:overflowPunct/>
        <w:topLinePunct w:val="0"/>
        <w:autoSpaceDE/>
        <w:autoSpaceDN/>
        <w:bidi w:val="0"/>
        <w:adjustRightInd w:val="0"/>
        <w:snapToGrid w:val="0"/>
        <w:spacing w:line="480" w:lineRule="exact"/>
        <w:ind w:firstLine="482" w:firstLineChars="200"/>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b/>
          <w:color w:val="auto"/>
          <w:sz w:val="24"/>
          <w:szCs w:val="24"/>
        </w:rPr>
        <w:t>3.合同履行</w:t>
      </w:r>
    </w:p>
    <w:p w14:paraId="7856358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（1）起始日期：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日，完成日期：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日。总日历天数：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天。</w:t>
      </w:r>
    </w:p>
    <w:p w14:paraId="67D483E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（2）地点</w:t>
      </w:r>
      <w:r>
        <w:rPr>
          <w:rFonts w:hint="eastAsia" w:asciiTheme="minorEastAsia" w:hAnsiTheme="minorEastAsia" w:eastAsiaTheme="minorEastAsia" w:cstheme="minorEastAsia"/>
          <w:b/>
          <w:color w:val="auto"/>
          <w:sz w:val="24"/>
          <w:szCs w:val="24"/>
        </w:rPr>
        <w:t>：</w:t>
      </w:r>
      <w:r>
        <w:rPr>
          <w:rFonts w:hint="eastAsia" w:asciiTheme="minorEastAsia" w:hAnsiTheme="minorEastAsia" w:eastAsiaTheme="minorEastAsia" w:cstheme="minorEastAsia"/>
          <w:color w:val="auto"/>
          <w:sz w:val="24"/>
          <w:szCs w:val="24"/>
          <w:u w:val="single"/>
        </w:rPr>
        <w:t xml:space="preserve">                             </w:t>
      </w:r>
    </w:p>
    <w:p w14:paraId="045EB97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（3）方式：</w:t>
      </w:r>
      <w:r>
        <w:rPr>
          <w:rFonts w:hint="eastAsia" w:asciiTheme="minorEastAsia" w:hAnsiTheme="minorEastAsia" w:eastAsiaTheme="minorEastAsia" w:cstheme="minorEastAsia"/>
          <w:color w:val="auto"/>
          <w:sz w:val="24"/>
          <w:szCs w:val="24"/>
          <w:u w:val="single"/>
        </w:rPr>
        <w:t xml:space="preserve">                             </w:t>
      </w:r>
    </w:p>
    <w:p w14:paraId="11762E1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（4）履约担保：</w:t>
      </w:r>
      <w:r>
        <w:rPr>
          <w:rFonts w:hint="eastAsia" w:asciiTheme="minorEastAsia" w:hAnsiTheme="minorEastAsia" w:eastAsiaTheme="minorEastAsia" w:cstheme="minorEastAsia"/>
          <w:bCs/>
          <w:color w:val="auto"/>
          <w:sz w:val="24"/>
          <w:szCs w:val="24"/>
          <w:u w:val="single"/>
        </w:rPr>
        <w:t>履约担保的金额、形式和期限要求</w:t>
      </w:r>
      <w:r>
        <w:rPr>
          <w:rFonts w:hint="eastAsia" w:asciiTheme="minorEastAsia" w:hAnsiTheme="minorEastAsia" w:eastAsiaTheme="minorEastAsia" w:cstheme="minorEastAsia"/>
          <w:bCs/>
          <w:color w:val="auto"/>
          <w:sz w:val="24"/>
          <w:szCs w:val="24"/>
        </w:rPr>
        <w:t>。</w:t>
      </w:r>
    </w:p>
    <w:p w14:paraId="20DAFB0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（5）履约担保金：</w:t>
      </w:r>
    </w:p>
    <w:p w14:paraId="5B542B6D">
      <w:pPr>
        <w:keepNext w:val="0"/>
        <w:keepLines w:val="0"/>
        <w:pageBreakBefore w:val="0"/>
        <w:widowControl w:val="0"/>
        <w:kinsoku/>
        <w:wordWrap/>
        <w:overflowPunct/>
        <w:topLinePunct w:val="0"/>
        <w:autoSpaceDE/>
        <w:autoSpaceDN/>
        <w:bidi w:val="0"/>
        <w:adjustRightInd w:val="0"/>
        <w:snapToGrid w:val="0"/>
        <w:spacing w:line="480" w:lineRule="exact"/>
        <w:ind w:firstLine="960" w:firstLineChars="400"/>
        <w:textAlignment w:val="auto"/>
        <w:rPr>
          <w:rFonts w:hint="eastAsia" w:asciiTheme="minorEastAsia" w:hAnsiTheme="minorEastAsia" w:eastAsiaTheme="minorEastAsia" w:cstheme="minorEastAsia"/>
          <w:bCs/>
          <w:color w:val="auto"/>
          <w:sz w:val="24"/>
          <w:szCs w:val="24"/>
          <w:u w:val="single"/>
        </w:rPr>
      </w:pPr>
      <w:r>
        <w:rPr>
          <w:rFonts w:hint="eastAsia" w:asciiTheme="minorEastAsia" w:hAnsiTheme="minorEastAsia" w:eastAsiaTheme="minorEastAsia" w:cstheme="minorEastAsia"/>
          <w:bCs/>
          <w:color w:val="auto"/>
          <w:sz w:val="24"/>
          <w:szCs w:val="24"/>
          <w:u w:val="single"/>
        </w:rPr>
        <w:t>①履约担保金额：履约担保金额为中标合同金额的 10% ；</w:t>
      </w:r>
    </w:p>
    <w:p w14:paraId="79E3CB32">
      <w:pPr>
        <w:keepNext w:val="0"/>
        <w:keepLines w:val="0"/>
        <w:pageBreakBefore w:val="0"/>
        <w:widowControl w:val="0"/>
        <w:kinsoku/>
        <w:wordWrap/>
        <w:overflowPunct/>
        <w:topLinePunct w:val="0"/>
        <w:autoSpaceDE/>
        <w:autoSpaceDN/>
        <w:bidi w:val="0"/>
        <w:adjustRightInd w:val="0"/>
        <w:snapToGrid w:val="0"/>
        <w:spacing w:line="480" w:lineRule="exact"/>
        <w:ind w:firstLine="960" w:firstLineChars="400"/>
        <w:textAlignment w:val="auto"/>
        <w:rPr>
          <w:rFonts w:hint="eastAsia" w:asciiTheme="minorEastAsia" w:hAnsiTheme="minorEastAsia" w:eastAsiaTheme="minorEastAsia" w:cstheme="minorEastAsia"/>
          <w:bCs/>
          <w:color w:val="auto"/>
          <w:sz w:val="24"/>
          <w:szCs w:val="24"/>
          <w:u w:val="single"/>
        </w:rPr>
      </w:pPr>
      <w:r>
        <w:rPr>
          <w:rFonts w:hint="eastAsia" w:asciiTheme="minorEastAsia" w:hAnsiTheme="minorEastAsia" w:eastAsiaTheme="minorEastAsia" w:cstheme="minorEastAsia"/>
          <w:bCs/>
          <w:color w:val="auto"/>
          <w:sz w:val="24"/>
          <w:szCs w:val="24"/>
          <w:u w:val="single"/>
        </w:rPr>
        <w:t>②缴纳形式：履约保证金采用保函、银行转账、本票、汇票等非现金形式提交。</w:t>
      </w:r>
    </w:p>
    <w:p w14:paraId="7B5D6A51">
      <w:pPr>
        <w:keepNext w:val="0"/>
        <w:keepLines w:val="0"/>
        <w:pageBreakBefore w:val="0"/>
        <w:widowControl w:val="0"/>
        <w:kinsoku/>
        <w:wordWrap/>
        <w:overflowPunct/>
        <w:topLinePunct w:val="0"/>
        <w:autoSpaceDE/>
        <w:autoSpaceDN/>
        <w:bidi w:val="0"/>
        <w:adjustRightInd w:val="0"/>
        <w:snapToGrid w:val="0"/>
        <w:spacing w:line="480" w:lineRule="exact"/>
        <w:ind w:firstLine="960" w:firstLineChars="400"/>
        <w:textAlignment w:val="auto"/>
        <w:rPr>
          <w:rFonts w:hint="eastAsia" w:asciiTheme="minorEastAsia" w:hAnsiTheme="minorEastAsia" w:eastAsiaTheme="minorEastAsia" w:cstheme="minorEastAsia"/>
          <w:bCs/>
          <w:color w:val="auto"/>
          <w:sz w:val="24"/>
          <w:szCs w:val="24"/>
          <w:u w:val="single"/>
        </w:rPr>
      </w:pPr>
      <w:r>
        <w:rPr>
          <w:rFonts w:hint="eastAsia" w:asciiTheme="minorEastAsia" w:hAnsiTheme="minorEastAsia" w:eastAsiaTheme="minorEastAsia" w:cstheme="minorEastAsia"/>
          <w:bCs/>
          <w:color w:val="auto"/>
          <w:sz w:val="24"/>
          <w:szCs w:val="24"/>
          <w:u w:val="single"/>
        </w:rPr>
        <w:t>③履约担保提交的期限：中标人领取中标通知书后14个工作日内，须向采购人提交履约担保</w:t>
      </w:r>
      <w:r>
        <w:rPr>
          <w:rFonts w:hint="eastAsia" w:asciiTheme="minorEastAsia" w:hAnsiTheme="minorEastAsia" w:eastAsiaTheme="minorEastAsia" w:cstheme="minorEastAsia"/>
          <w:bCs/>
          <w:color w:val="auto"/>
          <w:sz w:val="24"/>
          <w:szCs w:val="24"/>
          <w:u w:val="none"/>
        </w:rPr>
        <w:t>。</w:t>
      </w:r>
    </w:p>
    <w:p w14:paraId="63E6E280">
      <w:pPr>
        <w:keepNext w:val="0"/>
        <w:keepLines w:val="0"/>
        <w:pageBreakBefore w:val="0"/>
        <w:widowControl w:val="0"/>
        <w:kinsoku/>
        <w:wordWrap/>
        <w:overflowPunct/>
        <w:topLinePunct w:val="0"/>
        <w:autoSpaceDE/>
        <w:autoSpaceDN/>
        <w:bidi w:val="0"/>
        <w:adjustRightInd w:val="0"/>
        <w:snapToGrid w:val="0"/>
        <w:spacing w:line="480" w:lineRule="exact"/>
        <w:ind w:firstLine="960" w:firstLineChars="400"/>
        <w:textAlignment w:val="auto"/>
        <w:rPr>
          <w:rFonts w:hint="eastAsia" w:asciiTheme="minorEastAsia" w:hAnsiTheme="minorEastAsia" w:eastAsiaTheme="minorEastAsia" w:cstheme="minorEastAsia"/>
          <w:bCs/>
          <w:color w:val="auto"/>
          <w:sz w:val="24"/>
          <w:szCs w:val="24"/>
          <w:u w:val="single"/>
        </w:rPr>
      </w:pPr>
      <w:r>
        <w:rPr>
          <w:rFonts w:hint="eastAsia" w:asciiTheme="minorEastAsia" w:hAnsiTheme="minorEastAsia" w:eastAsiaTheme="minorEastAsia" w:cstheme="minorEastAsia"/>
          <w:bCs/>
          <w:color w:val="auto"/>
          <w:sz w:val="24"/>
          <w:szCs w:val="24"/>
          <w:u w:val="single"/>
        </w:rPr>
        <w:t>④履约担保期限：银行保函、担保保函等保函要求在项目交付使用前不可撤销、不可转让、见索即付，履约担保责任至对应工程交付使用之日终止。采购人自收到包含后5日内负责核验，并报市林业局负责复核</w:t>
      </w:r>
      <w:r>
        <w:rPr>
          <w:rFonts w:hint="eastAsia" w:asciiTheme="minorEastAsia" w:hAnsiTheme="minorEastAsia" w:eastAsiaTheme="minorEastAsia" w:cstheme="minorEastAsia"/>
          <w:bCs/>
          <w:color w:val="auto"/>
          <w:sz w:val="24"/>
          <w:szCs w:val="24"/>
          <w:u w:val="none"/>
        </w:rPr>
        <w:t>。</w:t>
      </w:r>
    </w:p>
    <w:p w14:paraId="10B5F15B">
      <w:pPr>
        <w:keepNext w:val="0"/>
        <w:keepLines w:val="0"/>
        <w:pageBreakBefore w:val="0"/>
        <w:widowControl w:val="0"/>
        <w:kinsoku/>
        <w:wordWrap/>
        <w:overflowPunct/>
        <w:topLinePunct w:val="0"/>
        <w:autoSpaceDE/>
        <w:autoSpaceDN/>
        <w:bidi w:val="0"/>
        <w:adjustRightInd w:val="0"/>
        <w:snapToGrid w:val="0"/>
        <w:spacing w:line="480" w:lineRule="exact"/>
        <w:ind w:firstLine="960" w:firstLineChars="400"/>
        <w:textAlignment w:val="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u w:val="single"/>
        </w:rPr>
        <w:t>⑤逾期未提交履约担保的，取消中标人的中标资格，其投标保证金不予退还，并依法将其列入"严重失信企业名单"。同时按照评标委员会提出的中标候选人名单排序依次确定其他中标候选人为中标人</w:t>
      </w:r>
      <w:r>
        <w:rPr>
          <w:rFonts w:hint="eastAsia" w:asciiTheme="minorEastAsia" w:hAnsiTheme="minorEastAsia" w:eastAsiaTheme="minorEastAsia" w:cstheme="minorEastAsia"/>
          <w:bCs/>
          <w:color w:val="auto"/>
          <w:sz w:val="24"/>
          <w:szCs w:val="24"/>
          <w:u w:val="none"/>
        </w:rPr>
        <w:t>。</w:t>
      </w:r>
    </w:p>
    <w:p w14:paraId="70C641A8">
      <w:pPr>
        <w:keepNext w:val="0"/>
        <w:keepLines w:val="0"/>
        <w:pageBreakBefore w:val="0"/>
        <w:widowControl w:val="0"/>
        <w:kinsoku/>
        <w:wordWrap/>
        <w:overflowPunct/>
        <w:topLinePunct w:val="0"/>
        <w:autoSpaceDE/>
        <w:autoSpaceDN/>
        <w:bidi w:val="0"/>
        <w:adjustRightInd w:val="0"/>
        <w:snapToGrid w:val="0"/>
        <w:spacing w:line="480" w:lineRule="exact"/>
        <w:ind w:firstLine="482" w:firstLineChars="200"/>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4.合同验收</w:t>
      </w:r>
    </w:p>
    <w:p w14:paraId="217325D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（1）验收主体：</w:t>
      </w:r>
      <w:r>
        <w:rPr>
          <w:rFonts w:hint="eastAsia" w:asciiTheme="minorEastAsia" w:hAnsiTheme="minorEastAsia" w:eastAsiaTheme="minorEastAsia" w:cstheme="minorEastAsia"/>
          <w:bCs/>
          <w:color w:val="auto"/>
          <w:sz w:val="24"/>
          <w:szCs w:val="24"/>
          <w:u w:val="single"/>
        </w:rPr>
        <w:t>核查验收流程项目建设完成后，实行区(县)级自查、市级抽查、省级核验、国家验收的逐级检查验收制度。</w:t>
      </w:r>
      <w:r>
        <w:rPr>
          <w:rFonts w:hint="eastAsia" w:asciiTheme="minorEastAsia" w:hAnsiTheme="minorEastAsia" w:cstheme="minorEastAsia"/>
          <w:bCs/>
          <w:color w:val="auto"/>
          <w:sz w:val="24"/>
          <w:szCs w:val="24"/>
          <w:u w:val="single"/>
          <w:lang w:eastAsia="zh-CN"/>
        </w:rPr>
        <w:t>采购人</w:t>
      </w:r>
      <w:r>
        <w:rPr>
          <w:rFonts w:hint="eastAsia" w:asciiTheme="minorEastAsia" w:hAnsiTheme="minorEastAsia" w:eastAsiaTheme="minorEastAsia" w:cstheme="minorEastAsia"/>
          <w:bCs/>
          <w:color w:val="auto"/>
          <w:sz w:val="24"/>
          <w:szCs w:val="24"/>
          <w:u w:val="single"/>
        </w:rPr>
        <w:t>先进行全面自查，上级林业主管部门组织复查和核查验收</w:t>
      </w:r>
      <w:r>
        <w:rPr>
          <w:rFonts w:hint="eastAsia" w:asciiTheme="minorEastAsia" w:hAnsiTheme="minorEastAsia" w:eastAsiaTheme="minorEastAsia" w:cstheme="minorEastAsia"/>
          <w:bCs/>
          <w:color w:val="auto"/>
          <w:sz w:val="24"/>
          <w:szCs w:val="24"/>
        </w:rPr>
        <w:t>。</w:t>
      </w:r>
    </w:p>
    <w:p w14:paraId="43E4FBB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rPr>
        <w:t>（2）验收方式：</w:t>
      </w:r>
      <w:r>
        <w:rPr>
          <w:rFonts w:hint="eastAsia" w:asciiTheme="minorEastAsia" w:hAnsiTheme="minorEastAsia" w:eastAsiaTheme="minorEastAsia" w:cstheme="minorEastAsia"/>
          <w:bCs/>
          <w:color w:val="auto"/>
          <w:sz w:val="24"/>
          <w:szCs w:val="24"/>
          <w:u w:val="single"/>
        </w:rPr>
        <w:t>具体流程以国家及省、市要求为准。验收的主要依据是国家及省、市下达的绩效目标以及相关文件；林业主管部门批复的项目相关设计文件；概算调整及其批准文件；招投标和监理文件(书);承包合同、工程结算等有关资料；</w:t>
      </w:r>
      <w:r>
        <w:rPr>
          <w:rFonts w:hint="eastAsia" w:asciiTheme="minorEastAsia" w:hAnsiTheme="minorEastAsia" w:eastAsiaTheme="minorEastAsia" w:cstheme="minorEastAsia"/>
          <w:bCs/>
          <w:color w:val="auto"/>
          <w:sz w:val="24"/>
          <w:szCs w:val="24"/>
          <w:u w:val="single"/>
        </w:rPr>
        <mc:AlternateContent>
          <mc:Choice Requires="wps">
            <w:drawing>
              <wp:anchor distT="0" distB="0" distL="114300" distR="114300" simplePos="0" relativeHeight="251664384" behindDoc="0" locked="0" layoutInCell="1" allowOverlap="1">
                <wp:simplePos x="0" y="0"/>
                <wp:positionH relativeFrom="column">
                  <wp:posOffset>5366385</wp:posOffset>
                </wp:positionH>
                <wp:positionV relativeFrom="paragraph">
                  <wp:posOffset>125095</wp:posOffset>
                </wp:positionV>
                <wp:extent cx="81280" cy="8064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81280" cy="80645"/>
                        </a:xfrm>
                        <a:prstGeom prst="rect">
                          <a:avLst/>
                        </a:prstGeom>
                        <a:noFill/>
                        <a:ln>
                          <a:noFill/>
                        </a:ln>
                      </wps:spPr>
                      <wps:txbx>
                        <w:txbxContent>
                          <w:p w14:paraId="377E5B55">
                            <w:pPr>
                              <w:widowControl w:val="0"/>
                              <w:spacing w:before="20" w:after="120" w:line="86" w:lineRule="exact"/>
                              <w:ind w:right="2" w:firstLine="420" w:firstLineChars="200"/>
                              <w:jc w:val="right"/>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position w:val="1"/>
                                <w:sz w:val="21"/>
                                <w:szCs w:val="21"/>
                                <w:lang w:val="en-US" w:eastAsia="zh-CN" w:bidi="ar-SA"/>
                              </w:rPr>
                              <w:t>.</w:t>
                            </w:r>
                          </w:p>
                        </w:txbxContent>
                      </wps:txbx>
                      <wps:bodyPr lIns="0" tIns="0" rIns="0" bIns="0" upright="1"/>
                    </wps:wsp>
                  </a:graphicData>
                </a:graphic>
              </wp:anchor>
            </w:drawing>
          </mc:Choice>
          <mc:Fallback>
            <w:pict>
              <v:shape id="_x0000_s1026" o:spid="_x0000_s1026" o:spt="202" type="#_x0000_t202" style="position:absolute;left:0pt;margin-left:422.55pt;margin-top:9.85pt;height:6.35pt;width:6.4pt;z-index:251664384;mso-width-relative:page;mso-height-relative:page;" filled="f" stroked="f" coordsize="21600,21600" o:gfxdata="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hDSxktkAAAAJAQAADwAAAAAAAAABACAAAAAiAAAAZHJzL2Rvd25yZXYueG1sUEsBAhQA&#10;FAAAAAgAh07iQDuR8/64AQAAcQMAAA4AAAAAAAAAAQAgAAAAKAEAAGRycy9lMm9Eb2MueG1sUEsF&#10;BgAAAAAGAAYAWQEAAFIFAAAAAA==&#10;">
                <v:fill on="f" focussize="0,0"/>
                <v:stroke on="f"/>
                <v:imagedata o:title=""/>
                <o:lock v:ext="edit" aspectratio="f"/>
                <v:textbox inset="0mm,0mm,0mm,0mm">
                  <w:txbxContent>
                    <w:p w14:paraId="377E5B55">
                      <w:pPr>
                        <w:widowControl w:val="0"/>
                        <w:spacing w:before="20" w:after="120" w:line="86" w:lineRule="exact"/>
                        <w:ind w:right="2" w:firstLine="420" w:firstLineChars="200"/>
                        <w:jc w:val="right"/>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position w:val="1"/>
                          <w:sz w:val="21"/>
                          <w:szCs w:val="21"/>
                          <w:lang w:val="en-US" w:eastAsia="zh-CN" w:bidi="ar-SA"/>
                        </w:rPr>
                        <w:t>.</w:t>
                      </w:r>
                    </w:p>
                  </w:txbxContent>
                </v:textbox>
              </v:shape>
            </w:pict>
          </mc:Fallback>
        </mc:AlternateContent>
      </w:r>
      <w:r>
        <w:rPr>
          <w:rFonts w:hint="eastAsia" w:asciiTheme="minorEastAsia" w:hAnsiTheme="minorEastAsia" w:eastAsiaTheme="minorEastAsia" w:cstheme="minorEastAsia"/>
          <w:bCs/>
          <w:color w:val="auto"/>
          <w:sz w:val="24"/>
          <w:szCs w:val="24"/>
          <w:u w:val="single"/>
        </w:rPr>
        <w:t>有关的财务核算制度、办法；其他与项目有关资料。验收要求有下列情况之一的，不能进行竣工验收：工程建设规模和质量达不到批复的项目相关设计文件要求和项目合同要求的；未经批准，擅自调整项目建设规模、建设地点和建设内容的；财务管理混乱，未按要求做好资金核算，违规使用项目专项资金的；档案资料不健全的。在项目实施过程中，中标供应商自觉接受监理单位对造林每个工序的质量检查验收，监理单位在检查验收时分作业小班或作业区域开展各工序的验收，当作业小班或作业区域内存在不合格的工序时必须返工直至质量合格为止，否则该作业小班或作业区域就不能转入下一工序施工。对未达到验收标准的，要求进行整改，达标后再次验收，直至合格。</w:t>
      </w:r>
      <w:r>
        <w:rPr>
          <w:rFonts w:hint="eastAsia" w:asciiTheme="minorEastAsia" w:hAnsiTheme="minorEastAsia" w:eastAsiaTheme="minorEastAsia" w:cstheme="minorEastAsia"/>
          <w:bCs/>
          <w:color w:val="auto"/>
          <w:sz w:val="24"/>
          <w:szCs w:val="24"/>
        </w:rPr>
        <w:t>（3）验收标准：</w:t>
      </w:r>
      <w:r>
        <w:rPr>
          <w:rFonts w:hint="eastAsia" w:asciiTheme="minorEastAsia" w:hAnsiTheme="minorEastAsia" w:eastAsiaTheme="minorEastAsia" w:cstheme="minorEastAsia"/>
          <w:bCs/>
          <w:color w:val="auto"/>
          <w:sz w:val="24"/>
          <w:szCs w:val="24"/>
          <w:u w:val="single"/>
        </w:rPr>
        <w:t xml:space="preserve">采用遥感判读、地形图勾绘、无人机测绘等方式，现场实地全面核查各作业小班面积核实误差在±5%(含)以内的以作业设计面积为准，±5%(不含)以上的以核实面积为准。苗木长势良好，苗木生长效果、生长量达到国家、省、市验收要求，树种配置、树种混交符合设计要求。中龄林抚育工作合格标准为：已取得林木采伐许可证并按作业设计要求进行采伐、修枝、割灌除草，采伐剩余物清理符合要求，各环节施工质量均达到验收要求。符合项目合同书要求。如国家、省、市需要组织的核验。验收人员：采购人；中标供应商；监理单位；(如有)上级林业主管部门或其委托的第三方机构、项目审计服务单位 </w:t>
      </w:r>
      <w:r>
        <w:rPr>
          <w:rFonts w:hint="eastAsia" w:asciiTheme="minorEastAsia" w:hAnsiTheme="minorEastAsia" w:eastAsiaTheme="minorEastAsia" w:cstheme="minorEastAsia"/>
          <w:bCs/>
          <w:color w:val="auto"/>
          <w:sz w:val="24"/>
          <w:szCs w:val="24"/>
        </w:rPr>
        <w:t>。</w:t>
      </w:r>
    </w:p>
    <w:p w14:paraId="562325E9">
      <w:pPr>
        <w:keepNext w:val="0"/>
        <w:keepLines w:val="0"/>
        <w:pageBreakBefore w:val="0"/>
        <w:widowControl w:val="0"/>
        <w:kinsoku/>
        <w:wordWrap/>
        <w:overflowPunct/>
        <w:topLinePunct w:val="0"/>
        <w:autoSpaceDE/>
        <w:autoSpaceDN/>
        <w:bidi w:val="0"/>
        <w:adjustRightInd w:val="0"/>
        <w:snapToGrid w:val="0"/>
        <w:spacing w:line="480" w:lineRule="exact"/>
        <w:ind w:firstLine="482" w:firstLineChars="200"/>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5.组成合同的文件</w:t>
      </w:r>
    </w:p>
    <w:p w14:paraId="5796BED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本协议书与下列文件一起构成合同文件，如下述文件之间有任何抵触、矛盾或歧义，应按以下顺序解释：</w:t>
      </w:r>
    </w:p>
    <w:p w14:paraId="01E422C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（1）在采购或合同履行过程中乙方作出的承诺以及双方协商达成的变更或补充协议</w:t>
      </w:r>
    </w:p>
    <w:p w14:paraId="7BA8BAF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（2）本合同协议书</w:t>
      </w:r>
    </w:p>
    <w:p w14:paraId="6612197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（3）中标通知书</w:t>
      </w:r>
    </w:p>
    <w:p w14:paraId="712DAFA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（4）投标文件</w:t>
      </w:r>
    </w:p>
    <w:p w14:paraId="15CD7B1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（5）政府采购合同专用条款</w:t>
      </w:r>
    </w:p>
    <w:p w14:paraId="5A8870C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（6）政府采购合同通用条款</w:t>
      </w:r>
    </w:p>
    <w:p w14:paraId="43956DE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（7）标准、规范及有关技术文件，图纸。</w:t>
      </w:r>
    </w:p>
    <w:p w14:paraId="59C3755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（8）其他合同文件。</w:t>
      </w:r>
    </w:p>
    <w:p w14:paraId="7C596BF8">
      <w:pPr>
        <w:keepNext w:val="0"/>
        <w:keepLines w:val="0"/>
        <w:pageBreakBefore w:val="0"/>
        <w:widowControl w:val="0"/>
        <w:kinsoku/>
        <w:wordWrap/>
        <w:overflowPunct/>
        <w:topLinePunct w:val="0"/>
        <w:autoSpaceDE/>
        <w:autoSpaceDN/>
        <w:bidi w:val="0"/>
        <w:adjustRightInd w:val="0"/>
        <w:snapToGrid w:val="0"/>
        <w:spacing w:line="480" w:lineRule="exact"/>
        <w:ind w:firstLine="354" w:firstLineChars="147"/>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6.合同生效</w:t>
      </w:r>
    </w:p>
    <w:p w14:paraId="7E69D06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本合同自</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生效。</w:t>
      </w:r>
    </w:p>
    <w:p w14:paraId="2481F373">
      <w:pPr>
        <w:keepNext w:val="0"/>
        <w:keepLines w:val="0"/>
        <w:pageBreakBefore w:val="0"/>
        <w:widowControl w:val="0"/>
        <w:kinsoku/>
        <w:wordWrap/>
        <w:overflowPunct/>
        <w:topLinePunct w:val="0"/>
        <w:autoSpaceDE/>
        <w:autoSpaceDN/>
        <w:bidi w:val="0"/>
        <w:adjustRightInd w:val="0"/>
        <w:snapToGrid w:val="0"/>
        <w:spacing w:line="480" w:lineRule="exact"/>
        <w:ind w:firstLine="354" w:firstLineChars="147"/>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7.合同份数</w:t>
      </w:r>
    </w:p>
    <w:p w14:paraId="6B20DB8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本合同一式</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份，采购人执</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份，供应商执</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份，均具有同等法律效力。</w:t>
      </w:r>
    </w:p>
    <w:p w14:paraId="07E58B2F">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Theme="minorEastAsia" w:hAnsiTheme="minorEastAsia" w:eastAsiaTheme="minorEastAsia" w:cstheme="minorEastAsia"/>
          <w:color w:val="auto"/>
          <w:sz w:val="24"/>
          <w:szCs w:val="24"/>
        </w:rPr>
      </w:pPr>
    </w:p>
    <w:p w14:paraId="70DD815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合同订立时间：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w:t>
      </w:r>
    </w:p>
    <w:p w14:paraId="5954DDD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合同订立地点：</w:t>
      </w:r>
      <w:r>
        <w:rPr>
          <w:rFonts w:hint="eastAsia" w:asciiTheme="minorEastAsia" w:hAnsiTheme="minorEastAsia" w:eastAsiaTheme="minorEastAsia" w:cstheme="minorEastAsia"/>
          <w:color w:val="auto"/>
          <w:sz w:val="24"/>
          <w:szCs w:val="24"/>
          <w:u w:val="single"/>
        </w:rPr>
        <w:t xml:space="preserve">                           </w:t>
      </w:r>
    </w:p>
    <w:p w14:paraId="06413F3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附件：具体标的明细、分包合同等。    </w:t>
      </w:r>
    </w:p>
    <w:p w14:paraId="37C012D5">
      <w:pPr>
        <w:keepNext w:val="0"/>
        <w:keepLines w:val="0"/>
        <w:pageBreakBefore w:val="0"/>
        <w:widowControl w:val="0"/>
        <w:kinsoku/>
        <w:wordWrap/>
        <w:overflowPunct/>
        <w:topLinePunct w:val="0"/>
        <w:autoSpaceDE/>
        <w:autoSpaceDN/>
        <w:bidi w:val="0"/>
        <w:spacing w:line="480" w:lineRule="exact"/>
        <w:ind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p>
    <w:p w14:paraId="207EAED0">
      <w:pPr>
        <w:keepNext w:val="0"/>
        <w:keepLines w:val="0"/>
        <w:pageBreakBefore w:val="0"/>
        <w:widowControl w:val="0"/>
        <w:kinsoku/>
        <w:wordWrap/>
        <w:overflowPunct/>
        <w:topLinePunct w:val="0"/>
        <w:autoSpaceDE/>
        <w:autoSpaceDN/>
        <w:bidi w:val="0"/>
        <w:spacing w:line="480" w:lineRule="exact"/>
        <w:ind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p>
    <w:p w14:paraId="4A24339E">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甲      方：（公章）                     乙      方：（公章）</w:t>
      </w:r>
    </w:p>
    <w:p w14:paraId="7FD2274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法定代表人：</w:t>
      </w:r>
      <w:r>
        <w:rPr>
          <w:rFonts w:hint="eastAsia" w:asciiTheme="minorEastAsia" w:hAnsiTheme="minorEastAsia" w:eastAsiaTheme="minorEastAsia" w:cstheme="minorEastAsia"/>
          <w:color w:val="auto"/>
          <w:sz w:val="24"/>
          <w:szCs w:val="24"/>
          <w:u w:val="single"/>
        </w:rPr>
        <w:t xml:space="preserve">                   </w:t>
      </w:r>
    </w:p>
    <w:p w14:paraId="0D3C5612">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委托代理人：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委托代理人：</w:t>
      </w:r>
      <w:r>
        <w:rPr>
          <w:rFonts w:hint="eastAsia" w:asciiTheme="minorEastAsia" w:hAnsiTheme="minorEastAsia" w:eastAsiaTheme="minorEastAsia" w:cstheme="minorEastAsia"/>
          <w:color w:val="auto"/>
          <w:sz w:val="24"/>
          <w:szCs w:val="24"/>
          <w:u w:val="single"/>
        </w:rPr>
        <w:t xml:space="preserve">                   </w:t>
      </w:r>
    </w:p>
    <w:p w14:paraId="3AE16256">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      话：</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电      话：</w:t>
      </w:r>
      <w:r>
        <w:rPr>
          <w:rFonts w:hint="eastAsia" w:asciiTheme="minorEastAsia" w:hAnsiTheme="minorEastAsia" w:eastAsiaTheme="minorEastAsia" w:cstheme="minorEastAsia"/>
          <w:color w:val="auto"/>
          <w:sz w:val="24"/>
          <w:szCs w:val="24"/>
          <w:u w:val="single"/>
        </w:rPr>
        <w:t xml:space="preserve">                   </w:t>
      </w:r>
    </w:p>
    <w:p w14:paraId="2C51688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传      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传      真：</w:t>
      </w:r>
      <w:r>
        <w:rPr>
          <w:rFonts w:hint="eastAsia" w:asciiTheme="minorEastAsia" w:hAnsiTheme="minorEastAsia" w:eastAsiaTheme="minorEastAsia" w:cstheme="minorEastAsia"/>
          <w:color w:val="auto"/>
          <w:sz w:val="24"/>
          <w:szCs w:val="24"/>
          <w:u w:val="single"/>
        </w:rPr>
        <w:t xml:space="preserve">                   </w:t>
      </w:r>
    </w:p>
    <w:p w14:paraId="5A75025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开 户 银 行：</w:t>
      </w:r>
      <w:r>
        <w:rPr>
          <w:rFonts w:hint="eastAsia" w:asciiTheme="minorEastAsia" w:hAnsiTheme="minorEastAsia" w:eastAsiaTheme="minorEastAsia" w:cstheme="minorEastAsia"/>
          <w:color w:val="auto"/>
          <w:sz w:val="24"/>
          <w:szCs w:val="24"/>
          <w:u w:val="single"/>
        </w:rPr>
        <w:t xml:space="preserve">                   </w:t>
      </w:r>
    </w:p>
    <w:p w14:paraId="29B4D627">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账       号：</w:t>
      </w:r>
      <w:r>
        <w:rPr>
          <w:rFonts w:hint="eastAsia" w:asciiTheme="minorEastAsia" w:hAnsiTheme="minorEastAsia" w:eastAsiaTheme="minorEastAsia" w:cstheme="minorEastAsia"/>
          <w:color w:val="auto"/>
          <w:sz w:val="24"/>
          <w:szCs w:val="24"/>
          <w:u w:val="single"/>
        </w:rPr>
        <w:t xml:space="preserve">                   </w:t>
      </w:r>
    </w:p>
    <w:p w14:paraId="08017593">
      <w:pPr>
        <w:keepNext w:val="0"/>
        <w:keepLines w:val="0"/>
        <w:pageBreakBefore w:val="0"/>
        <w:widowControl w:val="0"/>
        <w:kinsoku/>
        <w:wordWrap/>
        <w:overflowPunct/>
        <w:topLinePunct w:val="0"/>
        <w:autoSpaceDE/>
        <w:autoSpaceDN/>
        <w:bidi w:val="0"/>
        <w:spacing w:line="480" w:lineRule="exact"/>
        <w:textAlignment w:val="auto"/>
        <w:rPr>
          <w:rFonts w:hint="eastAsia" w:asciiTheme="minorEastAsia" w:hAnsiTheme="minorEastAsia" w:eastAsiaTheme="minorEastAsia" w:cstheme="minorEastAsia"/>
          <w:b/>
          <w:bCs/>
          <w:color w:val="auto"/>
          <w:kern w:val="2"/>
          <w:sz w:val="24"/>
          <w:szCs w:val="24"/>
          <w:lang w:val="en-US" w:eastAsia="zh-CN" w:bidi="ar-SA"/>
        </w:rPr>
      </w:pPr>
      <w:bookmarkStart w:id="60" w:name="_Toc10083"/>
      <w:r>
        <w:rPr>
          <w:rFonts w:hint="eastAsia" w:asciiTheme="minorEastAsia" w:hAnsiTheme="minorEastAsia" w:eastAsiaTheme="minorEastAsia" w:cstheme="minorEastAsia"/>
          <w:b/>
          <w:bCs/>
          <w:color w:val="auto"/>
          <w:kern w:val="2"/>
          <w:sz w:val="24"/>
          <w:szCs w:val="24"/>
          <w:lang w:val="en-US" w:eastAsia="zh-CN" w:bidi="ar-SA"/>
        </w:rPr>
        <w:br w:type="page"/>
      </w:r>
    </w:p>
    <w:p w14:paraId="61F1BFBE">
      <w:pPr>
        <w:pStyle w:val="3"/>
        <w:bidi w:val="0"/>
        <w:jc w:val="center"/>
        <w:rPr>
          <w:lang w:val="en-US" w:eastAsia="zh-CN"/>
        </w:rPr>
      </w:pPr>
      <w:bookmarkStart w:id="61" w:name="_Toc1226"/>
      <w:r>
        <w:rPr>
          <w:rFonts w:hint="eastAsia"/>
          <w:lang w:val="en-US" w:eastAsia="zh-CN"/>
        </w:rPr>
        <w:t>第二节</w:t>
      </w:r>
      <w:r>
        <w:rPr>
          <w:lang w:val="en-US" w:eastAsia="zh-CN"/>
        </w:rPr>
        <w:t xml:space="preserve"> </w:t>
      </w:r>
      <w:r>
        <w:rPr>
          <w:rFonts w:hint="eastAsia"/>
          <w:lang w:val="en-US" w:eastAsia="zh-CN"/>
        </w:rPr>
        <w:t>政府采购合同通用条款</w:t>
      </w:r>
      <w:bookmarkEnd w:id="60"/>
      <w:bookmarkEnd w:id="61"/>
    </w:p>
    <w:p w14:paraId="6B62EBA4">
      <w:pPr>
        <w:keepNext w:val="0"/>
        <w:keepLines w:val="0"/>
        <w:pageBreakBefore w:val="0"/>
        <w:widowControl w:val="0"/>
        <w:tabs>
          <w:tab w:val="left" w:pos="8820"/>
          <w:tab w:val="left" w:pos="9345"/>
          <w:tab w:val="left" w:pos="9765"/>
        </w:tabs>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color w:val="auto"/>
          <w:sz w:val="24"/>
          <w:szCs w:val="24"/>
        </w:rPr>
        <w:t>1.</w:t>
      </w:r>
      <w:r>
        <w:rPr>
          <w:rFonts w:hint="eastAsia" w:asciiTheme="minorEastAsia" w:hAnsiTheme="minorEastAsia" w:eastAsiaTheme="minorEastAsia" w:cstheme="minorEastAsia"/>
          <w:b/>
          <w:bCs/>
          <w:color w:val="auto"/>
          <w:sz w:val="24"/>
          <w:szCs w:val="24"/>
        </w:rPr>
        <w:t>定义</w:t>
      </w:r>
    </w:p>
    <w:p w14:paraId="0C72F095">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1.1合同当事人</w:t>
      </w:r>
    </w:p>
    <w:p w14:paraId="4768CA5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（1）采购人（以下称甲方）是指使用财政性资金，通过政府采购方式向供应商购买货物、服务的国家机关、事业单位、团体组织。本次采购的甲方名称、地址见</w:t>
      </w:r>
      <w:r>
        <w:rPr>
          <w:rFonts w:hint="eastAsia" w:asciiTheme="minorEastAsia" w:hAnsiTheme="minorEastAsia" w:eastAsiaTheme="minorEastAsia" w:cstheme="minorEastAsia"/>
          <w:b/>
          <w:color w:val="auto"/>
          <w:sz w:val="24"/>
          <w:szCs w:val="24"/>
        </w:rPr>
        <w:t>【政府采购合同专用条款】。</w:t>
      </w:r>
    </w:p>
    <w:p w14:paraId="0DA6173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rPr>
        <w:t>（2）供应商（以下称乙方）是指参加政府采购活动而取得中标结果，并向采购人提供货物、服务的法人、其他组织或者自然人。</w:t>
      </w:r>
    </w:p>
    <w:p w14:paraId="290969AD">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1.2本合同下列术语应解释为：</w:t>
      </w:r>
    </w:p>
    <w:p w14:paraId="597D3824">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（1）“合同”系指甲乙双方签署的、政府采购合同协议书中载明的甲乙双方所达成的协议，包括所有的附件、附录和上述文件所提到的构成合同的所有文件。</w:t>
      </w:r>
    </w:p>
    <w:p w14:paraId="4D713FEC">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（2）“合同价”系指根据本合同规定乙方在正确地完全履行合同义务后甲方应支付给乙方的价款。</w:t>
      </w:r>
    </w:p>
    <w:p w14:paraId="6800206B">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（3）“货物”系指乙方根据本合同规定须向甲方提供的各种形态和种类的物品，包括原材料、设备、产品（包括软件）及相关的其备品备件、工具、手册及其它技术资料和材料。</w:t>
      </w:r>
    </w:p>
    <w:p w14:paraId="04354B81">
      <w:pPr>
        <w:keepNext w:val="0"/>
        <w:keepLines w:val="0"/>
        <w:pageBreakBefore w:val="0"/>
        <w:widowControl w:val="0"/>
        <w:tabs>
          <w:tab w:val="left" w:pos="570"/>
          <w:tab w:val="left" w:pos="8880"/>
          <w:tab w:val="left" w:pos="9555"/>
        </w:tabs>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服务”系指根据合同规定，乙方应提供的技术、管理和其它服务，包括但不限于：管理和质量保证、运输、保险、检验、现场准备、安装、集成、调试、培训、维修、技术支持等以及合同中规定乙方应承担的其它义务。</w:t>
      </w:r>
    </w:p>
    <w:p w14:paraId="12E2AB65">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（5）“合同条款”系指本合同及其附件、补充文件约定的全部条款。</w:t>
      </w:r>
    </w:p>
    <w:p w14:paraId="0C6C7C2C">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（6）“项目现场”系指本合同项下货物安装、运行的现场，其名称见</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w:t>
      </w:r>
    </w:p>
    <w:p w14:paraId="0DCE16FF">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2.合同的适用范围</w:t>
      </w:r>
    </w:p>
    <w:p w14:paraId="0D831695">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 本合同条款适用于没有被本合同其他部分的条款所取代的范围。</w:t>
      </w:r>
    </w:p>
    <w:p w14:paraId="1B74C5F5">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 合同内容根据招标文件、投标文件而确定。</w:t>
      </w:r>
    </w:p>
    <w:p w14:paraId="766EBA07">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3.</w:t>
      </w:r>
      <w:r>
        <w:rPr>
          <w:rFonts w:hint="eastAsia" w:asciiTheme="minorEastAsia" w:hAnsiTheme="minorEastAsia" w:eastAsiaTheme="minorEastAsia" w:cstheme="minorEastAsia"/>
          <w:b/>
          <w:color w:val="auto"/>
          <w:sz w:val="24"/>
          <w:szCs w:val="24"/>
        </w:rPr>
        <w:t>合同标的及金额</w:t>
      </w:r>
    </w:p>
    <w:p w14:paraId="7A3516F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3.1 合同标的及金额应与中标结果一致。</w:t>
      </w:r>
    </w:p>
    <w:p w14:paraId="7AF8AE56">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4.</w:t>
      </w:r>
      <w:r>
        <w:rPr>
          <w:rFonts w:hint="eastAsia" w:asciiTheme="minorEastAsia" w:hAnsiTheme="minorEastAsia" w:eastAsiaTheme="minorEastAsia" w:cstheme="minorEastAsia"/>
          <w:b/>
          <w:color w:val="auto"/>
          <w:sz w:val="24"/>
          <w:szCs w:val="24"/>
        </w:rPr>
        <w:t>合同价款</w:t>
      </w:r>
    </w:p>
    <w:p w14:paraId="2CC45504">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b/>
          <w:bCs/>
          <w:i/>
          <w:iCs/>
          <w:color w:val="auto"/>
          <w:sz w:val="24"/>
          <w:szCs w:val="24"/>
        </w:rPr>
      </w:pPr>
      <w:r>
        <w:rPr>
          <w:rFonts w:hint="eastAsia" w:asciiTheme="minorEastAsia" w:hAnsiTheme="minorEastAsia" w:eastAsiaTheme="minorEastAsia" w:cstheme="minorEastAsia"/>
          <w:color w:val="auto"/>
          <w:sz w:val="24"/>
          <w:szCs w:val="24"/>
        </w:rPr>
        <w:t>4.1具体合同价款见本合同第3.1条。乙方为履行本合同而发生的所有费用均应包含在合同价款中，甲方不再另行支付其它任何费用。</w:t>
      </w:r>
    </w:p>
    <w:p w14:paraId="60999986">
      <w:pPr>
        <w:keepNext w:val="0"/>
        <w:keepLines w:val="0"/>
        <w:pageBreakBefore w:val="0"/>
        <w:widowControl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5.履行合同的时间、地点和方式</w:t>
      </w:r>
    </w:p>
    <w:p w14:paraId="137FFD4C">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5.1 乙方应当在甲方确定的时间、指定的地点履行合同，具体的服务时间、地点和方式见</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w:t>
      </w:r>
    </w:p>
    <w:p w14:paraId="1A78516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5.2 乙方提供服务的应当在甲方指定的时间和地点完成服务项目。</w:t>
      </w:r>
    </w:p>
    <w:p w14:paraId="4B717071">
      <w:pPr>
        <w:keepNext w:val="0"/>
        <w:keepLines w:val="0"/>
        <w:pageBreakBefore w:val="0"/>
        <w:widowControl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6.</w:t>
      </w:r>
      <w:r>
        <w:rPr>
          <w:rFonts w:hint="eastAsia" w:asciiTheme="minorEastAsia" w:hAnsiTheme="minorEastAsia" w:eastAsiaTheme="minorEastAsia" w:cstheme="minorEastAsia"/>
          <w:b/>
          <w:color w:val="auto"/>
          <w:sz w:val="24"/>
          <w:szCs w:val="24"/>
        </w:rPr>
        <w:t>货物的验收</w:t>
      </w:r>
    </w:p>
    <w:p w14:paraId="51D707E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6.1 甲方在收到乙方交付的货物后应当及时组织验收。</w:t>
      </w:r>
    </w:p>
    <w:p w14:paraId="5788576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6.2 货物的表面瑕疵，甲方应在验收时当面提出；对质量问题有异议的应在安装调试后十个工作日内提出。</w:t>
      </w:r>
    </w:p>
    <w:p w14:paraId="59A02E5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6.3 在验收过程中发现数量不足或有质量、技术等问题，乙方应负责按照甲方的要求采取补足、更换或退货等处理措施，并承担由此发生的一切费用和损失。</w:t>
      </w:r>
    </w:p>
    <w:p w14:paraId="621F8EC2">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6.4 甲方在乙方按合同规定交货或安装、调试后，无正当理由而拖延接收、验收或拒绝接收、验收的，应承担因此给乙方造成的直接损失。</w:t>
      </w:r>
    </w:p>
    <w:p w14:paraId="1613645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6.5 甲方对货物进行检查验收合格后，应当收取发票并在《交货验收单》上签署验收意见及加盖单位印章。</w:t>
      </w:r>
    </w:p>
    <w:p w14:paraId="2958F4C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6.6 大型或者复杂的货物采购项目，甲方可以邀请国家认可的质量检测机构参加验收工作，并由其出具验收报告单。</w:t>
      </w:r>
    </w:p>
    <w:p w14:paraId="491770A0">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6.7 乙方提供的进口产品，乙方应出示中华人民共和国进出口商品检验部门出具的检验证书（招标文件第五章采购需求另有约定的除外）。</w:t>
      </w:r>
    </w:p>
    <w:p w14:paraId="48E59A67">
      <w:pPr>
        <w:keepNext w:val="0"/>
        <w:keepLines w:val="0"/>
        <w:pageBreakBefore w:val="0"/>
        <w:widowControl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7.货物包装要求</w:t>
      </w:r>
    </w:p>
    <w:p w14:paraId="70C5B7D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506CF4E6">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7.2 每一个包装箱内应附一份详细装箱单、质量证书和保修保养证书。</w:t>
      </w:r>
    </w:p>
    <w:p w14:paraId="2B8F99CA">
      <w:pPr>
        <w:keepNext w:val="0"/>
        <w:keepLines w:val="0"/>
        <w:pageBreakBefore w:val="0"/>
        <w:widowControl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8.运输和保险</w:t>
      </w:r>
    </w:p>
    <w:p w14:paraId="5E10DF56">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8.1乙方负责办理将货物运抵本合同第5.1条规定的交货地点的一切运输事项，相关费用应包括在合同总价中。</w:t>
      </w:r>
    </w:p>
    <w:p w14:paraId="67B4A83C">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8.2乙方应向保险公司投保以甲方为受益人的发运合同货物发票金额的110％运输一切险。</w:t>
      </w:r>
    </w:p>
    <w:p w14:paraId="4DCA09B5">
      <w:pPr>
        <w:keepNext w:val="0"/>
        <w:keepLines w:val="0"/>
        <w:pageBreakBefore w:val="0"/>
        <w:widowControl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9.质量标准和保证</w:t>
      </w:r>
    </w:p>
    <w:p w14:paraId="37390C03">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b/>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9.1 质量标准</w:t>
      </w:r>
    </w:p>
    <w:p w14:paraId="5DE1CD7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（1）本合同下交付的货物应符合招标文件第四章“技术规格、参数与要求”所述的标准。如果没有提及适用标准，则应符合中华人民共和国有关机构发布的最新版本的标准。</w:t>
      </w:r>
    </w:p>
    <w:p w14:paraId="6E7CD6BE">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（2）采用中华人民共和国法定计量单位。</w:t>
      </w:r>
    </w:p>
    <w:p w14:paraId="05EFE665">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（3）乙方所出售的货物还应符合国家有关安全、环保、卫生之规定。</w:t>
      </w:r>
    </w:p>
    <w:p w14:paraId="4BA1F40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9.2 保证</w:t>
      </w:r>
    </w:p>
    <w:p w14:paraId="38C453C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规定或乙方承诺（两者以较长的为准）的质量保证期内，本保证保持有效。</w:t>
      </w:r>
    </w:p>
    <w:p w14:paraId="1CAE5C56">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（2）在质量保证期内所发现的缺陷，甲方应尽快以书面形式通知乙方。</w:t>
      </w:r>
    </w:p>
    <w:p w14:paraId="409D1BC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（3）乙方收到通知后应在</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规定的响应时间内以合理的速度免费维修或更换有缺陷的货物或部件。</w:t>
      </w:r>
    </w:p>
    <w:p w14:paraId="429B9BF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（4）在质量保证期内，如果货物的质量或规格与合同不符，或证实货物是有缺陷的，包括潜在的缺陷或使用不符合要求的材料等，甲方可以根据本合同第15.1条规定以书面形式向乙方提出补救措施或索赔。</w:t>
      </w:r>
    </w:p>
    <w:p w14:paraId="5028CC91">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rPr>
        <w:t>（5）乙方在约定的时间内未能弥补缺陷，甲方可采取必要的补救措施，但其风险和费用将由乙方承担，甲方根据合同规定对乙方行使的其他权利不受影响。</w:t>
      </w:r>
    </w:p>
    <w:p w14:paraId="57F49921">
      <w:pPr>
        <w:keepNext w:val="0"/>
        <w:keepLines w:val="0"/>
        <w:pageBreakBefore w:val="0"/>
        <w:widowControl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10.权利瑕疵担保</w:t>
      </w:r>
    </w:p>
    <w:p w14:paraId="731A4B1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10.1 乙方保证对其出售的货物享有合法的权利。</w:t>
      </w:r>
    </w:p>
    <w:p w14:paraId="56853804">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10.2 乙方保证在其出售的货物上不存在任何未曾向甲方透露的担保物权，如抵押权、质押权、留置权等。</w:t>
      </w:r>
    </w:p>
    <w:p w14:paraId="7EC10136">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10.3 如甲方使用该货物构成上述侵权的，则由乙方承担全部责任。</w:t>
      </w:r>
    </w:p>
    <w:p w14:paraId="59CF133E">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11.知识产权保护</w:t>
      </w:r>
    </w:p>
    <w:p w14:paraId="77A0E9C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11.1 乙方对其所销售的货物应当享有知识产权或经权利人合法授权，保证没有侵犯任何第三人的知识产权和商业秘密等权利。</w:t>
      </w:r>
    </w:p>
    <w:p w14:paraId="49E52F9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11.2 甲方使用乙方提供的货物对第三人构成侵权的，应当由乙方承担全部法律责任，给甲方造成损害的，乙方应当承担赔偿责任。</w:t>
      </w:r>
    </w:p>
    <w:p w14:paraId="33DEFE46">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11.3 甲方委托乙方开发的产品，甲方享有知识产权，未经甲方许可不得转让任何第三人。</w:t>
      </w:r>
    </w:p>
    <w:p w14:paraId="682EB121">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12.保密义务</w:t>
      </w:r>
    </w:p>
    <w:p w14:paraId="7F68B0EC">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12.1 甲、乙双方在采购和履行合同过程中所获悉的对方属于保密的内容，双方均有保密义务。</w:t>
      </w:r>
    </w:p>
    <w:p w14:paraId="7DE5880D">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13.合同价款支付</w:t>
      </w:r>
    </w:p>
    <w:p w14:paraId="7B3CCF89">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13.1验收合格后，乙方出具正规发票给甲方，凭甲方开具的《政府采购合同验收报告单》办理合同价</w:t>
      </w:r>
      <w:r>
        <w:rPr>
          <w:rFonts w:hint="eastAsia" w:asciiTheme="minorEastAsia" w:hAnsiTheme="minorEastAsia" w:eastAsiaTheme="minorEastAsia" w:cstheme="minorEastAsia"/>
          <w:bCs/>
          <w:color w:val="auto"/>
          <w:sz w:val="24"/>
          <w:szCs w:val="24"/>
        </w:rPr>
        <w:t>款</w:t>
      </w:r>
      <w:r>
        <w:rPr>
          <w:rFonts w:hint="eastAsia" w:asciiTheme="minorEastAsia" w:hAnsiTheme="minorEastAsia" w:eastAsiaTheme="minorEastAsia" w:cstheme="minorEastAsia"/>
          <w:color w:val="auto"/>
          <w:sz w:val="24"/>
          <w:szCs w:val="24"/>
        </w:rPr>
        <w:t>结算手续。</w:t>
      </w:r>
    </w:p>
    <w:p w14:paraId="10FC7E3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13.2 合同价款构成中应当由财政支付的部分，甲方应当在货物验收合格后的十五个工作日内向国库管理部门申请支付，经国库管理部门审核后直接支付给乙方。</w:t>
      </w:r>
    </w:p>
    <w:p w14:paraId="01B33D5E">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13.3 合同价款构成中应当由甲方自行支付的部分，甲方应当在货物验收合格后十五个工作日内支付。</w:t>
      </w:r>
    </w:p>
    <w:p w14:paraId="7B18DA0E">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13.4支付合同价</w:t>
      </w:r>
      <w:r>
        <w:rPr>
          <w:rFonts w:hint="eastAsia" w:asciiTheme="minorEastAsia" w:hAnsiTheme="minorEastAsia" w:eastAsiaTheme="minorEastAsia" w:cstheme="minorEastAsia"/>
          <w:bCs/>
          <w:color w:val="auto"/>
          <w:sz w:val="24"/>
          <w:szCs w:val="24"/>
        </w:rPr>
        <w:t>款</w:t>
      </w:r>
      <w:r>
        <w:rPr>
          <w:rFonts w:hint="eastAsia" w:asciiTheme="minorEastAsia" w:hAnsiTheme="minorEastAsia" w:eastAsiaTheme="minorEastAsia" w:cstheme="minorEastAsia"/>
          <w:color w:val="auto"/>
          <w:sz w:val="24"/>
          <w:szCs w:val="24"/>
        </w:rPr>
        <w:t>时，一律不向乙方以外的任何第三方办理付款手续。开户行和账号以签订的政府采购合同为准，如果乙方要求变更，则乙方必须提供加盖了财务专用章、法定代表人签字的证明文件，报经甲方审查同意。</w:t>
      </w:r>
    </w:p>
    <w:p w14:paraId="7FD26774">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13.5 合同价款支付方式</w:t>
      </w:r>
      <w:r>
        <w:rPr>
          <w:rFonts w:hint="eastAsia" w:asciiTheme="minorEastAsia" w:hAnsiTheme="minorEastAsia" w:eastAsiaTheme="minorEastAsia" w:cstheme="minorEastAsia"/>
          <w:bCs/>
          <w:color w:val="auto"/>
          <w:sz w:val="24"/>
          <w:szCs w:val="24"/>
        </w:rPr>
        <w:t>和条件在</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中另有规定。</w:t>
      </w:r>
    </w:p>
    <w:p w14:paraId="4BDFB903">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bCs/>
          <w:color w:val="auto"/>
          <w:sz w:val="24"/>
          <w:szCs w:val="24"/>
        </w:rPr>
        <w:t>14.</w:t>
      </w:r>
      <w:r>
        <w:rPr>
          <w:rFonts w:hint="eastAsia" w:asciiTheme="minorEastAsia" w:hAnsiTheme="minorEastAsia" w:eastAsiaTheme="minorEastAsia" w:cstheme="minorEastAsia"/>
          <w:b/>
          <w:color w:val="auto"/>
          <w:sz w:val="24"/>
          <w:szCs w:val="24"/>
        </w:rPr>
        <w:t>乙方应提供的服务</w:t>
      </w:r>
    </w:p>
    <w:p w14:paraId="24C6F7D6">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14.1 乙方应向甲方提交所提供货物的技术文件，包括相应的中文技术文件，如：产品目录、图纸、操作手册、使用说明、维护手册或服务指南。这些文件应包装好随同货物一起发运。</w:t>
      </w:r>
    </w:p>
    <w:p w14:paraId="659261D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14.2 乙方还应提供下列服务：</w:t>
      </w:r>
    </w:p>
    <w:p w14:paraId="155BACB0">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（1）货物的现场移动、安装、调试、启动监督及技术支持；</w:t>
      </w:r>
    </w:p>
    <w:p w14:paraId="69832A4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（2）提供货物组装和维修所需的专用工具和辅助材料；</w:t>
      </w:r>
    </w:p>
    <w:p w14:paraId="73ED26C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（3）在合同各方商定的一定期限内对所有的货物实施运行监督、维修，但前提条件是该服务并不能免除乙方在质量保证期内所承担的义务；</w:t>
      </w:r>
    </w:p>
    <w:p w14:paraId="77B4A23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（4）在制造商或项目现场就货物的安装、启动、运营、维护对甲方操作人员进行培训；</w:t>
      </w:r>
    </w:p>
    <w:p w14:paraId="1AB0B8A2">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规定由乙方提供的其他服务。</w:t>
      </w:r>
    </w:p>
    <w:p w14:paraId="38B28AC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14.3 乙方提供的服务的费用应包含在合同价款中，甲方不再另行支付。</w:t>
      </w:r>
    </w:p>
    <w:p w14:paraId="6B409700">
      <w:pPr>
        <w:keepNext w:val="0"/>
        <w:keepLines w:val="0"/>
        <w:pageBreakBefore w:val="0"/>
        <w:widowControl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15.违约责任</w:t>
      </w:r>
    </w:p>
    <w:p w14:paraId="06F3EDC8">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15.1质量瑕疵的补救措施和索赔</w:t>
      </w:r>
    </w:p>
    <w:p w14:paraId="33286AD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1B0A0D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①乙方同意退货并将货款退还给甲方，由此发生的一切费用和损失由乙方承担。</w:t>
      </w:r>
    </w:p>
    <w:p w14:paraId="4C718E8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②根据货物的质量状况以及甲方所遭受的损失，经过甲乙双方商定降低货物的价格。</w:t>
      </w:r>
    </w:p>
    <w:p w14:paraId="24E2767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7BCFA1B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40675DA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15.2 迟延交货的违约责任</w:t>
      </w:r>
    </w:p>
    <w:p w14:paraId="0BEA06F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6EC489D2">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（2）除本合同</w:t>
      </w:r>
      <w:r>
        <w:rPr>
          <w:rFonts w:hint="eastAsia" w:asciiTheme="minorEastAsia" w:hAnsiTheme="minorEastAsia" w:eastAsiaTheme="minorEastAsia" w:cstheme="minorEastAsia"/>
          <w:bCs/>
          <w:color w:val="auto"/>
          <w:sz w:val="24"/>
          <w:szCs w:val="24"/>
        </w:rPr>
        <w:t>第20条</w:t>
      </w:r>
      <w:r>
        <w:rPr>
          <w:rFonts w:hint="eastAsia" w:asciiTheme="minorEastAsia" w:hAnsiTheme="minorEastAsia" w:eastAsiaTheme="minorEastAsia" w:cstheme="minorEastAsia"/>
          <w:color w:val="auto"/>
          <w:sz w:val="24"/>
          <w:szCs w:val="24"/>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07D8D1C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715E1E30">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16.合同的变更</w:t>
      </w:r>
    </w:p>
    <w:p w14:paraId="6018061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16.1 在合同履行过程中，甲、乙双方可就合同履行的时间、地点和方式等协商进行变更。协商一致后，双方应签订书面的补充协议。</w:t>
      </w:r>
    </w:p>
    <w:p w14:paraId="0207FA8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16.2 在不改变合同其他条款的前提下，甲方有权在合同价款百分之十的范围内追加与合同标的相同的货物或服务，并就此与乙方签订补充合同，乙方不得拒绝。</w:t>
      </w:r>
    </w:p>
    <w:p w14:paraId="7BD3961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16.3 除双方签署书面协议，并成为合同不可分割的一部分外，本合同条件不得有任何变更。</w:t>
      </w:r>
    </w:p>
    <w:p w14:paraId="577D98BF">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17.合同中止与终止</w:t>
      </w:r>
    </w:p>
    <w:p w14:paraId="1C41D62F">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17.1合同的中止</w:t>
      </w:r>
    </w:p>
    <w:p w14:paraId="2DF739DC">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（1）合同在履行过程中，因采购计划调整，甲方可以要求中止履行，待计划确定后继续履行；</w:t>
      </w:r>
    </w:p>
    <w:p w14:paraId="4206FCDC">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（2）合同履行过程中因供应商就采购过程或结果提起投诉的，甲方认为有必要或财政部门责令中止的，应当中止合同的履行。</w:t>
      </w:r>
    </w:p>
    <w:p w14:paraId="33AA6D84">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17.2合同的终止</w:t>
      </w:r>
    </w:p>
    <w:p w14:paraId="3A7B000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（1）合同因有效期限届满而终止；</w:t>
      </w:r>
    </w:p>
    <w:p w14:paraId="0E83EBC6">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（2）乙方未能依照本合同约定条件履行合同，已构成根本性违约的，甲方有权终止本合同，并追究乙方的违约责任。</w:t>
      </w:r>
    </w:p>
    <w:p w14:paraId="12F35E1C">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（3）如果乙方丧失履约能力或被宣告破产，甲方可在任何时候以书面形式通知乙方终止合同而不给乙方补偿。</w:t>
      </w:r>
    </w:p>
    <w:p w14:paraId="23CD83A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（4）如果乙方在履行合同过程中有不正当竞争行为，甲方有权解除合同，并按《中华人民共和国反不正当竞争法》规定由有关部门追究其法律责任。</w:t>
      </w:r>
    </w:p>
    <w:p w14:paraId="48D0CC62">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（5）如果合同的履行将损害国家利益或社会公共利益，甲方有权终止合同的履行，给乙方造成损失的予以相应补偿。</w:t>
      </w:r>
    </w:p>
    <w:p w14:paraId="04C1D35B">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18.合同转让和分包</w:t>
      </w:r>
    </w:p>
    <w:p w14:paraId="23852462">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18.1 乙方不得以任何形式将合同转包。</w:t>
      </w:r>
    </w:p>
    <w:p w14:paraId="498CBBAC">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18.2 乙方未在投标文件中说明，不得将</w:t>
      </w:r>
      <w:r>
        <w:rPr>
          <w:rFonts w:hint="eastAsia" w:asciiTheme="minorEastAsia" w:hAnsiTheme="minorEastAsia" w:eastAsiaTheme="minorEastAsia" w:cstheme="minorEastAsia"/>
          <w:bCs/>
          <w:color w:val="auto"/>
          <w:sz w:val="24"/>
          <w:szCs w:val="24"/>
        </w:rPr>
        <w:t>合同</w:t>
      </w:r>
      <w:r>
        <w:rPr>
          <w:rFonts w:hint="eastAsia" w:asciiTheme="minorEastAsia" w:hAnsiTheme="minorEastAsia" w:eastAsiaTheme="minorEastAsia" w:cstheme="minorEastAsia"/>
          <w:color w:val="auto"/>
          <w:sz w:val="24"/>
          <w:szCs w:val="24"/>
        </w:rPr>
        <w:t>的非主体、非关键性工作分包给他人。</w:t>
      </w:r>
    </w:p>
    <w:p w14:paraId="44589858">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19.不可抗力</w:t>
      </w:r>
    </w:p>
    <w:p w14:paraId="79DFD39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19.1 不可抗力是指合同双方不可预见、不可避免、不可克服的自然灾害和社会事件。</w:t>
      </w:r>
    </w:p>
    <w:p w14:paraId="0C54EA6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19.2 任何一方对由于不可抗力造成的部分或全部不能履行合同不承担违约责任。但迟延履行后发生不可抗力的，不能免除责任。</w:t>
      </w:r>
    </w:p>
    <w:p w14:paraId="374540C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19.3 遇有不可抗力的一方，应在三日内将事件的情况以书面形式通知另一方，并在事件发生后十日内，向另一方提交合同不能履行或部分不能履行或需要延期履行理由的报告。</w:t>
      </w:r>
    </w:p>
    <w:p w14:paraId="53249AA9">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20.解决争议的方法</w:t>
      </w:r>
    </w:p>
    <w:p w14:paraId="1B6FB00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20.1 合同各方应通过友好协商，解决在执行合同过程中所发生的或与合同有关的一切争端。如从协商开始后十日内仍不能解决，可以向财政部门提请调解。</w:t>
      </w:r>
    </w:p>
    <w:p w14:paraId="1E342C7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20.2 调解不成可以向甲方所在地人民法院提起诉讼。</w:t>
      </w:r>
    </w:p>
    <w:p w14:paraId="237CB52C">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20.3 如仲裁或诉讼事项不影响合同其它部分的履行，则在仲裁或诉讼期间，除正在进行仲裁或诉讼的部分外，合同的其它部分应继续执行。</w:t>
      </w:r>
    </w:p>
    <w:p w14:paraId="1A6364B9">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21.法律适用</w:t>
      </w:r>
    </w:p>
    <w:p w14:paraId="772CF61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21.1 本合同适用中华人民共和国现行法律、行政法规和规章，如合同条款与法律、行政法规和规章不一致的，按照法律、行政法规和规章修改本合同。</w:t>
      </w:r>
    </w:p>
    <w:p w14:paraId="4516B111">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bCs/>
          <w:color w:val="auto"/>
          <w:sz w:val="24"/>
          <w:szCs w:val="24"/>
        </w:rPr>
        <w:t>22.</w:t>
      </w:r>
      <w:r>
        <w:rPr>
          <w:rFonts w:hint="eastAsia" w:asciiTheme="minorEastAsia" w:hAnsiTheme="minorEastAsia" w:eastAsiaTheme="minorEastAsia" w:cstheme="minorEastAsia"/>
          <w:b/>
          <w:color w:val="auto"/>
          <w:sz w:val="24"/>
          <w:szCs w:val="24"/>
        </w:rPr>
        <w:t>通知</w:t>
      </w:r>
    </w:p>
    <w:p w14:paraId="4FEAFA5B">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22.1本合同一方给另一方的通知均应采用书面形式，传真或快递送到本合同中规定的对方的地址和办理签收手续，</w:t>
      </w:r>
    </w:p>
    <w:p w14:paraId="2ACC812C">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22.2通知以送到之日或通知书中规定的生效之日起生效，两者中以较迟之日为准。</w:t>
      </w:r>
    </w:p>
    <w:p w14:paraId="32E6725B">
      <w:pPr>
        <w:keepNext w:val="0"/>
        <w:keepLines w:val="0"/>
        <w:pageBreakBefore w:val="0"/>
        <w:widowControl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23. 合同未尽事项</w:t>
      </w:r>
    </w:p>
    <w:p w14:paraId="0C8F5C38">
      <w:pPr>
        <w:keepNext w:val="0"/>
        <w:keepLines w:val="0"/>
        <w:pageBreakBefore w:val="0"/>
        <w:widowControl w:val="0"/>
        <w:kinsoku/>
        <w:wordWrap/>
        <w:overflowPunct/>
        <w:topLinePunct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23.1合同未尽事项见</w:t>
      </w:r>
      <w:r>
        <w:rPr>
          <w:rFonts w:hint="eastAsia" w:asciiTheme="minorEastAsia" w:hAnsiTheme="minorEastAsia" w:eastAsiaTheme="minorEastAsia" w:cstheme="minorEastAsia"/>
          <w:b/>
          <w:color w:val="auto"/>
          <w:sz w:val="24"/>
          <w:szCs w:val="24"/>
        </w:rPr>
        <w:t>【政府采购合同专用条款】。</w:t>
      </w:r>
    </w:p>
    <w:p w14:paraId="6209BF6B">
      <w:pPr>
        <w:keepNext w:val="0"/>
        <w:keepLines w:val="0"/>
        <w:pageBreakBefore w:val="0"/>
        <w:widowControl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24.合同生效</w:t>
      </w:r>
    </w:p>
    <w:p w14:paraId="25C6BF4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24.1 本合同在合同双方签字盖章后生效。</w:t>
      </w:r>
    </w:p>
    <w:p w14:paraId="7605C753">
      <w:pPr>
        <w:keepNext w:val="0"/>
        <w:keepLines w:val="0"/>
        <w:pageBreakBefore w:val="0"/>
        <w:widowControl w:val="0"/>
        <w:kinsoku/>
        <w:wordWrap/>
        <w:overflowPunct/>
        <w:topLinePunct w:val="0"/>
        <w:bidi w:val="0"/>
        <w:adjustRightInd w:val="0"/>
        <w:snapToGrid w:val="0"/>
        <w:spacing w:line="480" w:lineRule="exact"/>
        <w:jc w:val="both"/>
        <w:textAlignment w:val="auto"/>
        <w:rPr>
          <w:rFonts w:hint="eastAsia" w:asciiTheme="minorEastAsia" w:hAnsiTheme="minorEastAsia" w:eastAsiaTheme="minorEastAsia" w:cstheme="minorEastAsia"/>
          <w:b/>
          <w:color w:val="auto"/>
          <w:kern w:val="2"/>
          <w:sz w:val="24"/>
          <w:szCs w:val="24"/>
          <w:highlight w:val="none"/>
          <w:lang w:val="en-US" w:eastAsia="zh-CN" w:bidi="ar-SA"/>
        </w:rPr>
      </w:pPr>
      <w:r>
        <w:rPr>
          <w:rFonts w:hint="eastAsia" w:asciiTheme="minorEastAsia" w:hAnsiTheme="minorEastAsia" w:eastAsiaTheme="minorEastAsia" w:cstheme="minorEastAsia"/>
          <w:b/>
          <w:color w:val="auto"/>
          <w:kern w:val="2"/>
          <w:sz w:val="24"/>
          <w:szCs w:val="24"/>
          <w:highlight w:val="none"/>
          <w:lang w:val="en-US" w:eastAsia="zh-CN" w:bidi="ar-SA"/>
        </w:rPr>
        <w:t>25.附则</w:t>
      </w:r>
    </w:p>
    <w:p w14:paraId="4C398D05">
      <w:pPr>
        <w:keepNext w:val="0"/>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25.1本合同未尽事宜，见</w:t>
      </w:r>
      <w:r>
        <w:rPr>
          <w:rFonts w:hint="eastAsia" w:asciiTheme="minorEastAsia" w:hAnsiTheme="minorEastAsia" w:eastAsiaTheme="minorEastAsia" w:cstheme="minorEastAsia"/>
          <w:b/>
          <w:color w:val="auto"/>
          <w:sz w:val="24"/>
          <w:szCs w:val="24"/>
          <w:highlight w:val="none"/>
        </w:rPr>
        <w:t>招标文件前附表。</w:t>
      </w:r>
    </w:p>
    <w:p w14:paraId="211E76B8">
      <w:pPr>
        <w:pageBreakBefore w:val="0"/>
        <w:topLinePunct w:val="0"/>
        <w:autoSpaceDE w:val="0"/>
        <w:autoSpaceDN w:val="0"/>
        <w:bidi w:val="0"/>
        <w:adjustRightInd w:val="0"/>
        <w:snapToGrid w:val="0"/>
        <w:spacing w:before="50" w:line="420" w:lineRule="exact"/>
        <w:ind w:firstLine="643" w:firstLineChars="200"/>
        <w:jc w:val="left"/>
        <w:rPr>
          <w:rFonts w:ascii="黑体" w:hAnsi="黑体" w:eastAsia="黑体" w:cs="Times New Roman"/>
          <w:b/>
          <w:bCs/>
          <w:color w:val="FF0000"/>
          <w:sz w:val="32"/>
          <w:szCs w:val="22"/>
        </w:rPr>
      </w:pPr>
      <w:r>
        <w:rPr>
          <w:rFonts w:ascii="黑体" w:hAnsi="黑体" w:eastAsia="黑体" w:cs="Times New Roman"/>
          <w:b/>
          <w:bCs/>
          <w:color w:val="FF0000"/>
          <w:sz w:val="32"/>
          <w:szCs w:val="22"/>
        </w:rPr>
        <w:br w:type="page"/>
      </w:r>
    </w:p>
    <w:p w14:paraId="6838BA16">
      <w:pPr>
        <w:pStyle w:val="3"/>
        <w:bidi w:val="0"/>
        <w:jc w:val="center"/>
        <w:rPr>
          <w:lang w:val="en-US" w:eastAsia="zh-CN"/>
        </w:rPr>
      </w:pPr>
      <w:bookmarkStart w:id="62" w:name="_Toc16173"/>
      <w:bookmarkStart w:id="63" w:name="_Toc9816"/>
      <w:r>
        <w:rPr>
          <w:rFonts w:hint="eastAsia"/>
          <w:lang w:val="en-US" w:eastAsia="zh-CN"/>
        </w:rPr>
        <w:t>第三节</w:t>
      </w:r>
      <w:r>
        <w:rPr>
          <w:lang w:val="en-US" w:eastAsia="zh-CN"/>
        </w:rPr>
        <w:t xml:space="preserve"> </w:t>
      </w:r>
      <w:r>
        <w:rPr>
          <w:rFonts w:hint="eastAsia"/>
          <w:lang w:val="en-US" w:eastAsia="zh-CN"/>
        </w:rPr>
        <w:t>政府采购合同专用条款</w:t>
      </w:r>
      <w:bookmarkEnd w:id="62"/>
      <w:bookmarkEnd w:id="63"/>
    </w:p>
    <w:tbl>
      <w:tblPr>
        <w:tblStyle w:val="10"/>
        <w:tblW w:w="9008"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464"/>
      </w:tblGrid>
      <w:tr w14:paraId="4134A8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34E580AB">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本章第二节</w:t>
            </w:r>
          </w:p>
          <w:p w14:paraId="1EA58001">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第1.1款</w:t>
            </w:r>
          </w:p>
        </w:tc>
        <w:tc>
          <w:tcPr>
            <w:tcW w:w="1843" w:type="dxa"/>
            <w:vAlign w:val="center"/>
          </w:tcPr>
          <w:p w14:paraId="7A5F219B">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甲方名称、地址</w:t>
            </w:r>
          </w:p>
        </w:tc>
        <w:tc>
          <w:tcPr>
            <w:tcW w:w="5464" w:type="dxa"/>
            <w:vAlign w:val="center"/>
          </w:tcPr>
          <w:p w14:paraId="41C5B540">
            <w:pPr>
              <w:keepNext w:val="0"/>
              <w:keepLines w:val="0"/>
              <w:pageBreakBefore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名称：张家界市武陵源区自然资源和林业局</w:t>
            </w:r>
          </w:p>
          <w:p w14:paraId="16ACCC95">
            <w:pPr>
              <w:keepNext w:val="0"/>
              <w:keepLines w:val="0"/>
              <w:pageBreakBefore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地  址：湖南省张家界市武陵源区军地坪街道338号</w:t>
            </w:r>
          </w:p>
        </w:tc>
      </w:tr>
      <w:tr w14:paraId="0A6EC7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2935DDF0">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本章第二节</w:t>
            </w:r>
          </w:p>
          <w:p w14:paraId="00302796">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第1.2（6）项</w:t>
            </w:r>
          </w:p>
        </w:tc>
        <w:tc>
          <w:tcPr>
            <w:tcW w:w="1843" w:type="dxa"/>
            <w:vAlign w:val="center"/>
          </w:tcPr>
          <w:p w14:paraId="006F76F5">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项目现场</w:t>
            </w:r>
          </w:p>
        </w:tc>
        <w:tc>
          <w:tcPr>
            <w:tcW w:w="5464" w:type="dxa"/>
            <w:vAlign w:val="center"/>
          </w:tcPr>
          <w:p w14:paraId="0F92B0C4">
            <w:pPr>
              <w:keepNext w:val="0"/>
              <w:keepLines w:val="0"/>
              <w:pageBreakBefore w:val="0"/>
              <w:kinsoku/>
              <w:wordWrap/>
              <w:overflowPunct/>
              <w:topLinePunct w:val="0"/>
              <w:autoSpaceDE/>
              <w:autoSpaceDN/>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lang w:eastAsia="zh-CN"/>
              </w:rPr>
              <w:t>本项目服务地点范围内的79个小班施工地块，具体以</w:t>
            </w:r>
            <w:r>
              <w:rPr>
                <w:rFonts w:hint="eastAsia" w:asciiTheme="minorEastAsia" w:hAnsiTheme="minorEastAsia" w:cstheme="minorEastAsia"/>
                <w:b w:val="0"/>
                <w:bCs w:val="0"/>
                <w:color w:val="auto"/>
                <w:sz w:val="24"/>
                <w:szCs w:val="24"/>
                <w:lang w:eastAsia="zh-CN"/>
              </w:rPr>
              <w:t>项目总体布局</w:t>
            </w:r>
            <w:r>
              <w:rPr>
                <w:rFonts w:hint="eastAsia" w:asciiTheme="minorEastAsia" w:hAnsiTheme="minorEastAsia" w:eastAsiaTheme="minorEastAsia" w:cstheme="minorEastAsia"/>
                <w:b w:val="0"/>
                <w:bCs w:val="0"/>
                <w:color w:val="auto"/>
                <w:sz w:val="24"/>
                <w:szCs w:val="24"/>
                <w:lang w:eastAsia="zh-CN"/>
              </w:rPr>
              <w:t>图、小班设计</w:t>
            </w:r>
            <w:r>
              <w:rPr>
                <w:rFonts w:hint="eastAsia" w:asciiTheme="minorEastAsia" w:hAnsiTheme="minorEastAsia" w:cstheme="minorEastAsia"/>
                <w:b w:val="0"/>
                <w:bCs w:val="0"/>
                <w:color w:val="auto"/>
                <w:sz w:val="24"/>
                <w:szCs w:val="24"/>
                <w:lang w:eastAsia="zh-CN"/>
              </w:rPr>
              <w:t>及工程量统计</w:t>
            </w:r>
            <w:r>
              <w:rPr>
                <w:rFonts w:hint="eastAsia" w:asciiTheme="minorEastAsia" w:hAnsiTheme="minorEastAsia" w:eastAsiaTheme="minorEastAsia" w:cstheme="minorEastAsia"/>
                <w:b w:val="0"/>
                <w:bCs w:val="0"/>
                <w:color w:val="auto"/>
                <w:sz w:val="24"/>
                <w:szCs w:val="24"/>
                <w:lang w:eastAsia="zh-CN"/>
              </w:rPr>
              <w:t>表</w:t>
            </w:r>
            <w:r>
              <w:rPr>
                <w:rFonts w:hint="eastAsia" w:asciiTheme="minorEastAsia" w:hAnsiTheme="minorEastAsia" w:cstheme="minorEastAsia"/>
                <w:b w:val="0"/>
                <w:bCs w:val="0"/>
                <w:color w:val="auto"/>
                <w:sz w:val="24"/>
                <w:szCs w:val="24"/>
                <w:lang w:eastAsia="zh-CN"/>
              </w:rPr>
              <w:t>、各小班作业设计图</w:t>
            </w:r>
            <w:r>
              <w:rPr>
                <w:rFonts w:hint="eastAsia" w:asciiTheme="minorEastAsia" w:hAnsiTheme="minorEastAsia" w:eastAsiaTheme="minorEastAsia" w:cstheme="minorEastAsia"/>
                <w:b w:val="0"/>
                <w:bCs w:val="0"/>
                <w:color w:val="auto"/>
                <w:sz w:val="24"/>
                <w:szCs w:val="24"/>
                <w:lang w:eastAsia="zh-CN"/>
              </w:rPr>
              <w:t>为准。</w:t>
            </w:r>
          </w:p>
        </w:tc>
      </w:tr>
      <w:tr w14:paraId="111E53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4AF5E1EE">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本章第二节</w:t>
            </w:r>
          </w:p>
          <w:p w14:paraId="2D7C6BF9">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第5.1款</w:t>
            </w:r>
          </w:p>
        </w:tc>
        <w:tc>
          <w:tcPr>
            <w:tcW w:w="1843" w:type="dxa"/>
            <w:vAlign w:val="center"/>
          </w:tcPr>
          <w:p w14:paraId="3F7F263B">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履行合同的时间、地点及方式</w:t>
            </w:r>
          </w:p>
        </w:tc>
        <w:tc>
          <w:tcPr>
            <w:tcW w:w="5464" w:type="dxa"/>
            <w:vAlign w:val="center"/>
          </w:tcPr>
          <w:p w14:paraId="52E85591">
            <w:pPr>
              <w:keepNext w:val="0"/>
              <w:keepLines w:val="0"/>
              <w:pageBreakBefore w:val="0"/>
              <w:widowControl/>
              <w:suppressLineNumbers w:val="0"/>
              <w:kinsoku/>
              <w:wordWrap/>
              <w:overflowPunct/>
              <w:topLinePunct w:val="0"/>
              <w:autoSpaceDE/>
              <w:autoSpaceDN/>
              <w:bidi w:val="0"/>
              <w:spacing w:line="480" w:lineRule="exact"/>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z w:val="24"/>
                <w:szCs w:val="24"/>
              </w:rPr>
              <w:t>服务时间</w:t>
            </w:r>
            <w:r>
              <w:rPr>
                <w:rFonts w:hint="eastAsia" w:asciiTheme="minorEastAsia" w:hAnsiTheme="minorEastAsia" w:eastAsiaTheme="minorEastAsia" w:cstheme="minorEastAsia"/>
                <w:color w:val="auto"/>
                <w:sz w:val="24"/>
                <w:szCs w:val="24"/>
              </w:rPr>
              <w:t>：</w:t>
            </w:r>
            <w:r>
              <w:rPr>
                <w:rFonts w:hint="eastAsia" w:asciiTheme="minorEastAsia" w:hAnsiTheme="minorEastAsia" w:cstheme="minorEastAsia"/>
                <w:color w:val="auto"/>
                <w:sz w:val="24"/>
                <w:szCs w:val="24"/>
                <w:lang w:eastAsia="zh-CN"/>
              </w:rPr>
              <w:t>项目建设期为1年</w:t>
            </w:r>
            <w:r>
              <w:rPr>
                <w:rFonts w:hint="eastAsia" w:asciiTheme="minorEastAsia" w:hAnsiTheme="minorEastAsia" w:eastAsiaTheme="minorEastAsia" w:cstheme="minorEastAsia"/>
                <w:color w:val="auto"/>
                <w:sz w:val="24"/>
                <w:szCs w:val="24"/>
              </w:rPr>
              <w:t>。须在此期限内完成采伐、修枝、清理、整地、栽植等全部内容。管护期（质量保证期）为成果验收合格之日起24个月（含2027年、2028年两年的抚育管护工作）。</w:t>
            </w:r>
          </w:p>
          <w:p w14:paraId="0DF83813">
            <w:pPr>
              <w:keepNext w:val="0"/>
              <w:keepLines w:val="0"/>
              <w:pageBreakBefore w:val="0"/>
              <w:kinsoku/>
              <w:wordWrap/>
              <w:overflowPunct/>
              <w:topLinePunct w:val="0"/>
              <w:autoSpaceDE/>
              <w:autoSpaceDN/>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u w:val="single"/>
                <w:lang w:eastAsia="zh-CN"/>
              </w:rPr>
            </w:pPr>
            <w:r>
              <w:rPr>
                <w:rFonts w:hint="eastAsia" w:asciiTheme="minorEastAsia" w:hAnsiTheme="minorEastAsia" w:eastAsiaTheme="minorEastAsia" w:cstheme="minorEastAsia"/>
                <w:b/>
                <w:bCs/>
                <w:color w:val="auto"/>
                <w:sz w:val="24"/>
                <w:szCs w:val="24"/>
              </w:rPr>
              <w:t>服务地点</w:t>
            </w:r>
            <w:r>
              <w:rPr>
                <w:rFonts w:hint="eastAsia" w:asciiTheme="minorEastAsia" w:hAnsiTheme="minorEastAsia" w:eastAsiaTheme="minorEastAsia" w:cstheme="minorEastAsia"/>
                <w:color w:val="auto"/>
                <w:sz w:val="24"/>
                <w:szCs w:val="24"/>
              </w:rPr>
              <w:t>：张家界市武陵源区中湖乡、索溪峪街道项目区小班所在地（涉及双文村、迎宾路居委会、黄龙路居委会、田富村、文风居委会、鱼泉峪村、定家庄村、三家峪村、檀木岗村、石家峪村、杨家界居委会、青龙垭村、野鸡铺居委会等13个村/居委会），具体以</w:t>
            </w:r>
            <w:r>
              <w:rPr>
                <w:rFonts w:hint="eastAsia" w:asciiTheme="minorEastAsia" w:hAnsiTheme="minorEastAsia" w:eastAsiaTheme="minorEastAsia" w:cstheme="minorEastAsia"/>
                <w:color w:val="auto"/>
                <w:sz w:val="24"/>
                <w:szCs w:val="24"/>
                <w:lang w:eastAsia="zh-CN"/>
              </w:rPr>
              <w:t>采购人</w:t>
            </w:r>
            <w:r>
              <w:rPr>
                <w:rFonts w:hint="eastAsia" w:asciiTheme="minorEastAsia" w:hAnsiTheme="minorEastAsia" w:eastAsiaTheme="minorEastAsia" w:cstheme="minorEastAsia"/>
                <w:color w:val="auto"/>
                <w:sz w:val="24"/>
                <w:szCs w:val="24"/>
              </w:rPr>
              <w:t>确定的79个小班图斑和坐标为准。</w:t>
            </w:r>
          </w:p>
          <w:p w14:paraId="33D8C4BC">
            <w:pPr>
              <w:keepNext w:val="0"/>
              <w:keepLines w:val="0"/>
              <w:pageBreakBefore w:val="0"/>
              <w:kinsoku/>
              <w:wordWrap/>
              <w:overflowPunct/>
              <w:topLinePunct w:val="0"/>
              <w:autoSpaceDE/>
              <w:autoSpaceDN/>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服务方式</w:t>
            </w:r>
            <w:r>
              <w:rPr>
                <w:rFonts w:hint="eastAsia" w:asciiTheme="minorEastAsia" w:hAnsiTheme="minorEastAsia" w:eastAsiaTheme="minorEastAsia" w:cstheme="minorEastAsia"/>
                <w:color w:val="auto"/>
                <w:sz w:val="24"/>
                <w:szCs w:val="24"/>
              </w:rPr>
              <w:t>：包工包料，按照招标文件及相关技术规程，完成退化林采伐修复工程的全部内容，包括但不限于：采伐（间伐）、修枝、林地及剩余物清理、整地施肥、苗木补植、抚育管护等。</w:t>
            </w:r>
          </w:p>
        </w:tc>
      </w:tr>
      <w:tr w14:paraId="7FA332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2C931C87">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本章第二节</w:t>
            </w:r>
          </w:p>
          <w:p w14:paraId="74B832C2">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第9.2（1）项</w:t>
            </w:r>
          </w:p>
        </w:tc>
        <w:tc>
          <w:tcPr>
            <w:tcW w:w="1843" w:type="dxa"/>
            <w:vAlign w:val="center"/>
          </w:tcPr>
          <w:p w14:paraId="582E19A9">
            <w:pPr>
              <w:keepNext w:val="0"/>
              <w:keepLines w:val="0"/>
              <w:pageBreakBefore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质量保证期</w:t>
            </w:r>
          </w:p>
        </w:tc>
        <w:tc>
          <w:tcPr>
            <w:tcW w:w="5464" w:type="dxa"/>
            <w:vAlign w:val="center"/>
          </w:tcPr>
          <w:p w14:paraId="1F1AA84D">
            <w:pPr>
              <w:keepNext w:val="0"/>
              <w:keepLines w:val="0"/>
              <w:pageBreakBefore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管护期（质量保证期）</w:t>
            </w:r>
            <w:r>
              <w:rPr>
                <w:rFonts w:hint="eastAsia" w:asciiTheme="minorEastAsia" w:hAnsiTheme="minorEastAsia" w:eastAsiaTheme="minorEastAsia" w:cstheme="minorEastAsia"/>
                <w:color w:val="auto"/>
                <w:sz w:val="24"/>
                <w:szCs w:val="24"/>
                <w:lang w:eastAsia="zh-CN"/>
              </w:rPr>
              <w:t>为成果验收合格之日起24个月（含2027年、2028年两年的抚育管护工作），管护期内要求采伐修复合格率≥90%，如未达到上述标准，中标人须在下一个适宜栽植季节内无偿补植，补植后管护期顺延，费用由中标人承担。</w:t>
            </w:r>
          </w:p>
        </w:tc>
      </w:tr>
      <w:tr w14:paraId="2A69D4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389B62AD">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本章第二节</w:t>
            </w:r>
          </w:p>
          <w:p w14:paraId="401E3983">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第9.2（3）项</w:t>
            </w:r>
          </w:p>
        </w:tc>
        <w:tc>
          <w:tcPr>
            <w:tcW w:w="1843" w:type="dxa"/>
            <w:vAlign w:val="center"/>
          </w:tcPr>
          <w:p w14:paraId="123C36C4">
            <w:pPr>
              <w:keepNext w:val="0"/>
              <w:keepLines w:val="0"/>
              <w:pageBreakBefore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响应时间</w:t>
            </w:r>
          </w:p>
        </w:tc>
        <w:tc>
          <w:tcPr>
            <w:tcW w:w="5464" w:type="dxa"/>
            <w:vAlign w:val="center"/>
          </w:tcPr>
          <w:p w14:paraId="3417DD86">
            <w:pPr>
              <w:keepNext w:val="0"/>
              <w:keepLines w:val="0"/>
              <w:pageBreakBefore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i w:val="0"/>
                <w:iCs w:val="0"/>
                <w:color w:val="auto"/>
                <w:spacing w:val="-5"/>
                <w:kern w:val="2"/>
                <w:sz w:val="24"/>
                <w:szCs w:val="24"/>
                <w:u w:val="none"/>
                <w:lang w:val="en-US" w:eastAsia="zh-CN" w:bidi="ar-SA"/>
              </w:rPr>
              <w:t>在</w:t>
            </w:r>
            <w:r>
              <w:rPr>
                <w:rFonts w:hint="eastAsia" w:asciiTheme="minorEastAsia" w:hAnsiTheme="minorEastAsia" w:eastAsiaTheme="minorEastAsia" w:cstheme="minorEastAsia"/>
                <w:i w:val="0"/>
                <w:iCs w:val="0"/>
                <w:color w:val="auto"/>
                <w:spacing w:val="3"/>
                <w:kern w:val="2"/>
                <w:sz w:val="24"/>
                <w:szCs w:val="24"/>
                <w:u w:val="none"/>
                <w:lang w:val="en-US" w:eastAsia="zh-CN" w:bidi="ar-SA"/>
              </w:rPr>
              <w:t>接报后1小时内响应；</w:t>
            </w:r>
            <w:r>
              <w:rPr>
                <w:rFonts w:hint="eastAsia" w:asciiTheme="minorEastAsia" w:hAnsiTheme="minorEastAsia" w:eastAsiaTheme="minorEastAsia" w:cstheme="minorEastAsia"/>
                <w:i w:val="0"/>
                <w:iCs w:val="0"/>
                <w:color w:val="auto"/>
                <w:kern w:val="2"/>
                <w:sz w:val="24"/>
                <w:szCs w:val="24"/>
                <w:u w:val="none"/>
                <w:lang w:val="en-US" w:eastAsia="zh-CN" w:bidi="ar-SA"/>
              </w:rPr>
              <w:t>2小时内到达现</w:t>
            </w:r>
            <w:r>
              <w:rPr>
                <w:rFonts w:hint="eastAsia" w:asciiTheme="minorEastAsia" w:hAnsiTheme="minorEastAsia" w:eastAsiaTheme="minorEastAsia" w:cstheme="minorEastAsia"/>
                <w:i w:val="0"/>
                <w:iCs w:val="0"/>
                <w:color w:val="auto"/>
                <w:spacing w:val="2"/>
                <w:kern w:val="2"/>
                <w:sz w:val="24"/>
                <w:szCs w:val="24"/>
                <w:u w:val="none"/>
                <w:lang w:val="en-US" w:eastAsia="zh-CN" w:bidi="ar-SA"/>
              </w:rPr>
              <w:t>场；12小时内</w:t>
            </w:r>
            <w:r>
              <w:rPr>
                <w:rFonts w:hint="eastAsia" w:asciiTheme="minorEastAsia" w:hAnsiTheme="minorEastAsia" w:eastAsiaTheme="minorEastAsia" w:cstheme="minorEastAsia"/>
                <w:i w:val="0"/>
                <w:iCs w:val="0"/>
                <w:color w:val="auto"/>
                <w:spacing w:val="-2"/>
                <w:kern w:val="2"/>
                <w:sz w:val="24"/>
                <w:szCs w:val="24"/>
                <w:u w:val="none"/>
                <w:lang w:val="en-US" w:eastAsia="zh-CN" w:bidi="ar-SA"/>
              </w:rPr>
              <w:t>提供处理方案给采购</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人确认。24小时内按采购人确认的</w:t>
            </w:r>
            <w:r>
              <w:rPr>
                <w:rFonts w:hint="eastAsia" w:asciiTheme="minorEastAsia" w:hAnsiTheme="minorEastAsia" w:eastAsiaTheme="minorEastAsia" w:cstheme="minorEastAsia"/>
                <w:i w:val="0"/>
                <w:iCs w:val="0"/>
                <w:color w:val="auto"/>
                <w:kern w:val="2"/>
                <w:sz w:val="24"/>
                <w:szCs w:val="24"/>
                <w:u w:val="none"/>
                <w:lang w:val="en-US" w:eastAsia="zh-CN" w:bidi="ar-SA"/>
              </w:rPr>
              <w:t>处理方案安排人员进</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场处理，处理时间不</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得晚于采购人指定的</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合理期限。</w:t>
            </w:r>
          </w:p>
        </w:tc>
      </w:tr>
      <w:tr w14:paraId="1C0508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06C4EA15">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本章第二节</w:t>
            </w:r>
          </w:p>
          <w:p w14:paraId="6700D96F">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第13.5款</w:t>
            </w:r>
          </w:p>
        </w:tc>
        <w:tc>
          <w:tcPr>
            <w:tcW w:w="1843" w:type="dxa"/>
            <w:vAlign w:val="center"/>
          </w:tcPr>
          <w:p w14:paraId="76396F45">
            <w:pPr>
              <w:keepNext w:val="0"/>
              <w:keepLines w:val="0"/>
              <w:pageBreakBefore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合同价款支付方式和条件</w:t>
            </w:r>
          </w:p>
        </w:tc>
        <w:tc>
          <w:tcPr>
            <w:tcW w:w="5464" w:type="dxa"/>
            <w:vAlign w:val="center"/>
          </w:tcPr>
          <w:p w14:paraId="1509740F">
            <w:pPr>
              <w:keepNext w:val="0"/>
              <w:keepLines w:val="0"/>
              <w:pageBreakBefore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①预付款的付款方式及扣回：与中标人签订合同后预付项目合同价款30%，在拨付预付款时，中标人必须提供相同金额的预付款担保，保函形式由中标人自行选择，预付款担保函由采购人会同市林业局、市公共资源交易中心对保函的真实性和有效性进行核验。预付款分两次扣回，即在第一阶段和第二阶段拨付进度款时分别扣回50%的预付款。</w:t>
            </w:r>
          </w:p>
          <w:p w14:paraId="45F82572">
            <w:pPr>
              <w:keepNext w:val="0"/>
              <w:keepLines w:val="0"/>
              <w:pageBreakBefore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②进度款付款方式：</w:t>
            </w:r>
          </w:p>
          <w:p w14:paraId="1CF0BDCC">
            <w:pPr>
              <w:keepNext w:val="0"/>
              <w:keepLines w:val="0"/>
              <w:pageBreakBefore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本项目共分三个阶段，每个阶段分两次付款，第一阶段为采伐、修枝及剩余物清理，第二阶段为整地施肥，第三阶段为补植（或更换树种）和抚育管护。</w:t>
            </w:r>
          </w:p>
          <w:p w14:paraId="5D454029">
            <w:pPr>
              <w:keepNext w:val="0"/>
              <w:keepLines w:val="0"/>
              <w:pageBreakBefore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A.完成每一个阶段60%的工作量后支付实际完成工作量金额的80%，完成每个阶段的全部工作量后再按第二次实际完成工作量金额的80%再支付一次。项目完工后支付至合同金额的90%，农民工工资按甲方确认产值的工资比重，拨付至中标供应商农民工工资专户，通过实名制平台，实名制发放；</w:t>
            </w:r>
          </w:p>
          <w:p w14:paraId="209FBE93">
            <w:pPr>
              <w:keepNext w:val="0"/>
              <w:keepLines w:val="0"/>
              <w:pageBreakBefore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B.完成项目结算审核后由中标供应商提交付款申请及相关资料，支付至结算总价的97% ；</w:t>
            </w:r>
          </w:p>
          <w:p w14:paraId="43EB4924">
            <w:pPr>
              <w:keepNext w:val="0"/>
              <w:keepLines w:val="0"/>
              <w:pageBreakBefore w:val="0"/>
              <w:kinsoku/>
              <w:wordWrap/>
              <w:overflowPunct/>
              <w:topLinePunct w:val="0"/>
              <w:autoSpaceDE w:val="0"/>
              <w:autoSpaceDN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C.采购人预留结算总价3%款项，自整体项目竣工验收合格之日起计算，24个月质保期；质保期满，采购人核查项目无遗留问题后，一次性无息付清预留款项。承包人在质保期内仍按合同约定承担项目维修、缺陷整改义务。</w:t>
            </w:r>
          </w:p>
        </w:tc>
      </w:tr>
      <w:tr w14:paraId="62934B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00F4C1CD">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本章第二节</w:t>
            </w:r>
          </w:p>
          <w:p w14:paraId="54340A41">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第14.2（5）项</w:t>
            </w:r>
          </w:p>
        </w:tc>
        <w:tc>
          <w:tcPr>
            <w:tcW w:w="1843" w:type="dxa"/>
            <w:vAlign w:val="center"/>
          </w:tcPr>
          <w:p w14:paraId="59D50FA7">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乙方提供的其他服务</w:t>
            </w:r>
          </w:p>
        </w:tc>
        <w:tc>
          <w:tcPr>
            <w:tcW w:w="5464" w:type="dxa"/>
            <w:vAlign w:val="center"/>
          </w:tcPr>
          <w:p w14:paraId="4512C5F2">
            <w:pPr>
              <w:keepNext w:val="0"/>
              <w:keepLines w:val="0"/>
              <w:pageBreakBefore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详见第五章采购需求。</w:t>
            </w:r>
          </w:p>
        </w:tc>
      </w:tr>
      <w:tr w14:paraId="19C9E1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035B136E">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本章第二节</w:t>
            </w:r>
          </w:p>
          <w:p w14:paraId="7430C0F6">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w:t>
            </w:r>
            <w:r>
              <w:rPr>
                <w:rFonts w:hint="eastAsia" w:asciiTheme="minorEastAsia" w:hAnsiTheme="minorEastAsia" w:cstheme="minorEastAsia"/>
                <w:color w:val="auto"/>
                <w:sz w:val="24"/>
                <w:szCs w:val="24"/>
                <w:lang w:val="en-US" w:eastAsia="zh-CN"/>
              </w:rPr>
              <w:t>20</w:t>
            </w:r>
            <w:r>
              <w:rPr>
                <w:rFonts w:hint="eastAsia" w:asciiTheme="minorEastAsia" w:hAnsiTheme="minorEastAsia" w:eastAsiaTheme="minorEastAsia" w:cstheme="minorEastAsia"/>
                <w:color w:val="auto"/>
                <w:sz w:val="24"/>
                <w:szCs w:val="24"/>
              </w:rPr>
              <w:t>项</w:t>
            </w:r>
          </w:p>
        </w:tc>
        <w:tc>
          <w:tcPr>
            <w:tcW w:w="1843" w:type="dxa"/>
            <w:vAlign w:val="center"/>
          </w:tcPr>
          <w:p w14:paraId="74725D7A">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解决争议的方法</w:t>
            </w:r>
          </w:p>
        </w:tc>
        <w:tc>
          <w:tcPr>
            <w:tcW w:w="5464" w:type="dxa"/>
            <w:vAlign w:val="center"/>
          </w:tcPr>
          <w:p w14:paraId="5CE72210">
            <w:pPr>
              <w:keepNext w:val="0"/>
              <w:keepLines w:val="0"/>
              <w:pageBreakBefore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 xml:space="preserve"> 诉讼，向</w:t>
            </w:r>
            <w:r>
              <w:rPr>
                <w:rFonts w:hint="eastAsia" w:asciiTheme="minorEastAsia" w:hAnsi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人民法院起诉</w:t>
            </w:r>
          </w:p>
          <w:p w14:paraId="223566B2">
            <w:pPr>
              <w:keepNext w:val="0"/>
              <w:keepLines w:val="0"/>
              <w:pageBreakBefore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仲裁，提请</w:t>
            </w:r>
            <w:r>
              <w:rPr>
                <w:rFonts w:hint="eastAsia" w:asciiTheme="minorEastAsia" w:hAnsiTheme="minorEastAsia" w:cstheme="minorEastAsia"/>
                <w:color w:val="auto"/>
                <w:sz w:val="24"/>
                <w:szCs w:val="24"/>
                <w:u w:val="single"/>
                <w:lang w:val="en-US" w:eastAsia="zh-CN"/>
              </w:rPr>
              <w:t>张家界</w:t>
            </w:r>
            <w:r>
              <w:rPr>
                <w:rFonts w:hint="eastAsia" w:asciiTheme="minorEastAsia" w:hAnsiTheme="minorEastAsia" w:eastAsiaTheme="minorEastAsia" w:cstheme="minorEastAsia"/>
                <w:color w:val="auto"/>
                <w:sz w:val="24"/>
                <w:szCs w:val="24"/>
              </w:rPr>
              <w:t>仲裁委员会仲裁</w:t>
            </w:r>
          </w:p>
        </w:tc>
      </w:tr>
      <w:tr w14:paraId="083DE3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339A08E4">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本章第二节</w:t>
            </w:r>
          </w:p>
          <w:p w14:paraId="5BCC6591">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第23.1款</w:t>
            </w:r>
          </w:p>
        </w:tc>
        <w:tc>
          <w:tcPr>
            <w:tcW w:w="1843" w:type="dxa"/>
            <w:vAlign w:val="center"/>
          </w:tcPr>
          <w:p w14:paraId="10E6B1C6">
            <w:pPr>
              <w:keepNext w:val="0"/>
              <w:keepLines w:val="0"/>
              <w:pageBreakBefore w:val="0"/>
              <w:kinsoku/>
              <w:wordWrap/>
              <w:overflowPunct/>
              <w:topLinePunct w:val="0"/>
              <w:bidi w:val="0"/>
              <w:adjustRightInd w:val="0"/>
              <w:snapToGrid w:val="0"/>
              <w:spacing w:line="48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 w:val="24"/>
                <w:szCs w:val="24"/>
              </w:rPr>
              <w:t>合同未尽事项</w:t>
            </w:r>
          </w:p>
        </w:tc>
        <w:tc>
          <w:tcPr>
            <w:tcW w:w="5464" w:type="dxa"/>
            <w:vAlign w:val="center"/>
          </w:tcPr>
          <w:p w14:paraId="1CAF4EDF">
            <w:pPr>
              <w:keepNext w:val="0"/>
              <w:keepLines w:val="0"/>
              <w:pageBreakBefore w:val="0"/>
              <w:kinsoku/>
              <w:wordWrap/>
              <w:overflowPunct/>
              <w:topLinePunct w:val="0"/>
              <w:bidi w:val="0"/>
              <w:adjustRightInd w:val="0"/>
              <w:snapToGrid w:val="0"/>
              <w:spacing w:line="480" w:lineRule="exact"/>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双方协商。</w:t>
            </w:r>
          </w:p>
        </w:tc>
      </w:tr>
    </w:tbl>
    <w:p w14:paraId="3036320C">
      <w:pPr>
        <w:rPr>
          <w:rFonts w:hint="eastAsia" w:ascii="微软雅黑" w:hAnsi="微软雅黑" w:eastAsia="微软雅黑" w:cs="微软雅黑"/>
          <w:color w:val="000000"/>
          <w:sz w:val="28"/>
          <w:szCs w:val="32"/>
          <w:lang w:val="en-US" w:eastAsia="zh-CN"/>
        </w:rPr>
      </w:pPr>
    </w:p>
    <w:p w14:paraId="258BBF4B">
      <w:pPr>
        <w:rPr>
          <w:rFonts w:hint="eastAsia" w:ascii="微软雅黑" w:hAnsi="微软雅黑" w:eastAsia="微软雅黑" w:cs="微软雅黑"/>
          <w:color w:val="000000"/>
          <w:sz w:val="28"/>
          <w:szCs w:val="32"/>
          <w:lang w:val="en-US" w:eastAsia="zh-CN"/>
        </w:rPr>
      </w:pPr>
    </w:p>
    <w:p w14:paraId="5AE7701E">
      <w:pPr>
        <w:rPr>
          <w:rFonts w:hint="eastAsia" w:ascii="微软雅黑" w:hAnsi="微软雅黑" w:eastAsia="微软雅黑" w:cs="微软雅黑"/>
          <w:color w:val="000000"/>
          <w:sz w:val="28"/>
          <w:szCs w:val="32"/>
          <w:lang w:val="en-US" w:eastAsia="zh-CN"/>
        </w:rPr>
      </w:pPr>
    </w:p>
    <w:p w14:paraId="1A3EF24B">
      <w:pPr>
        <w:rPr>
          <w:rFonts w:hint="eastAsia" w:ascii="微软雅黑" w:hAnsi="微软雅黑" w:eastAsia="微软雅黑" w:cs="微软雅黑"/>
          <w:color w:val="000000"/>
          <w:sz w:val="28"/>
          <w:szCs w:val="32"/>
          <w:lang w:val="en-US" w:eastAsia="zh-CN"/>
        </w:rPr>
      </w:pPr>
    </w:p>
    <w:p w14:paraId="53936C26">
      <w:pPr>
        <w:rPr>
          <w:rFonts w:hint="eastAsia" w:ascii="微软雅黑" w:hAnsi="微软雅黑" w:eastAsia="微软雅黑" w:cs="微软雅黑"/>
          <w:color w:val="000000"/>
          <w:sz w:val="28"/>
          <w:szCs w:val="32"/>
          <w:lang w:val="en-US" w:eastAsia="zh-CN"/>
        </w:rPr>
      </w:pPr>
    </w:p>
    <w:p w14:paraId="7923CE2C">
      <w:pPr>
        <w:rPr>
          <w:rFonts w:hint="eastAsia" w:ascii="微软雅黑" w:hAnsi="微软雅黑" w:eastAsia="微软雅黑" w:cs="微软雅黑"/>
          <w:color w:val="000000"/>
          <w:sz w:val="28"/>
          <w:szCs w:val="32"/>
          <w:lang w:val="en-US" w:eastAsia="zh-CN"/>
        </w:rPr>
      </w:pPr>
    </w:p>
    <w:p w14:paraId="0F17599D">
      <w:pPr>
        <w:rPr>
          <w:rFonts w:hint="eastAsia" w:ascii="微软雅黑" w:hAnsi="微软雅黑" w:eastAsia="微软雅黑" w:cs="微软雅黑"/>
          <w:color w:val="000000"/>
          <w:sz w:val="28"/>
          <w:szCs w:val="32"/>
          <w:lang w:val="en-US" w:eastAsia="zh-CN"/>
        </w:rPr>
      </w:pPr>
    </w:p>
    <w:p w14:paraId="41F3FA31">
      <w:pPr>
        <w:rPr>
          <w:rFonts w:hint="eastAsia" w:ascii="微软雅黑" w:hAnsi="微软雅黑" w:eastAsia="微软雅黑" w:cs="微软雅黑"/>
          <w:color w:val="000000"/>
          <w:sz w:val="28"/>
          <w:szCs w:val="32"/>
          <w:lang w:val="en-US" w:eastAsia="zh-CN"/>
        </w:rPr>
      </w:pPr>
    </w:p>
    <w:p w14:paraId="6FEFFCE3">
      <w:pPr>
        <w:rPr>
          <w:rFonts w:hint="eastAsia" w:ascii="微软雅黑" w:hAnsi="微软雅黑" w:eastAsia="微软雅黑" w:cs="微软雅黑"/>
          <w:color w:val="000000"/>
          <w:sz w:val="28"/>
          <w:szCs w:val="32"/>
          <w:lang w:val="en-US" w:eastAsia="zh-CN"/>
        </w:rPr>
      </w:pPr>
    </w:p>
    <w:p w14:paraId="0347E9CD">
      <w:pPr>
        <w:rPr>
          <w:rFonts w:hint="eastAsia" w:ascii="微软雅黑" w:hAnsi="微软雅黑" w:eastAsia="微软雅黑" w:cs="微软雅黑"/>
          <w:color w:val="000000"/>
          <w:sz w:val="28"/>
          <w:szCs w:val="32"/>
          <w:lang w:val="en-US" w:eastAsia="zh-CN"/>
        </w:rPr>
      </w:pPr>
    </w:p>
    <w:p w14:paraId="693BB21E">
      <w:pPr>
        <w:rPr>
          <w:rFonts w:hint="eastAsia" w:ascii="微软雅黑" w:hAnsi="微软雅黑" w:eastAsia="微软雅黑" w:cs="微软雅黑"/>
          <w:color w:val="000000"/>
          <w:sz w:val="28"/>
          <w:szCs w:val="32"/>
          <w:lang w:val="en-US" w:eastAsia="zh-CN"/>
        </w:rPr>
      </w:pPr>
      <w:r>
        <w:rPr>
          <w:rFonts w:hint="eastAsia" w:ascii="微软雅黑" w:hAnsi="微软雅黑" w:eastAsia="微软雅黑" w:cs="微软雅黑"/>
          <w:color w:val="000000"/>
          <w:sz w:val="28"/>
          <w:szCs w:val="32"/>
          <w:lang w:val="en-US" w:eastAsia="zh-CN"/>
        </w:rPr>
        <w:br w:type="page"/>
      </w:r>
    </w:p>
    <w:p w14:paraId="46EE3BEE">
      <w:pPr>
        <w:rPr>
          <w:rFonts w:hint="eastAsia" w:ascii="微软雅黑" w:hAnsi="微软雅黑" w:eastAsia="微软雅黑" w:cs="微软雅黑"/>
          <w:color w:val="000000"/>
          <w:sz w:val="28"/>
          <w:szCs w:val="32"/>
          <w:lang w:val="en-US" w:eastAsia="zh-CN"/>
        </w:rPr>
      </w:pPr>
      <w:r>
        <w:rPr>
          <w:rFonts w:hint="eastAsia" w:ascii="微软雅黑" w:hAnsi="微软雅黑" w:eastAsia="微软雅黑" w:cs="微软雅黑"/>
          <w:color w:val="000000"/>
          <w:sz w:val="28"/>
          <w:szCs w:val="32"/>
          <w:lang w:val="en-US" w:eastAsia="zh-CN"/>
        </w:rPr>
        <w:t>附件：</w:t>
      </w:r>
    </w:p>
    <w:p w14:paraId="645BDBDB">
      <w:pPr>
        <w:widowControl w:val="0"/>
        <w:bidi w:val="0"/>
        <w:jc w:val="both"/>
        <w:rPr>
          <w:rFonts w:hint="eastAsia" w:ascii="宋体" w:hAnsi="Courier New" w:eastAsia="等线" w:cs="Courier New"/>
          <w:color w:val="000000"/>
          <w:kern w:val="2"/>
          <w:sz w:val="21"/>
          <w:szCs w:val="21"/>
          <w:lang w:val="en-US" w:eastAsia="zh-CN" w:bidi="ar-SA"/>
        </w:rPr>
      </w:pPr>
    </w:p>
    <w:p w14:paraId="5846E28B">
      <w:pPr>
        <w:widowControl/>
        <w:adjustRightInd w:val="0"/>
        <w:snapToGrid w:val="0"/>
        <w:spacing w:before="156" w:beforeLines="50" w:line="420" w:lineRule="exact"/>
        <w:jc w:val="center"/>
        <w:rPr>
          <w:rFonts w:hint="eastAsia" w:ascii="黑体" w:hAnsi="仿宋" w:eastAsia="黑体" w:cs="宋体"/>
          <w:b/>
          <w:color w:val="000000"/>
          <w:sz w:val="28"/>
          <w:szCs w:val="28"/>
          <w:lang w:val="en-US" w:eastAsia="zh-CN"/>
        </w:rPr>
      </w:pPr>
      <w:r>
        <w:rPr>
          <w:rFonts w:hint="eastAsia" w:ascii="黑体" w:hAnsi="仿宋" w:eastAsia="黑体" w:cs="宋体"/>
          <w:b/>
          <w:color w:val="000000"/>
          <w:sz w:val="28"/>
          <w:szCs w:val="28"/>
          <w:lang w:val="en-US" w:eastAsia="zh-CN"/>
        </w:rPr>
        <w:t>履约保函（格式）</w:t>
      </w:r>
    </w:p>
    <w:p w14:paraId="17A3FE11">
      <w:pPr>
        <w:adjustRightInd w:val="0"/>
        <w:snapToGrid w:val="0"/>
        <w:spacing w:before="156" w:beforeLines="50"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（受益人名称）：</w:t>
      </w:r>
    </w:p>
    <w:p w14:paraId="5122AFA3">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鉴于你方作为招标人已经于      年     月      日向           公司（以下称“中标人”）发出  （政府采购）  发出中标通知书，我方愿意无条件、不可撤销地就中标人履行与你方签订的政府采购合同义务，向你方出具见索即付保函：</w:t>
      </w:r>
    </w:p>
    <w:p w14:paraId="2699B585">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1．本保函最高担保金额人民币（大写）    元（¥         ）。</w:t>
      </w:r>
    </w:p>
    <w:p w14:paraId="16670A1F">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2．本保函有效期</w:t>
      </w:r>
      <w:r>
        <w:rPr>
          <w:rFonts w:hint="eastAsia" w:ascii="宋体" w:hAnsi="宋体" w:eastAsia="宋体" w:cs="宋体"/>
          <w:color w:val="000000"/>
          <w:sz w:val="24"/>
          <w:szCs w:val="24"/>
          <w:lang w:val="en-US" w:eastAsia="zh-CN"/>
        </w:rPr>
        <w:t>为签订合同之日</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或保函出具之日</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起至</w:t>
      </w:r>
      <w:r>
        <w:rPr>
          <w:rFonts w:hint="eastAsia" w:ascii="宋体" w:hAnsi="宋体" w:eastAsia="宋体" w:cs="宋体"/>
          <w:color w:val="000000"/>
          <w:sz w:val="24"/>
          <w:szCs w:val="24"/>
          <w:lang w:val="en-US" w:eastAsia="zh-CN"/>
        </w:rPr>
        <w:t>完成履约之日终止</w:t>
      </w:r>
      <w:r>
        <w:rPr>
          <w:rFonts w:hint="eastAsia" w:ascii="宋体" w:hAnsi="宋体" w:eastAsia="宋体" w:cs="宋体"/>
          <w:color w:val="000000"/>
          <w:sz w:val="24"/>
          <w:szCs w:val="24"/>
        </w:rPr>
        <w:t>，或者至我方收到你方与中标人共同签署的解除政府采购合同的书面通知书，或者</w:t>
      </w:r>
      <w:r>
        <w:rPr>
          <w:rFonts w:hint="eastAsia" w:ascii="宋体" w:hAnsi="宋体" w:eastAsia="宋体" w:cs="宋体"/>
          <w:color w:val="000000"/>
          <w:sz w:val="24"/>
          <w:szCs w:val="24"/>
          <w:lang w:val="en-US" w:eastAsia="zh-CN"/>
        </w:rPr>
        <w:t>项目</w:t>
      </w:r>
      <w:r>
        <w:rPr>
          <w:rFonts w:hint="eastAsia" w:ascii="宋体" w:hAnsi="宋体" w:eastAsia="宋体" w:cs="宋体"/>
          <w:color w:val="000000"/>
          <w:sz w:val="24"/>
          <w:szCs w:val="24"/>
        </w:rPr>
        <w:t>中止</w:t>
      </w:r>
      <w:r>
        <w:rPr>
          <w:rFonts w:hint="eastAsia" w:ascii="宋体" w:hAnsi="宋体" w:eastAsia="宋体" w:cs="宋体"/>
          <w:color w:val="000000"/>
          <w:sz w:val="24"/>
          <w:szCs w:val="24"/>
          <w:lang w:val="en-US" w:eastAsia="zh-CN"/>
        </w:rPr>
        <w:t>实施</w:t>
      </w:r>
      <w:r>
        <w:rPr>
          <w:rFonts w:hint="eastAsia" w:ascii="宋体" w:hAnsi="宋体" w:eastAsia="宋体" w:cs="宋体"/>
          <w:color w:val="000000"/>
          <w:sz w:val="24"/>
          <w:szCs w:val="24"/>
        </w:rPr>
        <w:t>超过3个月的书面通知书止。但本保函有效期最迟不超过     年   月   日。</w:t>
      </w:r>
    </w:p>
    <w:p w14:paraId="7E3CDBAE">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3．在本保函有效期内，因中标人未能按照合同约定履行义务时，我方在收到你方提出的书面索赔通知以及本保函原件后，在10个工作日内无条件地向你方支付累计总额不超过本保函第1款约定的经济赔偿金。</w:t>
      </w:r>
    </w:p>
    <w:p w14:paraId="03F6F776">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4．你方的索赔通知应当符合下列要求：</w:t>
      </w:r>
    </w:p>
    <w:p w14:paraId="00A1DE47">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（1）索赔通知应当列明索赔金额，由你方加盖单位公章和法定代表人印章；</w:t>
      </w:r>
    </w:p>
    <w:p w14:paraId="122C1F48">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（2）提交索赔通知的同时出具一份书面申明，申明索赔款项并未由中标人或其委托代理人直接或间接地支付给你方；</w:t>
      </w:r>
    </w:p>
    <w:p w14:paraId="42F0462D">
      <w:pPr>
        <w:keepNext w:val="0"/>
        <w:keepLines w:val="0"/>
        <w:pageBreakBefore w:val="0"/>
        <w:widowControl w:val="0"/>
        <w:kinsoku/>
        <w:wordWrap w:val="0"/>
        <w:overflowPunct/>
        <w:topLinePunct w:val="0"/>
        <w:autoSpaceDE/>
        <w:autoSpaceDN/>
        <w:bidi w:val="0"/>
        <w:adjustRightInd w:val="0"/>
        <w:snapToGrid w:val="0"/>
        <w:spacing w:before="156" w:beforeLines="50"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）索赔通知书必须在本保函有效期内邮寄或送达以下</w:t>
      </w:r>
      <w:r>
        <w:rPr>
          <w:rFonts w:hint="eastAsia" w:ascii="宋体" w:hAnsi="宋体" w:eastAsia="宋体" w:cs="宋体"/>
          <w:color w:val="000000"/>
          <w:sz w:val="24"/>
          <w:szCs w:val="24"/>
          <w:lang w:eastAsia="zh-CN"/>
        </w:rPr>
        <w:t>地</w:t>
      </w:r>
      <w:r>
        <w:rPr>
          <w:rFonts w:hint="eastAsia" w:ascii="宋体" w:hAnsi="宋体" w:eastAsia="宋体" w:cs="宋体"/>
          <w:color w:val="000000"/>
          <w:sz w:val="24"/>
          <w:szCs w:val="24"/>
        </w:rPr>
        <w:t>址：</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05BC051A">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5．你方和中标人变更合同时，我方承担本保函规定的义务不变。</w:t>
      </w:r>
    </w:p>
    <w:p w14:paraId="14A84D67">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6．本保函项下的权利不得转让或设定担保。</w:t>
      </w:r>
    </w:p>
    <w:p w14:paraId="3F90A13F">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7．本保函有效期届满，或者我方收到你方与中标人共同签署的解除政府采购合同的书面通知书，或者项目中止</w:t>
      </w:r>
      <w:r>
        <w:rPr>
          <w:rFonts w:hint="eastAsia" w:ascii="宋体" w:hAnsi="宋体" w:eastAsia="宋体" w:cs="宋体"/>
          <w:color w:val="000000"/>
          <w:sz w:val="24"/>
          <w:szCs w:val="24"/>
          <w:lang w:val="en-US" w:eastAsia="zh-CN"/>
        </w:rPr>
        <w:t>实施</w:t>
      </w:r>
      <w:r>
        <w:rPr>
          <w:rFonts w:hint="eastAsia" w:ascii="宋体" w:hAnsi="宋体" w:eastAsia="宋体" w:cs="宋体"/>
          <w:color w:val="000000"/>
          <w:sz w:val="24"/>
          <w:szCs w:val="24"/>
        </w:rPr>
        <w:t>超过3个月的书面通知书后，无论是否将保函原件退回我方，本保函自行失效。我方在本保函项下的保证责任解除，此后提出的要求我方履行担保责任的主张无效。</w:t>
      </w:r>
    </w:p>
    <w:p w14:paraId="723090E8">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8．本保函项下所有权利和义务均受中华人民共和国法律管辖和制约。</w:t>
      </w:r>
    </w:p>
    <w:p w14:paraId="381BBFDE">
      <w:pPr>
        <w:adjustRightInd w:val="0"/>
        <w:snapToGrid w:val="0"/>
        <w:spacing w:before="156" w:beforeLines="50" w:line="360" w:lineRule="auto"/>
        <w:rPr>
          <w:rFonts w:hint="eastAsia" w:ascii="宋体" w:hAnsi="宋体" w:eastAsia="宋体" w:cs="宋体"/>
          <w:color w:val="000000"/>
          <w:sz w:val="24"/>
          <w:szCs w:val="24"/>
        </w:rPr>
      </w:pPr>
    </w:p>
    <w:p w14:paraId="7DB11CF1">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开立人</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担保人</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                （盖章）</w:t>
      </w:r>
    </w:p>
    <w:p w14:paraId="18500935">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法定代表人（负责人）：            （签字或盖章）</w:t>
      </w:r>
    </w:p>
    <w:p w14:paraId="484BAF92">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地址：                                           </w:t>
      </w:r>
    </w:p>
    <w:p w14:paraId="3431DA0E">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邮政编码：                                       </w:t>
      </w:r>
    </w:p>
    <w:p w14:paraId="4EBBC9AF">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电话：                                           </w:t>
      </w:r>
    </w:p>
    <w:p w14:paraId="37113EED">
      <w:pPr>
        <w:adjustRightInd w:val="0"/>
        <w:snapToGrid w:val="0"/>
        <w:spacing w:before="156" w:before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传真：                                           </w:t>
      </w:r>
    </w:p>
    <w:p w14:paraId="235CD3E4">
      <w:pPr>
        <w:adjustRightInd w:val="0"/>
        <w:snapToGrid w:val="0"/>
        <w:spacing w:before="156" w:beforeLines="50" w:line="360" w:lineRule="auto"/>
        <w:rPr>
          <w:rFonts w:hint="eastAsia" w:ascii="宋体" w:hAnsi="宋体" w:eastAsia="宋体" w:cs="宋体"/>
          <w:color w:val="000000"/>
          <w:sz w:val="24"/>
          <w:szCs w:val="24"/>
        </w:rPr>
      </w:pPr>
    </w:p>
    <w:p w14:paraId="0505F599">
      <w:pPr>
        <w:adjustRightInd w:val="0"/>
        <w:snapToGrid w:val="0"/>
        <w:spacing w:before="156" w:beforeLines="50"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年   月   日</w:t>
      </w:r>
    </w:p>
    <w:p w14:paraId="3038E821">
      <w:pPr>
        <w:adjustRightInd w:val="0"/>
        <w:snapToGrid w:val="0"/>
        <w:spacing w:before="156" w:beforeLines="50" w:line="360" w:lineRule="auto"/>
        <w:rPr>
          <w:rFonts w:hint="eastAsia" w:ascii="宋体" w:hAnsi="宋体" w:eastAsia="宋体" w:cs="宋体"/>
          <w:color w:val="000000"/>
          <w:sz w:val="24"/>
          <w:szCs w:val="24"/>
          <w:lang w:val="en-US" w:eastAsia="zh-CN"/>
        </w:rPr>
      </w:pPr>
    </w:p>
    <w:p w14:paraId="4566BD9C">
      <w:pPr>
        <w:rPr>
          <w:rFonts w:ascii="等线" w:hAnsi="等线" w:eastAsia="等线" w:cs="Times New Roman"/>
          <w:color w:val="000000"/>
          <w:szCs w:val="22"/>
        </w:rPr>
      </w:pPr>
      <w:r>
        <w:rPr>
          <w:rFonts w:ascii="等线" w:hAnsi="等线" w:eastAsia="等线" w:cs="Times New Roman"/>
          <w:color w:val="000000"/>
          <w:szCs w:val="22"/>
        </w:rPr>
        <w:br w:type="page"/>
      </w:r>
    </w:p>
    <w:p w14:paraId="6B09406C">
      <w:pPr>
        <w:rPr>
          <w:color w:val="000000"/>
        </w:rPr>
        <w:sectPr>
          <w:pgSz w:w="11906" w:h="16838"/>
          <w:pgMar w:top="1531" w:right="1531" w:bottom="1531" w:left="1531" w:header="1134" w:footer="680" w:gutter="0"/>
          <w:pgBorders>
            <w:top w:val="none" w:sz="0" w:space="0"/>
            <w:left w:val="none" w:sz="0" w:space="0"/>
            <w:bottom w:val="none" w:sz="0" w:space="0"/>
            <w:right w:val="none" w:sz="0" w:space="0"/>
          </w:pgBorders>
          <w:pgNumType w:fmt="decimal"/>
          <w:cols w:space="0" w:num="1"/>
          <w:rtlGutter w:val="0"/>
          <w:docGrid w:type="lines" w:linePitch="315" w:charSpace="0"/>
        </w:sectPr>
      </w:pPr>
    </w:p>
    <w:p w14:paraId="072B81BF">
      <w:pPr>
        <w:rPr>
          <w:rFonts w:ascii="等线" w:hAnsi="等线" w:eastAsia="方正小标宋_GBK" w:cs="Times New Roman"/>
          <w:color w:val="000000"/>
          <w:szCs w:val="22"/>
        </w:rPr>
      </w:pPr>
    </w:p>
    <w:p w14:paraId="6D18E964">
      <w:pPr>
        <w:pStyle w:val="2"/>
        <w:bidi w:val="0"/>
        <w:jc w:val="center"/>
        <w:rPr>
          <w:rFonts w:hint="eastAsia"/>
          <w:b/>
          <w:lang w:val="en-US" w:eastAsia="zh-CN"/>
        </w:rPr>
      </w:pPr>
      <w:bookmarkStart w:id="64" w:name="_Toc22257"/>
      <w:bookmarkStart w:id="65" w:name="_Toc13508"/>
      <w:bookmarkStart w:id="66" w:name="_Toc3219"/>
      <w:r>
        <w:rPr>
          <w:rFonts w:hint="eastAsia"/>
          <w:b/>
          <w:lang w:val="en-US" w:eastAsia="zh-CN"/>
        </w:rPr>
        <w:t>第六章 投标文件的组成</w:t>
      </w:r>
      <w:bookmarkEnd w:id="64"/>
      <w:bookmarkEnd w:id="65"/>
      <w:bookmarkEnd w:id="66"/>
    </w:p>
    <w:p w14:paraId="583C1B39">
      <w:pPr>
        <w:adjustRightInd w:val="0"/>
        <w:snapToGrid w:val="0"/>
        <w:spacing w:before="156" w:beforeLines="50" w:line="420" w:lineRule="exact"/>
        <w:jc w:val="left"/>
        <w:rPr>
          <w:rFonts w:hint="eastAsia" w:ascii="宋体" w:hAnsi="宋体" w:eastAsia="宋体" w:cs="宋体"/>
          <w:b/>
          <w:color w:val="000000"/>
          <w:sz w:val="32"/>
          <w:szCs w:val="32"/>
        </w:rPr>
      </w:pPr>
      <w:bookmarkStart w:id="67" w:name="_Toc12739"/>
      <w:bookmarkStart w:id="68" w:name="_Toc11034"/>
    </w:p>
    <w:p w14:paraId="15A6404C">
      <w:pPr>
        <w:adjustRightInd w:val="0"/>
        <w:snapToGrid w:val="0"/>
        <w:spacing w:before="156" w:beforeLines="50" w:line="420" w:lineRule="exact"/>
        <w:jc w:val="left"/>
        <w:rPr>
          <w:rFonts w:ascii="宋体" w:hAnsi="宋体" w:eastAsia="宋体" w:cs="宋体"/>
          <w:b/>
          <w:color w:val="000000"/>
          <w:sz w:val="32"/>
          <w:szCs w:val="32"/>
        </w:rPr>
      </w:pPr>
      <w:r>
        <w:rPr>
          <w:rFonts w:hint="eastAsia" w:ascii="宋体" w:hAnsi="宋体" w:eastAsia="宋体" w:cs="宋体"/>
          <w:b/>
          <w:color w:val="000000"/>
          <w:sz w:val="32"/>
          <w:szCs w:val="32"/>
        </w:rPr>
        <w:t>第一部分 资格证明文件</w:t>
      </w:r>
    </w:p>
    <w:p w14:paraId="4CBCCEE0">
      <w:pPr>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一、开标一览表</w:t>
      </w:r>
    </w:p>
    <w:p w14:paraId="49406A32">
      <w:pPr>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二、法定代表人或负责人授权委托书</w:t>
      </w:r>
    </w:p>
    <w:p w14:paraId="2E4CF569">
      <w:pPr>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三、投标人提供的资格证明文件</w:t>
      </w:r>
    </w:p>
    <w:p w14:paraId="682864DC">
      <w:pPr>
        <w:adjustRightInd w:val="0"/>
        <w:snapToGrid w:val="0"/>
        <w:spacing w:before="156" w:beforeLines="50" w:line="420" w:lineRule="exact"/>
        <w:jc w:val="left"/>
        <w:rPr>
          <w:rFonts w:ascii="宋体" w:hAnsi="宋体" w:eastAsia="宋体" w:cs="宋体"/>
          <w:b/>
          <w:color w:val="000000"/>
          <w:sz w:val="32"/>
          <w:szCs w:val="32"/>
        </w:rPr>
      </w:pPr>
      <w:r>
        <w:rPr>
          <w:rFonts w:hint="eastAsia" w:ascii="宋体" w:hAnsi="宋体" w:eastAsia="宋体" w:cs="宋体"/>
          <w:b/>
          <w:color w:val="000000"/>
          <w:sz w:val="32"/>
          <w:szCs w:val="32"/>
        </w:rPr>
        <w:t>第二部分 商务技术文件</w:t>
      </w:r>
    </w:p>
    <w:p w14:paraId="47811175">
      <w:pPr>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四、投标函</w:t>
      </w:r>
    </w:p>
    <w:p w14:paraId="356C6B3F">
      <w:pPr>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五、分项报价明细表</w:t>
      </w:r>
    </w:p>
    <w:p w14:paraId="7B486F79">
      <w:pPr>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六、采购需求响应</w:t>
      </w:r>
    </w:p>
    <w:p w14:paraId="1C97A2E3">
      <w:pPr>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七、采购需求条款偏离表</w:t>
      </w:r>
    </w:p>
    <w:p w14:paraId="73D154EA">
      <w:pPr>
        <w:adjustRightInd w:val="0"/>
        <w:snapToGrid w:val="0"/>
        <w:spacing w:before="156" w:beforeLines="50" w:line="420" w:lineRule="exact"/>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八</w:t>
      </w:r>
      <w:r>
        <w:rPr>
          <w:rFonts w:hint="eastAsia" w:ascii="宋体" w:hAnsi="宋体" w:eastAsia="宋体" w:cs="宋体"/>
          <w:color w:val="000000"/>
          <w:sz w:val="24"/>
          <w:szCs w:val="24"/>
        </w:rPr>
        <w:t>、享受政府采购政策优惠的证明资料和清单表</w:t>
      </w:r>
    </w:p>
    <w:p w14:paraId="7732925B">
      <w:pPr>
        <w:adjustRightInd w:val="0"/>
        <w:snapToGrid w:val="0"/>
        <w:spacing w:before="156" w:beforeLines="50" w:line="420" w:lineRule="exact"/>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九</w:t>
      </w:r>
      <w:r>
        <w:rPr>
          <w:rFonts w:hint="eastAsia" w:ascii="宋体" w:hAnsi="宋体" w:eastAsia="宋体" w:cs="宋体"/>
          <w:color w:val="000000"/>
          <w:sz w:val="24"/>
          <w:szCs w:val="24"/>
        </w:rPr>
        <w:t>、投标人认为需提供的其他资料</w:t>
      </w:r>
    </w:p>
    <w:p w14:paraId="3D6D47AB">
      <w:pPr>
        <w:widowControl w:val="0"/>
        <w:autoSpaceDE w:val="0"/>
        <w:autoSpaceDN w:val="0"/>
        <w:adjustRightInd w:val="0"/>
        <w:spacing w:after="120" w:line="420" w:lineRule="exact"/>
        <w:ind w:left="420" w:leftChars="200" w:firstLine="420"/>
        <w:jc w:val="left"/>
        <w:rPr>
          <w:rFonts w:ascii="Calibri" w:hAnsi="Calibri" w:eastAsia="宋体" w:cs="Times New Roman"/>
          <w:color w:val="000000"/>
          <w:kern w:val="0"/>
          <w:sz w:val="21"/>
          <w:szCs w:val="22"/>
          <w:lang w:val="en-US" w:eastAsia="zh-CN" w:bidi="ar-SA"/>
        </w:rPr>
      </w:pPr>
    </w:p>
    <w:p w14:paraId="3D0CA41F">
      <w:pPr>
        <w:spacing w:line="420" w:lineRule="exact"/>
        <w:rPr>
          <w:rFonts w:ascii="仿宋_GB2312" w:hAnsi="宋体" w:eastAsia="仿宋_GB2312" w:cs="Times New Roman"/>
          <w:color w:val="000000"/>
          <w:szCs w:val="21"/>
        </w:rPr>
      </w:pPr>
      <w:r>
        <w:rPr>
          <w:rFonts w:ascii="仿宋_GB2312" w:hAnsi="宋体" w:eastAsia="仿宋_GB2312" w:cs="Times New Roman"/>
          <w:color w:val="000000"/>
          <w:szCs w:val="21"/>
        </w:rPr>
        <w:br w:type="page"/>
      </w:r>
    </w:p>
    <w:p w14:paraId="6B1A283F">
      <w:pPr>
        <w:widowControl w:val="0"/>
        <w:autoSpaceDE w:val="0"/>
        <w:autoSpaceDN w:val="0"/>
        <w:adjustRightInd w:val="0"/>
        <w:spacing w:after="120" w:line="420" w:lineRule="exact"/>
        <w:ind w:left="420" w:leftChars="200" w:firstLine="420"/>
        <w:jc w:val="left"/>
        <w:rPr>
          <w:rFonts w:ascii="Calibri" w:hAnsi="Calibri" w:eastAsia="宋体" w:cs="Times New Roman"/>
          <w:color w:val="000000"/>
          <w:kern w:val="0"/>
          <w:sz w:val="21"/>
          <w:szCs w:val="22"/>
          <w:lang w:val="en-US" w:eastAsia="zh-CN" w:bidi="ar-SA"/>
        </w:rPr>
      </w:pPr>
    </w:p>
    <w:p w14:paraId="0FD0AE26">
      <w:pPr>
        <w:widowControl w:val="0"/>
        <w:autoSpaceDE w:val="0"/>
        <w:autoSpaceDN w:val="0"/>
        <w:adjustRightInd w:val="0"/>
        <w:spacing w:after="120" w:line="420" w:lineRule="exact"/>
        <w:ind w:left="420" w:leftChars="200" w:firstLine="420"/>
        <w:jc w:val="left"/>
        <w:rPr>
          <w:rFonts w:ascii="Calibri" w:hAnsi="Calibri" w:eastAsia="宋体" w:cs="Times New Roman"/>
          <w:color w:val="000000"/>
          <w:kern w:val="0"/>
          <w:sz w:val="21"/>
          <w:szCs w:val="22"/>
          <w:lang w:val="en-US" w:eastAsia="zh-CN" w:bidi="ar-SA"/>
        </w:rPr>
      </w:pPr>
    </w:p>
    <w:p w14:paraId="48948929">
      <w:pPr>
        <w:adjustRightInd w:val="0"/>
        <w:snapToGrid w:val="0"/>
        <w:jc w:val="center"/>
        <w:rPr>
          <w:rFonts w:ascii="黑体" w:hAnsi="等线" w:eastAsia="黑体" w:cs="Times New Roman"/>
          <w:color w:val="000000"/>
          <w:sz w:val="32"/>
          <w:szCs w:val="32"/>
        </w:rPr>
      </w:pPr>
    </w:p>
    <w:p w14:paraId="09BF2C2D">
      <w:pPr>
        <w:widowControl w:val="0"/>
        <w:adjustRightInd w:val="0"/>
        <w:snapToGrid w:val="0"/>
        <w:jc w:val="center"/>
        <w:rPr>
          <w:rFonts w:ascii="宋体" w:hAnsi="宋体" w:eastAsia="等线" w:cs="Courier New"/>
          <w:color w:val="000000"/>
          <w:kern w:val="2"/>
          <w:sz w:val="72"/>
          <w:szCs w:val="72"/>
          <w:lang w:val="en-US" w:eastAsia="zh-CN" w:bidi="ar-SA"/>
        </w:rPr>
      </w:pPr>
      <w:r>
        <w:rPr>
          <w:rFonts w:hint="eastAsia" w:ascii="宋体" w:hAnsi="宋体" w:eastAsia="等线" w:cs="Courier New"/>
          <w:color w:val="000000"/>
          <w:kern w:val="2"/>
          <w:sz w:val="72"/>
          <w:szCs w:val="72"/>
          <w:lang w:val="en-US" w:eastAsia="zh-CN" w:bidi="ar-SA"/>
        </w:rPr>
        <w:t>政府采购</w:t>
      </w:r>
    </w:p>
    <w:p w14:paraId="21656D51">
      <w:pPr>
        <w:adjustRightInd w:val="0"/>
        <w:snapToGrid w:val="0"/>
        <w:jc w:val="center"/>
        <w:rPr>
          <w:rFonts w:hint="eastAsia" w:ascii="宋体" w:hAnsi="宋体" w:eastAsia="等线" w:cs="Times New Roman"/>
          <w:color w:val="000000"/>
          <w:sz w:val="84"/>
          <w:szCs w:val="84"/>
        </w:rPr>
      </w:pPr>
      <w:r>
        <w:rPr>
          <w:rFonts w:hint="eastAsia" w:ascii="宋体" w:hAnsi="宋体" w:eastAsia="等线" w:cs="Times New Roman"/>
          <w:color w:val="000000"/>
          <w:sz w:val="84"/>
          <w:szCs w:val="84"/>
        </w:rPr>
        <w:t>投</w:t>
      </w:r>
      <w:r>
        <w:rPr>
          <w:rFonts w:ascii="宋体" w:hAnsi="宋体" w:eastAsia="等线" w:cs="Times New Roman"/>
          <w:color w:val="000000"/>
          <w:sz w:val="84"/>
          <w:szCs w:val="84"/>
        </w:rPr>
        <w:t xml:space="preserve"> </w:t>
      </w:r>
      <w:r>
        <w:rPr>
          <w:rFonts w:hint="eastAsia" w:ascii="宋体" w:hAnsi="宋体" w:eastAsia="等线" w:cs="Times New Roman"/>
          <w:color w:val="000000"/>
          <w:sz w:val="84"/>
          <w:szCs w:val="84"/>
        </w:rPr>
        <w:t>标</w:t>
      </w:r>
      <w:r>
        <w:rPr>
          <w:rFonts w:ascii="宋体" w:hAnsi="宋体" w:eastAsia="等线" w:cs="Times New Roman"/>
          <w:color w:val="000000"/>
          <w:sz w:val="84"/>
          <w:szCs w:val="84"/>
        </w:rPr>
        <w:t xml:space="preserve"> </w:t>
      </w:r>
      <w:r>
        <w:rPr>
          <w:rFonts w:hint="eastAsia" w:ascii="宋体" w:hAnsi="宋体" w:eastAsia="等线" w:cs="Times New Roman"/>
          <w:color w:val="000000"/>
          <w:sz w:val="84"/>
          <w:szCs w:val="84"/>
        </w:rPr>
        <w:t>文</w:t>
      </w:r>
      <w:r>
        <w:rPr>
          <w:rFonts w:ascii="宋体" w:hAnsi="宋体" w:eastAsia="等线" w:cs="Times New Roman"/>
          <w:color w:val="000000"/>
          <w:sz w:val="84"/>
          <w:szCs w:val="84"/>
        </w:rPr>
        <w:t xml:space="preserve"> </w:t>
      </w:r>
      <w:r>
        <w:rPr>
          <w:rFonts w:hint="eastAsia" w:ascii="宋体" w:hAnsi="宋体" w:eastAsia="等线" w:cs="Times New Roman"/>
          <w:color w:val="000000"/>
          <w:sz w:val="84"/>
          <w:szCs w:val="84"/>
        </w:rPr>
        <w:t>件</w:t>
      </w:r>
    </w:p>
    <w:p w14:paraId="46E193D8">
      <w:pPr>
        <w:adjustRightInd w:val="0"/>
        <w:snapToGrid w:val="0"/>
        <w:jc w:val="center"/>
        <w:rPr>
          <w:rFonts w:hint="eastAsia" w:ascii="宋体" w:hAnsi="宋体" w:eastAsia="等线" w:cs="Times New Roman"/>
          <w:color w:val="000000"/>
          <w:sz w:val="84"/>
          <w:szCs w:val="84"/>
        </w:rPr>
      </w:pPr>
    </w:p>
    <w:p w14:paraId="77A15F26">
      <w:pPr>
        <w:pStyle w:val="3"/>
        <w:bidi w:val="0"/>
        <w:jc w:val="center"/>
        <w:rPr>
          <w:lang w:val="en-US" w:eastAsia="zh-CN"/>
        </w:rPr>
      </w:pPr>
      <w:bookmarkStart w:id="69" w:name="_Toc18547"/>
      <w:bookmarkStart w:id="70" w:name="_Toc9883"/>
      <w:bookmarkStart w:id="71" w:name="_Toc10401"/>
      <w:r>
        <w:rPr>
          <w:rFonts w:hint="eastAsia"/>
          <w:lang w:val="en-US" w:eastAsia="zh-CN"/>
        </w:rPr>
        <w:t>第一部分</w:t>
      </w:r>
      <w:r>
        <w:rPr>
          <w:lang w:val="en-US" w:eastAsia="zh-CN"/>
        </w:rPr>
        <w:t xml:space="preserve"> </w:t>
      </w:r>
      <w:r>
        <w:rPr>
          <w:rFonts w:hint="eastAsia"/>
          <w:lang w:val="en-US" w:eastAsia="zh-CN"/>
        </w:rPr>
        <w:t>资格证明文件</w:t>
      </w:r>
      <w:bookmarkEnd w:id="69"/>
      <w:bookmarkEnd w:id="70"/>
      <w:bookmarkEnd w:id="71"/>
    </w:p>
    <w:p w14:paraId="5492AD53">
      <w:pPr>
        <w:widowControl w:val="0"/>
        <w:spacing w:before="312" w:beforeLines="100" w:after="312" w:afterLines="100" w:line="420" w:lineRule="exact"/>
        <w:jc w:val="both"/>
        <w:rPr>
          <w:rFonts w:ascii="宋体" w:hAnsi="宋体" w:eastAsia="等线" w:cs="宋体"/>
          <w:b/>
          <w:bCs/>
          <w:color w:val="000000"/>
          <w:kern w:val="2"/>
          <w:sz w:val="32"/>
          <w:szCs w:val="32"/>
          <w:lang w:val="en-US" w:eastAsia="zh-CN" w:bidi="ar-SA"/>
        </w:rPr>
      </w:pPr>
    </w:p>
    <w:p w14:paraId="1FCD5B5E">
      <w:pPr>
        <w:widowControl w:val="0"/>
        <w:spacing w:before="312" w:beforeLines="100" w:after="312" w:afterLines="100" w:line="420" w:lineRule="exact"/>
        <w:ind w:firstLine="1280" w:firstLineChars="400"/>
        <w:jc w:val="both"/>
        <w:rPr>
          <w:rFonts w:ascii="宋体" w:hAnsi="宋体" w:eastAsia="宋体" w:cs="宋体"/>
          <w:color w:val="000000"/>
          <w:kern w:val="0"/>
          <w:sz w:val="32"/>
          <w:szCs w:val="32"/>
          <w:lang w:val="en-US" w:eastAsia="zh-CN" w:bidi="ar-SA"/>
        </w:rPr>
      </w:pPr>
      <w:r>
        <w:rPr>
          <w:rFonts w:hint="eastAsia" w:ascii="宋体" w:hAnsi="宋体" w:eastAsia="宋体" w:cs="宋体"/>
          <w:color w:val="000000"/>
          <w:kern w:val="2"/>
          <w:sz w:val="32"/>
          <w:szCs w:val="32"/>
          <w:lang w:val="en-US" w:eastAsia="zh-CN" w:bidi="ar-SA"/>
        </w:rPr>
        <w:t>采购项目名称：</w:t>
      </w:r>
    </w:p>
    <w:p w14:paraId="003337BC">
      <w:pPr>
        <w:widowControl w:val="0"/>
        <w:spacing w:before="312" w:beforeLines="100" w:after="312" w:afterLines="100" w:line="420" w:lineRule="exact"/>
        <w:ind w:firstLine="1280" w:firstLineChars="400"/>
        <w:jc w:val="both"/>
        <w:rPr>
          <w:rFonts w:ascii="宋体" w:hAnsi="宋体" w:eastAsia="宋体" w:cs="宋体"/>
          <w:color w:val="000000"/>
          <w:kern w:val="2"/>
          <w:sz w:val="32"/>
          <w:szCs w:val="32"/>
          <w:lang w:val="en-US" w:eastAsia="zh-CN" w:bidi="ar-SA"/>
        </w:rPr>
      </w:pPr>
      <w:r>
        <w:rPr>
          <w:rFonts w:hint="eastAsia" w:ascii="宋体" w:hAnsi="宋体" w:eastAsia="宋体" w:cs="宋体"/>
          <w:color w:val="000000"/>
          <w:kern w:val="2"/>
          <w:sz w:val="32"/>
          <w:szCs w:val="32"/>
          <w:lang w:val="en-US" w:eastAsia="zh-CN" w:bidi="ar-SA"/>
        </w:rPr>
        <w:t>采  购  人：</w:t>
      </w:r>
    </w:p>
    <w:p w14:paraId="3370C0D4">
      <w:pPr>
        <w:widowControl w:val="0"/>
        <w:spacing w:before="312" w:beforeLines="100" w:after="312" w:afterLines="100" w:line="420" w:lineRule="exact"/>
        <w:ind w:firstLine="1280" w:firstLineChars="400"/>
        <w:jc w:val="both"/>
        <w:rPr>
          <w:rFonts w:ascii="宋体" w:hAnsi="宋体" w:eastAsia="宋体" w:cs="宋体"/>
          <w:color w:val="000000"/>
          <w:kern w:val="2"/>
          <w:sz w:val="32"/>
          <w:szCs w:val="32"/>
          <w:lang w:val="en-US" w:eastAsia="zh-CN" w:bidi="ar-SA"/>
        </w:rPr>
      </w:pPr>
      <w:r>
        <w:rPr>
          <w:rFonts w:hint="eastAsia" w:ascii="宋体" w:hAnsi="宋体" w:eastAsia="宋体" w:cs="宋体"/>
          <w:color w:val="000000"/>
          <w:kern w:val="2"/>
          <w:sz w:val="32"/>
          <w:szCs w:val="32"/>
          <w:lang w:val="en-US" w:eastAsia="zh-CN" w:bidi="ar-SA"/>
        </w:rPr>
        <w:t>政府采购计划编号:</w:t>
      </w:r>
    </w:p>
    <w:p w14:paraId="11A60AD6">
      <w:pPr>
        <w:widowControl w:val="0"/>
        <w:spacing w:before="312" w:beforeLines="100" w:after="312" w:afterLines="100" w:line="420" w:lineRule="exact"/>
        <w:ind w:firstLine="1280" w:firstLineChars="400"/>
        <w:jc w:val="both"/>
        <w:rPr>
          <w:rFonts w:ascii="宋体" w:hAnsi="宋体" w:eastAsia="宋体" w:cs="宋体"/>
          <w:color w:val="000000"/>
          <w:kern w:val="2"/>
          <w:sz w:val="32"/>
          <w:szCs w:val="32"/>
          <w:lang w:val="en-US" w:eastAsia="zh-CN" w:bidi="ar-SA"/>
        </w:rPr>
      </w:pPr>
      <w:r>
        <w:rPr>
          <w:rFonts w:hint="eastAsia" w:ascii="宋体" w:hAnsi="宋体" w:eastAsia="宋体" w:cs="宋体"/>
          <w:color w:val="000000"/>
          <w:kern w:val="2"/>
          <w:sz w:val="32"/>
          <w:szCs w:val="32"/>
          <w:lang w:val="en-US" w:eastAsia="zh-CN" w:bidi="ar-SA"/>
        </w:rPr>
        <w:t>委托代理编号:</w:t>
      </w:r>
    </w:p>
    <w:p w14:paraId="001B9873">
      <w:pPr>
        <w:widowControl w:val="0"/>
        <w:spacing w:before="312" w:beforeLines="100" w:after="312" w:afterLines="100" w:line="420" w:lineRule="exact"/>
        <w:ind w:firstLine="1280" w:firstLineChars="400"/>
        <w:jc w:val="both"/>
        <w:rPr>
          <w:rFonts w:ascii="宋体" w:hAnsi="宋体" w:eastAsia="宋体" w:cs="宋体"/>
          <w:color w:val="000000"/>
          <w:kern w:val="2"/>
          <w:sz w:val="32"/>
          <w:szCs w:val="32"/>
          <w:lang w:val="en-US" w:eastAsia="zh-CN" w:bidi="ar-SA"/>
        </w:rPr>
      </w:pPr>
      <w:r>
        <w:rPr>
          <w:rFonts w:hint="eastAsia" w:ascii="宋体" w:hAnsi="宋体" w:eastAsia="宋体" w:cs="宋体"/>
          <w:color w:val="000000"/>
          <w:kern w:val="2"/>
          <w:sz w:val="32"/>
          <w:szCs w:val="32"/>
          <w:lang w:val="en-US" w:eastAsia="zh-CN" w:bidi="ar-SA"/>
        </w:rPr>
        <w:t>采购代理机构:</w:t>
      </w:r>
    </w:p>
    <w:p w14:paraId="46A4E755">
      <w:pPr>
        <w:adjustRightInd w:val="0"/>
        <w:snapToGrid w:val="0"/>
        <w:spacing w:line="420" w:lineRule="exact"/>
        <w:ind w:firstLine="1280" w:firstLineChars="400"/>
        <w:rPr>
          <w:rFonts w:ascii="宋体" w:hAnsi="宋体" w:eastAsia="宋体" w:cs="宋体"/>
          <w:color w:val="000000"/>
          <w:sz w:val="32"/>
          <w:szCs w:val="32"/>
        </w:rPr>
      </w:pPr>
      <w:r>
        <w:rPr>
          <w:rFonts w:hint="eastAsia" w:ascii="宋体" w:hAnsi="宋体" w:eastAsia="宋体" w:cs="宋体"/>
          <w:color w:val="000000"/>
          <w:sz w:val="32"/>
          <w:szCs w:val="32"/>
        </w:rPr>
        <w:t>投标人：</w:t>
      </w:r>
    </w:p>
    <w:p w14:paraId="6B52FD26">
      <w:pPr>
        <w:adjustRightInd w:val="0"/>
        <w:snapToGrid w:val="0"/>
        <w:spacing w:line="420" w:lineRule="exact"/>
        <w:jc w:val="center"/>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                                   </w:t>
      </w:r>
    </w:p>
    <w:p w14:paraId="34634B72">
      <w:pPr>
        <w:adjustRightInd w:val="0"/>
        <w:snapToGrid w:val="0"/>
        <w:spacing w:line="420" w:lineRule="exact"/>
        <w:jc w:val="center"/>
        <w:rPr>
          <w:rFonts w:hint="eastAsia" w:ascii="宋体" w:hAnsi="宋体" w:eastAsia="宋体" w:cs="宋体"/>
          <w:color w:val="000000"/>
          <w:sz w:val="32"/>
          <w:szCs w:val="32"/>
        </w:rPr>
      </w:pPr>
    </w:p>
    <w:p w14:paraId="5FA42F49">
      <w:pPr>
        <w:adjustRightInd w:val="0"/>
        <w:snapToGrid w:val="0"/>
        <w:spacing w:line="420" w:lineRule="exact"/>
        <w:jc w:val="center"/>
        <w:rPr>
          <w:rFonts w:ascii="黑体" w:hAnsi="宋体" w:eastAsia="黑体" w:cs="Times New Roman"/>
          <w:color w:val="000000"/>
          <w:sz w:val="28"/>
          <w:szCs w:val="28"/>
        </w:rPr>
      </w:pPr>
      <w:r>
        <w:rPr>
          <w:rFonts w:hint="eastAsia" w:ascii="宋体" w:hAnsi="宋体" w:eastAsia="宋体" w:cs="宋体"/>
          <w:color w:val="000000"/>
          <w:sz w:val="32"/>
          <w:szCs w:val="32"/>
        </w:rPr>
        <w:t>年  月  日</w:t>
      </w:r>
      <w:r>
        <w:rPr>
          <w:rFonts w:ascii="黑体" w:hAnsi="等线" w:eastAsia="黑体" w:cs="Times New Roman"/>
          <w:color w:val="000000"/>
          <w:sz w:val="28"/>
          <w:szCs w:val="28"/>
        </w:rPr>
        <w:br w:type="page"/>
      </w:r>
    </w:p>
    <w:p w14:paraId="3EB9D164">
      <w:pPr>
        <w:pStyle w:val="4"/>
        <w:bidi w:val="0"/>
        <w:jc w:val="center"/>
        <w:rPr>
          <w:lang w:val="en-US" w:eastAsia="zh-CN"/>
        </w:rPr>
      </w:pPr>
      <w:bookmarkStart w:id="72" w:name="_Toc28831"/>
      <w:bookmarkStart w:id="73" w:name="_Toc6629"/>
      <w:r>
        <w:rPr>
          <w:rFonts w:hint="eastAsia"/>
          <w:lang w:val="en-US" w:eastAsia="zh-CN"/>
        </w:rPr>
        <w:t>一、开标一览表</w:t>
      </w:r>
      <w:bookmarkEnd w:id="72"/>
      <w:bookmarkEnd w:id="73"/>
    </w:p>
    <w:p w14:paraId="455178A1">
      <w:pPr>
        <w:adjustRightInd w:val="0"/>
        <w:snapToGrid w:val="0"/>
        <w:spacing w:line="420" w:lineRule="exact"/>
        <w:rPr>
          <w:rFonts w:ascii="宋体" w:hAnsi="宋体" w:eastAsia="宋体" w:cs="宋体"/>
          <w:color w:val="000000"/>
          <w:sz w:val="24"/>
          <w:szCs w:val="24"/>
        </w:rPr>
      </w:pPr>
    </w:p>
    <w:p w14:paraId="33BE20D8">
      <w:pPr>
        <w:adjustRightInd w:val="0"/>
        <w:snapToGrid w:val="0"/>
        <w:spacing w:line="420" w:lineRule="exact"/>
        <w:rPr>
          <w:rFonts w:ascii="宋体" w:hAnsi="宋体" w:eastAsia="宋体" w:cs="宋体"/>
          <w:color w:val="000000"/>
          <w:sz w:val="24"/>
          <w:szCs w:val="24"/>
        </w:rPr>
      </w:pPr>
    </w:p>
    <w:p w14:paraId="73119ED0">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项目名称：</w:t>
      </w:r>
    </w:p>
    <w:p w14:paraId="5F8343FF">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lang w:eastAsia="zh-CN"/>
        </w:rPr>
        <w:t>政府采购计划编号</w:t>
      </w:r>
      <w:r>
        <w:rPr>
          <w:rFonts w:hint="eastAsia" w:ascii="宋体" w:hAnsi="宋体" w:eastAsia="宋体" w:cs="宋体"/>
          <w:color w:val="000000"/>
          <w:sz w:val="24"/>
          <w:szCs w:val="24"/>
        </w:rPr>
        <w:t>：</w:t>
      </w:r>
    </w:p>
    <w:p w14:paraId="20896E49">
      <w:pPr>
        <w:widowControl w:val="0"/>
        <w:autoSpaceDE w:val="0"/>
        <w:autoSpaceDN w:val="0"/>
        <w:adjustRightInd w:val="0"/>
        <w:spacing w:after="120" w:line="420" w:lineRule="exact"/>
        <w:ind w:left="420" w:leftChars="200" w:firstLine="420"/>
        <w:jc w:val="left"/>
        <w:rPr>
          <w:rFonts w:ascii="Calibri" w:hAnsi="Calibri" w:eastAsia="宋体" w:cs="Times New Roman"/>
          <w:color w:val="000000"/>
          <w:kern w:val="0"/>
          <w:sz w:val="21"/>
          <w:szCs w:val="22"/>
          <w:lang w:val="en-US" w:eastAsia="zh-CN" w:bidi="ar-SA"/>
        </w:rPr>
      </w:pPr>
    </w:p>
    <w:tbl>
      <w:tblPr>
        <w:tblStyle w:val="11"/>
        <w:tblW w:w="9979"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0"/>
        <w:gridCol w:w="2539"/>
      </w:tblGrid>
      <w:tr w14:paraId="16E731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trPr>
        <w:tc>
          <w:tcPr>
            <w:tcW w:w="7440" w:type="dxa"/>
            <w:tcBorders>
              <w:tl2br w:val="nil"/>
              <w:tr2bl w:val="nil"/>
            </w:tcBorders>
          </w:tcPr>
          <w:p w14:paraId="0BCF9C55">
            <w:pPr>
              <w:adjustRightInd w:val="0"/>
              <w:snapToGrid w:val="0"/>
              <w:spacing w:before="156" w:beforeLines="50" w:line="420" w:lineRule="exact"/>
              <w:jc w:val="center"/>
              <w:rPr>
                <w:rFonts w:hint="eastAsia" w:ascii="宋体" w:hAnsi="宋体" w:eastAsia="宋体" w:cs="宋体"/>
                <w:color w:val="000000"/>
                <w:kern w:val="0"/>
                <w:szCs w:val="21"/>
              </w:rPr>
            </w:pPr>
          </w:p>
          <w:p w14:paraId="1E030FDA">
            <w:pPr>
              <w:adjustRightInd w:val="0"/>
              <w:snapToGrid w:val="0"/>
              <w:spacing w:before="156" w:beforeLines="50" w:line="420" w:lineRule="exact"/>
              <w:jc w:val="center"/>
              <w:rPr>
                <w:rFonts w:ascii="宋体" w:hAnsi="宋体" w:eastAsia="宋体" w:cs="宋体"/>
                <w:color w:val="000000"/>
                <w:kern w:val="0"/>
                <w:szCs w:val="21"/>
              </w:rPr>
            </w:pPr>
            <w:r>
              <w:rPr>
                <w:rFonts w:hint="eastAsia" w:ascii="宋体" w:hAnsi="宋体" w:eastAsia="宋体" w:cs="宋体"/>
                <w:color w:val="000000"/>
                <w:kern w:val="0"/>
                <w:szCs w:val="21"/>
              </w:rPr>
              <w:t>小写金额：</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w:t>
            </w:r>
            <w:r>
              <w:rPr>
                <w:rFonts w:hint="eastAsia" w:ascii="宋体" w:hAnsi="宋体" w:eastAsia="宋体" w:cs="宋体"/>
                <w:color w:val="000000"/>
                <w:kern w:val="0"/>
                <w:sz w:val="20"/>
                <w:szCs w:val="21"/>
              </w:rPr>
              <w:t>人民币元</w:t>
            </w:r>
            <w:r>
              <w:rPr>
                <w:rFonts w:hint="eastAsia" w:ascii="宋体" w:hAnsi="宋体" w:eastAsia="宋体" w:cs="宋体"/>
                <w:color w:val="000000"/>
                <w:kern w:val="0"/>
                <w:szCs w:val="21"/>
              </w:rPr>
              <w:t>）</w:t>
            </w:r>
          </w:p>
          <w:p w14:paraId="0BF28FB1">
            <w:pPr>
              <w:adjustRightInd w:val="0"/>
              <w:snapToGrid w:val="0"/>
              <w:spacing w:before="156" w:beforeLines="50" w:line="420" w:lineRule="exact"/>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大写金额：</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w:t>
            </w:r>
            <w:r>
              <w:rPr>
                <w:rFonts w:hint="eastAsia" w:ascii="宋体" w:hAnsi="宋体" w:eastAsia="宋体" w:cs="宋体"/>
                <w:color w:val="000000"/>
                <w:kern w:val="0"/>
                <w:sz w:val="20"/>
                <w:szCs w:val="21"/>
              </w:rPr>
              <w:t>人民币元</w:t>
            </w:r>
            <w:r>
              <w:rPr>
                <w:rFonts w:hint="eastAsia" w:ascii="宋体" w:hAnsi="宋体" w:eastAsia="宋体" w:cs="宋体"/>
                <w:color w:val="000000"/>
                <w:kern w:val="0"/>
                <w:szCs w:val="21"/>
              </w:rPr>
              <w:t>）</w:t>
            </w:r>
          </w:p>
          <w:p w14:paraId="7B2E656D">
            <w:pPr>
              <w:adjustRightInd w:val="0"/>
              <w:snapToGrid w:val="0"/>
              <w:spacing w:before="156" w:beforeLines="50" w:line="420" w:lineRule="exact"/>
              <w:jc w:val="center"/>
              <w:rPr>
                <w:rFonts w:hint="eastAsia" w:ascii="宋体" w:hAnsi="宋体" w:eastAsia="宋体" w:cs="宋体"/>
                <w:color w:val="000000"/>
                <w:kern w:val="0"/>
                <w:szCs w:val="21"/>
              </w:rPr>
            </w:pPr>
          </w:p>
        </w:tc>
        <w:tc>
          <w:tcPr>
            <w:tcW w:w="2539" w:type="dxa"/>
            <w:tcBorders>
              <w:tl2br w:val="nil"/>
              <w:tr2bl w:val="nil"/>
            </w:tcBorders>
            <w:vAlign w:val="center"/>
          </w:tcPr>
          <w:p w14:paraId="777A4972">
            <w:pPr>
              <w:spacing w:line="420" w:lineRule="exact"/>
              <w:rPr>
                <w:rFonts w:ascii="宋体" w:hAnsi="宋体" w:eastAsia="宋体" w:cs="宋体"/>
                <w:color w:val="000000"/>
                <w:szCs w:val="21"/>
              </w:rPr>
            </w:pPr>
            <w:r>
              <w:rPr>
                <w:rFonts w:hint="eastAsia" w:ascii="宋体" w:hAnsi="宋体" w:eastAsia="宋体" w:cs="宋体"/>
                <w:b/>
                <w:bCs/>
                <w:color w:val="000000"/>
                <w:szCs w:val="22"/>
              </w:rPr>
              <w:t>服务期限：</w:t>
            </w:r>
          </w:p>
        </w:tc>
      </w:tr>
      <w:tr w14:paraId="5941C7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trPr>
        <w:tc>
          <w:tcPr>
            <w:tcW w:w="9979" w:type="dxa"/>
            <w:gridSpan w:val="2"/>
            <w:tcBorders>
              <w:tl2br w:val="nil"/>
              <w:tr2bl w:val="nil"/>
            </w:tcBorders>
          </w:tcPr>
          <w:p w14:paraId="4C51F565">
            <w:pPr>
              <w:spacing w:line="420" w:lineRule="exact"/>
              <w:rPr>
                <w:rFonts w:ascii="宋体" w:hAnsi="宋体" w:eastAsia="宋体" w:cs="宋体"/>
                <w:color w:val="000000"/>
                <w:kern w:val="0"/>
                <w:szCs w:val="21"/>
              </w:rPr>
            </w:pPr>
            <w:r>
              <w:rPr>
                <w:rFonts w:hint="eastAsia" w:ascii="宋体" w:hAnsi="宋体" w:eastAsia="宋体" w:cs="宋体"/>
                <w:color w:val="000000"/>
                <w:kern w:val="0"/>
                <w:szCs w:val="21"/>
              </w:rPr>
              <w:t>（</w:t>
            </w:r>
            <w:r>
              <w:rPr>
                <w:rFonts w:hint="eastAsia" w:ascii="宋体" w:hAnsi="宋体" w:eastAsia="宋体" w:cs="宋体"/>
                <w:color w:val="000000"/>
                <w:kern w:val="0"/>
                <w:sz w:val="24"/>
                <w:szCs w:val="22"/>
              </w:rPr>
              <w:t>大写金额与小写金额不一致时，以大写金额为准</w:t>
            </w:r>
            <w:r>
              <w:rPr>
                <w:rFonts w:hint="eastAsia" w:ascii="宋体" w:hAnsi="宋体" w:eastAsia="宋体" w:cs="宋体"/>
                <w:color w:val="000000"/>
                <w:kern w:val="0"/>
                <w:szCs w:val="21"/>
              </w:rPr>
              <w:t>）</w:t>
            </w:r>
          </w:p>
        </w:tc>
      </w:tr>
    </w:tbl>
    <w:p w14:paraId="3F360EBD">
      <w:pPr>
        <w:adjustRightInd w:val="0"/>
        <w:snapToGrid w:val="0"/>
        <w:spacing w:line="420" w:lineRule="exact"/>
        <w:rPr>
          <w:rFonts w:ascii="宋体" w:hAnsi="等线" w:eastAsia="等线" w:cs="Times New Roman"/>
          <w:color w:val="000000"/>
          <w:szCs w:val="22"/>
        </w:rPr>
      </w:pPr>
    </w:p>
    <w:p w14:paraId="1B6B7BBE">
      <w:pPr>
        <w:widowControl w:val="0"/>
        <w:autoSpaceDE w:val="0"/>
        <w:autoSpaceDN w:val="0"/>
        <w:adjustRightInd w:val="0"/>
        <w:spacing w:after="120" w:line="420" w:lineRule="exact"/>
        <w:ind w:left="420" w:leftChars="200" w:firstLine="420"/>
        <w:jc w:val="left"/>
        <w:rPr>
          <w:rFonts w:ascii="Calibri" w:hAnsi="Calibri" w:eastAsia="宋体" w:cs="Times New Roman"/>
          <w:color w:val="000000"/>
          <w:kern w:val="0"/>
          <w:sz w:val="21"/>
          <w:szCs w:val="22"/>
          <w:lang w:val="en-US" w:eastAsia="zh-CN" w:bidi="ar-SA"/>
        </w:rPr>
      </w:pPr>
    </w:p>
    <w:p w14:paraId="09AA2174">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投标人名称（盖单位章）：</w:t>
      </w:r>
    </w:p>
    <w:p w14:paraId="3824FBC7">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法定代表人或其授权的代理人（签字或印章）：</w:t>
      </w:r>
    </w:p>
    <w:p w14:paraId="55B6DBA6">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日期：</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年</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月</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日</w:t>
      </w:r>
    </w:p>
    <w:p w14:paraId="00B652C6">
      <w:pPr>
        <w:adjustRightInd w:val="0"/>
        <w:snapToGrid w:val="0"/>
        <w:spacing w:line="420" w:lineRule="exact"/>
        <w:rPr>
          <w:rFonts w:ascii="黑体" w:hAnsi="等线" w:eastAsia="黑体" w:cs="Times New Roman"/>
          <w:color w:val="000000"/>
          <w:sz w:val="32"/>
          <w:szCs w:val="32"/>
        </w:rPr>
      </w:pPr>
      <w:r>
        <w:rPr>
          <w:rFonts w:hint="eastAsia" w:ascii="宋体" w:hAnsi="宋体" w:eastAsia="宋体" w:cs="宋体"/>
          <w:color w:val="000000"/>
          <w:sz w:val="24"/>
          <w:szCs w:val="24"/>
        </w:rPr>
        <w:br w:type="page"/>
      </w:r>
    </w:p>
    <w:p w14:paraId="612DF108">
      <w:pPr>
        <w:pStyle w:val="4"/>
        <w:bidi w:val="0"/>
        <w:jc w:val="center"/>
        <w:rPr>
          <w:rFonts w:ascii="宋体" w:hAnsi="宋体" w:eastAsia="宋体" w:cs="宋体"/>
          <w:b/>
          <w:color w:val="000000"/>
          <w:kern w:val="2"/>
          <w:sz w:val="32"/>
          <w:szCs w:val="24"/>
          <w:lang w:val="en-US" w:eastAsia="zh-CN" w:bidi="ar-SA"/>
        </w:rPr>
      </w:pPr>
      <w:bookmarkStart w:id="74" w:name="_Toc8819"/>
      <w:bookmarkStart w:id="75" w:name="_Toc8384"/>
      <w:r>
        <w:rPr>
          <w:rFonts w:hint="eastAsia" w:ascii="黑体" w:hAnsi="宋体" w:eastAsia="黑体" w:cs="Times New Roman"/>
          <w:b/>
          <w:color w:val="000000"/>
          <w:kern w:val="2"/>
          <w:sz w:val="28"/>
          <w:szCs w:val="28"/>
          <w:lang w:val="en-US" w:eastAsia="zh-CN" w:bidi="ar-SA"/>
        </w:rPr>
        <w:t>二、</w:t>
      </w:r>
      <w:r>
        <w:rPr>
          <w:rFonts w:hint="eastAsia" w:ascii="宋体" w:hAnsi="宋体" w:eastAsia="宋体" w:cs="宋体"/>
          <w:b/>
          <w:color w:val="000000"/>
          <w:kern w:val="2"/>
          <w:sz w:val="32"/>
          <w:szCs w:val="24"/>
          <w:lang w:val="en-US" w:eastAsia="zh-CN" w:bidi="ar-SA"/>
        </w:rPr>
        <w:t>法定代表人（单位负责人）身份证明</w:t>
      </w:r>
      <w:bookmarkEnd w:id="74"/>
      <w:bookmarkEnd w:id="75"/>
    </w:p>
    <w:p w14:paraId="492485E5">
      <w:pPr>
        <w:tabs>
          <w:tab w:val="left" w:pos="3880"/>
        </w:tabs>
        <w:autoSpaceDE w:val="0"/>
        <w:autoSpaceDN w:val="0"/>
        <w:adjustRightInd w:val="0"/>
        <w:snapToGrid w:val="0"/>
        <w:spacing w:line="420" w:lineRule="exact"/>
        <w:ind w:left="100" w:right="-20"/>
        <w:jc w:val="left"/>
        <w:rPr>
          <w:rFonts w:ascii="宋体" w:hAnsi="宋体" w:eastAsia="等线" w:cs="宋体"/>
          <w:b/>
          <w:color w:val="000000"/>
          <w:spacing w:val="6"/>
          <w:sz w:val="24"/>
          <w:szCs w:val="22"/>
        </w:rPr>
      </w:pPr>
    </w:p>
    <w:p w14:paraId="27D273DB">
      <w:pPr>
        <w:tabs>
          <w:tab w:val="left" w:pos="3880"/>
        </w:tabs>
        <w:autoSpaceDE w:val="0"/>
        <w:autoSpaceDN w:val="0"/>
        <w:adjustRightInd w:val="0"/>
        <w:snapToGrid w:val="0"/>
        <w:spacing w:line="420" w:lineRule="exact"/>
        <w:ind w:left="100" w:right="-20"/>
        <w:jc w:val="left"/>
        <w:rPr>
          <w:rFonts w:ascii="宋体" w:hAnsi="宋体" w:eastAsia="等线" w:cs="宋体"/>
          <w:color w:val="000000"/>
          <w:kern w:val="0"/>
          <w:position w:val="-4"/>
          <w:sz w:val="24"/>
          <w:szCs w:val="22"/>
        </w:rPr>
      </w:pPr>
    </w:p>
    <w:p w14:paraId="1773ABD3">
      <w:pPr>
        <w:spacing w:line="420" w:lineRule="exact"/>
        <w:rPr>
          <w:rFonts w:ascii="宋体" w:hAnsi="宋体" w:eastAsia="宋体" w:cs="宋体"/>
          <w:color w:val="000000"/>
          <w:sz w:val="24"/>
          <w:szCs w:val="28"/>
        </w:rPr>
      </w:pPr>
      <w:r>
        <w:rPr>
          <w:rFonts w:hint="eastAsia" w:ascii="宋体" w:hAnsi="宋体" w:eastAsia="宋体" w:cs="宋体"/>
          <w:color w:val="000000"/>
          <w:sz w:val="24"/>
          <w:szCs w:val="24"/>
        </w:rPr>
        <w:t>投标人名称：</w:t>
      </w:r>
      <w:r>
        <w:rPr>
          <w:rFonts w:hint="eastAsia" w:ascii="宋体" w:hAnsi="宋体" w:eastAsia="宋体" w:cs="宋体"/>
          <w:color w:val="000000"/>
          <w:sz w:val="24"/>
          <w:szCs w:val="24"/>
          <w:u w:val="single"/>
        </w:rPr>
        <w:t>               </w:t>
      </w:r>
      <w:r>
        <w:rPr>
          <w:rFonts w:hint="eastAsia" w:ascii="宋体" w:hAnsi="宋体" w:eastAsia="宋体" w:cs="宋体"/>
          <w:color w:val="000000"/>
          <w:sz w:val="24"/>
          <w:szCs w:val="24"/>
        </w:rPr>
        <w:t xml:space="preserve">  </w:t>
      </w:r>
    </w:p>
    <w:p w14:paraId="64626A9E">
      <w:pPr>
        <w:spacing w:line="420" w:lineRule="exact"/>
        <w:rPr>
          <w:rFonts w:ascii="宋体" w:hAnsi="宋体" w:eastAsia="宋体" w:cs="宋体"/>
          <w:color w:val="000000"/>
          <w:sz w:val="24"/>
          <w:szCs w:val="28"/>
        </w:rPr>
      </w:pPr>
      <w:r>
        <w:rPr>
          <w:rFonts w:hint="eastAsia" w:ascii="宋体" w:hAnsi="宋体" w:eastAsia="宋体" w:cs="宋体"/>
          <w:color w:val="000000"/>
          <w:sz w:val="24"/>
          <w:szCs w:val="24"/>
        </w:rPr>
        <w:t>注册号：</w:t>
      </w:r>
      <w:r>
        <w:rPr>
          <w:rFonts w:hint="eastAsia" w:ascii="宋体" w:hAnsi="宋体" w:eastAsia="宋体" w:cs="宋体"/>
          <w:color w:val="000000"/>
          <w:sz w:val="24"/>
          <w:szCs w:val="24"/>
          <w:u w:val="single"/>
        </w:rPr>
        <w:t>                 </w:t>
      </w:r>
    </w:p>
    <w:p w14:paraId="13644859">
      <w:pPr>
        <w:spacing w:line="420" w:lineRule="exact"/>
        <w:rPr>
          <w:rFonts w:ascii="宋体" w:hAnsi="宋体" w:eastAsia="宋体" w:cs="宋体"/>
          <w:color w:val="000000"/>
          <w:sz w:val="24"/>
          <w:szCs w:val="28"/>
        </w:rPr>
      </w:pPr>
      <w:r>
        <w:rPr>
          <w:rFonts w:hint="eastAsia" w:ascii="宋体" w:hAnsi="宋体" w:eastAsia="宋体" w:cs="宋体"/>
          <w:color w:val="000000"/>
          <w:sz w:val="24"/>
          <w:szCs w:val="24"/>
        </w:rPr>
        <w:t>注册地址：</w:t>
      </w:r>
      <w:r>
        <w:rPr>
          <w:rFonts w:hint="eastAsia" w:ascii="宋体" w:hAnsi="宋体" w:eastAsia="宋体" w:cs="宋体"/>
          <w:color w:val="000000"/>
          <w:sz w:val="24"/>
          <w:szCs w:val="24"/>
          <w:u w:val="single"/>
        </w:rPr>
        <w:t>                         </w:t>
      </w:r>
    </w:p>
    <w:p w14:paraId="3C092DC1">
      <w:pPr>
        <w:spacing w:line="420" w:lineRule="exact"/>
        <w:rPr>
          <w:rFonts w:ascii="宋体" w:hAnsi="宋体" w:eastAsia="宋体" w:cs="宋体"/>
          <w:color w:val="000000"/>
          <w:sz w:val="24"/>
          <w:szCs w:val="28"/>
        </w:rPr>
      </w:pPr>
      <w:r>
        <w:rPr>
          <w:rFonts w:hint="eastAsia" w:ascii="宋体" w:hAnsi="宋体" w:eastAsia="宋体" w:cs="宋体"/>
          <w:color w:val="000000"/>
          <w:sz w:val="24"/>
          <w:szCs w:val="24"/>
        </w:rPr>
        <w:t xml:space="preserve">成立时间： </w:t>
      </w:r>
      <w:r>
        <w:rPr>
          <w:rFonts w:hint="eastAsia" w:ascii="宋体" w:hAnsi="宋体" w:eastAsia="宋体" w:cs="宋体"/>
          <w:color w:val="000000"/>
          <w:sz w:val="24"/>
          <w:szCs w:val="24"/>
          <w:u w:val="single"/>
        </w:rPr>
        <w:t>       </w:t>
      </w:r>
      <w:r>
        <w:rPr>
          <w:rFonts w:hint="eastAsia" w:ascii="宋体" w:hAnsi="宋体" w:eastAsia="宋体" w:cs="宋体"/>
          <w:color w:val="000000"/>
          <w:sz w:val="24"/>
          <w:szCs w:val="24"/>
        </w:rPr>
        <w:t xml:space="preserve">年 </w:t>
      </w:r>
      <w:r>
        <w:rPr>
          <w:rFonts w:hint="eastAsia" w:ascii="宋体" w:hAnsi="宋体" w:eastAsia="宋体" w:cs="宋体"/>
          <w:color w:val="000000"/>
          <w:sz w:val="24"/>
          <w:szCs w:val="24"/>
          <w:u w:val="single"/>
        </w:rPr>
        <w:t>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w:t>
      </w:r>
      <w:r>
        <w:rPr>
          <w:rFonts w:hint="eastAsia" w:ascii="宋体" w:hAnsi="宋体" w:eastAsia="宋体" w:cs="宋体"/>
          <w:color w:val="000000"/>
          <w:sz w:val="24"/>
          <w:szCs w:val="24"/>
        </w:rPr>
        <w:t xml:space="preserve">  日 </w:t>
      </w:r>
    </w:p>
    <w:p w14:paraId="23B9F7A3">
      <w:pPr>
        <w:spacing w:line="420" w:lineRule="exact"/>
        <w:rPr>
          <w:rFonts w:ascii="宋体" w:hAnsi="宋体" w:eastAsia="宋体" w:cs="宋体"/>
          <w:color w:val="000000"/>
          <w:sz w:val="24"/>
          <w:szCs w:val="28"/>
        </w:rPr>
      </w:pPr>
      <w:r>
        <w:rPr>
          <w:rFonts w:hint="eastAsia" w:ascii="宋体" w:hAnsi="宋体" w:eastAsia="宋体" w:cs="宋体"/>
          <w:color w:val="000000"/>
          <w:sz w:val="24"/>
          <w:szCs w:val="24"/>
        </w:rPr>
        <w:t>经营期限：</w:t>
      </w:r>
      <w:r>
        <w:rPr>
          <w:rFonts w:hint="eastAsia" w:ascii="宋体" w:hAnsi="宋体" w:eastAsia="宋体" w:cs="宋体"/>
          <w:color w:val="000000"/>
          <w:sz w:val="24"/>
          <w:szCs w:val="24"/>
          <w:u w:val="single"/>
        </w:rPr>
        <w:t>                 </w:t>
      </w:r>
      <w:r>
        <w:rPr>
          <w:rFonts w:hint="eastAsia" w:ascii="宋体" w:hAnsi="宋体" w:eastAsia="宋体" w:cs="宋体"/>
          <w:color w:val="000000"/>
          <w:sz w:val="24"/>
          <w:szCs w:val="24"/>
        </w:rPr>
        <w:t xml:space="preserve"> </w:t>
      </w:r>
    </w:p>
    <w:p w14:paraId="15892348">
      <w:pPr>
        <w:spacing w:line="420" w:lineRule="exact"/>
        <w:rPr>
          <w:rFonts w:ascii="宋体" w:hAnsi="宋体" w:eastAsia="宋体" w:cs="宋体"/>
          <w:color w:val="000000"/>
          <w:sz w:val="24"/>
          <w:szCs w:val="28"/>
        </w:rPr>
      </w:pPr>
      <w:r>
        <w:rPr>
          <w:rFonts w:hint="eastAsia" w:ascii="宋体" w:hAnsi="宋体" w:eastAsia="宋体" w:cs="宋体"/>
          <w:color w:val="000000"/>
          <w:sz w:val="24"/>
          <w:szCs w:val="24"/>
        </w:rPr>
        <w:t>经营范围：主营：</w:t>
      </w:r>
      <w:r>
        <w:rPr>
          <w:rFonts w:hint="eastAsia" w:ascii="宋体" w:hAnsi="宋体" w:eastAsia="宋体" w:cs="宋体"/>
          <w:color w:val="000000"/>
          <w:sz w:val="24"/>
          <w:szCs w:val="24"/>
          <w:u w:val="single"/>
        </w:rPr>
        <w:t>         </w:t>
      </w:r>
      <w:r>
        <w:rPr>
          <w:rFonts w:hint="eastAsia" w:ascii="宋体" w:hAnsi="宋体" w:eastAsia="宋体" w:cs="宋体"/>
          <w:color w:val="000000"/>
          <w:sz w:val="24"/>
          <w:szCs w:val="24"/>
        </w:rPr>
        <w:t>；兼营：</w:t>
      </w:r>
      <w:r>
        <w:rPr>
          <w:rFonts w:hint="eastAsia" w:ascii="宋体" w:hAnsi="宋体" w:eastAsia="宋体" w:cs="宋体"/>
          <w:color w:val="000000"/>
          <w:sz w:val="24"/>
          <w:szCs w:val="24"/>
          <w:u w:val="single"/>
        </w:rPr>
        <w:t>         </w:t>
      </w:r>
    </w:p>
    <w:p w14:paraId="2A291A1B">
      <w:pPr>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姓名：</w:t>
      </w:r>
      <w:r>
        <w:rPr>
          <w:rFonts w:hint="eastAsia" w:ascii="宋体" w:hAnsi="宋体" w:eastAsia="宋体" w:cs="宋体"/>
          <w:color w:val="000000"/>
          <w:sz w:val="24"/>
          <w:szCs w:val="24"/>
          <w:u w:val="single"/>
        </w:rPr>
        <w:t>     </w:t>
      </w:r>
      <w:r>
        <w:rPr>
          <w:rFonts w:hint="eastAsia" w:ascii="宋体" w:hAnsi="宋体" w:eastAsia="宋体" w:cs="宋体"/>
          <w:color w:val="000000"/>
          <w:sz w:val="24"/>
          <w:szCs w:val="24"/>
        </w:rPr>
        <w:t xml:space="preserve">  性别：</w:t>
      </w:r>
      <w:r>
        <w:rPr>
          <w:rFonts w:hint="eastAsia" w:ascii="宋体" w:hAnsi="宋体" w:eastAsia="宋体" w:cs="宋体"/>
          <w:color w:val="000000"/>
          <w:sz w:val="24"/>
          <w:szCs w:val="24"/>
          <w:u w:val="single"/>
        </w:rPr>
        <w:t>   </w:t>
      </w:r>
      <w:r>
        <w:rPr>
          <w:rFonts w:hint="eastAsia" w:ascii="宋体" w:hAnsi="宋体" w:eastAsia="宋体" w:cs="宋体"/>
          <w:color w:val="000000"/>
          <w:sz w:val="24"/>
          <w:szCs w:val="24"/>
        </w:rPr>
        <w:t>年龄：</w:t>
      </w:r>
      <w:r>
        <w:rPr>
          <w:rFonts w:hint="eastAsia" w:ascii="宋体" w:hAnsi="宋体" w:eastAsia="宋体" w:cs="宋体"/>
          <w:color w:val="000000"/>
          <w:sz w:val="24"/>
          <w:szCs w:val="24"/>
          <w:u w:val="single"/>
        </w:rPr>
        <w:t>   </w:t>
      </w:r>
      <w:r>
        <w:rPr>
          <w:rFonts w:hint="eastAsia" w:ascii="宋体" w:hAnsi="宋体" w:eastAsia="宋体" w:cs="宋体"/>
          <w:color w:val="000000"/>
          <w:sz w:val="24"/>
          <w:szCs w:val="24"/>
        </w:rPr>
        <w:t xml:space="preserve">  </w:t>
      </w:r>
    </w:p>
    <w:p w14:paraId="0DC94400">
      <w:pPr>
        <w:spacing w:line="420" w:lineRule="exact"/>
        <w:rPr>
          <w:rFonts w:ascii="宋体" w:hAnsi="宋体" w:eastAsia="宋体" w:cs="宋体"/>
          <w:color w:val="000000"/>
          <w:sz w:val="24"/>
          <w:szCs w:val="28"/>
        </w:rPr>
      </w:pP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rPr>
        <w:t>        </w:t>
      </w:r>
      <w:r>
        <w:rPr>
          <w:rFonts w:hint="eastAsia" w:ascii="宋体" w:hAnsi="宋体" w:eastAsia="宋体" w:cs="宋体"/>
          <w:color w:val="000000"/>
          <w:sz w:val="24"/>
          <w:szCs w:val="24"/>
        </w:rPr>
        <w:t xml:space="preserve"> 系</w:t>
      </w:r>
      <w:r>
        <w:rPr>
          <w:rFonts w:hint="eastAsia" w:ascii="宋体" w:hAnsi="宋体" w:eastAsia="宋体" w:cs="宋体"/>
          <w:color w:val="000000"/>
          <w:sz w:val="24"/>
          <w:szCs w:val="24"/>
          <w:u w:val="single"/>
        </w:rPr>
        <w:t>         </w:t>
      </w:r>
      <w:r>
        <w:rPr>
          <w:rFonts w:hint="eastAsia" w:ascii="宋体" w:hAnsi="宋体" w:eastAsia="宋体" w:cs="宋体"/>
          <w:color w:val="000000"/>
          <w:sz w:val="24"/>
          <w:szCs w:val="24"/>
        </w:rPr>
        <w:t xml:space="preserve">  （投标人名称）的法定代表人。 </w:t>
      </w:r>
    </w:p>
    <w:p w14:paraId="018EA99E">
      <w:pPr>
        <w:spacing w:line="420" w:lineRule="exact"/>
        <w:rPr>
          <w:rFonts w:ascii="宋体" w:hAnsi="宋体" w:eastAsia="宋体" w:cs="宋体"/>
          <w:color w:val="000000"/>
          <w:sz w:val="24"/>
          <w:szCs w:val="28"/>
        </w:rPr>
      </w:pPr>
      <w:r>
        <w:rPr>
          <w:rFonts w:hint="eastAsia" w:ascii="宋体" w:hAnsi="宋体" w:eastAsia="宋体" w:cs="宋体"/>
          <w:color w:val="000000"/>
          <w:sz w:val="24"/>
          <w:szCs w:val="24"/>
        </w:rPr>
        <w:t xml:space="preserve">特此证明。 </w:t>
      </w:r>
    </w:p>
    <w:p w14:paraId="187D69A3">
      <w:pPr>
        <w:spacing w:line="420" w:lineRule="exact"/>
        <w:rPr>
          <w:rFonts w:ascii="等线" w:hAnsi="等线" w:eastAsia="等线" w:cs="Times New Roman"/>
          <w:color w:val="000000"/>
          <w:szCs w:val="22"/>
        </w:rPr>
      </w:pPr>
      <w:r>
        <w:rPr>
          <w:rFonts w:ascii="等线" w:hAnsi="等线" w:eastAsia="等线" w:cs="Times New Roman"/>
          <w:color w:val="000000"/>
          <w:szCs w:val="21"/>
        </w:rPr>
        <w:t xml:space="preserve">  </w:t>
      </w:r>
    </w:p>
    <w:tbl>
      <w:tblPr>
        <w:tblStyle w:val="10"/>
        <w:tblW w:w="0" w:type="auto"/>
        <w:tblInd w:w="128" w:type="dxa"/>
        <w:tblLayout w:type="autofit"/>
        <w:tblCellMar>
          <w:top w:w="0" w:type="dxa"/>
          <w:left w:w="0" w:type="dxa"/>
          <w:bottom w:w="0" w:type="dxa"/>
          <w:right w:w="0" w:type="dxa"/>
        </w:tblCellMar>
      </w:tblPr>
      <w:tblGrid>
        <w:gridCol w:w="8528"/>
      </w:tblGrid>
      <w:tr w14:paraId="3DA4CC31">
        <w:tblPrEx>
          <w:tblCellMar>
            <w:top w:w="0" w:type="dxa"/>
            <w:left w:w="0" w:type="dxa"/>
            <w:bottom w:w="0" w:type="dxa"/>
            <w:right w:w="0" w:type="dxa"/>
          </w:tblCellMar>
        </w:tblPrEx>
        <w:trPr>
          <w:trHeight w:val="2526" w:hRule="atLeast"/>
        </w:trPr>
        <w:tc>
          <w:tcPr>
            <w:tcW w:w="852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6BE8ACF">
            <w:pPr>
              <w:spacing w:line="420" w:lineRule="exact"/>
              <w:jc w:val="center"/>
              <w:rPr>
                <w:rFonts w:ascii="等线" w:hAnsi="等线" w:eastAsia="等线" w:cs="Times New Roman"/>
                <w:color w:val="000000"/>
                <w:szCs w:val="22"/>
              </w:rPr>
            </w:pPr>
            <w:r>
              <w:rPr>
                <w:rFonts w:hint="eastAsia" w:ascii="宋体" w:hAnsi="宋体" w:eastAsia="宋体" w:cs="宋体"/>
                <w:color w:val="000000"/>
                <w:sz w:val="24"/>
                <w:szCs w:val="24"/>
              </w:rPr>
              <w:t xml:space="preserve">法定代表人身份证复印件 </w:t>
            </w:r>
          </w:p>
        </w:tc>
      </w:tr>
    </w:tbl>
    <w:p w14:paraId="5F70E07C">
      <w:pPr>
        <w:spacing w:line="420" w:lineRule="exact"/>
        <w:rPr>
          <w:rFonts w:ascii="等线" w:hAnsi="等线" w:eastAsia="等线" w:cs="Times New Roman"/>
          <w:color w:val="000000"/>
          <w:szCs w:val="22"/>
        </w:rPr>
      </w:pPr>
      <w:r>
        <w:rPr>
          <w:rFonts w:ascii="等线" w:hAnsi="等线" w:eastAsia="等线" w:cs="Times New Roman"/>
          <w:color w:val="000000"/>
          <w:szCs w:val="21"/>
        </w:rPr>
        <w:t xml:space="preserve">  </w:t>
      </w:r>
    </w:p>
    <w:p w14:paraId="35BF35F5">
      <w:pPr>
        <w:spacing w:line="420" w:lineRule="exact"/>
        <w:rPr>
          <w:rFonts w:ascii="等线" w:hAnsi="等线" w:eastAsia="等线" w:cs="Times New Roman"/>
          <w:color w:val="000000"/>
          <w:szCs w:val="22"/>
        </w:rPr>
      </w:pPr>
      <w:r>
        <w:rPr>
          <w:rFonts w:ascii="等线" w:hAnsi="等线" w:eastAsia="等线" w:cs="Times New Roman"/>
          <w:color w:val="000000"/>
          <w:szCs w:val="21"/>
        </w:rPr>
        <w:t xml:space="preserve">  </w:t>
      </w:r>
    </w:p>
    <w:p w14:paraId="1153BDB6">
      <w:pPr>
        <w:adjustRightInd w:val="0"/>
        <w:snapToGrid w:val="0"/>
        <w:spacing w:line="420" w:lineRule="exact"/>
        <w:rPr>
          <w:rFonts w:ascii="宋体" w:hAnsi="宋体" w:eastAsia="等线" w:cs="宋体"/>
          <w:color w:val="000000"/>
          <w:szCs w:val="21"/>
        </w:rPr>
      </w:pPr>
    </w:p>
    <w:p w14:paraId="73330A96">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注：投标人代表为法定代表人（单位负责人）的提供。自然人投标的无需提供。</w:t>
      </w:r>
    </w:p>
    <w:p w14:paraId="266CF830">
      <w:pPr>
        <w:adjustRightInd w:val="0"/>
        <w:snapToGrid w:val="0"/>
        <w:spacing w:line="420" w:lineRule="exact"/>
        <w:rPr>
          <w:rFonts w:ascii="宋体" w:hAnsi="宋体" w:eastAsia="宋体" w:cs="宋体"/>
          <w:color w:val="000000"/>
          <w:sz w:val="24"/>
          <w:szCs w:val="24"/>
        </w:rPr>
      </w:pPr>
    </w:p>
    <w:p w14:paraId="19F936B3">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投标人名称（盖单位章）：</w:t>
      </w:r>
    </w:p>
    <w:p w14:paraId="29C54597">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日期：年月日</w:t>
      </w:r>
    </w:p>
    <w:p w14:paraId="7A3A2DC1">
      <w:pPr>
        <w:adjustRightInd w:val="0"/>
        <w:snapToGrid w:val="0"/>
        <w:spacing w:line="420" w:lineRule="exact"/>
        <w:rPr>
          <w:rFonts w:ascii="宋体" w:hAnsi="宋体" w:eastAsia="等线" w:cs="宋体"/>
          <w:color w:val="000000"/>
          <w:szCs w:val="21"/>
        </w:rPr>
      </w:pPr>
    </w:p>
    <w:p w14:paraId="26054F18">
      <w:pPr>
        <w:widowControl/>
        <w:spacing w:line="420" w:lineRule="exact"/>
        <w:jc w:val="left"/>
        <w:rPr>
          <w:rFonts w:ascii="宋体" w:hAnsi="宋体" w:eastAsia="等线" w:cs="宋体"/>
          <w:color w:val="000000"/>
          <w:szCs w:val="21"/>
        </w:rPr>
      </w:pPr>
      <w:r>
        <w:rPr>
          <w:rFonts w:hint="eastAsia" w:ascii="宋体" w:hAnsi="宋体" w:eastAsia="等线" w:cs="宋体"/>
          <w:color w:val="000000"/>
          <w:szCs w:val="21"/>
        </w:rPr>
        <w:br w:type="page"/>
      </w:r>
    </w:p>
    <w:p w14:paraId="7147F1B3">
      <w:pPr>
        <w:widowControl/>
        <w:adjustRightInd w:val="0"/>
        <w:snapToGrid w:val="0"/>
        <w:spacing w:before="156" w:beforeLines="50" w:line="420" w:lineRule="exact"/>
        <w:jc w:val="center"/>
        <w:rPr>
          <w:rFonts w:hint="eastAsia" w:ascii="黑体" w:hAnsi="仿宋" w:eastAsia="黑体" w:cs="宋体"/>
          <w:b/>
          <w:color w:val="000000"/>
          <w:sz w:val="28"/>
          <w:szCs w:val="28"/>
        </w:rPr>
      </w:pPr>
      <w:bookmarkStart w:id="76" w:name="_Toc13542"/>
      <w:bookmarkStart w:id="77" w:name="_Toc20384583"/>
      <w:bookmarkStart w:id="78" w:name="_Toc10431"/>
      <w:r>
        <w:rPr>
          <w:rFonts w:hint="eastAsia" w:ascii="黑体" w:hAnsi="仿宋" w:eastAsia="黑体" w:cs="宋体"/>
          <w:b/>
          <w:color w:val="000000"/>
          <w:sz w:val="28"/>
          <w:szCs w:val="28"/>
        </w:rPr>
        <w:t>授权委托书</w:t>
      </w:r>
      <w:bookmarkEnd w:id="76"/>
      <w:bookmarkEnd w:id="77"/>
      <w:bookmarkEnd w:id="78"/>
    </w:p>
    <w:p w14:paraId="1573B551">
      <w:pPr>
        <w:autoSpaceDE w:val="0"/>
        <w:autoSpaceDN w:val="0"/>
        <w:adjustRightInd w:val="0"/>
        <w:snapToGrid w:val="0"/>
        <w:spacing w:line="420" w:lineRule="exact"/>
        <w:ind w:firstLine="444" w:firstLineChars="200"/>
        <w:jc w:val="left"/>
        <w:rPr>
          <w:rFonts w:ascii="宋体" w:hAnsi="宋体" w:eastAsia="等线" w:cs="宋体"/>
          <w:b/>
          <w:color w:val="000000"/>
          <w:spacing w:val="6"/>
          <w:szCs w:val="21"/>
        </w:rPr>
      </w:pPr>
    </w:p>
    <w:p w14:paraId="4FEAB702">
      <w:pPr>
        <w:autoSpaceDE w:val="0"/>
        <w:autoSpaceDN w:val="0"/>
        <w:adjustRightInd w:val="0"/>
        <w:snapToGrid w:val="0"/>
        <w:spacing w:line="420" w:lineRule="exact"/>
        <w:ind w:firstLine="480" w:firstLineChars="200"/>
        <w:jc w:val="left"/>
        <w:rPr>
          <w:rFonts w:ascii="宋体" w:hAnsi="宋体" w:eastAsia="宋体" w:cs="宋体"/>
          <w:color w:val="000000"/>
          <w:kern w:val="0"/>
          <w:sz w:val="24"/>
          <w:szCs w:val="24"/>
        </w:rPr>
      </w:pPr>
    </w:p>
    <w:p w14:paraId="147154A5">
      <w:pPr>
        <w:autoSpaceDE w:val="0"/>
        <w:autoSpaceDN w:val="0"/>
        <w:adjustRightInd w:val="0"/>
        <w:snapToGrid w:val="0"/>
        <w:spacing w:line="42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本人</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（姓名、职务）系</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w:t>
      </w:r>
      <w:r>
        <w:rPr>
          <w:rFonts w:hint="eastAsia" w:ascii="宋体" w:hAnsi="宋体" w:eastAsia="宋体" w:cs="宋体"/>
          <w:color w:val="000000"/>
          <w:sz w:val="24"/>
          <w:szCs w:val="24"/>
        </w:rPr>
        <w:t>投标人</w:t>
      </w:r>
      <w:r>
        <w:rPr>
          <w:rFonts w:hint="eastAsia" w:ascii="宋体" w:hAnsi="宋体" w:eastAsia="宋体" w:cs="宋体"/>
          <w:color w:val="000000"/>
          <w:kern w:val="0"/>
          <w:sz w:val="24"/>
          <w:szCs w:val="24"/>
        </w:rPr>
        <w:t>名称）的法定代表人（</w:t>
      </w:r>
      <w:r>
        <w:rPr>
          <w:rFonts w:hint="eastAsia" w:ascii="宋体" w:hAnsi="宋体" w:eastAsia="宋体" w:cs="宋体"/>
          <w:color w:val="000000"/>
          <w:spacing w:val="-2"/>
          <w:kern w:val="0"/>
          <w:sz w:val="24"/>
          <w:szCs w:val="24"/>
        </w:rPr>
        <w:t>单</w:t>
      </w:r>
      <w:r>
        <w:rPr>
          <w:rFonts w:hint="eastAsia" w:ascii="宋体" w:hAnsi="宋体" w:eastAsia="宋体" w:cs="宋体"/>
          <w:color w:val="000000"/>
          <w:kern w:val="0"/>
          <w:sz w:val="24"/>
          <w:szCs w:val="24"/>
        </w:rPr>
        <w:t>位</w:t>
      </w:r>
      <w:r>
        <w:rPr>
          <w:rFonts w:hint="eastAsia" w:ascii="宋体" w:hAnsi="宋体" w:eastAsia="宋体" w:cs="宋体"/>
          <w:color w:val="000000"/>
          <w:spacing w:val="-2"/>
          <w:kern w:val="0"/>
          <w:sz w:val="24"/>
          <w:szCs w:val="24"/>
        </w:rPr>
        <w:t>负</w:t>
      </w:r>
      <w:r>
        <w:rPr>
          <w:rFonts w:hint="eastAsia" w:ascii="宋体" w:hAnsi="宋体" w:eastAsia="宋体" w:cs="宋体"/>
          <w:color w:val="000000"/>
          <w:kern w:val="0"/>
          <w:sz w:val="24"/>
          <w:szCs w:val="24"/>
        </w:rPr>
        <w:t>责人</w:t>
      </w:r>
      <w:r>
        <w:rPr>
          <w:rFonts w:hint="eastAsia" w:ascii="宋体" w:hAnsi="宋体" w:eastAsia="宋体" w:cs="宋体"/>
          <w:color w:val="000000"/>
          <w:spacing w:val="-2"/>
          <w:kern w:val="0"/>
          <w:sz w:val="24"/>
          <w:szCs w:val="24"/>
        </w:rPr>
        <w:t>）</w:t>
      </w:r>
      <w:r>
        <w:rPr>
          <w:rFonts w:hint="eastAsia" w:ascii="宋体" w:hAnsi="宋体" w:eastAsia="宋体" w:cs="宋体"/>
          <w:color w:val="000000"/>
          <w:kern w:val="0"/>
          <w:sz w:val="24"/>
          <w:szCs w:val="24"/>
        </w:rPr>
        <w:t>，现授权</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（姓名、职务）为我方代理人。代理人根据授权，以我方名义签署、澄清、说明、补正、递交、撤回、修改</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（项目名称）（</w:t>
      </w:r>
      <w:r>
        <w:rPr>
          <w:rFonts w:hint="eastAsia" w:ascii="宋体" w:hAnsi="宋体" w:eastAsia="宋体" w:cs="宋体"/>
          <w:iCs/>
          <w:color w:val="000000"/>
          <w:sz w:val="24"/>
          <w:szCs w:val="24"/>
          <w:lang w:eastAsia="zh-CN"/>
        </w:rPr>
        <w:t>政府采购计划编号</w:t>
      </w:r>
      <w:r>
        <w:rPr>
          <w:rFonts w:hint="eastAsia" w:ascii="宋体" w:hAnsi="宋体" w:eastAsia="宋体" w:cs="宋体"/>
          <w:iCs/>
          <w:color w:val="000000"/>
          <w:sz w:val="24"/>
          <w:szCs w:val="24"/>
        </w:rPr>
        <w:t>：</w:t>
      </w:r>
      <w:r>
        <w:rPr>
          <w:rFonts w:hint="eastAsia" w:ascii="宋体" w:hAnsi="宋体" w:eastAsia="宋体" w:cs="宋体"/>
          <w:iCs/>
          <w:color w:val="000000"/>
          <w:sz w:val="24"/>
          <w:szCs w:val="24"/>
          <w:u w:val="single"/>
        </w:rPr>
        <w:t xml:space="preserve">       </w:t>
      </w:r>
      <w:r>
        <w:rPr>
          <w:rFonts w:hint="eastAsia" w:ascii="宋体" w:hAnsi="宋体" w:eastAsia="宋体" w:cs="宋体"/>
          <w:iCs/>
          <w:color w:val="000000"/>
          <w:sz w:val="24"/>
          <w:szCs w:val="24"/>
        </w:rPr>
        <w:t>，</w:t>
      </w:r>
      <w:r>
        <w:rPr>
          <w:rFonts w:hint="eastAsia" w:ascii="宋体" w:hAnsi="宋体" w:eastAsia="宋体" w:cs="宋体"/>
          <w:color w:val="000000"/>
          <w:kern w:val="0"/>
          <w:sz w:val="24"/>
          <w:szCs w:val="24"/>
          <w:lang w:eastAsia="zh-CN"/>
        </w:rPr>
        <w:t>委托代理编号</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）投标文件、签订合同和处理有关事宜，其法律后果由我方承担。</w:t>
      </w:r>
    </w:p>
    <w:p w14:paraId="1B13292F">
      <w:pPr>
        <w:autoSpaceDE w:val="0"/>
        <w:autoSpaceDN w:val="0"/>
        <w:adjustRightInd w:val="0"/>
        <w:snapToGrid w:val="0"/>
        <w:spacing w:line="42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委托期限：</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w:t>
      </w:r>
    </w:p>
    <w:p w14:paraId="5EE38F39">
      <w:pPr>
        <w:adjustRightInd w:val="0"/>
        <w:snapToGrid w:val="0"/>
        <w:spacing w:line="420" w:lineRule="exact"/>
        <w:ind w:firstLine="435"/>
        <w:rPr>
          <w:rFonts w:ascii="宋体" w:hAnsi="宋体" w:eastAsia="宋体" w:cs="宋体"/>
          <w:color w:val="000000"/>
          <w:kern w:val="0"/>
          <w:sz w:val="24"/>
          <w:szCs w:val="24"/>
        </w:rPr>
      </w:pPr>
      <w:r>
        <w:rPr>
          <w:rFonts w:hint="eastAsia" w:ascii="宋体" w:hAnsi="宋体" w:eastAsia="宋体" w:cs="宋体"/>
          <w:color w:val="000000"/>
          <w:kern w:val="0"/>
          <w:sz w:val="24"/>
          <w:szCs w:val="24"/>
        </w:rPr>
        <w:t>代理人无转委托权。</w:t>
      </w:r>
    </w:p>
    <w:p w14:paraId="0136B2A2">
      <w:pPr>
        <w:adjustRightInd w:val="0"/>
        <w:snapToGrid w:val="0"/>
        <w:spacing w:line="420" w:lineRule="exact"/>
        <w:ind w:firstLine="435"/>
        <w:rPr>
          <w:rFonts w:ascii="宋体" w:hAnsi="宋体" w:eastAsia="宋体" w:cs="宋体"/>
          <w:color w:val="000000"/>
          <w:sz w:val="24"/>
          <w:szCs w:val="24"/>
        </w:rPr>
      </w:pPr>
      <w:r>
        <w:rPr>
          <w:rFonts w:hint="eastAsia" w:ascii="宋体" w:hAnsi="宋体" w:eastAsia="宋体" w:cs="宋体"/>
          <w:color w:val="000000"/>
          <w:sz w:val="24"/>
          <w:szCs w:val="24"/>
        </w:rPr>
        <w:t>本授权书于年月日签字生效，特此声明。</w:t>
      </w:r>
    </w:p>
    <w:p w14:paraId="010B49D5">
      <w:pPr>
        <w:widowControl w:val="0"/>
        <w:ind w:firstLine="480" w:firstLineChars="200"/>
        <w:jc w:val="both"/>
        <w:rPr>
          <w:rFonts w:ascii="Calibri" w:hAnsi="Calibri" w:eastAsia="宋体" w:cs="Times New Roman"/>
          <w:color w:val="000000"/>
          <w:kern w:val="2"/>
          <w:sz w:val="24"/>
          <w:szCs w:val="22"/>
          <w:lang w:val="en-US" w:eastAsia="zh-CN" w:bidi="ar-SA"/>
        </w:rPr>
      </w:pPr>
    </w:p>
    <w:tbl>
      <w:tblPr>
        <w:tblStyle w:val="10"/>
        <w:tblW w:w="8879" w:type="dxa"/>
        <w:tblInd w:w="675" w:type="dxa"/>
        <w:tblLayout w:type="fixed"/>
        <w:tblCellMar>
          <w:top w:w="0" w:type="dxa"/>
          <w:left w:w="108" w:type="dxa"/>
          <w:bottom w:w="0" w:type="dxa"/>
          <w:right w:w="108" w:type="dxa"/>
        </w:tblCellMar>
      </w:tblPr>
      <w:tblGrid>
        <w:gridCol w:w="4439"/>
        <w:gridCol w:w="4440"/>
      </w:tblGrid>
      <w:tr w14:paraId="7148AEA0">
        <w:tblPrEx>
          <w:tblCellMar>
            <w:top w:w="0" w:type="dxa"/>
            <w:left w:w="108" w:type="dxa"/>
            <w:bottom w:w="0" w:type="dxa"/>
            <w:right w:w="108" w:type="dxa"/>
          </w:tblCellMar>
        </w:tblPrEx>
        <w:trPr>
          <w:trHeight w:val="2315" w:hRule="atLeast"/>
        </w:trPr>
        <w:tc>
          <w:tcPr>
            <w:tcW w:w="4439" w:type="dxa"/>
            <w:vAlign w:val="center"/>
          </w:tcPr>
          <w:p w14:paraId="1A72C40B">
            <w:pPr>
              <w:adjustRightInd w:val="0"/>
              <w:snapToGrid w:val="0"/>
              <w:spacing w:line="42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身份证（正面）</w:t>
            </w:r>
            <w:r>
              <w:rPr>
                <w:rFonts w:hint="eastAsia" w:ascii="宋体" w:hAnsi="宋体" w:eastAsia="宋体" w:cs="宋体"/>
                <w:color w:val="000000"/>
                <w:spacing w:val="-2"/>
                <w:kern w:val="0"/>
                <w:sz w:val="24"/>
                <w:szCs w:val="24"/>
              </w:rPr>
              <w:t>复</w:t>
            </w:r>
            <w:r>
              <w:rPr>
                <w:rFonts w:hint="eastAsia" w:ascii="宋体" w:hAnsi="宋体" w:eastAsia="宋体" w:cs="宋体"/>
                <w:color w:val="000000"/>
                <w:kern w:val="0"/>
                <w:sz w:val="24"/>
                <w:szCs w:val="24"/>
              </w:rPr>
              <w:t>印</w:t>
            </w:r>
            <w:r>
              <w:rPr>
                <w:rFonts w:hint="eastAsia" w:ascii="宋体" w:hAnsi="宋体" w:eastAsia="宋体" w:cs="宋体"/>
                <w:color w:val="000000"/>
                <w:spacing w:val="-2"/>
                <w:kern w:val="0"/>
                <w:sz w:val="24"/>
                <w:szCs w:val="24"/>
              </w:rPr>
              <w:t>件</w:t>
            </w:r>
          </w:p>
        </w:tc>
        <w:tc>
          <w:tcPr>
            <w:tcW w:w="4440" w:type="dxa"/>
            <w:vAlign w:val="center"/>
          </w:tcPr>
          <w:p w14:paraId="4F8E70D5">
            <w:pPr>
              <w:adjustRightInd w:val="0"/>
              <w:snapToGrid w:val="0"/>
              <w:spacing w:line="42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身份证（反面）</w:t>
            </w:r>
            <w:r>
              <w:rPr>
                <w:rFonts w:hint="eastAsia" w:ascii="宋体" w:hAnsi="宋体" w:eastAsia="宋体" w:cs="宋体"/>
                <w:color w:val="000000"/>
                <w:spacing w:val="-2"/>
                <w:kern w:val="0"/>
                <w:sz w:val="24"/>
                <w:szCs w:val="24"/>
              </w:rPr>
              <w:t>复</w:t>
            </w:r>
            <w:r>
              <w:rPr>
                <w:rFonts w:hint="eastAsia" w:ascii="宋体" w:hAnsi="宋体" w:eastAsia="宋体" w:cs="宋体"/>
                <w:color w:val="000000"/>
                <w:kern w:val="0"/>
                <w:sz w:val="24"/>
                <w:szCs w:val="24"/>
              </w:rPr>
              <w:t>印</w:t>
            </w:r>
            <w:r>
              <w:rPr>
                <w:rFonts w:hint="eastAsia" w:ascii="宋体" w:hAnsi="宋体" w:eastAsia="宋体" w:cs="宋体"/>
                <w:color w:val="000000"/>
                <w:spacing w:val="-2"/>
                <w:kern w:val="0"/>
                <w:sz w:val="24"/>
                <w:szCs w:val="24"/>
              </w:rPr>
              <w:t>件</w:t>
            </w:r>
          </w:p>
        </w:tc>
      </w:tr>
    </w:tbl>
    <w:p w14:paraId="05B61FE8">
      <w:pPr>
        <w:adjustRightInd w:val="0"/>
        <w:snapToGrid w:val="0"/>
        <w:spacing w:line="420" w:lineRule="exact"/>
        <w:ind w:firstLine="480" w:firstLineChars="200"/>
        <w:rPr>
          <w:rFonts w:ascii="宋体" w:hAnsi="宋体" w:eastAsia="宋体" w:cs="宋体"/>
          <w:color w:val="000000"/>
          <w:sz w:val="24"/>
          <w:szCs w:val="24"/>
        </w:rPr>
      </w:pPr>
    </w:p>
    <w:p w14:paraId="717BC5AA">
      <w:pPr>
        <w:adjustRightInd w:val="0"/>
        <w:snapToGrid w:val="0"/>
        <w:spacing w:line="420" w:lineRule="exact"/>
        <w:ind w:firstLine="480" w:firstLineChars="200"/>
        <w:rPr>
          <w:rFonts w:ascii="宋体" w:hAnsi="宋体" w:eastAsia="宋体" w:cs="宋体"/>
          <w:color w:val="000000"/>
          <w:sz w:val="24"/>
          <w:szCs w:val="24"/>
        </w:rPr>
      </w:pPr>
    </w:p>
    <w:p w14:paraId="55FA64BC">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注：投标人代表不是投标人的法定代表人（单位负责人）的提供。自然人投标的无需提供。</w:t>
      </w:r>
    </w:p>
    <w:p w14:paraId="3CB451DE">
      <w:pPr>
        <w:adjustRightInd w:val="0"/>
        <w:snapToGrid w:val="0"/>
        <w:spacing w:line="420" w:lineRule="exact"/>
        <w:ind w:firstLine="480" w:firstLineChars="200"/>
        <w:rPr>
          <w:rFonts w:ascii="宋体" w:hAnsi="宋体" w:eastAsia="宋体" w:cs="宋体"/>
          <w:color w:val="000000"/>
          <w:sz w:val="24"/>
          <w:szCs w:val="24"/>
        </w:rPr>
      </w:pPr>
    </w:p>
    <w:p w14:paraId="16C6F4FB">
      <w:pPr>
        <w:adjustRightInd w:val="0"/>
        <w:snapToGrid w:val="0"/>
        <w:spacing w:line="420" w:lineRule="exact"/>
        <w:ind w:firstLine="480" w:firstLineChars="200"/>
        <w:rPr>
          <w:rFonts w:ascii="宋体" w:hAnsi="宋体" w:eastAsia="宋体" w:cs="宋体"/>
          <w:color w:val="000000"/>
          <w:sz w:val="24"/>
          <w:szCs w:val="24"/>
        </w:rPr>
      </w:pPr>
    </w:p>
    <w:p w14:paraId="352FF461">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投标人名称（盖单位章）：</w:t>
      </w:r>
    </w:p>
    <w:p w14:paraId="46DDF590">
      <w:pPr>
        <w:adjustRightInd w:val="0"/>
        <w:snapToGrid w:val="0"/>
        <w:spacing w:line="420" w:lineRule="exact"/>
        <w:ind w:right="420"/>
        <w:rPr>
          <w:rFonts w:ascii="宋体" w:hAnsi="宋体" w:eastAsia="宋体" w:cs="宋体"/>
          <w:color w:val="000000"/>
          <w:sz w:val="24"/>
          <w:szCs w:val="24"/>
        </w:rPr>
      </w:pPr>
      <w:r>
        <w:rPr>
          <w:rFonts w:hint="eastAsia" w:ascii="宋体" w:hAnsi="宋体" w:eastAsia="宋体" w:cs="宋体"/>
          <w:color w:val="000000"/>
          <w:spacing w:val="-2"/>
          <w:kern w:val="0"/>
          <w:sz w:val="24"/>
          <w:szCs w:val="24"/>
        </w:rPr>
        <w:t>法</w:t>
      </w:r>
      <w:r>
        <w:rPr>
          <w:rFonts w:hint="eastAsia" w:ascii="宋体" w:hAnsi="宋体" w:eastAsia="宋体" w:cs="宋体"/>
          <w:color w:val="000000"/>
          <w:kern w:val="0"/>
          <w:sz w:val="24"/>
          <w:szCs w:val="24"/>
        </w:rPr>
        <w:t>定</w:t>
      </w:r>
      <w:r>
        <w:rPr>
          <w:rFonts w:hint="eastAsia" w:ascii="宋体" w:hAnsi="宋体" w:eastAsia="宋体" w:cs="宋体"/>
          <w:color w:val="000000"/>
          <w:spacing w:val="-2"/>
          <w:kern w:val="0"/>
          <w:sz w:val="24"/>
          <w:szCs w:val="24"/>
        </w:rPr>
        <w:t>代</w:t>
      </w:r>
      <w:r>
        <w:rPr>
          <w:rFonts w:hint="eastAsia" w:ascii="宋体" w:hAnsi="宋体" w:eastAsia="宋体" w:cs="宋体"/>
          <w:color w:val="000000"/>
          <w:kern w:val="0"/>
          <w:sz w:val="24"/>
          <w:szCs w:val="24"/>
        </w:rPr>
        <w:t>表</w:t>
      </w:r>
      <w:r>
        <w:rPr>
          <w:rFonts w:hint="eastAsia" w:ascii="宋体" w:hAnsi="宋体" w:eastAsia="宋体" w:cs="宋体"/>
          <w:color w:val="000000"/>
          <w:spacing w:val="-2"/>
          <w:kern w:val="0"/>
          <w:sz w:val="24"/>
          <w:szCs w:val="24"/>
        </w:rPr>
        <w:t>人</w:t>
      </w:r>
      <w:r>
        <w:rPr>
          <w:rFonts w:hint="eastAsia" w:ascii="宋体" w:hAnsi="宋体" w:eastAsia="宋体" w:cs="宋体"/>
          <w:color w:val="000000"/>
          <w:kern w:val="0"/>
          <w:sz w:val="24"/>
          <w:szCs w:val="24"/>
        </w:rPr>
        <w:t>（</w:t>
      </w:r>
      <w:r>
        <w:rPr>
          <w:rFonts w:hint="eastAsia" w:ascii="宋体" w:hAnsi="宋体" w:eastAsia="宋体" w:cs="宋体"/>
          <w:color w:val="000000"/>
          <w:spacing w:val="-2"/>
          <w:kern w:val="0"/>
          <w:sz w:val="24"/>
          <w:szCs w:val="24"/>
        </w:rPr>
        <w:t>单</w:t>
      </w:r>
      <w:r>
        <w:rPr>
          <w:rFonts w:hint="eastAsia" w:ascii="宋体" w:hAnsi="宋体" w:eastAsia="宋体" w:cs="宋体"/>
          <w:color w:val="000000"/>
          <w:kern w:val="0"/>
          <w:sz w:val="24"/>
          <w:szCs w:val="24"/>
        </w:rPr>
        <w:t>位</w:t>
      </w:r>
      <w:r>
        <w:rPr>
          <w:rFonts w:hint="eastAsia" w:ascii="宋体" w:hAnsi="宋体" w:eastAsia="宋体" w:cs="宋体"/>
          <w:color w:val="000000"/>
          <w:spacing w:val="-2"/>
          <w:kern w:val="0"/>
          <w:sz w:val="24"/>
          <w:szCs w:val="24"/>
        </w:rPr>
        <w:t>负</w:t>
      </w:r>
      <w:r>
        <w:rPr>
          <w:rFonts w:hint="eastAsia" w:ascii="宋体" w:hAnsi="宋体" w:eastAsia="宋体" w:cs="宋体"/>
          <w:color w:val="000000"/>
          <w:kern w:val="0"/>
          <w:sz w:val="24"/>
          <w:szCs w:val="24"/>
        </w:rPr>
        <w:t>责人</w:t>
      </w:r>
      <w:r>
        <w:rPr>
          <w:rFonts w:hint="eastAsia" w:ascii="宋体" w:hAnsi="宋体" w:eastAsia="宋体" w:cs="宋体"/>
          <w:color w:val="000000"/>
          <w:spacing w:val="-2"/>
          <w:kern w:val="0"/>
          <w:sz w:val="24"/>
          <w:szCs w:val="24"/>
        </w:rPr>
        <w:t>）</w:t>
      </w:r>
      <w:r>
        <w:rPr>
          <w:rFonts w:hint="eastAsia" w:ascii="宋体" w:hAnsi="宋体" w:eastAsia="宋体" w:cs="宋体"/>
          <w:color w:val="000000"/>
          <w:sz w:val="24"/>
          <w:szCs w:val="24"/>
        </w:rPr>
        <w:t>（签字或印章）：</w:t>
      </w:r>
    </w:p>
    <w:p w14:paraId="4D23D194">
      <w:pPr>
        <w:adjustRightInd w:val="0"/>
        <w:snapToGrid w:val="0"/>
        <w:spacing w:line="420" w:lineRule="exact"/>
        <w:ind w:right="420"/>
        <w:rPr>
          <w:rFonts w:ascii="宋体" w:hAnsi="宋体" w:eastAsia="宋体" w:cs="宋体"/>
          <w:color w:val="000000"/>
          <w:sz w:val="24"/>
          <w:szCs w:val="24"/>
        </w:rPr>
      </w:pPr>
      <w:r>
        <w:rPr>
          <w:rFonts w:hint="eastAsia" w:ascii="宋体" w:hAnsi="宋体" w:eastAsia="宋体" w:cs="宋体"/>
          <w:color w:val="000000"/>
          <w:sz w:val="24"/>
          <w:szCs w:val="24"/>
        </w:rPr>
        <w:t>委托代理人（签字或印章）：</w:t>
      </w:r>
    </w:p>
    <w:p w14:paraId="37288F16">
      <w:pPr>
        <w:adjustRightInd w:val="0"/>
        <w:snapToGrid w:val="0"/>
        <w:spacing w:line="420" w:lineRule="exact"/>
        <w:ind w:right="420"/>
        <w:rPr>
          <w:rFonts w:ascii="宋体" w:hAnsi="宋体" w:eastAsia="宋体" w:cs="宋体"/>
          <w:color w:val="000000"/>
          <w:sz w:val="24"/>
          <w:szCs w:val="24"/>
        </w:rPr>
      </w:pPr>
      <w:r>
        <w:rPr>
          <w:rFonts w:hint="eastAsia" w:ascii="宋体" w:hAnsi="宋体" w:eastAsia="宋体" w:cs="宋体"/>
          <w:color w:val="000000"/>
          <w:sz w:val="24"/>
          <w:szCs w:val="24"/>
        </w:rPr>
        <w:t>日期：   年   月    日</w:t>
      </w:r>
    </w:p>
    <w:p w14:paraId="0412E7A2">
      <w:pPr>
        <w:widowControl w:val="0"/>
        <w:spacing w:after="120" w:line="420" w:lineRule="exact"/>
        <w:ind w:firstLine="210" w:firstLineChars="100"/>
        <w:jc w:val="both"/>
        <w:rPr>
          <w:rFonts w:ascii="宋体" w:hAnsi="宋体" w:eastAsia="宋体" w:cs="宋体"/>
          <w:color w:val="000000"/>
          <w:kern w:val="2"/>
          <w:sz w:val="21"/>
          <w:szCs w:val="21"/>
          <w:lang w:val="en-US" w:eastAsia="zh-CN" w:bidi="ar-SA"/>
        </w:rPr>
      </w:pPr>
    </w:p>
    <w:p w14:paraId="782682E4">
      <w:pPr>
        <w:spacing w:line="420" w:lineRule="exact"/>
        <w:rPr>
          <w:rFonts w:ascii="宋体" w:hAnsi="宋体" w:eastAsia="等线" w:cs="宋体"/>
          <w:color w:val="000000"/>
          <w:szCs w:val="21"/>
        </w:rPr>
      </w:pPr>
    </w:p>
    <w:p w14:paraId="592442B1">
      <w:pPr>
        <w:widowControl w:val="0"/>
        <w:bidi w:val="0"/>
        <w:adjustRightInd w:val="0"/>
        <w:snapToGrid w:val="0"/>
        <w:spacing w:before="100" w:beforeLines="100" w:line="440" w:lineRule="exact"/>
        <w:jc w:val="both"/>
        <w:rPr>
          <w:rFonts w:ascii="Times New Roman" w:hAnsi="Times New Roman" w:eastAsia="宋体" w:cs="Times New Roman"/>
          <w:color w:val="000000"/>
          <w:kern w:val="2"/>
          <w:sz w:val="24"/>
          <w:szCs w:val="22"/>
          <w:lang w:val="en-US" w:eastAsia="zh-CN" w:bidi="ar-SA"/>
        </w:rPr>
      </w:pPr>
    </w:p>
    <w:p w14:paraId="60C3CF12">
      <w:pPr>
        <w:pStyle w:val="4"/>
        <w:bidi w:val="0"/>
        <w:jc w:val="center"/>
        <w:rPr>
          <w:lang w:val="en-US" w:eastAsia="zh-CN"/>
        </w:rPr>
      </w:pPr>
      <w:bookmarkStart w:id="79" w:name="_Toc15211"/>
      <w:bookmarkStart w:id="80" w:name="_Toc27485"/>
      <w:r>
        <w:rPr>
          <w:rFonts w:hint="eastAsia"/>
          <w:lang w:val="en-US" w:eastAsia="zh-CN"/>
        </w:rPr>
        <w:t>三、投标人提供的资格证明文件</w:t>
      </w:r>
      <w:bookmarkEnd w:id="79"/>
      <w:bookmarkEnd w:id="80"/>
      <w:bookmarkStart w:id="81" w:name="_Toc294186060"/>
      <w:bookmarkStart w:id="82" w:name="_Toc294206743"/>
    </w:p>
    <w:p w14:paraId="4DDA6E06">
      <w:pPr>
        <w:widowControl w:val="0"/>
        <w:adjustRightInd w:val="0"/>
        <w:snapToGrid w:val="0"/>
        <w:spacing w:line="420" w:lineRule="exact"/>
        <w:jc w:val="center"/>
        <w:rPr>
          <w:rFonts w:ascii="宋体" w:hAnsi="宋体" w:eastAsia="等线" w:cs="Times New Roman"/>
          <w:b/>
          <w:bCs/>
          <w:color w:val="000000"/>
          <w:kern w:val="2"/>
          <w:sz w:val="24"/>
          <w:szCs w:val="24"/>
          <w:lang w:val="en-US" w:eastAsia="zh-CN" w:bidi="ar-SA"/>
        </w:rPr>
      </w:pPr>
    </w:p>
    <w:p w14:paraId="6A4D71FE">
      <w:pPr>
        <w:widowControl w:val="0"/>
        <w:adjustRightInd w:val="0"/>
        <w:snapToGrid w:val="0"/>
        <w:spacing w:line="420" w:lineRule="exact"/>
        <w:jc w:val="center"/>
        <w:rPr>
          <w:rFonts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须  知</w:t>
      </w:r>
    </w:p>
    <w:p w14:paraId="78395D59">
      <w:pPr>
        <w:tabs>
          <w:tab w:val="left" w:pos="4725"/>
        </w:tabs>
        <w:adjustRightInd w:val="0"/>
        <w:snapToGrid w:val="0"/>
        <w:spacing w:before="156" w:beforeLines="50" w:line="420" w:lineRule="exact"/>
        <w:ind w:firstLine="482" w:firstLineChars="200"/>
        <w:rPr>
          <w:rFonts w:ascii="宋体" w:hAnsi="宋体" w:eastAsia="宋体" w:cs="宋体"/>
          <w:b/>
          <w:bCs/>
          <w:color w:val="000000"/>
          <w:sz w:val="24"/>
          <w:szCs w:val="24"/>
        </w:rPr>
      </w:pPr>
      <w:r>
        <w:rPr>
          <w:rFonts w:hint="eastAsia" w:ascii="宋体" w:hAnsi="宋体" w:eastAsia="宋体" w:cs="宋体"/>
          <w:b/>
          <w:color w:val="000000"/>
          <w:sz w:val="24"/>
          <w:szCs w:val="24"/>
        </w:rPr>
        <w:t>1、投标人</w:t>
      </w:r>
      <w:r>
        <w:rPr>
          <w:rFonts w:hint="eastAsia" w:ascii="宋体" w:hAnsi="宋体" w:eastAsia="宋体" w:cs="宋体"/>
          <w:b/>
          <w:bCs/>
          <w:color w:val="000000"/>
          <w:sz w:val="24"/>
          <w:szCs w:val="24"/>
        </w:rPr>
        <w:t>应按第二章第13.1要求提供下列的证明材料</w:t>
      </w:r>
    </w:p>
    <w:p w14:paraId="19CD06BC">
      <w:pPr>
        <w:tabs>
          <w:tab w:val="left" w:pos="4725"/>
        </w:tabs>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附件3-1投标人资格声明(格式)</w:t>
      </w:r>
    </w:p>
    <w:p w14:paraId="43DCCE7D">
      <w:pPr>
        <w:tabs>
          <w:tab w:val="left" w:pos="4725"/>
        </w:tabs>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附件3-2 法人或者其他组织的营业执照等主体资格证明文件，自然人的身份证明</w:t>
      </w:r>
    </w:p>
    <w:p w14:paraId="206E94EF">
      <w:pPr>
        <w:tabs>
          <w:tab w:val="left" w:pos="4725"/>
        </w:tabs>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附件3-3 符合特定资格条件证明材料复印件或者情况说明</w:t>
      </w:r>
    </w:p>
    <w:p w14:paraId="6DC8EB3D">
      <w:pPr>
        <w:tabs>
          <w:tab w:val="left" w:pos="4725"/>
        </w:tabs>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附件3-4 湖南省政府采购供应商资格承诺函</w:t>
      </w:r>
    </w:p>
    <w:p w14:paraId="35DB592E">
      <w:pPr>
        <w:tabs>
          <w:tab w:val="left" w:pos="4725"/>
        </w:tabs>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附件3-5参加政府采购活动前3年内在经营活动中没有重大违法记录的书面声明</w:t>
      </w:r>
    </w:p>
    <w:p w14:paraId="36FACA3C">
      <w:pPr>
        <w:tabs>
          <w:tab w:val="left" w:pos="4725"/>
        </w:tabs>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附件3-6 存在关联关系的供应商不参与政府采购项目竞争的承诺书</w:t>
      </w:r>
    </w:p>
    <w:p w14:paraId="3F8AF90E">
      <w:pPr>
        <w:tabs>
          <w:tab w:val="left" w:pos="4725"/>
        </w:tabs>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附件3-7无重大违法记录声明函、无不良信用记录声明函</w:t>
      </w:r>
    </w:p>
    <w:p w14:paraId="383BC2C7">
      <w:pPr>
        <w:widowControl w:val="0"/>
        <w:spacing w:line="420" w:lineRule="exact"/>
        <w:ind w:firstLine="0" w:firstLineChars="0"/>
        <w:jc w:val="both"/>
        <w:rPr>
          <w:rFonts w:ascii="宋体" w:hAnsi="宋体" w:eastAsia="宋体" w:cs="宋体"/>
          <w:color w:val="000000"/>
          <w:kern w:val="2"/>
          <w:sz w:val="24"/>
          <w:szCs w:val="24"/>
          <w:lang w:val="en-US" w:eastAsia="zh-CN" w:bidi="ar-SA"/>
        </w:rPr>
      </w:pPr>
    </w:p>
    <w:p w14:paraId="3227F907">
      <w:pPr>
        <w:widowControl w:val="0"/>
        <w:adjustRightInd w:val="0"/>
        <w:snapToGrid w:val="0"/>
        <w:spacing w:before="312" w:beforeLines="100" w:line="440" w:lineRule="exact"/>
        <w:ind w:firstLine="482" w:firstLineChars="200"/>
        <w:jc w:val="both"/>
        <w:rPr>
          <w:rFonts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2、投标人以联合体形式投标的，除应提交联合协议外，参加联合体的各方均应提交上款资格证明材料。</w:t>
      </w:r>
    </w:p>
    <w:p w14:paraId="50CE0125">
      <w:pPr>
        <w:widowControl w:val="0"/>
        <w:adjustRightInd w:val="0"/>
        <w:snapToGrid w:val="0"/>
        <w:spacing w:before="312" w:beforeLines="100" w:line="440" w:lineRule="exact"/>
        <w:ind w:firstLine="480" w:firstLineChars="200"/>
        <w:jc w:val="both"/>
        <w:rPr>
          <w:rFonts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附件3-8 联合体协议书（格式）（联合体形式投标的提供）</w:t>
      </w:r>
    </w:p>
    <w:p w14:paraId="5A446163">
      <w:pPr>
        <w:widowControl/>
        <w:adjustRightInd w:val="0"/>
        <w:snapToGrid w:val="0"/>
        <w:spacing w:line="420" w:lineRule="exact"/>
        <w:jc w:val="left"/>
        <w:rPr>
          <w:rFonts w:ascii="黑体" w:hAnsi="仿宋" w:eastAsia="黑体" w:cs="宋体"/>
          <w:color w:val="000000"/>
          <w:szCs w:val="21"/>
        </w:rPr>
      </w:pPr>
    </w:p>
    <w:p w14:paraId="58F52EC1">
      <w:pPr>
        <w:widowControl w:val="0"/>
        <w:bidi w:val="0"/>
        <w:adjustRightInd w:val="0"/>
        <w:snapToGrid w:val="0"/>
        <w:spacing w:before="100"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bookmarkStart w:id="83" w:name="_Toc7453"/>
    </w:p>
    <w:p w14:paraId="6E0374DC">
      <w:pPr>
        <w:widowControl w:val="0"/>
        <w:bidi w:val="0"/>
        <w:adjustRightInd w:val="0"/>
        <w:snapToGrid w:val="0"/>
        <w:spacing w:before="100"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p>
    <w:p w14:paraId="53CC2114">
      <w:pPr>
        <w:widowControl w:val="0"/>
        <w:bidi w:val="0"/>
        <w:adjustRightInd w:val="0"/>
        <w:snapToGrid w:val="0"/>
        <w:spacing w:before="100"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p>
    <w:p w14:paraId="156EF3DC">
      <w:pPr>
        <w:widowControl w:val="0"/>
        <w:ind w:firstLine="480" w:firstLineChars="200"/>
        <w:jc w:val="both"/>
        <w:rPr>
          <w:rFonts w:ascii="Calibri" w:hAnsi="Calibri" w:eastAsia="宋体" w:cs="Times New Roman"/>
          <w:color w:val="000000"/>
          <w:kern w:val="2"/>
          <w:sz w:val="24"/>
          <w:szCs w:val="22"/>
          <w:lang w:val="en-US" w:eastAsia="zh-CN" w:bidi="ar-SA"/>
        </w:rPr>
      </w:pPr>
    </w:p>
    <w:p w14:paraId="7CC41E76">
      <w:pPr>
        <w:rPr>
          <w:rFonts w:hint="eastAsia" w:ascii="黑体" w:hAnsi="仿宋" w:eastAsia="等线" w:cs="宋体"/>
          <w:color w:val="000000"/>
          <w:sz w:val="21"/>
          <w:szCs w:val="21"/>
        </w:rPr>
      </w:pPr>
      <w:r>
        <w:rPr>
          <w:rFonts w:hint="eastAsia" w:ascii="黑体" w:hAnsi="仿宋" w:eastAsia="等线" w:cs="宋体"/>
          <w:color w:val="000000"/>
          <w:sz w:val="21"/>
          <w:szCs w:val="21"/>
        </w:rPr>
        <w:br w:type="page"/>
      </w:r>
    </w:p>
    <w:p w14:paraId="336AA67A">
      <w:pPr>
        <w:keepNext/>
        <w:keepLines/>
        <w:widowControl w:val="0"/>
        <w:adjustRightInd w:val="0"/>
        <w:snapToGrid w:val="0"/>
        <w:spacing w:before="156" w:beforeLines="50" w:after="0" w:line="420" w:lineRule="exact"/>
        <w:jc w:val="both"/>
        <w:outlineLvl w:val="3"/>
        <w:rPr>
          <w:rFonts w:ascii="黑体" w:hAnsi="仿宋" w:eastAsia="黑体" w:cs="宋体"/>
          <w:bCs/>
          <w:color w:val="000000"/>
          <w:kern w:val="2"/>
          <w:sz w:val="21"/>
          <w:szCs w:val="21"/>
          <w:lang w:val="en-US" w:eastAsia="zh-CN" w:bidi="ar-SA"/>
        </w:rPr>
      </w:pPr>
      <w:r>
        <w:rPr>
          <w:rFonts w:hint="eastAsia" w:ascii="黑体" w:hAnsi="仿宋" w:eastAsia="黑体" w:cs="宋体"/>
          <w:bCs/>
          <w:color w:val="000000"/>
          <w:kern w:val="2"/>
          <w:sz w:val="21"/>
          <w:szCs w:val="21"/>
          <w:lang w:val="en-US" w:eastAsia="zh-CN" w:bidi="ar-SA"/>
        </w:rPr>
        <w:t>附件3</w:t>
      </w:r>
      <w:r>
        <w:rPr>
          <w:rFonts w:ascii="黑体" w:hAnsi="仿宋" w:eastAsia="黑体" w:cs="宋体"/>
          <w:bCs/>
          <w:color w:val="000000"/>
          <w:kern w:val="2"/>
          <w:sz w:val="21"/>
          <w:szCs w:val="21"/>
          <w:lang w:val="en-US" w:eastAsia="zh-CN" w:bidi="ar-SA"/>
        </w:rPr>
        <w:t>-1</w:t>
      </w:r>
      <w:r>
        <w:rPr>
          <w:rFonts w:hint="eastAsia" w:ascii="黑体" w:hAnsi="仿宋" w:eastAsia="黑体" w:cs="宋体"/>
          <w:bCs/>
          <w:color w:val="000000"/>
          <w:kern w:val="2"/>
          <w:sz w:val="21"/>
          <w:szCs w:val="21"/>
          <w:lang w:val="en-US" w:eastAsia="zh-CN" w:bidi="ar-SA"/>
        </w:rPr>
        <w:t>投标人资格声明</w:t>
      </w:r>
      <w:r>
        <w:rPr>
          <w:rFonts w:ascii="黑体" w:hAnsi="仿宋" w:eastAsia="黑体" w:cs="宋体"/>
          <w:bCs/>
          <w:color w:val="000000"/>
          <w:kern w:val="2"/>
          <w:sz w:val="21"/>
          <w:szCs w:val="21"/>
          <w:lang w:val="en-US" w:eastAsia="zh-CN" w:bidi="ar-SA"/>
        </w:rPr>
        <w:t>(</w:t>
      </w:r>
      <w:r>
        <w:rPr>
          <w:rFonts w:hint="eastAsia" w:ascii="黑体" w:hAnsi="仿宋" w:eastAsia="黑体" w:cs="宋体"/>
          <w:bCs/>
          <w:color w:val="000000"/>
          <w:kern w:val="2"/>
          <w:sz w:val="21"/>
          <w:szCs w:val="21"/>
          <w:lang w:val="en-US" w:eastAsia="zh-CN" w:bidi="ar-SA"/>
        </w:rPr>
        <w:t>格式</w:t>
      </w:r>
      <w:r>
        <w:rPr>
          <w:rFonts w:ascii="黑体" w:hAnsi="仿宋" w:eastAsia="黑体" w:cs="宋体"/>
          <w:bCs/>
          <w:color w:val="000000"/>
          <w:kern w:val="2"/>
          <w:sz w:val="21"/>
          <w:szCs w:val="21"/>
          <w:lang w:val="en-US" w:eastAsia="zh-CN" w:bidi="ar-SA"/>
        </w:rPr>
        <w:t>)</w:t>
      </w:r>
      <w:bookmarkEnd w:id="83"/>
    </w:p>
    <w:p w14:paraId="54AD8EA3">
      <w:pPr>
        <w:widowControl/>
        <w:adjustRightInd w:val="0"/>
        <w:snapToGrid w:val="0"/>
        <w:spacing w:before="156" w:beforeLines="50" w:line="420" w:lineRule="exact"/>
        <w:jc w:val="center"/>
        <w:rPr>
          <w:rFonts w:ascii="宋体" w:hAnsi="等线" w:eastAsia="等线" w:cs="宋体"/>
          <w:color w:val="000000"/>
          <w:szCs w:val="21"/>
        </w:rPr>
      </w:pPr>
      <w:r>
        <w:rPr>
          <w:rFonts w:hint="eastAsia" w:ascii="黑体" w:hAnsi="仿宋" w:eastAsia="黑体" w:cs="宋体"/>
          <w:b/>
          <w:color w:val="000000"/>
          <w:sz w:val="28"/>
          <w:szCs w:val="28"/>
        </w:rPr>
        <w:t>投标人资格声明</w:t>
      </w:r>
      <w:r>
        <w:rPr>
          <w:rFonts w:ascii="黑体" w:hAnsi="仿宋" w:eastAsia="黑体" w:cs="宋体"/>
          <w:b/>
          <w:color w:val="000000"/>
          <w:sz w:val="28"/>
          <w:szCs w:val="28"/>
        </w:rPr>
        <w:t>(</w:t>
      </w:r>
      <w:r>
        <w:rPr>
          <w:rFonts w:hint="eastAsia" w:ascii="黑体" w:hAnsi="仿宋" w:eastAsia="黑体" w:cs="宋体"/>
          <w:b/>
          <w:color w:val="000000"/>
          <w:sz w:val="28"/>
          <w:szCs w:val="28"/>
        </w:rPr>
        <w:t>格式</w:t>
      </w:r>
      <w:r>
        <w:rPr>
          <w:rFonts w:ascii="黑体" w:hAnsi="仿宋" w:eastAsia="黑体" w:cs="宋体"/>
          <w:b/>
          <w:color w:val="000000"/>
          <w:sz w:val="28"/>
          <w:szCs w:val="28"/>
        </w:rPr>
        <w:t>)</w:t>
      </w:r>
    </w:p>
    <w:p w14:paraId="5A7E244B">
      <w:pPr>
        <w:widowControl/>
        <w:adjustRightInd w:val="0"/>
        <w:snapToGrid w:val="0"/>
        <w:spacing w:before="156" w:beforeLines="50" w:line="420" w:lineRule="exact"/>
        <w:jc w:val="left"/>
        <w:rPr>
          <w:rFonts w:ascii="宋体" w:hAnsi="宋体" w:eastAsia="宋体" w:cs="宋体"/>
          <w:color w:val="000000"/>
          <w:kern w:val="0"/>
          <w:sz w:val="24"/>
          <w:szCs w:val="24"/>
        </w:rPr>
      </w:pPr>
      <w:r>
        <w:rPr>
          <w:rFonts w:hint="eastAsia" w:ascii="宋体" w:hAnsi="宋体" w:eastAsia="宋体" w:cs="宋体"/>
          <w:color w:val="000000"/>
          <w:sz w:val="24"/>
          <w:szCs w:val="24"/>
        </w:rPr>
        <w:t>致(采购人或者采购代理机构)：</w:t>
      </w:r>
    </w:p>
    <w:p w14:paraId="60155726">
      <w:pPr>
        <w:widowControl/>
        <w:adjustRightInd w:val="0"/>
        <w:snapToGrid w:val="0"/>
        <w:spacing w:before="156" w:beforeLines="50" w:line="42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sz w:val="24"/>
          <w:szCs w:val="24"/>
        </w:rPr>
        <w:t>按照《中华人民共和国政府采购法》第二十二条和招标文件的规定，我单位郑重声明如下：</w:t>
      </w:r>
    </w:p>
    <w:p w14:paraId="7B3E8CC9">
      <w:pPr>
        <w:widowControl/>
        <w:adjustRightInd w:val="0"/>
        <w:snapToGrid w:val="0"/>
        <w:spacing w:before="156" w:beforeLines="50" w:line="42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sz w:val="24"/>
          <w:szCs w:val="24"/>
        </w:rPr>
        <w:t>一、我单位是按照中华人民共和国法律规定登记注册的，注册地点为  ，全称为  ，统一社会信用代码为   ，法定代表人为   ，具有独立承担民事责任的能力。</w:t>
      </w:r>
    </w:p>
    <w:p w14:paraId="55E8B065">
      <w:pPr>
        <w:widowControl/>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二、我单位具有良好的商业信誉和健全的财务会计制度。</w:t>
      </w:r>
    </w:p>
    <w:p w14:paraId="6362BDAF">
      <w:pPr>
        <w:widowControl/>
        <w:adjustRightInd w:val="0"/>
        <w:snapToGrid w:val="0"/>
        <w:spacing w:before="156" w:beforeLines="50" w:line="42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三、我</w:t>
      </w:r>
      <w:r>
        <w:rPr>
          <w:rFonts w:hint="eastAsia" w:ascii="宋体" w:hAnsi="宋体" w:eastAsia="宋体" w:cs="宋体"/>
          <w:color w:val="000000"/>
          <w:sz w:val="24"/>
          <w:szCs w:val="24"/>
        </w:rPr>
        <w:t>单位</w:t>
      </w:r>
      <w:r>
        <w:rPr>
          <w:rFonts w:hint="eastAsia" w:ascii="宋体" w:hAnsi="宋体" w:eastAsia="宋体" w:cs="宋体"/>
          <w:color w:val="000000"/>
          <w:kern w:val="0"/>
          <w:sz w:val="24"/>
          <w:szCs w:val="24"/>
        </w:rPr>
        <w:t>依法进行纳税和社会保险申报并实际履行了义务。</w:t>
      </w:r>
    </w:p>
    <w:p w14:paraId="2B79F7D3">
      <w:pPr>
        <w:widowControl/>
        <w:adjustRightInd w:val="0"/>
        <w:snapToGrid w:val="0"/>
        <w:spacing w:before="156" w:beforeLines="50" w:line="42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四、</w:t>
      </w:r>
      <w:r>
        <w:rPr>
          <w:rFonts w:hint="eastAsia" w:ascii="宋体" w:hAnsi="宋体" w:eastAsia="宋体" w:cs="宋体"/>
          <w:color w:val="000000"/>
          <w:sz w:val="24"/>
          <w:szCs w:val="24"/>
        </w:rPr>
        <w:t>我单位具有履行本项目采购合同所必需的设备和专业技术能力。</w:t>
      </w:r>
    </w:p>
    <w:p w14:paraId="5FE394C1">
      <w:pPr>
        <w:widowControl/>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五、我单位在参加采购项目政府采购活动前三年内，在经营活动中，未因违法经营受到刑事处罚或者责令停产停业、吊销许可证或者执照、较大数额罚款等行政处罚。其中较大数额罚款是指：对公民处罚款在1000元及以上；对法人或者其他组织处罚款在200万元及以上；法律法规另有规定的，从其规定。</w:t>
      </w:r>
    </w:p>
    <w:p w14:paraId="71076492">
      <w:pPr>
        <w:widowControl/>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六、我单位未因违法经营被政府采购监管部门禁止参加政府采购活动（禁止期限已经届满的除外）。</w:t>
      </w:r>
    </w:p>
    <w:p w14:paraId="4BDE75AE">
      <w:pPr>
        <w:widowControl/>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七、我单位具备法律、行政法规规定的其他条件。</w:t>
      </w:r>
    </w:p>
    <w:p w14:paraId="335CE105">
      <w:pPr>
        <w:widowControl/>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kern w:val="0"/>
          <w:sz w:val="24"/>
          <w:szCs w:val="24"/>
        </w:rPr>
        <w:t>八、</w:t>
      </w:r>
      <w:r>
        <w:rPr>
          <w:rFonts w:hint="eastAsia" w:ascii="宋体" w:hAnsi="宋体" w:eastAsia="宋体" w:cs="宋体"/>
          <w:color w:val="000000"/>
          <w:sz w:val="24"/>
          <w:szCs w:val="24"/>
        </w:rPr>
        <w:t>与我单位存在“单位负责人为同一人或者存在直接控股、管理关系”的其他法人单位信息如下（如无，填写“无”）：</w:t>
      </w:r>
    </w:p>
    <w:p w14:paraId="5812794C">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1、与我单位的法定代表人（单位负责人）为同一人的其他法人单位如下：</w:t>
      </w:r>
    </w:p>
    <w:p w14:paraId="7E3C7C98">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2、我单位直接控股的其他法人单位如下：</w:t>
      </w:r>
    </w:p>
    <w:p w14:paraId="0A427EC2">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3、与我单位存在管理关系的其他法人单位如下：</w:t>
      </w:r>
    </w:p>
    <w:p w14:paraId="33BFA440">
      <w:pPr>
        <w:widowControl/>
        <w:adjustRightInd w:val="0"/>
        <w:snapToGrid w:val="0"/>
        <w:spacing w:before="156" w:beforeLines="50" w:line="42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sz w:val="24"/>
          <w:szCs w:val="24"/>
        </w:rPr>
        <w:t>九、我单位不属于为本项目提供整体设计、规范编制或者项目管理、监理、检测等服务的投标人。</w:t>
      </w:r>
    </w:p>
    <w:p w14:paraId="2982D60F">
      <w:pPr>
        <w:widowControl/>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十、我单位无以下不良信用记录情形：</w:t>
      </w:r>
    </w:p>
    <w:p w14:paraId="46059F42">
      <w:pPr>
        <w:widowControl/>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1、在“信用中国”网站被列入失信被执行人和重大税收违法案件当事人名单；</w:t>
      </w:r>
    </w:p>
    <w:p w14:paraId="3D87F497">
      <w:pPr>
        <w:widowControl/>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2、在“中国政府采购网”网站被列入政府采购严重违法失信行为记录名单；</w:t>
      </w:r>
    </w:p>
    <w:p w14:paraId="06853FC6">
      <w:pPr>
        <w:widowControl/>
        <w:adjustRightInd w:val="0"/>
        <w:snapToGrid w:val="0"/>
        <w:spacing w:before="156" w:beforeLines="50"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3、不符合《政府采购法》第二十二条规定的条件。</w:t>
      </w:r>
    </w:p>
    <w:p w14:paraId="1A72A1C7">
      <w:pPr>
        <w:widowControl/>
        <w:adjustRightInd w:val="0"/>
        <w:snapToGrid w:val="0"/>
        <w:spacing w:before="156" w:beforeLines="50" w:line="42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sz w:val="24"/>
          <w:szCs w:val="24"/>
        </w:rPr>
        <w:t>我单位保证上述声明的事项都是真实的，如有虚假，我单位愿意承担相应的法律责任，并承担因此所造成的一切损失。</w:t>
      </w:r>
    </w:p>
    <w:p w14:paraId="5C547C2E">
      <w:pPr>
        <w:widowControl/>
        <w:adjustRightInd w:val="0"/>
        <w:snapToGrid w:val="0"/>
        <w:spacing w:before="156" w:beforeLines="50" w:line="42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sz w:val="24"/>
          <w:szCs w:val="24"/>
        </w:rPr>
        <w:t>我单位保证随时按照要求提供能够证明上述声明事项真实性的任何有效文件。</w:t>
      </w:r>
    </w:p>
    <w:p w14:paraId="3F05A00B">
      <w:pPr>
        <w:widowControl/>
        <w:adjustRightInd w:val="0"/>
        <w:snapToGrid w:val="0"/>
        <w:spacing w:before="156" w:beforeLines="50" w:line="420" w:lineRule="exact"/>
        <w:jc w:val="left"/>
        <w:rPr>
          <w:rFonts w:ascii="宋体" w:hAnsi="宋体" w:eastAsia="宋体" w:cs="宋体"/>
          <w:color w:val="000000"/>
          <w:sz w:val="24"/>
          <w:szCs w:val="24"/>
        </w:rPr>
      </w:pPr>
    </w:p>
    <w:p w14:paraId="3DC38090">
      <w:pPr>
        <w:widowControl/>
        <w:adjustRightInd w:val="0"/>
        <w:snapToGrid w:val="0"/>
        <w:spacing w:before="156" w:beforeLines="50" w:line="420" w:lineRule="exact"/>
        <w:jc w:val="left"/>
        <w:rPr>
          <w:rFonts w:ascii="宋体" w:hAnsi="宋体" w:eastAsia="宋体" w:cs="宋体"/>
          <w:color w:val="000000"/>
          <w:sz w:val="24"/>
          <w:szCs w:val="24"/>
        </w:rPr>
      </w:pPr>
    </w:p>
    <w:p w14:paraId="094E6B6E">
      <w:pPr>
        <w:widowControl/>
        <w:adjustRightInd w:val="0"/>
        <w:snapToGrid w:val="0"/>
        <w:spacing w:before="156" w:beforeLines="50" w:line="420" w:lineRule="exact"/>
        <w:jc w:val="left"/>
        <w:rPr>
          <w:rFonts w:ascii="宋体" w:hAnsi="宋体" w:eastAsia="宋体" w:cs="宋体"/>
          <w:color w:val="000000"/>
          <w:kern w:val="0"/>
          <w:sz w:val="24"/>
          <w:szCs w:val="24"/>
        </w:rPr>
      </w:pPr>
      <w:r>
        <w:rPr>
          <w:rFonts w:hint="eastAsia" w:ascii="宋体" w:hAnsi="宋体" w:eastAsia="宋体" w:cs="宋体"/>
          <w:color w:val="000000"/>
          <w:sz w:val="24"/>
          <w:szCs w:val="24"/>
        </w:rPr>
        <w:t>投标人名称（盖单位公章）：</w:t>
      </w:r>
    </w:p>
    <w:p w14:paraId="01FC89BA">
      <w:pPr>
        <w:widowControl/>
        <w:adjustRightInd w:val="0"/>
        <w:snapToGrid w:val="0"/>
        <w:spacing w:before="156" w:beforeLines="50" w:line="420" w:lineRule="exact"/>
        <w:jc w:val="left"/>
        <w:rPr>
          <w:rFonts w:ascii="宋体" w:hAnsi="宋体" w:eastAsia="宋体" w:cs="宋体"/>
          <w:b/>
          <w:bCs/>
          <w:color w:val="000000"/>
          <w:kern w:val="0"/>
          <w:sz w:val="24"/>
          <w:szCs w:val="24"/>
        </w:rPr>
      </w:pPr>
      <w:r>
        <w:rPr>
          <w:rFonts w:hint="eastAsia" w:ascii="宋体" w:hAnsi="宋体" w:eastAsia="宋体" w:cs="宋体"/>
          <w:color w:val="000000"/>
          <w:sz w:val="24"/>
          <w:szCs w:val="24"/>
        </w:rPr>
        <w:t>法定代表人或委托代理人：（签字或印章）</w:t>
      </w:r>
    </w:p>
    <w:p w14:paraId="740AC432">
      <w:pPr>
        <w:widowControl/>
        <w:adjustRightInd w:val="0"/>
        <w:snapToGrid w:val="0"/>
        <w:spacing w:before="156" w:beforeLines="50" w:line="420" w:lineRule="exact"/>
        <w:jc w:val="left"/>
        <w:rPr>
          <w:rFonts w:ascii="宋体" w:hAnsi="宋体" w:eastAsia="宋体" w:cs="宋体"/>
          <w:color w:val="000000"/>
          <w:sz w:val="24"/>
          <w:szCs w:val="24"/>
        </w:rPr>
      </w:pPr>
      <w:r>
        <w:rPr>
          <w:rFonts w:hint="eastAsia" w:ascii="宋体" w:hAnsi="宋体" w:eastAsia="宋体" w:cs="宋体"/>
          <w:color w:val="000000"/>
          <w:sz w:val="24"/>
          <w:szCs w:val="24"/>
        </w:rPr>
        <w:t>日期： 年 月 日</w:t>
      </w:r>
    </w:p>
    <w:p w14:paraId="6A8A9491">
      <w:pPr>
        <w:widowControl/>
        <w:spacing w:line="420" w:lineRule="exact"/>
        <w:jc w:val="left"/>
        <w:rPr>
          <w:rFonts w:ascii="宋体" w:hAnsi="宋体" w:eastAsia="宋体" w:cs="宋体"/>
          <w:bCs/>
          <w:color w:val="000000"/>
          <w:sz w:val="24"/>
          <w:szCs w:val="24"/>
        </w:rPr>
      </w:pPr>
      <w:r>
        <w:rPr>
          <w:rFonts w:hint="eastAsia" w:ascii="宋体" w:hAnsi="宋体" w:eastAsia="宋体" w:cs="宋体"/>
          <w:b/>
          <w:color w:val="000000"/>
          <w:sz w:val="24"/>
          <w:szCs w:val="24"/>
        </w:rPr>
        <w:br w:type="page"/>
      </w:r>
    </w:p>
    <w:p w14:paraId="1F3C75BE">
      <w:pPr>
        <w:keepNext/>
        <w:keepLines/>
        <w:widowControl w:val="0"/>
        <w:spacing w:before="280" w:after="290" w:line="420" w:lineRule="exact"/>
        <w:jc w:val="both"/>
        <w:outlineLvl w:val="3"/>
        <w:rPr>
          <w:rFonts w:ascii="黑体" w:hAnsi="仿宋" w:eastAsia="黑体" w:cs="宋体"/>
          <w:bCs/>
          <w:color w:val="000000"/>
          <w:kern w:val="2"/>
          <w:sz w:val="21"/>
          <w:szCs w:val="21"/>
          <w:lang w:val="en-US" w:eastAsia="zh-CN" w:bidi="ar-SA"/>
        </w:rPr>
      </w:pPr>
      <w:bookmarkStart w:id="84" w:name="_Toc11091"/>
      <w:r>
        <w:rPr>
          <w:rFonts w:hint="eastAsia" w:ascii="黑体" w:hAnsi="仿宋" w:eastAsia="黑体" w:cs="宋体"/>
          <w:bCs/>
          <w:color w:val="000000"/>
          <w:kern w:val="2"/>
          <w:sz w:val="21"/>
          <w:szCs w:val="21"/>
          <w:lang w:val="en-US" w:eastAsia="zh-CN" w:bidi="ar-SA"/>
        </w:rPr>
        <w:t>附件3</w:t>
      </w:r>
      <w:r>
        <w:rPr>
          <w:rFonts w:ascii="黑体" w:hAnsi="仿宋" w:eastAsia="黑体" w:cs="宋体"/>
          <w:bCs/>
          <w:color w:val="000000"/>
          <w:kern w:val="2"/>
          <w:sz w:val="21"/>
          <w:szCs w:val="21"/>
          <w:lang w:val="en-US" w:eastAsia="zh-CN" w:bidi="ar-SA"/>
        </w:rPr>
        <w:t xml:space="preserve">-2 </w:t>
      </w:r>
      <w:r>
        <w:rPr>
          <w:rFonts w:hint="eastAsia" w:ascii="黑体" w:hAnsi="仿宋" w:eastAsia="黑体" w:cs="宋体"/>
          <w:bCs/>
          <w:color w:val="000000"/>
          <w:kern w:val="2"/>
          <w:sz w:val="21"/>
          <w:szCs w:val="21"/>
          <w:lang w:val="en-US" w:eastAsia="zh-CN" w:bidi="ar-SA"/>
        </w:rPr>
        <w:t>法人或者其他组织的营业执照等主体资格证明文件，自然人的身份证明</w:t>
      </w:r>
      <w:bookmarkEnd w:id="84"/>
    </w:p>
    <w:p w14:paraId="08B72272">
      <w:pPr>
        <w:widowControl/>
        <w:adjustRightInd w:val="0"/>
        <w:snapToGrid w:val="0"/>
        <w:spacing w:line="420" w:lineRule="exact"/>
        <w:jc w:val="center"/>
        <w:rPr>
          <w:rFonts w:ascii="黑体" w:hAnsi="仿宋" w:eastAsia="黑体" w:cs="宋体"/>
          <w:b/>
          <w:color w:val="000000"/>
          <w:sz w:val="28"/>
          <w:szCs w:val="28"/>
        </w:rPr>
      </w:pPr>
      <w:r>
        <w:rPr>
          <w:rFonts w:hint="eastAsia" w:ascii="黑体" w:hAnsi="仿宋" w:eastAsia="黑体" w:cs="宋体"/>
          <w:b/>
          <w:color w:val="000000"/>
          <w:sz w:val="28"/>
          <w:szCs w:val="28"/>
        </w:rPr>
        <w:t>法人或者其他组织的营业执照等主体资格证明文件，自然人的身份证明</w:t>
      </w:r>
    </w:p>
    <w:p w14:paraId="0DB9CAA0">
      <w:pPr>
        <w:widowControl/>
        <w:adjustRightInd w:val="0"/>
        <w:snapToGrid w:val="0"/>
        <w:spacing w:before="156" w:beforeLines="50" w:line="420" w:lineRule="exact"/>
        <w:ind w:firstLine="420" w:firstLineChars="200"/>
        <w:jc w:val="left"/>
        <w:rPr>
          <w:rFonts w:ascii="宋体" w:hAnsi="等线" w:eastAsia="等线" w:cs="宋体"/>
          <w:color w:val="000000"/>
          <w:szCs w:val="21"/>
        </w:rPr>
      </w:pPr>
    </w:p>
    <w:p w14:paraId="6723DBA3">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注：按</w:t>
      </w:r>
      <w:r>
        <w:rPr>
          <w:rFonts w:hint="eastAsia" w:ascii="宋体" w:hAnsi="宋体" w:eastAsia="宋体" w:cs="宋体"/>
          <w:color w:val="000000"/>
          <w:sz w:val="24"/>
          <w:szCs w:val="24"/>
          <w:lang w:val="en-US" w:eastAsia="zh-CN"/>
        </w:rPr>
        <w:t>招标文件要求</w:t>
      </w:r>
      <w:r>
        <w:rPr>
          <w:rFonts w:hint="eastAsia" w:ascii="宋体" w:hAnsi="宋体" w:eastAsia="宋体" w:cs="宋体"/>
          <w:color w:val="000000"/>
          <w:sz w:val="24"/>
          <w:szCs w:val="24"/>
        </w:rPr>
        <w:t>提供。</w:t>
      </w:r>
    </w:p>
    <w:p w14:paraId="43D6D347">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（1）投标人为营利法人的，应提交营业执照的复印件；</w:t>
      </w:r>
    </w:p>
    <w:p w14:paraId="41202FE6">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（2）投标人为依法允许经营的事业单位的，应提交事业单位法人证书复印件；</w:t>
      </w:r>
    </w:p>
    <w:p w14:paraId="5988DB53">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（3）投标人为非法人组织的，应提交依法登记证书复印件；</w:t>
      </w:r>
    </w:p>
    <w:p w14:paraId="0CA2682E">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（4）投标人为个体工商户的，应提交个体工商户营业执照复印件；</w:t>
      </w:r>
    </w:p>
    <w:p w14:paraId="2BB74C6E">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（5）投标人为自然人的，应提交自然人的身份证明复印件；</w:t>
      </w:r>
    </w:p>
    <w:p w14:paraId="48696970">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（6）分支机构须提供法人单位授权投标人参与投标的授权委托书及法人单位愿为其承担履约责任的承诺书。</w:t>
      </w:r>
    </w:p>
    <w:p w14:paraId="32B52AB4">
      <w:pPr>
        <w:widowControl/>
        <w:adjustRightInd w:val="0"/>
        <w:snapToGrid w:val="0"/>
        <w:spacing w:before="156" w:beforeLines="50" w:line="420" w:lineRule="exact"/>
        <w:ind w:firstLine="482" w:firstLineChars="200"/>
        <w:jc w:val="left"/>
        <w:rPr>
          <w:rFonts w:ascii="宋体" w:hAnsi="宋体" w:eastAsia="宋体" w:cs="宋体"/>
          <w:b/>
          <w:color w:val="000000"/>
          <w:sz w:val="24"/>
          <w:szCs w:val="24"/>
        </w:rPr>
      </w:pPr>
    </w:p>
    <w:p w14:paraId="074803EC">
      <w:pPr>
        <w:widowControl/>
        <w:adjustRightInd w:val="0"/>
        <w:snapToGrid w:val="0"/>
        <w:spacing w:before="156" w:beforeLines="50" w:line="420" w:lineRule="exact"/>
        <w:ind w:firstLine="420" w:firstLineChars="200"/>
        <w:jc w:val="left"/>
        <w:rPr>
          <w:rFonts w:ascii="宋体" w:hAnsi="等线" w:eastAsia="等线" w:cs="宋体"/>
          <w:color w:val="000000"/>
          <w:szCs w:val="21"/>
        </w:rPr>
      </w:pPr>
    </w:p>
    <w:p w14:paraId="01A30AEF">
      <w:pPr>
        <w:widowControl/>
        <w:spacing w:line="420" w:lineRule="exact"/>
        <w:jc w:val="left"/>
        <w:rPr>
          <w:rFonts w:ascii="黑体" w:hAnsi="仿宋" w:eastAsia="黑体" w:cs="宋体"/>
          <w:color w:val="000000"/>
          <w:szCs w:val="21"/>
        </w:rPr>
      </w:pPr>
      <w:r>
        <w:rPr>
          <w:rFonts w:ascii="黑体" w:hAnsi="仿宋" w:eastAsia="黑体" w:cs="宋体"/>
          <w:color w:val="000000"/>
          <w:szCs w:val="21"/>
        </w:rPr>
        <w:br w:type="page"/>
      </w:r>
    </w:p>
    <w:p w14:paraId="15212AA2">
      <w:pPr>
        <w:keepNext/>
        <w:keepLines/>
        <w:widowControl w:val="0"/>
        <w:spacing w:before="280" w:after="290" w:line="420" w:lineRule="exact"/>
        <w:jc w:val="both"/>
        <w:outlineLvl w:val="3"/>
        <w:rPr>
          <w:rFonts w:ascii="黑体" w:hAnsi="仿宋" w:eastAsia="黑体" w:cs="宋体"/>
          <w:bCs/>
          <w:color w:val="000000"/>
          <w:kern w:val="2"/>
          <w:sz w:val="21"/>
          <w:szCs w:val="21"/>
          <w:lang w:val="en-US" w:eastAsia="zh-CN" w:bidi="ar-SA"/>
        </w:rPr>
      </w:pPr>
      <w:bookmarkStart w:id="85" w:name="_Toc31611"/>
      <w:r>
        <w:rPr>
          <w:rFonts w:hint="eastAsia" w:ascii="黑体" w:hAnsi="仿宋" w:eastAsia="黑体" w:cs="宋体"/>
          <w:bCs/>
          <w:color w:val="000000"/>
          <w:kern w:val="2"/>
          <w:sz w:val="21"/>
          <w:szCs w:val="21"/>
          <w:lang w:val="en-US" w:eastAsia="zh-CN" w:bidi="ar-SA"/>
        </w:rPr>
        <w:t>附件3</w:t>
      </w:r>
      <w:r>
        <w:rPr>
          <w:rFonts w:ascii="黑体" w:hAnsi="仿宋" w:eastAsia="黑体" w:cs="宋体"/>
          <w:bCs/>
          <w:color w:val="000000"/>
          <w:kern w:val="2"/>
          <w:sz w:val="21"/>
          <w:szCs w:val="21"/>
          <w:lang w:val="en-US" w:eastAsia="zh-CN" w:bidi="ar-SA"/>
        </w:rPr>
        <w:t xml:space="preserve">-3 </w:t>
      </w:r>
      <w:r>
        <w:rPr>
          <w:rFonts w:hint="eastAsia" w:ascii="黑体" w:hAnsi="仿宋" w:eastAsia="黑体" w:cs="宋体"/>
          <w:bCs/>
          <w:color w:val="000000"/>
          <w:kern w:val="2"/>
          <w:sz w:val="21"/>
          <w:szCs w:val="21"/>
          <w:lang w:val="en-US" w:eastAsia="zh-CN" w:bidi="ar-SA"/>
        </w:rPr>
        <w:t>符合特定资格条件证明材料复印件或者情况说明</w:t>
      </w:r>
      <w:bookmarkEnd w:id="85"/>
    </w:p>
    <w:p w14:paraId="738063D4">
      <w:pPr>
        <w:widowControl/>
        <w:adjustRightInd w:val="0"/>
        <w:snapToGrid w:val="0"/>
        <w:spacing w:line="420" w:lineRule="exact"/>
        <w:jc w:val="center"/>
        <w:rPr>
          <w:rFonts w:ascii="黑体" w:hAnsi="仿宋" w:eastAsia="黑体" w:cs="宋体"/>
          <w:b/>
          <w:color w:val="000000"/>
          <w:sz w:val="28"/>
          <w:szCs w:val="28"/>
        </w:rPr>
      </w:pPr>
      <w:r>
        <w:rPr>
          <w:rFonts w:hint="eastAsia" w:ascii="黑体" w:hAnsi="仿宋" w:eastAsia="黑体" w:cs="宋体"/>
          <w:b/>
          <w:color w:val="000000"/>
          <w:sz w:val="28"/>
          <w:szCs w:val="28"/>
        </w:rPr>
        <w:t>符合特定资格条件证明材料复印件或者情况说明</w:t>
      </w:r>
    </w:p>
    <w:p w14:paraId="495B03CA">
      <w:pPr>
        <w:widowControl/>
        <w:adjustRightInd w:val="0"/>
        <w:snapToGrid w:val="0"/>
        <w:spacing w:line="420" w:lineRule="exact"/>
        <w:ind w:firstLine="560" w:firstLineChars="200"/>
        <w:jc w:val="left"/>
        <w:rPr>
          <w:rFonts w:ascii="黑体" w:hAnsi="仿宋" w:eastAsia="黑体" w:cs="宋体"/>
          <w:color w:val="000000"/>
          <w:sz w:val="28"/>
          <w:szCs w:val="28"/>
        </w:rPr>
      </w:pPr>
    </w:p>
    <w:p w14:paraId="5587BE7D">
      <w:pPr>
        <w:widowControl/>
        <w:adjustRightInd w:val="0"/>
        <w:snapToGrid w:val="0"/>
        <w:spacing w:line="42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注：按</w:t>
      </w:r>
      <w:r>
        <w:rPr>
          <w:rFonts w:hint="eastAsia" w:ascii="宋体" w:hAnsi="宋体" w:eastAsia="宋体" w:cs="宋体"/>
          <w:color w:val="000000"/>
          <w:sz w:val="24"/>
          <w:szCs w:val="24"/>
          <w:lang w:val="en-US" w:eastAsia="zh-CN"/>
        </w:rPr>
        <w:t>招标文件</w:t>
      </w:r>
      <w:r>
        <w:rPr>
          <w:rFonts w:hint="eastAsia" w:ascii="宋体" w:hAnsi="宋体" w:eastAsia="宋体" w:cs="宋体"/>
          <w:color w:val="000000"/>
          <w:sz w:val="24"/>
          <w:szCs w:val="24"/>
        </w:rPr>
        <w:t>要求提供。</w:t>
      </w:r>
    </w:p>
    <w:p w14:paraId="14C7C777">
      <w:pPr>
        <w:widowControl/>
        <w:spacing w:line="420" w:lineRule="exact"/>
        <w:jc w:val="left"/>
        <w:rPr>
          <w:rFonts w:ascii="黑体" w:hAnsi="仿宋" w:eastAsia="黑体" w:cs="宋体"/>
          <w:color w:val="000000"/>
          <w:szCs w:val="21"/>
        </w:rPr>
      </w:pPr>
      <w:r>
        <w:rPr>
          <w:rFonts w:ascii="黑体" w:hAnsi="仿宋" w:eastAsia="黑体" w:cs="宋体"/>
          <w:color w:val="000000"/>
          <w:szCs w:val="21"/>
        </w:rPr>
        <w:br w:type="page"/>
      </w:r>
    </w:p>
    <w:p w14:paraId="66764A56">
      <w:pPr>
        <w:spacing w:line="420" w:lineRule="exact"/>
        <w:rPr>
          <w:rFonts w:ascii="黑体" w:hAnsi="仿宋" w:eastAsia="等线" w:cs="宋体"/>
          <w:color w:val="000000"/>
          <w:szCs w:val="21"/>
        </w:rPr>
      </w:pPr>
      <w:bookmarkStart w:id="86" w:name="_Toc25875"/>
      <w:r>
        <w:rPr>
          <w:rFonts w:hint="eastAsia" w:ascii="黑体" w:hAnsi="仿宋" w:eastAsia="等线" w:cs="宋体"/>
          <w:color w:val="000000"/>
          <w:szCs w:val="21"/>
        </w:rPr>
        <w:t>附件3</w:t>
      </w:r>
      <w:r>
        <w:rPr>
          <w:rFonts w:ascii="黑体" w:hAnsi="仿宋" w:eastAsia="等线" w:cs="宋体"/>
          <w:color w:val="000000"/>
          <w:szCs w:val="21"/>
        </w:rPr>
        <w:t xml:space="preserve">-4 </w:t>
      </w:r>
      <w:bookmarkStart w:id="87" w:name="_Toc5873"/>
      <w:r>
        <w:rPr>
          <w:rFonts w:hint="eastAsia" w:ascii="黑体" w:hAnsi="仿宋" w:eastAsia="等线" w:cs="宋体"/>
          <w:color w:val="000000"/>
          <w:szCs w:val="21"/>
        </w:rPr>
        <w:t xml:space="preserve">湖南省政府采购供应商资格承诺函 </w:t>
      </w:r>
      <w:bookmarkEnd w:id="86"/>
      <w:bookmarkEnd w:id="87"/>
    </w:p>
    <w:bookmarkEnd w:id="81"/>
    <w:bookmarkEnd w:id="82"/>
    <w:p w14:paraId="71B24D43">
      <w:pPr>
        <w:widowControl/>
        <w:adjustRightInd w:val="0"/>
        <w:snapToGrid w:val="0"/>
        <w:spacing w:before="156" w:beforeLines="50" w:line="420" w:lineRule="exact"/>
        <w:jc w:val="center"/>
        <w:rPr>
          <w:rFonts w:hint="eastAsia" w:ascii="黑体" w:hAnsi="仿宋" w:eastAsia="黑体" w:cs="宋体"/>
          <w:b/>
          <w:color w:val="000000"/>
          <w:sz w:val="28"/>
          <w:szCs w:val="28"/>
        </w:rPr>
      </w:pPr>
      <w:r>
        <w:rPr>
          <w:rFonts w:hint="eastAsia" w:ascii="黑体" w:hAnsi="仿宋" w:eastAsia="黑体" w:cs="宋体"/>
          <w:b/>
          <w:color w:val="000000"/>
          <w:sz w:val="28"/>
          <w:szCs w:val="28"/>
        </w:rPr>
        <w:t>湖南省政府采购供应商资格承诺函</w:t>
      </w:r>
    </w:p>
    <w:p w14:paraId="3F781369">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本公司独立承担民事责任、具有良好的商业信誉和健全的财务会计制度、依法缴纳税收和社会保障资金，在前三年的经营活动中无重大违法记录，未列入严重失信行为名单，符合政府采购供应商的基本资格要求，并做出如下承诺；</w:t>
      </w:r>
    </w:p>
    <w:p w14:paraId="64EE41EE">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一、本公司本次投标时提交的业绩证明材料、人员证件、缴纳社保证明、支付劳动报酬银行流水等所有的材料均真实有效，无提供虚假材料谋取中标的行为。若有弄虚作假的行为，自愿接受采购金额5‰以上至10‰以下的罚款，列入不良行为记录名单，在一至三年内严禁参与任何采购活动。</w:t>
      </w:r>
    </w:p>
    <w:p w14:paraId="0D2E8A7E">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二、按照《政府采购促进中小企业发展管理办法》（财库〔2020〕46号），本公司的企业规模为</w:t>
      </w:r>
      <w:r>
        <w:rPr>
          <w:rFonts w:hint="eastAsia" w:asciiTheme="minorEastAsia" w:hAnsiTheme="minorEastAsia" w:eastAsiaTheme="minorEastAsia" w:cstheme="minorEastAsia"/>
          <w:color w:val="000000"/>
          <w:kern w:val="0"/>
          <w:sz w:val="24"/>
          <w:szCs w:val="24"/>
          <w:u w:val="single"/>
          <w:lang w:val="en-US" w:eastAsia="zh-CN" w:bidi="ar-SA"/>
        </w:rPr>
        <w:t>：大型□ 中型□ 小型□ 微型□</w:t>
      </w:r>
      <w:r>
        <w:rPr>
          <w:rFonts w:hint="eastAsia" w:asciiTheme="minorEastAsia" w:hAnsiTheme="minorEastAsia" w:eastAsiaTheme="minorEastAsia" w:cstheme="minorEastAsia"/>
          <w:color w:val="000000"/>
          <w:kern w:val="0"/>
          <w:sz w:val="24"/>
          <w:szCs w:val="24"/>
          <w:lang w:val="en-US" w:eastAsia="zh-CN" w:bidi="ar-SA"/>
        </w:rPr>
        <w:t>企业。</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2746"/>
        <w:gridCol w:w="1766"/>
        <w:gridCol w:w="3129"/>
      </w:tblGrid>
      <w:tr w14:paraId="1D344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05" w:type="dxa"/>
          </w:tcPr>
          <w:p w14:paraId="35A1A0A1">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机构代码</w:t>
            </w:r>
          </w:p>
        </w:tc>
        <w:tc>
          <w:tcPr>
            <w:tcW w:w="2746" w:type="dxa"/>
          </w:tcPr>
          <w:p w14:paraId="17D25F26">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p>
        </w:tc>
        <w:tc>
          <w:tcPr>
            <w:tcW w:w="1766" w:type="dxa"/>
          </w:tcPr>
          <w:p w14:paraId="0DB23A9B">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注册登记机构</w:t>
            </w:r>
          </w:p>
        </w:tc>
        <w:tc>
          <w:tcPr>
            <w:tcW w:w="3129" w:type="dxa"/>
          </w:tcPr>
          <w:p w14:paraId="44923ACA">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p>
        </w:tc>
      </w:tr>
      <w:tr w14:paraId="2D82D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32D099C1">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注册日期</w:t>
            </w:r>
          </w:p>
        </w:tc>
        <w:tc>
          <w:tcPr>
            <w:tcW w:w="2746" w:type="dxa"/>
          </w:tcPr>
          <w:p w14:paraId="67EFC1AD">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p>
        </w:tc>
        <w:tc>
          <w:tcPr>
            <w:tcW w:w="1766" w:type="dxa"/>
          </w:tcPr>
          <w:p w14:paraId="74B7434E">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有效期</w:t>
            </w:r>
          </w:p>
        </w:tc>
        <w:tc>
          <w:tcPr>
            <w:tcW w:w="3129" w:type="dxa"/>
          </w:tcPr>
          <w:p w14:paraId="4FA0C48E">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p>
        </w:tc>
      </w:tr>
      <w:tr w14:paraId="0501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48C8B101">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注册资本</w:t>
            </w:r>
          </w:p>
        </w:tc>
        <w:tc>
          <w:tcPr>
            <w:tcW w:w="2746" w:type="dxa"/>
          </w:tcPr>
          <w:p w14:paraId="688AC0E0">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p>
        </w:tc>
        <w:tc>
          <w:tcPr>
            <w:tcW w:w="1766" w:type="dxa"/>
          </w:tcPr>
          <w:p w14:paraId="2C31FCEE">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注册地址</w:t>
            </w:r>
          </w:p>
        </w:tc>
        <w:tc>
          <w:tcPr>
            <w:tcW w:w="3129" w:type="dxa"/>
          </w:tcPr>
          <w:p w14:paraId="60A1673D">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p>
        </w:tc>
      </w:tr>
      <w:tr w14:paraId="6732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38E81C32">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经济行业</w:t>
            </w:r>
          </w:p>
        </w:tc>
        <w:tc>
          <w:tcPr>
            <w:tcW w:w="2746" w:type="dxa"/>
          </w:tcPr>
          <w:p w14:paraId="76E52265">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p>
        </w:tc>
        <w:tc>
          <w:tcPr>
            <w:tcW w:w="1766" w:type="dxa"/>
          </w:tcPr>
          <w:p w14:paraId="3466D40D">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经济性质</w:t>
            </w:r>
          </w:p>
        </w:tc>
        <w:tc>
          <w:tcPr>
            <w:tcW w:w="3129" w:type="dxa"/>
          </w:tcPr>
          <w:p w14:paraId="2930B181">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jc w:val="left"/>
              <w:textAlignment w:val="auto"/>
              <w:rPr>
                <w:rFonts w:hint="eastAsia" w:asciiTheme="minorEastAsia" w:hAnsiTheme="minorEastAsia" w:eastAsiaTheme="minorEastAsia" w:cstheme="minorEastAsia"/>
                <w:color w:val="000000"/>
                <w:kern w:val="0"/>
                <w:sz w:val="24"/>
                <w:szCs w:val="24"/>
                <w:lang w:val="en-US" w:eastAsia="zh-CN" w:bidi="ar-SA"/>
              </w:rPr>
            </w:pPr>
          </w:p>
        </w:tc>
      </w:tr>
    </w:tbl>
    <w:p w14:paraId="7CC812B0">
      <w:pPr>
        <w:keepNext w:val="0"/>
        <w:keepLines w:val="0"/>
        <w:pageBreakBefore w:val="0"/>
        <w:widowControl/>
        <w:kinsoku/>
        <w:wordWrap/>
        <w:overflowPunct/>
        <w:topLinePunct w:val="0"/>
        <w:bidi w:val="0"/>
        <w:snapToGrid/>
        <w:spacing w:beforeAutospacing="0" w:afterAutospacing="0" w:line="400" w:lineRule="exact"/>
        <w:ind w:firstLine="482" w:firstLineChars="20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b/>
          <w:bCs/>
          <w:color w:val="000000"/>
          <w:kern w:val="0"/>
          <w:sz w:val="24"/>
          <w:szCs w:val="24"/>
          <w:lang w:val="en-US" w:eastAsia="zh-CN" w:bidi="ar-SA"/>
        </w:rPr>
        <w:t>特别要求：</w:t>
      </w:r>
      <w:r>
        <w:rPr>
          <w:rFonts w:hint="eastAsia" w:asciiTheme="minorEastAsia" w:hAnsiTheme="minorEastAsia" w:eastAsiaTheme="minorEastAsia" w:cstheme="minorEastAsia"/>
          <w:color w:val="000000"/>
          <w:kern w:val="0"/>
          <w:sz w:val="24"/>
          <w:szCs w:val="24"/>
          <w:lang w:val="en-US" w:eastAsia="zh-CN" w:bidi="ar-SA"/>
        </w:rPr>
        <w:t>1、</w:t>
      </w:r>
      <w:r>
        <w:rPr>
          <w:rFonts w:hint="eastAsia" w:asciiTheme="minorEastAsia" w:hAnsiTheme="minorEastAsia" w:eastAsiaTheme="minorEastAsia" w:cstheme="minorEastAsia"/>
          <w:color w:val="000000"/>
          <w:kern w:val="0"/>
          <w:sz w:val="24"/>
          <w:szCs w:val="24"/>
          <w:u w:val="single"/>
          <w:lang w:val="en-US" w:eastAsia="zh-CN" w:bidi="ar-SA"/>
        </w:rPr>
        <w:t xml:space="preserve"> </w:t>
      </w:r>
      <w:r>
        <w:rPr>
          <w:rFonts w:hint="eastAsia" w:asciiTheme="minorEastAsia" w:hAnsiTheme="minorEastAsia" w:cstheme="minorEastAsia"/>
          <w:color w:val="000000"/>
          <w:kern w:val="0"/>
          <w:sz w:val="24"/>
          <w:szCs w:val="24"/>
          <w:u w:val="single"/>
          <w:lang w:val="en-US" w:eastAsia="zh-CN" w:bidi="ar-SA"/>
        </w:rPr>
        <w:t>□</w:t>
      </w:r>
      <w:r>
        <w:rPr>
          <w:rFonts w:hint="eastAsia" w:asciiTheme="minorEastAsia" w:hAnsiTheme="minorEastAsia" w:eastAsiaTheme="minorEastAsia" w:cstheme="minorEastAsia"/>
          <w:color w:val="000000"/>
          <w:kern w:val="0"/>
          <w:sz w:val="24"/>
          <w:szCs w:val="24"/>
          <w:u w:val="single"/>
          <w:lang w:val="en-US" w:eastAsia="zh-CN" w:bidi="ar-SA"/>
        </w:rPr>
        <w:t xml:space="preserve"> </w:t>
      </w:r>
      <w:r>
        <w:rPr>
          <w:rFonts w:hint="eastAsia" w:asciiTheme="minorEastAsia" w:hAnsiTheme="minorEastAsia" w:eastAsiaTheme="minorEastAsia" w:cstheme="minorEastAsia"/>
          <w:color w:val="000000"/>
          <w:kern w:val="0"/>
          <w:sz w:val="24"/>
          <w:szCs w:val="24"/>
          <w:lang w:val="en-US" w:eastAsia="zh-CN" w:bidi="ar-SA"/>
        </w:rPr>
        <w:t>根据《关于进一步加大政府采购支持中小企业力度的通知》（财库〔2022〕19号）、《政府采购促进中小企业发展管理办法》（财库〔2020〕46号）要求，本公司承诺根据办法要求，分包合同总价</w:t>
      </w:r>
      <w:r>
        <w:rPr>
          <w:rFonts w:hint="eastAsia" w:asciiTheme="minorEastAsia" w:hAnsiTheme="minorEastAsia" w:eastAsiaTheme="minorEastAsia" w:cstheme="minorEastAsia"/>
          <w:color w:val="000000"/>
          <w:kern w:val="0"/>
          <w:sz w:val="24"/>
          <w:szCs w:val="24"/>
          <w:u w:val="single"/>
          <w:lang w:val="en-US" w:eastAsia="zh-CN" w:bidi="ar-SA"/>
        </w:rPr>
        <w:t xml:space="preserve"> 30 % </w:t>
      </w:r>
      <w:r>
        <w:rPr>
          <w:rFonts w:hint="eastAsia" w:asciiTheme="minorEastAsia" w:hAnsiTheme="minorEastAsia" w:eastAsiaTheme="minorEastAsia" w:cstheme="minorEastAsia"/>
          <w:color w:val="000000"/>
          <w:kern w:val="0"/>
          <w:sz w:val="24"/>
          <w:szCs w:val="24"/>
          <w:lang w:val="en-US" w:eastAsia="zh-CN" w:bidi="ar-SA"/>
        </w:rPr>
        <w:t>以上的份额给小型或微型企业，在招标评审过程中享受</w:t>
      </w:r>
      <w:r>
        <w:rPr>
          <w:rFonts w:hint="eastAsia" w:asciiTheme="minorEastAsia" w:hAnsiTheme="minorEastAsia" w:eastAsiaTheme="minorEastAsia" w:cstheme="minorEastAsia"/>
          <w:color w:val="000000"/>
          <w:kern w:val="0"/>
          <w:sz w:val="24"/>
          <w:szCs w:val="24"/>
          <w:u w:val="single"/>
          <w:lang w:val="en-US" w:eastAsia="zh-CN" w:bidi="ar-SA"/>
        </w:rPr>
        <w:t xml:space="preserve"> 4 % </w:t>
      </w:r>
      <w:r>
        <w:rPr>
          <w:rFonts w:hint="eastAsia" w:asciiTheme="minorEastAsia" w:hAnsiTheme="minorEastAsia" w:eastAsiaTheme="minorEastAsia" w:cstheme="minorEastAsia"/>
          <w:color w:val="000000"/>
          <w:kern w:val="0"/>
          <w:sz w:val="24"/>
          <w:szCs w:val="24"/>
          <w:lang w:val="en-US" w:eastAsia="zh-CN" w:bidi="ar-SA"/>
        </w:rPr>
        <w:t>的价格折扣率，用扣除后的价格参加评审。</w:t>
      </w:r>
    </w:p>
    <w:p w14:paraId="2F8ADCBE">
      <w:pPr>
        <w:keepNext w:val="0"/>
        <w:keepLines w:val="0"/>
        <w:pageBreakBefore w:val="0"/>
        <w:widowControl/>
        <w:kinsoku/>
        <w:wordWrap/>
        <w:overflowPunct/>
        <w:topLinePunct w:val="0"/>
        <w:bidi w:val="0"/>
        <w:snapToGrid/>
        <w:spacing w:beforeAutospacing="0" w:afterAutospacing="0" w:line="400" w:lineRule="exact"/>
        <w:ind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w:t>
      </w:r>
      <w:r>
        <w:rPr>
          <w:rFonts w:hint="eastAsia" w:asciiTheme="minorEastAsia" w:hAnsiTheme="minorEastAsia" w:eastAsiaTheme="minorEastAsia" w:cstheme="minorEastAsia"/>
          <w:color w:val="000000"/>
          <w:kern w:val="0"/>
          <w:sz w:val="24"/>
          <w:szCs w:val="24"/>
          <w:u w:val="single"/>
          <w:lang w:val="en-US" w:eastAsia="zh-CN" w:bidi="ar-SA"/>
        </w:rPr>
        <w:t xml:space="preserve"> □ </w:t>
      </w:r>
      <w:r>
        <w:rPr>
          <w:rFonts w:hint="eastAsia" w:asciiTheme="minorEastAsia" w:hAnsiTheme="minorEastAsia" w:eastAsiaTheme="minorEastAsia" w:cstheme="minorEastAsia"/>
          <w:color w:val="000000"/>
          <w:kern w:val="0"/>
          <w:sz w:val="24"/>
          <w:szCs w:val="24"/>
          <w:lang w:val="en-US" w:eastAsia="zh-CN" w:bidi="ar-SA"/>
        </w:rPr>
        <w:t>本公司中标后合同总价不予分包，自愿放弃享受价格折扣率参加评审的权利。</w:t>
      </w:r>
    </w:p>
    <w:p w14:paraId="4CB98DCD">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4080" w:firstLineChars="1700"/>
        <w:jc w:val="both"/>
        <w:textAlignment w:val="auto"/>
        <w:rPr>
          <w:rFonts w:hint="eastAsia" w:asciiTheme="minorEastAsia" w:hAnsiTheme="minorEastAsia" w:eastAsiaTheme="minorEastAsia" w:cstheme="minorEastAsia"/>
          <w:color w:val="000000"/>
          <w:kern w:val="0"/>
          <w:sz w:val="24"/>
          <w:szCs w:val="24"/>
          <w:lang w:val="en-US" w:eastAsia="zh-CN" w:bidi="ar-SA"/>
        </w:rPr>
      </w:pPr>
    </w:p>
    <w:p w14:paraId="2C4CCD99">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法定代表人(负责人)姓名(签字)：</w:t>
      </w:r>
    </w:p>
    <w:p w14:paraId="6F5874B4">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身份证号：</w:t>
      </w:r>
    </w:p>
    <w:p w14:paraId="274E9003">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手机号：</w:t>
      </w:r>
    </w:p>
    <w:p w14:paraId="5438D7E7">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授权代表人姓名(签字)：</w:t>
      </w:r>
    </w:p>
    <w:p w14:paraId="45BD1C4C">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身份证号：</w:t>
      </w:r>
    </w:p>
    <w:p w14:paraId="73F9C556">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手机号：</w:t>
      </w:r>
    </w:p>
    <w:p w14:paraId="305062D1">
      <w:pPr>
        <w:keepNext w:val="0"/>
        <w:keepLines w:val="0"/>
        <w:pageBreakBefore w:val="0"/>
        <w:widowControl/>
        <w:kinsoku/>
        <w:wordWrap/>
        <w:overflowPunct/>
        <w:topLinePunct w:val="0"/>
        <w:bidi w:val="0"/>
        <w:snapToGrid/>
        <w:spacing w:beforeAutospacing="0" w:afterAutospacing="0" w:line="400" w:lineRule="exact"/>
        <w:ind w:left="76" w:firstLine="5359" w:firstLineChars="2233"/>
        <w:jc w:val="righ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公司（单位）名称（盖章） </w:t>
      </w:r>
    </w:p>
    <w:p w14:paraId="35A906FB">
      <w:pPr>
        <w:keepNext w:val="0"/>
        <w:keepLines w:val="0"/>
        <w:pageBreakBefore w:val="0"/>
        <w:widowControl/>
        <w:kinsoku/>
        <w:wordWrap/>
        <w:overflowPunct/>
        <w:topLinePunct w:val="0"/>
        <w:bidi w:val="0"/>
        <w:snapToGrid/>
        <w:spacing w:beforeAutospacing="0" w:afterAutospacing="0" w:line="400" w:lineRule="exact"/>
        <w:jc w:val="right"/>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u w:val="single"/>
          <w:lang w:val="en-US" w:eastAsia="zh-CN" w:bidi="ar-SA"/>
        </w:rPr>
        <w:t>     </w:t>
      </w:r>
      <w:r>
        <w:rPr>
          <w:rFonts w:hint="eastAsia" w:asciiTheme="minorEastAsia" w:hAnsiTheme="minorEastAsia" w:eastAsiaTheme="minorEastAsia" w:cstheme="minorEastAsia"/>
          <w:color w:val="000000"/>
          <w:kern w:val="0"/>
          <w:sz w:val="24"/>
          <w:szCs w:val="24"/>
          <w:lang w:val="en-US" w:eastAsia="zh-CN" w:bidi="ar-SA"/>
        </w:rPr>
        <w:t>年</w:t>
      </w:r>
      <w:r>
        <w:rPr>
          <w:rFonts w:hint="eastAsia" w:asciiTheme="minorEastAsia" w:hAnsiTheme="minorEastAsia" w:eastAsiaTheme="minorEastAsia" w:cstheme="minorEastAsia"/>
          <w:color w:val="000000"/>
          <w:kern w:val="0"/>
          <w:sz w:val="24"/>
          <w:szCs w:val="24"/>
          <w:u w:val="single"/>
          <w:lang w:val="en-US" w:eastAsia="zh-CN" w:bidi="ar-SA"/>
        </w:rPr>
        <w:t>   </w:t>
      </w:r>
      <w:r>
        <w:rPr>
          <w:rFonts w:hint="eastAsia" w:asciiTheme="minorEastAsia" w:hAnsiTheme="minorEastAsia" w:eastAsiaTheme="minorEastAsia" w:cstheme="minorEastAsia"/>
          <w:color w:val="000000"/>
          <w:kern w:val="0"/>
          <w:sz w:val="24"/>
          <w:szCs w:val="24"/>
          <w:lang w:val="en-US" w:eastAsia="zh-CN" w:bidi="ar-SA"/>
        </w:rPr>
        <w:t>月</w:t>
      </w:r>
      <w:r>
        <w:rPr>
          <w:rFonts w:hint="eastAsia" w:asciiTheme="minorEastAsia" w:hAnsiTheme="minorEastAsia" w:eastAsiaTheme="minorEastAsia" w:cstheme="minorEastAsia"/>
          <w:color w:val="000000"/>
          <w:kern w:val="0"/>
          <w:sz w:val="24"/>
          <w:szCs w:val="24"/>
          <w:u w:val="single"/>
          <w:lang w:val="en-US" w:eastAsia="zh-CN" w:bidi="ar-SA"/>
        </w:rPr>
        <w:t>   </w:t>
      </w:r>
      <w:r>
        <w:rPr>
          <w:rFonts w:hint="eastAsia" w:asciiTheme="minorEastAsia" w:hAnsiTheme="minorEastAsia" w:eastAsiaTheme="minorEastAsia" w:cstheme="minorEastAsia"/>
          <w:color w:val="000000"/>
          <w:kern w:val="0"/>
          <w:sz w:val="24"/>
          <w:szCs w:val="24"/>
          <w:lang w:val="en-US" w:eastAsia="zh-CN" w:bidi="ar-SA"/>
        </w:rPr>
        <w:t>日</w:t>
      </w:r>
    </w:p>
    <w:p w14:paraId="3751C1E9">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482" w:firstLineChars="200"/>
        <w:jc w:val="left"/>
        <w:textAlignment w:val="auto"/>
        <w:rPr>
          <w:rFonts w:ascii="黑体" w:hAnsi="宋体" w:eastAsia="宋体" w:cs="宋体"/>
          <w:color w:val="000000"/>
          <w:kern w:val="0"/>
          <w:sz w:val="21"/>
          <w:szCs w:val="21"/>
          <w:lang w:val="en-US" w:eastAsia="zh-CN" w:bidi="ar-SA"/>
        </w:rPr>
      </w:pPr>
      <w:r>
        <w:rPr>
          <w:rFonts w:hint="eastAsia" w:asciiTheme="minorEastAsia" w:hAnsiTheme="minorEastAsia" w:eastAsiaTheme="minorEastAsia" w:cstheme="minorEastAsia"/>
          <w:b/>
          <w:bCs/>
          <w:color w:val="000000"/>
          <w:kern w:val="0"/>
          <w:sz w:val="24"/>
          <w:szCs w:val="24"/>
          <w:u w:val="none"/>
          <w:lang w:val="en-US" w:eastAsia="zh-CN" w:bidi="ar-SA"/>
        </w:rPr>
        <w:t>注：大中型企业潜在投标人须在特别要求1和2两个选项中做出唯一选择，在</w:t>
      </w:r>
      <w:r>
        <w:rPr>
          <w:rFonts w:hint="eastAsia" w:asciiTheme="minorEastAsia" w:hAnsiTheme="minorEastAsia" w:eastAsiaTheme="minorEastAsia" w:cstheme="minorEastAsia"/>
          <w:b/>
          <w:bCs/>
          <w:color w:val="000000"/>
          <w:kern w:val="0"/>
          <w:sz w:val="24"/>
          <w:szCs w:val="24"/>
          <w:u w:val="single"/>
          <w:lang w:val="en-US" w:eastAsia="zh-CN" w:bidi="ar-SA"/>
        </w:rPr>
        <w:t>□</w:t>
      </w:r>
      <w:r>
        <w:rPr>
          <w:rFonts w:hint="eastAsia" w:asciiTheme="minorEastAsia" w:hAnsiTheme="minorEastAsia" w:eastAsiaTheme="minorEastAsia" w:cstheme="minorEastAsia"/>
          <w:b/>
          <w:bCs/>
          <w:color w:val="000000"/>
          <w:kern w:val="0"/>
          <w:sz w:val="24"/>
          <w:szCs w:val="24"/>
          <w:u w:val="none"/>
          <w:lang w:val="en-US" w:eastAsia="zh-CN" w:bidi="ar-SA"/>
        </w:rPr>
        <w:t>内打“√”进行选择，多选或未选视为无效投标，小型或微型企业无需选择特别要求内容。</w:t>
      </w:r>
      <w:r>
        <w:rPr>
          <w:rFonts w:ascii="黑体" w:hAnsi="Calibri" w:eastAsia="宋体" w:cs="Times New Roman"/>
          <w:color w:val="000000"/>
          <w:kern w:val="0"/>
          <w:sz w:val="32"/>
          <w:szCs w:val="32"/>
          <w:lang w:val="en-US" w:eastAsia="zh-CN" w:bidi="ar-SA"/>
        </w:rPr>
        <w:br w:type="page"/>
      </w:r>
      <w:bookmarkStart w:id="88" w:name="_Toc162171322"/>
      <w:r>
        <w:rPr>
          <w:rFonts w:hint="eastAsia" w:ascii="黑体" w:hAnsi="仿宋" w:eastAsia="宋体" w:cs="宋体"/>
          <w:color w:val="000000"/>
          <w:kern w:val="0"/>
          <w:sz w:val="21"/>
          <w:szCs w:val="21"/>
          <w:lang w:val="en-US" w:eastAsia="zh-CN" w:bidi="ar-SA"/>
        </w:rPr>
        <w:t>附件3-5 参加政府采购活动前3年内在经营活动中没有重大违法记录的书面声明</w:t>
      </w:r>
      <w:bookmarkEnd w:id="88"/>
    </w:p>
    <w:p w14:paraId="4F84E70A">
      <w:pPr>
        <w:adjustRightInd w:val="0"/>
        <w:snapToGrid w:val="0"/>
        <w:spacing w:line="360" w:lineRule="auto"/>
        <w:jc w:val="center"/>
        <w:rPr>
          <w:rFonts w:ascii="等线" w:hAnsi="等线" w:eastAsia="黑体" w:cs="Times New Roman"/>
          <w:b/>
          <w:color w:val="000000"/>
          <w:sz w:val="28"/>
          <w:szCs w:val="28"/>
        </w:rPr>
      </w:pPr>
    </w:p>
    <w:p w14:paraId="10DABF3A">
      <w:pPr>
        <w:widowControl/>
        <w:adjustRightInd w:val="0"/>
        <w:snapToGrid w:val="0"/>
        <w:spacing w:before="156" w:beforeLines="50" w:line="420" w:lineRule="exact"/>
        <w:jc w:val="center"/>
        <w:rPr>
          <w:rFonts w:hint="eastAsia" w:ascii="黑体" w:hAnsi="仿宋" w:eastAsia="黑体" w:cs="宋体"/>
          <w:b/>
          <w:color w:val="000000"/>
          <w:sz w:val="28"/>
          <w:szCs w:val="28"/>
        </w:rPr>
      </w:pPr>
      <w:r>
        <w:rPr>
          <w:rFonts w:hint="eastAsia" w:ascii="黑体" w:hAnsi="仿宋" w:eastAsia="黑体" w:cs="宋体"/>
          <w:b/>
          <w:color w:val="000000"/>
          <w:sz w:val="28"/>
          <w:szCs w:val="28"/>
        </w:rPr>
        <w:t>参加政府采购活动前三年内在经营活动中</w:t>
      </w:r>
    </w:p>
    <w:p w14:paraId="11F698D1">
      <w:pPr>
        <w:widowControl/>
        <w:adjustRightInd w:val="0"/>
        <w:snapToGrid w:val="0"/>
        <w:spacing w:before="156" w:beforeLines="50" w:line="420" w:lineRule="exact"/>
        <w:jc w:val="center"/>
        <w:rPr>
          <w:rFonts w:hint="eastAsia" w:ascii="黑体" w:hAnsi="仿宋" w:eastAsia="黑体" w:cs="宋体"/>
          <w:b/>
          <w:color w:val="000000"/>
          <w:sz w:val="28"/>
          <w:szCs w:val="28"/>
        </w:rPr>
      </w:pPr>
      <w:r>
        <w:rPr>
          <w:rFonts w:hint="eastAsia" w:ascii="黑体" w:hAnsi="仿宋" w:eastAsia="黑体" w:cs="宋体"/>
          <w:b/>
          <w:color w:val="000000"/>
          <w:sz w:val="28"/>
          <w:szCs w:val="28"/>
        </w:rPr>
        <w:t>没有重大违法记录的书面声明</w:t>
      </w:r>
    </w:p>
    <w:p w14:paraId="07E6E83E">
      <w:pPr>
        <w:spacing w:line="480" w:lineRule="exact"/>
        <w:ind w:right="23" w:rightChars="11"/>
        <w:rPr>
          <w:rFonts w:ascii="等线" w:hAnsi="等线" w:eastAsia="黑体" w:cs="Times New Roman"/>
          <w:color w:val="000000"/>
          <w:sz w:val="24"/>
          <w:szCs w:val="22"/>
        </w:rPr>
      </w:pPr>
    </w:p>
    <w:p w14:paraId="0D9F8CDD">
      <w:pPr>
        <w:adjustRightInd w:val="0"/>
        <w:snapToGrid w:val="0"/>
        <w:spacing w:before="156" w:beforeLines="50" w:line="360" w:lineRule="auto"/>
        <w:ind w:firstLine="480" w:firstLineChars="200"/>
        <w:rPr>
          <w:rFonts w:ascii="宋体" w:hAnsi="宋体" w:eastAsia="宋体" w:cs="宋体"/>
          <w:bCs/>
          <w:color w:val="000000"/>
          <w:sz w:val="24"/>
          <w:szCs w:val="24"/>
        </w:rPr>
      </w:pPr>
      <w:r>
        <w:rPr>
          <w:rFonts w:hint="eastAsia" w:ascii="宋体" w:hAnsi="宋体" w:eastAsia="宋体" w:cs="宋体"/>
          <w:bCs/>
          <w:color w:val="000000"/>
          <w:sz w:val="24"/>
          <w:szCs w:val="24"/>
        </w:rPr>
        <w:t>致</w:t>
      </w:r>
      <w:r>
        <w:rPr>
          <w:rFonts w:hint="eastAsia" w:ascii="宋体" w:hAnsi="宋体" w:eastAsia="宋体" w:cs="宋体"/>
          <w:bCs/>
          <w:color w:val="000000"/>
          <w:sz w:val="24"/>
          <w:szCs w:val="24"/>
          <w:u w:val="single"/>
        </w:rPr>
        <w:t xml:space="preserve">              (采购代理机构)</w:t>
      </w:r>
      <w:r>
        <w:rPr>
          <w:rFonts w:hint="eastAsia" w:ascii="宋体" w:hAnsi="宋体" w:eastAsia="宋体" w:cs="宋体"/>
          <w:bCs/>
          <w:color w:val="000000"/>
          <w:sz w:val="24"/>
          <w:szCs w:val="24"/>
        </w:rPr>
        <w:t>：</w:t>
      </w:r>
    </w:p>
    <w:p w14:paraId="218A7F5A">
      <w:pPr>
        <w:adjustRightInd w:val="0"/>
        <w:snapToGrid w:val="0"/>
        <w:spacing w:before="156" w:beforeLines="50" w:line="360" w:lineRule="auto"/>
        <w:ind w:firstLine="480" w:firstLineChars="200"/>
        <w:rPr>
          <w:rFonts w:ascii="宋体" w:hAnsi="宋体" w:eastAsia="宋体" w:cs="宋体"/>
          <w:bCs/>
          <w:color w:val="000000"/>
          <w:sz w:val="24"/>
          <w:szCs w:val="24"/>
        </w:rPr>
      </w:pPr>
    </w:p>
    <w:p w14:paraId="50E38629">
      <w:pPr>
        <w:topLinePunct/>
        <w:spacing w:line="360" w:lineRule="auto"/>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我单位在参加采购活动前三年内在经营活动中没有政府采购法第二十二条第一款第（五）项所称重大违法记录，包括：</w:t>
      </w:r>
    </w:p>
    <w:p w14:paraId="4231E0C3">
      <w:pPr>
        <w:topLinePunct/>
        <w:spacing w:line="360" w:lineRule="auto"/>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（一）我单位或者其法定代表人、董事、监事、高级管理人员因经营活动中的违法行为受到行政处罚，但警告和罚款额在 200 万元以下的行政处罚除外；法律、行政法规以及国务院有关部门明确规定相关领域“较大数额罚款”标准高于200万元的，从其规定。【依据财库〔2022〕3号“财政部关于《中华人民共和国政府采购法实施条例》第十九条第一款“较大数额罚款”具体适用问题的意见”】</w:t>
      </w:r>
    </w:p>
    <w:p w14:paraId="600DBC65">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（二）我单位或者其法定代表人、董事、监事、高级管理人员因经营活动中的违法行为受到刑事处罚。</w:t>
      </w:r>
    </w:p>
    <w:p w14:paraId="67CFFD08">
      <w:pPr>
        <w:spacing w:line="480" w:lineRule="exact"/>
        <w:rPr>
          <w:rFonts w:ascii="宋体" w:hAnsi="宋体" w:eastAsia="等线" w:cs="宋体"/>
          <w:color w:val="000000"/>
          <w:sz w:val="24"/>
          <w:szCs w:val="24"/>
        </w:rPr>
      </w:pPr>
    </w:p>
    <w:p w14:paraId="33F7F0FB">
      <w:pPr>
        <w:rPr>
          <w:rFonts w:ascii="宋体" w:hAnsi="宋体" w:eastAsia="等线" w:cs="宋体"/>
          <w:color w:val="000000"/>
          <w:sz w:val="24"/>
          <w:szCs w:val="24"/>
        </w:rPr>
      </w:pPr>
    </w:p>
    <w:p w14:paraId="2C6ABF73">
      <w:pPr>
        <w:spacing w:line="48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特此声明！</w:t>
      </w:r>
    </w:p>
    <w:p w14:paraId="149715CF">
      <w:pPr>
        <w:spacing w:line="480" w:lineRule="exact"/>
        <w:rPr>
          <w:rFonts w:ascii="宋体" w:hAnsi="宋体" w:eastAsia="等线" w:cs="宋体"/>
          <w:color w:val="000000"/>
          <w:sz w:val="24"/>
          <w:szCs w:val="24"/>
        </w:rPr>
      </w:pPr>
    </w:p>
    <w:p w14:paraId="2B02F4BB">
      <w:pPr>
        <w:spacing w:line="480" w:lineRule="exact"/>
        <w:rPr>
          <w:rFonts w:ascii="宋体" w:hAnsi="宋体" w:eastAsia="等线" w:cs="宋体"/>
          <w:color w:val="000000"/>
          <w:sz w:val="24"/>
          <w:szCs w:val="24"/>
        </w:rPr>
      </w:pPr>
    </w:p>
    <w:p w14:paraId="26F3D2D3">
      <w:pPr>
        <w:spacing w:line="480" w:lineRule="exact"/>
        <w:rPr>
          <w:rFonts w:ascii="宋体" w:hAnsi="宋体" w:eastAsia="等线" w:cs="宋体"/>
          <w:color w:val="000000"/>
          <w:sz w:val="24"/>
          <w:szCs w:val="24"/>
        </w:rPr>
      </w:pPr>
    </w:p>
    <w:p w14:paraId="41533041">
      <w:pPr>
        <w:spacing w:line="600" w:lineRule="auto"/>
        <w:ind w:firstLine="4560" w:firstLineChars="1900"/>
        <w:rPr>
          <w:rFonts w:ascii="宋体" w:hAnsi="宋体" w:eastAsia="宋体" w:cs="宋体"/>
          <w:color w:val="000000"/>
          <w:sz w:val="24"/>
          <w:szCs w:val="24"/>
        </w:rPr>
      </w:pPr>
      <w:r>
        <w:rPr>
          <w:rFonts w:hint="eastAsia" w:ascii="宋体" w:hAnsi="宋体" w:eastAsia="宋体" w:cs="宋体"/>
          <w:color w:val="000000"/>
          <w:sz w:val="24"/>
          <w:szCs w:val="24"/>
          <w:lang w:val="en-US" w:eastAsia="zh-CN"/>
        </w:rPr>
        <w:t>投标人</w:t>
      </w:r>
      <w:r>
        <w:rPr>
          <w:rFonts w:hint="eastAsia" w:ascii="宋体" w:hAnsi="宋体" w:eastAsia="宋体" w:cs="宋体"/>
          <w:color w:val="000000"/>
          <w:sz w:val="24"/>
          <w:szCs w:val="24"/>
        </w:rPr>
        <w:t>名称（单位章）：</w:t>
      </w:r>
    </w:p>
    <w:p w14:paraId="12E0B691">
      <w:pPr>
        <w:spacing w:line="600" w:lineRule="auto"/>
        <w:ind w:firstLine="4560" w:firstLineChars="1900"/>
        <w:rPr>
          <w:rFonts w:ascii="宋体" w:hAnsi="宋体" w:eastAsia="宋体" w:cs="宋体"/>
          <w:color w:val="000000"/>
          <w:sz w:val="24"/>
          <w:szCs w:val="24"/>
        </w:rPr>
      </w:pPr>
      <w:r>
        <w:rPr>
          <w:rFonts w:hint="eastAsia" w:ascii="宋体" w:hAnsi="宋体" w:eastAsia="宋体" w:cs="宋体"/>
          <w:color w:val="000000"/>
          <w:sz w:val="24"/>
          <w:szCs w:val="24"/>
        </w:rPr>
        <w:t>法定代表人或其委托代理人（签字）：</w:t>
      </w:r>
    </w:p>
    <w:p w14:paraId="63E03D0D">
      <w:pPr>
        <w:spacing w:line="600" w:lineRule="auto"/>
        <w:ind w:firstLine="4560" w:firstLineChars="1900"/>
        <w:rPr>
          <w:rFonts w:ascii="宋体" w:hAnsi="宋体" w:eastAsia="宋体" w:cs="宋体"/>
          <w:color w:val="000000"/>
          <w:sz w:val="24"/>
          <w:szCs w:val="24"/>
        </w:rPr>
      </w:pPr>
      <w:r>
        <w:rPr>
          <w:rFonts w:hint="eastAsia" w:ascii="宋体" w:hAnsi="宋体" w:eastAsia="宋体" w:cs="宋体"/>
          <w:color w:val="000000"/>
          <w:sz w:val="24"/>
          <w:szCs w:val="24"/>
        </w:rPr>
        <w:t>日期：     年     月     日</w:t>
      </w:r>
    </w:p>
    <w:p w14:paraId="0AD08C9A">
      <w:pPr>
        <w:rPr>
          <w:rFonts w:ascii="宋体" w:hAnsi="宋体" w:eastAsia="宋体" w:cs="宋体"/>
          <w:color w:val="000000"/>
          <w:sz w:val="24"/>
          <w:szCs w:val="24"/>
        </w:rPr>
      </w:pPr>
      <w:r>
        <w:rPr>
          <w:rFonts w:hint="eastAsia" w:ascii="宋体" w:hAnsi="宋体" w:eastAsia="宋体" w:cs="宋体"/>
          <w:color w:val="000000"/>
          <w:sz w:val="24"/>
          <w:szCs w:val="24"/>
        </w:rPr>
        <w:br w:type="page"/>
      </w:r>
    </w:p>
    <w:p w14:paraId="04C3623A">
      <w:pPr>
        <w:keepNext/>
        <w:keepLines/>
        <w:widowControl w:val="0"/>
        <w:adjustRightInd w:val="0"/>
        <w:snapToGrid w:val="0"/>
        <w:spacing w:before="156" w:beforeLines="50" w:after="0" w:line="420" w:lineRule="exact"/>
        <w:jc w:val="both"/>
        <w:outlineLvl w:val="3"/>
        <w:rPr>
          <w:rFonts w:hint="eastAsia" w:ascii="黑体" w:hAnsi="仿宋" w:eastAsia="黑体" w:cs="宋体"/>
          <w:bCs/>
          <w:color w:val="000000"/>
          <w:kern w:val="2"/>
          <w:sz w:val="21"/>
          <w:szCs w:val="21"/>
          <w:lang w:val="en-US" w:eastAsia="zh-CN" w:bidi="ar-SA"/>
        </w:rPr>
      </w:pPr>
      <w:r>
        <w:rPr>
          <w:rFonts w:hint="eastAsia" w:ascii="黑体" w:hAnsi="仿宋" w:eastAsia="黑体" w:cs="宋体"/>
          <w:bCs/>
          <w:color w:val="000000"/>
          <w:kern w:val="2"/>
          <w:sz w:val="21"/>
          <w:szCs w:val="21"/>
          <w:lang w:val="en-US" w:eastAsia="zh-CN" w:bidi="ar-SA"/>
        </w:rPr>
        <w:t>附件3-6 存在关联关系的供应商不参与政府采购项目竞争的承诺书</w:t>
      </w:r>
    </w:p>
    <w:p w14:paraId="0395F7CF">
      <w:pPr>
        <w:widowControl/>
        <w:adjustRightInd w:val="0"/>
        <w:snapToGrid w:val="0"/>
        <w:spacing w:before="156" w:beforeLines="50" w:line="420" w:lineRule="exact"/>
        <w:jc w:val="center"/>
        <w:rPr>
          <w:rFonts w:hint="eastAsia" w:ascii="黑体" w:hAnsi="仿宋" w:eastAsia="黑体" w:cs="宋体"/>
          <w:b/>
          <w:color w:val="000000"/>
          <w:sz w:val="28"/>
          <w:szCs w:val="28"/>
          <w:lang w:val="en-US" w:eastAsia="zh-CN"/>
        </w:rPr>
      </w:pPr>
      <w:r>
        <w:rPr>
          <w:rFonts w:hint="eastAsia" w:ascii="黑体" w:hAnsi="仿宋" w:eastAsia="黑体" w:cs="宋体"/>
          <w:b/>
          <w:color w:val="000000"/>
          <w:sz w:val="28"/>
          <w:szCs w:val="28"/>
          <w:lang w:val="en-US" w:eastAsia="zh-CN"/>
        </w:rPr>
        <w:t>存在关联关系的供应商不参与政府采购项目竞争的承诺书</w:t>
      </w:r>
    </w:p>
    <w:p w14:paraId="6C8E89B8">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p>
    <w:p w14:paraId="5860A045">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根据《政府采购法实施条例》第十八条的规定，本公司郑重承诺：</w:t>
      </w:r>
    </w:p>
    <w:p w14:paraId="1DCCB6DE">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1、本公司与参与该项目的其他供应商不存在单位负责人为同一人或者存在直接控股、管理关系。</w:t>
      </w:r>
    </w:p>
    <w:p w14:paraId="49CA6465">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2、为本项目提供整体设计、规范编制或者项目管理、监理、检测等服务的供应商，不参加该采购项目的其他采购活动。</w:t>
      </w:r>
    </w:p>
    <w:p w14:paraId="65F28D88">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本公司对上述承诺的真实性负责。如有虚假，依法承担相应的法律责任。</w:t>
      </w:r>
    </w:p>
    <w:p w14:paraId="316EB58D">
      <w:pPr>
        <w:adjustRightInd w:val="0"/>
        <w:snapToGrid w:val="0"/>
        <w:spacing w:line="420" w:lineRule="exact"/>
        <w:rPr>
          <w:rFonts w:hint="eastAsia" w:ascii="宋体" w:hAnsi="宋体" w:eastAsia="宋体" w:cs="宋体"/>
          <w:color w:val="000000"/>
          <w:sz w:val="24"/>
          <w:szCs w:val="24"/>
        </w:rPr>
      </w:pPr>
    </w:p>
    <w:p w14:paraId="5F13B467">
      <w:pPr>
        <w:adjustRightInd w:val="0"/>
        <w:snapToGrid w:val="0"/>
        <w:spacing w:line="420" w:lineRule="exact"/>
        <w:rPr>
          <w:rFonts w:hint="eastAsia" w:ascii="宋体" w:hAnsi="宋体" w:eastAsia="宋体" w:cs="宋体"/>
          <w:color w:val="000000"/>
          <w:sz w:val="24"/>
          <w:szCs w:val="24"/>
        </w:rPr>
      </w:pPr>
    </w:p>
    <w:p w14:paraId="20086F6A">
      <w:pPr>
        <w:adjustRightInd w:val="0"/>
        <w:snapToGrid w:val="0"/>
        <w:spacing w:line="420" w:lineRule="exact"/>
        <w:rPr>
          <w:rFonts w:hint="eastAsia" w:ascii="宋体" w:hAnsi="宋体" w:eastAsia="宋体" w:cs="宋体"/>
          <w:color w:val="000000"/>
          <w:sz w:val="24"/>
          <w:szCs w:val="24"/>
        </w:rPr>
      </w:pPr>
    </w:p>
    <w:p w14:paraId="679CAF2B">
      <w:pPr>
        <w:adjustRightInd w:val="0"/>
        <w:snapToGrid w:val="0"/>
        <w:spacing w:line="420" w:lineRule="exact"/>
        <w:rPr>
          <w:rFonts w:hint="eastAsia" w:ascii="宋体" w:hAnsi="宋体" w:eastAsia="宋体" w:cs="宋体"/>
          <w:color w:val="000000"/>
          <w:sz w:val="24"/>
          <w:szCs w:val="24"/>
        </w:rPr>
      </w:pPr>
    </w:p>
    <w:p w14:paraId="0CDA1429">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投标人名称（盖单位章）：</w:t>
      </w:r>
    </w:p>
    <w:p w14:paraId="1ED3C047">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法定代表人或其授权的代理人（签字或印章）：</w:t>
      </w:r>
    </w:p>
    <w:p w14:paraId="5D09AF91">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日期：</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年</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月</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日</w:t>
      </w:r>
    </w:p>
    <w:p w14:paraId="29B295DC">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p>
    <w:p w14:paraId="21F07AE3">
      <w:pPr>
        <w:rPr>
          <w:rFonts w:ascii="等线" w:hAnsi="等线" w:eastAsia="等线" w:cs="Times New Roman"/>
          <w:color w:val="000000"/>
          <w:szCs w:val="22"/>
        </w:rPr>
      </w:pPr>
      <w:r>
        <w:rPr>
          <w:rFonts w:ascii="等线" w:hAnsi="等线" w:eastAsia="等线" w:cs="Times New Roman"/>
          <w:color w:val="000000"/>
          <w:szCs w:val="22"/>
        </w:rPr>
        <w:br w:type="page"/>
      </w:r>
    </w:p>
    <w:p w14:paraId="4D72AF16">
      <w:pPr>
        <w:keepNext/>
        <w:keepLines/>
        <w:widowControl w:val="0"/>
        <w:spacing w:before="0" w:after="290" w:line="480" w:lineRule="auto"/>
        <w:jc w:val="both"/>
        <w:outlineLvl w:val="3"/>
        <w:rPr>
          <w:rFonts w:hint="eastAsia" w:ascii="黑体" w:hAnsi="仿宋" w:eastAsia="黑体" w:cs="宋体"/>
          <w:bCs/>
          <w:color w:val="000000"/>
          <w:kern w:val="2"/>
          <w:sz w:val="21"/>
          <w:szCs w:val="21"/>
          <w:lang w:val="en-US" w:eastAsia="zh-CN" w:bidi="ar-SA"/>
        </w:rPr>
      </w:pPr>
      <w:r>
        <w:rPr>
          <w:rFonts w:hint="eastAsia" w:ascii="黑体" w:hAnsi="仿宋" w:eastAsia="黑体" w:cs="宋体"/>
          <w:bCs/>
          <w:color w:val="000000"/>
          <w:kern w:val="2"/>
          <w:sz w:val="21"/>
          <w:szCs w:val="21"/>
          <w:lang w:val="en-US" w:eastAsia="zh-CN" w:bidi="ar-SA"/>
        </w:rPr>
        <w:t>附件3-7无重大违法记录声明函、无不良信用记录声明函</w:t>
      </w:r>
    </w:p>
    <w:p w14:paraId="6302AB6C">
      <w:pPr>
        <w:widowControl/>
        <w:adjustRightInd w:val="0"/>
        <w:snapToGrid w:val="0"/>
        <w:spacing w:before="156" w:beforeLines="50" w:line="420" w:lineRule="exact"/>
        <w:jc w:val="center"/>
        <w:rPr>
          <w:rFonts w:hint="eastAsia" w:ascii="黑体" w:hAnsi="仿宋" w:eastAsia="黑体" w:cs="宋体"/>
          <w:b/>
          <w:color w:val="000000"/>
          <w:sz w:val="28"/>
          <w:szCs w:val="28"/>
          <w:lang w:val="en-US" w:eastAsia="zh-CN"/>
        </w:rPr>
      </w:pPr>
      <w:r>
        <w:rPr>
          <w:rFonts w:hint="eastAsia" w:ascii="黑体" w:hAnsi="仿宋" w:eastAsia="黑体" w:cs="宋体"/>
          <w:b/>
          <w:color w:val="000000"/>
          <w:sz w:val="28"/>
          <w:szCs w:val="28"/>
          <w:lang w:val="en-US" w:eastAsia="zh-CN"/>
        </w:rPr>
        <w:t>无重大违法记录声明函、无不良信用记录声明函</w:t>
      </w:r>
    </w:p>
    <w:p w14:paraId="11F7E1D3">
      <w:pPr>
        <w:widowControl w:val="0"/>
        <w:adjustRightInd w:val="0"/>
        <w:snapToGrid w:val="0"/>
        <w:spacing w:before="312" w:beforeLines="100" w:line="440" w:lineRule="exact"/>
        <w:ind w:firstLine="480" w:firstLineChars="200"/>
        <w:jc w:val="center"/>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w:t>
      </w:r>
      <w:r>
        <w:rPr>
          <w:rFonts w:ascii="Times New Roman" w:hAnsi="Times New Roman" w:eastAsia="宋体" w:cs="Times New Roman"/>
          <w:color w:val="000000"/>
          <w:kern w:val="2"/>
          <w:sz w:val="24"/>
          <w:szCs w:val="22"/>
          <w:lang w:val="en-US" w:eastAsia="zh-CN" w:bidi="ar-SA"/>
        </w:rPr>
        <w:t>联合体参加投标的，联合体各方均须提供）</w:t>
      </w:r>
    </w:p>
    <w:p w14:paraId="6DAE3F9A">
      <w:pPr>
        <w:widowControl w:val="0"/>
        <w:adjustRightInd w:val="0"/>
        <w:snapToGrid w:val="0"/>
        <w:spacing w:before="312" w:beforeLines="100" w:line="440" w:lineRule="exact"/>
        <w:ind w:left="420" w:leftChars="200"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w:t>
      </w:r>
      <w:r>
        <w:rPr>
          <w:rFonts w:ascii="Times New Roman" w:hAnsi="Times New Roman" w:eastAsia="宋体" w:cs="Times New Roman"/>
          <w:color w:val="000000"/>
          <w:kern w:val="2"/>
          <w:sz w:val="24"/>
          <w:szCs w:val="22"/>
          <w:lang w:val="en-US" w:eastAsia="zh-CN" w:bidi="ar-SA"/>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60B78AC0">
      <w:pPr>
        <w:widowControl w:val="0"/>
        <w:adjustRightInd w:val="0"/>
        <w:snapToGrid w:val="0"/>
        <w:spacing w:before="312" w:beforeLines="100" w:line="440" w:lineRule="exact"/>
        <w:ind w:left="420" w:leftChars="200"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w:t>
      </w:r>
      <w:r>
        <w:rPr>
          <w:rFonts w:ascii="Times New Roman" w:hAnsi="Times New Roman" w:eastAsia="宋体" w:cs="Times New Roman"/>
          <w:color w:val="000000"/>
          <w:kern w:val="2"/>
          <w:sz w:val="24"/>
          <w:szCs w:val="22"/>
          <w:lang w:val="en-US" w:eastAsia="zh-CN" w:bidi="ar-SA"/>
        </w:rPr>
        <w:t>本单位郑重声明，我单位无以下不良信用记录情形：</w:t>
      </w:r>
    </w:p>
    <w:p w14:paraId="5CB8CD23">
      <w:pPr>
        <w:widowControl w:val="0"/>
        <w:adjustRightInd w:val="0"/>
        <w:snapToGrid w:val="0"/>
        <w:spacing w:before="312" w:beforeLines="100" w:line="440" w:lineRule="exact"/>
        <w:ind w:left="420" w:leftChars="200"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（1）</w:t>
      </w:r>
      <w:r>
        <w:rPr>
          <w:rFonts w:ascii="Times New Roman" w:hAnsi="Times New Roman" w:eastAsia="宋体" w:cs="Times New Roman"/>
          <w:color w:val="000000"/>
          <w:kern w:val="2"/>
          <w:sz w:val="24"/>
          <w:szCs w:val="22"/>
          <w:lang w:val="en-US" w:eastAsia="zh-CN" w:bidi="ar-SA"/>
        </w:rPr>
        <w:t>被人民法院列入失信被执行人；</w:t>
      </w:r>
    </w:p>
    <w:p w14:paraId="08FFAAD5">
      <w:pPr>
        <w:widowControl w:val="0"/>
        <w:adjustRightInd w:val="0"/>
        <w:snapToGrid w:val="0"/>
        <w:spacing w:before="312" w:beforeLines="100" w:line="440" w:lineRule="exact"/>
        <w:ind w:left="420" w:leftChars="200"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w:t>
      </w:r>
      <w:r>
        <w:rPr>
          <w:rFonts w:ascii="Times New Roman" w:hAnsi="Times New Roman" w:eastAsia="宋体" w:cs="Times New Roman"/>
          <w:color w:val="000000"/>
          <w:kern w:val="2"/>
          <w:sz w:val="24"/>
          <w:szCs w:val="22"/>
          <w:lang w:val="en-US" w:eastAsia="zh-CN" w:bidi="ar-SA"/>
        </w:rPr>
        <w:t>单位、法定代表人或拟派项目经理（项目负责人）被人民检察院列入行贿犯罪档案；</w:t>
      </w:r>
    </w:p>
    <w:p w14:paraId="596D6A52">
      <w:pPr>
        <w:widowControl w:val="0"/>
        <w:adjustRightInd w:val="0"/>
        <w:snapToGrid w:val="0"/>
        <w:spacing w:before="312" w:beforeLines="100" w:line="440" w:lineRule="exact"/>
        <w:ind w:left="420" w:leftChars="200"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w:t>
      </w:r>
      <w:r>
        <w:rPr>
          <w:rFonts w:ascii="Times New Roman" w:hAnsi="Times New Roman" w:eastAsia="宋体" w:cs="Times New Roman"/>
          <w:color w:val="000000"/>
          <w:kern w:val="2"/>
          <w:sz w:val="24"/>
          <w:szCs w:val="22"/>
          <w:lang w:val="en-US" w:eastAsia="zh-CN" w:bidi="ar-SA"/>
        </w:rPr>
        <w:t>被工商行政管理部门列入企业经营异常名录；</w:t>
      </w:r>
    </w:p>
    <w:p w14:paraId="0D11619F">
      <w:pPr>
        <w:widowControl w:val="0"/>
        <w:adjustRightInd w:val="0"/>
        <w:snapToGrid w:val="0"/>
        <w:spacing w:before="312" w:beforeLines="100" w:line="440" w:lineRule="exact"/>
        <w:ind w:left="420" w:leftChars="200"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（4）</w:t>
      </w:r>
      <w:r>
        <w:rPr>
          <w:rFonts w:ascii="Times New Roman" w:hAnsi="Times New Roman" w:eastAsia="宋体" w:cs="Times New Roman"/>
          <w:color w:val="000000"/>
          <w:kern w:val="2"/>
          <w:sz w:val="24"/>
          <w:szCs w:val="22"/>
          <w:lang w:val="en-US" w:eastAsia="zh-CN" w:bidi="ar-SA"/>
        </w:rPr>
        <w:t>被税务部门列入重大税收违法案件当事人名单；</w:t>
      </w:r>
    </w:p>
    <w:p w14:paraId="16E510C1">
      <w:pPr>
        <w:widowControl w:val="0"/>
        <w:adjustRightInd w:val="0"/>
        <w:snapToGrid w:val="0"/>
        <w:spacing w:before="312" w:beforeLines="100" w:line="440" w:lineRule="exact"/>
        <w:ind w:left="420" w:leftChars="200"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（5）</w:t>
      </w:r>
      <w:r>
        <w:rPr>
          <w:rFonts w:ascii="Times New Roman" w:hAnsi="Times New Roman" w:eastAsia="宋体" w:cs="Times New Roman"/>
          <w:color w:val="000000"/>
          <w:kern w:val="2"/>
          <w:sz w:val="24"/>
          <w:szCs w:val="22"/>
          <w:lang w:val="en-US" w:eastAsia="zh-CN" w:bidi="ar-SA"/>
        </w:rPr>
        <w:t>被政府采购监管部门列入政府采购严重违法失信行为记录名单。</w:t>
      </w:r>
    </w:p>
    <w:p w14:paraId="01E7E2A8">
      <w:pPr>
        <w:widowControl w:val="0"/>
        <w:adjustRightInd w:val="0"/>
        <w:snapToGrid w:val="0"/>
        <w:spacing w:before="312" w:beforeLines="100" w:line="440" w:lineRule="exact"/>
        <w:ind w:left="420" w:leftChars="200"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3.</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w:t>
      </w:r>
    </w:p>
    <w:p w14:paraId="7A7A2A98">
      <w:pPr>
        <w:widowControl w:val="0"/>
        <w:adjustRightInd w:val="0"/>
        <w:snapToGrid w:val="0"/>
        <w:spacing w:before="312" w:beforeLines="100" w:line="440" w:lineRule="exact"/>
        <w:ind w:left="420" w:leftChars="200" w:firstLine="480" w:firstLineChars="200"/>
        <w:jc w:val="both"/>
        <w:rPr>
          <w:rFonts w:ascii="Times New Roman" w:hAnsi="Times New Roman" w:eastAsia="宋体" w:cs="Times New Roman"/>
          <w:color w:val="000000"/>
          <w:kern w:val="2"/>
          <w:sz w:val="24"/>
          <w:szCs w:val="22"/>
          <w:lang w:val="en-US" w:eastAsia="zh-CN" w:bidi="ar-SA"/>
        </w:rPr>
      </w:pPr>
      <w:r>
        <w:rPr>
          <w:rFonts w:ascii="Times New Roman" w:hAnsi="Times New Roman" w:eastAsia="宋体" w:cs="Times New Roman"/>
          <w:color w:val="000000"/>
          <w:kern w:val="2"/>
          <w:sz w:val="24"/>
          <w:szCs w:val="22"/>
          <w:lang w:val="en-US" w:eastAsia="zh-CN" w:bidi="ar-SA"/>
        </w:rPr>
        <w:t>本单位对上述声明的真实性负责。如有虚假，将依法承担相应责任。</w:t>
      </w:r>
    </w:p>
    <w:p w14:paraId="1E17D9A8">
      <w:pPr>
        <w:adjustRightInd w:val="0"/>
        <w:snapToGrid w:val="0"/>
        <w:spacing w:line="420" w:lineRule="exact"/>
        <w:rPr>
          <w:rFonts w:hint="eastAsia" w:ascii="宋体" w:hAnsi="宋体" w:eastAsia="宋体" w:cs="宋体"/>
          <w:color w:val="000000"/>
          <w:sz w:val="24"/>
          <w:szCs w:val="24"/>
        </w:rPr>
      </w:pPr>
    </w:p>
    <w:p w14:paraId="3A9D85FA">
      <w:pPr>
        <w:adjustRightInd w:val="0"/>
        <w:snapToGrid w:val="0"/>
        <w:spacing w:line="420" w:lineRule="exact"/>
        <w:rPr>
          <w:rFonts w:hint="eastAsia" w:ascii="宋体" w:hAnsi="宋体" w:eastAsia="宋体" w:cs="宋体"/>
          <w:color w:val="000000"/>
          <w:sz w:val="24"/>
          <w:szCs w:val="24"/>
        </w:rPr>
      </w:pPr>
    </w:p>
    <w:p w14:paraId="70E14F78">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投标人名称（盖单位章）：</w:t>
      </w:r>
    </w:p>
    <w:p w14:paraId="3ADA6B8D">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法定代表人或其授权的代理人（签字或印章）：</w:t>
      </w:r>
    </w:p>
    <w:p w14:paraId="31027F5F">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日期：</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年</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月</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日</w:t>
      </w:r>
    </w:p>
    <w:p w14:paraId="39B73B32">
      <w:pPr>
        <w:rPr>
          <w:rFonts w:hint="eastAsia" w:ascii="黑体" w:hAnsi="仿宋" w:eastAsia="等线" w:cs="宋体"/>
          <w:color w:val="000000"/>
          <w:sz w:val="21"/>
          <w:szCs w:val="21"/>
        </w:rPr>
      </w:pPr>
      <w:r>
        <w:rPr>
          <w:rFonts w:hint="eastAsia" w:ascii="黑体" w:hAnsi="仿宋" w:eastAsia="等线" w:cs="宋体"/>
          <w:color w:val="000000"/>
          <w:sz w:val="21"/>
          <w:szCs w:val="21"/>
        </w:rPr>
        <w:br w:type="page"/>
      </w:r>
    </w:p>
    <w:p w14:paraId="00F5E8E7">
      <w:pPr>
        <w:keepNext/>
        <w:keepLines/>
        <w:widowControl w:val="0"/>
        <w:spacing w:before="0" w:after="290" w:line="480" w:lineRule="auto"/>
        <w:jc w:val="both"/>
        <w:outlineLvl w:val="3"/>
        <w:rPr>
          <w:rFonts w:hint="eastAsia" w:ascii="黑体" w:hAnsi="仿宋" w:eastAsia="黑体" w:cs="宋体"/>
          <w:bCs/>
          <w:color w:val="000000"/>
          <w:kern w:val="2"/>
          <w:sz w:val="21"/>
          <w:szCs w:val="21"/>
          <w:lang w:val="en-US" w:eastAsia="zh-CN" w:bidi="ar-SA"/>
        </w:rPr>
      </w:pPr>
      <w:r>
        <w:rPr>
          <w:rFonts w:hint="eastAsia" w:ascii="黑体" w:hAnsi="仿宋" w:eastAsia="黑体" w:cs="宋体"/>
          <w:bCs/>
          <w:color w:val="000000"/>
          <w:kern w:val="2"/>
          <w:sz w:val="21"/>
          <w:szCs w:val="21"/>
          <w:lang w:val="en-US" w:eastAsia="zh-CN" w:bidi="ar-SA"/>
        </w:rPr>
        <w:t>附件3-8 联合体协议书（格式）</w:t>
      </w:r>
    </w:p>
    <w:p w14:paraId="0CBD77BF">
      <w:pPr>
        <w:widowControl/>
        <w:adjustRightInd w:val="0"/>
        <w:snapToGrid w:val="0"/>
        <w:spacing w:before="156" w:beforeLines="50" w:line="420" w:lineRule="exact"/>
        <w:jc w:val="center"/>
        <w:rPr>
          <w:rFonts w:hint="eastAsia" w:ascii="黑体" w:hAnsi="仿宋" w:eastAsia="黑体" w:cs="宋体"/>
          <w:b/>
          <w:color w:val="000000"/>
          <w:sz w:val="28"/>
          <w:szCs w:val="28"/>
          <w:lang w:val="en-US" w:eastAsia="zh-CN"/>
        </w:rPr>
      </w:pPr>
      <w:r>
        <w:rPr>
          <w:rFonts w:hint="eastAsia" w:ascii="黑体" w:hAnsi="仿宋" w:eastAsia="黑体" w:cs="宋体"/>
          <w:b/>
          <w:color w:val="000000"/>
          <w:sz w:val="28"/>
          <w:szCs w:val="28"/>
          <w:lang w:val="en-US" w:eastAsia="zh-CN"/>
        </w:rPr>
        <w:t>联合体协议书（格式）</w:t>
      </w:r>
    </w:p>
    <w:p w14:paraId="768D6249">
      <w:pPr>
        <w:widowControl w:val="0"/>
        <w:adjustRightInd w:val="0"/>
        <w:snapToGrid w:val="0"/>
        <w:spacing w:before="312" w:beforeLines="100" w:line="440" w:lineRule="exact"/>
        <w:ind w:firstLine="0" w:firstLineChars="0"/>
        <w:jc w:val="center"/>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（不允许联合体投标或未组成联合体投标，不需此件）</w:t>
      </w:r>
    </w:p>
    <w:p w14:paraId="760C3E90">
      <w:pPr>
        <w:widowControl w:val="0"/>
        <w:adjustRightInd w:val="0"/>
        <w:snapToGrid w:val="0"/>
        <w:spacing w:before="312" w:beforeLines="100" w:line="440" w:lineRule="exact"/>
        <w:ind w:firstLine="0" w:firstLineChars="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致</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（采购人、采购代理机构）：</w:t>
      </w:r>
    </w:p>
    <w:p w14:paraId="4307B5C4">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 xml:space="preserve">经研究，我们决定自愿组成联合体共同参加 </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（项目名称）（委托代理编号：</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 xml:space="preserve">  ）项目的投标。现就联合体投标事宜订立如下协议：</w:t>
      </w:r>
    </w:p>
    <w:p w14:paraId="4F3653C6">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一、联合体基本信息：</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（各方公司名称、地址、注册资金、营业执照、法定代表人（单位负责人）姓名）</w:t>
      </w:r>
    </w:p>
    <w:p w14:paraId="54EEC911">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二、</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（某成员单位名称）为</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（联合体名称）牵头人。</w:t>
      </w:r>
    </w:p>
    <w:p w14:paraId="6725D930">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06F6B1CD">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四、联合体将严格按照招标文件的各项要求，递交投标文件，参加投标，履行中标义务和中标后的合同，并向采购人承担连带责任。</w:t>
      </w:r>
    </w:p>
    <w:p w14:paraId="307220D5">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五、联合体各成员单位内部的职责分工如下：</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 xml:space="preserve"> 。按照本条上述分工，联合体各成员的协议合同金额占联合体协议合同总金额比例如下：</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 xml:space="preserve"> 。</w:t>
      </w:r>
    </w:p>
    <w:p w14:paraId="2EB136E9">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六、本协议书自签署之日起生效，合同履行完毕后自动失效。</w:t>
      </w:r>
    </w:p>
    <w:p w14:paraId="78128D39">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七、本协议书一式</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份，联合体成员和采购人各执一份。</w:t>
      </w:r>
    </w:p>
    <w:p w14:paraId="0DD2C434">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牵头人名称（盖单位章）：</w:t>
      </w:r>
    </w:p>
    <w:p w14:paraId="55B97B29">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 xml:space="preserve">法定代表人（单位负责人）（签字或印章）：                          </w:t>
      </w:r>
    </w:p>
    <w:p w14:paraId="2AD5C938">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成员1名称（盖单位章）：</w:t>
      </w:r>
    </w:p>
    <w:p w14:paraId="7FBBEE06">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 xml:space="preserve">法定代表人（单位负责人）（签字或印章）：                                                   </w:t>
      </w:r>
    </w:p>
    <w:p w14:paraId="704C19CC">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w:t>
      </w:r>
    </w:p>
    <w:p w14:paraId="32AC36CD">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 xml:space="preserve">日   期：        年        月        日  </w:t>
      </w:r>
    </w:p>
    <w:p w14:paraId="5F0BFC26">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注：1、本协议书由委托代理人签字的，应附法定代表人（单位负责人）授权委托书。</w:t>
      </w:r>
    </w:p>
    <w:p w14:paraId="0010A7E3">
      <w:pPr>
        <w:widowControl w:val="0"/>
        <w:adjustRightInd w:val="0"/>
        <w:snapToGrid w:val="0"/>
        <w:spacing w:before="312" w:beforeLines="100" w:line="440" w:lineRule="exact"/>
        <w:ind w:firstLine="960" w:firstLineChars="4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2、投标人在提交投标文件的截止时间前修改“开标一览表”中的投标报价。影响本协议书第五条的，应同时修改本协议书第五条。否则，评审时价格评审优惠不予以考虑。</w:t>
      </w:r>
    </w:p>
    <w:p w14:paraId="2869B8DC">
      <w:pPr>
        <w:rPr>
          <w:rFonts w:ascii="等线" w:hAnsi="等线" w:eastAsia="等线" w:cs="Times New Roman"/>
          <w:color w:val="000000"/>
          <w:szCs w:val="22"/>
        </w:rPr>
      </w:pPr>
    </w:p>
    <w:p w14:paraId="1E3450C6">
      <w:pPr>
        <w:rPr>
          <w:rFonts w:hint="eastAsia" w:ascii="等线" w:hAnsi="宋体" w:eastAsia="等线" w:cs="Times New Roman"/>
          <w:bCs/>
          <w:color w:val="000000"/>
          <w:sz w:val="84"/>
          <w:szCs w:val="84"/>
        </w:rPr>
      </w:pPr>
    </w:p>
    <w:p w14:paraId="6D7E7FA9">
      <w:pPr>
        <w:rPr>
          <w:rFonts w:hint="eastAsia" w:ascii="等线" w:hAnsi="宋体" w:eastAsia="等线" w:cs="Times New Roman"/>
          <w:bCs/>
          <w:color w:val="000000"/>
          <w:sz w:val="84"/>
          <w:szCs w:val="84"/>
        </w:rPr>
      </w:pPr>
    </w:p>
    <w:p w14:paraId="11F4B54F">
      <w:pPr>
        <w:rPr>
          <w:rFonts w:hint="eastAsia" w:ascii="等线" w:hAnsi="宋体" w:eastAsia="等线" w:cs="Times New Roman"/>
          <w:bCs/>
          <w:color w:val="000000"/>
          <w:sz w:val="84"/>
          <w:szCs w:val="84"/>
        </w:rPr>
      </w:pPr>
      <w:r>
        <w:rPr>
          <w:rFonts w:hint="eastAsia" w:ascii="等线" w:hAnsi="宋体" w:eastAsia="等线" w:cs="Times New Roman"/>
          <w:bCs/>
          <w:color w:val="000000"/>
          <w:sz w:val="84"/>
          <w:szCs w:val="84"/>
        </w:rPr>
        <w:br w:type="page"/>
      </w:r>
    </w:p>
    <w:p w14:paraId="66C65F5E">
      <w:pPr>
        <w:widowControl w:val="0"/>
        <w:adjustRightInd w:val="0"/>
        <w:snapToGrid w:val="0"/>
        <w:jc w:val="center"/>
        <w:rPr>
          <w:rFonts w:hint="eastAsia" w:ascii="宋体" w:hAnsi="宋体" w:eastAsia="等线" w:cs="Times New Roman"/>
          <w:bCs/>
          <w:color w:val="000000"/>
          <w:kern w:val="2"/>
          <w:sz w:val="84"/>
          <w:szCs w:val="84"/>
          <w:lang w:val="en-US" w:eastAsia="zh-CN" w:bidi="ar-SA"/>
        </w:rPr>
      </w:pPr>
    </w:p>
    <w:p w14:paraId="33B6DA4C">
      <w:pPr>
        <w:widowControl w:val="0"/>
        <w:adjustRightInd w:val="0"/>
        <w:snapToGrid w:val="0"/>
        <w:jc w:val="center"/>
        <w:rPr>
          <w:rFonts w:ascii="宋体" w:hAnsi="宋体" w:eastAsia="等线" w:cs="Times New Roman"/>
          <w:bCs/>
          <w:color w:val="000000"/>
          <w:kern w:val="2"/>
          <w:sz w:val="84"/>
          <w:szCs w:val="84"/>
          <w:lang w:val="en-US" w:eastAsia="zh-CN" w:bidi="ar-SA"/>
        </w:rPr>
      </w:pPr>
      <w:r>
        <w:rPr>
          <w:rFonts w:hint="eastAsia" w:ascii="宋体" w:hAnsi="宋体" w:eastAsia="等线" w:cs="Times New Roman"/>
          <w:bCs/>
          <w:color w:val="000000"/>
          <w:kern w:val="2"/>
          <w:sz w:val="84"/>
          <w:szCs w:val="84"/>
          <w:lang w:val="en-US" w:eastAsia="zh-CN" w:bidi="ar-SA"/>
        </w:rPr>
        <w:t>政府采购</w:t>
      </w:r>
    </w:p>
    <w:p w14:paraId="442599AD">
      <w:pPr>
        <w:adjustRightInd w:val="0"/>
        <w:snapToGrid w:val="0"/>
        <w:jc w:val="center"/>
        <w:rPr>
          <w:rFonts w:ascii="宋体" w:hAnsi="等线" w:eastAsia="等线" w:cs="Times New Roman"/>
          <w:bCs/>
          <w:color w:val="000000"/>
          <w:sz w:val="84"/>
          <w:szCs w:val="84"/>
        </w:rPr>
      </w:pPr>
      <w:r>
        <w:rPr>
          <w:rFonts w:hint="eastAsia" w:ascii="宋体" w:hAnsi="宋体" w:eastAsia="等线" w:cs="Times New Roman"/>
          <w:bCs/>
          <w:color w:val="000000"/>
          <w:sz w:val="84"/>
          <w:szCs w:val="84"/>
        </w:rPr>
        <w:t>投</w:t>
      </w:r>
      <w:r>
        <w:rPr>
          <w:rFonts w:ascii="宋体" w:hAnsi="宋体" w:eastAsia="等线" w:cs="Times New Roman"/>
          <w:bCs/>
          <w:color w:val="000000"/>
          <w:sz w:val="84"/>
          <w:szCs w:val="84"/>
        </w:rPr>
        <w:t xml:space="preserve"> </w:t>
      </w:r>
      <w:r>
        <w:rPr>
          <w:rFonts w:hint="eastAsia" w:ascii="宋体" w:hAnsi="宋体" w:eastAsia="等线" w:cs="Times New Roman"/>
          <w:bCs/>
          <w:color w:val="000000"/>
          <w:sz w:val="84"/>
          <w:szCs w:val="84"/>
        </w:rPr>
        <w:t>标</w:t>
      </w:r>
      <w:r>
        <w:rPr>
          <w:rFonts w:ascii="宋体" w:hAnsi="宋体" w:eastAsia="等线" w:cs="Times New Roman"/>
          <w:bCs/>
          <w:color w:val="000000"/>
          <w:sz w:val="84"/>
          <w:szCs w:val="84"/>
        </w:rPr>
        <w:t xml:space="preserve"> </w:t>
      </w:r>
      <w:r>
        <w:rPr>
          <w:rFonts w:hint="eastAsia" w:ascii="宋体" w:hAnsi="宋体" w:eastAsia="等线" w:cs="Times New Roman"/>
          <w:bCs/>
          <w:color w:val="000000"/>
          <w:sz w:val="84"/>
          <w:szCs w:val="84"/>
        </w:rPr>
        <w:t>文</w:t>
      </w:r>
      <w:r>
        <w:rPr>
          <w:rFonts w:ascii="宋体" w:hAnsi="宋体" w:eastAsia="等线" w:cs="Times New Roman"/>
          <w:bCs/>
          <w:color w:val="000000"/>
          <w:sz w:val="84"/>
          <w:szCs w:val="84"/>
        </w:rPr>
        <w:t xml:space="preserve"> </w:t>
      </w:r>
      <w:r>
        <w:rPr>
          <w:rFonts w:hint="eastAsia" w:ascii="宋体" w:hAnsi="宋体" w:eastAsia="等线" w:cs="Times New Roman"/>
          <w:bCs/>
          <w:color w:val="000000"/>
          <w:sz w:val="84"/>
          <w:szCs w:val="84"/>
        </w:rPr>
        <w:t>件</w:t>
      </w:r>
    </w:p>
    <w:p w14:paraId="6B3B74A0">
      <w:pPr>
        <w:keepNext/>
        <w:keepLines/>
        <w:widowControl w:val="0"/>
        <w:adjustRightInd w:val="0"/>
        <w:snapToGrid w:val="0"/>
        <w:spacing w:before="340" w:after="340" w:line="420" w:lineRule="exact"/>
        <w:jc w:val="center"/>
        <w:outlineLvl w:val="1"/>
        <w:rPr>
          <w:rFonts w:hint="eastAsia" w:ascii="黑体" w:hAnsi="黑体" w:eastAsia="黑体" w:cs="Times New Roman"/>
          <w:bCs/>
          <w:color w:val="000000"/>
          <w:kern w:val="2"/>
          <w:sz w:val="44"/>
          <w:szCs w:val="44"/>
          <w:lang w:val="en-US" w:eastAsia="zh-CN" w:bidi="ar-SA"/>
        </w:rPr>
      </w:pPr>
      <w:bookmarkStart w:id="89" w:name="_Toc1967"/>
      <w:bookmarkStart w:id="90" w:name="_Toc11033"/>
    </w:p>
    <w:p w14:paraId="28A823C1">
      <w:pPr>
        <w:pStyle w:val="3"/>
        <w:bidi w:val="0"/>
        <w:jc w:val="center"/>
        <w:rPr>
          <w:lang w:val="en-US" w:eastAsia="zh-CN"/>
        </w:rPr>
      </w:pPr>
      <w:bookmarkStart w:id="91" w:name="_Toc24609"/>
      <w:r>
        <w:rPr>
          <w:rFonts w:hint="eastAsia"/>
          <w:lang w:val="en-US" w:eastAsia="zh-CN"/>
        </w:rPr>
        <w:t>第二部分</w:t>
      </w:r>
      <w:r>
        <w:rPr>
          <w:lang w:val="en-US" w:eastAsia="zh-CN"/>
        </w:rPr>
        <w:t xml:space="preserve"> </w:t>
      </w:r>
      <w:r>
        <w:rPr>
          <w:rFonts w:hint="eastAsia"/>
          <w:lang w:val="en-US" w:eastAsia="zh-CN"/>
        </w:rPr>
        <w:t>商务技术文件</w:t>
      </w:r>
      <w:bookmarkEnd w:id="89"/>
      <w:bookmarkEnd w:id="90"/>
      <w:bookmarkEnd w:id="91"/>
    </w:p>
    <w:p w14:paraId="1BC98A00">
      <w:pPr>
        <w:widowControl w:val="0"/>
        <w:spacing w:before="312" w:beforeLines="100" w:after="312" w:afterLines="100" w:line="420" w:lineRule="exact"/>
        <w:ind w:firstLine="1600" w:firstLineChars="500"/>
        <w:jc w:val="left"/>
        <w:rPr>
          <w:rFonts w:ascii="宋体" w:hAnsi="宋体" w:eastAsia="宋体" w:cs="宋体"/>
          <w:color w:val="000000"/>
          <w:kern w:val="2"/>
          <w:sz w:val="32"/>
          <w:szCs w:val="32"/>
          <w:lang w:val="en-US" w:eastAsia="zh-CN" w:bidi="ar-SA"/>
        </w:rPr>
      </w:pPr>
    </w:p>
    <w:p w14:paraId="4F80398C">
      <w:pPr>
        <w:widowControl w:val="0"/>
        <w:spacing w:before="312" w:beforeLines="100" w:after="312" w:afterLines="100" w:line="420" w:lineRule="exact"/>
        <w:ind w:firstLine="1600" w:firstLineChars="500"/>
        <w:jc w:val="left"/>
        <w:rPr>
          <w:rFonts w:ascii="宋体" w:hAnsi="宋体" w:eastAsia="宋体" w:cs="宋体"/>
          <w:color w:val="000000"/>
          <w:kern w:val="0"/>
          <w:sz w:val="32"/>
          <w:szCs w:val="32"/>
          <w:lang w:val="en-US" w:eastAsia="zh-CN" w:bidi="ar-SA"/>
        </w:rPr>
      </w:pPr>
      <w:r>
        <w:rPr>
          <w:rFonts w:hint="eastAsia" w:ascii="宋体" w:hAnsi="宋体" w:eastAsia="宋体" w:cs="宋体"/>
          <w:color w:val="000000"/>
          <w:kern w:val="2"/>
          <w:sz w:val="32"/>
          <w:szCs w:val="32"/>
          <w:lang w:val="en-US" w:eastAsia="zh-CN" w:bidi="ar-SA"/>
        </w:rPr>
        <w:t>采购项目名称：</w:t>
      </w:r>
    </w:p>
    <w:p w14:paraId="304C0580">
      <w:pPr>
        <w:widowControl w:val="0"/>
        <w:spacing w:before="312" w:beforeLines="100" w:after="312" w:afterLines="100" w:line="420" w:lineRule="exact"/>
        <w:ind w:firstLine="1600" w:firstLineChars="500"/>
        <w:jc w:val="left"/>
        <w:rPr>
          <w:rFonts w:ascii="宋体" w:hAnsi="宋体" w:eastAsia="宋体" w:cs="宋体"/>
          <w:color w:val="000000"/>
          <w:kern w:val="2"/>
          <w:sz w:val="32"/>
          <w:szCs w:val="32"/>
          <w:lang w:val="en-US" w:eastAsia="zh-CN" w:bidi="ar-SA"/>
        </w:rPr>
      </w:pPr>
      <w:r>
        <w:rPr>
          <w:rFonts w:hint="eastAsia" w:ascii="宋体" w:hAnsi="宋体" w:eastAsia="宋体" w:cs="宋体"/>
          <w:color w:val="000000"/>
          <w:kern w:val="2"/>
          <w:sz w:val="32"/>
          <w:szCs w:val="32"/>
          <w:lang w:val="en-US" w:eastAsia="zh-CN" w:bidi="ar-SA"/>
        </w:rPr>
        <w:t>采  购  人：</w:t>
      </w:r>
    </w:p>
    <w:p w14:paraId="1D5CF520">
      <w:pPr>
        <w:widowControl w:val="0"/>
        <w:spacing w:before="312" w:beforeLines="100" w:after="312" w:afterLines="100" w:line="420" w:lineRule="exact"/>
        <w:ind w:firstLine="1600" w:firstLineChars="500"/>
        <w:jc w:val="left"/>
        <w:rPr>
          <w:rFonts w:ascii="宋体" w:hAnsi="宋体" w:eastAsia="宋体" w:cs="宋体"/>
          <w:color w:val="000000"/>
          <w:kern w:val="2"/>
          <w:sz w:val="32"/>
          <w:szCs w:val="32"/>
          <w:lang w:val="en-US" w:eastAsia="zh-CN" w:bidi="ar-SA"/>
        </w:rPr>
      </w:pPr>
      <w:r>
        <w:rPr>
          <w:rFonts w:hint="eastAsia" w:ascii="宋体" w:hAnsi="宋体" w:eastAsia="宋体" w:cs="宋体"/>
          <w:color w:val="000000"/>
          <w:kern w:val="2"/>
          <w:sz w:val="32"/>
          <w:szCs w:val="32"/>
          <w:lang w:val="en-US" w:eastAsia="zh-CN" w:bidi="ar-SA"/>
        </w:rPr>
        <w:t>政府采购计划编号:</w:t>
      </w:r>
    </w:p>
    <w:p w14:paraId="36FD17AF">
      <w:pPr>
        <w:widowControl w:val="0"/>
        <w:spacing w:before="312" w:beforeLines="100" w:after="312" w:afterLines="100" w:line="420" w:lineRule="exact"/>
        <w:ind w:firstLine="1600" w:firstLineChars="500"/>
        <w:jc w:val="left"/>
        <w:rPr>
          <w:rFonts w:ascii="宋体" w:hAnsi="宋体" w:eastAsia="宋体" w:cs="宋体"/>
          <w:color w:val="000000"/>
          <w:kern w:val="2"/>
          <w:sz w:val="32"/>
          <w:szCs w:val="32"/>
          <w:lang w:val="en-US" w:eastAsia="zh-CN" w:bidi="ar-SA"/>
        </w:rPr>
      </w:pPr>
      <w:r>
        <w:rPr>
          <w:rFonts w:hint="eastAsia" w:ascii="宋体" w:hAnsi="宋体" w:eastAsia="宋体" w:cs="宋体"/>
          <w:color w:val="000000"/>
          <w:kern w:val="2"/>
          <w:sz w:val="32"/>
          <w:szCs w:val="32"/>
          <w:lang w:val="en-US" w:eastAsia="zh-CN" w:bidi="ar-SA"/>
        </w:rPr>
        <w:t>委托代理编号:</w:t>
      </w:r>
    </w:p>
    <w:p w14:paraId="27A4B42B">
      <w:pPr>
        <w:widowControl w:val="0"/>
        <w:adjustRightInd w:val="0"/>
        <w:snapToGrid w:val="0"/>
        <w:spacing w:line="420" w:lineRule="exact"/>
        <w:ind w:firstLine="1600" w:firstLineChars="500"/>
        <w:jc w:val="left"/>
        <w:rPr>
          <w:rFonts w:ascii="宋体" w:hAnsi="宋体" w:eastAsia="宋体" w:cs="宋体"/>
          <w:color w:val="000000"/>
          <w:kern w:val="2"/>
          <w:sz w:val="30"/>
          <w:szCs w:val="30"/>
          <w:u w:val="single"/>
          <w:lang w:val="en-US" w:eastAsia="zh-CN" w:bidi="ar-SA"/>
        </w:rPr>
      </w:pPr>
      <w:r>
        <w:rPr>
          <w:rFonts w:hint="eastAsia" w:ascii="宋体" w:hAnsi="宋体" w:eastAsia="宋体" w:cs="宋体"/>
          <w:color w:val="000000"/>
          <w:kern w:val="2"/>
          <w:sz w:val="32"/>
          <w:szCs w:val="32"/>
          <w:lang w:val="en-US" w:eastAsia="zh-CN" w:bidi="ar-SA"/>
        </w:rPr>
        <w:t>采购代理机构:</w:t>
      </w:r>
    </w:p>
    <w:p w14:paraId="7301DF5D">
      <w:pPr>
        <w:adjustRightInd w:val="0"/>
        <w:snapToGrid w:val="0"/>
        <w:spacing w:line="420" w:lineRule="exact"/>
        <w:jc w:val="left"/>
        <w:rPr>
          <w:rFonts w:ascii="宋体" w:hAnsi="宋体" w:eastAsia="宋体" w:cs="宋体"/>
          <w:color w:val="000000"/>
          <w:sz w:val="30"/>
          <w:szCs w:val="30"/>
        </w:rPr>
      </w:pPr>
    </w:p>
    <w:p w14:paraId="03B5CFBE">
      <w:pPr>
        <w:adjustRightInd w:val="0"/>
        <w:snapToGrid w:val="0"/>
        <w:spacing w:line="420" w:lineRule="exact"/>
        <w:jc w:val="left"/>
        <w:rPr>
          <w:rFonts w:ascii="宋体" w:hAnsi="宋体" w:eastAsia="宋体" w:cs="宋体"/>
          <w:color w:val="000000"/>
          <w:sz w:val="30"/>
          <w:szCs w:val="30"/>
        </w:rPr>
      </w:pPr>
    </w:p>
    <w:p w14:paraId="48E2ED9C">
      <w:pPr>
        <w:adjustRightInd w:val="0"/>
        <w:snapToGrid w:val="0"/>
        <w:spacing w:line="420" w:lineRule="exact"/>
        <w:ind w:firstLine="3840" w:firstLineChars="1200"/>
        <w:rPr>
          <w:rFonts w:ascii="宋体" w:hAnsi="宋体" w:eastAsia="宋体" w:cs="宋体"/>
          <w:color w:val="000000"/>
          <w:sz w:val="32"/>
          <w:szCs w:val="32"/>
        </w:rPr>
      </w:pPr>
    </w:p>
    <w:p w14:paraId="7FB1547D">
      <w:pPr>
        <w:adjustRightInd w:val="0"/>
        <w:snapToGrid w:val="0"/>
        <w:spacing w:line="420" w:lineRule="exact"/>
        <w:ind w:firstLine="1920" w:firstLineChars="600"/>
        <w:rPr>
          <w:rFonts w:ascii="宋体" w:hAnsi="宋体" w:eastAsia="宋体" w:cs="宋体"/>
          <w:color w:val="000000"/>
          <w:sz w:val="32"/>
          <w:szCs w:val="32"/>
          <w:u w:val="single"/>
        </w:rPr>
      </w:pPr>
      <w:r>
        <w:rPr>
          <w:rFonts w:hint="eastAsia" w:ascii="宋体" w:hAnsi="宋体" w:eastAsia="宋体" w:cs="宋体"/>
          <w:color w:val="000000"/>
          <w:sz w:val="32"/>
          <w:szCs w:val="32"/>
        </w:rPr>
        <w:t>投 标 人</w:t>
      </w:r>
    </w:p>
    <w:p w14:paraId="34C7CA60">
      <w:pPr>
        <w:adjustRightInd w:val="0"/>
        <w:snapToGrid w:val="0"/>
        <w:spacing w:line="420" w:lineRule="exact"/>
        <w:jc w:val="center"/>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                </w:t>
      </w:r>
    </w:p>
    <w:p w14:paraId="57404FF7">
      <w:pPr>
        <w:adjustRightInd w:val="0"/>
        <w:snapToGrid w:val="0"/>
        <w:spacing w:line="420" w:lineRule="exact"/>
        <w:jc w:val="center"/>
        <w:rPr>
          <w:rFonts w:hint="eastAsia" w:ascii="宋体" w:hAnsi="宋体" w:eastAsia="宋体" w:cs="宋体"/>
          <w:color w:val="000000"/>
          <w:sz w:val="32"/>
          <w:szCs w:val="32"/>
        </w:rPr>
      </w:pPr>
    </w:p>
    <w:p w14:paraId="571954EF">
      <w:pPr>
        <w:adjustRightInd w:val="0"/>
        <w:snapToGrid w:val="0"/>
        <w:spacing w:line="420" w:lineRule="exact"/>
        <w:jc w:val="center"/>
        <w:rPr>
          <w:rFonts w:hint="eastAsia" w:ascii="宋体" w:hAnsi="宋体" w:eastAsia="宋体" w:cs="宋体"/>
          <w:color w:val="000000"/>
          <w:sz w:val="32"/>
          <w:szCs w:val="32"/>
        </w:rPr>
      </w:pPr>
    </w:p>
    <w:p w14:paraId="568D6759">
      <w:pPr>
        <w:adjustRightInd w:val="0"/>
        <w:snapToGrid w:val="0"/>
        <w:spacing w:line="420" w:lineRule="exact"/>
        <w:jc w:val="center"/>
        <w:rPr>
          <w:rFonts w:ascii="宋体" w:hAnsi="宋体" w:eastAsia="宋体" w:cs="宋体"/>
          <w:color w:val="000000"/>
          <w:sz w:val="32"/>
          <w:szCs w:val="32"/>
        </w:rPr>
      </w:pPr>
      <w:r>
        <w:rPr>
          <w:rFonts w:hint="eastAsia" w:ascii="宋体" w:hAnsi="宋体" w:eastAsia="宋体" w:cs="宋体"/>
          <w:color w:val="000000"/>
          <w:sz w:val="32"/>
          <w:szCs w:val="32"/>
        </w:rPr>
        <w:t xml:space="preserve"> 年  月  日</w:t>
      </w:r>
    </w:p>
    <w:p w14:paraId="5DCF3AE5">
      <w:pPr>
        <w:widowControl/>
        <w:spacing w:line="420" w:lineRule="exact"/>
        <w:jc w:val="left"/>
        <w:rPr>
          <w:rFonts w:ascii="宋体" w:hAnsi="宋体" w:eastAsia="宋体" w:cs="宋体"/>
          <w:b/>
          <w:bCs/>
          <w:color w:val="000000"/>
          <w:sz w:val="28"/>
          <w:szCs w:val="28"/>
        </w:rPr>
      </w:pPr>
      <w:r>
        <w:rPr>
          <w:rFonts w:hint="eastAsia" w:ascii="宋体" w:hAnsi="宋体" w:eastAsia="宋体" w:cs="宋体"/>
          <w:color w:val="000000"/>
          <w:szCs w:val="22"/>
          <w:u w:val="single"/>
        </w:rPr>
        <w:br w:type="page"/>
      </w:r>
    </w:p>
    <w:p w14:paraId="63D7FAE6">
      <w:pPr>
        <w:pStyle w:val="4"/>
        <w:bidi w:val="0"/>
        <w:jc w:val="center"/>
        <w:rPr>
          <w:lang w:val="en-US" w:eastAsia="zh-CN"/>
        </w:rPr>
      </w:pPr>
      <w:bookmarkStart w:id="92" w:name="_Toc19122"/>
      <w:bookmarkStart w:id="93" w:name="_Toc19597"/>
      <w:r>
        <w:rPr>
          <w:rFonts w:hint="eastAsia"/>
          <w:lang w:val="en-US" w:eastAsia="zh-CN"/>
        </w:rPr>
        <w:t>四、投标函</w:t>
      </w:r>
      <w:bookmarkEnd w:id="92"/>
      <w:bookmarkEnd w:id="93"/>
    </w:p>
    <w:p w14:paraId="0DD1F3BD">
      <w:pPr>
        <w:adjustRightInd w:val="0"/>
        <w:snapToGrid w:val="0"/>
        <w:spacing w:before="156" w:beforeLines="50" w:line="420" w:lineRule="exact"/>
        <w:ind w:firstLine="435"/>
        <w:rPr>
          <w:rFonts w:ascii="宋体" w:hAnsi="宋体" w:eastAsia="宋体" w:cs="宋体"/>
          <w:color w:val="000000"/>
          <w:sz w:val="24"/>
          <w:szCs w:val="24"/>
        </w:rPr>
      </w:pPr>
      <w:r>
        <w:rPr>
          <w:rFonts w:hint="eastAsia" w:ascii="宋体" w:hAnsi="宋体" w:eastAsia="宋体" w:cs="宋体"/>
          <w:color w:val="000000"/>
          <w:sz w:val="24"/>
          <w:szCs w:val="24"/>
        </w:rPr>
        <w:t>致：（采购人及代理机构）：</w:t>
      </w:r>
    </w:p>
    <w:p w14:paraId="48EE4532">
      <w:pPr>
        <w:adjustRightInd w:val="0"/>
        <w:snapToGrid w:val="0"/>
        <w:spacing w:before="156" w:beforeLines="50" w:line="420" w:lineRule="exact"/>
        <w:ind w:firstLine="435"/>
        <w:rPr>
          <w:rFonts w:ascii="宋体" w:hAnsi="宋体" w:eastAsia="宋体" w:cs="宋体"/>
          <w:color w:val="000000"/>
          <w:sz w:val="24"/>
          <w:szCs w:val="24"/>
        </w:rPr>
      </w:pPr>
      <w:r>
        <w:rPr>
          <w:rFonts w:hint="eastAsia" w:ascii="宋体" w:hAnsi="宋体" w:eastAsia="宋体" w:cs="宋体"/>
          <w:color w:val="000000"/>
          <w:sz w:val="24"/>
          <w:szCs w:val="24"/>
        </w:rPr>
        <w:t>根据贵方为（项目名称）的投标邀请（</w:t>
      </w:r>
      <w:r>
        <w:rPr>
          <w:rFonts w:hint="eastAsia" w:ascii="宋体" w:hAnsi="宋体" w:eastAsia="宋体" w:cs="宋体"/>
          <w:iCs/>
          <w:color w:val="000000"/>
          <w:sz w:val="24"/>
          <w:szCs w:val="24"/>
          <w:lang w:eastAsia="zh-CN"/>
        </w:rPr>
        <w:t>政府采购计划编号</w:t>
      </w:r>
      <w:r>
        <w:rPr>
          <w:rFonts w:hint="eastAsia" w:ascii="宋体" w:hAnsi="宋体" w:eastAsia="宋体" w:cs="宋体"/>
          <w:iCs/>
          <w:color w:val="000000"/>
          <w:sz w:val="24"/>
          <w:szCs w:val="24"/>
        </w:rPr>
        <w:t>： ，</w:t>
      </w:r>
      <w:r>
        <w:rPr>
          <w:rFonts w:hint="eastAsia" w:ascii="宋体" w:hAnsi="宋体" w:eastAsia="宋体" w:cs="宋体"/>
          <w:color w:val="000000"/>
          <w:sz w:val="24"/>
          <w:szCs w:val="24"/>
          <w:lang w:eastAsia="zh-CN"/>
        </w:rPr>
        <w:t>委托代理编号</w:t>
      </w:r>
      <w:r>
        <w:rPr>
          <w:rFonts w:hint="eastAsia" w:ascii="宋体" w:hAnsi="宋体" w:eastAsia="宋体" w:cs="宋体"/>
          <w:color w:val="000000"/>
          <w:sz w:val="24"/>
          <w:szCs w:val="24"/>
        </w:rPr>
        <w:t>：），签字代表（姓名、职务）经正式授权并代表投标人 （投标人名称）提交下述投标文件第一部分资格证明文件；第二部分商务和技术文件。并在此声明，所递交的投标文件内容完整、真实。</w:t>
      </w:r>
    </w:p>
    <w:p w14:paraId="660CDE3B">
      <w:pPr>
        <w:adjustRightInd w:val="0"/>
        <w:snapToGrid w:val="0"/>
        <w:spacing w:before="156" w:beforeLines="50" w:line="420" w:lineRule="exact"/>
        <w:ind w:firstLine="482" w:firstLineChars="200"/>
        <w:rPr>
          <w:rFonts w:ascii="宋体" w:hAnsi="宋体" w:eastAsia="宋体" w:cs="宋体"/>
          <w:b/>
          <w:color w:val="000000"/>
          <w:sz w:val="24"/>
          <w:szCs w:val="24"/>
        </w:rPr>
      </w:pPr>
      <w:r>
        <w:rPr>
          <w:rFonts w:hint="eastAsia" w:ascii="宋体" w:hAnsi="宋体" w:eastAsia="宋体" w:cs="宋体"/>
          <w:b/>
          <w:color w:val="000000"/>
          <w:sz w:val="24"/>
          <w:szCs w:val="24"/>
        </w:rPr>
        <w:t>第一部分 资格证明文件</w:t>
      </w:r>
    </w:p>
    <w:p w14:paraId="6A6EB7B0">
      <w:pPr>
        <w:adjustRightInd w:val="0"/>
        <w:snapToGrid w:val="0"/>
        <w:spacing w:before="156" w:beforeLines="50" w:line="420" w:lineRule="exact"/>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rPr>
        <w:t>一、开标一览表</w:t>
      </w:r>
    </w:p>
    <w:p w14:paraId="7C03B33B">
      <w:pPr>
        <w:adjustRightInd w:val="0"/>
        <w:snapToGrid w:val="0"/>
        <w:spacing w:before="156" w:beforeLines="50" w:line="420" w:lineRule="exact"/>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rPr>
        <w:t>二、法定代表人或负责人授权委托书</w:t>
      </w:r>
    </w:p>
    <w:p w14:paraId="00154B2C">
      <w:pPr>
        <w:adjustRightInd w:val="0"/>
        <w:snapToGrid w:val="0"/>
        <w:spacing w:before="156" w:beforeLines="50" w:line="420" w:lineRule="exact"/>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rPr>
        <w:t>三、投标人提供的资格证明文件</w:t>
      </w:r>
    </w:p>
    <w:p w14:paraId="2762EB90">
      <w:pPr>
        <w:adjustRightInd w:val="0"/>
        <w:snapToGrid w:val="0"/>
        <w:spacing w:before="156" w:beforeLines="50" w:line="420" w:lineRule="exact"/>
        <w:ind w:firstLine="482" w:firstLineChars="200"/>
        <w:rPr>
          <w:rFonts w:ascii="宋体" w:hAnsi="宋体" w:eastAsia="宋体" w:cs="宋体"/>
          <w:b/>
          <w:color w:val="000000"/>
          <w:sz w:val="24"/>
          <w:szCs w:val="24"/>
        </w:rPr>
      </w:pPr>
      <w:r>
        <w:rPr>
          <w:rFonts w:hint="eastAsia" w:ascii="宋体" w:hAnsi="宋体" w:eastAsia="宋体" w:cs="宋体"/>
          <w:b/>
          <w:color w:val="000000"/>
          <w:sz w:val="24"/>
          <w:szCs w:val="24"/>
        </w:rPr>
        <w:t>第二部分 商务技术文件</w:t>
      </w:r>
    </w:p>
    <w:p w14:paraId="2D860AEF">
      <w:pPr>
        <w:adjustRightInd w:val="0"/>
        <w:snapToGrid w:val="0"/>
        <w:spacing w:before="156" w:beforeLines="50" w:line="420" w:lineRule="exact"/>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rPr>
        <w:t>四、投标函</w:t>
      </w:r>
    </w:p>
    <w:p w14:paraId="48F74539">
      <w:pPr>
        <w:adjustRightInd w:val="0"/>
        <w:snapToGrid w:val="0"/>
        <w:spacing w:before="156" w:beforeLines="50" w:line="420" w:lineRule="exact"/>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rPr>
        <w:t>五、分项报价明细表</w:t>
      </w:r>
    </w:p>
    <w:p w14:paraId="59391253">
      <w:pPr>
        <w:adjustRightInd w:val="0"/>
        <w:snapToGrid w:val="0"/>
        <w:spacing w:before="156" w:beforeLines="50" w:line="420" w:lineRule="exact"/>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rPr>
        <w:t>六、采购需求响应</w:t>
      </w:r>
    </w:p>
    <w:p w14:paraId="504F9C4D">
      <w:pPr>
        <w:adjustRightInd w:val="0"/>
        <w:snapToGrid w:val="0"/>
        <w:spacing w:before="156" w:beforeLines="50" w:line="420" w:lineRule="exact"/>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rPr>
        <w:t>七、商务、合同条款偏离表</w:t>
      </w:r>
    </w:p>
    <w:p w14:paraId="3BE3BC77">
      <w:pPr>
        <w:adjustRightInd w:val="0"/>
        <w:snapToGrid w:val="0"/>
        <w:spacing w:before="156" w:beforeLines="50" w:line="420" w:lineRule="exact"/>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rPr>
        <w:t>八、采购需求偏离表</w:t>
      </w:r>
    </w:p>
    <w:p w14:paraId="049A90DD">
      <w:pPr>
        <w:adjustRightInd w:val="0"/>
        <w:snapToGrid w:val="0"/>
        <w:spacing w:before="156" w:beforeLines="50" w:line="420" w:lineRule="exact"/>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rPr>
        <w:t>九、享受政府采购政策优惠的证明资料和清单表</w:t>
      </w:r>
    </w:p>
    <w:p w14:paraId="4E82FB10">
      <w:pPr>
        <w:adjustRightInd w:val="0"/>
        <w:snapToGrid w:val="0"/>
        <w:spacing w:before="156" w:beforeLines="50" w:line="420" w:lineRule="exact"/>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rPr>
        <w:t>十、投标人认为需提供的其他资料</w:t>
      </w:r>
    </w:p>
    <w:p w14:paraId="540975D0">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在此，签字代表宣布同意如下：</w:t>
      </w:r>
    </w:p>
    <w:p w14:paraId="0523F8FB">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1、投标人严格按照招标文件的规定报价，见《开标一览表》。</w:t>
      </w:r>
    </w:p>
    <w:p w14:paraId="317F309E">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2、投标人将按招标文件的规定履行合同责任和义务。</w:t>
      </w:r>
    </w:p>
    <w:p w14:paraId="455E81C2">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3、投标人已详细审查招标文件。我们完全理解并同意放弃对这方面有不明及误解的权力。</w:t>
      </w:r>
    </w:p>
    <w:p w14:paraId="7D45D8DD">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4、本投标有效期为自招标文件规定的提交投标文件截止之日起</w:t>
      </w:r>
      <w:r>
        <w:rPr>
          <w:rFonts w:hint="eastAsia" w:ascii="宋体" w:hAnsi="宋体" w:eastAsia="宋体" w:cs="宋体"/>
          <w:color w:val="000000"/>
          <w:sz w:val="24"/>
          <w:szCs w:val="24"/>
          <w:u w:val="single"/>
        </w:rPr>
        <w:t>90</w:t>
      </w:r>
      <w:r>
        <w:rPr>
          <w:rFonts w:hint="eastAsia" w:ascii="宋体" w:hAnsi="宋体" w:eastAsia="宋体" w:cs="宋体"/>
          <w:color w:val="000000"/>
          <w:sz w:val="24"/>
          <w:szCs w:val="24"/>
        </w:rPr>
        <w:t>个日历日。在投标有效期内，投标人同意遵守本投标文件中的承诺且在此期限期满之前投标文件对我方具有法律约束力。</w:t>
      </w:r>
    </w:p>
    <w:p w14:paraId="437F777E">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5、同意提供贵方可能要求的与其投标有关的一切数据或资料。</w:t>
      </w:r>
    </w:p>
    <w:p w14:paraId="77DA534A">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6、与本投标有关的一切正式往来信函请寄：</w:t>
      </w:r>
    </w:p>
    <w:p w14:paraId="78C0F158">
      <w:pPr>
        <w:adjustRightInd w:val="0"/>
        <w:snapToGrid w:val="0"/>
        <w:spacing w:before="156" w:beforeLines="50" w:line="42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地址：；电话：，邮箱：。</w:t>
      </w:r>
    </w:p>
    <w:p w14:paraId="08753351">
      <w:pPr>
        <w:adjustRightInd w:val="0"/>
        <w:snapToGrid w:val="0"/>
        <w:spacing w:before="156" w:beforeLines="50" w:line="420" w:lineRule="exact"/>
        <w:ind w:firstLine="480" w:firstLineChars="200"/>
        <w:rPr>
          <w:rFonts w:ascii="宋体" w:hAnsi="宋体" w:eastAsia="宋体" w:cs="宋体"/>
          <w:color w:val="000000"/>
          <w:sz w:val="24"/>
          <w:szCs w:val="24"/>
        </w:rPr>
      </w:pPr>
    </w:p>
    <w:p w14:paraId="4B446BF9">
      <w:pPr>
        <w:widowControl w:val="0"/>
        <w:adjustRightInd w:val="0"/>
        <w:snapToGrid w:val="0"/>
        <w:spacing w:before="156" w:beforeLines="50" w:line="420" w:lineRule="exact"/>
        <w:jc w:val="both"/>
        <w:rPr>
          <w:rFonts w:ascii="宋体" w:hAnsi="宋体" w:eastAsia="宋体" w:cs="宋体"/>
          <w:color w:val="000000"/>
          <w:kern w:val="2"/>
          <w:sz w:val="24"/>
          <w:szCs w:val="24"/>
          <w:lang w:val="en-US" w:eastAsia="zh-CN" w:bidi="ar-SA"/>
        </w:rPr>
      </w:pPr>
    </w:p>
    <w:p w14:paraId="5F9DF888">
      <w:pPr>
        <w:widowControl w:val="0"/>
        <w:adjustRightInd w:val="0"/>
        <w:snapToGrid w:val="0"/>
        <w:spacing w:before="156" w:beforeLines="50" w:line="420" w:lineRule="exact"/>
        <w:jc w:val="both"/>
        <w:rPr>
          <w:rFonts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投标人名称（盖单位章）：                       </w:t>
      </w:r>
    </w:p>
    <w:p w14:paraId="1EAEDA87">
      <w:pPr>
        <w:adjustRightInd w:val="0"/>
        <w:snapToGrid w:val="0"/>
        <w:spacing w:before="156" w:beforeLines="50" w:line="420" w:lineRule="exact"/>
        <w:rPr>
          <w:rFonts w:ascii="宋体" w:hAnsi="宋体" w:eastAsia="宋体" w:cs="宋体"/>
          <w:color w:val="000000"/>
          <w:sz w:val="24"/>
          <w:szCs w:val="24"/>
          <w:u w:val="single"/>
        </w:rPr>
      </w:pPr>
      <w:r>
        <w:rPr>
          <w:rFonts w:hint="eastAsia" w:ascii="宋体" w:hAnsi="宋体" w:eastAsia="宋体" w:cs="宋体"/>
          <w:color w:val="000000"/>
          <w:sz w:val="24"/>
          <w:szCs w:val="24"/>
        </w:rPr>
        <w:t>法定代表人或负责人或其授权的代理人（签字或印章）：</w:t>
      </w:r>
    </w:p>
    <w:p w14:paraId="75A2E294">
      <w:pPr>
        <w:adjustRightInd w:val="0"/>
        <w:snapToGrid w:val="0"/>
        <w:spacing w:before="156" w:beforeLines="50" w:line="420" w:lineRule="exact"/>
        <w:rPr>
          <w:rFonts w:ascii="宋体" w:hAnsi="宋体" w:eastAsia="宋体" w:cs="宋体"/>
          <w:b/>
          <w:bCs/>
          <w:color w:val="000000"/>
          <w:sz w:val="24"/>
          <w:szCs w:val="24"/>
        </w:rPr>
      </w:pPr>
      <w:r>
        <w:rPr>
          <w:rFonts w:hint="eastAsia" w:ascii="宋体" w:hAnsi="宋体" w:eastAsia="宋体" w:cs="宋体"/>
          <w:color w:val="000000"/>
          <w:sz w:val="24"/>
          <w:szCs w:val="24"/>
        </w:rPr>
        <w:t>日期：</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年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日</w:t>
      </w:r>
      <w:r>
        <w:rPr>
          <w:rFonts w:hint="eastAsia" w:ascii="宋体" w:hAnsi="宋体" w:eastAsia="宋体" w:cs="宋体"/>
          <w:b/>
          <w:bCs/>
          <w:color w:val="000000"/>
          <w:sz w:val="24"/>
          <w:szCs w:val="24"/>
        </w:rPr>
        <w:br w:type="page"/>
      </w:r>
    </w:p>
    <w:p w14:paraId="5C104BBC">
      <w:pPr>
        <w:pStyle w:val="4"/>
        <w:bidi w:val="0"/>
        <w:jc w:val="center"/>
        <w:rPr>
          <w:lang w:val="en-US" w:eastAsia="zh-CN"/>
        </w:rPr>
      </w:pPr>
      <w:bookmarkStart w:id="94" w:name="_Toc29817"/>
      <w:bookmarkStart w:id="95" w:name="_Toc3473"/>
      <w:r>
        <w:rPr>
          <w:rFonts w:hint="eastAsia"/>
          <w:lang w:val="en-US" w:eastAsia="zh-CN"/>
        </w:rPr>
        <w:t>五、分项报价明细表</w:t>
      </w:r>
      <w:bookmarkEnd w:id="94"/>
      <w:bookmarkEnd w:id="95"/>
    </w:p>
    <w:p w14:paraId="64711030">
      <w:pPr>
        <w:widowControl w:val="0"/>
        <w:bidi w:val="0"/>
        <w:adjustRightInd w:val="0"/>
        <w:snapToGrid w:val="0"/>
        <w:spacing w:before="100" w:beforeLines="100" w:line="440" w:lineRule="exact"/>
        <w:ind w:firstLine="420" w:firstLineChars="200"/>
        <w:jc w:val="both"/>
        <w:rPr>
          <w:rFonts w:ascii="等线" w:hAnsi="等线" w:eastAsia="等线" w:cs="微软雅黑"/>
          <w:bCs w:val="0"/>
          <w:color w:val="000000"/>
          <w:kern w:val="0"/>
          <w:sz w:val="21"/>
          <w:szCs w:val="21"/>
          <w:lang w:val="en-US" w:eastAsia="zh-CN" w:bidi="ar-SA"/>
        </w:rPr>
      </w:pPr>
      <w:r>
        <w:rPr>
          <w:rFonts w:hint="eastAsia" w:ascii="等线" w:hAnsi="等线" w:eastAsia="等线" w:cs="微软雅黑"/>
          <w:bCs w:val="0"/>
          <w:color w:val="000000"/>
          <w:kern w:val="0"/>
          <w:sz w:val="21"/>
          <w:szCs w:val="21"/>
          <w:lang w:val="en-US" w:eastAsia="zh-CN" w:bidi="ar-SA"/>
        </w:rPr>
        <w:t xml:space="preserve">                               </w:t>
      </w:r>
      <w:r>
        <w:rPr>
          <w:rFonts w:hint="eastAsia" w:ascii="宋体" w:hAnsi="宋体" w:eastAsia="宋体" w:cs="宋体"/>
          <w:bCs w:val="0"/>
          <w:color w:val="000000"/>
          <w:kern w:val="0"/>
          <w:sz w:val="21"/>
          <w:szCs w:val="21"/>
          <w:lang w:val="en-US" w:eastAsia="zh-CN" w:bidi="ar-SA"/>
        </w:rPr>
        <w:t xml:space="preserve"> （投标人可自行编制）</w:t>
      </w:r>
    </w:p>
    <w:p w14:paraId="3CE3074C">
      <w:pPr>
        <w:keepNext/>
        <w:keepLines/>
        <w:widowControl w:val="0"/>
        <w:spacing w:before="280" w:after="290" w:line="300" w:lineRule="exact"/>
        <w:jc w:val="left"/>
        <w:outlineLvl w:val="3"/>
        <w:rPr>
          <w:rFonts w:ascii="Arial" w:hAnsi="Arial" w:eastAsia="黑体" w:cs="Times New Roman"/>
          <w:bCs/>
          <w:color w:val="000000"/>
          <w:kern w:val="2"/>
          <w:sz w:val="24"/>
          <w:szCs w:val="28"/>
          <w:lang w:val="en-US" w:eastAsia="zh-CN" w:bidi="ar-SA"/>
        </w:rPr>
      </w:pPr>
      <w:r>
        <w:rPr>
          <w:rFonts w:hint="eastAsia" w:ascii="等线" w:hAnsi="等线" w:eastAsia="等线" w:cs="微软雅黑"/>
          <w:bCs w:val="0"/>
          <w:color w:val="000000"/>
          <w:kern w:val="0"/>
          <w:sz w:val="21"/>
          <w:szCs w:val="21"/>
          <w:lang w:val="en-US" w:eastAsia="zh-CN" w:bidi="ar-SA"/>
        </w:rPr>
        <w:t>附件5-1 分项报价明细表</w:t>
      </w:r>
    </w:p>
    <w:p w14:paraId="6A73666F">
      <w:pPr>
        <w:adjustRightInd w:val="0"/>
        <w:snapToGrid w:val="0"/>
        <w:spacing w:before="156" w:beforeLines="50" w:line="360" w:lineRule="auto"/>
        <w:jc w:val="center"/>
        <w:rPr>
          <w:rFonts w:hint="eastAsia" w:ascii="黑体" w:hAnsi="黑体" w:eastAsia="黑体" w:cs="Times New Roman"/>
          <w:color w:val="000000"/>
          <w:sz w:val="28"/>
          <w:szCs w:val="28"/>
          <w:highlight w:val="none"/>
        </w:rPr>
      </w:pPr>
    </w:p>
    <w:p w14:paraId="50195BE0">
      <w:pPr>
        <w:adjustRightInd w:val="0"/>
        <w:snapToGrid w:val="0"/>
        <w:spacing w:before="156" w:beforeLines="50" w:line="360" w:lineRule="auto"/>
        <w:jc w:val="center"/>
        <w:rPr>
          <w:rFonts w:hint="eastAsia" w:ascii="黑体" w:hAnsi="黑体" w:eastAsia="黑体" w:cs="Times New Roman"/>
          <w:color w:val="000000"/>
          <w:sz w:val="28"/>
          <w:szCs w:val="28"/>
          <w:highlight w:val="none"/>
        </w:rPr>
      </w:pPr>
      <w:r>
        <w:rPr>
          <w:rFonts w:hint="eastAsia" w:ascii="黑体" w:hAnsi="黑体" w:eastAsia="黑体" w:cs="Times New Roman"/>
          <w:color w:val="000000"/>
          <w:sz w:val="28"/>
          <w:szCs w:val="28"/>
          <w:highlight w:val="none"/>
        </w:rPr>
        <w:t>已标价工程量清单</w:t>
      </w:r>
    </w:p>
    <w:p w14:paraId="3E3148EB">
      <w:pPr>
        <w:adjustRightInd w:val="0"/>
        <w:snapToGrid w:val="0"/>
        <w:spacing w:line="420" w:lineRule="exact"/>
        <w:rPr>
          <w:rFonts w:hint="eastAsia" w:ascii="宋体" w:hAnsi="宋体" w:eastAsia="宋体" w:cs="宋体"/>
          <w:color w:val="000000"/>
          <w:sz w:val="24"/>
          <w:szCs w:val="24"/>
        </w:rPr>
      </w:pPr>
    </w:p>
    <w:p w14:paraId="461E5A85">
      <w:pPr>
        <w:widowControl w:val="0"/>
        <w:ind w:left="840" w:leftChars="200" w:hanging="420" w:hangingChars="200"/>
        <w:contextualSpacing/>
        <w:jc w:val="both"/>
        <w:rPr>
          <w:rFonts w:ascii="等线" w:hAnsi="等线" w:eastAsia="等线" w:cs="Times New Roman"/>
          <w:color w:val="000000"/>
          <w:kern w:val="2"/>
          <w:sz w:val="21"/>
          <w:szCs w:val="22"/>
          <w:lang w:val="en-US" w:eastAsia="zh-CN" w:bidi="ar-SA"/>
        </w:rPr>
      </w:pPr>
    </w:p>
    <w:p w14:paraId="5F4FCC72">
      <w:pPr>
        <w:adjustRightInd w:val="0"/>
        <w:snapToGrid w:val="0"/>
        <w:spacing w:line="420" w:lineRule="exact"/>
        <w:rPr>
          <w:rFonts w:ascii="宋体" w:hAnsi="宋体" w:eastAsia="宋体" w:cs="宋体"/>
          <w:color w:val="000000"/>
          <w:sz w:val="24"/>
          <w:szCs w:val="24"/>
        </w:rPr>
        <w:sectPr>
          <w:pgSz w:w="11906" w:h="16838"/>
          <w:pgMar w:top="1531" w:right="1531" w:bottom="1531" w:left="1531" w:header="1134" w:footer="680" w:gutter="0"/>
          <w:pgBorders>
            <w:top w:val="none" w:sz="0" w:space="0"/>
            <w:left w:val="none" w:sz="0" w:space="0"/>
            <w:bottom w:val="none" w:sz="0" w:space="0"/>
            <w:right w:val="none" w:sz="0" w:space="0"/>
          </w:pgBorders>
          <w:pgNumType w:fmt="decimal"/>
          <w:cols w:space="0" w:num="1"/>
          <w:rtlGutter w:val="0"/>
          <w:docGrid w:type="lines" w:linePitch="315" w:charSpace="0"/>
        </w:sectPr>
      </w:pPr>
    </w:p>
    <w:p w14:paraId="16F90C38">
      <w:pPr>
        <w:pStyle w:val="4"/>
        <w:bidi w:val="0"/>
        <w:jc w:val="center"/>
        <w:rPr>
          <w:lang w:val="en-US" w:eastAsia="zh-CN"/>
        </w:rPr>
      </w:pPr>
      <w:bookmarkStart w:id="96" w:name="_Toc3650"/>
      <w:bookmarkStart w:id="97" w:name="_Toc8983779"/>
      <w:bookmarkStart w:id="98" w:name="_Toc13784"/>
      <w:r>
        <w:rPr>
          <w:rFonts w:hint="eastAsia"/>
          <w:lang w:val="en-US" w:eastAsia="zh-CN"/>
        </w:rPr>
        <w:t>六、采购需求响应</w:t>
      </w:r>
      <w:bookmarkEnd w:id="96"/>
      <w:bookmarkEnd w:id="97"/>
      <w:bookmarkEnd w:id="98"/>
    </w:p>
    <w:p w14:paraId="0E2676C1">
      <w:pPr>
        <w:adjustRightInd w:val="0"/>
        <w:snapToGrid w:val="0"/>
        <w:spacing w:line="420" w:lineRule="exact"/>
        <w:rPr>
          <w:rFonts w:ascii="宋体" w:hAnsi="等线" w:eastAsia="等线" w:cs="Times New Roman"/>
          <w:b/>
          <w:color w:val="000000"/>
          <w:szCs w:val="21"/>
        </w:rPr>
      </w:pPr>
    </w:p>
    <w:p w14:paraId="08C9BB3E">
      <w:pPr>
        <w:adjustRightInd w:val="0"/>
        <w:snapToGrid w:val="0"/>
        <w:spacing w:line="420" w:lineRule="exact"/>
        <w:ind w:firstLine="482" w:firstLineChars="200"/>
        <w:rPr>
          <w:rFonts w:ascii="宋体" w:hAnsi="宋体" w:eastAsia="宋体" w:cs="宋体"/>
          <w:b/>
          <w:color w:val="000000"/>
          <w:sz w:val="24"/>
          <w:szCs w:val="24"/>
        </w:rPr>
      </w:pPr>
      <w:r>
        <w:rPr>
          <w:rFonts w:hint="eastAsia" w:ascii="宋体" w:hAnsi="宋体" w:eastAsia="宋体" w:cs="宋体"/>
          <w:b/>
          <w:color w:val="000000"/>
          <w:sz w:val="24"/>
          <w:szCs w:val="24"/>
        </w:rPr>
        <w:t>备注</w:t>
      </w:r>
      <w:r>
        <w:rPr>
          <w:rFonts w:hint="eastAsia" w:ascii="宋体" w:hAnsi="宋体" w:eastAsia="宋体" w:cs="宋体"/>
          <w:bCs/>
          <w:color w:val="000000"/>
          <w:sz w:val="24"/>
          <w:szCs w:val="24"/>
        </w:rPr>
        <w:t>：</w:t>
      </w:r>
      <w:r>
        <w:rPr>
          <w:rFonts w:hint="eastAsia" w:ascii="宋体" w:hAnsi="宋体" w:eastAsia="宋体" w:cs="宋体"/>
          <w:b/>
          <w:color w:val="000000"/>
          <w:sz w:val="24"/>
          <w:szCs w:val="24"/>
        </w:rPr>
        <w:t>投标人应按招标文件第三章采购需求自行编写采购需求响应文件（其内容可包括，且不限于详细的采购清单服务要求、技术服务等，格式自拟）。</w:t>
      </w:r>
    </w:p>
    <w:p w14:paraId="4444F94D">
      <w:pPr>
        <w:widowControl w:val="0"/>
        <w:adjustRightInd w:val="0"/>
        <w:snapToGrid w:val="0"/>
        <w:spacing w:line="420" w:lineRule="exact"/>
        <w:ind w:left="-88" w:leftChars="-42"/>
        <w:jc w:val="both"/>
        <w:rPr>
          <w:rFonts w:ascii="宋体" w:hAnsi="宋体" w:eastAsia="宋体" w:cs="Times New Roman"/>
          <w:bCs/>
          <w:color w:val="000000"/>
          <w:kern w:val="2"/>
          <w:sz w:val="21"/>
          <w:szCs w:val="21"/>
          <w:lang w:val="en-US" w:eastAsia="zh-CN" w:bidi="ar-SA"/>
        </w:rPr>
      </w:pPr>
    </w:p>
    <w:p w14:paraId="2FF0EEB0">
      <w:pPr>
        <w:spacing w:line="420" w:lineRule="exact"/>
        <w:rPr>
          <w:rFonts w:ascii="宋体" w:hAnsi="宋体" w:eastAsia="宋体" w:cs="宋体"/>
          <w:color w:val="000000"/>
          <w:sz w:val="24"/>
          <w:szCs w:val="24"/>
        </w:rPr>
      </w:pPr>
    </w:p>
    <w:p w14:paraId="7DE9087A">
      <w:pPr>
        <w:spacing w:line="420" w:lineRule="exact"/>
        <w:rPr>
          <w:rFonts w:ascii="宋体" w:hAnsi="宋体" w:eastAsia="宋体" w:cs="宋体"/>
          <w:color w:val="000000"/>
          <w:sz w:val="24"/>
          <w:szCs w:val="24"/>
        </w:rPr>
      </w:pPr>
    </w:p>
    <w:p w14:paraId="32826E62">
      <w:pPr>
        <w:spacing w:line="420" w:lineRule="exact"/>
        <w:rPr>
          <w:rFonts w:ascii="宋体" w:hAnsi="宋体" w:eastAsia="宋体" w:cs="宋体"/>
          <w:color w:val="000000"/>
          <w:sz w:val="24"/>
          <w:szCs w:val="24"/>
        </w:rPr>
      </w:pPr>
    </w:p>
    <w:p w14:paraId="13CFBEA8">
      <w:pPr>
        <w:spacing w:line="420" w:lineRule="exact"/>
        <w:rPr>
          <w:rFonts w:ascii="宋体" w:hAnsi="宋体" w:eastAsia="宋体" w:cs="宋体"/>
          <w:color w:val="000000"/>
          <w:sz w:val="24"/>
          <w:szCs w:val="24"/>
        </w:rPr>
      </w:pPr>
    </w:p>
    <w:p w14:paraId="6D053699">
      <w:pPr>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投标人名称（盖单位章）：</w:t>
      </w:r>
    </w:p>
    <w:p w14:paraId="31019C85">
      <w:pPr>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法定代表人或其授权的代理人（签字或印章）：</w:t>
      </w:r>
    </w:p>
    <w:p w14:paraId="4FFDD5A8">
      <w:pPr>
        <w:adjustRightInd w:val="0"/>
        <w:snapToGrid w:val="0"/>
        <w:spacing w:line="420" w:lineRule="exact"/>
        <w:rPr>
          <w:rFonts w:ascii="宋体" w:hAnsi="宋体" w:eastAsia="宋体" w:cs="宋体"/>
          <w:color w:val="000000"/>
          <w:sz w:val="24"/>
          <w:szCs w:val="24"/>
        </w:rPr>
      </w:pPr>
      <w:r>
        <w:rPr>
          <w:rFonts w:hint="eastAsia" w:ascii="宋体" w:hAnsi="宋体" w:eastAsia="宋体" w:cs="宋体"/>
          <w:color w:val="000000"/>
          <w:sz w:val="24"/>
          <w:szCs w:val="24"/>
        </w:rPr>
        <w:t>日期：  年   月  日</w:t>
      </w:r>
    </w:p>
    <w:p w14:paraId="326008D6">
      <w:pPr>
        <w:adjustRightInd w:val="0"/>
        <w:snapToGrid w:val="0"/>
        <w:spacing w:line="420" w:lineRule="exact"/>
        <w:rPr>
          <w:rFonts w:ascii="等线" w:hAnsi="等线" w:eastAsia="等线" w:cs="Times New Roman"/>
          <w:color w:val="000000"/>
          <w:szCs w:val="22"/>
        </w:rPr>
      </w:pPr>
    </w:p>
    <w:p w14:paraId="3E6B090F">
      <w:pPr>
        <w:widowControl w:val="0"/>
        <w:bidi w:val="0"/>
        <w:adjustRightInd w:val="0"/>
        <w:snapToGrid w:val="0"/>
        <w:spacing w:before="100"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p>
    <w:p w14:paraId="192EDA2A">
      <w:pPr>
        <w:rPr>
          <w:rFonts w:ascii="黑体" w:hAnsi="黑体" w:eastAsia="黑体" w:cs="Times New Roman"/>
          <w:color w:val="000000"/>
          <w:sz w:val="28"/>
          <w:szCs w:val="28"/>
        </w:rPr>
      </w:pPr>
    </w:p>
    <w:p w14:paraId="63B18462">
      <w:pPr>
        <w:widowControl w:val="0"/>
        <w:autoSpaceDE w:val="0"/>
        <w:autoSpaceDN w:val="0"/>
        <w:adjustRightInd w:val="0"/>
        <w:spacing w:after="120"/>
        <w:ind w:left="420" w:leftChars="200" w:firstLine="560"/>
        <w:jc w:val="left"/>
        <w:rPr>
          <w:rFonts w:ascii="黑体" w:hAnsi="黑体" w:eastAsia="黑体" w:cs="Times New Roman"/>
          <w:color w:val="000000"/>
          <w:kern w:val="0"/>
          <w:sz w:val="28"/>
          <w:szCs w:val="28"/>
          <w:lang w:val="en-US" w:eastAsia="zh-CN" w:bidi="ar-SA"/>
        </w:rPr>
      </w:pPr>
    </w:p>
    <w:p w14:paraId="6406468B">
      <w:pPr>
        <w:widowControl w:val="0"/>
        <w:autoSpaceDE w:val="0"/>
        <w:autoSpaceDN w:val="0"/>
        <w:adjustRightInd w:val="0"/>
        <w:spacing w:after="120"/>
        <w:ind w:left="420" w:leftChars="200" w:firstLine="560"/>
        <w:jc w:val="left"/>
        <w:rPr>
          <w:rFonts w:ascii="黑体" w:hAnsi="黑体" w:eastAsia="黑体" w:cs="Times New Roman"/>
          <w:color w:val="000000"/>
          <w:kern w:val="0"/>
          <w:sz w:val="28"/>
          <w:szCs w:val="28"/>
          <w:lang w:val="en-US" w:eastAsia="zh-CN" w:bidi="ar-SA"/>
        </w:rPr>
      </w:pPr>
    </w:p>
    <w:p w14:paraId="0474D1F0">
      <w:pPr>
        <w:widowControl w:val="0"/>
        <w:autoSpaceDE w:val="0"/>
        <w:autoSpaceDN w:val="0"/>
        <w:adjustRightInd w:val="0"/>
        <w:spacing w:after="120"/>
        <w:ind w:left="420" w:leftChars="200" w:firstLine="560"/>
        <w:jc w:val="left"/>
        <w:rPr>
          <w:rFonts w:ascii="黑体" w:hAnsi="黑体" w:eastAsia="黑体" w:cs="Times New Roman"/>
          <w:color w:val="000000"/>
          <w:kern w:val="0"/>
          <w:sz w:val="28"/>
          <w:szCs w:val="28"/>
          <w:lang w:val="en-US" w:eastAsia="zh-CN" w:bidi="ar-SA"/>
        </w:rPr>
      </w:pPr>
    </w:p>
    <w:p w14:paraId="0C565255">
      <w:pPr>
        <w:widowControl w:val="0"/>
        <w:autoSpaceDE w:val="0"/>
        <w:autoSpaceDN w:val="0"/>
        <w:adjustRightInd w:val="0"/>
        <w:spacing w:after="120"/>
        <w:ind w:left="420" w:leftChars="200" w:firstLine="560"/>
        <w:jc w:val="left"/>
        <w:rPr>
          <w:rFonts w:ascii="黑体" w:hAnsi="黑体" w:eastAsia="黑体" w:cs="Times New Roman"/>
          <w:color w:val="000000"/>
          <w:kern w:val="0"/>
          <w:sz w:val="28"/>
          <w:szCs w:val="28"/>
          <w:lang w:val="en-US" w:eastAsia="zh-CN" w:bidi="ar-SA"/>
        </w:rPr>
      </w:pPr>
    </w:p>
    <w:p w14:paraId="652E690E">
      <w:pPr>
        <w:widowControl w:val="0"/>
        <w:autoSpaceDE w:val="0"/>
        <w:autoSpaceDN w:val="0"/>
        <w:adjustRightInd w:val="0"/>
        <w:spacing w:after="120"/>
        <w:ind w:left="420" w:leftChars="200" w:firstLine="560"/>
        <w:jc w:val="left"/>
        <w:rPr>
          <w:rFonts w:ascii="黑体" w:hAnsi="黑体" w:eastAsia="黑体" w:cs="Times New Roman"/>
          <w:color w:val="000000"/>
          <w:kern w:val="0"/>
          <w:sz w:val="28"/>
          <w:szCs w:val="28"/>
          <w:lang w:val="en-US" w:eastAsia="zh-CN" w:bidi="ar-SA"/>
        </w:rPr>
      </w:pPr>
    </w:p>
    <w:p w14:paraId="609A0E1A">
      <w:pPr>
        <w:widowControl w:val="0"/>
        <w:autoSpaceDE w:val="0"/>
        <w:autoSpaceDN w:val="0"/>
        <w:adjustRightInd w:val="0"/>
        <w:spacing w:after="120"/>
        <w:ind w:left="420" w:leftChars="200" w:firstLine="560"/>
        <w:jc w:val="left"/>
        <w:rPr>
          <w:rFonts w:ascii="黑体" w:hAnsi="黑体" w:eastAsia="黑体" w:cs="Times New Roman"/>
          <w:color w:val="000000"/>
          <w:kern w:val="0"/>
          <w:sz w:val="28"/>
          <w:szCs w:val="28"/>
          <w:lang w:val="en-US" w:eastAsia="zh-CN" w:bidi="ar-SA"/>
        </w:rPr>
      </w:pPr>
    </w:p>
    <w:p w14:paraId="6981130C">
      <w:pPr>
        <w:widowControl w:val="0"/>
        <w:autoSpaceDE w:val="0"/>
        <w:autoSpaceDN w:val="0"/>
        <w:adjustRightInd w:val="0"/>
        <w:spacing w:after="120"/>
        <w:ind w:left="420" w:leftChars="200" w:firstLine="560"/>
        <w:jc w:val="left"/>
        <w:rPr>
          <w:rFonts w:ascii="黑体" w:hAnsi="黑体" w:eastAsia="黑体" w:cs="Times New Roman"/>
          <w:color w:val="000000"/>
          <w:kern w:val="0"/>
          <w:sz w:val="28"/>
          <w:szCs w:val="28"/>
          <w:lang w:val="en-US" w:eastAsia="zh-CN" w:bidi="ar-SA"/>
        </w:rPr>
      </w:pPr>
    </w:p>
    <w:p w14:paraId="2C3CB57C">
      <w:pPr>
        <w:widowControl w:val="0"/>
        <w:autoSpaceDE w:val="0"/>
        <w:autoSpaceDN w:val="0"/>
        <w:adjustRightInd w:val="0"/>
        <w:spacing w:after="120"/>
        <w:ind w:left="420" w:leftChars="200" w:firstLine="560"/>
        <w:jc w:val="left"/>
        <w:rPr>
          <w:rFonts w:ascii="黑体" w:hAnsi="黑体" w:eastAsia="黑体" w:cs="Times New Roman"/>
          <w:color w:val="000000"/>
          <w:kern w:val="0"/>
          <w:sz w:val="28"/>
          <w:szCs w:val="28"/>
          <w:lang w:val="en-US" w:eastAsia="zh-CN" w:bidi="ar-SA"/>
        </w:rPr>
      </w:pPr>
    </w:p>
    <w:p w14:paraId="2E888CA4">
      <w:pPr>
        <w:spacing w:line="360" w:lineRule="atLeast"/>
        <w:rPr>
          <w:rFonts w:ascii="黑体" w:hAnsi="黑体" w:cs="宋体"/>
          <w:color w:val="000000"/>
          <w:spacing w:val="6"/>
          <w:kern w:val="0"/>
          <w:szCs w:val="21"/>
        </w:rPr>
        <w:sectPr>
          <w:pgSz w:w="11906" w:h="16838"/>
          <w:pgMar w:top="1531" w:right="1531" w:bottom="1531" w:left="1531" w:header="1134" w:footer="680" w:gutter="0"/>
          <w:pgBorders>
            <w:top w:val="none" w:sz="0" w:space="0"/>
            <w:left w:val="none" w:sz="0" w:space="0"/>
            <w:bottom w:val="none" w:sz="0" w:space="0"/>
            <w:right w:val="none" w:sz="0" w:space="0"/>
          </w:pgBorders>
          <w:pgNumType w:fmt="decimal"/>
          <w:cols w:space="0" w:num="1"/>
          <w:rtlGutter w:val="0"/>
          <w:docGrid w:type="lines" w:linePitch="315" w:charSpace="0"/>
        </w:sectPr>
      </w:pPr>
    </w:p>
    <w:p w14:paraId="41F8CC4F">
      <w:pPr>
        <w:keepNext/>
        <w:keepLines/>
        <w:widowControl w:val="0"/>
        <w:spacing w:before="280" w:after="290" w:line="300" w:lineRule="exact"/>
        <w:jc w:val="left"/>
        <w:outlineLvl w:val="3"/>
        <w:rPr>
          <w:rFonts w:hint="eastAsia" w:ascii="等线" w:hAnsi="等线" w:eastAsia="等线" w:cs="微软雅黑"/>
          <w:bCs w:val="0"/>
          <w:color w:val="000000"/>
          <w:kern w:val="0"/>
          <w:sz w:val="21"/>
          <w:szCs w:val="21"/>
          <w:lang w:val="en-US" w:eastAsia="zh-CN" w:bidi="ar-SA"/>
        </w:rPr>
      </w:pPr>
      <w:r>
        <w:rPr>
          <w:rFonts w:hint="eastAsia" w:ascii="等线" w:hAnsi="等线" w:eastAsia="等线" w:cs="微软雅黑"/>
          <w:bCs w:val="0"/>
          <w:color w:val="000000"/>
          <w:kern w:val="0"/>
          <w:sz w:val="21"/>
          <w:szCs w:val="21"/>
          <w:lang w:val="en-US" w:eastAsia="zh-CN" w:bidi="ar-SA"/>
        </w:rPr>
        <w:t>附件6-1 主要人员简历表</w:t>
      </w:r>
    </w:p>
    <w:p w14:paraId="3431016B">
      <w:pPr>
        <w:widowControl/>
        <w:adjustRightInd w:val="0"/>
        <w:snapToGrid w:val="0"/>
        <w:spacing w:before="156" w:beforeLines="50" w:line="420" w:lineRule="exact"/>
        <w:jc w:val="center"/>
        <w:rPr>
          <w:rFonts w:hint="eastAsia" w:ascii="黑体" w:hAnsi="仿宋" w:eastAsia="黑体" w:cs="宋体"/>
          <w:b/>
          <w:color w:val="000000"/>
          <w:sz w:val="28"/>
          <w:szCs w:val="28"/>
        </w:rPr>
      </w:pPr>
      <w:r>
        <w:rPr>
          <w:rFonts w:hint="eastAsia" w:ascii="黑体" w:hAnsi="仿宋" w:eastAsia="黑体" w:cs="宋体"/>
          <w:b/>
          <w:color w:val="000000"/>
          <w:sz w:val="28"/>
          <w:szCs w:val="28"/>
        </w:rPr>
        <w:t>主要人员简历表</w:t>
      </w:r>
    </w:p>
    <w:p w14:paraId="4D290D80">
      <w:pPr>
        <w:spacing w:line="360" w:lineRule="atLeast"/>
        <w:jc w:val="center"/>
        <w:rPr>
          <w:rFonts w:ascii="宋体" w:hAnsi="等线" w:eastAsia="等线" w:cs="Times New Roman"/>
          <w:color w:val="000000"/>
          <w:sz w:val="28"/>
          <w:szCs w:val="28"/>
        </w:rPr>
      </w:pPr>
    </w:p>
    <w:tbl>
      <w:tblPr>
        <w:tblStyle w:val="10"/>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2179"/>
      </w:tblGrid>
      <w:tr w14:paraId="7E7726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tcBorders>
              <w:top w:val="double" w:color="auto" w:sz="4" w:space="0"/>
            </w:tcBorders>
            <w:vAlign w:val="center"/>
          </w:tcPr>
          <w:p w14:paraId="5F4F13D7">
            <w:pPr>
              <w:spacing w:line="36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姓名</w:t>
            </w:r>
          </w:p>
        </w:tc>
        <w:tc>
          <w:tcPr>
            <w:tcW w:w="2468" w:type="dxa"/>
            <w:tcBorders>
              <w:top w:val="double" w:color="auto" w:sz="4" w:space="0"/>
            </w:tcBorders>
            <w:vAlign w:val="center"/>
          </w:tcPr>
          <w:p w14:paraId="14562E38">
            <w:pPr>
              <w:spacing w:line="360" w:lineRule="atLeast"/>
              <w:jc w:val="center"/>
              <w:rPr>
                <w:rFonts w:ascii="宋体" w:hAnsi="宋体" w:eastAsia="宋体" w:cs="宋体"/>
                <w:color w:val="000000"/>
                <w:sz w:val="24"/>
                <w:szCs w:val="24"/>
              </w:rPr>
            </w:pPr>
          </w:p>
        </w:tc>
        <w:tc>
          <w:tcPr>
            <w:tcW w:w="2340" w:type="dxa"/>
            <w:gridSpan w:val="3"/>
            <w:tcBorders>
              <w:top w:val="double" w:color="auto" w:sz="4" w:space="0"/>
            </w:tcBorders>
            <w:vAlign w:val="center"/>
          </w:tcPr>
          <w:p w14:paraId="0E825E58">
            <w:pPr>
              <w:spacing w:line="36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性别</w:t>
            </w:r>
          </w:p>
        </w:tc>
        <w:tc>
          <w:tcPr>
            <w:tcW w:w="2179" w:type="dxa"/>
            <w:tcBorders>
              <w:top w:val="double" w:color="auto" w:sz="4" w:space="0"/>
            </w:tcBorders>
            <w:vAlign w:val="center"/>
          </w:tcPr>
          <w:p w14:paraId="5771B5CD">
            <w:pPr>
              <w:spacing w:line="360" w:lineRule="atLeast"/>
              <w:jc w:val="center"/>
              <w:rPr>
                <w:rFonts w:ascii="宋体" w:hAnsi="宋体" w:eastAsia="宋体" w:cs="宋体"/>
                <w:color w:val="000000"/>
                <w:sz w:val="24"/>
                <w:szCs w:val="24"/>
              </w:rPr>
            </w:pPr>
          </w:p>
        </w:tc>
      </w:tr>
      <w:tr w14:paraId="07DBE3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561E0581">
            <w:pPr>
              <w:spacing w:line="36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职务</w:t>
            </w:r>
          </w:p>
        </w:tc>
        <w:tc>
          <w:tcPr>
            <w:tcW w:w="2468" w:type="dxa"/>
            <w:vAlign w:val="center"/>
          </w:tcPr>
          <w:p w14:paraId="72F2478F">
            <w:pPr>
              <w:spacing w:line="360" w:lineRule="atLeast"/>
              <w:jc w:val="center"/>
              <w:rPr>
                <w:rFonts w:ascii="宋体" w:hAnsi="宋体" w:eastAsia="宋体" w:cs="宋体"/>
                <w:color w:val="000000"/>
                <w:sz w:val="24"/>
                <w:szCs w:val="24"/>
              </w:rPr>
            </w:pPr>
          </w:p>
        </w:tc>
        <w:tc>
          <w:tcPr>
            <w:tcW w:w="2340" w:type="dxa"/>
            <w:gridSpan w:val="3"/>
            <w:vAlign w:val="center"/>
          </w:tcPr>
          <w:p w14:paraId="76AE4557">
            <w:pPr>
              <w:spacing w:line="36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职称</w:t>
            </w:r>
          </w:p>
        </w:tc>
        <w:tc>
          <w:tcPr>
            <w:tcW w:w="2179" w:type="dxa"/>
            <w:vAlign w:val="center"/>
          </w:tcPr>
          <w:p w14:paraId="7E421921">
            <w:pPr>
              <w:spacing w:line="360" w:lineRule="atLeast"/>
              <w:jc w:val="center"/>
              <w:rPr>
                <w:rFonts w:ascii="宋体" w:hAnsi="宋体" w:eastAsia="宋体" w:cs="宋体"/>
                <w:color w:val="000000"/>
                <w:sz w:val="24"/>
                <w:szCs w:val="24"/>
              </w:rPr>
            </w:pPr>
          </w:p>
        </w:tc>
      </w:tr>
      <w:tr w14:paraId="3D0BC3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754B97F3">
            <w:pPr>
              <w:spacing w:line="36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毕业学校、专业</w:t>
            </w:r>
          </w:p>
        </w:tc>
        <w:tc>
          <w:tcPr>
            <w:tcW w:w="6987" w:type="dxa"/>
            <w:gridSpan w:val="5"/>
            <w:vAlign w:val="center"/>
          </w:tcPr>
          <w:p w14:paraId="45D19E17">
            <w:pPr>
              <w:spacing w:line="360" w:lineRule="atLeast"/>
              <w:jc w:val="center"/>
              <w:rPr>
                <w:rFonts w:ascii="宋体" w:hAnsi="宋体" w:eastAsia="宋体" w:cs="宋体"/>
                <w:color w:val="000000"/>
                <w:sz w:val="24"/>
                <w:szCs w:val="24"/>
              </w:rPr>
            </w:pPr>
          </w:p>
        </w:tc>
      </w:tr>
      <w:tr w14:paraId="2FA121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28DE9F57">
            <w:pPr>
              <w:spacing w:line="36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身份证号</w:t>
            </w:r>
          </w:p>
        </w:tc>
        <w:tc>
          <w:tcPr>
            <w:tcW w:w="2468" w:type="dxa"/>
            <w:vAlign w:val="center"/>
          </w:tcPr>
          <w:p w14:paraId="5F6B2936">
            <w:pPr>
              <w:spacing w:line="360" w:lineRule="atLeast"/>
              <w:jc w:val="center"/>
              <w:rPr>
                <w:rFonts w:ascii="宋体" w:hAnsi="宋体" w:eastAsia="宋体" w:cs="宋体"/>
                <w:color w:val="000000"/>
                <w:sz w:val="24"/>
                <w:szCs w:val="24"/>
              </w:rPr>
            </w:pPr>
          </w:p>
        </w:tc>
        <w:tc>
          <w:tcPr>
            <w:tcW w:w="2340" w:type="dxa"/>
            <w:gridSpan w:val="3"/>
            <w:vAlign w:val="center"/>
          </w:tcPr>
          <w:p w14:paraId="19A80CF5">
            <w:pPr>
              <w:spacing w:line="36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拟在本合同任职</w:t>
            </w:r>
          </w:p>
        </w:tc>
        <w:tc>
          <w:tcPr>
            <w:tcW w:w="2179" w:type="dxa"/>
            <w:vAlign w:val="center"/>
          </w:tcPr>
          <w:p w14:paraId="50199DFE">
            <w:pPr>
              <w:spacing w:line="360" w:lineRule="atLeast"/>
              <w:ind w:right="-105" w:rightChars="-50"/>
              <w:jc w:val="center"/>
              <w:rPr>
                <w:rFonts w:ascii="宋体" w:hAnsi="宋体" w:eastAsia="宋体" w:cs="宋体"/>
                <w:color w:val="000000"/>
                <w:sz w:val="24"/>
                <w:szCs w:val="24"/>
              </w:rPr>
            </w:pPr>
          </w:p>
        </w:tc>
      </w:tr>
      <w:tr w14:paraId="0F37EB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3B5B7CB1">
            <w:pPr>
              <w:spacing w:line="36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执业资格证</w:t>
            </w:r>
          </w:p>
        </w:tc>
        <w:tc>
          <w:tcPr>
            <w:tcW w:w="2468" w:type="dxa"/>
            <w:vAlign w:val="center"/>
          </w:tcPr>
          <w:p w14:paraId="3BEA0206">
            <w:pPr>
              <w:spacing w:line="360" w:lineRule="atLeast"/>
              <w:jc w:val="center"/>
              <w:rPr>
                <w:rFonts w:ascii="宋体" w:hAnsi="宋体" w:eastAsia="宋体" w:cs="宋体"/>
                <w:color w:val="000000"/>
                <w:sz w:val="24"/>
                <w:szCs w:val="24"/>
              </w:rPr>
            </w:pPr>
          </w:p>
        </w:tc>
        <w:tc>
          <w:tcPr>
            <w:tcW w:w="2340" w:type="dxa"/>
            <w:gridSpan w:val="3"/>
            <w:vAlign w:val="center"/>
          </w:tcPr>
          <w:p w14:paraId="2B8624D9">
            <w:pPr>
              <w:spacing w:line="36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执业资格证书号</w:t>
            </w:r>
          </w:p>
        </w:tc>
        <w:tc>
          <w:tcPr>
            <w:tcW w:w="2179" w:type="dxa"/>
            <w:vAlign w:val="center"/>
          </w:tcPr>
          <w:p w14:paraId="00132725">
            <w:pPr>
              <w:spacing w:line="360" w:lineRule="atLeast"/>
              <w:ind w:right="-105" w:rightChars="-50"/>
              <w:jc w:val="center"/>
              <w:rPr>
                <w:rFonts w:ascii="宋体" w:hAnsi="宋体" w:eastAsia="宋体" w:cs="宋体"/>
                <w:color w:val="000000"/>
                <w:sz w:val="24"/>
                <w:szCs w:val="24"/>
              </w:rPr>
            </w:pPr>
          </w:p>
        </w:tc>
      </w:tr>
      <w:tr w14:paraId="353B21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9019" w:type="dxa"/>
            <w:gridSpan w:val="7"/>
            <w:vAlign w:val="center"/>
          </w:tcPr>
          <w:p w14:paraId="35B5E3B0">
            <w:pPr>
              <w:spacing w:line="360" w:lineRule="atLeast"/>
              <w:rPr>
                <w:rFonts w:ascii="宋体" w:hAnsi="宋体" w:eastAsia="宋体" w:cs="宋体"/>
                <w:color w:val="000000"/>
                <w:sz w:val="24"/>
                <w:szCs w:val="24"/>
              </w:rPr>
            </w:pPr>
            <w:r>
              <w:rPr>
                <w:rFonts w:hint="eastAsia" w:ascii="宋体" w:hAnsi="宋体" w:eastAsia="宋体" w:cs="宋体"/>
                <w:color w:val="000000"/>
                <w:sz w:val="24"/>
                <w:szCs w:val="24"/>
              </w:rPr>
              <w:t>近三年承担项目情况</w:t>
            </w:r>
          </w:p>
        </w:tc>
      </w:tr>
      <w:tr w14:paraId="48692C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C020B17">
            <w:pPr>
              <w:spacing w:line="36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时间</w:t>
            </w:r>
          </w:p>
        </w:tc>
        <w:tc>
          <w:tcPr>
            <w:tcW w:w="3636" w:type="dxa"/>
            <w:gridSpan w:val="3"/>
            <w:vAlign w:val="center"/>
          </w:tcPr>
          <w:p w14:paraId="774665CF">
            <w:pPr>
              <w:spacing w:line="36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类似项目名称</w:t>
            </w:r>
          </w:p>
        </w:tc>
        <w:tc>
          <w:tcPr>
            <w:tcW w:w="1404" w:type="dxa"/>
            <w:vAlign w:val="center"/>
          </w:tcPr>
          <w:p w14:paraId="52CA6F13">
            <w:pPr>
              <w:spacing w:line="36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担任职务</w:t>
            </w:r>
          </w:p>
        </w:tc>
        <w:tc>
          <w:tcPr>
            <w:tcW w:w="2719" w:type="dxa"/>
            <w:gridSpan w:val="2"/>
            <w:vAlign w:val="center"/>
          </w:tcPr>
          <w:p w14:paraId="70FDF748">
            <w:pPr>
              <w:spacing w:line="36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项目单位名称及电话</w:t>
            </w:r>
          </w:p>
        </w:tc>
      </w:tr>
      <w:tr w14:paraId="15BB60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E6D346A">
            <w:pPr>
              <w:spacing w:line="360" w:lineRule="atLeast"/>
              <w:jc w:val="center"/>
              <w:rPr>
                <w:rFonts w:ascii="宋体" w:hAnsi="宋体" w:eastAsia="宋体" w:cs="宋体"/>
                <w:color w:val="000000"/>
                <w:sz w:val="24"/>
                <w:szCs w:val="24"/>
              </w:rPr>
            </w:pPr>
          </w:p>
        </w:tc>
        <w:tc>
          <w:tcPr>
            <w:tcW w:w="3636" w:type="dxa"/>
            <w:gridSpan w:val="3"/>
            <w:vAlign w:val="center"/>
          </w:tcPr>
          <w:p w14:paraId="5CD420F2">
            <w:pPr>
              <w:spacing w:line="360" w:lineRule="atLeast"/>
              <w:jc w:val="center"/>
              <w:rPr>
                <w:rFonts w:ascii="宋体" w:hAnsi="宋体" w:eastAsia="宋体" w:cs="宋体"/>
                <w:color w:val="000000"/>
                <w:sz w:val="24"/>
                <w:szCs w:val="24"/>
              </w:rPr>
            </w:pPr>
          </w:p>
        </w:tc>
        <w:tc>
          <w:tcPr>
            <w:tcW w:w="1404" w:type="dxa"/>
            <w:vAlign w:val="center"/>
          </w:tcPr>
          <w:p w14:paraId="42191E1D">
            <w:pPr>
              <w:spacing w:line="360" w:lineRule="atLeast"/>
              <w:jc w:val="center"/>
              <w:rPr>
                <w:rFonts w:ascii="宋体" w:hAnsi="宋体" w:eastAsia="宋体" w:cs="宋体"/>
                <w:color w:val="000000"/>
                <w:sz w:val="24"/>
                <w:szCs w:val="24"/>
              </w:rPr>
            </w:pPr>
          </w:p>
        </w:tc>
        <w:tc>
          <w:tcPr>
            <w:tcW w:w="2719" w:type="dxa"/>
            <w:gridSpan w:val="2"/>
            <w:vAlign w:val="center"/>
          </w:tcPr>
          <w:p w14:paraId="2849C799">
            <w:pPr>
              <w:spacing w:line="360" w:lineRule="atLeast"/>
              <w:jc w:val="center"/>
              <w:rPr>
                <w:rFonts w:ascii="宋体" w:hAnsi="宋体" w:eastAsia="宋体" w:cs="宋体"/>
                <w:color w:val="000000"/>
                <w:sz w:val="24"/>
                <w:szCs w:val="24"/>
              </w:rPr>
            </w:pPr>
          </w:p>
        </w:tc>
      </w:tr>
      <w:tr w14:paraId="4B8A5E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8EC12C9">
            <w:pPr>
              <w:spacing w:line="360" w:lineRule="atLeast"/>
              <w:jc w:val="center"/>
              <w:rPr>
                <w:rFonts w:ascii="宋体" w:hAnsi="宋体" w:eastAsia="宋体" w:cs="宋体"/>
                <w:color w:val="000000"/>
                <w:sz w:val="24"/>
                <w:szCs w:val="24"/>
              </w:rPr>
            </w:pPr>
          </w:p>
        </w:tc>
        <w:tc>
          <w:tcPr>
            <w:tcW w:w="3636" w:type="dxa"/>
            <w:gridSpan w:val="3"/>
            <w:vAlign w:val="center"/>
          </w:tcPr>
          <w:p w14:paraId="4D31888A">
            <w:pPr>
              <w:spacing w:line="360" w:lineRule="atLeast"/>
              <w:jc w:val="center"/>
              <w:rPr>
                <w:rFonts w:ascii="宋体" w:hAnsi="宋体" w:eastAsia="宋体" w:cs="宋体"/>
                <w:color w:val="000000"/>
                <w:sz w:val="24"/>
                <w:szCs w:val="24"/>
              </w:rPr>
            </w:pPr>
          </w:p>
        </w:tc>
        <w:tc>
          <w:tcPr>
            <w:tcW w:w="1404" w:type="dxa"/>
            <w:vAlign w:val="center"/>
          </w:tcPr>
          <w:p w14:paraId="49642159">
            <w:pPr>
              <w:spacing w:line="360" w:lineRule="atLeast"/>
              <w:jc w:val="center"/>
              <w:rPr>
                <w:rFonts w:ascii="宋体" w:hAnsi="宋体" w:eastAsia="宋体" w:cs="宋体"/>
                <w:color w:val="000000"/>
                <w:sz w:val="24"/>
                <w:szCs w:val="24"/>
              </w:rPr>
            </w:pPr>
          </w:p>
        </w:tc>
        <w:tc>
          <w:tcPr>
            <w:tcW w:w="2719" w:type="dxa"/>
            <w:gridSpan w:val="2"/>
            <w:vAlign w:val="center"/>
          </w:tcPr>
          <w:p w14:paraId="00AC1E54">
            <w:pPr>
              <w:spacing w:line="360" w:lineRule="atLeast"/>
              <w:jc w:val="center"/>
              <w:rPr>
                <w:rFonts w:ascii="宋体" w:hAnsi="宋体" w:eastAsia="宋体" w:cs="宋体"/>
                <w:color w:val="000000"/>
                <w:sz w:val="24"/>
                <w:szCs w:val="24"/>
              </w:rPr>
            </w:pPr>
          </w:p>
        </w:tc>
      </w:tr>
      <w:tr w14:paraId="703723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255401C">
            <w:pPr>
              <w:spacing w:line="360" w:lineRule="atLeast"/>
              <w:jc w:val="center"/>
              <w:rPr>
                <w:rFonts w:ascii="宋体" w:hAnsi="宋体" w:eastAsia="宋体" w:cs="宋体"/>
                <w:color w:val="000000"/>
                <w:sz w:val="24"/>
                <w:szCs w:val="24"/>
              </w:rPr>
            </w:pPr>
          </w:p>
        </w:tc>
        <w:tc>
          <w:tcPr>
            <w:tcW w:w="3636" w:type="dxa"/>
            <w:gridSpan w:val="3"/>
            <w:vAlign w:val="center"/>
          </w:tcPr>
          <w:p w14:paraId="171150AD">
            <w:pPr>
              <w:spacing w:line="360" w:lineRule="atLeast"/>
              <w:jc w:val="center"/>
              <w:rPr>
                <w:rFonts w:ascii="宋体" w:hAnsi="宋体" w:eastAsia="宋体" w:cs="宋体"/>
                <w:color w:val="000000"/>
                <w:sz w:val="24"/>
                <w:szCs w:val="24"/>
              </w:rPr>
            </w:pPr>
          </w:p>
        </w:tc>
        <w:tc>
          <w:tcPr>
            <w:tcW w:w="1404" w:type="dxa"/>
            <w:vAlign w:val="center"/>
          </w:tcPr>
          <w:p w14:paraId="46B29994">
            <w:pPr>
              <w:spacing w:line="360" w:lineRule="atLeast"/>
              <w:jc w:val="center"/>
              <w:rPr>
                <w:rFonts w:ascii="宋体" w:hAnsi="宋体" w:eastAsia="宋体" w:cs="宋体"/>
                <w:color w:val="000000"/>
                <w:sz w:val="24"/>
                <w:szCs w:val="24"/>
              </w:rPr>
            </w:pPr>
          </w:p>
        </w:tc>
        <w:tc>
          <w:tcPr>
            <w:tcW w:w="2719" w:type="dxa"/>
            <w:gridSpan w:val="2"/>
            <w:vAlign w:val="center"/>
          </w:tcPr>
          <w:p w14:paraId="7DF7BFFA">
            <w:pPr>
              <w:spacing w:line="360" w:lineRule="atLeast"/>
              <w:jc w:val="center"/>
              <w:rPr>
                <w:rFonts w:ascii="宋体" w:hAnsi="宋体" w:eastAsia="宋体" w:cs="宋体"/>
                <w:color w:val="000000"/>
                <w:sz w:val="24"/>
                <w:szCs w:val="24"/>
              </w:rPr>
            </w:pPr>
          </w:p>
        </w:tc>
      </w:tr>
      <w:tr w14:paraId="566D28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E66016B">
            <w:pPr>
              <w:spacing w:line="360" w:lineRule="atLeast"/>
              <w:jc w:val="center"/>
              <w:rPr>
                <w:rFonts w:ascii="宋体" w:hAnsi="宋体" w:eastAsia="宋体" w:cs="宋体"/>
                <w:color w:val="000000"/>
                <w:sz w:val="24"/>
                <w:szCs w:val="24"/>
              </w:rPr>
            </w:pPr>
          </w:p>
        </w:tc>
        <w:tc>
          <w:tcPr>
            <w:tcW w:w="3636" w:type="dxa"/>
            <w:gridSpan w:val="3"/>
            <w:vAlign w:val="center"/>
          </w:tcPr>
          <w:p w14:paraId="34A87C22">
            <w:pPr>
              <w:spacing w:line="360" w:lineRule="atLeast"/>
              <w:jc w:val="center"/>
              <w:rPr>
                <w:rFonts w:ascii="宋体" w:hAnsi="宋体" w:eastAsia="宋体" w:cs="宋体"/>
                <w:color w:val="000000"/>
                <w:sz w:val="24"/>
                <w:szCs w:val="24"/>
              </w:rPr>
            </w:pPr>
          </w:p>
        </w:tc>
        <w:tc>
          <w:tcPr>
            <w:tcW w:w="1404" w:type="dxa"/>
            <w:vAlign w:val="center"/>
          </w:tcPr>
          <w:p w14:paraId="01D89169">
            <w:pPr>
              <w:spacing w:line="360" w:lineRule="atLeast"/>
              <w:jc w:val="center"/>
              <w:rPr>
                <w:rFonts w:ascii="宋体" w:hAnsi="宋体" w:eastAsia="宋体" w:cs="宋体"/>
                <w:color w:val="000000"/>
                <w:sz w:val="24"/>
                <w:szCs w:val="24"/>
              </w:rPr>
            </w:pPr>
          </w:p>
        </w:tc>
        <w:tc>
          <w:tcPr>
            <w:tcW w:w="2719" w:type="dxa"/>
            <w:gridSpan w:val="2"/>
            <w:vAlign w:val="center"/>
          </w:tcPr>
          <w:p w14:paraId="32B4AE89">
            <w:pPr>
              <w:spacing w:line="360" w:lineRule="atLeast"/>
              <w:jc w:val="center"/>
              <w:rPr>
                <w:rFonts w:ascii="宋体" w:hAnsi="宋体" w:eastAsia="宋体" w:cs="宋体"/>
                <w:color w:val="000000"/>
                <w:sz w:val="24"/>
                <w:szCs w:val="24"/>
              </w:rPr>
            </w:pPr>
          </w:p>
        </w:tc>
      </w:tr>
      <w:tr w14:paraId="56A896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D52BF2A">
            <w:pPr>
              <w:spacing w:line="360" w:lineRule="atLeast"/>
              <w:jc w:val="center"/>
              <w:rPr>
                <w:rFonts w:ascii="宋体" w:hAnsi="宋体" w:eastAsia="宋体" w:cs="宋体"/>
                <w:color w:val="000000"/>
                <w:sz w:val="24"/>
                <w:szCs w:val="24"/>
              </w:rPr>
            </w:pPr>
          </w:p>
        </w:tc>
        <w:tc>
          <w:tcPr>
            <w:tcW w:w="3636" w:type="dxa"/>
            <w:gridSpan w:val="3"/>
            <w:vAlign w:val="center"/>
          </w:tcPr>
          <w:p w14:paraId="6C6EEFE0">
            <w:pPr>
              <w:spacing w:line="360" w:lineRule="atLeast"/>
              <w:jc w:val="center"/>
              <w:rPr>
                <w:rFonts w:ascii="宋体" w:hAnsi="宋体" w:eastAsia="宋体" w:cs="宋体"/>
                <w:color w:val="000000"/>
                <w:sz w:val="24"/>
                <w:szCs w:val="24"/>
              </w:rPr>
            </w:pPr>
          </w:p>
        </w:tc>
        <w:tc>
          <w:tcPr>
            <w:tcW w:w="1404" w:type="dxa"/>
            <w:vAlign w:val="center"/>
          </w:tcPr>
          <w:p w14:paraId="1702B6E2">
            <w:pPr>
              <w:spacing w:line="360" w:lineRule="atLeast"/>
              <w:jc w:val="center"/>
              <w:rPr>
                <w:rFonts w:ascii="宋体" w:hAnsi="宋体" w:eastAsia="宋体" w:cs="宋体"/>
                <w:color w:val="000000"/>
                <w:sz w:val="24"/>
                <w:szCs w:val="24"/>
              </w:rPr>
            </w:pPr>
          </w:p>
        </w:tc>
        <w:tc>
          <w:tcPr>
            <w:tcW w:w="2719" w:type="dxa"/>
            <w:gridSpan w:val="2"/>
            <w:vAlign w:val="center"/>
          </w:tcPr>
          <w:p w14:paraId="0F290E1C">
            <w:pPr>
              <w:spacing w:line="360" w:lineRule="atLeast"/>
              <w:jc w:val="center"/>
              <w:rPr>
                <w:rFonts w:ascii="宋体" w:hAnsi="宋体" w:eastAsia="宋体" w:cs="宋体"/>
                <w:color w:val="000000"/>
                <w:sz w:val="24"/>
                <w:szCs w:val="24"/>
              </w:rPr>
            </w:pPr>
          </w:p>
        </w:tc>
      </w:tr>
      <w:tr w14:paraId="0DB703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tcBorders>
              <w:bottom w:val="double" w:color="auto" w:sz="4" w:space="0"/>
            </w:tcBorders>
            <w:vAlign w:val="center"/>
          </w:tcPr>
          <w:p w14:paraId="2ECE34F3">
            <w:pPr>
              <w:spacing w:line="360" w:lineRule="atLeast"/>
              <w:jc w:val="center"/>
              <w:rPr>
                <w:rFonts w:ascii="宋体" w:hAnsi="宋体" w:eastAsia="宋体" w:cs="宋体"/>
                <w:color w:val="000000"/>
                <w:sz w:val="24"/>
                <w:szCs w:val="24"/>
              </w:rPr>
            </w:pPr>
          </w:p>
        </w:tc>
        <w:tc>
          <w:tcPr>
            <w:tcW w:w="3636" w:type="dxa"/>
            <w:gridSpan w:val="3"/>
            <w:tcBorders>
              <w:bottom w:val="double" w:color="auto" w:sz="4" w:space="0"/>
            </w:tcBorders>
            <w:vAlign w:val="center"/>
          </w:tcPr>
          <w:p w14:paraId="656BE4AB">
            <w:pPr>
              <w:spacing w:line="360" w:lineRule="atLeast"/>
              <w:jc w:val="center"/>
              <w:rPr>
                <w:rFonts w:ascii="宋体" w:hAnsi="宋体" w:eastAsia="宋体" w:cs="宋体"/>
                <w:color w:val="000000"/>
                <w:sz w:val="24"/>
                <w:szCs w:val="24"/>
              </w:rPr>
            </w:pPr>
          </w:p>
        </w:tc>
        <w:tc>
          <w:tcPr>
            <w:tcW w:w="1404" w:type="dxa"/>
            <w:tcBorders>
              <w:bottom w:val="double" w:color="auto" w:sz="4" w:space="0"/>
            </w:tcBorders>
            <w:vAlign w:val="center"/>
          </w:tcPr>
          <w:p w14:paraId="7DDB01F0">
            <w:pPr>
              <w:spacing w:line="360" w:lineRule="atLeast"/>
              <w:jc w:val="center"/>
              <w:rPr>
                <w:rFonts w:ascii="宋体" w:hAnsi="宋体" w:eastAsia="宋体" w:cs="宋体"/>
                <w:color w:val="000000"/>
                <w:sz w:val="24"/>
                <w:szCs w:val="24"/>
              </w:rPr>
            </w:pPr>
          </w:p>
        </w:tc>
        <w:tc>
          <w:tcPr>
            <w:tcW w:w="2719" w:type="dxa"/>
            <w:gridSpan w:val="2"/>
            <w:tcBorders>
              <w:bottom w:val="double" w:color="auto" w:sz="4" w:space="0"/>
            </w:tcBorders>
            <w:vAlign w:val="center"/>
          </w:tcPr>
          <w:p w14:paraId="26B2F0FE">
            <w:pPr>
              <w:spacing w:line="360" w:lineRule="atLeast"/>
              <w:jc w:val="center"/>
              <w:rPr>
                <w:rFonts w:ascii="宋体" w:hAnsi="宋体" w:eastAsia="宋体" w:cs="宋体"/>
                <w:color w:val="000000"/>
                <w:sz w:val="24"/>
                <w:szCs w:val="24"/>
              </w:rPr>
            </w:pPr>
          </w:p>
        </w:tc>
      </w:tr>
    </w:tbl>
    <w:p w14:paraId="2EFB968C">
      <w:pPr>
        <w:rPr>
          <w:rFonts w:ascii="宋体" w:hAnsi="宋体" w:eastAsia="宋体" w:cs="宋体"/>
          <w:color w:val="000000"/>
          <w:sz w:val="24"/>
          <w:szCs w:val="24"/>
        </w:rPr>
      </w:pPr>
    </w:p>
    <w:p w14:paraId="4134AD2C">
      <w:pPr>
        <w:rPr>
          <w:rFonts w:ascii="宋体" w:hAnsi="宋体" w:eastAsia="宋体" w:cs="宋体"/>
          <w:bCs/>
          <w:color w:val="000000"/>
          <w:sz w:val="24"/>
          <w:szCs w:val="24"/>
        </w:rPr>
      </w:pPr>
      <w:r>
        <w:rPr>
          <w:rFonts w:hint="eastAsia" w:ascii="宋体" w:hAnsi="宋体" w:eastAsia="宋体" w:cs="宋体"/>
          <w:color w:val="000000"/>
          <w:sz w:val="24"/>
          <w:szCs w:val="24"/>
          <w:lang w:val="en-US" w:eastAsia="zh-CN"/>
        </w:rPr>
        <w:t>投标人</w:t>
      </w:r>
      <w:r>
        <w:rPr>
          <w:rFonts w:hint="eastAsia" w:ascii="宋体" w:hAnsi="宋体" w:eastAsia="宋体" w:cs="宋体"/>
          <w:color w:val="000000"/>
          <w:sz w:val="24"/>
          <w:szCs w:val="24"/>
        </w:rPr>
        <w:t>名称：</w:t>
      </w:r>
    </w:p>
    <w:p w14:paraId="799E5F0A">
      <w:pPr>
        <w:rPr>
          <w:rFonts w:ascii="宋体" w:hAnsi="宋体" w:eastAsia="宋体" w:cs="宋体"/>
          <w:color w:val="000000"/>
          <w:sz w:val="24"/>
          <w:szCs w:val="24"/>
        </w:rPr>
      </w:pPr>
      <w:r>
        <w:rPr>
          <w:rFonts w:hint="eastAsia" w:ascii="宋体" w:hAnsi="宋体" w:eastAsia="宋体" w:cs="宋体"/>
          <w:color w:val="000000"/>
          <w:sz w:val="24"/>
          <w:szCs w:val="24"/>
        </w:rPr>
        <w:t>法定代表人或其委托代理人(签字)：</w:t>
      </w:r>
    </w:p>
    <w:p w14:paraId="510EB180">
      <w:pPr>
        <w:spacing w:line="360" w:lineRule="exact"/>
        <w:rPr>
          <w:rFonts w:ascii="宋体" w:hAnsi="等线" w:eastAsia="等线" w:cs="Times New Roman"/>
          <w:color w:val="000000"/>
          <w:szCs w:val="22"/>
        </w:rPr>
      </w:pPr>
      <w:r>
        <w:rPr>
          <w:rFonts w:hint="eastAsia" w:ascii="宋体" w:hAnsi="宋体" w:eastAsia="宋体" w:cs="宋体"/>
          <w:color w:val="000000"/>
          <w:sz w:val="24"/>
          <w:szCs w:val="24"/>
        </w:rPr>
        <w:t>日期：  年   月   日</w:t>
      </w:r>
    </w:p>
    <w:p w14:paraId="269015AC">
      <w:pPr>
        <w:adjustRightInd w:val="0"/>
        <w:snapToGrid w:val="0"/>
        <w:spacing w:line="360" w:lineRule="auto"/>
        <w:rPr>
          <w:rFonts w:ascii="宋体" w:hAnsi="等线" w:eastAsia="等线" w:cs="Times New Roman"/>
          <w:color w:val="000000"/>
          <w:szCs w:val="21"/>
        </w:rPr>
      </w:pPr>
    </w:p>
    <w:p w14:paraId="3BDCE5A6">
      <w:pPr>
        <w:widowControl w:val="0"/>
        <w:autoSpaceDE w:val="0"/>
        <w:autoSpaceDN w:val="0"/>
        <w:adjustRightInd w:val="0"/>
        <w:spacing w:after="120"/>
        <w:ind w:left="420" w:leftChars="200" w:firstLine="420"/>
        <w:jc w:val="left"/>
        <w:rPr>
          <w:rFonts w:ascii="宋体" w:hAnsi="Calibri" w:eastAsia="宋体" w:cs="Times New Roman"/>
          <w:color w:val="000000"/>
          <w:kern w:val="0"/>
          <w:sz w:val="21"/>
          <w:szCs w:val="21"/>
          <w:lang w:val="en-US" w:eastAsia="zh-CN" w:bidi="ar-SA"/>
        </w:rPr>
      </w:pPr>
    </w:p>
    <w:p w14:paraId="0385306F">
      <w:pPr>
        <w:widowControl w:val="0"/>
        <w:autoSpaceDE w:val="0"/>
        <w:autoSpaceDN w:val="0"/>
        <w:adjustRightInd w:val="0"/>
        <w:spacing w:after="120"/>
        <w:ind w:left="420" w:leftChars="200" w:firstLine="420"/>
        <w:jc w:val="left"/>
        <w:rPr>
          <w:rFonts w:ascii="宋体" w:hAnsi="Calibri" w:eastAsia="宋体" w:cs="Times New Roman"/>
          <w:color w:val="000000"/>
          <w:kern w:val="0"/>
          <w:sz w:val="21"/>
          <w:szCs w:val="21"/>
          <w:lang w:val="en-US" w:eastAsia="zh-CN" w:bidi="ar-SA"/>
        </w:rPr>
      </w:pPr>
    </w:p>
    <w:p w14:paraId="6BA9A48A">
      <w:pPr>
        <w:widowControl w:val="0"/>
        <w:autoSpaceDE w:val="0"/>
        <w:autoSpaceDN w:val="0"/>
        <w:adjustRightInd w:val="0"/>
        <w:spacing w:after="120"/>
        <w:ind w:left="420" w:leftChars="200" w:firstLine="420"/>
        <w:jc w:val="left"/>
        <w:rPr>
          <w:rFonts w:ascii="宋体" w:hAnsi="Calibri" w:eastAsia="宋体" w:cs="Times New Roman"/>
          <w:color w:val="000000"/>
          <w:kern w:val="0"/>
          <w:sz w:val="21"/>
          <w:szCs w:val="21"/>
          <w:lang w:val="en-US" w:eastAsia="zh-CN" w:bidi="ar-SA"/>
        </w:rPr>
      </w:pPr>
    </w:p>
    <w:p w14:paraId="58D98AE7">
      <w:pPr>
        <w:rPr>
          <w:rFonts w:ascii="宋体" w:hAnsi="等线" w:eastAsia="等线" w:cs="Times New Roman"/>
          <w:color w:val="000000"/>
          <w:szCs w:val="21"/>
        </w:rPr>
      </w:pPr>
      <w:r>
        <w:rPr>
          <w:rFonts w:ascii="宋体" w:hAnsi="等线" w:eastAsia="等线" w:cs="Times New Roman"/>
          <w:color w:val="000000"/>
          <w:szCs w:val="21"/>
        </w:rPr>
        <w:br w:type="page"/>
      </w:r>
    </w:p>
    <w:p w14:paraId="56B2D37E">
      <w:pPr>
        <w:pStyle w:val="4"/>
        <w:bidi w:val="0"/>
        <w:jc w:val="center"/>
        <w:rPr>
          <w:lang w:val="en-US" w:eastAsia="zh-CN"/>
        </w:rPr>
      </w:pPr>
      <w:bookmarkStart w:id="99" w:name="_Toc20950"/>
      <w:bookmarkStart w:id="100" w:name="_Toc16509"/>
      <w:r>
        <w:rPr>
          <w:rFonts w:hint="eastAsia"/>
          <w:lang w:val="en-US" w:eastAsia="zh-CN"/>
        </w:rPr>
        <w:t>七、采购需求条款偏离表</w:t>
      </w:r>
      <w:bookmarkEnd w:id="99"/>
      <w:bookmarkEnd w:id="100"/>
    </w:p>
    <w:p w14:paraId="1F4D9B2D">
      <w:pPr>
        <w:adjustRightInd w:val="0"/>
        <w:snapToGrid w:val="0"/>
        <w:spacing w:line="360" w:lineRule="auto"/>
        <w:rPr>
          <w:rFonts w:ascii="宋体" w:hAnsi="宋体" w:eastAsia="宋体" w:cs="宋体"/>
          <w:color w:val="000000"/>
          <w:sz w:val="24"/>
          <w:szCs w:val="24"/>
        </w:rPr>
      </w:pPr>
      <w:r>
        <w:rPr>
          <w:rFonts w:hint="eastAsia" w:ascii="宋体" w:hAnsi="宋体" w:eastAsia="宋体" w:cs="宋体"/>
          <w:color w:val="000000"/>
          <w:sz w:val="24"/>
          <w:szCs w:val="24"/>
          <w:lang w:eastAsia="zh-CN"/>
        </w:rPr>
        <w:t>委托代理编号</w:t>
      </w:r>
      <w:r>
        <w:rPr>
          <w:rFonts w:hint="eastAsia" w:ascii="宋体" w:hAnsi="宋体" w:eastAsia="宋体" w:cs="宋体"/>
          <w:color w:val="000000"/>
          <w:sz w:val="24"/>
          <w:szCs w:val="24"/>
        </w:rPr>
        <w:t>：                       项目名称：</w:t>
      </w:r>
    </w:p>
    <w:p w14:paraId="256A6A1C">
      <w:pPr>
        <w:adjustRightInd w:val="0"/>
        <w:snapToGrid w:val="0"/>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 xml:space="preserve">包号：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包名称：</w:t>
      </w:r>
    </w:p>
    <w:tbl>
      <w:tblPr>
        <w:tblStyle w:val="10"/>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414765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tcBorders>
              <w:top w:val="double" w:color="auto" w:sz="4" w:space="0"/>
            </w:tcBorders>
            <w:vAlign w:val="center"/>
          </w:tcPr>
          <w:p w14:paraId="7FB8A799">
            <w:pPr>
              <w:adjustRightInd w:val="0"/>
              <w:snapToGrid w:val="0"/>
              <w:spacing w:before="50" w:line="360" w:lineRule="auto"/>
              <w:ind w:left="-88" w:leftChars="-42"/>
              <w:jc w:val="center"/>
              <w:rPr>
                <w:rFonts w:ascii="宋体" w:hAnsi="宋体" w:eastAsia="宋体" w:cs="宋体"/>
                <w:color w:val="000000"/>
                <w:sz w:val="24"/>
                <w:szCs w:val="24"/>
              </w:rPr>
            </w:pPr>
            <w:r>
              <w:rPr>
                <w:rFonts w:hint="eastAsia" w:ascii="宋体" w:hAnsi="宋体" w:eastAsia="宋体" w:cs="宋体"/>
                <w:bCs/>
                <w:color w:val="000000"/>
                <w:sz w:val="24"/>
                <w:szCs w:val="24"/>
              </w:rPr>
              <w:t>序</w:t>
            </w:r>
            <w:r>
              <w:rPr>
                <w:rFonts w:hint="eastAsia" w:ascii="宋体" w:hAnsi="宋体" w:eastAsia="宋体" w:cs="宋体"/>
                <w:color w:val="000000"/>
                <w:sz w:val="24"/>
                <w:szCs w:val="24"/>
              </w:rPr>
              <w:t>号</w:t>
            </w:r>
          </w:p>
        </w:tc>
        <w:tc>
          <w:tcPr>
            <w:tcW w:w="2410" w:type="dxa"/>
            <w:tcBorders>
              <w:top w:val="double" w:color="auto" w:sz="4" w:space="0"/>
            </w:tcBorders>
            <w:vAlign w:val="center"/>
          </w:tcPr>
          <w:p w14:paraId="73D6D9C7">
            <w:pPr>
              <w:adjustRightInd w:val="0"/>
              <w:snapToGrid w:val="0"/>
              <w:spacing w:before="50" w:line="360" w:lineRule="auto"/>
              <w:ind w:left="-88" w:leftChars="-42"/>
              <w:jc w:val="center"/>
              <w:rPr>
                <w:rFonts w:ascii="宋体" w:hAnsi="宋体" w:eastAsia="宋体" w:cs="宋体"/>
                <w:color w:val="000000"/>
                <w:sz w:val="24"/>
                <w:szCs w:val="24"/>
              </w:rPr>
            </w:pPr>
            <w:r>
              <w:rPr>
                <w:rFonts w:hint="eastAsia" w:ascii="宋体" w:hAnsi="宋体" w:eastAsia="宋体" w:cs="宋体"/>
                <w:color w:val="000000"/>
                <w:sz w:val="24"/>
                <w:szCs w:val="24"/>
              </w:rPr>
              <w:t>招标文件章节</w:t>
            </w:r>
            <w:r>
              <w:rPr>
                <w:rFonts w:hint="eastAsia" w:ascii="宋体" w:hAnsi="宋体" w:eastAsia="宋体" w:cs="宋体"/>
                <w:bCs/>
                <w:color w:val="000000"/>
                <w:sz w:val="24"/>
                <w:szCs w:val="24"/>
              </w:rPr>
              <w:t>条</w:t>
            </w:r>
            <w:r>
              <w:rPr>
                <w:rFonts w:hint="eastAsia" w:ascii="宋体" w:hAnsi="宋体" w:eastAsia="宋体" w:cs="宋体"/>
                <w:color w:val="000000"/>
                <w:sz w:val="24"/>
                <w:szCs w:val="24"/>
              </w:rPr>
              <w:t>款号</w:t>
            </w:r>
          </w:p>
        </w:tc>
        <w:tc>
          <w:tcPr>
            <w:tcW w:w="1985" w:type="dxa"/>
            <w:tcBorders>
              <w:top w:val="double" w:color="auto" w:sz="4" w:space="0"/>
            </w:tcBorders>
            <w:vAlign w:val="center"/>
          </w:tcPr>
          <w:p w14:paraId="68952570">
            <w:pPr>
              <w:adjustRightInd w:val="0"/>
              <w:snapToGrid w:val="0"/>
              <w:spacing w:before="50" w:line="360" w:lineRule="auto"/>
              <w:ind w:left="-88" w:leftChars="-42"/>
              <w:jc w:val="center"/>
              <w:rPr>
                <w:rFonts w:ascii="宋体" w:hAnsi="宋体" w:eastAsia="宋体" w:cs="宋体"/>
                <w:color w:val="000000"/>
                <w:sz w:val="24"/>
                <w:szCs w:val="24"/>
              </w:rPr>
            </w:pPr>
            <w:r>
              <w:rPr>
                <w:rFonts w:hint="eastAsia" w:ascii="宋体" w:hAnsi="宋体" w:eastAsia="宋体" w:cs="宋体"/>
                <w:color w:val="000000"/>
                <w:sz w:val="24"/>
                <w:szCs w:val="24"/>
              </w:rPr>
              <w:t>招标文件要求</w:t>
            </w:r>
          </w:p>
        </w:tc>
        <w:tc>
          <w:tcPr>
            <w:tcW w:w="2082" w:type="dxa"/>
            <w:tcBorders>
              <w:top w:val="double" w:color="auto" w:sz="4" w:space="0"/>
              <w:right w:val="single" w:color="auto" w:sz="4" w:space="0"/>
            </w:tcBorders>
            <w:vAlign w:val="center"/>
          </w:tcPr>
          <w:p w14:paraId="6FBFA6DC">
            <w:pPr>
              <w:adjustRightInd w:val="0"/>
              <w:snapToGrid w:val="0"/>
              <w:spacing w:before="50" w:line="360" w:lineRule="auto"/>
              <w:jc w:val="center"/>
              <w:rPr>
                <w:rFonts w:ascii="宋体" w:hAnsi="宋体" w:eastAsia="宋体" w:cs="宋体"/>
                <w:color w:val="000000"/>
                <w:sz w:val="24"/>
                <w:szCs w:val="24"/>
              </w:rPr>
            </w:pPr>
            <w:r>
              <w:rPr>
                <w:rFonts w:hint="eastAsia" w:ascii="宋体" w:hAnsi="宋体" w:eastAsia="宋体" w:cs="宋体"/>
                <w:color w:val="000000"/>
                <w:sz w:val="24"/>
                <w:szCs w:val="24"/>
              </w:rPr>
              <w:t>投标文件的应答</w:t>
            </w:r>
          </w:p>
        </w:tc>
        <w:tc>
          <w:tcPr>
            <w:tcW w:w="1942" w:type="dxa"/>
            <w:tcBorders>
              <w:top w:val="double" w:color="auto" w:sz="4" w:space="0"/>
              <w:left w:val="single" w:color="auto" w:sz="4" w:space="0"/>
            </w:tcBorders>
            <w:vAlign w:val="center"/>
          </w:tcPr>
          <w:p w14:paraId="0271904D">
            <w:pPr>
              <w:adjustRightInd w:val="0"/>
              <w:snapToGrid w:val="0"/>
              <w:spacing w:before="50" w:line="360" w:lineRule="auto"/>
              <w:ind w:left="-88" w:leftChars="-42"/>
              <w:jc w:val="center"/>
              <w:rPr>
                <w:rFonts w:ascii="宋体" w:hAnsi="宋体" w:eastAsia="宋体" w:cs="宋体"/>
                <w:color w:val="000000"/>
                <w:sz w:val="24"/>
                <w:szCs w:val="24"/>
              </w:rPr>
            </w:pPr>
            <w:r>
              <w:rPr>
                <w:rFonts w:hint="eastAsia" w:ascii="宋体" w:hAnsi="宋体" w:eastAsia="宋体" w:cs="宋体"/>
                <w:color w:val="000000"/>
                <w:sz w:val="24"/>
                <w:szCs w:val="24"/>
              </w:rPr>
              <w:t>偏离说明</w:t>
            </w:r>
          </w:p>
        </w:tc>
      </w:tr>
      <w:tr w14:paraId="68C854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DD97818">
            <w:pPr>
              <w:adjustRightInd w:val="0"/>
              <w:snapToGrid w:val="0"/>
              <w:spacing w:before="50" w:line="360" w:lineRule="auto"/>
              <w:ind w:left="-88" w:leftChars="-42"/>
              <w:jc w:val="center"/>
              <w:rPr>
                <w:rFonts w:ascii="宋体" w:hAnsi="宋体" w:eastAsia="宋体" w:cs="宋体"/>
                <w:color w:val="000000"/>
                <w:sz w:val="24"/>
                <w:szCs w:val="24"/>
              </w:rPr>
            </w:pPr>
          </w:p>
        </w:tc>
        <w:tc>
          <w:tcPr>
            <w:tcW w:w="2410" w:type="dxa"/>
            <w:vAlign w:val="center"/>
          </w:tcPr>
          <w:p w14:paraId="17A808FC">
            <w:pPr>
              <w:adjustRightInd w:val="0"/>
              <w:snapToGrid w:val="0"/>
              <w:spacing w:before="50" w:line="360" w:lineRule="auto"/>
              <w:ind w:left="-88" w:leftChars="-42"/>
              <w:jc w:val="center"/>
              <w:rPr>
                <w:rFonts w:ascii="宋体" w:hAnsi="宋体" w:eastAsia="宋体" w:cs="宋体"/>
                <w:color w:val="000000"/>
                <w:sz w:val="24"/>
                <w:szCs w:val="24"/>
              </w:rPr>
            </w:pPr>
          </w:p>
        </w:tc>
        <w:tc>
          <w:tcPr>
            <w:tcW w:w="1985" w:type="dxa"/>
          </w:tcPr>
          <w:p w14:paraId="725B6EA1">
            <w:pPr>
              <w:adjustRightInd w:val="0"/>
              <w:snapToGrid w:val="0"/>
              <w:spacing w:before="50" w:line="360" w:lineRule="auto"/>
              <w:rPr>
                <w:rFonts w:ascii="宋体" w:hAnsi="宋体" w:eastAsia="宋体" w:cs="宋体"/>
                <w:color w:val="000000"/>
                <w:sz w:val="24"/>
                <w:szCs w:val="24"/>
              </w:rPr>
            </w:pPr>
          </w:p>
        </w:tc>
        <w:tc>
          <w:tcPr>
            <w:tcW w:w="2082" w:type="dxa"/>
            <w:tcBorders>
              <w:right w:val="single" w:color="auto" w:sz="4" w:space="0"/>
            </w:tcBorders>
          </w:tcPr>
          <w:p w14:paraId="357D0740">
            <w:pPr>
              <w:adjustRightInd w:val="0"/>
              <w:snapToGrid w:val="0"/>
              <w:spacing w:before="50" w:line="360" w:lineRule="auto"/>
              <w:rPr>
                <w:rFonts w:ascii="宋体" w:hAnsi="宋体" w:eastAsia="宋体" w:cs="宋体"/>
                <w:color w:val="000000"/>
                <w:sz w:val="24"/>
                <w:szCs w:val="24"/>
              </w:rPr>
            </w:pPr>
          </w:p>
        </w:tc>
        <w:tc>
          <w:tcPr>
            <w:tcW w:w="1942" w:type="dxa"/>
            <w:tcBorders>
              <w:left w:val="single" w:color="auto" w:sz="4" w:space="0"/>
            </w:tcBorders>
          </w:tcPr>
          <w:p w14:paraId="3FDF5F5C">
            <w:pPr>
              <w:adjustRightInd w:val="0"/>
              <w:snapToGrid w:val="0"/>
              <w:spacing w:before="50" w:line="360" w:lineRule="auto"/>
              <w:ind w:left="-88" w:leftChars="-42"/>
              <w:jc w:val="center"/>
              <w:rPr>
                <w:rFonts w:ascii="宋体" w:hAnsi="宋体" w:eastAsia="宋体" w:cs="宋体"/>
                <w:color w:val="000000"/>
                <w:sz w:val="24"/>
                <w:szCs w:val="24"/>
              </w:rPr>
            </w:pPr>
          </w:p>
        </w:tc>
      </w:tr>
      <w:tr w14:paraId="70D424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3393000">
            <w:pPr>
              <w:adjustRightInd w:val="0"/>
              <w:snapToGrid w:val="0"/>
              <w:spacing w:before="50" w:line="360" w:lineRule="auto"/>
              <w:ind w:left="-88" w:leftChars="-42"/>
              <w:jc w:val="center"/>
              <w:rPr>
                <w:rFonts w:ascii="宋体" w:hAnsi="宋体" w:eastAsia="宋体" w:cs="宋体"/>
                <w:color w:val="000000"/>
                <w:sz w:val="24"/>
                <w:szCs w:val="24"/>
              </w:rPr>
            </w:pPr>
          </w:p>
        </w:tc>
        <w:tc>
          <w:tcPr>
            <w:tcW w:w="2410" w:type="dxa"/>
            <w:vAlign w:val="center"/>
          </w:tcPr>
          <w:p w14:paraId="11A70FBB">
            <w:pPr>
              <w:adjustRightInd w:val="0"/>
              <w:snapToGrid w:val="0"/>
              <w:spacing w:before="50" w:line="360" w:lineRule="auto"/>
              <w:ind w:left="-88" w:leftChars="-42"/>
              <w:jc w:val="center"/>
              <w:rPr>
                <w:rFonts w:ascii="宋体" w:hAnsi="宋体" w:eastAsia="宋体" w:cs="宋体"/>
                <w:color w:val="000000"/>
                <w:sz w:val="24"/>
                <w:szCs w:val="24"/>
              </w:rPr>
            </w:pPr>
          </w:p>
        </w:tc>
        <w:tc>
          <w:tcPr>
            <w:tcW w:w="1985" w:type="dxa"/>
            <w:vAlign w:val="center"/>
          </w:tcPr>
          <w:p w14:paraId="2CA198AF">
            <w:pPr>
              <w:adjustRightInd w:val="0"/>
              <w:snapToGrid w:val="0"/>
              <w:spacing w:before="50" w:line="360" w:lineRule="auto"/>
              <w:ind w:left="-88" w:leftChars="-42"/>
              <w:jc w:val="center"/>
              <w:rPr>
                <w:rFonts w:ascii="宋体" w:hAnsi="宋体" w:eastAsia="宋体" w:cs="宋体"/>
                <w:color w:val="000000"/>
                <w:sz w:val="24"/>
                <w:szCs w:val="24"/>
              </w:rPr>
            </w:pPr>
          </w:p>
        </w:tc>
        <w:tc>
          <w:tcPr>
            <w:tcW w:w="2082" w:type="dxa"/>
            <w:tcBorders>
              <w:right w:val="single" w:color="auto" w:sz="4" w:space="0"/>
            </w:tcBorders>
            <w:vAlign w:val="center"/>
          </w:tcPr>
          <w:p w14:paraId="1EEC5F65">
            <w:pPr>
              <w:adjustRightInd w:val="0"/>
              <w:snapToGrid w:val="0"/>
              <w:spacing w:before="50" w:line="360" w:lineRule="auto"/>
              <w:ind w:left="-88" w:leftChars="-42"/>
              <w:jc w:val="center"/>
              <w:rPr>
                <w:rFonts w:ascii="宋体" w:hAnsi="宋体" w:eastAsia="宋体" w:cs="宋体"/>
                <w:color w:val="000000"/>
                <w:sz w:val="24"/>
                <w:szCs w:val="24"/>
              </w:rPr>
            </w:pPr>
          </w:p>
        </w:tc>
        <w:tc>
          <w:tcPr>
            <w:tcW w:w="1942" w:type="dxa"/>
            <w:tcBorders>
              <w:left w:val="single" w:color="auto" w:sz="4" w:space="0"/>
            </w:tcBorders>
            <w:vAlign w:val="center"/>
          </w:tcPr>
          <w:p w14:paraId="41CF0534">
            <w:pPr>
              <w:adjustRightInd w:val="0"/>
              <w:snapToGrid w:val="0"/>
              <w:spacing w:before="50" w:line="360" w:lineRule="auto"/>
              <w:ind w:left="-88" w:leftChars="-42"/>
              <w:jc w:val="center"/>
              <w:rPr>
                <w:rFonts w:ascii="宋体" w:hAnsi="宋体" w:eastAsia="宋体" w:cs="宋体"/>
                <w:color w:val="000000"/>
                <w:sz w:val="24"/>
                <w:szCs w:val="24"/>
              </w:rPr>
            </w:pPr>
          </w:p>
        </w:tc>
      </w:tr>
      <w:tr w14:paraId="1DAC7F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FFA3BDD">
            <w:pPr>
              <w:adjustRightInd w:val="0"/>
              <w:snapToGrid w:val="0"/>
              <w:spacing w:before="50" w:line="360" w:lineRule="auto"/>
              <w:ind w:left="-88" w:leftChars="-42"/>
              <w:jc w:val="center"/>
              <w:rPr>
                <w:rFonts w:ascii="宋体" w:hAnsi="宋体" w:eastAsia="宋体" w:cs="宋体"/>
                <w:color w:val="000000"/>
                <w:sz w:val="24"/>
                <w:szCs w:val="24"/>
              </w:rPr>
            </w:pPr>
          </w:p>
        </w:tc>
        <w:tc>
          <w:tcPr>
            <w:tcW w:w="2410" w:type="dxa"/>
            <w:vAlign w:val="center"/>
          </w:tcPr>
          <w:p w14:paraId="5E2EDAB1">
            <w:pPr>
              <w:adjustRightInd w:val="0"/>
              <w:snapToGrid w:val="0"/>
              <w:spacing w:before="50" w:line="360" w:lineRule="auto"/>
              <w:ind w:left="-88" w:leftChars="-42"/>
              <w:jc w:val="center"/>
              <w:rPr>
                <w:rFonts w:ascii="宋体" w:hAnsi="宋体" w:eastAsia="宋体" w:cs="宋体"/>
                <w:color w:val="000000"/>
                <w:sz w:val="24"/>
                <w:szCs w:val="24"/>
              </w:rPr>
            </w:pPr>
          </w:p>
        </w:tc>
        <w:tc>
          <w:tcPr>
            <w:tcW w:w="1985" w:type="dxa"/>
            <w:vAlign w:val="center"/>
          </w:tcPr>
          <w:p w14:paraId="3C223654">
            <w:pPr>
              <w:adjustRightInd w:val="0"/>
              <w:snapToGrid w:val="0"/>
              <w:spacing w:before="50" w:line="360" w:lineRule="auto"/>
              <w:ind w:left="-88" w:leftChars="-42"/>
              <w:jc w:val="center"/>
              <w:rPr>
                <w:rFonts w:ascii="宋体" w:hAnsi="宋体" w:eastAsia="宋体" w:cs="宋体"/>
                <w:color w:val="000000"/>
                <w:sz w:val="24"/>
                <w:szCs w:val="24"/>
              </w:rPr>
            </w:pPr>
          </w:p>
        </w:tc>
        <w:tc>
          <w:tcPr>
            <w:tcW w:w="2082" w:type="dxa"/>
            <w:tcBorders>
              <w:right w:val="single" w:color="auto" w:sz="4" w:space="0"/>
            </w:tcBorders>
            <w:vAlign w:val="center"/>
          </w:tcPr>
          <w:p w14:paraId="0056E162">
            <w:pPr>
              <w:adjustRightInd w:val="0"/>
              <w:snapToGrid w:val="0"/>
              <w:spacing w:before="50" w:line="360" w:lineRule="auto"/>
              <w:ind w:left="-88" w:leftChars="-42"/>
              <w:jc w:val="center"/>
              <w:rPr>
                <w:rFonts w:ascii="宋体" w:hAnsi="宋体" w:eastAsia="宋体" w:cs="宋体"/>
                <w:color w:val="000000"/>
                <w:sz w:val="24"/>
                <w:szCs w:val="24"/>
              </w:rPr>
            </w:pPr>
          </w:p>
        </w:tc>
        <w:tc>
          <w:tcPr>
            <w:tcW w:w="1942" w:type="dxa"/>
            <w:tcBorders>
              <w:left w:val="single" w:color="auto" w:sz="4" w:space="0"/>
            </w:tcBorders>
            <w:vAlign w:val="center"/>
          </w:tcPr>
          <w:p w14:paraId="60FF41C9">
            <w:pPr>
              <w:adjustRightInd w:val="0"/>
              <w:snapToGrid w:val="0"/>
              <w:spacing w:before="50" w:line="360" w:lineRule="auto"/>
              <w:ind w:left="-88" w:leftChars="-42"/>
              <w:jc w:val="center"/>
              <w:rPr>
                <w:rFonts w:ascii="宋体" w:hAnsi="宋体" w:eastAsia="宋体" w:cs="宋体"/>
                <w:color w:val="000000"/>
                <w:sz w:val="24"/>
                <w:szCs w:val="24"/>
              </w:rPr>
            </w:pPr>
          </w:p>
        </w:tc>
      </w:tr>
      <w:tr w14:paraId="35A20E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96CDCE3">
            <w:pPr>
              <w:adjustRightInd w:val="0"/>
              <w:snapToGrid w:val="0"/>
              <w:spacing w:before="50" w:line="360" w:lineRule="auto"/>
              <w:ind w:left="-88" w:leftChars="-42"/>
              <w:jc w:val="center"/>
              <w:rPr>
                <w:rFonts w:ascii="宋体" w:hAnsi="宋体" w:eastAsia="宋体" w:cs="宋体"/>
                <w:color w:val="000000"/>
                <w:sz w:val="24"/>
                <w:szCs w:val="24"/>
              </w:rPr>
            </w:pPr>
          </w:p>
        </w:tc>
        <w:tc>
          <w:tcPr>
            <w:tcW w:w="2410" w:type="dxa"/>
            <w:vAlign w:val="center"/>
          </w:tcPr>
          <w:p w14:paraId="76F23734">
            <w:pPr>
              <w:adjustRightInd w:val="0"/>
              <w:snapToGrid w:val="0"/>
              <w:spacing w:before="50" w:line="360" w:lineRule="auto"/>
              <w:ind w:left="-88" w:leftChars="-42"/>
              <w:jc w:val="center"/>
              <w:rPr>
                <w:rFonts w:ascii="宋体" w:hAnsi="宋体" w:eastAsia="宋体" w:cs="宋体"/>
                <w:color w:val="000000"/>
                <w:sz w:val="24"/>
                <w:szCs w:val="24"/>
              </w:rPr>
            </w:pPr>
          </w:p>
        </w:tc>
        <w:tc>
          <w:tcPr>
            <w:tcW w:w="1985" w:type="dxa"/>
            <w:vAlign w:val="center"/>
          </w:tcPr>
          <w:p w14:paraId="373A0118">
            <w:pPr>
              <w:adjustRightInd w:val="0"/>
              <w:snapToGrid w:val="0"/>
              <w:spacing w:before="50" w:line="360" w:lineRule="auto"/>
              <w:ind w:left="-88" w:leftChars="-42"/>
              <w:jc w:val="center"/>
              <w:rPr>
                <w:rFonts w:ascii="宋体" w:hAnsi="宋体" w:eastAsia="宋体" w:cs="宋体"/>
                <w:color w:val="000000"/>
                <w:sz w:val="24"/>
                <w:szCs w:val="24"/>
              </w:rPr>
            </w:pPr>
          </w:p>
        </w:tc>
        <w:tc>
          <w:tcPr>
            <w:tcW w:w="2082" w:type="dxa"/>
            <w:tcBorders>
              <w:right w:val="single" w:color="auto" w:sz="4" w:space="0"/>
            </w:tcBorders>
            <w:vAlign w:val="center"/>
          </w:tcPr>
          <w:p w14:paraId="01CE17FE">
            <w:pPr>
              <w:adjustRightInd w:val="0"/>
              <w:snapToGrid w:val="0"/>
              <w:spacing w:before="50" w:line="360" w:lineRule="auto"/>
              <w:ind w:left="-88" w:leftChars="-42"/>
              <w:jc w:val="center"/>
              <w:rPr>
                <w:rFonts w:ascii="宋体" w:hAnsi="宋体" w:eastAsia="宋体" w:cs="宋体"/>
                <w:color w:val="000000"/>
                <w:sz w:val="24"/>
                <w:szCs w:val="24"/>
              </w:rPr>
            </w:pPr>
          </w:p>
        </w:tc>
        <w:tc>
          <w:tcPr>
            <w:tcW w:w="1942" w:type="dxa"/>
            <w:tcBorders>
              <w:left w:val="single" w:color="auto" w:sz="4" w:space="0"/>
            </w:tcBorders>
            <w:vAlign w:val="center"/>
          </w:tcPr>
          <w:p w14:paraId="570D6D45">
            <w:pPr>
              <w:adjustRightInd w:val="0"/>
              <w:snapToGrid w:val="0"/>
              <w:spacing w:before="50" w:line="360" w:lineRule="auto"/>
              <w:ind w:left="-88" w:leftChars="-42"/>
              <w:jc w:val="center"/>
              <w:rPr>
                <w:rFonts w:ascii="宋体" w:hAnsi="宋体" w:eastAsia="宋体" w:cs="宋体"/>
                <w:color w:val="000000"/>
                <w:sz w:val="24"/>
                <w:szCs w:val="24"/>
              </w:rPr>
            </w:pPr>
          </w:p>
        </w:tc>
      </w:tr>
      <w:tr w14:paraId="66C965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7F83AA2">
            <w:pPr>
              <w:adjustRightInd w:val="0"/>
              <w:snapToGrid w:val="0"/>
              <w:spacing w:before="50" w:line="360" w:lineRule="auto"/>
              <w:ind w:left="-88" w:leftChars="-42"/>
              <w:jc w:val="center"/>
              <w:rPr>
                <w:rFonts w:ascii="宋体" w:hAnsi="宋体" w:eastAsia="宋体" w:cs="宋体"/>
                <w:color w:val="000000"/>
                <w:sz w:val="24"/>
                <w:szCs w:val="24"/>
              </w:rPr>
            </w:pPr>
          </w:p>
        </w:tc>
        <w:tc>
          <w:tcPr>
            <w:tcW w:w="2410" w:type="dxa"/>
            <w:vAlign w:val="center"/>
          </w:tcPr>
          <w:p w14:paraId="398F19E7">
            <w:pPr>
              <w:adjustRightInd w:val="0"/>
              <w:snapToGrid w:val="0"/>
              <w:spacing w:before="50" w:line="360" w:lineRule="auto"/>
              <w:ind w:left="-88" w:leftChars="-42"/>
              <w:jc w:val="center"/>
              <w:rPr>
                <w:rFonts w:ascii="宋体" w:hAnsi="宋体" w:eastAsia="宋体" w:cs="宋体"/>
                <w:color w:val="000000"/>
                <w:sz w:val="24"/>
                <w:szCs w:val="24"/>
              </w:rPr>
            </w:pPr>
          </w:p>
        </w:tc>
        <w:tc>
          <w:tcPr>
            <w:tcW w:w="1985" w:type="dxa"/>
            <w:vAlign w:val="center"/>
          </w:tcPr>
          <w:p w14:paraId="2313CAAA">
            <w:pPr>
              <w:adjustRightInd w:val="0"/>
              <w:snapToGrid w:val="0"/>
              <w:spacing w:before="50" w:line="360" w:lineRule="auto"/>
              <w:ind w:left="-88" w:leftChars="-42"/>
              <w:jc w:val="center"/>
              <w:rPr>
                <w:rFonts w:ascii="宋体" w:hAnsi="宋体" w:eastAsia="宋体" w:cs="宋体"/>
                <w:color w:val="000000"/>
                <w:sz w:val="24"/>
                <w:szCs w:val="24"/>
              </w:rPr>
            </w:pPr>
          </w:p>
        </w:tc>
        <w:tc>
          <w:tcPr>
            <w:tcW w:w="2082" w:type="dxa"/>
            <w:tcBorders>
              <w:right w:val="single" w:color="auto" w:sz="4" w:space="0"/>
            </w:tcBorders>
            <w:vAlign w:val="center"/>
          </w:tcPr>
          <w:p w14:paraId="05324732">
            <w:pPr>
              <w:adjustRightInd w:val="0"/>
              <w:snapToGrid w:val="0"/>
              <w:spacing w:before="50" w:line="360" w:lineRule="auto"/>
              <w:ind w:left="-88" w:leftChars="-42"/>
              <w:jc w:val="center"/>
              <w:rPr>
                <w:rFonts w:ascii="宋体" w:hAnsi="宋体" w:eastAsia="宋体" w:cs="宋体"/>
                <w:color w:val="000000"/>
                <w:sz w:val="24"/>
                <w:szCs w:val="24"/>
              </w:rPr>
            </w:pPr>
          </w:p>
        </w:tc>
        <w:tc>
          <w:tcPr>
            <w:tcW w:w="1942" w:type="dxa"/>
            <w:tcBorders>
              <w:left w:val="single" w:color="auto" w:sz="4" w:space="0"/>
            </w:tcBorders>
            <w:vAlign w:val="center"/>
          </w:tcPr>
          <w:p w14:paraId="7D5D169D">
            <w:pPr>
              <w:adjustRightInd w:val="0"/>
              <w:snapToGrid w:val="0"/>
              <w:spacing w:before="50" w:line="360" w:lineRule="auto"/>
              <w:ind w:left="-88" w:leftChars="-42"/>
              <w:jc w:val="center"/>
              <w:rPr>
                <w:rFonts w:ascii="宋体" w:hAnsi="宋体" w:eastAsia="宋体" w:cs="宋体"/>
                <w:color w:val="000000"/>
                <w:sz w:val="24"/>
                <w:szCs w:val="24"/>
              </w:rPr>
            </w:pPr>
          </w:p>
        </w:tc>
      </w:tr>
      <w:tr w14:paraId="0BA2D5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E105811">
            <w:pPr>
              <w:adjustRightInd w:val="0"/>
              <w:snapToGrid w:val="0"/>
              <w:spacing w:before="50" w:line="360" w:lineRule="auto"/>
              <w:ind w:left="-88" w:leftChars="-42"/>
              <w:jc w:val="center"/>
              <w:rPr>
                <w:rFonts w:ascii="宋体" w:hAnsi="宋体" w:eastAsia="宋体" w:cs="宋体"/>
                <w:color w:val="000000"/>
                <w:sz w:val="24"/>
                <w:szCs w:val="24"/>
              </w:rPr>
            </w:pPr>
          </w:p>
        </w:tc>
        <w:tc>
          <w:tcPr>
            <w:tcW w:w="2410" w:type="dxa"/>
            <w:vAlign w:val="center"/>
          </w:tcPr>
          <w:p w14:paraId="53CCFD45">
            <w:pPr>
              <w:adjustRightInd w:val="0"/>
              <w:snapToGrid w:val="0"/>
              <w:spacing w:before="50" w:line="360" w:lineRule="auto"/>
              <w:ind w:left="-88" w:leftChars="-42"/>
              <w:jc w:val="center"/>
              <w:rPr>
                <w:rFonts w:ascii="宋体" w:hAnsi="宋体" w:eastAsia="宋体" w:cs="宋体"/>
                <w:color w:val="000000"/>
                <w:sz w:val="24"/>
                <w:szCs w:val="24"/>
              </w:rPr>
            </w:pPr>
          </w:p>
        </w:tc>
        <w:tc>
          <w:tcPr>
            <w:tcW w:w="1985" w:type="dxa"/>
            <w:vAlign w:val="center"/>
          </w:tcPr>
          <w:p w14:paraId="13C84C1B">
            <w:pPr>
              <w:adjustRightInd w:val="0"/>
              <w:snapToGrid w:val="0"/>
              <w:spacing w:before="50" w:line="360" w:lineRule="auto"/>
              <w:ind w:left="-88" w:leftChars="-42"/>
              <w:jc w:val="center"/>
              <w:rPr>
                <w:rFonts w:ascii="宋体" w:hAnsi="宋体" w:eastAsia="宋体" w:cs="宋体"/>
                <w:color w:val="000000"/>
                <w:sz w:val="24"/>
                <w:szCs w:val="24"/>
              </w:rPr>
            </w:pPr>
          </w:p>
        </w:tc>
        <w:tc>
          <w:tcPr>
            <w:tcW w:w="2082" w:type="dxa"/>
            <w:tcBorders>
              <w:right w:val="single" w:color="auto" w:sz="4" w:space="0"/>
            </w:tcBorders>
            <w:vAlign w:val="center"/>
          </w:tcPr>
          <w:p w14:paraId="1B466763">
            <w:pPr>
              <w:adjustRightInd w:val="0"/>
              <w:snapToGrid w:val="0"/>
              <w:spacing w:before="50" w:line="360" w:lineRule="auto"/>
              <w:ind w:left="-88" w:leftChars="-42"/>
              <w:jc w:val="center"/>
              <w:rPr>
                <w:rFonts w:ascii="宋体" w:hAnsi="宋体" w:eastAsia="宋体" w:cs="宋体"/>
                <w:color w:val="000000"/>
                <w:sz w:val="24"/>
                <w:szCs w:val="24"/>
              </w:rPr>
            </w:pPr>
          </w:p>
        </w:tc>
        <w:tc>
          <w:tcPr>
            <w:tcW w:w="1942" w:type="dxa"/>
            <w:tcBorders>
              <w:left w:val="single" w:color="auto" w:sz="4" w:space="0"/>
            </w:tcBorders>
            <w:vAlign w:val="center"/>
          </w:tcPr>
          <w:p w14:paraId="2FEB81FE">
            <w:pPr>
              <w:adjustRightInd w:val="0"/>
              <w:snapToGrid w:val="0"/>
              <w:spacing w:before="50" w:line="360" w:lineRule="auto"/>
              <w:ind w:left="-88" w:leftChars="-42"/>
              <w:jc w:val="center"/>
              <w:rPr>
                <w:rFonts w:ascii="宋体" w:hAnsi="宋体" w:eastAsia="宋体" w:cs="宋体"/>
                <w:color w:val="000000"/>
                <w:sz w:val="24"/>
                <w:szCs w:val="24"/>
              </w:rPr>
            </w:pPr>
          </w:p>
        </w:tc>
      </w:tr>
      <w:tr w14:paraId="6A1B67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014" w:type="dxa"/>
            <w:gridSpan w:val="5"/>
            <w:tcBorders>
              <w:bottom w:val="double" w:color="auto" w:sz="4" w:space="0"/>
            </w:tcBorders>
            <w:vAlign w:val="center"/>
          </w:tcPr>
          <w:p w14:paraId="3C6DCE83">
            <w:pPr>
              <w:adjustRightInd w:val="0"/>
              <w:snapToGrid w:val="0"/>
              <w:spacing w:before="50" w:line="360" w:lineRule="auto"/>
              <w:jc w:val="left"/>
              <w:rPr>
                <w:rFonts w:ascii="宋体" w:hAnsi="宋体" w:eastAsia="宋体" w:cs="宋体"/>
                <w:b/>
                <w:color w:val="000000"/>
                <w:sz w:val="24"/>
                <w:szCs w:val="24"/>
              </w:rPr>
            </w:pPr>
            <w:r>
              <w:rPr>
                <w:rFonts w:hint="eastAsia" w:ascii="宋体" w:hAnsi="宋体" w:eastAsia="宋体" w:cs="宋体"/>
                <w:b/>
                <w:color w:val="000000"/>
                <w:sz w:val="24"/>
                <w:szCs w:val="24"/>
              </w:rPr>
              <w:t>投标人保证：除本</w:t>
            </w:r>
            <w:r>
              <w:rPr>
                <w:rFonts w:hint="eastAsia" w:ascii="黑体" w:hAnsi="黑体" w:eastAsia="黑体" w:cs="Times New Roman"/>
                <w:color w:val="000000"/>
                <w:sz w:val="28"/>
                <w:szCs w:val="28"/>
                <w:lang w:eastAsia="zh-CN"/>
              </w:rPr>
              <w:t>采购需求</w:t>
            </w:r>
            <w:r>
              <w:rPr>
                <w:rFonts w:hint="eastAsia" w:ascii="宋体" w:hAnsi="宋体" w:eastAsia="宋体" w:cs="宋体"/>
                <w:b/>
                <w:color w:val="000000"/>
                <w:sz w:val="24"/>
                <w:szCs w:val="24"/>
              </w:rPr>
              <w:t>条款偏离表列出的偏离外，我单位对招标文件的其他商务、合同条款完全响应，无偏离。</w:t>
            </w:r>
          </w:p>
        </w:tc>
      </w:tr>
    </w:tbl>
    <w:p w14:paraId="20EBEC4D">
      <w:pPr>
        <w:adjustRightInd w:val="0"/>
        <w:snapToGrid w:val="0"/>
        <w:spacing w:before="50" w:line="360" w:lineRule="auto"/>
        <w:ind w:left="-88" w:leftChars="-42"/>
        <w:rPr>
          <w:rFonts w:ascii="宋体" w:hAnsi="宋体" w:eastAsia="宋体" w:cs="宋体"/>
          <w:color w:val="000000"/>
          <w:sz w:val="24"/>
          <w:szCs w:val="24"/>
        </w:rPr>
      </w:pPr>
      <w:r>
        <w:rPr>
          <w:rFonts w:hint="eastAsia" w:ascii="宋体" w:hAnsi="宋体" w:eastAsia="宋体" w:cs="宋体"/>
          <w:b/>
          <w:color w:val="000000"/>
          <w:sz w:val="24"/>
          <w:szCs w:val="24"/>
        </w:rPr>
        <w:t>备注</w:t>
      </w:r>
      <w:r>
        <w:rPr>
          <w:rFonts w:hint="eastAsia" w:ascii="宋体" w:hAnsi="宋体" w:eastAsia="宋体" w:cs="宋体"/>
          <w:color w:val="000000"/>
          <w:sz w:val="24"/>
          <w:szCs w:val="24"/>
        </w:rPr>
        <w:t>：（1）投标人应根据招标文件第</w:t>
      </w:r>
      <w:r>
        <w:rPr>
          <w:rFonts w:hint="eastAsia" w:ascii="宋体" w:hAnsi="宋体" w:eastAsia="宋体" w:cs="宋体"/>
          <w:color w:val="000000"/>
          <w:sz w:val="24"/>
          <w:szCs w:val="24"/>
          <w:lang w:eastAsia="zh-CN"/>
        </w:rPr>
        <w:t>三</w:t>
      </w:r>
      <w:r>
        <w:rPr>
          <w:rFonts w:hint="eastAsia" w:ascii="宋体" w:hAnsi="宋体" w:eastAsia="宋体" w:cs="宋体"/>
          <w:color w:val="000000"/>
          <w:sz w:val="24"/>
          <w:szCs w:val="24"/>
        </w:rPr>
        <w:t>章</w:t>
      </w:r>
      <w:r>
        <w:rPr>
          <w:rFonts w:hint="eastAsia" w:ascii="宋体" w:hAnsi="宋体" w:eastAsia="宋体" w:cs="宋体"/>
          <w:color w:val="000000"/>
          <w:sz w:val="24"/>
          <w:szCs w:val="24"/>
          <w:lang w:eastAsia="zh-CN"/>
        </w:rPr>
        <w:t>采购需求</w:t>
      </w:r>
      <w:r>
        <w:rPr>
          <w:rFonts w:hint="eastAsia" w:ascii="宋体" w:hAnsi="宋体" w:eastAsia="宋体" w:cs="宋体"/>
          <w:color w:val="000000"/>
          <w:sz w:val="24"/>
          <w:szCs w:val="24"/>
        </w:rPr>
        <w:t>填写本表；</w:t>
      </w:r>
    </w:p>
    <w:p w14:paraId="25010C60">
      <w:pPr>
        <w:adjustRightInd w:val="0"/>
        <w:snapToGrid w:val="0"/>
        <w:spacing w:before="50" w:line="360" w:lineRule="auto"/>
        <w:ind w:left="-88" w:leftChars="-42" w:firstLine="480" w:firstLineChars="200"/>
        <w:rPr>
          <w:rFonts w:ascii="宋体" w:hAnsi="宋体" w:eastAsia="宋体" w:cs="宋体"/>
          <w:b w:val="0"/>
          <w:bCs w:val="0"/>
          <w:color w:val="000000"/>
          <w:sz w:val="24"/>
          <w:szCs w:val="24"/>
        </w:rPr>
      </w:pPr>
      <w:r>
        <w:rPr>
          <w:rFonts w:hint="eastAsia" w:ascii="宋体" w:hAnsi="宋体" w:eastAsia="宋体" w:cs="宋体"/>
          <w:b w:val="0"/>
          <w:bCs w:val="0"/>
          <w:color w:val="000000"/>
          <w:sz w:val="24"/>
          <w:szCs w:val="24"/>
        </w:rPr>
        <w:t>（2）投标人如果对招标文件第</w:t>
      </w:r>
      <w:r>
        <w:rPr>
          <w:rFonts w:hint="eastAsia" w:ascii="宋体" w:hAnsi="宋体" w:eastAsia="宋体" w:cs="宋体"/>
          <w:color w:val="000000"/>
          <w:sz w:val="24"/>
          <w:szCs w:val="24"/>
          <w:lang w:eastAsia="zh-CN"/>
        </w:rPr>
        <w:t>三</w:t>
      </w:r>
      <w:r>
        <w:rPr>
          <w:rFonts w:hint="eastAsia" w:ascii="宋体" w:hAnsi="宋体" w:eastAsia="宋体" w:cs="宋体"/>
          <w:color w:val="000000"/>
          <w:sz w:val="24"/>
          <w:szCs w:val="24"/>
        </w:rPr>
        <w:t>章</w:t>
      </w:r>
      <w:r>
        <w:rPr>
          <w:rFonts w:hint="eastAsia" w:ascii="宋体" w:hAnsi="宋体" w:eastAsia="宋体" w:cs="宋体"/>
          <w:color w:val="000000"/>
          <w:sz w:val="24"/>
          <w:szCs w:val="24"/>
          <w:lang w:eastAsia="zh-CN"/>
        </w:rPr>
        <w:t>采购需求</w:t>
      </w:r>
      <w:r>
        <w:rPr>
          <w:rFonts w:hint="eastAsia" w:ascii="宋体" w:hAnsi="宋体" w:eastAsia="宋体" w:cs="宋体"/>
          <w:b w:val="0"/>
          <w:bCs w:val="0"/>
          <w:color w:val="000000"/>
          <w:sz w:val="24"/>
          <w:szCs w:val="24"/>
        </w:rPr>
        <w:t>的响应有偏离，应将偏离条款逐条如实应答，并作出说明；</w:t>
      </w:r>
    </w:p>
    <w:p w14:paraId="0AFDD2EB">
      <w:pPr>
        <w:adjustRightInd w:val="0"/>
        <w:snapToGrid w:val="0"/>
        <w:spacing w:before="50" w:line="360" w:lineRule="auto"/>
        <w:ind w:left="-88" w:leftChars="-42"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）在采购人与中标人签订合同时，如中标人未在投标文件</w:t>
      </w:r>
      <w:r>
        <w:rPr>
          <w:rFonts w:hint="eastAsia" w:ascii="宋体" w:hAnsi="宋体" w:eastAsia="宋体" w:cs="宋体"/>
          <w:color w:val="000000"/>
          <w:sz w:val="24"/>
          <w:szCs w:val="24"/>
          <w:lang w:eastAsia="zh-CN"/>
        </w:rPr>
        <w:t>采购需求</w:t>
      </w:r>
      <w:r>
        <w:rPr>
          <w:rFonts w:hint="eastAsia" w:ascii="宋体" w:hAnsi="宋体" w:eastAsia="宋体" w:cs="宋体"/>
          <w:color w:val="000000"/>
          <w:sz w:val="24"/>
          <w:szCs w:val="24"/>
        </w:rPr>
        <w:t>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75A17C70">
      <w:pPr>
        <w:rPr>
          <w:rFonts w:hint="eastAsia" w:ascii="宋体" w:hAnsi="宋体" w:eastAsia="宋体" w:cs="宋体"/>
          <w:color w:val="000000"/>
          <w:sz w:val="24"/>
          <w:szCs w:val="24"/>
        </w:rPr>
      </w:pPr>
    </w:p>
    <w:p w14:paraId="48D90A01">
      <w:pPr>
        <w:rPr>
          <w:rFonts w:hint="eastAsia" w:ascii="宋体" w:hAnsi="宋体" w:eastAsia="宋体" w:cs="宋体"/>
          <w:color w:val="000000"/>
          <w:sz w:val="24"/>
          <w:szCs w:val="24"/>
        </w:rPr>
      </w:pPr>
    </w:p>
    <w:p w14:paraId="0E5D04E8">
      <w:pPr>
        <w:rPr>
          <w:rFonts w:hint="eastAsia" w:ascii="宋体" w:hAnsi="宋体" w:eastAsia="宋体" w:cs="宋体"/>
          <w:color w:val="000000"/>
          <w:sz w:val="24"/>
          <w:szCs w:val="24"/>
        </w:rPr>
      </w:pPr>
    </w:p>
    <w:p w14:paraId="77E60D8A">
      <w:pPr>
        <w:rPr>
          <w:rFonts w:ascii="宋体" w:hAnsi="宋体" w:eastAsia="宋体" w:cs="宋体"/>
          <w:color w:val="000000"/>
          <w:sz w:val="24"/>
          <w:szCs w:val="24"/>
        </w:rPr>
      </w:pPr>
      <w:r>
        <w:rPr>
          <w:rFonts w:hint="eastAsia" w:ascii="宋体" w:hAnsi="宋体" w:eastAsia="宋体" w:cs="宋体"/>
          <w:color w:val="000000"/>
          <w:sz w:val="24"/>
          <w:szCs w:val="24"/>
        </w:rPr>
        <w:t>投标人名称（盖单位章）：</w:t>
      </w:r>
    </w:p>
    <w:p w14:paraId="78419B38">
      <w:pPr>
        <w:rPr>
          <w:rFonts w:ascii="宋体" w:hAnsi="宋体" w:eastAsia="宋体" w:cs="宋体"/>
          <w:color w:val="000000"/>
          <w:sz w:val="24"/>
          <w:szCs w:val="24"/>
        </w:rPr>
      </w:pPr>
      <w:r>
        <w:rPr>
          <w:rFonts w:hint="eastAsia" w:ascii="宋体" w:hAnsi="宋体" w:eastAsia="宋体" w:cs="宋体"/>
          <w:color w:val="000000"/>
          <w:sz w:val="24"/>
          <w:szCs w:val="24"/>
        </w:rPr>
        <w:t>法定代表人或负责人或其授权的代理人（签字或印章）：</w:t>
      </w:r>
    </w:p>
    <w:p w14:paraId="1D6891B1">
      <w:pPr>
        <w:adjustRightInd w:val="0"/>
        <w:snapToGrid w:val="0"/>
        <w:spacing w:before="50"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日       期：     年   月   日</w:t>
      </w:r>
    </w:p>
    <w:p w14:paraId="5480B30C">
      <w:pPr>
        <w:adjustRightInd w:val="0"/>
        <w:snapToGrid w:val="0"/>
        <w:spacing w:before="50" w:line="360" w:lineRule="auto"/>
        <w:rPr>
          <w:rFonts w:hint="eastAsia" w:ascii="宋体" w:hAnsi="宋体" w:eastAsia="宋体" w:cs="宋体"/>
          <w:color w:val="000000"/>
          <w:sz w:val="24"/>
          <w:szCs w:val="24"/>
        </w:rPr>
      </w:pPr>
    </w:p>
    <w:p w14:paraId="07A2A4D0">
      <w:pPr>
        <w:adjustRightInd w:val="0"/>
        <w:snapToGrid w:val="0"/>
        <w:spacing w:before="50" w:line="360" w:lineRule="auto"/>
        <w:ind w:firstLine="241" w:firstLineChars="100"/>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lang w:eastAsia="zh-CN"/>
        </w:rPr>
        <w:t>注：</w:t>
      </w:r>
      <w:r>
        <w:rPr>
          <w:rFonts w:hint="eastAsia" w:ascii="宋体" w:hAnsi="宋体" w:eastAsia="宋体" w:cs="宋体"/>
          <w:b/>
          <w:bCs/>
          <w:color w:val="000000"/>
          <w:sz w:val="24"/>
          <w:szCs w:val="24"/>
          <w:lang w:val="en-US" w:eastAsia="zh-CN"/>
        </w:rPr>
        <w:t>1.采购需求的所有内容，均为实质性响应，不允许任何偏离</w:t>
      </w:r>
      <w:r>
        <w:rPr>
          <w:rFonts w:hint="eastAsia" w:ascii="宋体" w:hAnsi="宋体" w:eastAsia="宋体" w:cs="宋体"/>
          <w:b/>
          <w:bCs/>
          <w:color w:val="000000"/>
          <w:sz w:val="24"/>
          <w:szCs w:val="24"/>
          <w:lang w:eastAsia="zh-CN"/>
        </w:rPr>
        <w:t>。</w:t>
      </w:r>
    </w:p>
    <w:p w14:paraId="2954B113">
      <w:pPr>
        <w:numPr>
          <w:ilvl w:val="0"/>
          <w:numId w:val="0"/>
        </w:numPr>
        <w:adjustRightInd w:val="0"/>
        <w:snapToGrid w:val="0"/>
        <w:spacing w:before="50" w:line="360" w:lineRule="auto"/>
        <w:ind w:firstLine="723" w:firstLineChars="300"/>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2.投标人对采购需求内容如有偏离作无效投标处理。</w:t>
      </w:r>
    </w:p>
    <w:p w14:paraId="7FAEDF2F">
      <w:pPr>
        <w:numPr>
          <w:ilvl w:val="0"/>
          <w:numId w:val="0"/>
        </w:numPr>
        <w:adjustRightInd w:val="0"/>
        <w:snapToGrid w:val="0"/>
        <w:spacing w:before="50" w:line="360" w:lineRule="auto"/>
        <w:ind w:firstLine="723" w:firstLineChars="300"/>
        <w:rPr>
          <w:rFonts w:hint="eastAsia" w:ascii="宋体" w:hAnsi="宋体" w:eastAsia="宋体" w:cs="宋体"/>
          <w:color w:val="000000"/>
          <w:sz w:val="24"/>
          <w:szCs w:val="24"/>
          <w:lang w:eastAsia="zh-CN"/>
        </w:rPr>
      </w:pPr>
      <w:r>
        <w:rPr>
          <w:rFonts w:hint="eastAsia" w:ascii="宋体" w:hAnsi="宋体" w:eastAsia="宋体" w:cs="宋体"/>
          <w:b/>
          <w:bCs/>
          <w:color w:val="000000"/>
          <w:sz w:val="24"/>
          <w:szCs w:val="24"/>
          <w:lang w:val="en-US" w:eastAsia="zh-CN"/>
        </w:rPr>
        <w:t>3.投标人若对采购需求无偏离，只需填写本表中的项目名称即可。</w:t>
      </w:r>
      <w:r>
        <w:rPr>
          <w:rFonts w:hint="eastAsia" w:ascii="宋体" w:hAnsi="宋体" w:eastAsia="宋体" w:cs="宋体"/>
          <w:color w:val="000000"/>
          <w:sz w:val="24"/>
          <w:szCs w:val="24"/>
        </w:rPr>
        <w:br w:type="page"/>
      </w:r>
    </w:p>
    <w:p w14:paraId="2FEE6FAD">
      <w:pPr>
        <w:pStyle w:val="4"/>
        <w:bidi w:val="0"/>
        <w:jc w:val="center"/>
        <w:rPr>
          <w:lang w:val="en-US" w:eastAsia="zh-CN"/>
        </w:rPr>
      </w:pPr>
      <w:bookmarkStart w:id="101" w:name="_Toc32438"/>
      <w:bookmarkStart w:id="102" w:name="_Toc1492"/>
      <w:r>
        <w:rPr>
          <w:rFonts w:hint="eastAsia"/>
          <w:lang w:val="en-US" w:eastAsia="zh-CN"/>
        </w:rPr>
        <w:t>八、享受政府采购政策优惠的证明资料</w:t>
      </w:r>
      <w:bookmarkEnd w:id="101"/>
      <w:bookmarkEnd w:id="102"/>
    </w:p>
    <w:p w14:paraId="09DD452D">
      <w:pPr>
        <w:adjustRightInd w:val="0"/>
        <w:snapToGrid w:val="0"/>
        <w:spacing w:line="360" w:lineRule="auto"/>
        <w:rPr>
          <w:rFonts w:ascii="黑体" w:hAnsi="华文中宋" w:eastAsia="黑体" w:cs="宋体"/>
          <w:bCs/>
          <w:color w:val="000000"/>
          <w:spacing w:val="6"/>
          <w:kern w:val="0"/>
          <w:szCs w:val="21"/>
        </w:rPr>
      </w:pPr>
    </w:p>
    <w:p w14:paraId="723917F2">
      <w:pPr>
        <w:adjustRightInd w:val="0"/>
        <w:snapToGrid w:val="0"/>
        <w:spacing w:line="360" w:lineRule="auto"/>
        <w:ind w:firstLine="504" w:firstLineChars="200"/>
        <w:rPr>
          <w:rFonts w:ascii="宋体" w:hAnsi="宋体" w:eastAsia="宋体" w:cs="宋体"/>
          <w:bCs/>
          <w:color w:val="000000"/>
          <w:spacing w:val="6"/>
          <w:kern w:val="0"/>
          <w:sz w:val="24"/>
          <w:szCs w:val="24"/>
        </w:rPr>
      </w:pPr>
      <w:r>
        <w:rPr>
          <w:rFonts w:hint="eastAsia" w:ascii="宋体" w:hAnsi="宋体" w:eastAsia="宋体" w:cs="宋体"/>
          <w:bCs/>
          <w:color w:val="000000"/>
          <w:spacing w:val="6"/>
          <w:kern w:val="0"/>
          <w:sz w:val="24"/>
          <w:szCs w:val="24"/>
        </w:rPr>
        <w:t>投标人符合第二章第37.3条要求的，应提供下列证明资料，否则，评审时不予以考虑。</w:t>
      </w:r>
    </w:p>
    <w:p w14:paraId="0C9CC4E5">
      <w:pPr>
        <w:rPr>
          <w:rFonts w:ascii="等线" w:hAnsi="等线" w:eastAsia="等线" w:cs="Times New Roman"/>
          <w:color w:val="000000"/>
          <w:szCs w:val="22"/>
        </w:rPr>
      </w:pPr>
      <w:r>
        <w:rPr>
          <w:rFonts w:ascii="黑体" w:hAnsi="华文中宋" w:eastAsia="黑体" w:cs="宋体"/>
          <w:bCs/>
          <w:color w:val="000000"/>
          <w:spacing w:val="6"/>
          <w:kern w:val="0"/>
          <w:szCs w:val="21"/>
        </w:rPr>
        <w:br w:type="page"/>
      </w:r>
    </w:p>
    <w:p w14:paraId="240583F4">
      <w:pPr>
        <w:keepNext/>
        <w:keepLines/>
        <w:widowControl w:val="0"/>
        <w:spacing w:before="280" w:after="290" w:line="480" w:lineRule="auto"/>
        <w:jc w:val="both"/>
        <w:outlineLvl w:val="3"/>
        <w:rPr>
          <w:rFonts w:ascii="黑体" w:hAnsi="华文中宋" w:eastAsia="黑体" w:cs="宋体"/>
          <w:bCs w:val="0"/>
          <w:color w:val="000000"/>
          <w:spacing w:val="6"/>
          <w:kern w:val="0"/>
          <w:sz w:val="21"/>
          <w:szCs w:val="21"/>
          <w:lang w:val="en-US" w:eastAsia="zh-CN" w:bidi="ar-SA"/>
        </w:rPr>
      </w:pPr>
      <w:bookmarkStart w:id="103" w:name="_Toc16647"/>
      <w:r>
        <w:rPr>
          <w:rFonts w:hint="eastAsia" w:ascii="黑体" w:hAnsi="华文中宋" w:eastAsia="黑体" w:cs="宋体"/>
          <w:bCs w:val="0"/>
          <w:color w:val="000000"/>
          <w:spacing w:val="6"/>
          <w:kern w:val="0"/>
          <w:sz w:val="21"/>
          <w:szCs w:val="21"/>
          <w:lang w:val="en-US" w:eastAsia="zh-CN" w:bidi="ar-SA"/>
        </w:rPr>
        <w:t>附件8</w:t>
      </w:r>
      <w:r>
        <w:rPr>
          <w:rFonts w:ascii="黑体" w:hAnsi="华文中宋" w:eastAsia="黑体" w:cs="宋体"/>
          <w:bCs w:val="0"/>
          <w:color w:val="000000"/>
          <w:spacing w:val="6"/>
          <w:kern w:val="0"/>
          <w:sz w:val="21"/>
          <w:szCs w:val="21"/>
          <w:lang w:val="en-US" w:eastAsia="zh-CN" w:bidi="ar-SA"/>
        </w:rPr>
        <w:t>-1</w:t>
      </w:r>
      <w:r>
        <w:rPr>
          <w:rFonts w:hint="eastAsia" w:ascii="黑体" w:hAnsi="华文中宋" w:eastAsia="黑体" w:cs="宋体"/>
          <w:bCs w:val="0"/>
          <w:color w:val="000000"/>
          <w:spacing w:val="6"/>
          <w:kern w:val="0"/>
          <w:sz w:val="21"/>
          <w:szCs w:val="21"/>
          <w:lang w:val="en-US" w:eastAsia="zh-CN" w:bidi="ar-SA"/>
        </w:rPr>
        <w:t>小型、微型企业声明函</w:t>
      </w:r>
      <w:bookmarkEnd w:id="103"/>
    </w:p>
    <w:p w14:paraId="69EF527B">
      <w:pPr>
        <w:widowControl/>
        <w:adjustRightInd w:val="0"/>
        <w:snapToGrid w:val="0"/>
        <w:spacing w:before="156" w:beforeLines="50" w:line="420" w:lineRule="exact"/>
        <w:jc w:val="center"/>
        <w:rPr>
          <w:rFonts w:hint="eastAsia" w:ascii="黑体" w:hAnsi="仿宋" w:eastAsia="黑体" w:cs="宋体"/>
          <w:b/>
          <w:color w:val="000000"/>
          <w:sz w:val="28"/>
          <w:szCs w:val="28"/>
        </w:rPr>
      </w:pPr>
      <w:r>
        <w:rPr>
          <w:rFonts w:hint="eastAsia" w:ascii="黑体" w:hAnsi="仿宋" w:eastAsia="黑体" w:cs="宋体"/>
          <w:b/>
          <w:color w:val="000000"/>
          <w:sz w:val="28"/>
          <w:szCs w:val="28"/>
        </w:rPr>
        <w:t>中小企业声明函</w:t>
      </w:r>
    </w:p>
    <w:p w14:paraId="75D3AD95">
      <w:pPr>
        <w:adjustRightInd w:val="0"/>
        <w:snapToGrid w:val="0"/>
        <w:spacing w:line="360" w:lineRule="auto"/>
        <w:ind w:firstLine="504" w:firstLineChars="200"/>
        <w:rPr>
          <w:rFonts w:ascii="宋体" w:hAnsi="宋体" w:eastAsia="宋体" w:cs="宋体"/>
          <w:color w:val="000000"/>
          <w:spacing w:val="6"/>
          <w:sz w:val="24"/>
          <w:szCs w:val="24"/>
        </w:rPr>
      </w:pPr>
    </w:p>
    <w:p w14:paraId="1856ED8D">
      <w:pPr>
        <w:widowControl/>
        <w:adjustRightInd w:val="0"/>
        <w:snapToGrid w:val="0"/>
        <w:spacing w:line="40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981DA80">
      <w:pPr>
        <w:widowControl/>
        <w:adjustRightInd w:val="0"/>
        <w:snapToGrid w:val="0"/>
        <w:spacing w:line="40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u w:val="single"/>
        </w:rPr>
        <w:t>标的名称</w:t>
      </w:r>
      <w:r>
        <w:rPr>
          <w:rFonts w:hint="eastAsia" w:ascii="宋体" w:hAnsi="宋体" w:eastAsia="宋体" w:cs="宋体"/>
          <w:color w:val="000000"/>
          <w:sz w:val="24"/>
          <w:szCs w:val="24"/>
        </w:rPr>
        <w:t>)，属于</w:t>
      </w:r>
      <w:r>
        <w:rPr>
          <w:rFonts w:hint="eastAsia" w:ascii="宋体" w:hAnsi="宋体" w:eastAsia="宋体" w:cs="宋体"/>
          <w:color w:val="000000"/>
          <w:sz w:val="24"/>
          <w:szCs w:val="24"/>
          <w:u w:val="single"/>
          <w:lang w:eastAsia="zh-CN"/>
        </w:rPr>
        <w:t>农、林、牧、渔业</w:t>
      </w:r>
      <w:r>
        <w:rPr>
          <w:rFonts w:hint="eastAsia" w:ascii="宋体" w:hAnsi="宋体" w:eastAsia="宋体" w:cs="宋体"/>
          <w:color w:val="000000"/>
          <w:sz w:val="24"/>
          <w:szCs w:val="24"/>
        </w:rPr>
        <w:t>；承建(承接)企业为(</w:t>
      </w:r>
      <w:r>
        <w:rPr>
          <w:rFonts w:hint="eastAsia" w:ascii="宋体" w:hAnsi="宋体" w:eastAsia="宋体" w:cs="宋体"/>
          <w:color w:val="000000"/>
          <w:sz w:val="24"/>
          <w:szCs w:val="24"/>
          <w:u w:val="single"/>
        </w:rPr>
        <w:t>企业名称</w:t>
      </w:r>
      <w:r>
        <w:rPr>
          <w:rFonts w:hint="eastAsia" w:ascii="宋体" w:hAnsi="宋体" w:eastAsia="宋体" w:cs="宋体"/>
          <w:color w:val="000000"/>
          <w:sz w:val="24"/>
          <w:szCs w:val="24"/>
        </w:rPr>
        <w:t>)，从业人员</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人，营业收入为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万元，资产总额为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万元，属于(</w:t>
      </w:r>
      <w:r>
        <w:rPr>
          <w:rFonts w:hint="eastAsia" w:ascii="宋体" w:hAnsi="宋体" w:eastAsia="宋体" w:cs="宋体"/>
          <w:color w:val="000000"/>
          <w:sz w:val="24"/>
          <w:szCs w:val="24"/>
          <w:u w:val="single"/>
        </w:rPr>
        <w:t>中型企业、 小型企业、微型企业</w:t>
      </w:r>
      <w:r>
        <w:rPr>
          <w:rFonts w:hint="eastAsia" w:ascii="宋体" w:hAnsi="宋体" w:eastAsia="宋体" w:cs="宋体"/>
          <w:color w:val="000000"/>
          <w:sz w:val="24"/>
          <w:szCs w:val="24"/>
        </w:rPr>
        <w:t>)；</w:t>
      </w:r>
    </w:p>
    <w:p w14:paraId="75814BB5">
      <w:pPr>
        <w:widowControl/>
        <w:adjustRightInd w:val="0"/>
        <w:snapToGrid w:val="0"/>
        <w:spacing w:line="40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u w:val="single"/>
        </w:rPr>
        <w:t>标的名称</w:t>
      </w:r>
      <w:r>
        <w:rPr>
          <w:rFonts w:hint="eastAsia" w:ascii="宋体" w:hAnsi="宋体" w:eastAsia="宋体" w:cs="宋体"/>
          <w:color w:val="000000"/>
          <w:sz w:val="24"/>
          <w:szCs w:val="24"/>
        </w:rPr>
        <w:t>)，属于</w:t>
      </w:r>
      <w:r>
        <w:rPr>
          <w:rFonts w:hint="eastAsia" w:ascii="宋体" w:hAnsi="宋体" w:eastAsia="宋体" w:cs="宋体"/>
          <w:color w:val="000000"/>
          <w:sz w:val="24"/>
          <w:szCs w:val="24"/>
          <w:u w:val="single"/>
          <w:lang w:eastAsia="zh-CN"/>
        </w:rPr>
        <w:t>农、林、牧、渔业</w:t>
      </w:r>
      <w:r>
        <w:rPr>
          <w:rFonts w:hint="eastAsia" w:ascii="宋体" w:hAnsi="宋体" w:eastAsia="宋体" w:cs="宋体"/>
          <w:color w:val="000000"/>
          <w:sz w:val="24"/>
          <w:szCs w:val="24"/>
        </w:rPr>
        <w:t>；承建(承接)企业为(</w:t>
      </w:r>
      <w:r>
        <w:rPr>
          <w:rFonts w:hint="eastAsia" w:ascii="宋体" w:hAnsi="宋体" w:eastAsia="宋体" w:cs="宋体"/>
          <w:color w:val="000000"/>
          <w:sz w:val="24"/>
          <w:szCs w:val="24"/>
          <w:u w:val="single"/>
        </w:rPr>
        <w:t>企业名称</w:t>
      </w:r>
      <w:r>
        <w:rPr>
          <w:rFonts w:hint="eastAsia" w:ascii="宋体" w:hAnsi="宋体" w:eastAsia="宋体" w:cs="宋体"/>
          <w:color w:val="000000"/>
          <w:sz w:val="24"/>
          <w:szCs w:val="24"/>
        </w:rPr>
        <w:t>)，从业人员</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人，营业收入为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万元，资产总额为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万元，属于(</w:t>
      </w:r>
      <w:r>
        <w:rPr>
          <w:rFonts w:hint="eastAsia" w:ascii="宋体" w:hAnsi="宋体" w:eastAsia="宋体" w:cs="宋体"/>
          <w:color w:val="000000"/>
          <w:sz w:val="24"/>
          <w:szCs w:val="24"/>
          <w:u w:val="single"/>
        </w:rPr>
        <w:t>中型企业、 小型企业、微型企业</w:t>
      </w:r>
      <w:r>
        <w:rPr>
          <w:rFonts w:hint="eastAsia" w:ascii="宋体" w:hAnsi="宋体" w:eastAsia="宋体" w:cs="宋体"/>
          <w:color w:val="000000"/>
          <w:sz w:val="24"/>
          <w:szCs w:val="24"/>
        </w:rPr>
        <w:t>)；</w:t>
      </w:r>
    </w:p>
    <w:p w14:paraId="3F81326F">
      <w:pPr>
        <w:widowControl/>
        <w:adjustRightInd w:val="0"/>
        <w:snapToGrid w:val="0"/>
        <w:spacing w:line="40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w:t>
      </w:r>
    </w:p>
    <w:p w14:paraId="48CA2096">
      <w:pPr>
        <w:widowControl/>
        <w:adjustRightInd w:val="0"/>
        <w:snapToGrid w:val="0"/>
        <w:spacing w:line="40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以上企业，不属于大企业的分支机构，不存在控股股东为大企业的情形，也不存在与大企业的负责人为同一人的情形。</w:t>
      </w:r>
    </w:p>
    <w:p w14:paraId="71785E00">
      <w:pPr>
        <w:widowControl/>
        <w:adjustRightInd w:val="0"/>
        <w:snapToGrid w:val="0"/>
        <w:spacing w:line="40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本企业对上述声明内容的真实性负责。如有虚假，将依法承担相应责任。</w:t>
      </w:r>
    </w:p>
    <w:p w14:paraId="456D65E7">
      <w:pPr>
        <w:widowControl/>
        <w:adjustRightInd w:val="0"/>
        <w:snapToGrid w:val="0"/>
        <w:spacing w:line="400" w:lineRule="exact"/>
        <w:ind w:firstLine="470" w:firstLineChars="200"/>
        <w:jc w:val="left"/>
        <w:rPr>
          <w:rFonts w:ascii="宋体" w:hAnsi="宋体" w:eastAsia="宋体" w:cs="宋体"/>
          <w:color w:val="000000"/>
          <w:w w:val="98"/>
          <w:kern w:val="0"/>
          <w:sz w:val="24"/>
          <w:szCs w:val="24"/>
        </w:rPr>
      </w:pPr>
    </w:p>
    <w:p w14:paraId="401B8753">
      <w:pPr>
        <w:widowControl w:val="0"/>
        <w:autoSpaceDE w:val="0"/>
        <w:autoSpaceDN w:val="0"/>
        <w:adjustRightInd w:val="0"/>
        <w:spacing w:after="120"/>
        <w:ind w:left="420" w:leftChars="200" w:firstLine="410"/>
        <w:jc w:val="left"/>
        <w:rPr>
          <w:rFonts w:ascii="宋体" w:hAnsi="宋体" w:eastAsia="宋体" w:cs="宋体"/>
          <w:color w:val="000000"/>
          <w:kern w:val="2"/>
          <w:sz w:val="24"/>
          <w:szCs w:val="24"/>
          <w:lang w:val="en-US" w:eastAsia="zh-CN" w:bidi="ar-SA"/>
        </w:rPr>
      </w:pPr>
    </w:p>
    <w:p w14:paraId="735C72A3">
      <w:pPr>
        <w:widowControl/>
        <w:tabs>
          <w:tab w:val="left" w:pos="4410"/>
        </w:tabs>
        <w:adjustRightInd w:val="0"/>
        <w:snapToGrid w:val="0"/>
        <w:spacing w:line="40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企业名称(盖章)：</w:t>
      </w:r>
    </w:p>
    <w:p w14:paraId="6BDAF03E">
      <w:pPr>
        <w:widowControl/>
        <w:tabs>
          <w:tab w:val="left" w:pos="4410"/>
        </w:tabs>
        <w:adjustRightInd w:val="0"/>
        <w:snapToGrid w:val="0"/>
        <w:spacing w:line="40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日 期：</w:t>
      </w:r>
    </w:p>
    <w:p w14:paraId="47913923">
      <w:pPr>
        <w:adjustRightInd w:val="0"/>
        <w:snapToGrid w:val="0"/>
        <w:spacing w:line="360" w:lineRule="auto"/>
        <w:ind w:right="23" w:rightChars="11"/>
        <w:rPr>
          <w:rFonts w:ascii="宋体" w:hAnsi="宋体" w:eastAsia="宋体" w:cs="宋体"/>
          <w:color w:val="000000"/>
          <w:sz w:val="24"/>
          <w:szCs w:val="24"/>
        </w:rPr>
      </w:pPr>
    </w:p>
    <w:p w14:paraId="0ED9D023">
      <w:pPr>
        <w:adjustRightInd w:val="0"/>
        <w:snapToGrid w:val="0"/>
        <w:spacing w:line="360" w:lineRule="auto"/>
        <w:ind w:right="23" w:rightChars="11"/>
        <w:rPr>
          <w:rFonts w:ascii="宋体" w:hAnsi="宋体" w:eastAsia="宋体" w:cs="宋体"/>
          <w:color w:val="000000"/>
          <w:sz w:val="24"/>
          <w:szCs w:val="24"/>
        </w:rPr>
      </w:pPr>
    </w:p>
    <w:p w14:paraId="29F040E7">
      <w:pPr>
        <w:widowControl w:val="0"/>
        <w:autoSpaceDE w:val="0"/>
        <w:autoSpaceDN w:val="0"/>
        <w:adjustRightInd w:val="0"/>
        <w:spacing w:after="0" w:line="400" w:lineRule="exact"/>
        <w:ind w:left="0" w:leftChars="0" w:firstLine="0"/>
        <w:jc w:val="left"/>
        <w:rPr>
          <w:rFonts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从业人员、营业收入、资产总额填报上一年度数据，无上一年度数据的新成立企业可不填报。</w:t>
      </w:r>
    </w:p>
    <w:p w14:paraId="28DFF7DF">
      <w:pPr>
        <w:rPr>
          <w:rFonts w:ascii="宋体" w:hAnsi="宋体" w:eastAsia="宋体" w:cs="宋体"/>
          <w:color w:val="000000"/>
          <w:spacing w:val="6"/>
          <w:kern w:val="0"/>
          <w:sz w:val="24"/>
          <w:szCs w:val="24"/>
        </w:rPr>
      </w:pPr>
      <w:r>
        <w:rPr>
          <w:rFonts w:hint="eastAsia" w:ascii="宋体" w:hAnsi="宋体" w:eastAsia="宋体" w:cs="宋体"/>
          <w:color w:val="000000"/>
          <w:spacing w:val="6"/>
          <w:kern w:val="0"/>
          <w:sz w:val="24"/>
          <w:szCs w:val="24"/>
        </w:rPr>
        <w:br w:type="page"/>
      </w:r>
    </w:p>
    <w:p w14:paraId="2571FBCC">
      <w:pPr>
        <w:keepNext/>
        <w:keepLines/>
        <w:widowControl w:val="0"/>
        <w:spacing w:before="280" w:after="290" w:line="480" w:lineRule="auto"/>
        <w:jc w:val="both"/>
        <w:outlineLvl w:val="3"/>
        <w:rPr>
          <w:rFonts w:hint="eastAsia" w:ascii="黑体" w:hAnsi="华文中宋" w:eastAsia="黑体" w:cs="宋体"/>
          <w:bCs w:val="0"/>
          <w:color w:val="000000"/>
          <w:spacing w:val="6"/>
          <w:kern w:val="0"/>
          <w:sz w:val="21"/>
          <w:szCs w:val="21"/>
          <w:lang w:val="en-US" w:eastAsia="zh-CN" w:bidi="ar-SA"/>
        </w:rPr>
      </w:pPr>
      <w:r>
        <w:rPr>
          <w:rFonts w:hint="eastAsia" w:ascii="黑体" w:hAnsi="华文中宋" w:eastAsia="黑体" w:cs="宋体"/>
          <w:bCs w:val="0"/>
          <w:color w:val="000000"/>
          <w:spacing w:val="6"/>
          <w:kern w:val="0"/>
          <w:sz w:val="21"/>
          <w:szCs w:val="21"/>
          <w:lang w:val="en-US" w:eastAsia="zh-CN" w:bidi="ar-SA"/>
        </w:rPr>
        <w:t>附件8-2 残疾人福利性单位声明函</w:t>
      </w:r>
    </w:p>
    <w:p w14:paraId="5FB126DB">
      <w:pPr>
        <w:widowControl/>
        <w:adjustRightInd w:val="0"/>
        <w:snapToGrid w:val="0"/>
        <w:spacing w:before="156" w:beforeLines="50" w:line="420" w:lineRule="exact"/>
        <w:jc w:val="center"/>
        <w:rPr>
          <w:rFonts w:hint="eastAsia" w:ascii="黑体" w:hAnsi="仿宋" w:eastAsia="黑体" w:cs="宋体"/>
          <w:b/>
          <w:color w:val="000000"/>
          <w:sz w:val="28"/>
          <w:szCs w:val="28"/>
        </w:rPr>
      </w:pPr>
      <w:r>
        <w:rPr>
          <w:rFonts w:hint="eastAsia" w:ascii="黑体" w:hAnsi="仿宋" w:eastAsia="黑体" w:cs="宋体"/>
          <w:b/>
          <w:color w:val="000000"/>
          <w:sz w:val="28"/>
          <w:szCs w:val="28"/>
        </w:rPr>
        <w:t>残疾人福利性单位声明函</w:t>
      </w:r>
    </w:p>
    <w:p w14:paraId="1117EF23">
      <w:pPr>
        <w:widowControl/>
        <w:adjustRightInd w:val="0"/>
        <w:snapToGrid w:val="0"/>
        <w:spacing w:before="156" w:beforeLines="50" w:line="420" w:lineRule="exact"/>
        <w:jc w:val="center"/>
        <w:rPr>
          <w:rFonts w:hint="eastAsia" w:ascii="黑体" w:hAnsi="仿宋" w:eastAsia="黑体" w:cs="宋体"/>
          <w:b/>
          <w:color w:val="000000"/>
          <w:sz w:val="28"/>
          <w:szCs w:val="28"/>
        </w:rPr>
      </w:pPr>
      <w:r>
        <w:rPr>
          <w:rFonts w:hint="eastAsia" w:ascii="黑体" w:hAnsi="仿宋" w:eastAsia="黑体" w:cs="宋体"/>
          <w:b/>
          <w:color w:val="000000"/>
          <w:sz w:val="28"/>
          <w:szCs w:val="28"/>
        </w:rPr>
        <w:t>(不属于残疾人福利性单位的无需填写)</w:t>
      </w:r>
    </w:p>
    <w:p w14:paraId="5726C4DD">
      <w:pPr>
        <w:adjustRightInd w:val="0"/>
        <w:snapToGrid w:val="0"/>
        <w:spacing w:line="360" w:lineRule="auto"/>
        <w:ind w:firstLine="504" w:firstLineChars="200"/>
        <w:rPr>
          <w:rFonts w:ascii="宋体" w:hAnsi="宋体" w:eastAsia="宋体" w:cs="宋体"/>
          <w:color w:val="000000"/>
          <w:spacing w:val="6"/>
          <w:sz w:val="24"/>
          <w:szCs w:val="24"/>
        </w:rPr>
      </w:pPr>
    </w:p>
    <w:p w14:paraId="794F459D">
      <w:pPr>
        <w:adjustRightInd w:val="0"/>
        <w:snapToGrid w:val="0"/>
        <w:spacing w:line="360" w:lineRule="auto"/>
        <w:ind w:firstLine="504" w:firstLineChars="200"/>
        <w:rPr>
          <w:rFonts w:ascii="宋体" w:hAnsi="宋体" w:eastAsia="宋体" w:cs="宋体"/>
          <w:color w:val="000000"/>
          <w:spacing w:val="6"/>
          <w:sz w:val="24"/>
          <w:szCs w:val="24"/>
        </w:rPr>
      </w:pPr>
      <w:r>
        <w:rPr>
          <w:rFonts w:hint="eastAsia" w:ascii="宋体" w:hAnsi="宋体" w:eastAsia="宋体" w:cs="宋体"/>
          <w:color w:val="000000"/>
          <w:spacing w:val="6"/>
          <w:sz w:val="24"/>
          <w:szCs w:val="24"/>
        </w:rPr>
        <w:t>本单位郑重声明，根据《财政部 民政部 中国残疾人联合会关于促进残疾人就业政府采购政策的通知》（财库</w:t>
      </w:r>
      <w:r>
        <w:rPr>
          <w:rFonts w:hint="eastAsia" w:ascii="宋体" w:hAnsi="宋体" w:eastAsia="宋体" w:cs="宋体"/>
          <w:color w:val="000000"/>
          <w:sz w:val="24"/>
          <w:szCs w:val="24"/>
        </w:rPr>
        <w:t>〔2017〕141</w:t>
      </w:r>
      <w:r>
        <w:rPr>
          <w:rFonts w:hint="eastAsia" w:ascii="宋体" w:hAnsi="宋体" w:eastAsia="宋体" w:cs="宋体"/>
          <w:color w:val="000000"/>
          <w:spacing w:val="6"/>
          <w:sz w:val="24"/>
          <w:szCs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2741DD4">
      <w:pPr>
        <w:adjustRightInd w:val="0"/>
        <w:snapToGrid w:val="0"/>
        <w:spacing w:line="360" w:lineRule="auto"/>
        <w:ind w:firstLine="504" w:firstLineChars="200"/>
        <w:rPr>
          <w:rFonts w:ascii="宋体" w:hAnsi="宋体" w:eastAsia="宋体" w:cs="宋体"/>
          <w:color w:val="000000"/>
          <w:spacing w:val="6"/>
          <w:sz w:val="24"/>
          <w:szCs w:val="24"/>
        </w:rPr>
      </w:pPr>
      <w:r>
        <w:rPr>
          <w:rFonts w:hint="eastAsia" w:ascii="宋体" w:hAnsi="宋体" w:eastAsia="宋体" w:cs="宋体"/>
          <w:color w:val="000000"/>
          <w:spacing w:val="6"/>
          <w:sz w:val="24"/>
          <w:szCs w:val="24"/>
        </w:rPr>
        <w:t>本单位对上述声明的真实性负责。如有虚假，将依法承担相应责任。</w:t>
      </w:r>
    </w:p>
    <w:p w14:paraId="13C78C0B">
      <w:pPr>
        <w:adjustRightInd w:val="0"/>
        <w:snapToGrid w:val="0"/>
        <w:spacing w:line="360" w:lineRule="auto"/>
        <w:ind w:firstLine="504" w:firstLineChars="200"/>
        <w:rPr>
          <w:rFonts w:ascii="宋体" w:hAnsi="宋体" w:eastAsia="宋体" w:cs="宋体"/>
          <w:color w:val="000000"/>
          <w:spacing w:val="6"/>
          <w:sz w:val="24"/>
          <w:szCs w:val="24"/>
        </w:rPr>
      </w:pPr>
    </w:p>
    <w:p w14:paraId="47A9F14B">
      <w:pPr>
        <w:adjustRightInd w:val="0"/>
        <w:snapToGrid w:val="0"/>
        <w:spacing w:line="360" w:lineRule="auto"/>
        <w:ind w:firstLine="504" w:firstLineChars="200"/>
        <w:rPr>
          <w:rFonts w:ascii="宋体" w:hAnsi="宋体" w:eastAsia="宋体" w:cs="宋体"/>
          <w:color w:val="000000"/>
          <w:spacing w:val="6"/>
          <w:sz w:val="24"/>
          <w:szCs w:val="24"/>
        </w:rPr>
      </w:pPr>
    </w:p>
    <w:p w14:paraId="2066B154">
      <w:pPr>
        <w:tabs>
          <w:tab w:val="left" w:pos="4860"/>
        </w:tabs>
        <w:adjustRightInd w:val="0"/>
        <w:snapToGrid w:val="0"/>
        <w:spacing w:line="360" w:lineRule="auto"/>
        <w:ind w:right="1560" w:firstLine="504" w:firstLineChars="200"/>
        <w:jc w:val="center"/>
        <w:rPr>
          <w:rFonts w:ascii="宋体" w:hAnsi="宋体" w:eastAsia="宋体" w:cs="宋体"/>
          <w:color w:val="000000"/>
          <w:spacing w:val="6"/>
          <w:sz w:val="24"/>
          <w:szCs w:val="24"/>
        </w:rPr>
      </w:pPr>
      <w:r>
        <w:rPr>
          <w:rFonts w:hint="eastAsia" w:ascii="宋体" w:hAnsi="宋体" w:eastAsia="宋体" w:cs="宋体"/>
          <w:color w:val="000000"/>
          <w:spacing w:val="6"/>
          <w:sz w:val="24"/>
          <w:szCs w:val="24"/>
        </w:rPr>
        <w:t xml:space="preserve">               单位名称（盖章）：</w:t>
      </w:r>
    </w:p>
    <w:p w14:paraId="56E1FA35">
      <w:pPr>
        <w:tabs>
          <w:tab w:val="left" w:pos="4860"/>
        </w:tabs>
        <w:adjustRightInd w:val="0"/>
        <w:snapToGrid w:val="0"/>
        <w:spacing w:line="360" w:lineRule="auto"/>
        <w:ind w:right="1560" w:firstLine="504" w:firstLineChars="200"/>
        <w:jc w:val="center"/>
        <w:rPr>
          <w:rFonts w:ascii="宋体" w:hAnsi="宋体" w:eastAsia="宋体" w:cs="宋体"/>
          <w:color w:val="000000"/>
          <w:spacing w:val="6"/>
          <w:sz w:val="24"/>
          <w:szCs w:val="24"/>
        </w:rPr>
      </w:pPr>
      <w:r>
        <w:rPr>
          <w:rFonts w:hint="eastAsia" w:ascii="宋体" w:hAnsi="宋体" w:eastAsia="宋体" w:cs="宋体"/>
          <w:color w:val="000000"/>
          <w:spacing w:val="6"/>
          <w:sz w:val="24"/>
          <w:szCs w:val="24"/>
        </w:rPr>
        <w:t xml:space="preserve">       日  期：</w:t>
      </w:r>
    </w:p>
    <w:p w14:paraId="7E22329B">
      <w:pPr>
        <w:widowControl/>
        <w:adjustRightInd w:val="0"/>
        <w:snapToGrid w:val="0"/>
        <w:spacing w:line="360" w:lineRule="auto"/>
        <w:jc w:val="left"/>
        <w:rPr>
          <w:rFonts w:ascii="宋体" w:hAnsi="宋体" w:eastAsia="宋体" w:cs="宋体"/>
          <w:color w:val="000000"/>
          <w:kern w:val="0"/>
          <w:sz w:val="24"/>
          <w:szCs w:val="24"/>
        </w:rPr>
      </w:pPr>
    </w:p>
    <w:p w14:paraId="4C19F1B1">
      <w:pPr>
        <w:widowControl/>
        <w:adjustRightInd w:val="0"/>
        <w:snapToGrid w:val="0"/>
        <w:spacing w:line="360" w:lineRule="auto"/>
        <w:rPr>
          <w:rFonts w:ascii="黑体" w:hAnsi="宋体" w:eastAsia="黑体" w:cs="宋体"/>
          <w:color w:val="000000"/>
          <w:kern w:val="0"/>
          <w:szCs w:val="21"/>
        </w:rPr>
      </w:pPr>
    </w:p>
    <w:p w14:paraId="70812279">
      <w:pPr>
        <w:keepNext/>
        <w:keepLines/>
        <w:widowControl w:val="0"/>
        <w:spacing w:before="280" w:after="290" w:line="480" w:lineRule="auto"/>
        <w:jc w:val="both"/>
        <w:outlineLvl w:val="3"/>
        <w:rPr>
          <w:rFonts w:ascii="黑体" w:hAnsi="宋体" w:eastAsia="黑体" w:cs="Times New Roman"/>
          <w:bCs/>
          <w:color w:val="000000"/>
          <w:kern w:val="2"/>
          <w:sz w:val="21"/>
          <w:szCs w:val="21"/>
          <w:lang w:val="en-US" w:eastAsia="zh-CN" w:bidi="ar-SA"/>
        </w:rPr>
      </w:pPr>
      <w:r>
        <w:rPr>
          <w:rFonts w:ascii="黑体" w:hAnsi="宋体" w:eastAsia="黑体" w:cs="宋体"/>
          <w:bCs/>
          <w:color w:val="000000"/>
          <w:kern w:val="0"/>
          <w:sz w:val="24"/>
          <w:szCs w:val="21"/>
          <w:lang w:val="en-US" w:eastAsia="zh-CN" w:bidi="ar-SA"/>
        </w:rPr>
        <w:br w:type="page"/>
      </w:r>
      <w:bookmarkStart w:id="104" w:name="_Toc28809"/>
      <w:r>
        <w:rPr>
          <w:rFonts w:hint="eastAsia" w:ascii="黑体" w:hAnsi="宋体" w:eastAsia="黑体" w:cs="宋体"/>
          <w:bCs/>
          <w:color w:val="000000"/>
          <w:kern w:val="0"/>
          <w:sz w:val="21"/>
          <w:szCs w:val="21"/>
          <w:lang w:val="en-US" w:eastAsia="zh-CN" w:bidi="ar-SA"/>
        </w:rPr>
        <w:t xml:space="preserve">附件8-3 </w:t>
      </w:r>
      <w:r>
        <w:rPr>
          <w:rFonts w:hint="eastAsia" w:ascii="黑体" w:hAnsi="宋体" w:eastAsia="黑体" w:cs="Times New Roman"/>
          <w:bCs/>
          <w:color w:val="000000"/>
          <w:kern w:val="2"/>
          <w:sz w:val="21"/>
          <w:szCs w:val="21"/>
          <w:lang w:val="en-US" w:eastAsia="zh-CN" w:bidi="ar-SA"/>
        </w:rPr>
        <w:t>监狱企业证明资料</w:t>
      </w:r>
      <w:bookmarkEnd w:id="104"/>
    </w:p>
    <w:p w14:paraId="7693E564">
      <w:pPr>
        <w:widowControl/>
        <w:adjustRightInd w:val="0"/>
        <w:snapToGrid w:val="0"/>
        <w:spacing w:before="156" w:beforeLines="50" w:line="420" w:lineRule="exact"/>
        <w:jc w:val="center"/>
        <w:rPr>
          <w:rFonts w:hint="eastAsia" w:ascii="黑体" w:hAnsi="仿宋" w:eastAsia="黑体" w:cs="宋体"/>
          <w:b/>
          <w:color w:val="000000"/>
          <w:sz w:val="28"/>
          <w:szCs w:val="28"/>
        </w:rPr>
      </w:pPr>
      <w:r>
        <w:rPr>
          <w:rFonts w:hint="eastAsia" w:ascii="黑体" w:hAnsi="仿宋" w:eastAsia="黑体" w:cs="宋体"/>
          <w:b/>
          <w:color w:val="000000"/>
          <w:sz w:val="28"/>
          <w:szCs w:val="28"/>
        </w:rPr>
        <w:t>监狱企业证明资料</w:t>
      </w:r>
    </w:p>
    <w:p w14:paraId="6A14BE9A">
      <w:pPr>
        <w:widowControl/>
        <w:adjustRightInd w:val="0"/>
        <w:snapToGrid w:val="0"/>
        <w:spacing w:before="156" w:beforeLines="50" w:line="420" w:lineRule="exact"/>
        <w:jc w:val="center"/>
        <w:rPr>
          <w:rFonts w:hint="eastAsia" w:ascii="黑体" w:hAnsi="仿宋" w:eastAsia="黑体" w:cs="宋体"/>
          <w:b/>
          <w:color w:val="000000"/>
          <w:sz w:val="28"/>
          <w:szCs w:val="28"/>
        </w:rPr>
      </w:pPr>
      <w:r>
        <w:rPr>
          <w:rFonts w:hint="eastAsia" w:ascii="黑体" w:hAnsi="仿宋" w:eastAsia="黑体" w:cs="宋体"/>
          <w:b/>
          <w:color w:val="000000"/>
          <w:sz w:val="28"/>
          <w:szCs w:val="28"/>
        </w:rPr>
        <w:t>(不属于监狱企业的无需提供)</w:t>
      </w:r>
    </w:p>
    <w:p w14:paraId="49912C61">
      <w:pPr>
        <w:adjustRightInd w:val="0"/>
        <w:snapToGrid w:val="0"/>
        <w:spacing w:line="360" w:lineRule="auto"/>
        <w:rPr>
          <w:rFonts w:ascii="宋体" w:hAnsi="宋体" w:eastAsia="宋体" w:cs="宋体"/>
          <w:color w:val="000000"/>
          <w:sz w:val="24"/>
          <w:szCs w:val="24"/>
        </w:rPr>
      </w:pPr>
    </w:p>
    <w:p w14:paraId="4E4D428A">
      <w:pPr>
        <w:adjustRightInd w:val="0"/>
        <w:snapToGrid w:val="0"/>
        <w:spacing w:line="360" w:lineRule="auto"/>
        <w:ind w:firstLine="504" w:firstLineChars="200"/>
        <w:rPr>
          <w:rFonts w:ascii="宋体" w:hAnsi="宋体" w:eastAsia="宋体" w:cs="宋体"/>
          <w:color w:val="000000"/>
          <w:sz w:val="24"/>
          <w:szCs w:val="24"/>
        </w:rPr>
      </w:pPr>
      <w:r>
        <w:rPr>
          <w:rFonts w:hint="eastAsia" w:ascii="宋体" w:hAnsi="宋体" w:eastAsia="宋体" w:cs="宋体"/>
          <w:bCs/>
          <w:color w:val="000000"/>
          <w:spacing w:val="6"/>
          <w:kern w:val="0"/>
          <w:sz w:val="24"/>
          <w:szCs w:val="24"/>
        </w:rPr>
        <w:t>备注：</w:t>
      </w:r>
      <w:r>
        <w:rPr>
          <w:rFonts w:hint="eastAsia" w:ascii="宋体" w:hAnsi="宋体" w:eastAsia="宋体" w:cs="宋体"/>
          <w:color w:val="000000"/>
          <w:sz w:val="24"/>
          <w:szCs w:val="24"/>
        </w:rPr>
        <w:t>按</w:t>
      </w:r>
      <w:r>
        <w:rPr>
          <w:rFonts w:hint="eastAsia" w:ascii="宋体" w:hAnsi="宋体" w:eastAsia="宋体" w:cs="宋体"/>
          <w:color w:val="000000"/>
          <w:spacing w:val="6"/>
          <w:sz w:val="24"/>
          <w:szCs w:val="24"/>
        </w:rPr>
        <w:t>《</w:t>
      </w:r>
      <w:r>
        <w:rPr>
          <w:rFonts w:hint="eastAsia" w:ascii="宋体" w:hAnsi="宋体" w:eastAsia="宋体" w:cs="宋体"/>
          <w:color w:val="000000"/>
          <w:sz w:val="24"/>
          <w:szCs w:val="24"/>
        </w:rPr>
        <w:t>财政部 司法部关于政府采购支持监狱企业发展有关问题的通知</w:t>
      </w:r>
      <w:r>
        <w:rPr>
          <w:rFonts w:hint="eastAsia" w:ascii="宋体" w:hAnsi="宋体" w:eastAsia="宋体" w:cs="宋体"/>
          <w:color w:val="000000"/>
          <w:spacing w:val="6"/>
          <w:sz w:val="24"/>
          <w:szCs w:val="24"/>
        </w:rPr>
        <w:t>》</w:t>
      </w:r>
      <w:r>
        <w:rPr>
          <w:rFonts w:hint="eastAsia" w:ascii="宋体" w:hAnsi="宋体" w:eastAsia="宋体" w:cs="宋体"/>
          <w:color w:val="000000"/>
          <w:sz w:val="24"/>
          <w:szCs w:val="24"/>
        </w:rPr>
        <w:t>(财库〔2014〕68号)文件规定提供证明文件（复印件）。</w:t>
      </w:r>
    </w:p>
    <w:p w14:paraId="426EE2A4">
      <w:pPr>
        <w:adjustRightInd w:val="0"/>
        <w:snapToGrid w:val="0"/>
        <w:spacing w:line="360" w:lineRule="auto"/>
        <w:rPr>
          <w:rFonts w:ascii="宋体" w:hAnsi="宋体" w:eastAsia="宋体" w:cs="宋体"/>
          <w:color w:val="000000"/>
          <w:sz w:val="24"/>
          <w:szCs w:val="24"/>
        </w:rPr>
      </w:pPr>
      <w:r>
        <w:rPr>
          <w:rFonts w:hint="eastAsia" w:ascii="宋体" w:hAnsi="宋体" w:eastAsia="宋体" w:cs="宋体"/>
          <w:b/>
          <w:color w:val="000000"/>
          <w:sz w:val="24"/>
          <w:szCs w:val="24"/>
        </w:rPr>
        <w:br w:type="page"/>
      </w:r>
    </w:p>
    <w:p w14:paraId="64E9A33D">
      <w:pPr>
        <w:pStyle w:val="4"/>
        <w:bidi w:val="0"/>
        <w:jc w:val="center"/>
        <w:rPr>
          <w:lang w:val="en-US" w:eastAsia="zh-CN"/>
        </w:rPr>
      </w:pPr>
      <w:bookmarkStart w:id="105" w:name="_Toc30866"/>
      <w:bookmarkStart w:id="106" w:name="_Toc30440"/>
      <w:r>
        <w:rPr>
          <w:rFonts w:hint="eastAsia"/>
          <w:lang w:val="en-US" w:eastAsia="zh-CN"/>
        </w:rPr>
        <w:t>九、投标人认为需提供的其他资料</w:t>
      </w:r>
      <w:bookmarkEnd w:id="105"/>
      <w:bookmarkEnd w:id="106"/>
    </w:p>
    <w:p w14:paraId="527BA020">
      <w:pPr>
        <w:adjustRightInd w:val="0"/>
        <w:snapToGrid w:val="0"/>
        <w:spacing w:before="156" w:beforeLines="50" w:line="360" w:lineRule="auto"/>
        <w:rPr>
          <w:rFonts w:ascii="宋体" w:hAnsi="等线" w:eastAsia="等线" w:cs="Times New Roman"/>
          <w:color w:val="000000"/>
          <w:szCs w:val="22"/>
        </w:rPr>
      </w:pPr>
    </w:p>
    <w:p w14:paraId="56E3F199">
      <w:pPr>
        <w:adjustRightInd w:val="0"/>
        <w:snapToGrid w:val="0"/>
        <w:spacing w:before="156" w:beforeLines="50" w:line="360" w:lineRule="auto"/>
        <w:rPr>
          <w:rFonts w:ascii="宋体" w:hAnsi="宋体" w:eastAsia="宋体" w:cs="宋体"/>
          <w:color w:val="000000"/>
          <w:sz w:val="24"/>
          <w:szCs w:val="24"/>
        </w:rPr>
      </w:pPr>
      <w:r>
        <w:rPr>
          <w:rFonts w:hint="eastAsia" w:ascii="宋体" w:hAnsi="宋体" w:eastAsia="宋体" w:cs="宋体"/>
          <w:color w:val="000000"/>
          <w:sz w:val="24"/>
          <w:szCs w:val="24"/>
        </w:rPr>
        <w:t>备注：投标人认为需提供的其他资料包括：</w:t>
      </w:r>
    </w:p>
    <w:p w14:paraId="3FCD320F">
      <w:pPr>
        <w:adjustRightInd w:val="0"/>
        <w:snapToGrid w:val="0"/>
        <w:spacing w:before="156" w:beforeLines="50"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（1）招标文件第三章采购需求要求的其他资料；</w:t>
      </w:r>
    </w:p>
    <w:p w14:paraId="01D64692">
      <w:pPr>
        <w:adjustRightInd w:val="0"/>
        <w:snapToGrid w:val="0"/>
        <w:spacing w:before="156" w:beforeLines="50"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（2）招标文件第四章评标方法及标准要求的其他相关资料。</w:t>
      </w:r>
    </w:p>
    <w:p w14:paraId="168DDC1C">
      <w:pPr>
        <w:adjustRightInd w:val="0"/>
        <w:snapToGrid w:val="0"/>
        <w:spacing w:before="156" w:beforeLines="50" w:line="360" w:lineRule="auto"/>
        <w:ind w:firstLine="420" w:firstLineChars="200"/>
        <w:rPr>
          <w:rFonts w:ascii="宋体" w:hAnsi="等线" w:eastAsia="等线" w:cs="Times New Roman"/>
          <w:color w:val="000000"/>
          <w:szCs w:val="22"/>
        </w:rPr>
      </w:pPr>
    </w:p>
    <w:p w14:paraId="2E7BE428">
      <w:pPr>
        <w:widowControl w:val="0"/>
        <w:numPr>
          <w:ilvl w:val="0"/>
          <w:numId w:val="0"/>
        </w:numPr>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p>
    <w:p w14:paraId="2D66AE8D">
      <w:pPr>
        <w:adjustRightInd w:val="0"/>
        <w:snapToGrid w:val="0"/>
        <w:spacing w:before="156" w:beforeLines="50" w:line="360" w:lineRule="auto"/>
        <w:rPr>
          <w:rFonts w:hint="eastAsia" w:ascii="宋体" w:hAnsi="宋体" w:eastAsia="宋体" w:cs="宋体"/>
          <w:color w:val="000000"/>
          <w:sz w:val="24"/>
          <w:szCs w:val="24"/>
          <w:lang w:val="en-US" w:eastAsia="zh-CN"/>
        </w:rPr>
      </w:pPr>
    </w:p>
    <w:p w14:paraId="30121D55">
      <w:pPr>
        <w:adjustRightInd w:val="0"/>
        <w:snapToGrid w:val="0"/>
        <w:spacing w:before="156" w:beforeLines="50" w:line="360" w:lineRule="auto"/>
        <w:rPr>
          <w:rFonts w:hint="eastAsia" w:ascii="宋体" w:hAnsi="宋体" w:eastAsia="宋体" w:cs="宋体"/>
          <w:color w:val="000000"/>
          <w:sz w:val="24"/>
          <w:szCs w:val="24"/>
          <w:lang w:val="en-US" w:eastAsia="zh-CN"/>
        </w:rPr>
      </w:pPr>
    </w:p>
    <w:p w14:paraId="5422C22A">
      <w:pPr>
        <w:adjustRightInd w:val="0"/>
        <w:snapToGrid w:val="0"/>
        <w:spacing w:before="156" w:beforeLines="50" w:line="360" w:lineRule="auto"/>
        <w:rPr>
          <w:rFonts w:hint="eastAsia" w:ascii="宋体" w:hAnsi="宋体" w:eastAsia="宋体" w:cs="宋体"/>
          <w:color w:val="000000"/>
          <w:sz w:val="24"/>
          <w:szCs w:val="24"/>
          <w:lang w:val="en-US" w:eastAsia="zh-CN"/>
        </w:rPr>
      </w:pPr>
    </w:p>
    <w:p w14:paraId="15FB1486">
      <w:pPr>
        <w:adjustRightInd w:val="0"/>
        <w:snapToGrid w:val="0"/>
        <w:spacing w:before="156" w:beforeLines="50" w:line="360" w:lineRule="auto"/>
        <w:rPr>
          <w:rFonts w:hint="eastAsia" w:ascii="宋体" w:hAnsi="宋体" w:eastAsia="宋体" w:cs="宋体"/>
          <w:color w:val="000000"/>
          <w:sz w:val="24"/>
          <w:szCs w:val="24"/>
          <w:lang w:val="en-US" w:eastAsia="zh-CN"/>
        </w:rPr>
      </w:pPr>
    </w:p>
    <w:p w14:paraId="4CE9CC6D">
      <w:pPr>
        <w:adjustRightInd w:val="0"/>
        <w:snapToGrid w:val="0"/>
        <w:spacing w:before="156" w:beforeLines="50" w:line="360" w:lineRule="auto"/>
        <w:rPr>
          <w:rFonts w:hint="eastAsia" w:ascii="宋体" w:hAnsi="宋体" w:eastAsia="宋体" w:cs="宋体"/>
          <w:color w:val="000000"/>
          <w:sz w:val="24"/>
          <w:szCs w:val="24"/>
          <w:lang w:val="en-US" w:eastAsia="zh-CN"/>
        </w:rPr>
      </w:pPr>
    </w:p>
    <w:p w14:paraId="3BBD0DD9">
      <w:pPr>
        <w:adjustRightInd w:val="0"/>
        <w:snapToGrid w:val="0"/>
        <w:spacing w:before="156" w:beforeLines="50" w:line="360" w:lineRule="auto"/>
        <w:rPr>
          <w:rFonts w:hint="eastAsia" w:ascii="宋体" w:hAnsi="宋体" w:eastAsia="宋体" w:cs="宋体"/>
          <w:color w:val="000000"/>
          <w:sz w:val="24"/>
          <w:szCs w:val="24"/>
          <w:lang w:val="en-US" w:eastAsia="zh-CN"/>
        </w:rPr>
      </w:pPr>
    </w:p>
    <w:p w14:paraId="6A5F0896">
      <w:pPr>
        <w:adjustRightInd w:val="0"/>
        <w:snapToGrid w:val="0"/>
        <w:spacing w:before="156" w:beforeLines="50" w:line="360" w:lineRule="auto"/>
        <w:rPr>
          <w:rFonts w:hint="eastAsia" w:ascii="宋体" w:hAnsi="宋体" w:eastAsia="宋体" w:cs="宋体"/>
          <w:color w:val="000000"/>
          <w:sz w:val="24"/>
          <w:szCs w:val="24"/>
          <w:lang w:val="en-US" w:eastAsia="zh-CN"/>
        </w:rPr>
      </w:pPr>
    </w:p>
    <w:p w14:paraId="36EC5201">
      <w:pPr>
        <w:adjustRightInd w:val="0"/>
        <w:snapToGrid w:val="0"/>
        <w:spacing w:before="156" w:beforeLines="50" w:line="360" w:lineRule="auto"/>
        <w:rPr>
          <w:rFonts w:hint="default" w:ascii="宋体" w:hAnsi="宋体" w:eastAsia="宋体" w:cs="宋体"/>
          <w:color w:val="000000"/>
          <w:sz w:val="24"/>
          <w:szCs w:val="24"/>
          <w:lang w:val="en-US" w:eastAsia="zh-CN"/>
        </w:rPr>
        <w:sectPr>
          <w:headerReference r:id="rId5" w:type="default"/>
          <w:footerReference r:id="rId6" w:type="default"/>
          <w:pgSz w:w="11906" w:h="16838"/>
          <w:pgMar w:top="1531" w:right="1531" w:bottom="1531" w:left="1531" w:header="1134" w:footer="680" w:gutter="0"/>
          <w:pgBorders>
            <w:top w:val="none" w:sz="0" w:space="0"/>
            <w:left w:val="none" w:sz="0" w:space="0"/>
            <w:bottom w:val="none" w:sz="0" w:space="0"/>
            <w:right w:val="none" w:sz="0" w:space="0"/>
          </w:pgBorders>
          <w:pgNumType w:fmt="decimal"/>
          <w:cols w:space="0" w:num="1"/>
          <w:rtlGutter w:val="0"/>
          <w:docGrid w:type="lines" w:linePitch="315" w:charSpace="0"/>
        </w:sectPr>
      </w:pPr>
    </w:p>
    <w:p w14:paraId="5F0328E1">
      <w:pPr>
        <w:pStyle w:val="2"/>
        <w:bidi w:val="0"/>
        <w:jc w:val="center"/>
        <w:rPr>
          <w:rFonts w:hint="eastAsia"/>
          <w:b/>
          <w:lang w:val="en-US" w:eastAsia="zh-CN"/>
        </w:rPr>
      </w:pPr>
      <w:bookmarkStart w:id="107" w:name="_Toc19858"/>
      <w:bookmarkStart w:id="108" w:name="_Toc25452"/>
      <w:r>
        <w:rPr>
          <w:rFonts w:hint="eastAsia"/>
          <w:b/>
          <w:lang w:val="en-US" w:eastAsia="zh-CN"/>
        </w:rPr>
        <w:t>第七章 政府采购供应商质疑函范本</w:t>
      </w:r>
      <w:bookmarkEnd w:id="67"/>
      <w:bookmarkEnd w:id="68"/>
      <w:bookmarkEnd w:id="107"/>
      <w:bookmarkEnd w:id="108"/>
    </w:p>
    <w:p w14:paraId="138931F9">
      <w:pPr>
        <w:widowControl/>
        <w:adjustRightInd w:val="0"/>
        <w:snapToGrid w:val="0"/>
        <w:spacing w:before="156" w:beforeLines="50" w:line="420" w:lineRule="exact"/>
        <w:jc w:val="center"/>
        <w:rPr>
          <w:rFonts w:hint="eastAsia" w:ascii="黑体" w:hAnsi="仿宋" w:eastAsia="黑体" w:cs="宋体"/>
          <w:b/>
          <w:color w:val="000000"/>
          <w:sz w:val="28"/>
          <w:szCs w:val="28"/>
        </w:rPr>
      </w:pPr>
      <w:r>
        <w:rPr>
          <w:rFonts w:hint="eastAsia" w:ascii="黑体" w:hAnsi="仿宋" w:eastAsia="黑体" w:cs="宋体"/>
          <w:b/>
          <w:color w:val="000000"/>
          <w:sz w:val="28"/>
          <w:szCs w:val="28"/>
        </w:rPr>
        <w:t>质疑函范本</w:t>
      </w:r>
    </w:p>
    <w:p w14:paraId="25584ED4">
      <w:pPr>
        <w:widowControl w:val="0"/>
        <w:adjustRightInd w:val="0"/>
        <w:snapToGrid w:val="0"/>
        <w:spacing w:before="312" w:beforeLines="100" w:line="440" w:lineRule="exact"/>
        <w:ind w:firstLine="0" w:firstLineChars="0"/>
        <w:jc w:val="both"/>
        <w:outlineLvl w:val="1"/>
        <w:rPr>
          <w:rFonts w:ascii="黑体" w:hAnsi="黑体" w:eastAsia="黑体" w:cs="黑体"/>
          <w:color w:val="000000"/>
          <w:kern w:val="2"/>
          <w:sz w:val="24"/>
          <w:szCs w:val="22"/>
          <w:lang w:val="en-US" w:eastAsia="zh-CN" w:bidi="ar-SA"/>
        </w:rPr>
      </w:pPr>
      <w:bookmarkStart w:id="109" w:name="_Toc30155"/>
      <w:bookmarkStart w:id="110" w:name="_Toc17848"/>
      <w:bookmarkStart w:id="111" w:name="_Toc17497"/>
      <w:r>
        <w:rPr>
          <w:rFonts w:hint="eastAsia" w:ascii="黑体" w:hAnsi="黑体" w:eastAsia="黑体" w:cs="黑体"/>
          <w:color w:val="000000"/>
          <w:kern w:val="2"/>
          <w:sz w:val="24"/>
          <w:szCs w:val="22"/>
          <w:lang w:val="en-US" w:eastAsia="zh-CN" w:bidi="ar-SA"/>
        </w:rPr>
        <w:t>一、质疑供应商基本信息</w:t>
      </w:r>
      <w:bookmarkEnd w:id="109"/>
      <w:bookmarkEnd w:id="110"/>
      <w:bookmarkEnd w:id="111"/>
    </w:p>
    <w:p w14:paraId="6D4F9297">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u w:val="single"/>
          <w:lang w:val="en-US" w:eastAsia="zh-CN" w:bidi="ar-SA"/>
        </w:rPr>
      </w:pPr>
      <w:r>
        <w:rPr>
          <w:rFonts w:hint="eastAsia" w:ascii="Times New Roman" w:hAnsi="Times New Roman" w:eastAsia="宋体" w:cs="Times New Roman"/>
          <w:color w:val="000000"/>
          <w:kern w:val="2"/>
          <w:sz w:val="24"/>
          <w:szCs w:val="22"/>
          <w:lang w:val="en-US" w:eastAsia="zh-CN" w:bidi="ar-SA"/>
        </w:rPr>
        <w:t>质疑供应商：</w:t>
      </w:r>
      <w:r>
        <w:rPr>
          <w:rFonts w:hint="eastAsia" w:ascii="Times New Roman" w:hAnsi="Times New Roman" w:eastAsia="宋体" w:cs="Times New Roman"/>
          <w:color w:val="000000"/>
          <w:kern w:val="2"/>
          <w:sz w:val="24"/>
          <w:szCs w:val="22"/>
          <w:u w:val="single"/>
          <w:lang w:val="en-US" w:eastAsia="zh-CN" w:bidi="ar-SA"/>
        </w:rPr>
        <w:t xml:space="preserve">                                                </w:t>
      </w:r>
    </w:p>
    <w:p w14:paraId="5060803F">
      <w:pPr>
        <w:widowControl w:val="0"/>
        <w:adjustRightInd w:val="0"/>
        <w:snapToGrid w:val="0"/>
        <w:spacing w:before="312" w:beforeLines="100" w:line="440" w:lineRule="exact"/>
        <w:ind w:firstLine="480" w:firstLineChars="200"/>
        <w:jc w:val="both"/>
        <w:rPr>
          <w:rFonts w:hint="eastAsia"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地址：</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 xml:space="preserve"> 邮编：</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 xml:space="preserve">  </w:t>
      </w:r>
    </w:p>
    <w:p w14:paraId="7A0C510A">
      <w:pPr>
        <w:widowControl w:val="0"/>
        <w:adjustRightInd w:val="0"/>
        <w:snapToGrid w:val="0"/>
        <w:spacing w:before="312" w:beforeLines="100" w:line="440" w:lineRule="exact"/>
        <w:ind w:firstLine="480" w:firstLineChars="200"/>
        <w:jc w:val="both"/>
        <w:rPr>
          <w:rFonts w:hint="eastAsia"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联系人：</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 xml:space="preserve"> 联系电话：</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 xml:space="preserve">  </w:t>
      </w:r>
    </w:p>
    <w:p w14:paraId="683036B2">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u w:val="single"/>
          <w:lang w:val="en-US" w:eastAsia="zh-CN" w:bidi="ar-SA"/>
        </w:rPr>
      </w:pPr>
      <w:r>
        <w:rPr>
          <w:rFonts w:hint="eastAsia" w:ascii="Times New Roman" w:hAnsi="Times New Roman" w:eastAsia="宋体" w:cs="Times New Roman"/>
          <w:color w:val="000000"/>
          <w:kern w:val="2"/>
          <w:sz w:val="24"/>
          <w:szCs w:val="22"/>
          <w:lang w:val="en-US" w:eastAsia="zh-CN" w:bidi="ar-SA"/>
        </w:rPr>
        <w:t>授权代表：</w:t>
      </w:r>
      <w:r>
        <w:rPr>
          <w:rFonts w:hint="eastAsia" w:ascii="Times New Roman" w:hAnsi="Times New Roman" w:eastAsia="宋体" w:cs="Times New Roman"/>
          <w:color w:val="000000"/>
          <w:kern w:val="2"/>
          <w:sz w:val="24"/>
          <w:szCs w:val="22"/>
          <w:u w:val="single"/>
          <w:lang w:val="en-US" w:eastAsia="zh-CN" w:bidi="ar-SA"/>
        </w:rPr>
        <w:t xml:space="preserve">                                                  </w:t>
      </w:r>
    </w:p>
    <w:p w14:paraId="7AD13DFA">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u w:val="single"/>
          <w:lang w:val="en-US" w:eastAsia="zh-CN" w:bidi="ar-SA"/>
        </w:rPr>
      </w:pPr>
      <w:r>
        <w:rPr>
          <w:rFonts w:hint="eastAsia" w:ascii="Times New Roman" w:hAnsi="Times New Roman" w:eastAsia="宋体" w:cs="Times New Roman"/>
          <w:color w:val="000000"/>
          <w:kern w:val="2"/>
          <w:sz w:val="24"/>
          <w:szCs w:val="22"/>
          <w:lang w:val="en-US" w:eastAsia="zh-CN" w:bidi="ar-SA"/>
        </w:rPr>
        <w:t>联系电话：</w:t>
      </w:r>
      <w:r>
        <w:rPr>
          <w:rFonts w:hint="eastAsia" w:ascii="Times New Roman" w:hAnsi="Times New Roman" w:eastAsia="宋体" w:cs="Times New Roman"/>
          <w:color w:val="000000"/>
          <w:kern w:val="2"/>
          <w:sz w:val="24"/>
          <w:szCs w:val="22"/>
          <w:u w:val="single"/>
          <w:lang w:val="en-US" w:eastAsia="zh-CN" w:bidi="ar-SA"/>
        </w:rPr>
        <w:t xml:space="preserve">                                                 </w:t>
      </w:r>
      <w:r>
        <w:rPr>
          <w:rFonts w:ascii="Times New Roman" w:hAnsi="Times New Roman" w:eastAsia="宋体" w:cs="Times New Roman"/>
          <w:color w:val="000000"/>
          <w:kern w:val="2"/>
          <w:sz w:val="24"/>
          <w:szCs w:val="22"/>
          <w:u w:val="single"/>
          <w:lang w:val="en-US" w:eastAsia="zh-CN" w:bidi="ar-SA"/>
        </w:rPr>
        <w:t xml:space="preserve"> </w:t>
      </w:r>
    </w:p>
    <w:p w14:paraId="779DCF3A">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地址：</w:t>
      </w:r>
      <w:r>
        <w:rPr>
          <w:rFonts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 xml:space="preserve"> 邮编：</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 xml:space="preserve">   </w:t>
      </w:r>
    </w:p>
    <w:p w14:paraId="0770D33E">
      <w:pPr>
        <w:widowControl w:val="0"/>
        <w:adjustRightInd w:val="0"/>
        <w:snapToGrid w:val="0"/>
        <w:spacing w:before="312" w:beforeLines="100" w:line="440" w:lineRule="exact"/>
        <w:ind w:firstLine="0" w:firstLineChars="0"/>
        <w:jc w:val="both"/>
        <w:outlineLvl w:val="1"/>
        <w:rPr>
          <w:rFonts w:ascii="黑体" w:hAnsi="黑体" w:eastAsia="黑体" w:cs="黑体"/>
          <w:color w:val="000000"/>
          <w:kern w:val="2"/>
          <w:sz w:val="24"/>
          <w:szCs w:val="22"/>
          <w:lang w:val="en-US" w:eastAsia="zh-CN" w:bidi="ar-SA"/>
        </w:rPr>
      </w:pPr>
      <w:bookmarkStart w:id="112" w:name="_Toc13088"/>
      <w:bookmarkStart w:id="113" w:name="_Toc9980"/>
      <w:bookmarkStart w:id="114" w:name="_Toc18018"/>
      <w:r>
        <w:rPr>
          <w:rFonts w:hint="eastAsia" w:ascii="黑体" w:hAnsi="黑体" w:eastAsia="黑体" w:cs="黑体"/>
          <w:color w:val="000000"/>
          <w:kern w:val="2"/>
          <w:sz w:val="24"/>
          <w:szCs w:val="22"/>
          <w:lang w:val="en-US" w:eastAsia="zh-CN" w:bidi="ar-SA"/>
        </w:rPr>
        <w:t>二、质疑项目基本情况</w:t>
      </w:r>
      <w:bookmarkEnd w:id="112"/>
      <w:bookmarkEnd w:id="113"/>
      <w:bookmarkEnd w:id="114"/>
    </w:p>
    <w:p w14:paraId="0C375023">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u w:val="single"/>
          <w:lang w:val="en-US" w:eastAsia="zh-CN" w:bidi="ar-SA"/>
        </w:rPr>
      </w:pPr>
      <w:r>
        <w:rPr>
          <w:rFonts w:hint="eastAsia" w:ascii="Times New Roman" w:hAnsi="Times New Roman" w:eastAsia="宋体" w:cs="Times New Roman"/>
          <w:color w:val="000000"/>
          <w:kern w:val="2"/>
          <w:sz w:val="24"/>
          <w:szCs w:val="22"/>
          <w:lang w:val="en-US" w:eastAsia="zh-CN" w:bidi="ar-SA"/>
        </w:rPr>
        <w:t>质疑项目的名称：</w:t>
      </w:r>
      <w:r>
        <w:rPr>
          <w:rFonts w:hint="eastAsia" w:ascii="Times New Roman" w:hAnsi="Times New Roman" w:eastAsia="宋体" w:cs="Times New Roman"/>
          <w:color w:val="000000"/>
          <w:kern w:val="2"/>
          <w:sz w:val="24"/>
          <w:szCs w:val="22"/>
          <w:u w:val="single"/>
          <w:lang w:val="en-US" w:eastAsia="zh-CN" w:bidi="ar-SA"/>
        </w:rPr>
        <w:t xml:space="preserve">                                            </w:t>
      </w:r>
    </w:p>
    <w:p w14:paraId="25F079BB">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u w:val="single"/>
          <w:lang w:val="en-US" w:eastAsia="zh-CN" w:bidi="ar-SA"/>
        </w:rPr>
      </w:pPr>
      <w:r>
        <w:rPr>
          <w:rFonts w:hint="eastAsia" w:ascii="Times New Roman" w:hAnsi="Times New Roman" w:eastAsia="宋体" w:cs="Times New Roman"/>
          <w:color w:val="000000"/>
          <w:kern w:val="2"/>
          <w:sz w:val="24"/>
          <w:szCs w:val="22"/>
          <w:lang w:val="en-US" w:eastAsia="zh-CN" w:bidi="ar-SA"/>
        </w:rPr>
        <w:t>质疑项目的编号：</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 xml:space="preserve"> 包号：</w:t>
      </w:r>
      <w:r>
        <w:rPr>
          <w:rFonts w:hint="eastAsia" w:ascii="Times New Roman" w:hAnsi="Times New Roman" w:eastAsia="宋体" w:cs="Times New Roman"/>
          <w:color w:val="000000"/>
          <w:kern w:val="2"/>
          <w:sz w:val="24"/>
          <w:szCs w:val="22"/>
          <w:u w:val="single"/>
          <w:lang w:val="en-US" w:eastAsia="zh-CN" w:bidi="ar-SA"/>
        </w:rPr>
        <w:t xml:space="preserve">                       </w:t>
      </w:r>
    </w:p>
    <w:p w14:paraId="1DEC573A">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u w:val="single"/>
          <w:lang w:val="en-US" w:eastAsia="zh-CN" w:bidi="ar-SA"/>
        </w:rPr>
      </w:pPr>
      <w:r>
        <w:rPr>
          <w:rFonts w:hint="eastAsia" w:ascii="Times New Roman" w:hAnsi="Times New Roman" w:eastAsia="宋体" w:cs="Times New Roman"/>
          <w:color w:val="000000"/>
          <w:kern w:val="2"/>
          <w:sz w:val="24"/>
          <w:szCs w:val="22"/>
          <w:lang w:val="en-US" w:eastAsia="zh-CN" w:bidi="ar-SA"/>
        </w:rPr>
        <w:t>采购人名称：</w:t>
      </w:r>
      <w:r>
        <w:rPr>
          <w:rFonts w:hint="eastAsia" w:ascii="Times New Roman" w:hAnsi="Times New Roman" w:eastAsia="宋体" w:cs="Times New Roman"/>
          <w:color w:val="000000"/>
          <w:kern w:val="2"/>
          <w:sz w:val="24"/>
          <w:szCs w:val="22"/>
          <w:u w:val="single"/>
          <w:lang w:val="en-US" w:eastAsia="zh-CN" w:bidi="ar-SA"/>
        </w:rPr>
        <w:t xml:space="preserve">                                                </w:t>
      </w:r>
    </w:p>
    <w:p w14:paraId="43077958">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采购文件获取日期：</w:t>
      </w:r>
      <w:r>
        <w:rPr>
          <w:rFonts w:hint="eastAsia" w:ascii="Times New Roman" w:hAnsi="Times New Roman" w:eastAsia="宋体" w:cs="Times New Roman"/>
          <w:color w:val="000000"/>
          <w:kern w:val="2"/>
          <w:sz w:val="24"/>
          <w:szCs w:val="22"/>
          <w:u w:val="single"/>
          <w:lang w:val="en-US" w:eastAsia="zh-CN" w:bidi="ar-SA"/>
        </w:rPr>
        <w:t xml:space="preserve">                                          </w:t>
      </w:r>
      <w:r>
        <w:rPr>
          <w:rFonts w:hint="eastAsia" w:ascii="Times New Roman" w:hAnsi="Times New Roman" w:eastAsia="宋体" w:cs="Times New Roman"/>
          <w:color w:val="000000"/>
          <w:kern w:val="2"/>
          <w:sz w:val="24"/>
          <w:szCs w:val="22"/>
          <w:lang w:val="en-US" w:eastAsia="zh-CN" w:bidi="ar-SA"/>
        </w:rPr>
        <w:t xml:space="preserve"> </w:t>
      </w:r>
    </w:p>
    <w:p w14:paraId="1C850E84">
      <w:pPr>
        <w:widowControl w:val="0"/>
        <w:adjustRightInd w:val="0"/>
        <w:snapToGrid w:val="0"/>
        <w:spacing w:before="312" w:beforeLines="100" w:line="440" w:lineRule="exact"/>
        <w:ind w:firstLine="0" w:firstLineChars="0"/>
        <w:jc w:val="both"/>
        <w:outlineLvl w:val="1"/>
        <w:rPr>
          <w:rFonts w:ascii="黑体" w:hAnsi="黑体" w:eastAsia="黑体" w:cs="黑体"/>
          <w:color w:val="000000"/>
          <w:kern w:val="2"/>
          <w:sz w:val="24"/>
          <w:szCs w:val="22"/>
          <w:lang w:val="en-US" w:eastAsia="zh-CN" w:bidi="ar-SA"/>
        </w:rPr>
      </w:pPr>
      <w:bookmarkStart w:id="115" w:name="_Toc28837"/>
      <w:bookmarkStart w:id="116" w:name="_Toc19718"/>
      <w:bookmarkStart w:id="117" w:name="_Toc18717"/>
      <w:r>
        <w:rPr>
          <w:rFonts w:hint="eastAsia" w:ascii="黑体" w:hAnsi="黑体" w:eastAsia="黑体" w:cs="黑体"/>
          <w:color w:val="000000"/>
          <w:kern w:val="2"/>
          <w:sz w:val="24"/>
          <w:szCs w:val="22"/>
          <w:lang w:val="en-US" w:eastAsia="zh-CN" w:bidi="ar-SA"/>
        </w:rPr>
        <w:t>三、质疑事项具体内容</w:t>
      </w:r>
      <w:bookmarkEnd w:id="115"/>
      <w:bookmarkEnd w:id="116"/>
      <w:bookmarkEnd w:id="117"/>
    </w:p>
    <w:p w14:paraId="09FD5DE6">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 xml:space="preserve">质疑事项：                                         </w:t>
      </w:r>
    </w:p>
    <w:p w14:paraId="23AB2F17">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 xml:space="preserve">事实依据：                                </w:t>
      </w:r>
    </w:p>
    <w:p w14:paraId="78DF3189">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 xml:space="preserve">法律依据：                                             </w:t>
      </w:r>
    </w:p>
    <w:p w14:paraId="125D0880">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质疑事项2：</w:t>
      </w:r>
    </w:p>
    <w:p w14:paraId="32BE7EF9">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w:t>
      </w:r>
    </w:p>
    <w:p w14:paraId="329CC42A">
      <w:pPr>
        <w:widowControl w:val="0"/>
        <w:adjustRightInd w:val="0"/>
        <w:snapToGrid w:val="0"/>
        <w:spacing w:before="312" w:beforeLines="100" w:line="440" w:lineRule="exact"/>
        <w:ind w:firstLine="0" w:firstLineChars="0"/>
        <w:jc w:val="both"/>
        <w:outlineLvl w:val="1"/>
        <w:rPr>
          <w:rFonts w:ascii="黑体" w:hAnsi="黑体" w:eastAsia="黑体" w:cs="黑体"/>
          <w:color w:val="000000"/>
          <w:kern w:val="2"/>
          <w:sz w:val="24"/>
          <w:szCs w:val="22"/>
          <w:lang w:val="en-US" w:eastAsia="zh-CN" w:bidi="ar-SA"/>
        </w:rPr>
      </w:pPr>
      <w:bookmarkStart w:id="118" w:name="_Toc31098"/>
      <w:bookmarkStart w:id="119" w:name="_Toc12956"/>
      <w:bookmarkStart w:id="120" w:name="_Toc24660"/>
      <w:r>
        <w:rPr>
          <w:rFonts w:hint="eastAsia" w:ascii="黑体" w:hAnsi="黑体" w:eastAsia="黑体" w:cs="黑体"/>
          <w:color w:val="000000"/>
          <w:kern w:val="2"/>
          <w:sz w:val="24"/>
          <w:szCs w:val="22"/>
          <w:lang w:val="en-US" w:eastAsia="zh-CN" w:bidi="ar-SA"/>
        </w:rPr>
        <w:t>四、与质疑事项相关的质疑请求</w:t>
      </w:r>
      <w:bookmarkEnd w:id="118"/>
      <w:bookmarkEnd w:id="119"/>
      <w:bookmarkEnd w:id="120"/>
    </w:p>
    <w:p w14:paraId="33AE3933">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 xml:space="preserve">请求：                                               </w:t>
      </w:r>
    </w:p>
    <w:p w14:paraId="0B28E5A5">
      <w:pPr>
        <w:widowControl w:val="0"/>
        <w:adjustRightInd w:val="0"/>
        <w:snapToGrid w:val="0"/>
        <w:spacing w:before="312" w:beforeLines="100" w:line="440" w:lineRule="exact"/>
        <w:ind w:firstLine="480" w:firstLineChars="200"/>
        <w:jc w:val="both"/>
        <w:rPr>
          <w:rFonts w:ascii="Times New Roman" w:hAnsi="Times New Roman" w:eastAsia="宋体" w:cs="Times New Roman"/>
          <w:color w:val="000000"/>
          <w:kern w:val="2"/>
          <w:sz w:val="24"/>
          <w:szCs w:val="22"/>
          <w:lang w:val="en-US" w:eastAsia="zh-CN" w:bidi="ar-SA"/>
        </w:rPr>
      </w:pPr>
    </w:p>
    <w:p w14:paraId="27489806">
      <w:pPr>
        <w:widowControl w:val="0"/>
        <w:adjustRightInd w:val="0"/>
        <w:snapToGrid w:val="0"/>
        <w:spacing w:before="312" w:beforeLines="100" w:line="440" w:lineRule="exact"/>
        <w:ind w:firstLine="480" w:firstLineChars="200"/>
        <w:jc w:val="center"/>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 xml:space="preserve">                                      签章（签字或盖章）：       </w:t>
      </w:r>
    </w:p>
    <w:p w14:paraId="4CEF227C">
      <w:pPr>
        <w:widowControl w:val="0"/>
        <w:adjustRightInd w:val="0"/>
        <w:snapToGrid w:val="0"/>
        <w:spacing w:before="312" w:beforeLines="100" w:line="440" w:lineRule="exact"/>
        <w:ind w:firstLine="480" w:firstLineChars="200"/>
        <w:jc w:val="center"/>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 xml:space="preserve">                                       单位名称（公章）：     </w:t>
      </w:r>
    </w:p>
    <w:p w14:paraId="1CCE6E6C">
      <w:pPr>
        <w:widowControl w:val="0"/>
        <w:adjustRightInd w:val="0"/>
        <w:snapToGrid w:val="0"/>
        <w:spacing w:before="312" w:beforeLines="100" w:line="440" w:lineRule="exact"/>
        <w:ind w:firstLine="480" w:firstLineChars="200"/>
        <w:jc w:val="center"/>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 xml:space="preserve">                            日期：  </w:t>
      </w:r>
    </w:p>
    <w:p w14:paraId="12EAC4D5">
      <w:pPr>
        <w:rPr>
          <w:rFonts w:ascii="黑体" w:hAnsi="黑体" w:eastAsia="黑体" w:cs="黑体"/>
          <w:color w:val="000000"/>
          <w:sz w:val="24"/>
          <w:szCs w:val="22"/>
        </w:rPr>
      </w:pPr>
    </w:p>
    <w:p w14:paraId="67271DCC">
      <w:pPr>
        <w:rPr>
          <w:rFonts w:ascii="黑体" w:hAnsi="黑体" w:eastAsia="黑体" w:cs="黑体"/>
          <w:color w:val="000000"/>
          <w:sz w:val="24"/>
          <w:szCs w:val="22"/>
        </w:rPr>
      </w:pPr>
    </w:p>
    <w:p w14:paraId="2A89661D">
      <w:pPr>
        <w:rPr>
          <w:rFonts w:ascii="黑体" w:hAnsi="黑体" w:eastAsia="黑体" w:cs="黑体"/>
          <w:color w:val="000000"/>
          <w:sz w:val="24"/>
          <w:szCs w:val="22"/>
        </w:rPr>
      </w:pPr>
      <w:r>
        <w:rPr>
          <w:rFonts w:hint="eastAsia" w:ascii="黑体" w:hAnsi="黑体" w:eastAsia="黑体" w:cs="黑体"/>
          <w:color w:val="000000"/>
          <w:sz w:val="24"/>
          <w:szCs w:val="22"/>
        </w:rPr>
        <w:t>质疑函制作说明：</w:t>
      </w:r>
    </w:p>
    <w:p w14:paraId="1662ADF8">
      <w:pPr>
        <w:widowControl w:val="0"/>
        <w:numPr>
          <w:ilvl w:val="0"/>
          <w:numId w:val="15"/>
        </w:numPr>
        <w:adjustRightInd w:val="0"/>
        <w:snapToGrid w:val="0"/>
        <w:spacing w:before="312" w:beforeLines="100" w:line="440" w:lineRule="exact"/>
        <w:ind w:left="0" w:firstLine="400" w:firstLineChars="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供应商提出质疑时，应提交质疑函和必要的证明材料。</w:t>
      </w:r>
    </w:p>
    <w:p w14:paraId="18228C51">
      <w:pPr>
        <w:widowControl w:val="0"/>
        <w:numPr>
          <w:ilvl w:val="0"/>
          <w:numId w:val="15"/>
        </w:numPr>
        <w:adjustRightInd w:val="0"/>
        <w:snapToGrid w:val="0"/>
        <w:spacing w:before="312" w:beforeLines="100" w:line="440" w:lineRule="exact"/>
        <w:ind w:left="0" w:firstLine="400" w:firstLineChars="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B6AD557">
      <w:pPr>
        <w:widowControl w:val="0"/>
        <w:numPr>
          <w:ilvl w:val="0"/>
          <w:numId w:val="15"/>
        </w:numPr>
        <w:adjustRightInd w:val="0"/>
        <w:snapToGrid w:val="0"/>
        <w:spacing w:before="312" w:beforeLines="100" w:line="440" w:lineRule="exact"/>
        <w:ind w:left="0" w:firstLine="400" w:firstLineChars="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质疑供应商若对项目的某一分包进行质疑，质疑函中应列明具体分包号。</w:t>
      </w:r>
    </w:p>
    <w:p w14:paraId="21F4E354">
      <w:pPr>
        <w:widowControl w:val="0"/>
        <w:numPr>
          <w:ilvl w:val="0"/>
          <w:numId w:val="15"/>
        </w:numPr>
        <w:adjustRightInd w:val="0"/>
        <w:snapToGrid w:val="0"/>
        <w:spacing w:before="312" w:beforeLines="100" w:line="440" w:lineRule="exact"/>
        <w:ind w:left="0" w:firstLine="400" w:firstLineChars="0"/>
        <w:jc w:val="both"/>
        <w:rPr>
          <w:rFonts w:ascii="Times New Roman" w:hAnsi="Times New Roman" w:eastAsia="宋体" w:cs="Times New Roman"/>
          <w:color w:val="000000"/>
          <w:kern w:val="2"/>
          <w:sz w:val="24"/>
          <w:szCs w:val="22"/>
          <w:lang w:val="en-US" w:eastAsia="zh-CN" w:bidi="ar-SA"/>
        </w:rPr>
      </w:pPr>
      <w:r>
        <w:rPr>
          <w:rFonts w:hint="eastAsia" w:ascii="Times New Roman" w:hAnsi="Times New Roman" w:eastAsia="宋体" w:cs="Times New Roman"/>
          <w:color w:val="000000"/>
          <w:kern w:val="2"/>
          <w:sz w:val="24"/>
          <w:szCs w:val="22"/>
          <w:lang w:val="en-US" w:eastAsia="zh-CN" w:bidi="ar-SA"/>
        </w:rPr>
        <w:t>质疑函的质疑事项应具体、明确，并有必要的事实依据和法律依据。</w:t>
      </w:r>
    </w:p>
    <w:p w14:paraId="5E529B0B">
      <w:pPr>
        <w:widowControl w:val="0"/>
        <w:numPr>
          <w:ilvl w:val="0"/>
          <w:numId w:val="15"/>
        </w:numPr>
        <w:adjustRightInd w:val="0"/>
        <w:snapToGrid w:val="0"/>
        <w:spacing w:before="312" w:beforeLines="100" w:line="440" w:lineRule="exact"/>
        <w:ind w:left="0" w:firstLine="400" w:firstLineChars="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质疑函的质疑请求应与质疑事项相关。</w:t>
      </w:r>
    </w:p>
    <w:p w14:paraId="2B8B7B46">
      <w:pPr>
        <w:numPr>
          <w:ilvl w:val="0"/>
          <w:numId w:val="15"/>
        </w:numPr>
        <w:spacing w:before="312"/>
        <w:ind w:firstLineChars="0"/>
      </w:pPr>
      <w:r>
        <w:rPr>
          <w:rFonts w:hint="eastAsia" w:ascii="Times New Roman" w:hAnsi="Times New Roman" w:eastAsia="宋体" w:cs="Times New Roman"/>
          <w:color w:val="auto"/>
          <w:kern w:val="2"/>
          <w:sz w:val="24"/>
          <w:szCs w:val="22"/>
          <w:lang w:val="en-US" w:eastAsia="zh-CN" w:bidi="ar-SA"/>
        </w:rPr>
        <w:t>质疑供应商为自然人的，质疑函应由本人签字；质疑供应商为法人或者其他组织的，质疑函应由法定代表人、主要负责人，或者其授权代表签字或者盖章，并加盖公章。</w:t>
      </w:r>
      <w:r>
        <w:rPr>
          <w:sz w:val="21"/>
        </w:rPr>
        <mc:AlternateContent>
          <mc:Choice Requires="wpg">
            <w:drawing>
              <wp:anchor distT="0" distB="0" distL="114300" distR="114300" simplePos="0" relativeHeight="251660288" behindDoc="0" locked="0" layoutInCell="1" allowOverlap="1">
                <wp:simplePos x="0" y="0"/>
                <wp:positionH relativeFrom="column">
                  <wp:posOffset>-327025</wp:posOffset>
                </wp:positionH>
                <wp:positionV relativeFrom="paragraph">
                  <wp:posOffset>7487285</wp:posOffset>
                </wp:positionV>
                <wp:extent cx="256540" cy="1242060"/>
                <wp:effectExtent l="0" t="0" r="10160" b="15240"/>
                <wp:wrapNone/>
                <wp:docPr id="50" name="组合 50"/>
                <wp:cNvGraphicFramePr/>
                <a:graphic xmlns:a="http://schemas.openxmlformats.org/drawingml/2006/main">
                  <a:graphicData uri="http://schemas.microsoft.com/office/word/2010/wordprocessingGroup">
                    <wpg:wgp>
                      <wpg:cNvGrpSpPr/>
                      <wpg:grpSpPr>
                        <a:xfrm rot="0">
                          <a:off x="645160" y="8657590"/>
                          <a:ext cx="256540" cy="1242060"/>
                          <a:chOff x="598844" y="7865188"/>
                          <a:chExt cx="234604" cy="1136113"/>
                        </a:xfrm>
                      </wpg:grpSpPr>
                      <wps:wsp>
                        <wps:cNvPr id="52" name="椭圆 52"/>
                        <wps:cNvSpPr/>
                        <wps:spPr>
                          <a:xfrm>
                            <a:off x="598844" y="8165691"/>
                            <a:ext cx="234604" cy="234604"/>
                          </a:xfrm>
                          <a:prstGeom prst="ellipse">
                            <a:avLst/>
                          </a:prstGeom>
                          <a:solidFill>
                            <a:srgbClr val="FFFFFF"/>
                          </a:solidFill>
                          <a:ln w="12700" cap="flat" cmpd="sng" algn="ctr">
                            <a:no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 name="椭圆 55"/>
                        <wps:cNvSpPr/>
                        <wps:spPr>
                          <a:xfrm>
                            <a:off x="598844" y="8466194"/>
                            <a:ext cx="234604" cy="234604"/>
                          </a:xfrm>
                          <a:prstGeom prst="ellipse">
                            <a:avLst/>
                          </a:prstGeom>
                          <a:solidFill>
                            <a:srgbClr val="FFFFFF"/>
                          </a:solidFill>
                          <a:ln w="12700" cap="flat" cmpd="sng" algn="ctr">
                            <a:no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57" name="组合 57"/>
                        <wpg:cNvGrpSpPr/>
                        <wpg:grpSpPr>
                          <a:xfrm>
                            <a:off x="598844" y="8766697"/>
                            <a:ext cx="234604" cy="234604"/>
                            <a:chOff x="598844" y="8766697"/>
                            <a:chExt cx="280820" cy="280820"/>
                          </a:xfrm>
                        </wpg:grpSpPr>
                        <wps:wsp>
                          <wps:cNvPr id="58" name="椭圆 58"/>
                          <wps:cNvSpPr/>
                          <wps:spPr>
                            <a:xfrm>
                              <a:off x="598844" y="8766697"/>
                              <a:ext cx="280820" cy="280820"/>
                            </a:xfrm>
                            <a:prstGeom prst="ellipse">
                              <a:avLst/>
                            </a:prstGeom>
                            <a:solidFill>
                              <a:srgbClr val="FFFFFF"/>
                            </a:solidFill>
                            <a:ln w="12700" cap="flat" cmpd="sng" algn="ctr">
                              <a:no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59" name="组合 59"/>
                          <wpg:cNvGrpSpPr/>
                          <wpg:grpSpPr>
                            <a:xfrm>
                              <a:off x="685674" y="8839152"/>
                              <a:ext cx="83104" cy="52486"/>
                              <a:chOff x="685674" y="8839152"/>
                              <a:chExt cx="83104" cy="52486"/>
                            </a:xfrm>
                            <a:solidFill>
                              <a:srgbClr val="FFFFFF"/>
                            </a:solidFill>
                          </wpg:grpSpPr>
                          <wps:wsp>
                            <wps:cNvPr id="60" name="Freeform 46"/>
                            <wps:cNvSpPr/>
                            <wps:spPr bwMode="auto">
                              <a:xfrm>
                                <a:off x="696609" y="8889451"/>
                                <a:ext cx="4374" cy="2187"/>
                              </a:xfrm>
                              <a:custGeom>
                                <a:avLst/>
                                <a:gdLst>
                                  <a:gd name="T0" fmla="*/ 0 w 1"/>
                                  <a:gd name="T1" fmla="*/ 0 h 1"/>
                                  <a:gd name="T2" fmla="*/ 0 w 1"/>
                                  <a:gd name="T3" fmla="*/ 1 h 1"/>
                                  <a:gd name="T4" fmla="*/ 0 w 1"/>
                                  <a:gd name="T5" fmla="*/ 1 h 1"/>
                                  <a:gd name="T6" fmla="*/ 1 w 1"/>
                                  <a:gd name="T7" fmla="*/ 1 h 1"/>
                                  <a:gd name="T8" fmla="*/ 0 w 1"/>
                                  <a:gd name="T9" fmla="*/ 0 h 1"/>
                                </a:gdLst>
                                <a:ahLst/>
                                <a:cxnLst>
                                  <a:cxn ang="0">
                                    <a:pos x="T0" y="T1"/>
                                  </a:cxn>
                                  <a:cxn ang="0">
                                    <a:pos x="T2" y="T3"/>
                                  </a:cxn>
                                  <a:cxn ang="0">
                                    <a:pos x="T4" y="T5"/>
                                  </a:cxn>
                                  <a:cxn ang="0">
                                    <a:pos x="T6" y="T7"/>
                                  </a:cxn>
                                  <a:cxn ang="0">
                                    <a:pos x="T8" y="T9"/>
                                  </a:cxn>
                                </a:cxnLst>
                                <a:rect l="0" t="0" r="r" b="b"/>
                                <a:pathLst>
                                  <a:path w="1" h="1">
                                    <a:moveTo>
                                      <a:pt x="0" y="0"/>
                                    </a:moveTo>
                                    <a:cubicBezTo>
                                      <a:pt x="0" y="1"/>
                                      <a:pt x="0" y="1"/>
                                      <a:pt x="0" y="1"/>
                                    </a:cubicBezTo>
                                    <a:cubicBezTo>
                                      <a:pt x="0" y="1"/>
                                      <a:pt x="0" y="1"/>
                                      <a:pt x="0" y="1"/>
                                    </a:cubicBezTo>
                                    <a:cubicBezTo>
                                      <a:pt x="0" y="1"/>
                                      <a:pt x="1" y="1"/>
                                      <a:pt x="1" y="1"/>
                                    </a:cubicBezTo>
                                    <a:cubicBezTo>
                                      <a:pt x="1" y="0"/>
                                      <a:pt x="0" y="0"/>
                                      <a:pt x="0" y="0"/>
                                    </a:cubicBezTo>
                                    <a:close/>
                                  </a:path>
                                </a:pathLst>
                              </a:custGeom>
                              <a:grpFill/>
                              <a:ln>
                                <a:noFill/>
                              </a:ln>
                            </wps:spPr>
                            <wps:bodyPr vert="horz" wrap="square" lIns="91440" tIns="45720" rIns="91440" bIns="45720" numCol="1" anchor="t" anchorCtr="0" compatLnSpc="1"/>
                          </wps:wsp>
                          <wps:wsp>
                            <wps:cNvPr id="61" name="Freeform 47"/>
                            <wps:cNvSpPr/>
                            <wps:spPr bwMode="auto">
                              <a:xfrm>
                                <a:off x="746909" y="8839152"/>
                                <a:ext cx="10935" cy="2187"/>
                              </a:xfrm>
                              <a:custGeom>
                                <a:avLst/>
                                <a:gdLst>
                                  <a:gd name="T0" fmla="*/ 2 w 3"/>
                                  <a:gd name="T1" fmla="*/ 1 h 1"/>
                                  <a:gd name="T2" fmla="*/ 2 w 3"/>
                                  <a:gd name="T3" fmla="*/ 0 h 1"/>
                                  <a:gd name="T4" fmla="*/ 0 w 3"/>
                                  <a:gd name="T5" fmla="*/ 0 h 1"/>
                                  <a:gd name="T6" fmla="*/ 1 w 3"/>
                                  <a:gd name="T7" fmla="*/ 1 h 1"/>
                                  <a:gd name="T8" fmla="*/ 2 w 3"/>
                                  <a:gd name="T9" fmla="*/ 1 h 1"/>
                                </a:gdLst>
                                <a:ahLst/>
                                <a:cxnLst>
                                  <a:cxn ang="0">
                                    <a:pos x="T0" y="T1"/>
                                  </a:cxn>
                                  <a:cxn ang="0">
                                    <a:pos x="T2" y="T3"/>
                                  </a:cxn>
                                  <a:cxn ang="0">
                                    <a:pos x="T4" y="T5"/>
                                  </a:cxn>
                                  <a:cxn ang="0">
                                    <a:pos x="T6" y="T7"/>
                                  </a:cxn>
                                  <a:cxn ang="0">
                                    <a:pos x="T8" y="T9"/>
                                  </a:cxn>
                                </a:cxnLst>
                                <a:rect l="0" t="0" r="r" b="b"/>
                                <a:pathLst>
                                  <a:path w="3" h="1">
                                    <a:moveTo>
                                      <a:pt x="2" y="1"/>
                                    </a:moveTo>
                                    <a:cubicBezTo>
                                      <a:pt x="2" y="1"/>
                                      <a:pt x="3" y="0"/>
                                      <a:pt x="2" y="0"/>
                                    </a:cubicBezTo>
                                    <a:cubicBezTo>
                                      <a:pt x="2" y="0"/>
                                      <a:pt x="1" y="0"/>
                                      <a:pt x="0" y="0"/>
                                    </a:cubicBezTo>
                                    <a:cubicBezTo>
                                      <a:pt x="0" y="1"/>
                                      <a:pt x="1" y="1"/>
                                      <a:pt x="1" y="1"/>
                                    </a:cubicBezTo>
                                    <a:cubicBezTo>
                                      <a:pt x="1" y="1"/>
                                      <a:pt x="1" y="1"/>
                                      <a:pt x="2" y="1"/>
                                    </a:cubicBezTo>
                                    <a:close/>
                                  </a:path>
                                </a:pathLst>
                              </a:custGeom>
                              <a:grpFill/>
                              <a:ln>
                                <a:noFill/>
                              </a:ln>
                            </wps:spPr>
                            <wps:bodyPr vert="horz" wrap="square" lIns="91440" tIns="45720" rIns="91440" bIns="45720" numCol="1" anchor="t" anchorCtr="0" compatLnSpc="1"/>
                          </wps:wsp>
                          <wps:wsp>
                            <wps:cNvPr id="62" name="Freeform 48"/>
                            <wps:cNvSpPr/>
                            <wps:spPr bwMode="auto">
                              <a:xfrm>
                                <a:off x="757843" y="8850086"/>
                                <a:ext cx="4374" cy="6561"/>
                              </a:xfrm>
                              <a:custGeom>
                                <a:avLst/>
                                <a:gdLst>
                                  <a:gd name="T0" fmla="*/ 0 w 1"/>
                                  <a:gd name="T1" fmla="*/ 1 h 2"/>
                                  <a:gd name="T2" fmla="*/ 1 w 1"/>
                                  <a:gd name="T3" fmla="*/ 0 h 2"/>
                                  <a:gd name="T4" fmla="*/ 0 w 1"/>
                                  <a:gd name="T5" fmla="*/ 1 h 2"/>
                                  <a:gd name="T6" fmla="*/ 0 w 1"/>
                                  <a:gd name="T7" fmla="*/ 1 h 2"/>
                                </a:gdLst>
                                <a:ahLst/>
                                <a:cxnLst>
                                  <a:cxn ang="0">
                                    <a:pos x="T0" y="T1"/>
                                  </a:cxn>
                                  <a:cxn ang="0">
                                    <a:pos x="T2" y="T3"/>
                                  </a:cxn>
                                  <a:cxn ang="0">
                                    <a:pos x="T4" y="T5"/>
                                  </a:cxn>
                                  <a:cxn ang="0">
                                    <a:pos x="T6" y="T7"/>
                                  </a:cxn>
                                </a:cxnLst>
                                <a:rect l="0" t="0" r="r" b="b"/>
                                <a:pathLst>
                                  <a:path w="1" h="2">
                                    <a:moveTo>
                                      <a:pt x="0" y="1"/>
                                    </a:moveTo>
                                    <a:cubicBezTo>
                                      <a:pt x="1" y="1"/>
                                      <a:pt x="1" y="1"/>
                                      <a:pt x="1" y="0"/>
                                    </a:cubicBezTo>
                                    <a:cubicBezTo>
                                      <a:pt x="0" y="0"/>
                                      <a:pt x="0" y="1"/>
                                      <a:pt x="0" y="1"/>
                                    </a:cubicBezTo>
                                    <a:cubicBezTo>
                                      <a:pt x="0" y="2"/>
                                      <a:pt x="0" y="2"/>
                                      <a:pt x="0" y="1"/>
                                    </a:cubicBezTo>
                                    <a:close/>
                                  </a:path>
                                </a:pathLst>
                              </a:custGeom>
                              <a:grpFill/>
                              <a:ln>
                                <a:noFill/>
                              </a:ln>
                            </wps:spPr>
                            <wps:bodyPr vert="horz" wrap="square" lIns="91440" tIns="45720" rIns="91440" bIns="45720" numCol="1" anchor="t" anchorCtr="0" compatLnSpc="1"/>
                          </wps:wsp>
                          <wps:wsp>
                            <wps:cNvPr id="63" name="Freeform 49"/>
                            <wps:cNvSpPr/>
                            <wps:spPr bwMode="auto">
                              <a:xfrm>
                                <a:off x="685674" y="8885077"/>
                                <a:ext cx="10935" cy="4374"/>
                              </a:xfrm>
                              <a:custGeom>
                                <a:avLst/>
                                <a:gdLst>
                                  <a:gd name="T0" fmla="*/ 3 w 3"/>
                                  <a:gd name="T1" fmla="*/ 1 h 1"/>
                                  <a:gd name="T2" fmla="*/ 0 w 3"/>
                                  <a:gd name="T3" fmla="*/ 1 h 1"/>
                                  <a:gd name="T4" fmla="*/ 1 w 3"/>
                                  <a:gd name="T5" fmla="*/ 1 h 1"/>
                                  <a:gd name="T6" fmla="*/ 2 w 3"/>
                                  <a:gd name="T7" fmla="*/ 1 h 1"/>
                                  <a:gd name="T8" fmla="*/ 3 w 3"/>
                                  <a:gd name="T9" fmla="*/ 1 h 1"/>
                                </a:gdLst>
                                <a:ahLst/>
                                <a:cxnLst>
                                  <a:cxn ang="0">
                                    <a:pos x="T0" y="T1"/>
                                  </a:cxn>
                                  <a:cxn ang="0">
                                    <a:pos x="T2" y="T3"/>
                                  </a:cxn>
                                  <a:cxn ang="0">
                                    <a:pos x="T4" y="T5"/>
                                  </a:cxn>
                                  <a:cxn ang="0">
                                    <a:pos x="T6" y="T7"/>
                                  </a:cxn>
                                  <a:cxn ang="0">
                                    <a:pos x="T8" y="T9"/>
                                  </a:cxn>
                                </a:cxnLst>
                                <a:rect l="0" t="0" r="r" b="b"/>
                                <a:pathLst>
                                  <a:path w="3" h="1">
                                    <a:moveTo>
                                      <a:pt x="3" y="1"/>
                                    </a:moveTo>
                                    <a:cubicBezTo>
                                      <a:pt x="3" y="1"/>
                                      <a:pt x="0" y="0"/>
                                      <a:pt x="0" y="1"/>
                                    </a:cubicBezTo>
                                    <a:cubicBezTo>
                                      <a:pt x="0" y="0"/>
                                      <a:pt x="1" y="1"/>
                                      <a:pt x="1" y="1"/>
                                    </a:cubicBezTo>
                                    <a:cubicBezTo>
                                      <a:pt x="2" y="1"/>
                                      <a:pt x="2" y="1"/>
                                      <a:pt x="2" y="1"/>
                                    </a:cubicBezTo>
                                    <a:cubicBezTo>
                                      <a:pt x="2" y="1"/>
                                      <a:pt x="3" y="1"/>
                                      <a:pt x="3" y="1"/>
                                    </a:cubicBezTo>
                                    <a:close/>
                                  </a:path>
                                </a:pathLst>
                              </a:custGeom>
                              <a:grpFill/>
                              <a:ln>
                                <a:noFill/>
                              </a:ln>
                            </wps:spPr>
                            <wps:bodyPr vert="horz" wrap="square" lIns="91440" tIns="45720" rIns="91440" bIns="45720" numCol="1" anchor="t" anchorCtr="0" compatLnSpc="1"/>
                          </wps:wsp>
                          <wps:wsp>
                            <wps:cNvPr id="64" name="Freeform 50"/>
                            <wps:cNvSpPr/>
                            <wps:spPr bwMode="auto">
                              <a:xfrm>
                                <a:off x="762217" y="8845712"/>
                                <a:ext cx="6561" cy="10935"/>
                              </a:xfrm>
                              <a:custGeom>
                                <a:avLst/>
                                <a:gdLst>
                                  <a:gd name="T0" fmla="*/ 0 w 2"/>
                                  <a:gd name="T1" fmla="*/ 1 h 3"/>
                                  <a:gd name="T2" fmla="*/ 0 w 2"/>
                                  <a:gd name="T3" fmla="*/ 2 h 3"/>
                                  <a:gd name="T4" fmla="*/ 0 w 2"/>
                                  <a:gd name="T5" fmla="*/ 2 h 3"/>
                                  <a:gd name="T6" fmla="*/ 0 w 2"/>
                                  <a:gd name="T7" fmla="*/ 3 h 3"/>
                                  <a:gd name="T8" fmla="*/ 0 w 2"/>
                                  <a:gd name="T9" fmla="*/ 3 h 3"/>
                                  <a:gd name="T10" fmla="*/ 0 w 2"/>
                                  <a:gd name="T11" fmla="*/ 3 h 3"/>
                                  <a:gd name="T12" fmla="*/ 1 w 2"/>
                                  <a:gd name="T13" fmla="*/ 3 h 3"/>
                                  <a:gd name="T14" fmla="*/ 1 w 2"/>
                                  <a:gd name="T15" fmla="*/ 2 h 3"/>
                                  <a:gd name="T16" fmla="*/ 1 w 2"/>
                                  <a:gd name="T17" fmla="*/ 2 h 3"/>
                                  <a:gd name="T18" fmla="*/ 1 w 2"/>
                                  <a:gd name="T19" fmla="*/ 1 h 3"/>
                                  <a:gd name="T20" fmla="*/ 1 w 2"/>
                                  <a:gd name="T21" fmla="*/ 1 h 3"/>
                                  <a:gd name="T22" fmla="*/ 1 w 2"/>
                                  <a:gd name="T23" fmla="*/ 0 h 3"/>
                                  <a:gd name="T24" fmla="*/ 0 w 2"/>
                                  <a:gd name="T25" fmla="*/ 1 h 3"/>
                                  <a:gd name="T26" fmla="*/ 0 w 2"/>
                                  <a:gd name="T27" fmla="*/ 1 h 3"/>
                                  <a:gd name="T28" fmla="*/ 0 w 2"/>
                                  <a:gd name="T29" fmla="*/ 1 h 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 h="3">
                                    <a:moveTo>
                                      <a:pt x="0" y="1"/>
                                    </a:moveTo>
                                    <a:cubicBezTo>
                                      <a:pt x="0" y="1"/>
                                      <a:pt x="1" y="2"/>
                                      <a:pt x="0" y="2"/>
                                    </a:cubicBezTo>
                                    <a:cubicBezTo>
                                      <a:pt x="0" y="2"/>
                                      <a:pt x="0" y="2"/>
                                      <a:pt x="0" y="2"/>
                                    </a:cubicBezTo>
                                    <a:cubicBezTo>
                                      <a:pt x="0" y="2"/>
                                      <a:pt x="0" y="3"/>
                                      <a:pt x="0" y="3"/>
                                    </a:cubicBezTo>
                                    <a:cubicBezTo>
                                      <a:pt x="0" y="3"/>
                                      <a:pt x="0" y="3"/>
                                      <a:pt x="0" y="3"/>
                                    </a:cubicBezTo>
                                    <a:cubicBezTo>
                                      <a:pt x="0" y="3"/>
                                      <a:pt x="0" y="3"/>
                                      <a:pt x="0" y="3"/>
                                    </a:cubicBezTo>
                                    <a:cubicBezTo>
                                      <a:pt x="0" y="3"/>
                                      <a:pt x="2" y="3"/>
                                      <a:pt x="1" y="3"/>
                                    </a:cubicBezTo>
                                    <a:cubicBezTo>
                                      <a:pt x="1" y="2"/>
                                      <a:pt x="2" y="2"/>
                                      <a:pt x="1" y="2"/>
                                    </a:cubicBezTo>
                                    <a:cubicBezTo>
                                      <a:pt x="1" y="2"/>
                                      <a:pt x="1" y="2"/>
                                      <a:pt x="1" y="2"/>
                                    </a:cubicBezTo>
                                    <a:cubicBezTo>
                                      <a:pt x="1" y="1"/>
                                      <a:pt x="1" y="1"/>
                                      <a:pt x="1" y="1"/>
                                    </a:cubicBezTo>
                                    <a:cubicBezTo>
                                      <a:pt x="1" y="1"/>
                                      <a:pt x="1" y="1"/>
                                      <a:pt x="1" y="1"/>
                                    </a:cubicBezTo>
                                    <a:cubicBezTo>
                                      <a:pt x="1" y="0"/>
                                      <a:pt x="1" y="0"/>
                                      <a:pt x="1" y="0"/>
                                    </a:cubicBezTo>
                                    <a:cubicBezTo>
                                      <a:pt x="0" y="0"/>
                                      <a:pt x="0" y="1"/>
                                      <a:pt x="0" y="1"/>
                                    </a:cubicBezTo>
                                    <a:cubicBezTo>
                                      <a:pt x="0" y="1"/>
                                      <a:pt x="0" y="1"/>
                                      <a:pt x="0" y="1"/>
                                    </a:cubicBezTo>
                                    <a:cubicBezTo>
                                      <a:pt x="0" y="1"/>
                                      <a:pt x="0" y="1"/>
                                      <a:pt x="0" y="1"/>
                                    </a:cubicBezTo>
                                    <a:close/>
                                  </a:path>
                                </a:pathLst>
                              </a:custGeom>
                              <a:grpFill/>
                              <a:ln>
                                <a:noFill/>
                              </a:ln>
                            </wps:spPr>
                            <wps:bodyPr vert="horz" wrap="square" lIns="91440" tIns="45720" rIns="91440" bIns="45720" numCol="1" anchor="t" anchorCtr="0" compatLnSpc="1"/>
                          </wps:wsp>
                        </wpg:grpSp>
                      </wpg:grpSp>
                      <wps:wsp>
                        <wps:cNvPr id="67" name="椭圆 67"/>
                        <wps:cNvSpPr/>
                        <wps:spPr>
                          <a:xfrm>
                            <a:off x="598844" y="7865188"/>
                            <a:ext cx="234604" cy="234604"/>
                          </a:xfrm>
                          <a:prstGeom prst="ellipse">
                            <a:avLst/>
                          </a:prstGeom>
                          <a:solidFill>
                            <a:srgbClr val="FFFFFF"/>
                          </a:solidFill>
                          <a:ln w="12700" cap="flat" cmpd="sng" algn="ctr">
                            <a:no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_x0000_s1026" o:spid="_x0000_s1026" o:spt="203" style="position:absolute;left:0pt;margin-left:-25.75pt;margin-top:589.55pt;height:97.8pt;width:20.2pt;z-index:251660288;mso-width-relative:page;mso-height-relative:page;" coordorigin="598844,7865188" coordsize="234604,1136113" o:gfxdata="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">
                <o:lock v:ext="edit" aspectratio="f"/>
                <v:shape id="_x0000_s1026" o:spid="_x0000_s1026" o:spt="3" type="#_x0000_t3" style="position:absolute;left:598844;top:8165691;height:234604;width:234604;v-text-anchor:middle;" fillcolor="#FFFFFF" filled="t" stroked="f" coordsize="21600,21600" o:gfxdata="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Imcf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shape>
                <v:shape id="_x0000_s1026" o:spid="_x0000_s1026" o:spt="3" type="#_x0000_t3" style="position:absolute;left:598844;top:8466194;height:234604;width:234604;v-text-anchor:middle;" fillcolor="#FFFFFF" filled="t" stroked="f" coordsize="21600,21600" o:gfxdata="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y/9r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shape>
                <v:group id="_x0000_s1026" o:spid="_x0000_s1026" o:spt="203" style="position:absolute;left:598844;top:8766697;height:234604;width:234604;" coordorigin="598844,8766697" coordsize="280820,280820" o:gfxdata="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42wob0AAADbAAAADwAAAAAAAAABACAAAAAiAAAAZHJzL2Rvd25yZXYueG1s&#10;UEsBAhQAFAAAAAgAh07iQDMvBZ47AAAAOQAAABUAAAAAAAAAAQAgAAAADAEAAGRycy9ncm91cHNo&#10;YXBleG1sLnhtbFBLBQYAAAAABgAGAGABAADJAwAAAAA=&#10;">
                  <o:lock v:ext="edit" aspectratio="f"/>
                  <v:shape id="_x0000_s1026" o:spid="_x0000_s1026" o:spt="3" type="#_x0000_t3" style="position:absolute;left:598844;top:8766697;height:280820;width:280820;v-text-anchor:middle;" fillcolor="#FFFFFF" filled="t" stroked="f" coordsize="21600,21600" o:gfxdata="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k8pQ9bUAAADbAAAADwAA&#10;AAAAAAABACAAAAAiAAAAZHJzL2Rvd25yZXYueG1sUEsBAhQAFAAAAAgAh07iQDMvBZ47AAAAOQAA&#10;ABAAAAAAAAAAAQAgAAAABAEAAGRycy9zaGFwZXhtbC54bWxQSwUGAAAAAAYABgBbAQAArgMAAAAA&#10;">
                    <v:fill on="t" focussize="0,0"/>
                    <v:stroke on="f" weight="1pt" miterlimit="8" joinstyle="miter"/>
                    <v:imagedata o:title=""/>
                    <o:lock v:ext="edit" aspectratio="f"/>
                  </v:shape>
                  <v:group id="_x0000_s1026" o:spid="_x0000_s1026" o:spt="203" style="position:absolute;left:685674;top:8839152;height:52486;width:83104;" coordorigin="685674,8839152" coordsize="83104,52486" o:gfxdata="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9V6BSL0AAADbAAAADwAAAAAAAAABACAAAAAiAAAAZHJzL2Rvd25yZXYueG1s&#10;UEsBAhQAFAAAAAgAh07iQDMvBZ47AAAAOQAAABUAAAAAAAAAAQAgAAAADAEAAGRycy9ncm91cHNo&#10;YXBleG1sLnhtbFBLBQYAAAAABgAGAGABAADJAwAAAAA=&#10;">
                    <o:lock v:ext="edit" aspectratio="f"/>
                    <v:shape id="Freeform 46" o:spid="_x0000_s1026" o:spt="100" style="position:absolute;left:696609;top:8889451;height:2187;width:4374;" filled="t" stroked="f" coordsize="1,1" o:gfxdata="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qjgS8AAAA&#10;2wAAAA8AAAAAAAAAAQAgAAAAIgAAAGRycy9kb3ducmV2LnhtbFBLAQIUABQAAAAIAIdO4kAzLwWe&#10;OwAAADkAAAAQAAAAAAAAAAEAIAAAAAsBAABkcnMvc2hhcGV4bWwueG1sUEsFBgAAAAAGAAYAWwEA&#10;ALUDAAAAAA==&#10;" path="m0,0c0,1,0,1,0,1c0,1,0,1,0,1c0,1,1,1,1,1c1,0,0,0,0,0xe">
                      <v:path o:connectlocs="0,0;0,2187;0,2187;4374,2187;0,0" o:connectangles="0,0,0,0,0"/>
                      <v:fill on="t" focussize="0,0"/>
                      <v:stroke on="f"/>
                      <v:imagedata o:title=""/>
                      <o:lock v:ext="edit" aspectratio="f"/>
                    </v:shape>
                    <v:shape id="Freeform 47" o:spid="_x0000_s1026" o:spt="100" style="position:absolute;left:746909;top:8839152;height:2187;width:10935;" filled="t" stroked="f" coordsize="3,1" o:gfxdata="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37V+8AAAA&#10;2wAAAA8AAAAAAAAAAQAgAAAAIgAAAGRycy9kb3ducmV2LnhtbFBLAQIUABQAAAAIAIdO4kAzLwWe&#10;OwAAADkAAAAQAAAAAAAAAAEAIAAAAAsBAABkcnMvc2hhcGV4bWwueG1sUEsFBgAAAAAGAAYAWwEA&#10;ALUDAAAAAA==&#10;" path="m2,1c2,1,3,0,2,0c2,0,1,0,0,0c0,1,1,1,1,1c1,1,1,1,2,1xe">
                      <v:path o:connectlocs="7290,2187;7290,0;0,0;3645,2187;7290,2187" o:connectangles="0,0,0,0,0"/>
                      <v:fill on="t" focussize="0,0"/>
                      <v:stroke on="f"/>
                      <v:imagedata o:title=""/>
                      <o:lock v:ext="edit" aspectratio="f"/>
                    </v:shape>
                    <v:shape id="Freeform 48" o:spid="_x0000_s1026" o:spt="100" style="position:absolute;left:757843;top:8850086;height:6561;width:4374;" filled="t" stroked="f" coordsize="1,2" o:gfxdata="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1d0iugAAANsA&#10;AAAPAAAAAAAAAAEAIAAAACIAAABkcnMvZG93bnJldi54bWxQSwECFAAUAAAACACHTuJAMy8FnjsA&#10;AAA5AAAAEAAAAAAAAAABACAAAAAJAQAAZHJzL3NoYXBleG1sLnhtbFBLBQYAAAAABgAGAFsBAACz&#10;AwAAAAA=&#10;" path="m0,1c1,1,1,1,1,0c0,0,0,1,0,1c0,2,0,2,0,1xe">
                      <v:path o:connectlocs="0,3280;4374,0;0,3280;0,3280" o:connectangles="0,0,0,0"/>
                      <v:fill on="t" focussize="0,0"/>
                      <v:stroke on="f"/>
                      <v:imagedata o:title=""/>
                      <o:lock v:ext="edit" aspectratio="f"/>
                    </v:shape>
                    <v:shape id="Freeform 49" o:spid="_x0000_s1026" o:spt="100" style="position:absolute;left:685674;top:8885077;height:4374;width:10935;" filled="t" stroked="f" coordsize="3,1" o:gfxdata="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unWs74A&#10;AADbAAAADwAAAAAAAAABACAAAAAiAAAAZHJzL2Rvd25yZXYueG1sUEsBAhQAFAAAAAgAh07iQDMv&#10;BZ47AAAAOQAAABAAAAAAAAAAAQAgAAAADQEAAGRycy9zaGFwZXhtbC54bWxQSwUGAAAAAAYABgBb&#10;AQAAtwMAAAAA&#10;" path="m3,1c3,1,0,0,0,1c0,0,1,1,1,1c2,1,2,1,2,1c2,1,3,1,3,1xe">
                      <v:path o:connectlocs="10935,4374;0,4374;3645,4374;7290,4374;10935,4374" o:connectangles="0,0,0,0,0"/>
                      <v:fill on="t" focussize="0,0"/>
                      <v:stroke on="f"/>
                      <v:imagedata o:title=""/>
                      <o:lock v:ext="edit" aspectratio="f"/>
                    </v:shape>
                    <v:shape id="Freeform 50" o:spid="_x0000_s1026" o:spt="100" style="position:absolute;left:762217;top:8845712;height:10935;width:6561;" filled="t" stroked="f" coordsize="2,3" o:gfxdata="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R3ztvQAA&#10;ANsAAAAPAAAAAAAAAAEAIAAAACIAAABkcnMvZG93bnJldi54bWxQSwECFAAUAAAACACHTuJAMy8F&#10;njsAAAA5AAAAEAAAAAAAAAABACAAAAAMAQAAZHJzL3NoYXBleG1sLnhtbFBLBQYAAAAABgAGAFsB&#10;AAC2AwAAAAA=&#10;" path="m0,1c0,1,1,2,0,2c0,2,0,2,0,2c0,2,0,3,0,3c0,3,0,3,0,3c0,3,0,3,0,3c0,3,2,3,1,3c1,2,2,2,1,2c1,2,1,2,1,2c1,1,1,1,1,1c1,1,1,1,1,1c1,0,1,0,1,0c0,0,0,1,0,1c0,1,0,1,0,1c0,1,0,1,0,1xe">
                      <v:path o:connectlocs="0,3645;0,7290;0,7290;0,10935;0,10935;0,10935;3280,10935;3280,7290;3280,7290;3280,3645;3280,3645;3280,0;0,3645;0,3645;0,3645" o:connectangles="0,0,0,0,0,0,0,0,0,0,0,0,0,0,0"/>
                      <v:fill on="t" focussize="0,0"/>
                      <v:stroke on="f"/>
                      <v:imagedata o:title=""/>
                      <o:lock v:ext="edit" aspectratio="f"/>
                    </v:shape>
                  </v:group>
                </v:group>
                <v:shape id="_x0000_s1026" o:spid="_x0000_s1026" o:spt="3" type="#_x0000_t3" style="position:absolute;left:598844;top:7865188;height:234604;width:234604;v-text-anchor:middle;" fillcolor="#FFFFFF" filled="t" stroked="f" coordsize="21600,21600" o:gfxdata="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DkOOrgAAADbAAAA&#10;DwAAAAAAAAABACAAAAAiAAAAZHJzL2Rvd25yZXYueG1sUEsBAhQAFAAAAAgAh07iQDMvBZ47AAAA&#10;OQAAABAAAAAAAAAAAQAgAAAABwEAAGRycy9zaGFwZXhtbC54bWxQSwUGAAAAAAYABgBbAQAAsQMA&#10;AAAA&#10;">
                  <v:fill on="t" focussize="0,0"/>
                  <v:stroke on="f" weight="1pt" miterlimit="8" joinstyle="miter"/>
                  <v:imagedata o:title=""/>
                  <o:lock v:ext="edit" aspectratio="f"/>
                </v:shape>
              </v:group>
            </w:pict>
          </mc:Fallback>
        </mc:AlternateContent>
      </w:r>
    </w:p>
    <w:sectPr>
      <w:headerReference r:id="rId7" w:type="default"/>
      <w:footerReference r:id="rId8" w:type="default"/>
      <w:pgSz w:w="11906" w:h="16838"/>
      <w:pgMar w:top="1531" w:right="1531" w:bottom="1531" w:left="1531" w:header="1134" w:footer="680" w:gutter="0"/>
      <w:pgBorders>
        <w:top w:val="none" w:sz="0" w:space="0"/>
        <w:left w:val="none" w:sz="0" w:space="0"/>
        <w:bottom w:val="none" w:sz="0" w:space="0"/>
        <w:right w:val="none" w:sz="0" w:space="0"/>
      </w:pgBorders>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DD87C2F-6642-4D15-90E8-42D559DB7511}"/>
  </w:font>
  <w:font w:name="Arial">
    <w:panose1 w:val="020B0604020202020204"/>
    <w:charset w:val="01"/>
    <w:family w:val="swiss"/>
    <w:pitch w:val="default"/>
    <w:sig w:usb0="E0002AFF" w:usb1="C0007843" w:usb2="00000009" w:usb3="00000000" w:csb0="400001FF" w:csb1="FFFF0000"/>
    <w:embedRegular r:id="rId2" w:fontKey="{2E3251E0-1535-4398-9DA9-D1B15BE4D340}"/>
  </w:font>
  <w:font w:name="黑体">
    <w:panose1 w:val="02010609060101010101"/>
    <w:charset w:val="86"/>
    <w:family w:val="auto"/>
    <w:pitch w:val="default"/>
    <w:sig w:usb0="800002BF" w:usb1="38CF7CFA" w:usb2="00000016" w:usb3="00000000" w:csb0="00040001" w:csb1="00000000"/>
    <w:embedRegular r:id="rId3" w:fontKey="{0302ECF6-A204-4FF4-B937-863B9F79A3DE}"/>
  </w:font>
  <w:font w:name="Courier New">
    <w:panose1 w:val="02070309020205020404"/>
    <w:charset w:val="01"/>
    <w:family w:val="modern"/>
    <w:pitch w:val="default"/>
    <w:sig w:usb0="E0002AFF" w:usb1="C0007843" w:usb2="00000009" w:usb3="00000000" w:csb0="400001FF" w:csb1="FFFF0000"/>
    <w:embedRegular r:id="rId4" w:fontKey="{5D06B6A7-FFCB-4339-81A2-020281381F6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5" w:fontKey="{63E57878-23A8-4250-93AE-DD0BBF0522B1}"/>
  </w:font>
  <w:font w:name="微软雅黑">
    <w:panose1 w:val="020B0503020204020204"/>
    <w:charset w:val="86"/>
    <w:family w:val="auto"/>
    <w:pitch w:val="default"/>
    <w:sig w:usb0="80000287" w:usb1="280F3C52" w:usb2="00000016" w:usb3="00000000" w:csb0="0004001F" w:csb1="00000000"/>
    <w:embedRegular r:id="rId6" w:fontKey="{B554FFF5-3ACB-49EF-B097-18BEE76112E0}"/>
  </w:font>
  <w:font w:name="方正小标宋_GBK">
    <w:altName w:val="微软雅黑"/>
    <w:panose1 w:val="03000509000000000000"/>
    <w:charset w:val="86"/>
    <w:family w:val="auto"/>
    <w:pitch w:val="default"/>
    <w:sig w:usb0="00000000" w:usb1="00000000" w:usb2="00000000" w:usb3="00000000" w:csb0="00040000" w:csb1="00000000"/>
    <w:embedRegular r:id="rId7" w:fontKey="{519EA931-8E41-4942-AA2B-900BF0ADC47A}"/>
  </w:font>
  <w:font w:name="等线">
    <w:altName w:val="微软雅黑"/>
    <w:panose1 w:val="02010600030101010101"/>
    <w:charset w:val="86"/>
    <w:family w:val="auto"/>
    <w:pitch w:val="default"/>
    <w:sig w:usb0="00000000" w:usb1="00000000" w:usb2="00000016" w:usb3="00000000" w:csb0="0004000F" w:csb1="00000000"/>
    <w:embedRegular r:id="rId8" w:fontKey="{5928A29D-1A6E-4373-8859-C0F8D2493136}"/>
  </w:font>
  <w:font w:name="楷体">
    <w:panose1 w:val="02010609060101010101"/>
    <w:charset w:val="86"/>
    <w:family w:val="modern"/>
    <w:pitch w:val="default"/>
    <w:sig w:usb0="800002BF" w:usb1="38CF7CFA" w:usb2="00000016" w:usb3="00000000" w:csb0="00040001" w:csb1="00000000"/>
    <w:embedRegular r:id="rId9" w:fontKey="{3EC94358-4529-4252-9C1A-0A3838637F7E}"/>
  </w:font>
  <w:font w:name="仿宋">
    <w:panose1 w:val="02010609060101010101"/>
    <w:charset w:val="86"/>
    <w:family w:val="modern"/>
    <w:pitch w:val="default"/>
    <w:sig w:usb0="800002BF" w:usb1="38CF7CFA" w:usb2="00000016" w:usb3="00000000" w:csb0="00040001" w:csb1="00000000"/>
    <w:embedRegular r:id="rId10" w:fontKey="{FDF2088C-07E8-4A9D-A237-4A0419E5A142}"/>
  </w:font>
  <w:font w:name="Arial Narrow">
    <w:altName w:val="Arial"/>
    <w:panose1 w:val="020B0606020202030204"/>
    <w:charset w:val="00"/>
    <w:family w:val="swiss"/>
    <w:pitch w:val="default"/>
    <w:sig w:usb0="00000000" w:usb1="00000000" w:usb2="00000000" w:usb3="00000000" w:csb0="2000009F" w:csb1="DFD70000"/>
    <w:embedRegular r:id="rId11" w:fontKey="{575885F8-B36C-4D63-934C-66E0613B8F99}"/>
  </w:font>
  <w:font w:name="方正大黑体_GBK">
    <w:panose1 w:val="02010600010101010101"/>
    <w:charset w:val="86"/>
    <w:family w:val="auto"/>
    <w:pitch w:val="default"/>
    <w:sig w:usb0="00000001" w:usb1="080E0000" w:usb2="00000000" w:usb3="00000000" w:csb0="40040001" w:csb1="C0D60000"/>
    <w:embedRegular r:id="rId12" w:fontKey="{8A7E42BA-C00B-464F-920E-12C687C0E59A}"/>
  </w:font>
  <w:font w:name="楷体_GB2312">
    <w:altName w:val="楷体"/>
    <w:panose1 w:val="02010609030101010101"/>
    <w:charset w:val="86"/>
    <w:family w:val="modern"/>
    <w:pitch w:val="default"/>
    <w:sig w:usb0="00000000" w:usb1="00000000" w:usb2="00000000" w:usb3="00000000" w:csb0="00040000" w:csb1="00000000"/>
    <w:embedRegular r:id="rId13" w:fontKey="{E55C870F-F338-41EB-97A9-9F1E589B481A}"/>
  </w:font>
  <w:font w:name="华文中宋">
    <w:panose1 w:val="02010600040101010101"/>
    <w:charset w:val="86"/>
    <w:family w:val="auto"/>
    <w:pitch w:val="default"/>
    <w:sig w:usb0="00000287" w:usb1="080F0000" w:usb2="00000000" w:usb3="00000000" w:csb0="0004009F" w:csb1="DFD70000"/>
    <w:embedRegular r:id="rId14" w:fontKey="{23F80EEA-E404-4FAE-882B-9F0EF403E727}"/>
  </w:font>
  <w:font w:name="仿宋_GB2312">
    <w:altName w:val="仿宋"/>
    <w:panose1 w:val="02010609030101010101"/>
    <w:charset w:val="86"/>
    <w:family w:val="auto"/>
    <w:pitch w:val="default"/>
    <w:sig w:usb0="00000000" w:usb1="00000000" w:usb2="00000000" w:usb3="00000000" w:csb0="00040000" w:csb1="00000000"/>
    <w:embedRegular r:id="rId15" w:fontKey="{DF21AC35-11E6-43ED-A4E9-5CFCB78D012F}"/>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4F7B4">
    <w:pPr>
      <w:widowControl w:val="0"/>
      <w:tabs>
        <w:tab w:val="center" w:pos="4153"/>
      </w:tabs>
      <w:snapToGrid w:val="0"/>
      <w:ind w:left="-420" w:leftChars="-200" w:right="-512" w:rightChars="-244" w:firstLine="540" w:firstLineChars="300"/>
      <w:jc w:val="left"/>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943A65">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w:fldChar w:fldCharType="begin"/>
                          </w:r>
                          <w:r>
                            <w:rPr>
                              <w:rFonts w:ascii="等线" w:hAnsi="等线" w:eastAsia="等线" w:cs="Times New Roman"/>
                              <w:kern w:val="2"/>
                              <w:sz w:val="18"/>
                              <w:szCs w:val="18"/>
                              <w:lang w:val="en-US" w:eastAsia="zh-CN" w:bidi="ar-SA"/>
                            </w:rPr>
                            <w:instrText xml:space="preserve"> PAGE  \* MERGEFORMAT </w:instrText>
                          </w:r>
                          <w:r>
                            <w:rPr>
                              <w:rFonts w:ascii="等线" w:hAnsi="等线" w:eastAsia="等线" w:cs="Times New Roman"/>
                              <w:kern w:val="2"/>
                              <w:sz w:val="18"/>
                              <w:szCs w:val="18"/>
                              <w:lang w:val="en-US" w:eastAsia="zh-CN" w:bidi="ar-SA"/>
                            </w:rPr>
                            <w:fldChar w:fldCharType="separate"/>
                          </w:r>
                          <w:r>
                            <w:rPr>
                              <w:rFonts w:ascii="等线" w:hAnsi="等线" w:eastAsia="等线" w:cs="Times New Roman"/>
                              <w:kern w:val="2"/>
                              <w:sz w:val="18"/>
                              <w:szCs w:val="18"/>
                              <w:lang w:val="en-US" w:eastAsia="zh-CN" w:bidi="ar-SA"/>
                            </w:rPr>
                            <w:t>1</w:t>
                          </w:r>
                          <w:r>
                            <w:rPr>
                              <w:rFonts w:ascii="等线" w:hAnsi="等线" w:eastAsia="等线"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14:paraId="52943A65">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w:fldChar w:fldCharType="begin"/>
                    </w:r>
                    <w:r>
                      <w:rPr>
                        <w:rFonts w:ascii="等线" w:hAnsi="等线" w:eastAsia="等线" w:cs="Times New Roman"/>
                        <w:kern w:val="2"/>
                        <w:sz w:val="18"/>
                        <w:szCs w:val="18"/>
                        <w:lang w:val="en-US" w:eastAsia="zh-CN" w:bidi="ar-SA"/>
                      </w:rPr>
                      <w:instrText xml:space="preserve"> PAGE  \* MERGEFORMAT </w:instrText>
                    </w:r>
                    <w:r>
                      <w:rPr>
                        <w:rFonts w:ascii="等线" w:hAnsi="等线" w:eastAsia="等线" w:cs="Times New Roman"/>
                        <w:kern w:val="2"/>
                        <w:sz w:val="18"/>
                        <w:szCs w:val="18"/>
                        <w:lang w:val="en-US" w:eastAsia="zh-CN" w:bidi="ar-SA"/>
                      </w:rPr>
                      <w:fldChar w:fldCharType="separate"/>
                    </w:r>
                    <w:r>
                      <w:rPr>
                        <w:rFonts w:ascii="等线" w:hAnsi="等线" w:eastAsia="等线" w:cs="Times New Roman"/>
                        <w:kern w:val="2"/>
                        <w:sz w:val="18"/>
                        <w:szCs w:val="18"/>
                        <w:lang w:val="en-US" w:eastAsia="zh-CN" w:bidi="ar-SA"/>
                      </w:rPr>
                      <w:t>1</w:t>
                    </w:r>
                    <w:r>
                      <w:rPr>
                        <w:rFonts w:ascii="等线" w:hAnsi="等线" w:eastAsia="等线" w:cs="Times New Roman"/>
                        <w:kern w:val="2"/>
                        <w:sz w:val="18"/>
                        <w:szCs w:val="18"/>
                        <w:lang w:val="en-US" w:eastAsia="zh-CN" w:bidi="ar-SA"/>
                      </w:rPr>
                      <w:fldChar w:fldCharType="end"/>
                    </w:r>
                  </w:p>
                </w:txbxContent>
              </v:textbox>
            </v:shape>
          </w:pict>
        </mc:Fallback>
      </mc:AlternateContent>
    </w:r>
    <w:r>
      <w:rPr>
        <w:rFonts w:hint="eastAsia" w:ascii="楷体" w:hAnsi="楷体" w:eastAsia="楷体" w:cs="楷体"/>
        <w:kern w:val="2"/>
        <w:sz w:val="18"/>
        <w:szCs w:val="11"/>
        <w:lang w:val="en-US" w:eastAsia="zh-CN"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3795A">
    <w:pPr>
      <w:widowControl w:val="0"/>
      <w:tabs>
        <w:tab w:val="center" w:pos="4153"/>
        <w:tab w:val="right" w:pos="8306"/>
      </w:tabs>
      <w:snapToGrid w:val="0"/>
      <w:jc w:val="left"/>
      <w:rPr>
        <w:rFonts w:ascii="楷体" w:hAnsi="等线" w:eastAsia="楷体" w:cs="楷体"/>
        <w:kern w:val="2"/>
        <w:sz w:val="18"/>
        <w:szCs w:val="11"/>
        <w:lang w:val="en-US" w:eastAsia="zh-CN" w:bidi="ar-SA"/>
      </w:rPr>
    </w:pPr>
    <w:r>
      <w:rPr>
        <w:rFonts w:ascii="等线" w:hAnsi="等线" w:eastAsia="等线"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286118">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w:fldChar w:fldCharType="begin"/>
                          </w:r>
                          <w:r>
                            <w:rPr>
                              <w:rFonts w:ascii="等线" w:hAnsi="等线" w:eastAsia="等线" w:cs="Times New Roman"/>
                              <w:kern w:val="2"/>
                              <w:sz w:val="18"/>
                              <w:szCs w:val="18"/>
                              <w:lang w:val="en-US" w:eastAsia="zh-CN" w:bidi="ar-SA"/>
                            </w:rPr>
                            <w:instrText xml:space="preserve"> PAGE  \* MERGEFORMAT </w:instrText>
                          </w:r>
                          <w:r>
                            <w:rPr>
                              <w:rFonts w:ascii="等线" w:hAnsi="等线" w:eastAsia="等线" w:cs="Times New Roman"/>
                              <w:kern w:val="2"/>
                              <w:sz w:val="18"/>
                              <w:szCs w:val="18"/>
                              <w:lang w:val="en-US" w:eastAsia="zh-CN" w:bidi="ar-SA"/>
                            </w:rPr>
                            <w:fldChar w:fldCharType="separate"/>
                          </w:r>
                          <w:r>
                            <w:rPr>
                              <w:rFonts w:ascii="等线" w:hAnsi="等线" w:eastAsia="等线" w:cs="Times New Roman"/>
                              <w:kern w:val="2"/>
                              <w:sz w:val="18"/>
                              <w:szCs w:val="18"/>
                              <w:lang w:val="en-US" w:eastAsia="zh-CN" w:bidi="ar-SA"/>
                            </w:rPr>
                            <w:t>76</w:t>
                          </w:r>
                          <w:r>
                            <w:rPr>
                              <w:rFonts w:ascii="等线" w:hAnsi="等线" w:eastAsia="等线"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QH8aY5AgAAc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QH8aY5AgAAcQQAAA4AAAAAAAAAAQAgAAAAHwEAAGRycy9lMm9Eb2Mu&#10;eG1sUEsFBgAAAAAGAAYAWQEAAMoFAAAAAA==&#10;">
              <v:fill on="f" focussize="0,0"/>
              <v:stroke on="f" weight="0.5pt"/>
              <v:imagedata o:title=""/>
              <o:lock v:ext="edit" aspectratio="f"/>
              <v:textbox inset="0mm,0mm,0mm,0mm" style="mso-fit-shape-to-text:t;">
                <w:txbxContent>
                  <w:p w14:paraId="0B286118">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w:fldChar w:fldCharType="begin"/>
                    </w:r>
                    <w:r>
                      <w:rPr>
                        <w:rFonts w:ascii="等线" w:hAnsi="等线" w:eastAsia="等线" w:cs="Times New Roman"/>
                        <w:kern w:val="2"/>
                        <w:sz w:val="18"/>
                        <w:szCs w:val="18"/>
                        <w:lang w:val="en-US" w:eastAsia="zh-CN" w:bidi="ar-SA"/>
                      </w:rPr>
                      <w:instrText xml:space="preserve"> PAGE  \* MERGEFORMAT </w:instrText>
                    </w:r>
                    <w:r>
                      <w:rPr>
                        <w:rFonts w:ascii="等线" w:hAnsi="等线" w:eastAsia="等线" w:cs="Times New Roman"/>
                        <w:kern w:val="2"/>
                        <w:sz w:val="18"/>
                        <w:szCs w:val="18"/>
                        <w:lang w:val="en-US" w:eastAsia="zh-CN" w:bidi="ar-SA"/>
                      </w:rPr>
                      <w:fldChar w:fldCharType="separate"/>
                    </w:r>
                    <w:r>
                      <w:rPr>
                        <w:rFonts w:ascii="等线" w:hAnsi="等线" w:eastAsia="等线" w:cs="Times New Roman"/>
                        <w:kern w:val="2"/>
                        <w:sz w:val="18"/>
                        <w:szCs w:val="18"/>
                        <w:lang w:val="en-US" w:eastAsia="zh-CN" w:bidi="ar-SA"/>
                      </w:rPr>
                      <w:t>76</w:t>
                    </w:r>
                    <w:r>
                      <w:rPr>
                        <w:rFonts w:ascii="等线" w:hAnsi="等线" w:eastAsia="等线" w:cs="Times New Roman"/>
                        <w:kern w:val="2"/>
                        <w:sz w:val="18"/>
                        <w:szCs w:val="18"/>
                        <w:lang w:val="en-US" w:eastAsia="zh-CN" w:bidi="ar-SA"/>
                      </w:rPr>
                      <w:fldChar w:fldCharType="end"/>
                    </w:r>
                  </w:p>
                </w:txbxContent>
              </v:textbox>
            </v:shape>
          </w:pict>
        </mc:Fallback>
      </mc:AlternateContent>
    </w:r>
  </w:p>
  <w:p w14:paraId="690AEDE0">
    <w:pPr>
      <w:widowControl w:val="0"/>
      <w:tabs>
        <w:tab w:val="center" w:pos="4153"/>
        <w:tab w:val="right" w:pos="8306"/>
      </w:tabs>
      <w:snapToGrid w:val="0"/>
      <w:jc w:val="left"/>
      <w:rPr>
        <w:rFonts w:ascii="等线" w:hAnsi="等线" w:eastAsia="等线" w:cs="Times New Roman"/>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FE4E1">
    <w:pPr>
      <w:widowControl w:val="0"/>
      <w:tabs>
        <w:tab w:val="center" w:pos="4153"/>
        <w:tab w:val="right" w:pos="8306"/>
      </w:tabs>
      <w:snapToGrid w:val="0"/>
      <w:jc w:val="left"/>
      <w:rPr>
        <w:rFonts w:ascii="楷体" w:hAnsi="等线" w:eastAsia="楷体" w:cs="楷体"/>
        <w:kern w:val="2"/>
        <w:sz w:val="18"/>
        <w:szCs w:val="11"/>
        <w:lang w:val="en-US" w:eastAsia="zh-CN" w:bidi="ar-SA"/>
      </w:rPr>
    </w:pPr>
    <w:r>
      <w:rPr>
        <w:rFonts w:ascii="等线" w:hAnsi="等线" w:eastAsia="等线"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5780D7">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w:fldChar w:fldCharType="begin"/>
                          </w:r>
                          <w:r>
                            <w:rPr>
                              <w:rFonts w:ascii="等线" w:hAnsi="等线" w:eastAsia="等线" w:cs="Times New Roman"/>
                              <w:kern w:val="2"/>
                              <w:sz w:val="18"/>
                              <w:szCs w:val="18"/>
                              <w:lang w:val="en-US" w:eastAsia="zh-CN" w:bidi="ar-SA"/>
                            </w:rPr>
                            <w:instrText xml:space="preserve"> PAGE  \* MERGEFORMAT </w:instrText>
                          </w:r>
                          <w:r>
                            <w:rPr>
                              <w:rFonts w:ascii="等线" w:hAnsi="等线" w:eastAsia="等线" w:cs="Times New Roman"/>
                              <w:kern w:val="2"/>
                              <w:sz w:val="18"/>
                              <w:szCs w:val="18"/>
                              <w:lang w:val="en-US" w:eastAsia="zh-CN" w:bidi="ar-SA"/>
                            </w:rPr>
                            <w:fldChar w:fldCharType="separate"/>
                          </w:r>
                          <w:r>
                            <w:rPr>
                              <w:rFonts w:ascii="等线" w:hAnsi="等线" w:eastAsia="等线" w:cs="Times New Roman"/>
                              <w:kern w:val="2"/>
                              <w:sz w:val="18"/>
                              <w:szCs w:val="18"/>
                              <w:lang w:val="en-US" w:eastAsia="zh-CN" w:bidi="ar-SA"/>
                            </w:rPr>
                            <w:t>83</w:t>
                          </w:r>
                          <w:r>
                            <w:rPr>
                              <w:rFonts w:ascii="等线" w:hAnsi="等线" w:eastAsia="等线"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PGG605AgAAcQ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zrGijQNPUyk1JUerdDu&#10;2p7nzhQn0HSmmxRv+aZGKVvmwz1zGA2Uj8cT7rCU0iCl6S1KKuO+/us8xqNj8FLSYNRyqvGyKJEf&#10;NDoJwDAYbjB2g6EP6tZgdtEc1JJMXHBBDmbpjPqCF7WKOeBimiNTTsNg3oZu3PEiuVitUtDBunpf&#10;dRcwh5aFrX6wPKaJUnm7OgRImxSPAnWqoFNxg0lMPetfTRz1P/cp6ulPsX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KPGG605AgAAcQQAAA4AAAAAAAAAAQAgAAAAHwEAAGRycy9lMm9Eb2Mu&#10;eG1sUEsFBgAAAAAGAAYAWQEAAMoFAAAAAA==&#10;">
              <v:fill on="f" focussize="0,0"/>
              <v:stroke on="f" weight="0.5pt"/>
              <v:imagedata o:title=""/>
              <o:lock v:ext="edit" aspectratio="f"/>
              <v:textbox inset="0mm,0mm,0mm,0mm" style="mso-fit-shape-to-text:t;">
                <w:txbxContent>
                  <w:p w14:paraId="4C5780D7">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w:fldChar w:fldCharType="begin"/>
                    </w:r>
                    <w:r>
                      <w:rPr>
                        <w:rFonts w:ascii="等线" w:hAnsi="等线" w:eastAsia="等线" w:cs="Times New Roman"/>
                        <w:kern w:val="2"/>
                        <w:sz w:val="18"/>
                        <w:szCs w:val="18"/>
                        <w:lang w:val="en-US" w:eastAsia="zh-CN" w:bidi="ar-SA"/>
                      </w:rPr>
                      <w:instrText xml:space="preserve"> PAGE  \* MERGEFORMAT </w:instrText>
                    </w:r>
                    <w:r>
                      <w:rPr>
                        <w:rFonts w:ascii="等线" w:hAnsi="等线" w:eastAsia="等线" w:cs="Times New Roman"/>
                        <w:kern w:val="2"/>
                        <w:sz w:val="18"/>
                        <w:szCs w:val="18"/>
                        <w:lang w:val="en-US" w:eastAsia="zh-CN" w:bidi="ar-SA"/>
                      </w:rPr>
                      <w:fldChar w:fldCharType="separate"/>
                    </w:r>
                    <w:r>
                      <w:rPr>
                        <w:rFonts w:ascii="等线" w:hAnsi="等线" w:eastAsia="等线" w:cs="Times New Roman"/>
                        <w:kern w:val="2"/>
                        <w:sz w:val="18"/>
                        <w:szCs w:val="18"/>
                        <w:lang w:val="en-US" w:eastAsia="zh-CN" w:bidi="ar-SA"/>
                      </w:rPr>
                      <w:t>83</w:t>
                    </w:r>
                    <w:r>
                      <w:rPr>
                        <w:rFonts w:ascii="等线" w:hAnsi="等线" w:eastAsia="等线" w:cs="Times New Roman"/>
                        <w:kern w:val="2"/>
                        <w:sz w:val="18"/>
                        <w:szCs w:val="18"/>
                        <w:lang w:val="en-US" w:eastAsia="zh-CN" w:bidi="ar-SA"/>
                      </w:rPr>
                      <w:fldChar w:fldCharType="end"/>
                    </w:r>
                  </w:p>
                </w:txbxContent>
              </v:textbox>
            </v:shape>
          </w:pict>
        </mc:Fallback>
      </mc:AlternateContent>
    </w:r>
  </w:p>
  <w:p w14:paraId="5939444C">
    <w:pPr>
      <w:widowControl w:val="0"/>
      <w:tabs>
        <w:tab w:val="center" w:pos="4153"/>
        <w:tab w:val="right" w:pos="8306"/>
      </w:tabs>
      <w:snapToGrid w:val="0"/>
      <w:jc w:val="left"/>
      <w:rPr>
        <w:rFonts w:ascii="等线" w:hAnsi="等线" w:eastAsia="等线" w:cs="Times New Roman"/>
        <w:kern w:val="2"/>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CF5A6">
    <w:pPr>
      <w:widowControl w:val="0"/>
      <w:pBdr>
        <w:bottom w:val="none" w:color="auto" w:sz="0" w:space="1"/>
      </w:pBdr>
      <w:tabs>
        <w:tab w:val="center" w:pos="4153"/>
      </w:tabs>
      <w:snapToGrid w:val="0"/>
      <w:ind w:left="-3" w:firstLine="3"/>
      <w:jc w:val="right"/>
      <w:rPr>
        <w:rFonts w:ascii="等线" w:hAnsi="等线" w:eastAsia="宋体" w:cs="Times New Roman"/>
        <w:kern w:val="2"/>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7BE71">
    <w:pPr>
      <w:widowControl w:val="0"/>
      <w:pBdr>
        <w:bottom w:val="none" w:color="auto" w:sz="0" w:space="1"/>
      </w:pBdr>
      <w:tabs>
        <w:tab w:val="left" w:pos="3417"/>
        <w:tab w:val="center" w:pos="4153"/>
        <w:tab w:val="right" w:pos="8306"/>
        <w:tab w:val="right" w:pos="9780"/>
      </w:tabs>
      <w:snapToGrid w:val="0"/>
      <w:jc w:val="right"/>
      <w:rPr>
        <w:rFonts w:ascii="等线" w:hAnsi="等线" w:eastAsia="楷体" w:cs="Times New Roman"/>
        <w:kern w:val="2"/>
        <w:sz w:val="18"/>
        <w:szCs w:val="18"/>
        <w:lang w:val="en-US" w:eastAsia="zh-CN" w:bidi="ar-SA"/>
      </w:rPr>
    </w:pPr>
    <w:r>
      <w:rPr>
        <w:rFonts w:ascii="等线" w:hAnsi="等线" w:eastAsia="等线" w:cs="Times New Roman"/>
        <w:kern w:val="2"/>
        <w:sz w:val="4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0462CD">
                          <w:pPr>
                            <w:widowControl w:val="0"/>
                            <w:pBdr>
                              <w:bottom w:val="single" w:color="auto" w:sz="6" w:space="1"/>
                            </w:pBdr>
                            <w:tabs>
                              <w:tab w:val="center" w:pos="4153"/>
                              <w:tab w:val="right" w:pos="8306"/>
                            </w:tabs>
                            <w:snapToGrid w:val="0"/>
                            <w:jc w:val="center"/>
                            <w:rPr>
                              <w:rFonts w:ascii="等线" w:hAnsi="等线" w:eastAsia="等线" w:cs="Times New Roman"/>
                              <w:kern w:val="2"/>
                              <w:sz w:val="18"/>
                              <w:szCs w:val="18"/>
                              <w:lang w:val="en-US" w:eastAsia="zh-CN" w:bidi="ar-S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DZPiozAgAAZ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DZPiozAgAAZQQAAA4AAAAAAAAAAQAgAAAAHwEAAGRycy9lMm9Eb2MueG1sUEsF&#10;BgAAAAAGAAYAWQEAAMQFAAAAAA==&#10;">
              <v:fill on="f" focussize="0,0"/>
              <v:stroke on="f" weight="0.5pt"/>
              <v:imagedata o:title=""/>
              <o:lock v:ext="edit" aspectratio="f"/>
              <v:textbox inset="0mm,0mm,0mm,0mm" style="mso-fit-shape-to-text:t;">
                <w:txbxContent>
                  <w:p w14:paraId="0E0462CD">
                    <w:pPr>
                      <w:widowControl w:val="0"/>
                      <w:pBdr>
                        <w:bottom w:val="single" w:color="auto" w:sz="6" w:space="1"/>
                      </w:pBdr>
                      <w:tabs>
                        <w:tab w:val="center" w:pos="4153"/>
                        <w:tab w:val="right" w:pos="8306"/>
                      </w:tabs>
                      <w:snapToGrid w:val="0"/>
                      <w:jc w:val="center"/>
                      <w:rPr>
                        <w:rFonts w:ascii="等线" w:hAnsi="等线" w:eastAsia="等线" w:cs="Times New Roman"/>
                        <w:kern w:val="2"/>
                        <w:sz w:val="18"/>
                        <w:szCs w:val="18"/>
                        <w:lang w:val="en-US" w:eastAsia="zh-CN" w:bidi="ar-SA"/>
                      </w:rPr>
                    </w:pPr>
                  </w:p>
                </w:txbxContent>
              </v:textbox>
            </v:shape>
          </w:pict>
        </mc:Fallback>
      </mc:AlternateContent>
    </w:r>
    <w:r>
      <w:rPr>
        <w:rFonts w:hint="eastAsia" w:ascii="楷体" w:hAnsi="等线" w:eastAsia="楷体" w:cs="楷体"/>
        <w:kern w:val="2"/>
        <w:sz w:val="18"/>
        <w:szCs w:val="18"/>
        <w:lang w:val="en-US" w:eastAsia="zh-CN" w:bidi="ar-SA"/>
      </w:rPr>
      <w:tab/>
    </w:r>
    <w:r>
      <w:rPr>
        <w:rFonts w:hint="eastAsia" w:ascii="楷体" w:hAnsi="等线" w:eastAsia="楷体" w:cs="楷体"/>
        <w:kern w:val="2"/>
        <w:sz w:val="18"/>
        <w:szCs w:val="18"/>
        <w:lang w:val="en-US" w:eastAsia="zh-CN" w:bidi="ar-SA"/>
      </w:rPr>
      <w:tab/>
    </w:r>
    <w:r>
      <w:rPr>
        <w:rFonts w:hint="eastAsia" w:ascii="楷体" w:hAnsi="等线" w:eastAsia="楷体" w:cs="楷体"/>
        <w:kern w:val="2"/>
        <w:sz w:val="18"/>
        <w:szCs w:val="18"/>
        <w:lang w:val="en-US" w:eastAsia="zh-CN" w:bidi="ar-SA"/>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CF512">
    <w:pPr>
      <w:widowControl w:val="0"/>
      <w:pBdr>
        <w:bottom w:val="none" w:color="auto" w:sz="0" w:space="1"/>
      </w:pBdr>
      <w:tabs>
        <w:tab w:val="left" w:pos="3417"/>
        <w:tab w:val="center" w:pos="4153"/>
        <w:tab w:val="right" w:pos="8306"/>
        <w:tab w:val="right" w:pos="9780"/>
      </w:tabs>
      <w:snapToGrid w:val="0"/>
      <w:jc w:val="right"/>
      <w:rPr>
        <w:rFonts w:ascii="等线" w:hAnsi="等线" w:eastAsia="楷体" w:cs="Times New Roman"/>
        <w:kern w:val="2"/>
        <w:sz w:val="18"/>
        <w:szCs w:val="18"/>
        <w:lang w:val="en-US" w:eastAsia="zh-CN" w:bidi="ar-SA"/>
      </w:rPr>
    </w:pPr>
    <w:r>
      <w:rPr>
        <w:rFonts w:ascii="等线" w:hAnsi="等线" w:eastAsia="等线" w:cs="Times New Roman"/>
        <w:kern w:val="2"/>
        <w:sz w:val="4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749A5D">
                          <w:pPr>
                            <w:widowControl w:val="0"/>
                            <w:pBdr>
                              <w:bottom w:val="single" w:color="auto" w:sz="6" w:space="1"/>
                            </w:pBdr>
                            <w:tabs>
                              <w:tab w:val="center" w:pos="4153"/>
                              <w:tab w:val="right" w:pos="8306"/>
                            </w:tabs>
                            <w:snapToGrid w:val="0"/>
                            <w:jc w:val="center"/>
                            <w:rPr>
                              <w:rFonts w:ascii="等线" w:hAnsi="等线" w:eastAsia="等线" w:cs="Times New Roman"/>
                              <w:kern w:val="2"/>
                              <w:sz w:val="18"/>
                              <w:szCs w:val="18"/>
                              <w:lang w:val="en-US" w:eastAsia="zh-CN" w:bidi="ar-S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K5b8y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grlvzICAABlBAAADgAAAAAAAAABACAAAAAfAQAAZHJzL2Uyb0RvYy54bWxQSwUG&#10;AAAAAAYABgBZAQAAwwUAAAAA&#10;">
              <v:fill on="f" focussize="0,0"/>
              <v:stroke on="f" weight="0.5pt"/>
              <v:imagedata o:title=""/>
              <o:lock v:ext="edit" aspectratio="f"/>
              <v:textbox inset="0mm,0mm,0mm,0mm" style="mso-fit-shape-to-text:t;">
                <w:txbxContent>
                  <w:p w14:paraId="6F749A5D">
                    <w:pPr>
                      <w:widowControl w:val="0"/>
                      <w:pBdr>
                        <w:bottom w:val="single" w:color="auto" w:sz="6" w:space="1"/>
                      </w:pBdr>
                      <w:tabs>
                        <w:tab w:val="center" w:pos="4153"/>
                        <w:tab w:val="right" w:pos="8306"/>
                      </w:tabs>
                      <w:snapToGrid w:val="0"/>
                      <w:jc w:val="center"/>
                      <w:rPr>
                        <w:rFonts w:ascii="等线" w:hAnsi="等线" w:eastAsia="等线" w:cs="Times New Roman"/>
                        <w:kern w:val="2"/>
                        <w:sz w:val="18"/>
                        <w:szCs w:val="18"/>
                        <w:lang w:val="en-US" w:eastAsia="zh-CN" w:bidi="ar-SA"/>
                      </w:rPr>
                    </w:pPr>
                  </w:p>
                </w:txbxContent>
              </v:textbox>
            </v:shape>
          </w:pict>
        </mc:Fallback>
      </mc:AlternateContent>
    </w:r>
    <w:r>
      <w:rPr>
        <w:rFonts w:hint="eastAsia" w:ascii="楷体" w:hAnsi="等线" w:eastAsia="楷体" w:cs="楷体"/>
        <w:kern w:val="2"/>
        <w:sz w:val="18"/>
        <w:szCs w:val="18"/>
        <w:lang w:val="en-US" w:eastAsia="zh-CN" w:bidi="ar-SA"/>
      </w:rPr>
      <w:tab/>
    </w:r>
    <w:r>
      <w:rPr>
        <w:rFonts w:hint="eastAsia" w:ascii="楷体" w:hAnsi="等线" w:eastAsia="楷体" w:cs="楷体"/>
        <w:kern w:val="2"/>
        <w:sz w:val="18"/>
        <w:szCs w:val="18"/>
        <w:lang w:val="en-US" w:eastAsia="zh-CN" w:bidi="ar-SA"/>
      </w:rPr>
      <w:tab/>
    </w:r>
    <w:r>
      <w:rPr>
        <w:rFonts w:hint="eastAsia" w:ascii="楷体" w:hAnsi="等线" w:eastAsia="楷体" w:cs="楷体"/>
        <w:kern w:val="2"/>
        <w:sz w:val="18"/>
        <w:szCs w:val="18"/>
        <w:lang w:val="en-US" w:eastAsia="zh-CN" w:bidi="ar-S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6602CB"/>
    <w:multiLevelType w:val="singleLevel"/>
    <w:tmpl w:val="936602CB"/>
    <w:lvl w:ilvl="0" w:tentative="0">
      <w:start w:val="1"/>
      <w:numFmt w:val="decimal"/>
      <w:suff w:val="nothing"/>
      <w:lvlText w:val="（%1）"/>
      <w:lvlJc w:val="left"/>
    </w:lvl>
  </w:abstractNum>
  <w:abstractNum w:abstractNumId="1">
    <w:nsid w:val="A37E7810"/>
    <w:multiLevelType w:val="singleLevel"/>
    <w:tmpl w:val="A37E7810"/>
    <w:lvl w:ilvl="0" w:tentative="0">
      <w:start w:val="1"/>
      <w:numFmt w:val="decimal"/>
      <w:suff w:val="nothing"/>
      <w:lvlText w:val="%1．"/>
      <w:lvlJc w:val="left"/>
      <w:pPr>
        <w:ind w:left="0" w:firstLine="400"/>
      </w:pPr>
      <w:rPr>
        <w:rFonts w:hint="default"/>
      </w:rPr>
    </w:lvl>
  </w:abstractNum>
  <w:abstractNum w:abstractNumId="2">
    <w:nsid w:val="C2BF6F42"/>
    <w:multiLevelType w:val="singleLevel"/>
    <w:tmpl w:val="C2BF6F42"/>
    <w:lvl w:ilvl="0" w:tentative="0">
      <w:start w:val="1"/>
      <w:numFmt w:val="decimal"/>
      <w:suff w:val="nothing"/>
      <w:lvlText w:val="%1"/>
      <w:lvlJc w:val="center"/>
      <w:pPr>
        <w:ind w:left="0" w:firstLine="0"/>
      </w:pPr>
      <w:rPr>
        <w:rFonts w:hint="default"/>
      </w:rPr>
    </w:lvl>
  </w:abstractNum>
  <w:abstractNum w:abstractNumId="3">
    <w:nsid w:val="D25D51B9"/>
    <w:multiLevelType w:val="singleLevel"/>
    <w:tmpl w:val="D25D51B9"/>
    <w:lvl w:ilvl="0" w:tentative="0">
      <w:start w:val="1"/>
      <w:numFmt w:val="chineseCounting"/>
      <w:suff w:val="nothing"/>
      <w:lvlText w:val="%1、"/>
      <w:lvlJc w:val="left"/>
      <w:rPr>
        <w:rFonts w:hint="eastAsia"/>
        <w:b/>
        <w:bCs/>
      </w:rPr>
    </w:lvl>
  </w:abstractNum>
  <w:abstractNum w:abstractNumId="4">
    <w:nsid w:val="E1283F72"/>
    <w:multiLevelType w:val="singleLevel"/>
    <w:tmpl w:val="E1283F72"/>
    <w:lvl w:ilvl="0" w:tentative="0">
      <w:start w:val="4"/>
      <w:numFmt w:val="decimal"/>
      <w:suff w:val="nothing"/>
      <w:lvlText w:val="%1、"/>
      <w:lvlJc w:val="left"/>
    </w:lvl>
  </w:abstractNum>
  <w:abstractNum w:abstractNumId="5">
    <w:nsid w:val="0000000E"/>
    <w:multiLevelType w:val="singleLevel"/>
    <w:tmpl w:val="0000000E"/>
    <w:lvl w:ilvl="0" w:tentative="0">
      <w:start w:val="1"/>
      <w:numFmt w:val="decimal"/>
      <w:lvlText w:val="(%1)"/>
      <w:lvlJc w:val="left"/>
      <w:pPr>
        <w:ind w:left="425" w:hanging="425"/>
      </w:pPr>
      <w:rPr>
        <w:rFonts w:hint="default"/>
      </w:rPr>
    </w:lvl>
  </w:abstractNum>
  <w:abstractNum w:abstractNumId="6">
    <w:nsid w:val="0000000F"/>
    <w:multiLevelType w:val="singleLevel"/>
    <w:tmpl w:val="0000000F"/>
    <w:lvl w:ilvl="0" w:tentative="0">
      <w:start w:val="1"/>
      <w:numFmt w:val="chineseCounting"/>
      <w:suff w:val="nothing"/>
      <w:lvlText w:val="%1、"/>
      <w:lvlJc w:val="left"/>
      <w:rPr>
        <w:rFonts w:hint="eastAsia"/>
      </w:rPr>
    </w:lvl>
  </w:abstractNum>
  <w:abstractNum w:abstractNumId="7">
    <w:nsid w:val="0000001C"/>
    <w:multiLevelType w:val="singleLevel"/>
    <w:tmpl w:val="0000001C"/>
    <w:lvl w:ilvl="0" w:tentative="0">
      <w:start w:val="1"/>
      <w:numFmt w:val="decimal"/>
      <w:lvlText w:val="(%1)"/>
      <w:lvlJc w:val="left"/>
      <w:pPr>
        <w:tabs>
          <w:tab w:val="left" w:pos="0"/>
        </w:tabs>
        <w:ind w:left="0" w:firstLine="0"/>
      </w:pPr>
      <w:rPr>
        <w:rFonts w:hint="default"/>
      </w:rPr>
    </w:lvl>
  </w:abstractNum>
  <w:abstractNum w:abstractNumId="8">
    <w:nsid w:val="0000001E"/>
    <w:multiLevelType w:val="singleLevel"/>
    <w:tmpl w:val="0000001E"/>
    <w:lvl w:ilvl="0" w:tentative="0">
      <w:start w:val="1"/>
      <w:numFmt w:val="decimal"/>
      <w:lvlText w:val="(%1)"/>
      <w:lvlJc w:val="left"/>
      <w:pPr>
        <w:tabs>
          <w:tab w:val="left" w:pos="0"/>
        </w:tabs>
        <w:ind w:left="0" w:firstLine="0"/>
      </w:pPr>
      <w:rPr>
        <w:rFonts w:hint="default"/>
      </w:rPr>
    </w:lvl>
  </w:abstractNum>
  <w:abstractNum w:abstractNumId="9">
    <w:nsid w:val="0D8AABEB"/>
    <w:multiLevelType w:val="singleLevel"/>
    <w:tmpl w:val="0D8AABEB"/>
    <w:lvl w:ilvl="0" w:tentative="0">
      <w:start w:val="1"/>
      <w:numFmt w:val="decimal"/>
      <w:suff w:val="nothing"/>
      <w:lvlText w:val="%1"/>
      <w:lvlJc w:val="center"/>
      <w:pPr>
        <w:ind w:left="0" w:firstLine="0"/>
      </w:pPr>
      <w:rPr>
        <w:rFonts w:hint="default"/>
      </w:rPr>
    </w:lvl>
  </w:abstractNum>
  <w:abstractNum w:abstractNumId="10">
    <w:nsid w:val="11CD82E5"/>
    <w:multiLevelType w:val="singleLevel"/>
    <w:tmpl w:val="11CD82E5"/>
    <w:lvl w:ilvl="0" w:tentative="0">
      <w:start w:val="3"/>
      <w:numFmt w:val="decimal"/>
      <w:suff w:val="nothing"/>
      <w:lvlText w:val="%1、"/>
      <w:lvlJc w:val="left"/>
    </w:lvl>
  </w:abstractNum>
  <w:abstractNum w:abstractNumId="11">
    <w:nsid w:val="1CAF362E"/>
    <w:multiLevelType w:val="singleLevel"/>
    <w:tmpl w:val="1CAF362E"/>
    <w:lvl w:ilvl="0" w:tentative="0">
      <w:start w:val="1"/>
      <w:numFmt w:val="decimal"/>
      <w:suff w:val="nothing"/>
      <w:lvlText w:val="%1、"/>
      <w:lvlJc w:val="left"/>
    </w:lvl>
  </w:abstractNum>
  <w:abstractNum w:abstractNumId="12">
    <w:nsid w:val="2618B967"/>
    <w:multiLevelType w:val="singleLevel"/>
    <w:tmpl w:val="2618B967"/>
    <w:lvl w:ilvl="0" w:tentative="0">
      <w:start w:val="1"/>
      <w:numFmt w:val="chineseCounting"/>
      <w:suff w:val="nothing"/>
      <w:lvlText w:val="（%1）"/>
      <w:lvlJc w:val="left"/>
      <w:pPr>
        <w:ind w:left="0" w:firstLine="420"/>
      </w:pPr>
      <w:rPr>
        <w:rFonts w:hint="eastAsia"/>
      </w:rPr>
    </w:lvl>
  </w:abstractNum>
  <w:abstractNum w:abstractNumId="13">
    <w:nsid w:val="6B39C012"/>
    <w:multiLevelType w:val="singleLevel"/>
    <w:tmpl w:val="6B39C012"/>
    <w:lvl w:ilvl="0" w:tentative="0">
      <w:start w:val="1"/>
      <w:numFmt w:val="decimal"/>
      <w:suff w:val="nothing"/>
      <w:lvlText w:val="%1、"/>
      <w:lvlJc w:val="left"/>
    </w:lvl>
  </w:abstractNum>
  <w:abstractNum w:abstractNumId="14">
    <w:nsid w:val="7C97A581"/>
    <w:multiLevelType w:val="singleLevel"/>
    <w:tmpl w:val="7C97A581"/>
    <w:lvl w:ilvl="0" w:tentative="0">
      <w:start w:val="1"/>
      <w:numFmt w:val="decimal"/>
      <w:suff w:val="nothing"/>
      <w:lvlText w:val="%1"/>
      <w:lvlJc w:val="center"/>
      <w:pPr>
        <w:ind w:left="0" w:firstLine="0"/>
      </w:pPr>
      <w:rPr>
        <w:rFonts w:hint="default"/>
      </w:rPr>
    </w:lvl>
  </w:abstractNum>
  <w:num w:numId="1">
    <w:abstractNumId w:val="6"/>
  </w:num>
  <w:num w:numId="2">
    <w:abstractNumId w:val="13"/>
  </w:num>
  <w:num w:numId="3">
    <w:abstractNumId w:val="10"/>
  </w:num>
  <w:num w:numId="4">
    <w:abstractNumId w:val="3"/>
  </w:num>
  <w:num w:numId="5">
    <w:abstractNumId w:val="5"/>
  </w:num>
  <w:num w:numId="6">
    <w:abstractNumId w:val="8"/>
  </w:num>
  <w:num w:numId="7">
    <w:abstractNumId w:val="7"/>
  </w:num>
  <w:num w:numId="8">
    <w:abstractNumId w:val="0"/>
  </w:num>
  <w:num w:numId="9">
    <w:abstractNumId w:val="12"/>
  </w:num>
  <w:num w:numId="10">
    <w:abstractNumId w:val="9"/>
  </w:num>
  <w:num w:numId="11">
    <w:abstractNumId w:val="14"/>
  </w:num>
  <w:num w:numId="12">
    <w:abstractNumId w:val="2"/>
  </w:num>
  <w:num w:numId="13">
    <w:abstractNumId w:val="11"/>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9D2F33"/>
    <w:rsid w:val="008102F1"/>
    <w:rsid w:val="04003C23"/>
    <w:rsid w:val="06FE50B3"/>
    <w:rsid w:val="07301876"/>
    <w:rsid w:val="07484B91"/>
    <w:rsid w:val="0837398B"/>
    <w:rsid w:val="09C92FBF"/>
    <w:rsid w:val="0E903615"/>
    <w:rsid w:val="10335A10"/>
    <w:rsid w:val="116C5DC7"/>
    <w:rsid w:val="13E62302"/>
    <w:rsid w:val="14354D8F"/>
    <w:rsid w:val="15F47354"/>
    <w:rsid w:val="1627241F"/>
    <w:rsid w:val="19A77274"/>
    <w:rsid w:val="19AE222D"/>
    <w:rsid w:val="1B1738D4"/>
    <w:rsid w:val="1FAF5501"/>
    <w:rsid w:val="24954CAE"/>
    <w:rsid w:val="258212E1"/>
    <w:rsid w:val="26AC2B16"/>
    <w:rsid w:val="276D48ED"/>
    <w:rsid w:val="279E540F"/>
    <w:rsid w:val="29A924E3"/>
    <w:rsid w:val="2A304D23"/>
    <w:rsid w:val="2B5C4E32"/>
    <w:rsid w:val="2BAC690D"/>
    <w:rsid w:val="2BC414EB"/>
    <w:rsid w:val="2BD94334"/>
    <w:rsid w:val="2D8B6F64"/>
    <w:rsid w:val="2DEC59F1"/>
    <w:rsid w:val="2E6C74BA"/>
    <w:rsid w:val="2FF845BD"/>
    <w:rsid w:val="31944BBF"/>
    <w:rsid w:val="34D7306B"/>
    <w:rsid w:val="369C2E2D"/>
    <w:rsid w:val="36ED52C6"/>
    <w:rsid w:val="37217B5C"/>
    <w:rsid w:val="38DE55D9"/>
    <w:rsid w:val="392C0EF2"/>
    <w:rsid w:val="392E47B3"/>
    <w:rsid w:val="3A636C59"/>
    <w:rsid w:val="3AE36337"/>
    <w:rsid w:val="3AFB6916"/>
    <w:rsid w:val="3D112164"/>
    <w:rsid w:val="3E8C5D24"/>
    <w:rsid w:val="3E915B90"/>
    <w:rsid w:val="413D4E33"/>
    <w:rsid w:val="450835A8"/>
    <w:rsid w:val="45833790"/>
    <w:rsid w:val="46094224"/>
    <w:rsid w:val="481D35F6"/>
    <w:rsid w:val="4982492A"/>
    <w:rsid w:val="4E797E26"/>
    <w:rsid w:val="505F4DFA"/>
    <w:rsid w:val="5081196D"/>
    <w:rsid w:val="513D1C4D"/>
    <w:rsid w:val="54640C31"/>
    <w:rsid w:val="55C52ADD"/>
    <w:rsid w:val="57554DCE"/>
    <w:rsid w:val="58600F69"/>
    <w:rsid w:val="5875244F"/>
    <w:rsid w:val="599D2F33"/>
    <w:rsid w:val="5A2F29B4"/>
    <w:rsid w:val="5BF77548"/>
    <w:rsid w:val="5E1D792F"/>
    <w:rsid w:val="5F212A4B"/>
    <w:rsid w:val="62EF6FEA"/>
    <w:rsid w:val="65DE6399"/>
    <w:rsid w:val="6BBB3287"/>
    <w:rsid w:val="6E2F4600"/>
    <w:rsid w:val="6E331948"/>
    <w:rsid w:val="6ECF755A"/>
    <w:rsid w:val="71520AA6"/>
    <w:rsid w:val="744E1EB6"/>
    <w:rsid w:val="75F74182"/>
    <w:rsid w:val="76C03F95"/>
    <w:rsid w:val="7BAC4AE8"/>
    <w:rsid w:val="7E616952"/>
    <w:rsid w:val="7FA55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toc 3"/>
    <w:basedOn w:val="1"/>
    <w:next w:val="1"/>
    <w:qFormat/>
    <w:uiPriority w:val="0"/>
    <w:pPr>
      <w:ind w:left="840" w:leftChars="4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table" w:styleId="11">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13">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108</Pages>
  <Words>5904</Words>
  <Characters>6445</Characters>
  <Lines>0</Lines>
  <Paragraphs>0</Paragraphs>
  <TotalTime>1</TotalTime>
  <ScaleCrop>false</ScaleCrop>
  <LinksUpToDate>false</LinksUpToDate>
  <CharactersWithSpaces>6748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2026-09-01T12:17:00Z</dcterms:created>
  <dc:creator>Administrator</dc:creator>
  <cp:lastModifiedBy>Administrator</cp:lastModifiedBy>
  <cp:lastPrinted>2026-09-17T06:36:00Z</cp:lastPrinted>
  <dcterms:modified xsi:type="dcterms:W3CDTF">2026-09-18T05:52:40Z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71A4D25CF1D04AB78B5079F9CF606102_11</vt:lpwstr>
  </property>
  <property fmtid="{D5CDD505-2E9C-101B-9397-08002B2CF9AE}" pid="4" name="KSOTemplateDocerSaveRecord">
    <vt:lpwstr>eyJoZGlkIjoiYzYzOWYyMTNhYjlmMjY0YzFiOGI5ODI0NWIyYmFlMzkiLCJ1c2VySWQiOiIyMTY0NjUzMjMifQ==</vt:lpwstr>
  </property>
</Properties>
</file>