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EE089E">
      <w:pPr>
        <w:pStyle w:val="2"/>
        <w:keepNext w:val="0"/>
        <w:adjustRightInd w:val="0"/>
        <w:snapToGrid w:val="0"/>
        <w:spacing w:before="156" w:beforeLines="50" w:line="360" w:lineRule="auto"/>
        <w:rPr>
          <w:rFonts w:ascii="黑体" w:hAnsi="华文中宋" w:eastAsia="黑体"/>
          <w:sz w:val="32"/>
          <w:szCs w:val="32"/>
        </w:rPr>
      </w:pPr>
      <w:bookmarkStart w:id="0" w:name="_Toc12252"/>
      <w:r>
        <w:rPr>
          <w:rFonts w:hint="eastAsia" w:ascii="黑体" w:hAnsi="华文中宋" w:eastAsia="黑体"/>
          <w:sz w:val="32"/>
          <w:szCs w:val="32"/>
        </w:rPr>
        <w:t>第五章 采购需求</w:t>
      </w:r>
      <w:bookmarkEnd w:id="0"/>
    </w:p>
    <w:p w14:paraId="3239CFCE">
      <w:pPr>
        <w:pStyle w:val="3"/>
        <w:adjustRightInd w:val="0"/>
        <w:snapToGrid w:val="0"/>
        <w:spacing w:before="156" w:beforeLines="50"/>
        <w:jc w:val="center"/>
        <w:rPr>
          <w:rFonts w:ascii="黑体" w:hAnsi="黑体" w:eastAsia="黑体"/>
          <w:sz w:val="28"/>
          <w:szCs w:val="28"/>
        </w:rPr>
      </w:pPr>
      <w:bookmarkStart w:id="1" w:name="_Toc3070"/>
      <w:r>
        <w:rPr>
          <w:rFonts w:hint="eastAsia" w:ascii="黑体" w:hAnsi="黑体" w:eastAsia="黑体"/>
          <w:sz w:val="28"/>
          <w:szCs w:val="28"/>
        </w:rPr>
        <w:t>第一节 采购清单一览表</w:t>
      </w:r>
      <w:bookmarkEnd w:id="1"/>
    </w:p>
    <w:tbl>
      <w:tblPr>
        <w:tblStyle w:val="4"/>
        <w:tblW w:w="9437" w:type="dxa"/>
        <w:tblInd w:w="0"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655"/>
        <w:gridCol w:w="2777"/>
        <w:gridCol w:w="2529"/>
        <w:gridCol w:w="1156"/>
        <w:gridCol w:w="1179"/>
        <w:gridCol w:w="1141"/>
      </w:tblGrid>
      <w:tr w14:paraId="3214105B">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825" w:hRule="atLeast"/>
        </w:trPr>
        <w:tc>
          <w:tcPr>
            <w:tcW w:w="655" w:type="dxa"/>
            <w:noWrap w:val="0"/>
            <w:vAlign w:val="center"/>
          </w:tcPr>
          <w:p w14:paraId="5F02EF19">
            <w:pPr>
              <w:adjustRightInd w:val="0"/>
              <w:snapToGrid w:val="0"/>
              <w:jc w:val="center"/>
              <w:rPr>
                <w:szCs w:val="21"/>
              </w:rPr>
            </w:pPr>
            <w:r>
              <w:rPr>
                <w:rFonts w:hint="eastAsia"/>
                <w:szCs w:val="21"/>
              </w:rPr>
              <w:t xml:space="preserve">包号 </w:t>
            </w:r>
          </w:p>
        </w:tc>
        <w:tc>
          <w:tcPr>
            <w:tcW w:w="2777" w:type="dxa"/>
            <w:noWrap w:val="0"/>
            <w:vAlign w:val="center"/>
          </w:tcPr>
          <w:p w14:paraId="658D7284">
            <w:pPr>
              <w:adjustRightInd w:val="0"/>
              <w:snapToGrid w:val="0"/>
              <w:jc w:val="center"/>
              <w:rPr>
                <w:szCs w:val="21"/>
              </w:rPr>
            </w:pPr>
            <w:r>
              <w:rPr>
                <w:rFonts w:hint="eastAsia"/>
                <w:szCs w:val="21"/>
              </w:rPr>
              <w:t>标的名称</w:t>
            </w:r>
          </w:p>
        </w:tc>
        <w:tc>
          <w:tcPr>
            <w:tcW w:w="2529" w:type="dxa"/>
            <w:tcBorders>
              <w:left w:val="single" w:color="auto" w:sz="4" w:space="0"/>
            </w:tcBorders>
            <w:noWrap w:val="0"/>
            <w:vAlign w:val="center"/>
          </w:tcPr>
          <w:p w14:paraId="1A86EBC7">
            <w:pPr>
              <w:adjustRightInd w:val="0"/>
              <w:snapToGrid w:val="0"/>
              <w:jc w:val="center"/>
              <w:rPr>
                <w:szCs w:val="21"/>
              </w:rPr>
            </w:pPr>
            <w:r>
              <w:rPr>
                <w:rFonts w:hint="eastAsia"/>
                <w:szCs w:val="21"/>
              </w:rPr>
              <w:t>简要技术要求</w:t>
            </w:r>
          </w:p>
        </w:tc>
        <w:tc>
          <w:tcPr>
            <w:tcW w:w="1156" w:type="dxa"/>
            <w:tcBorders>
              <w:left w:val="single" w:color="auto" w:sz="4" w:space="0"/>
            </w:tcBorders>
            <w:noWrap w:val="0"/>
            <w:vAlign w:val="center"/>
          </w:tcPr>
          <w:p w14:paraId="54D86020">
            <w:pPr>
              <w:adjustRightInd w:val="0"/>
              <w:snapToGrid w:val="0"/>
              <w:jc w:val="center"/>
              <w:rPr>
                <w:rFonts w:ascii="宋体" w:hAnsi="宋体" w:cs="宋体"/>
                <w:kern w:val="0"/>
                <w:szCs w:val="21"/>
              </w:rPr>
            </w:pPr>
            <w:r>
              <w:rPr>
                <w:rFonts w:hint="eastAsia"/>
                <w:szCs w:val="21"/>
              </w:rPr>
              <w:t>数量</w:t>
            </w:r>
          </w:p>
        </w:tc>
        <w:tc>
          <w:tcPr>
            <w:tcW w:w="1179" w:type="dxa"/>
            <w:noWrap w:val="0"/>
            <w:vAlign w:val="center"/>
          </w:tcPr>
          <w:p w14:paraId="26E185DF">
            <w:pPr>
              <w:adjustRightInd w:val="0"/>
              <w:snapToGrid w:val="0"/>
              <w:jc w:val="center"/>
              <w:rPr>
                <w:szCs w:val="21"/>
              </w:rPr>
            </w:pPr>
            <w:r>
              <w:rPr>
                <w:rFonts w:hint="eastAsia"/>
                <w:szCs w:val="21"/>
              </w:rPr>
              <w:t>节能产品</w:t>
            </w:r>
          </w:p>
        </w:tc>
        <w:tc>
          <w:tcPr>
            <w:tcW w:w="1141" w:type="dxa"/>
            <w:noWrap w:val="0"/>
            <w:vAlign w:val="center"/>
          </w:tcPr>
          <w:p w14:paraId="16513073">
            <w:pPr>
              <w:adjustRightInd w:val="0"/>
              <w:snapToGrid w:val="0"/>
              <w:jc w:val="center"/>
              <w:rPr>
                <w:szCs w:val="21"/>
              </w:rPr>
            </w:pPr>
            <w:r>
              <w:rPr>
                <w:rFonts w:hint="eastAsia"/>
                <w:szCs w:val="21"/>
              </w:rPr>
              <w:t>进口产品</w:t>
            </w:r>
          </w:p>
        </w:tc>
      </w:tr>
      <w:tr w14:paraId="166AF0DC">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7" w:hRule="atLeast"/>
        </w:trPr>
        <w:tc>
          <w:tcPr>
            <w:tcW w:w="655" w:type="dxa"/>
            <w:vMerge w:val="restart"/>
            <w:noWrap w:val="0"/>
            <w:vAlign w:val="center"/>
          </w:tcPr>
          <w:p w14:paraId="15A07DDC">
            <w:pPr>
              <w:adjustRightInd w:val="0"/>
              <w:snapToGrid w:val="0"/>
              <w:spacing w:before="156" w:beforeLines="50" w:line="360" w:lineRule="auto"/>
              <w:jc w:val="center"/>
              <w:rPr>
                <w:rFonts w:hint="eastAsia" w:eastAsia="宋体"/>
                <w:szCs w:val="21"/>
                <w:lang w:val="en-US" w:eastAsia="zh-CN"/>
              </w:rPr>
            </w:pPr>
            <w:r>
              <w:rPr>
                <w:rFonts w:hint="eastAsia"/>
                <w:szCs w:val="21"/>
                <w:lang w:val="en-US" w:eastAsia="zh-CN"/>
              </w:rPr>
              <w:t>1</w:t>
            </w:r>
          </w:p>
        </w:tc>
        <w:tc>
          <w:tcPr>
            <w:tcW w:w="2777" w:type="dxa"/>
            <w:noWrap w:val="0"/>
            <w:vAlign w:val="center"/>
          </w:tcPr>
          <w:p w14:paraId="279890F6">
            <w:pPr>
              <w:adjustRightInd w:val="0"/>
              <w:snapToGrid w:val="0"/>
              <w:spacing w:before="156" w:beforeLines="50"/>
              <w:jc w:val="center"/>
              <w:rPr>
                <w:rFonts w:hint="eastAsia"/>
                <w:kern w:val="2"/>
                <w:sz w:val="21"/>
                <w:szCs w:val="21"/>
                <w:highlight w:val="none"/>
                <w:lang w:val="en-US" w:eastAsia="zh-CN" w:bidi="ar-SA"/>
              </w:rPr>
            </w:pPr>
            <w:r>
              <w:rPr>
                <w:rFonts w:hint="eastAsia" w:ascii="宋体" w:hAnsi="宋体" w:eastAsia="宋体" w:cs="宋体"/>
                <w:szCs w:val="21"/>
                <w:highlight w:val="none"/>
                <w:lang w:eastAsia="zh-CN"/>
              </w:rPr>
              <w:t>眼动检测仪</w:t>
            </w:r>
          </w:p>
        </w:tc>
        <w:tc>
          <w:tcPr>
            <w:tcW w:w="2529" w:type="dxa"/>
            <w:tcBorders>
              <w:left w:val="single" w:color="auto" w:sz="4" w:space="0"/>
            </w:tcBorders>
            <w:noWrap w:val="0"/>
            <w:vAlign w:val="center"/>
          </w:tcPr>
          <w:p w14:paraId="2C82529F">
            <w:pPr>
              <w:adjustRightInd w:val="0"/>
              <w:snapToGrid w:val="0"/>
              <w:spacing w:before="156" w:beforeLines="50" w:line="360" w:lineRule="auto"/>
              <w:jc w:val="center"/>
              <w:rPr>
                <w:rFonts w:hint="eastAsia"/>
                <w:kern w:val="2"/>
                <w:sz w:val="21"/>
                <w:szCs w:val="21"/>
                <w:highlight w:val="none"/>
                <w:lang w:val="en-US" w:eastAsia="zh-CN" w:bidi="ar-SA"/>
              </w:rPr>
            </w:pPr>
            <w:r>
              <w:rPr>
                <w:rFonts w:hint="eastAsia"/>
                <w:szCs w:val="21"/>
                <w:highlight w:val="none"/>
              </w:rPr>
              <w:t>详见第二节“技术要求”</w:t>
            </w:r>
          </w:p>
        </w:tc>
        <w:tc>
          <w:tcPr>
            <w:tcW w:w="1156" w:type="dxa"/>
            <w:tcBorders>
              <w:left w:val="single" w:color="auto" w:sz="4" w:space="0"/>
            </w:tcBorders>
            <w:noWrap w:val="0"/>
            <w:vAlign w:val="center"/>
          </w:tcPr>
          <w:p w14:paraId="585DCC8A">
            <w:pPr>
              <w:adjustRightInd w:val="0"/>
              <w:snapToGrid w:val="0"/>
              <w:spacing w:before="156" w:beforeLines="50" w:line="360" w:lineRule="auto"/>
              <w:jc w:val="center"/>
              <w:rPr>
                <w:rFonts w:hint="eastAsia"/>
                <w:kern w:val="2"/>
                <w:sz w:val="21"/>
                <w:szCs w:val="21"/>
                <w:highlight w:val="none"/>
                <w:lang w:val="en-US" w:eastAsia="zh-CN" w:bidi="ar-SA"/>
              </w:rPr>
            </w:pPr>
            <w:r>
              <w:rPr>
                <w:rFonts w:hint="eastAsia"/>
                <w:szCs w:val="21"/>
                <w:highlight w:val="none"/>
                <w:lang w:val="en-US" w:eastAsia="zh-CN"/>
              </w:rPr>
              <w:t>1套</w:t>
            </w:r>
          </w:p>
        </w:tc>
        <w:tc>
          <w:tcPr>
            <w:tcW w:w="1179" w:type="dxa"/>
            <w:noWrap w:val="0"/>
            <w:vAlign w:val="center"/>
          </w:tcPr>
          <w:p w14:paraId="02B3D1CF">
            <w:pPr>
              <w:adjustRightInd w:val="0"/>
              <w:snapToGrid w:val="0"/>
              <w:spacing w:before="156" w:beforeLines="50" w:line="360" w:lineRule="auto"/>
              <w:jc w:val="center"/>
              <w:rPr>
                <w:rFonts w:hint="eastAsia" w:ascii="宋体" w:hAnsi="宋体"/>
                <w:iCs/>
                <w:kern w:val="2"/>
                <w:sz w:val="21"/>
                <w:szCs w:val="21"/>
                <w:lang w:val="en-US" w:eastAsia="zh-CN" w:bidi="ar-SA"/>
              </w:rPr>
            </w:pPr>
            <w:r>
              <w:rPr>
                <w:rFonts w:hint="eastAsia" w:ascii="宋体" w:hAnsi="宋体"/>
                <w:iCs/>
                <w:szCs w:val="21"/>
              </w:rPr>
              <w:sym w:font="Wingdings" w:char="00A8"/>
            </w:r>
          </w:p>
        </w:tc>
        <w:tc>
          <w:tcPr>
            <w:tcW w:w="1141" w:type="dxa"/>
            <w:noWrap w:val="0"/>
            <w:vAlign w:val="center"/>
          </w:tcPr>
          <w:p w14:paraId="57055363">
            <w:pPr>
              <w:adjustRightInd w:val="0"/>
              <w:snapToGrid w:val="0"/>
              <w:spacing w:before="156" w:beforeLines="50" w:line="360" w:lineRule="auto"/>
              <w:jc w:val="center"/>
              <w:rPr>
                <w:rFonts w:hint="eastAsia" w:ascii="宋体" w:hAnsi="宋体"/>
                <w:iCs/>
                <w:kern w:val="2"/>
                <w:sz w:val="21"/>
                <w:szCs w:val="21"/>
                <w:lang w:val="en-US" w:eastAsia="zh-CN" w:bidi="ar-SA"/>
              </w:rPr>
            </w:pPr>
            <w:r>
              <w:rPr>
                <w:rFonts w:hint="eastAsia" w:ascii="宋体" w:hAnsi="宋体"/>
                <w:iCs/>
                <w:szCs w:val="21"/>
              </w:rPr>
              <w:sym w:font="Wingdings" w:char="00A8"/>
            </w:r>
          </w:p>
        </w:tc>
      </w:tr>
      <w:tr w14:paraId="0DA0249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7" w:hRule="atLeast"/>
        </w:trPr>
        <w:tc>
          <w:tcPr>
            <w:tcW w:w="655" w:type="dxa"/>
            <w:vMerge w:val="continue"/>
            <w:noWrap w:val="0"/>
            <w:vAlign w:val="center"/>
          </w:tcPr>
          <w:p w14:paraId="4E49A521">
            <w:pPr>
              <w:adjustRightInd w:val="0"/>
              <w:snapToGrid w:val="0"/>
              <w:spacing w:before="156" w:beforeLines="50" w:line="360" w:lineRule="auto"/>
              <w:jc w:val="center"/>
              <w:rPr>
                <w:rFonts w:hint="default"/>
                <w:szCs w:val="21"/>
                <w:lang w:val="en-US" w:eastAsia="zh-CN"/>
              </w:rPr>
            </w:pPr>
          </w:p>
        </w:tc>
        <w:tc>
          <w:tcPr>
            <w:tcW w:w="2777" w:type="dxa"/>
            <w:noWrap w:val="0"/>
            <w:vAlign w:val="center"/>
          </w:tcPr>
          <w:p w14:paraId="5B13168F">
            <w:pPr>
              <w:adjustRightInd w:val="0"/>
              <w:snapToGrid w:val="0"/>
              <w:spacing w:before="156" w:beforeLines="50"/>
              <w:jc w:val="center"/>
              <w:rPr>
                <w:rFonts w:hint="eastAsia"/>
                <w:kern w:val="2"/>
                <w:sz w:val="21"/>
                <w:szCs w:val="21"/>
                <w:highlight w:val="none"/>
                <w:lang w:val="en-US" w:eastAsia="zh-CN" w:bidi="ar-SA"/>
              </w:rPr>
            </w:pPr>
            <w:r>
              <w:rPr>
                <w:rFonts w:hint="eastAsia" w:ascii="宋体" w:hAnsi="宋体" w:cs="宋体"/>
                <w:szCs w:val="21"/>
                <w:highlight w:val="none"/>
                <w:lang w:eastAsia="zh-CN"/>
              </w:rPr>
              <w:t>4k高清腹腔镜</w:t>
            </w:r>
          </w:p>
        </w:tc>
        <w:tc>
          <w:tcPr>
            <w:tcW w:w="2529" w:type="dxa"/>
            <w:tcBorders>
              <w:left w:val="single" w:color="auto" w:sz="4" w:space="0"/>
            </w:tcBorders>
            <w:noWrap w:val="0"/>
            <w:vAlign w:val="center"/>
          </w:tcPr>
          <w:p w14:paraId="4B1E8D18">
            <w:pPr>
              <w:adjustRightInd w:val="0"/>
              <w:snapToGrid w:val="0"/>
              <w:spacing w:before="156" w:beforeLines="50" w:line="360" w:lineRule="auto"/>
              <w:jc w:val="center"/>
              <w:rPr>
                <w:rFonts w:hint="eastAsia"/>
                <w:szCs w:val="21"/>
                <w:highlight w:val="none"/>
              </w:rPr>
            </w:pPr>
            <w:r>
              <w:rPr>
                <w:rFonts w:hint="eastAsia"/>
                <w:szCs w:val="21"/>
                <w:highlight w:val="none"/>
              </w:rPr>
              <w:t>详见第二节“技术要求”</w:t>
            </w:r>
          </w:p>
        </w:tc>
        <w:tc>
          <w:tcPr>
            <w:tcW w:w="1156" w:type="dxa"/>
            <w:tcBorders>
              <w:left w:val="single" w:color="auto" w:sz="4" w:space="0"/>
            </w:tcBorders>
            <w:noWrap w:val="0"/>
            <w:vAlign w:val="center"/>
          </w:tcPr>
          <w:p w14:paraId="0AED41F7">
            <w:pPr>
              <w:adjustRightInd w:val="0"/>
              <w:snapToGrid w:val="0"/>
              <w:spacing w:before="156" w:beforeLines="50" w:line="360" w:lineRule="auto"/>
              <w:jc w:val="center"/>
              <w:rPr>
                <w:rFonts w:hint="default"/>
                <w:szCs w:val="21"/>
                <w:highlight w:val="none"/>
                <w:lang w:val="en-US" w:eastAsia="zh-CN"/>
              </w:rPr>
            </w:pPr>
            <w:r>
              <w:rPr>
                <w:rFonts w:hint="eastAsia"/>
                <w:szCs w:val="21"/>
                <w:highlight w:val="none"/>
                <w:lang w:val="en-US" w:eastAsia="zh-CN"/>
              </w:rPr>
              <w:t>1套</w:t>
            </w:r>
          </w:p>
        </w:tc>
        <w:tc>
          <w:tcPr>
            <w:tcW w:w="1179" w:type="dxa"/>
            <w:noWrap w:val="0"/>
            <w:vAlign w:val="center"/>
          </w:tcPr>
          <w:p w14:paraId="1D7B1FFA">
            <w:pPr>
              <w:adjustRightInd w:val="0"/>
              <w:snapToGrid w:val="0"/>
              <w:spacing w:before="156" w:beforeLines="50" w:line="360" w:lineRule="auto"/>
              <w:jc w:val="center"/>
              <w:rPr>
                <w:rFonts w:hint="eastAsia" w:ascii="宋体" w:hAnsi="宋体"/>
                <w:iCs/>
                <w:szCs w:val="21"/>
              </w:rPr>
            </w:pPr>
            <w:r>
              <w:rPr>
                <w:rFonts w:hint="eastAsia" w:ascii="宋体" w:hAnsi="宋体"/>
                <w:iCs/>
                <w:szCs w:val="21"/>
              </w:rPr>
              <w:sym w:font="Wingdings" w:char="00A8"/>
            </w:r>
          </w:p>
        </w:tc>
        <w:tc>
          <w:tcPr>
            <w:tcW w:w="1141" w:type="dxa"/>
            <w:noWrap w:val="0"/>
            <w:vAlign w:val="center"/>
          </w:tcPr>
          <w:p w14:paraId="48BB0458">
            <w:pPr>
              <w:adjustRightInd w:val="0"/>
              <w:snapToGrid w:val="0"/>
              <w:spacing w:before="156" w:beforeLines="50" w:line="360" w:lineRule="auto"/>
              <w:jc w:val="center"/>
              <w:rPr>
                <w:rFonts w:hint="eastAsia" w:ascii="宋体" w:hAnsi="宋体"/>
                <w:iCs/>
                <w:szCs w:val="21"/>
              </w:rPr>
            </w:pPr>
            <w:r>
              <w:rPr>
                <w:rFonts w:hint="eastAsia" w:ascii="宋体" w:hAnsi="宋体"/>
                <w:iCs/>
                <w:szCs w:val="21"/>
              </w:rPr>
              <w:sym w:font="Wingdings" w:char="00A8"/>
            </w:r>
          </w:p>
        </w:tc>
      </w:tr>
      <w:tr w14:paraId="545C23B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cantSplit/>
          <w:trHeight w:val="537" w:hRule="atLeast"/>
        </w:trPr>
        <w:tc>
          <w:tcPr>
            <w:tcW w:w="655" w:type="dxa"/>
            <w:vMerge w:val="continue"/>
            <w:noWrap w:val="0"/>
            <w:vAlign w:val="center"/>
          </w:tcPr>
          <w:p w14:paraId="12E7C9DC">
            <w:pPr>
              <w:adjustRightInd w:val="0"/>
              <w:snapToGrid w:val="0"/>
              <w:spacing w:before="156" w:beforeLines="50" w:line="360" w:lineRule="auto"/>
              <w:jc w:val="center"/>
              <w:rPr>
                <w:rFonts w:hint="default"/>
                <w:szCs w:val="21"/>
                <w:lang w:val="en-US" w:eastAsia="zh-CN"/>
              </w:rPr>
            </w:pPr>
          </w:p>
        </w:tc>
        <w:tc>
          <w:tcPr>
            <w:tcW w:w="2777" w:type="dxa"/>
            <w:noWrap w:val="0"/>
            <w:vAlign w:val="center"/>
          </w:tcPr>
          <w:p w14:paraId="0AEA5C0F">
            <w:pPr>
              <w:adjustRightInd w:val="0"/>
              <w:snapToGrid w:val="0"/>
              <w:spacing w:before="156" w:beforeLines="50"/>
              <w:jc w:val="center"/>
              <w:rPr>
                <w:rFonts w:hint="eastAsia"/>
                <w:kern w:val="2"/>
                <w:sz w:val="21"/>
                <w:szCs w:val="21"/>
                <w:highlight w:val="none"/>
                <w:lang w:val="en-US" w:eastAsia="zh-CN" w:bidi="ar-SA"/>
              </w:rPr>
            </w:pPr>
            <w:r>
              <w:rPr>
                <w:rFonts w:hint="eastAsia" w:ascii="宋体" w:hAnsi="宋体" w:cs="宋体"/>
                <w:szCs w:val="21"/>
                <w:highlight w:val="none"/>
                <w:lang w:eastAsia="zh-CN"/>
              </w:rPr>
              <w:t>失眠综合治疗仪(声光振)</w:t>
            </w:r>
          </w:p>
        </w:tc>
        <w:tc>
          <w:tcPr>
            <w:tcW w:w="2529" w:type="dxa"/>
            <w:tcBorders>
              <w:left w:val="single" w:color="auto" w:sz="4" w:space="0"/>
            </w:tcBorders>
            <w:noWrap w:val="0"/>
            <w:vAlign w:val="center"/>
          </w:tcPr>
          <w:p w14:paraId="476533A4">
            <w:pPr>
              <w:adjustRightInd w:val="0"/>
              <w:snapToGrid w:val="0"/>
              <w:spacing w:before="156" w:beforeLines="50" w:line="360" w:lineRule="auto"/>
              <w:jc w:val="center"/>
              <w:rPr>
                <w:rFonts w:hint="eastAsia"/>
                <w:szCs w:val="21"/>
                <w:highlight w:val="none"/>
              </w:rPr>
            </w:pPr>
            <w:r>
              <w:rPr>
                <w:rFonts w:hint="eastAsia"/>
                <w:szCs w:val="21"/>
                <w:highlight w:val="none"/>
              </w:rPr>
              <w:t>详见第二节“技术要求”</w:t>
            </w:r>
          </w:p>
        </w:tc>
        <w:tc>
          <w:tcPr>
            <w:tcW w:w="1156" w:type="dxa"/>
            <w:tcBorders>
              <w:left w:val="single" w:color="auto" w:sz="4" w:space="0"/>
            </w:tcBorders>
            <w:noWrap w:val="0"/>
            <w:vAlign w:val="center"/>
          </w:tcPr>
          <w:p w14:paraId="42A7D267">
            <w:pPr>
              <w:adjustRightInd w:val="0"/>
              <w:snapToGrid w:val="0"/>
              <w:spacing w:before="156" w:beforeLines="50" w:line="360" w:lineRule="auto"/>
              <w:jc w:val="center"/>
              <w:rPr>
                <w:rFonts w:hint="eastAsia"/>
                <w:szCs w:val="21"/>
                <w:highlight w:val="none"/>
                <w:lang w:val="en-US" w:eastAsia="zh-CN"/>
              </w:rPr>
            </w:pPr>
            <w:r>
              <w:rPr>
                <w:rFonts w:hint="eastAsia"/>
                <w:szCs w:val="21"/>
                <w:highlight w:val="none"/>
                <w:lang w:val="en-US" w:eastAsia="zh-CN"/>
              </w:rPr>
              <w:t>1套</w:t>
            </w:r>
          </w:p>
        </w:tc>
        <w:tc>
          <w:tcPr>
            <w:tcW w:w="1179" w:type="dxa"/>
            <w:noWrap w:val="0"/>
            <w:vAlign w:val="center"/>
          </w:tcPr>
          <w:p w14:paraId="71586E69">
            <w:pPr>
              <w:adjustRightInd w:val="0"/>
              <w:snapToGrid w:val="0"/>
              <w:spacing w:before="156" w:beforeLines="50" w:line="360" w:lineRule="auto"/>
              <w:jc w:val="center"/>
              <w:rPr>
                <w:rFonts w:hint="eastAsia" w:ascii="宋体" w:hAnsi="宋体"/>
                <w:iCs/>
                <w:szCs w:val="21"/>
              </w:rPr>
            </w:pPr>
            <w:r>
              <w:rPr>
                <w:rFonts w:hint="eastAsia" w:ascii="宋体" w:hAnsi="宋体"/>
                <w:iCs/>
                <w:szCs w:val="21"/>
              </w:rPr>
              <w:sym w:font="Wingdings" w:char="00A8"/>
            </w:r>
          </w:p>
        </w:tc>
        <w:tc>
          <w:tcPr>
            <w:tcW w:w="1141" w:type="dxa"/>
            <w:noWrap w:val="0"/>
            <w:vAlign w:val="center"/>
          </w:tcPr>
          <w:p w14:paraId="4B969EC9">
            <w:pPr>
              <w:adjustRightInd w:val="0"/>
              <w:snapToGrid w:val="0"/>
              <w:spacing w:before="156" w:beforeLines="50" w:line="360" w:lineRule="auto"/>
              <w:jc w:val="center"/>
              <w:rPr>
                <w:rFonts w:hint="eastAsia" w:ascii="宋体" w:hAnsi="宋体"/>
                <w:iCs/>
                <w:szCs w:val="21"/>
              </w:rPr>
            </w:pPr>
            <w:r>
              <w:rPr>
                <w:rFonts w:hint="eastAsia" w:ascii="宋体" w:hAnsi="宋体"/>
                <w:iCs/>
                <w:szCs w:val="21"/>
              </w:rPr>
              <w:sym w:font="Wingdings" w:char="00A8"/>
            </w:r>
          </w:p>
        </w:tc>
      </w:tr>
    </w:tbl>
    <w:p w14:paraId="006F50B9">
      <w:pPr>
        <w:adjustRightInd w:val="0"/>
        <w:snapToGrid w:val="0"/>
        <w:spacing w:before="156" w:beforeLines="50" w:line="360" w:lineRule="auto"/>
        <w:rPr>
          <w:rFonts w:ascii="宋体" w:hAnsi="宋体"/>
          <w:szCs w:val="21"/>
        </w:rPr>
      </w:pPr>
      <w:r>
        <w:rPr>
          <w:rFonts w:hint="eastAsia" w:ascii="宋体" w:hAnsi="宋体"/>
          <w:szCs w:val="21"/>
        </w:rPr>
        <w:t>注：1.“包”为最小合同单位（最小投标单位）。每“包”内容应细化到具体标的。</w:t>
      </w:r>
    </w:p>
    <w:p w14:paraId="04478D57">
      <w:pPr>
        <w:adjustRightInd w:val="0"/>
        <w:snapToGrid w:val="0"/>
        <w:spacing w:before="156" w:beforeLines="50" w:line="360" w:lineRule="auto"/>
        <w:ind w:firstLine="420" w:firstLineChars="200"/>
        <w:rPr>
          <w:rFonts w:ascii="宋体" w:hAnsi="宋体"/>
          <w:szCs w:val="21"/>
        </w:rPr>
      </w:pPr>
      <w:r>
        <w:rPr>
          <w:rFonts w:hint="eastAsia" w:ascii="宋体" w:hAnsi="宋体"/>
          <w:szCs w:val="21"/>
        </w:rPr>
        <w:t>2.投标人必须对一个完整、独立的包进行投标，不得仅对一个包中的部分标的投标，否则</w:t>
      </w:r>
      <w:r>
        <w:rPr>
          <w:rFonts w:hint="eastAsia" w:ascii="宋体" w:hAnsi="宋体"/>
          <w:b/>
          <w:szCs w:val="21"/>
        </w:rPr>
        <w:t>投标无效。</w:t>
      </w:r>
    </w:p>
    <w:p w14:paraId="620F1D56">
      <w:pPr>
        <w:adjustRightInd w:val="0"/>
        <w:snapToGrid w:val="0"/>
        <w:spacing w:before="156" w:beforeLines="50" w:line="360" w:lineRule="auto"/>
        <w:ind w:firstLine="420" w:firstLineChars="200"/>
        <w:rPr>
          <w:rFonts w:ascii="宋体" w:hAnsi="宋体" w:cs="宋体"/>
          <w:kern w:val="0"/>
          <w:szCs w:val="21"/>
        </w:rPr>
      </w:pPr>
      <w:r>
        <w:rPr>
          <w:rFonts w:hint="eastAsia" w:ascii="宋体" w:hAnsi="宋体"/>
          <w:szCs w:val="21"/>
        </w:rPr>
        <w:t>3.货物的主要技术参数或规格：</w:t>
      </w:r>
      <w:r>
        <w:rPr>
          <w:rFonts w:ascii="宋体" w:hAnsi="宋体" w:cs="宋体"/>
          <w:kern w:val="0"/>
          <w:szCs w:val="21"/>
        </w:rPr>
        <w:t>详见“技术要求”中的具体技术参数</w:t>
      </w:r>
      <w:r>
        <w:rPr>
          <w:rFonts w:hint="eastAsia" w:ascii="宋体" w:hAnsi="宋体" w:cs="宋体"/>
          <w:kern w:val="0"/>
          <w:szCs w:val="21"/>
        </w:rPr>
        <w:t>。</w:t>
      </w:r>
    </w:p>
    <w:p w14:paraId="19C0B3C1">
      <w:pPr>
        <w:adjustRightInd w:val="0"/>
        <w:snapToGrid w:val="0"/>
        <w:spacing w:before="156" w:beforeLines="50" w:line="360" w:lineRule="auto"/>
        <w:ind w:firstLine="420" w:firstLineChars="200"/>
        <w:rPr>
          <w:rFonts w:ascii="宋体" w:hAnsi="宋体" w:cs="宋体"/>
          <w:kern w:val="0"/>
          <w:szCs w:val="21"/>
        </w:rPr>
      </w:pPr>
      <w:r>
        <w:rPr>
          <w:rFonts w:hint="eastAsia" w:ascii="宋体" w:hAnsi="宋体" w:cs="宋体"/>
          <w:bCs/>
          <w:kern w:val="0"/>
          <w:szCs w:val="21"/>
        </w:rPr>
        <w:t>4.投标人应</w:t>
      </w:r>
      <w:r>
        <w:rPr>
          <w:rFonts w:hint="eastAsia" w:ascii="宋体" w:hAnsi="宋体" w:cs="宋体"/>
          <w:kern w:val="0"/>
          <w:szCs w:val="21"/>
        </w:rPr>
        <w:t>在投标文件《分项报价明细表》中按</w:t>
      </w:r>
      <w:r>
        <w:rPr>
          <w:rFonts w:hint="eastAsia" w:ascii="宋体" w:hAnsi="宋体"/>
          <w:szCs w:val="21"/>
        </w:rPr>
        <w:t>标的名称</w:t>
      </w:r>
      <w:r>
        <w:rPr>
          <w:rFonts w:hint="eastAsia" w:ascii="宋体" w:hAnsi="宋体" w:cs="宋体"/>
          <w:kern w:val="0"/>
          <w:szCs w:val="21"/>
        </w:rPr>
        <w:t>顺序逐项填写，且每个标的中的条目均需按招标文件规定报价。如有缺项、漏项，其</w:t>
      </w:r>
      <w:r>
        <w:rPr>
          <w:rFonts w:hint="eastAsia" w:ascii="宋体" w:hAnsi="宋体" w:cs="宋体"/>
          <w:b/>
          <w:kern w:val="0"/>
          <w:szCs w:val="21"/>
        </w:rPr>
        <w:t>投标无效</w:t>
      </w:r>
      <w:r>
        <w:rPr>
          <w:rFonts w:hint="eastAsia" w:ascii="宋体" w:hAnsi="宋体" w:cs="宋体"/>
          <w:kern w:val="0"/>
          <w:szCs w:val="21"/>
        </w:rPr>
        <w:t>。</w:t>
      </w:r>
    </w:p>
    <w:p w14:paraId="15F42E56">
      <w:pPr>
        <w:pStyle w:val="6"/>
        <w:rPr>
          <w:rFonts w:ascii="宋体" w:hAnsi="宋体" w:cs="宋体"/>
          <w:kern w:val="0"/>
        </w:rPr>
      </w:pPr>
    </w:p>
    <w:p w14:paraId="560B0C18">
      <w:pPr>
        <w:pStyle w:val="6"/>
        <w:rPr>
          <w:rFonts w:ascii="宋体" w:hAnsi="宋体" w:cs="宋体"/>
          <w:kern w:val="0"/>
        </w:rPr>
      </w:pPr>
    </w:p>
    <w:p w14:paraId="42E89CEF">
      <w:pPr>
        <w:pStyle w:val="3"/>
        <w:adjustRightInd w:val="0"/>
        <w:snapToGrid w:val="0"/>
        <w:spacing w:before="156" w:beforeLines="50"/>
        <w:jc w:val="center"/>
        <w:rPr>
          <w:rFonts w:hint="eastAsia" w:ascii="黑体" w:hAnsi="黑体" w:eastAsia="黑体"/>
          <w:sz w:val="28"/>
          <w:szCs w:val="28"/>
        </w:rPr>
        <w:sectPr>
          <w:pgSz w:w="11906" w:h="16838"/>
          <w:pgMar w:top="1474" w:right="1474" w:bottom="1474" w:left="1588" w:header="851" w:footer="992" w:gutter="0"/>
          <w:pgNumType w:fmt="decimal"/>
          <w:cols w:space="720" w:num="1"/>
          <w:docGrid w:type="lines" w:linePitch="312" w:charSpace="0"/>
        </w:sectPr>
      </w:pPr>
      <w:bookmarkStart w:id="2" w:name="_Toc13301"/>
    </w:p>
    <w:bookmarkEnd w:id="2"/>
    <w:p w14:paraId="136FC191">
      <w:pPr>
        <w:spacing w:line="240" w:lineRule="auto"/>
        <w:rPr>
          <w:rFonts w:hint="eastAsia" w:ascii="宋体" w:hAnsi="宋体" w:eastAsia="宋体"/>
          <w:b w:val="0"/>
          <w:bCs w:val="0"/>
          <w:szCs w:val="21"/>
          <w:lang w:val="en-US" w:eastAsia="zh-CN"/>
        </w:rPr>
      </w:pPr>
      <w:bookmarkStart w:id="3" w:name="_Toc17069"/>
    </w:p>
    <w:p w14:paraId="741CA16F">
      <w:pPr>
        <w:pStyle w:val="3"/>
        <w:adjustRightInd w:val="0"/>
        <w:snapToGrid w:val="0"/>
        <w:spacing w:before="156" w:beforeLines="50"/>
        <w:jc w:val="center"/>
        <w:rPr>
          <w:rFonts w:ascii="黑体" w:hAnsi="黑体" w:eastAsia="黑体"/>
          <w:color w:val="auto"/>
          <w:sz w:val="28"/>
          <w:szCs w:val="28"/>
        </w:rPr>
      </w:pPr>
      <w:r>
        <w:rPr>
          <w:rFonts w:hint="eastAsia" w:ascii="黑体" w:hAnsi="黑体" w:eastAsia="黑体"/>
          <w:color w:val="auto"/>
          <w:sz w:val="28"/>
          <w:szCs w:val="28"/>
        </w:rPr>
        <w:t xml:space="preserve">第二节 </w:t>
      </w:r>
      <w:r>
        <w:rPr>
          <w:rFonts w:ascii="黑体" w:hAnsi="黑体" w:eastAsia="黑体"/>
          <w:color w:val="auto"/>
          <w:sz w:val="28"/>
          <w:szCs w:val="28"/>
        </w:rPr>
        <w:t>技术要求</w:t>
      </w:r>
    </w:p>
    <w:p w14:paraId="63A5D44B">
      <w:pPr>
        <w:jc w:val="center"/>
        <w:rPr>
          <w:rFonts w:hint="eastAsia" w:ascii="宋体" w:hAnsi="宋体" w:eastAsia="宋体"/>
          <w:b/>
          <w:color w:val="auto"/>
          <w:sz w:val="28"/>
          <w:szCs w:val="28"/>
        </w:rPr>
      </w:pPr>
      <w:r>
        <w:rPr>
          <w:rFonts w:hint="eastAsia" w:ascii="宋体" w:hAnsi="宋体" w:eastAsia="宋体"/>
          <w:b/>
          <w:color w:val="auto"/>
          <w:sz w:val="28"/>
          <w:szCs w:val="28"/>
        </w:rPr>
        <w:t>眼动检测仪技术规格及要求</w:t>
      </w:r>
    </w:p>
    <w:p w14:paraId="1BEDA245">
      <w:pPr>
        <w:widowControl/>
        <w:jc w:val="left"/>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一、总体基本要求</w:t>
      </w:r>
    </w:p>
    <w:p w14:paraId="247FE89A">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1.1</w:t>
      </w:r>
      <w:r>
        <w:rPr>
          <w:rFonts w:hint="eastAsia" w:ascii="宋体" w:hAnsi="宋体" w:eastAsia="宋体" w:cs="宋体"/>
          <w:color w:val="auto"/>
          <w:kern w:val="0"/>
          <w:sz w:val="22"/>
          <w:szCs w:val="22"/>
          <w:highlight w:val="none"/>
        </w:rPr>
        <w:t>具备 NMPA 医疗器械注册证，注册证适用范围包含眼球运动轨迹及瞳孔变化的记录或精神疾病辅助评估相关功能。（佐证材料：医疗器械注册证）</w:t>
      </w:r>
    </w:p>
    <w:p w14:paraId="431DA57E">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1.2</w:t>
      </w:r>
      <w:r>
        <w:rPr>
          <w:rFonts w:hint="eastAsia" w:ascii="宋体" w:hAnsi="宋体" w:eastAsia="宋体" w:cs="宋体"/>
          <w:color w:val="auto"/>
          <w:kern w:val="0"/>
          <w:sz w:val="22"/>
          <w:szCs w:val="22"/>
          <w:highlight w:val="none"/>
        </w:rPr>
        <w:t>整机电气安全符合 GB 9706.1-2020、YY 9706.102 医用电气通用及电磁兼容相关国家标准。（佐证材料：注册检验报告）</w:t>
      </w:r>
    </w:p>
    <w:p w14:paraId="565E30C5">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1.3</w:t>
      </w:r>
      <w:r>
        <w:rPr>
          <w:rFonts w:hint="eastAsia" w:ascii="宋体" w:hAnsi="宋体" w:eastAsia="宋体" w:cs="宋体"/>
          <w:color w:val="auto"/>
          <w:kern w:val="0"/>
          <w:sz w:val="22"/>
          <w:szCs w:val="22"/>
          <w:highlight w:val="none"/>
        </w:rPr>
        <w:t>整机免费基础维保不少于 5年。（佐证材料：投标人提供的售后服务承诺函）</w:t>
      </w:r>
    </w:p>
    <w:p w14:paraId="6ACA7456">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w:t>
      </w:r>
      <w:r>
        <w:rPr>
          <w:rFonts w:hint="eastAsia" w:ascii="宋体" w:hAnsi="宋体" w:eastAsia="宋体" w:cs="宋体"/>
          <w:color w:val="auto"/>
          <w:kern w:val="0"/>
          <w:sz w:val="22"/>
          <w:szCs w:val="22"/>
          <w:highlight w:val="none"/>
          <w:lang w:val="en-US" w:eastAsia="zh-CN"/>
        </w:rPr>
        <w:t>1.4</w:t>
      </w:r>
      <w:r>
        <w:rPr>
          <w:rFonts w:hint="eastAsia" w:ascii="宋体" w:hAnsi="宋体" w:eastAsia="宋体" w:cs="宋体"/>
          <w:color w:val="auto"/>
          <w:kern w:val="0"/>
          <w:sz w:val="22"/>
          <w:szCs w:val="22"/>
          <w:highlight w:val="none"/>
        </w:rPr>
        <w:t>采用非接触式近红外眼动采集技术，设备部件不接触人眼周围皮肤，支持双眼同步追踪检测；配备额托头部支撑支架，固定测试眼机与受试者眼睛距离。（佐证材料：产品说明书或</w:t>
      </w:r>
      <w:r>
        <w:rPr>
          <w:rFonts w:hint="eastAsia" w:ascii="宋体" w:hAnsi="宋体" w:cs="宋体"/>
          <w:color w:val="auto"/>
          <w:kern w:val="0"/>
          <w:sz w:val="22"/>
          <w:szCs w:val="22"/>
          <w:highlight w:val="none"/>
          <w:lang w:val="en-US" w:eastAsia="zh-CN"/>
        </w:rPr>
        <w:t>技术白皮书</w:t>
      </w:r>
      <w:r>
        <w:rPr>
          <w:rFonts w:hint="eastAsia" w:ascii="宋体" w:hAnsi="宋体" w:eastAsia="宋体" w:cs="宋体"/>
          <w:color w:val="auto"/>
          <w:kern w:val="0"/>
          <w:sz w:val="22"/>
          <w:szCs w:val="22"/>
          <w:highlight w:val="none"/>
        </w:rPr>
        <w:t>）</w:t>
      </w:r>
    </w:p>
    <w:p w14:paraId="4F7108E0">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w:t>
      </w:r>
      <w:r>
        <w:rPr>
          <w:rFonts w:hint="eastAsia" w:ascii="宋体" w:hAnsi="宋体" w:eastAsia="宋体" w:cs="宋体"/>
          <w:color w:val="auto"/>
          <w:kern w:val="0"/>
          <w:sz w:val="22"/>
          <w:szCs w:val="22"/>
          <w:highlight w:val="none"/>
          <w:lang w:val="en-US" w:eastAsia="zh-CN"/>
        </w:rPr>
        <w:t>1.5</w:t>
      </w:r>
      <w:r>
        <w:rPr>
          <w:rFonts w:hint="eastAsia" w:ascii="宋体" w:hAnsi="宋体" w:eastAsia="宋体" w:cs="宋体"/>
          <w:color w:val="auto"/>
          <w:kern w:val="0"/>
          <w:sz w:val="22"/>
          <w:szCs w:val="22"/>
          <w:highlight w:val="none"/>
        </w:rPr>
        <w:t>设备预期使用寿</w:t>
      </w:r>
      <w:r>
        <w:rPr>
          <w:rFonts w:hint="eastAsia" w:ascii="宋体" w:hAnsi="宋体" w:eastAsia="宋体" w:cs="宋体"/>
          <w:color w:val="auto"/>
          <w:kern w:val="0"/>
          <w:sz w:val="22"/>
          <w:szCs w:val="22"/>
          <w:highlight w:val="none"/>
          <w:lang w:eastAsia="zh-CN"/>
        </w:rPr>
        <w:t>命≥</w:t>
      </w:r>
      <w:r>
        <w:rPr>
          <w:rFonts w:hint="eastAsia" w:ascii="宋体" w:hAnsi="宋体" w:eastAsia="宋体" w:cs="宋体"/>
          <w:color w:val="auto"/>
          <w:kern w:val="0"/>
          <w:sz w:val="22"/>
          <w:szCs w:val="22"/>
          <w:highlight w:val="none"/>
        </w:rPr>
        <w:t>10 年。（佐证材料：产品说明书或制造商公开技术文件）</w:t>
      </w:r>
    </w:p>
    <w:p w14:paraId="77C4C75E">
      <w:pPr>
        <w:widowControl/>
        <w:jc w:val="left"/>
        <w:rPr>
          <w:rFonts w:hint="eastAsia" w:ascii="宋体" w:hAnsi="宋体" w:eastAsia="宋体" w:cs="宋体"/>
          <w:color w:val="auto"/>
          <w:kern w:val="0"/>
          <w:sz w:val="22"/>
          <w:szCs w:val="22"/>
          <w:highlight w:val="none"/>
        </w:rPr>
      </w:pPr>
      <w:r>
        <w:rPr>
          <w:rFonts w:hint="eastAsia" w:ascii="宋体" w:hAnsi="宋体" w:eastAsia="宋体" w:cs="宋体"/>
          <w:b/>
          <w:bCs/>
          <w:color w:val="auto"/>
          <w:kern w:val="0"/>
          <w:sz w:val="22"/>
          <w:szCs w:val="22"/>
          <w:highlight w:val="none"/>
          <w:lang w:val="en-US" w:eastAsia="zh-CN"/>
        </w:rPr>
        <w:t>二、</w:t>
      </w:r>
      <w:r>
        <w:rPr>
          <w:rFonts w:hint="eastAsia" w:ascii="宋体" w:hAnsi="宋体" w:eastAsia="宋体" w:cs="宋体"/>
          <w:b/>
          <w:bCs/>
          <w:color w:val="auto"/>
          <w:kern w:val="0"/>
          <w:sz w:val="22"/>
          <w:szCs w:val="22"/>
          <w:highlight w:val="none"/>
        </w:rPr>
        <w:t>系统参数</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w:t>
      </w:r>
      <w:r>
        <w:rPr>
          <w:rFonts w:hint="eastAsia" w:ascii="宋体" w:hAnsi="宋体" w:eastAsia="宋体" w:cs="宋体"/>
          <w:color w:val="auto"/>
          <w:kern w:val="0"/>
          <w:sz w:val="22"/>
          <w:szCs w:val="22"/>
          <w:highlight w:val="none"/>
          <w:lang w:val="en-US" w:eastAsia="zh-CN"/>
        </w:rPr>
        <w:t>2.1</w:t>
      </w:r>
      <w:r>
        <w:rPr>
          <w:rFonts w:hint="eastAsia" w:ascii="宋体" w:hAnsi="宋体" w:eastAsia="宋体" w:cs="宋体"/>
          <w:color w:val="auto"/>
          <w:kern w:val="0"/>
          <w:sz w:val="22"/>
          <w:szCs w:val="22"/>
          <w:highlight w:val="none"/>
        </w:rPr>
        <w:t>采用双显示器配置，分为操作员（医生）显示屏、受试者显示屏，每块显示屏尺寸≥23.8 英寸，分辨率≥1920×1080。（佐证材料：产品说明书）</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lang w:val="en-US" w:eastAsia="zh-CN"/>
        </w:rPr>
        <w:t>2.2</w:t>
      </w:r>
      <w:r>
        <w:rPr>
          <w:rFonts w:hint="eastAsia" w:ascii="宋体" w:hAnsi="宋体" w:eastAsia="宋体" w:cs="宋体"/>
          <w:color w:val="auto"/>
          <w:kern w:val="0"/>
          <w:sz w:val="22"/>
          <w:szCs w:val="22"/>
          <w:highlight w:val="none"/>
        </w:rPr>
        <w:t>配套工作站计算机性能不低于：CPU 四核及以上处理器，主频≥3.0GHz，内存≥8GB，硬盘≥</w:t>
      </w:r>
      <w:r>
        <w:rPr>
          <w:rFonts w:hint="eastAsia" w:ascii="宋体" w:hAnsi="宋体" w:cs="宋体"/>
          <w:color w:val="auto"/>
          <w:kern w:val="0"/>
          <w:sz w:val="22"/>
          <w:szCs w:val="22"/>
          <w:highlight w:val="none"/>
          <w:lang w:val="en-US" w:eastAsia="zh-CN"/>
        </w:rPr>
        <w:t>512</w:t>
      </w:r>
      <w:r>
        <w:rPr>
          <w:rFonts w:hint="eastAsia" w:ascii="宋体" w:hAnsi="宋体" w:eastAsia="宋体" w:cs="宋体"/>
          <w:color w:val="auto"/>
          <w:kern w:val="0"/>
          <w:sz w:val="22"/>
          <w:szCs w:val="22"/>
          <w:highlight w:val="none"/>
        </w:rPr>
        <w:t>GB；可满足眼动数据运算存储需求。（佐证材料：配置清单）</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lang w:val="en-US" w:eastAsia="zh-CN"/>
        </w:rPr>
        <w:t>2.3</w:t>
      </w:r>
      <w:r>
        <w:rPr>
          <w:rFonts w:hint="eastAsia" w:ascii="宋体" w:hAnsi="宋体" w:eastAsia="宋体" w:cs="宋体"/>
          <w:color w:val="auto"/>
          <w:kern w:val="0"/>
          <w:sz w:val="22"/>
          <w:szCs w:val="22"/>
          <w:highlight w:val="none"/>
        </w:rPr>
        <w:t>眼动采样率≥60Hz。（佐证材料：产品说明书）</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w:t>
      </w:r>
      <w:r>
        <w:rPr>
          <w:rFonts w:hint="eastAsia" w:ascii="宋体" w:hAnsi="宋体" w:eastAsia="宋体" w:cs="宋体"/>
          <w:color w:val="auto"/>
          <w:kern w:val="0"/>
          <w:sz w:val="22"/>
          <w:szCs w:val="22"/>
          <w:highlight w:val="none"/>
          <w:lang w:val="en-US" w:eastAsia="zh-CN"/>
        </w:rPr>
        <w:t>2.4</w:t>
      </w:r>
      <w:r>
        <w:rPr>
          <w:rFonts w:hint="eastAsia" w:ascii="宋体" w:hAnsi="宋体" w:eastAsia="宋体" w:cs="宋体"/>
          <w:color w:val="auto"/>
          <w:kern w:val="0"/>
          <w:sz w:val="22"/>
          <w:szCs w:val="22"/>
          <w:highlight w:val="none"/>
        </w:rPr>
        <w:t>单侧瞳孔测定抖晃率≤0.02°/15 秒；双侧瞳孔直径测量误差≤5%，瞳孔位置测量误差≤5%。（佐证材料：产品说明书）</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lang w:val="en-US" w:eastAsia="zh-CN"/>
        </w:rPr>
        <w:t>2.5</w:t>
      </w:r>
      <w:r>
        <w:rPr>
          <w:rFonts w:hint="eastAsia" w:ascii="宋体" w:hAnsi="宋体" w:eastAsia="宋体" w:cs="宋体"/>
          <w:color w:val="auto"/>
          <w:kern w:val="0"/>
          <w:sz w:val="22"/>
          <w:szCs w:val="22"/>
          <w:highlight w:val="none"/>
        </w:rPr>
        <w:t>眼动设备主机传感器分辨率不低于 640×480；数据接口支持 USB3.0 及以上。（佐证材料：产品说明书）</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w:t>
      </w:r>
      <w:r>
        <w:rPr>
          <w:rFonts w:hint="eastAsia" w:ascii="宋体" w:hAnsi="宋体" w:eastAsia="宋体" w:cs="宋体"/>
          <w:color w:val="auto"/>
          <w:kern w:val="0"/>
          <w:sz w:val="22"/>
          <w:szCs w:val="22"/>
          <w:highlight w:val="none"/>
          <w:lang w:val="en-US" w:eastAsia="zh-CN"/>
        </w:rPr>
        <w:t>2.6</w:t>
      </w:r>
      <w:r>
        <w:rPr>
          <w:rFonts w:hint="eastAsia" w:ascii="宋体" w:hAnsi="宋体" w:eastAsia="宋体" w:cs="宋体"/>
          <w:color w:val="auto"/>
          <w:kern w:val="0"/>
          <w:sz w:val="22"/>
          <w:szCs w:val="22"/>
          <w:highlight w:val="none"/>
        </w:rPr>
        <w:t>具备自动校准功能；测试距离支持 450mm～750mm 范围内可调或固定。（佐证材料：产品说明书或技术白皮书）</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w:t>
      </w:r>
      <w:r>
        <w:rPr>
          <w:rFonts w:hint="eastAsia" w:ascii="宋体" w:hAnsi="宋体" w:eastAsia="宋体" w:cs="宋体"/>
          <w:color w:val="auto"/>
          <w:kern w:val="0"/>
          <w:sz w:val="22"/>
          <w:szCs w:val="22"/>
          <w:highlight w:val="none"/>
          <w:lang w:val="en-US" w:eastAsia="zh-CN"/>
        </w:rPr>
        <w:t>2.7</w:t>
      </w:r>
      <w:r>
        <w:rPr>
          <w:rFonts w:hint="eastAsia" w:ascii="宋体" w:hAnsi="宋体" w:eastAsia="宋体" w:cs="宋体"/>
          <w:color w:val="auto"/>
          <w:kern w:val="0"/>
          <w:sz w:val="22"/>
          <w:szCs w:val="22"/>
          <w:highlight w:val="none"/>
        </w:rPr>
        <w:t>整机完成全套测试时间≤10 分钟，测试过程无需消耗耗材。（佐证材料：产品说明书或技术白皮书）</w:t>
      </w:r>
      <w:r>
        <w:rPr>
          <w:rFonts w:hint="eastAsia" w:ascii="宋体" w:hAnsi="宋体" w:eastAsia="宋体" w:cs="宋体"/>
          <w:color w:val="auto"/>
          <w:kern w:val="0"/>
          <w:sz w:val="22"/>
          <w:szCs w:val="22"/>
          <w:highlight w:val="none"/>
        </w:rPr>
        <w:br w:type="textWrapping"/>
      </w:r>
      <w:r>
        <w:rPr>
          <w:rFonts w:hint="eastAsia" w:ascii="宋体" w:hAnsi="宋体" w:eastAsia="宋体" w:cs="宋体"/>
          <w:b/>
          <w:bCs/>
          <w:color w:val="auto"/>
          <w:kern w:val="0"/>
          <w:sz w:val="22"/>
          <w:szCs w:val="22"/>
          <w:highlight w:val="none"/>
        </w:rPr>
        <w:t>三、眼动采集分析软件核心功能</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w:t>
      </w:r>
      <w:r>
        <w:rPr>
          <w:rFonts w:hint="eastAsia" w:ascii="宋体" w:hAnsi="宋体" w:eastAsia="宋体" w:cs="宋体"/>
          <w:color w:val="auto"/>
          <w:kern w:val="0"/>
          <w:sz w:val="22"/>
          <w:szCs w:val="22"/>
          <w:highlight w:val="none"/>
          <w:lang w:val="en-US" w:eastAsia="zh-CN"/>
        </w:rPr>
        <w:t>3.1</w:t>
      </w:r>
      <w:r>
        <w:rPr>
          <w:rFonts w:hint="eastAsia" w:ascii="宋体" w:hAnsi="宋体" w:eastAsia="宋体" w:cs="宋体"/>
          <w:color w:val="auto"/>
          <w:kern w:val="0"/>
          <w:sz w:val="22"/>
          <w:szCs w:val="22"/>
          <w:highlight w:val="none"/>
        </w:rPr>
        <w:t>标配基础检测范式，包含探索性眼球运动、注视稳定、平滑追随、扫视测试范式。（佐证材料：产品说明书）</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lang w:val="en-US" w:eastAsia="zh-CN"/>
        </w:rPr>
        <w:t>3.2</w:t>
      </w:r>
      <w:r>
        <w:rPr>
          <w:rFonts w:hint="eastAsia" w:ascii="宋体" w:hAnsi="宋体" w:eastAsia="宋体" w:cs="宋体"/>
          <w:color w:val="auto"/>
          <w:kern w:val="0"/>
          <w:sz w:val="22"/>
          <w:szCs w:val="22"/>
          <w:highlight w:val="none"/>
        </w:rPr>
        <w:t>具备自动统计临床关键评估指标，可输出凝视点数量 NEF、反应探索评分 RSS 等临床评估参数；支持检测报告编辑、预览、打印输出。（佐证材料：产品说明书或技术白皮书）</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lang w:val="en-US" w:eastAsia="zh-CN"/>
        </w:rPr>
        <w:t>3.3</w:t>
      </w:r>
      <w:r>
        <w:rPr>
          <w:rFonts w:hint="eastAsia" w:ascii="宋体" w:hAnsi="宋体" w:eastAsia="宋体" w:cs="宋体"/>
          <w:color w:val="auto"/>
          <w:kern w:val="0"/>
          <w:sz w:val="22"/>
          <w:szCs w:val="22"/>
          <w:highlight w:val="none"/>
        </w:rPr>
        <w:t>检测过程可实时获取眼球运动信息，实时显示、回放眼球运动轨迹，可显示瞳孔-视标位置偏差曲线，包含 X、Y 方向偏差。（佐证材料：产品说明书或技术白皮书</w:t>
      </w:r>
      <w:r>
        <w:rPr>
          <w:rFonts w:hint="eastAsia" w:ascii="宋体" w:hAnsi="宋体" w:cs="宋体"/>
          <w:color w:val="auto"/>
          <w:kern w:val="0"/>
          <w:sz w:val="22"/>
          <w:szCs w:val="22"/>
          <w:highlight w:val="none"/>
          <w:lang w:val="en-US" w:eastAsia="zh-CN"/>
        </w:rPr>
        <w:t>或</w:t>
      </w:r>
      <w:r>
        <w:rPr>
          <w:rFonts w:hint="eastAsia" w:ascii="宋体" w:hAnsi="宋体" w:eastAsia="宋体" w:cs="宋体"/>
          <w:color w:val="auto"/>
          <w:kern w:val="0"/>
          <w:sz w:val="22"/>
          <w:szCs w:val="22"/>
          <w:highlight w:val="none"/>
        </w:rPr>
        <w:t>软件界面截图）</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lang w:val="en-US" w:eastAsia="zh-CN"/>
        </w:rPr>
        <w:t>3.4</w:t>
      </w:r>
      <w:r>
        <w:rPr>
          <w:rFonts w:hint="eastAsia" w:ascii="宋体" w:hAnsi="宋体" w:eastAsia="宋体" w:cs="宋体"/>
          <w:color w:val="auto"/>
          <w:kern w:val="0"/>
          <w:sz w:val="22"/>
          <w:szCs w:val="22"/>
          <w:highlight w:val="none"/>
        </w:rPr>
        <w:t>支持受试者患者档案管理，可新增、修改、查询患者信息；全部测试数据加密存储，支持本地数据备份、历史记录查询调取。（佐证材料：产品说明书或技术白皮书）</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lang w:val="en-US" w:eastAsia="zh-CN"/>
        </w:rPr>
        <w:t>3.5</w:t>
      </w:r>
      <w:r>
        <w:rPr>
          <w:rFonts w:hint="eastAsia" w:ascii="宋体" w:hAnsi="宋体" w:eastAsia="宋体" w:cs="宋体"/>
          <w:color w:val="auto"/>
          <w:kern w:val="0"/>
          <w:sz w:val="22"/>
          <w:szCs w:val="22"/>
          <w:highlight w:val="none"/>
        </w:rPr>
        <w:t>支持自定义测试参数，可设置视标大小、颜色、背景色、注视时长、扫视参数、平滑追随视标移动速度、往返次数等。（佐证材料：产品说明书或技术白皮书）</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lang w:val="en-US" w:eastAsia="zh-CN"/>
        </w:rPr>
        <w:t>3.6</w:t>
      </w:r>
      <w:r>
        <w:rPr>
          <w:rFonts w:hint="eastAsia" w:ascii="宋体" w:hAnsi="宋体" w:eastAsia="宋体" w:cs="宋体"/>
          <w:color w:val="auto"/>
          <w:kern w:val="0"/>
          <w:sz w:val="22"/>
          <w:szCs w:val="22"/>
          <w:highlight w:val="none"/>
        </w:rPr>
        <w:t>支持热点图生成、可手动划分兴趣区，完成兴趣区内注视时间、注视点数量等定量数据分析；支持眼动原始数据回放。（佐证材料：产品说明书或技术白皮书）</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lang w:val="en-US" w:eastAsia="zh-CN"/>
        </w:rPr>
        <w:t>3.7</w:t>
      </w:r>
      <w:r>
        <w:rPr>
          <w:rFonts w:hint="eastAsia" w:ascii="宋体" w:hAnsi="宋体" w:eastAsia="宋体" w:cs="宋体"/>
          <w:color w:val="auto"/>
          <w:kern w:val="0"/>
          <w:sz w:val="22"/>
          <w:szCs w:val="22"/>
          <w:highlight w:val="none"/>
        </w:rPr>
        <w:t>支持测试结果、原始眼动数据导出为 Excel 通用格式。（佐证材料：产品说明书或技术白皮书）</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lang w:val="en-US" w:eastAsia="zh-CN"/>
        </w:rPr>
        <w:t>3.8</w:t>
      </w:r>
      <w:r>
        <w:rPr>
          <w:rFonts w:hint="eastAsia" w:ascii="宋体" w:hAnsi="宋体" w:eastAsia="宋体" w:cs="宋体"/>
          <w:color w:val="auto"/>
          <w:kern w:val="0"/>
          <w:sz w:val="22"/>
          <w:szCs w:val="22"/>
          <w:highlight w:val="none"/>
        </w:rPr>
        <w:t>可兼容外部科研设备，预留同步信号接口（如TTL等），支持与脑电、近红外等设备进行信号同步及发送事件标记信号；支持通过通用接口与主流心理学实验设计软件对接。（佐证材料：产品说明书或技术白皮书）</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lang w:val="en-US" w:eastAsia="zh-CN"/>
        </w:rPr>
        <w:t>3.9</w:t>
      </w:r>
      <w:r>
        <w:rPr>
          <w:rFonts w:hint="eastAsia" w:ascii="宋体" w:hAnsi="宋体" w:eastAsia="宋体" w:cs="宋体"/>
          <w:color w:val="auto"/>
          <w:kern w:val="0"/>
          <w:sz w:val="22"/>
          <w:szCs w:val="22"/>
          <w:highlight w:val="none"/>
        </w:rPr>
        <w:t>具备科研拓展实验设计能力，可导入图片、文字、视频作为刺激材料，自定义刺激呈现时长。（佐证材料：产品说明书或技术白皮书）</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lang w:val="en-US" w:eastAsia="zh-CN"/>
        </w:rPr>
        <w:t>3.10</w:t>
      </w:r>
      <w:r>
        <w:rPr>
          <w:rFonts w:hint="eastAsia" w:ascii="宋体" w:hAnsi="宋体" w:eastAsia="宋体" w:cs="宋体"/>
          <w:color w:val="auto"/>
          <w:kern w:val="0"/>
          <w:sz w:val="22"/>
          <w:szCs w:val="22"/>
          <w:highlight w:val="none"/>
        </w:rPr>
        <w:t>具备眼控注意力训练相关模块，可开展注意转移、注意分配等训练项目。（佐证材料：软件界面截图）</w:t>
      </w:r>
      <w:r>
        <w:rPr>
          <w:rFonts w:hint="eastAsia" w:ascii="宋体" w:hAnsi="宋体" w:eastAsia="宋体" w:cs="宋体"/>
          <w:color w:val="auto"/>
          <w:kern w:val="0"/>
          <w:sz w:val="22"/>
          <w:szCs w:val="22"/>
          <w:highlight w:val="none"/>
        </w:rPr>
        <w:br w:type="textWrapping"/>
      </w:r>
      <w:r>
        <w:rPr>
          <w:rFonts w:hint="eastAsia" w:ascii="宋体" w:hAnsi="宋体" w:eastAsia="宋体" w:cs="宋体"/>
          <w:color w:val="auto"/>
          <w:kern w:val="0"/>
          <w:sz w:val="22"/>
          <w:szCs w:val="22"/>
          <w:highlight w:val="none"/>
        </w:rPr>
        <w:t>▲</w:t>
      </w:r>
      <w:r>
        <w:rPr>
          <w:rFonts w:hint="eastAsia" w:ascii="宋体" w:hAnsi="宋体" w:eastAsia="宋体" w:cs="宋体"/>
          <w:color w:val="auto"/>
          <w:kern w:val="0"/>
          <w:sz w:val="22"/>
          <w:szCs w:val="22"/>
          <w:highlight w:val="none"/>
          <w:lang w:val="en-US" w:eastAsia="zh-CN"/>
        </w:rPr>
        <w:t>3.11</w:t>
      </w:r>
      <w:r>
        <w:rPr>
          <w:rFonts w:hint="eastAsia" w:ascii="宋体" w:hAnsi="宋体" w:eastAsia="宋体" w:cs="宋体"/>
          <w:color w:val="auto"/>
          <w:kern w:val="0"/>
          <w:sz w:val="22"/>
          <w:szCs w:val="22"/>
          <w:highlight w:val="none"/>
        </w:rPr>
        <w:t>配套生理记录设备，可以实时采集、呈现、记录红外脉搏、皮肤电阻等生理数据，可导入科研版眼动实验设计与分析软件，用于分析和应用。红外脉搏模块采样频率：≥200Hz；采样精度：10位。皮肤电阻模块：采样频率：≥50Hz。（提供产品图片）</w:t>
      </w:r>
    </w:p>
    <w:p w14:paraId="4001B6C7">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3.12负责与医院HIs对接并承担接口费</w:t>
      </w:r>
    </w:p>
    <w:p w14:paraId="1653929B">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w:t>
      </w:r>
      <w:r>
        <w:rPr>
          <w:rFonts w:hint="eastAsia" w:ascii="宋体" w:hAnsi="宋体" w:eastAsia="宋体" w:cs="宋体"/>
          <w:b/>
          <w:bCs/>
          <w:color w:val="auto"/>
          <w:kern w:val="0"/>
          <w:sz w:val="22"/>
          <w:szCs w:val="22"/>
          <w:highlight w:val="none"/>
        </w:rPr>
        <w:t>四、供货配置清单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3407"/>
        <w:gridCol w:w="1662"/>
        <w:gridCol w:w="3092"/>
      </w:tblGrid>
      <w:tr w14:paraId="106E6A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768" w:type="dxa"/>
            <w:noWrap w:val="0"/>
            <w:vAlign w:val="center"/>
          </w:tcPr>
          <w:p w14:paraId="3AC81D3E">
            <w:pPr>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序号</w:t>
            </w:r>
          </w:p>
        </w:tc>
        <w:tc>
          <w:tcPr>
            <w:tcW w:w="3407" w:type="dxa"/>
            <w:noWrap w:val="0"/>
            <w:vAlign w:val="center"/>
          </w:tcPr>
          <w:p w14:paraId="5C80A398">
            <w:pPr>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名称</w:t>
            </w:r>
          </w:p>
        </w:tc>
        <w:tc>
          <w:tcPr>
            <w:tcW w:w="1662" w:type="dxa"/>
            <w:noWrap w:val="0"/>
            <w:vAlign w:val="center"/>
          </w:tcPr>
          <w:p w14:paraId="2B2DCAD3">
            <w:pPr>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数量</w:t>
            </w:r>
          </w:p>
        </w:tc>
        <w:tc>
          <w:tcPr>
            <w:tcW w:w="3092" w:type="dxa"/>
            <w:noWrap w:val="0"/>
            <w:vAlign w:val="center"/>
          </w:tcPr>
          <w:p w14:paraId="26DCD2EB">
            <w:pPr>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单位</w:t>
            </w:r>
          </w:p>
        </w:tc>
      </w:tr>
      <w:tr w14:paraId="7ABD45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68" w:type="dxa"/>
            <w:noWrap w:val="0"/>
            <w:vAlign w:val="center"/>
          </w:tcPr>
          <w:p w14:paraId="649150E0">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3407" w:type="dxa"/>
            <w:noWrap w:val="0"/>
            <w:vAlign w:val="top"/>
          </w:tcPr>
          <w:p w14:paraId="54416A70">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眼动采集主机（医疗器械）</w:t>
            </w:r>
          </w:p>
        </w:tc>
        <w:tc>
          <w:tcPr>
            <w:tcW w:w="1662" w:type="dxa"/>
            <w:noWrap w:val="0"/>
            <w:vAlign w:val="top"/>
          </w:tcPr>
          <w:p w14:paraId="303CDA6D">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3092" w:type="dxa"/>
            <w:noWrap w:val="0"/>
            <w:vAlign w:val="top"/>
          </w:tcPr>
          <w:p w14:paraId="6582F08D">
            <w:pPr>
              <w:jc w:val="center"/>
              <w:rPr>
                <w:rFonts w:hint="eastAsia" w:ascii="宋体" w:hAnsi="宋体" w:eastAsia="宋体" w:cs="宋体"/>
                <w:sz w:val="22"/>
                <w:szCs w:val="22"/>
                <w:highlight w:val="none"/>
              </w:rPr>
            </w:pPr>
            <w:r>
              <w:rPr>
                <w:rFonts w:hint="eastAsia"/>
                <w:highlight w:val="none"/>
              </w:rPr>
              <w:t>套</w:t>
            </w:r>
          </w:p>
        </w:tc>
      </w:tr>
      <w:tr w14:paraId="72AACA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trPr>
        <w:tc>
          <w:tcPr>
            <w:tcW w:w="768" w:type="dxa"/>
            <w:noWrap w:val="0"/>
            <w:vAlign w:val="center"/>
          </w:tcPr>
          <w:p w14:paraId="75B7CBC6">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2</w:t>
            </w:r>
          </w:p>
        </w:tc>
        <w:tc>
          <w:tcPr>
            <w:tcW w:w="3407" w:type="dxa"/>
            <w:noWrap w:val="0"/>
            <w:vAlign w:val="top"/>
          </w:tcPr>
          <w:p w14:paraId="020C50CE">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眼动检测分析医用软件</w:t>
            </w:r>
          </w:p>
        </w:tc>
        <w:tc>
          <w:tcPr>
            <w:tcW w:w="1662" w:type="dxa"/>
            <w:noWrap w:val="0"/>
            <w:vAlign w:val="top"/>
          </w:tcPr>
          <w:p w14:paraId="50C7E638">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3092" w:type="dxa"/>
            <w:noWrap w:val="0"/>
            <w:vAlign w:val="top"/>
          </w:tcPr>
          <w:p w14:paraId="4453D3E3">
            <w:pPr>
              <w:jc w:val="center"/>
              <w:rPr>
                <w:rFonts w:hint="eastAsia" w:ascii="宋体" w:hAnsi="宋体" w:eastAsia="宋体" w:cs="宋体"/>
                <w:sz w:val="22"/>
                <w:szCs w:val="22"/>
                <w:highlight w:val="none"/>
              </w:rPr>
            </w:pPr>
            <w:r>
              <w:rPr>
                <w:rFonts w:hint="eastAsia"/>
                <w:highlight w:val="none"/>
              </w:rPr>
              <w:t>套</w:t>
            </w:r>
          </w:p>
        </w:tc>
      </w:tr>
      <w:tr w14:paraId="01C5E1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68" w:type="dxa"/>
            <w:noWrap w:val="0"/>
            <w:vAlign w:val="center"/>
          </w:tcPr>
          <w:p w14:paraId="536F7624">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3</w:t>
            </w:r>
          </w:p>
        </w:tc>
        <w:tc>
          <w:tcPr>
            <w:tcW w:w="3407" w:type="dxa"/>
            <w:noWrap w:val="0"/>
            <w:vAlign w:val="top"/>
          </w:tcPr>
          <w:p w14:paraId="6D81EF8B">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配套工作站电脑</w:t>
            </w:r>
          </w:p>
        </w:tc>
        <w:tc>
          <w:tcPr>
            <w:tcW w:w="1662" w:type="dxa"/>
            <w:noWrap w:val="0"/>
            <w:vAlign w:val="top"/>
          </w:tcPr>
          <w:p w14:paraId="65A53868">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3092" w:type="dxa"/>
            <w:noWrap w:val="0"/>
            <w:vAlign w:val="top"/>
          </w:tcPr>
          <w:p w14:paraId="48D1721C">
            <w:pPr>
              <w:jc w:val="center"/>
              <w:rPr>
                <w:rFonts w:hint="eastAsia" w:ascii="宋体" w:hAnsi="宋体" w:eastAsia="宋体" w:cs="宋体"/>
                <w:sz w:val="22"/>
                <w:szCs w:val="22"/>
                <w:highlight w:val="none"/>
              </w:rPr>
            </w:pPr>
            <w:r>
              <w:rPr>
                <w:rFonts w:hint="eastAsia"/>
                <w:highlight w:val="none"/>
              </w:rPr>
              <w:t>套</w:t>
            </w:r>
          </w:p>
        </w:tc>
      </w:tr>
      <w:tr w14:paraId="39F5A5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trPr>
        <w:tc>
          <w:tcPr>
            <w:tcW w:w="768" w:type="dxa"/>
            <w:noWrap w:val="0"/>
            <w:vAlign w:val="center"/>
          </w:tcPr>
          <w:p w14:paraId="47C71EBA">
            <w:pPr>
              <w:jc w:val="center"/>
              <w:rPr>
                <w:rFonts w:hint="default"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4</w:t>
            </w:r>
          </w:p>
        </w:tc>
        <w:tc>
          <w:tcPr>
            <w:tcW w:w="3407" w:type="dxa"/>
            <w:noWrap w:val="0"/>
            <w:vAlign w:val="top"/>
          </w:tcPr>
          <w:p w14:paraId="653A8A2E">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受试者测试显示器</w:t>
            </w:r>
          </w:p>
        </w:tc>
        <w:tc>
          <w:tcPr>
            <w:tcW w:w="1662" w:type="dxa"/>
            <w:noWrap w:val="0"/>
            <w:vAlign w:val="top"/>
          </w:tcPr>
          <w:p w14:paraId="1F41D048">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3092" w:type="dxa"/>
            <w:noWrap w:val="0"/>
            <w:vAlign w:val="top"/>
          </w:tcPr>
          <w:p w14:paraId="0E6BC2A7">
            <w:pPr>
              <w:jc w:val="center"/>
              <w:rPr>
                <w:rFonts w:hint="eastAsia" w:ascii="宋体" w:hAnsi="宋体" w:eastAsia="宋体" w:cs="宋体"/>
                <w:sz w:val="22"/>
                <w:szCs w:val="22"/>
                <w:highlight w:val="none"/>
                <w:lang w:eastAsia="zh-CN"/>
              </w:rPr>
            </w:pPr>
            <w:r>
              <w:rPr>
                <w:rFonts w:hint="eastAsia" w:ascii="宋体" w:hAnsi="宋体" w:cs="宋体"/>
                <w:sz w:val="22"/>
                <w:szCs w:val="22"/>
                <w:highlight w:val="none"/>
                <w:lang w:val="en-US" w:eastAsia="zh-CN"/>
              </w:rPr>
              <w:t>台</w:t>
            </w:r>
          </w:p>
        </w:tc>
      </w:tr>
      <w:tr w14:paraId="20FF28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trPr>
        <w:tc>
          <w:tcPr>
            <w:tcW w:w="768" w:type="dxa"/>
            <w:noWrap w:val="0"/>
            <w:vAlign w:val="center"/>
          </w:tcPr>
          <w:p w14:paraId="0EB74596">
            <w:pPr>
              <w:jc w:val="center"/>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lang w:val="en-US" w:eastAsia="zh-CN"/>
              </w:rPr>
              <w:t>5</w:t>
            </w:r>
          </w:p>
        </w:tc>
        <w:tc>
          <w:tcPr>
            <w:tcW w:w="3407" w:type="dxa"/>
            <w:noWrap w:val="0"/>
            <w:vAlign w:val="top"/>
          </w:tcPr>
          <w:p w14:paraId="093C0E44">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操作员（医生）显示器</w:t>
            </w:r>
          </w:p>
        </w:tc>
        <w:tc>
          <w:tcPr>
            <w:tcW w:w="1662" w:type="dxa"/>
            <w:noWrap w:val="0"/>
            <w:vAlign w:val="top"/>
          </w:tcPr>
          <w:p w14:paraId="49FFAF48">
            <w:pPr>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rPr>
              <w:t>1</w:t>
            </w:r>
          </w:p>
        </w:tc>
        <w:tc>
          <w:tcPr>
            <w:tcW w:w="3092" w:type="dxa"/>
            <w:noWrap w:val="0"/>
            <w:vAlign w:val="top"/>
          </w:tcPr>
          <w:p w14:paraId="12084656">
            <w:pPr>
              <w:jc w:val="center"/>
              <w:rPr>
                <w:rFonts w:hint="eastAsia" w:ascii="宋体" w:hAnsi="宋体" w:eastAsia="宋体" w:cs="宋体"/>
                <w:sz w:val="22"/>
                <w:szCs w:val="22"/>
                <w:highlight w:val="none"/>
              </w:rPr>
            </w:pPr>
            <w:r>
              <w:rPr>
                <w:rFonts w:hint="eastAsia" w:ascii="宋体" w:hAnsi="宋体" w:cs="宋体"/>
                <w:sz w:val="22"/>
                <w:szCs w:val="22"/>
                <w:highlight w:val="none"/>
                <w:lang w:val="en-US" w:eastAsia="zh-CN"/>
              </w:rPr>
              <w:t>台</w:t>
            </w:r>
          </w:p>
        </w:tc>
      </w:tr>
      <w:tr w14:paraId="4DFE4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768" w:type="dxa"/>
            <w:noWrap w:val="0"/>
            <w:vAlign w:val="center"/>
          </w:tcPr>
          <w:p w14:paraId="1C9E1FCE">
            <w:pPr>
              <w:jc w:val="center"/>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lang w:val="en-US" w:eastAsia="zh-CN"/>
              </w:rPr>
              <w:t>6</w:t>
            </w:r>
          </w:p>
        </w:tc>
        <w:tc>
          <w:tcPr>
            <w:tcW w:w="3407" w:type="dxa"/>
            <w:noWrap w:val="0"/>
            <w:vAlign w:val="top"/>
          </w:tcPr>
          <w:p w14:paraId="68A4DE0B">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额托头部支撑支架</w:t>
            </w:r>
          </w:p>
        </w:tc>
        <w:tc>
          <w:tcPr>
            <w:tcW w:w="1662" w:type="dxa"/>
            <w:noWrap w:val="0"/>
            <w:vAlign w:val="top"/>
          </w:tcPr>
          <w:p w14:paraId="177AE353">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3092" w:type="dxa"/>
            <w:noWrap w:val="0"/>
            <w:vAlign w:val="top"/>
          </w:tcPr>
          <w:p w14:paraId="69076241">
            <w:pPr>
              <w:jc w:val="center"/>
              <w:rPr>
                <w:rFonts w:hint="eastAsia" w:ascii="宋体" w:hAnsi="宋体" w:eastAsia="宋体" w:cs="宋体"/>
                <w:sz w:val="22"/>
                <w:szCs w:val="22"/>
                <w:highlight w:val="none"/>
              </w:rPr>
            </w:pPr>
            <w:r>
              <w:rPr>
                <w:rFonts w:hint="eastAsia"/>
                <w:highlight w:val="none"/>
              </w:rPr>
              <w:t>套</w:t>
            </w:r>
          </w:p>
        </w:tc>
      </w:tr>
      <w:tr w14:paraId="730F67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 w:hRule="atLeast"/>
        </w:trPr>
        <w:tc>
          <w:tcPr>
            <w:tcW w:w="768" w:type="dxa"/>
            <w:noWrap w:val="0"/>
            <w:vAlign w:val="center"/>
          </w:tcPr>
          <w:p w14:paraId="27C50DCA">
            <w:pPr>
              <w:jc w:val="center"/>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lang w:val="en-US" w:eastAsia="zh-CN"/>
              </w:rPr>
              <w:t>7</w:t>
            </w:r>
          </w:p>
        </w:tc>
        <w:tc>
          <w:tcPr>
            <w:tcW w:w="3407" w:type="dxa"/>
            <w:noWrap w:val="0"/>
            <w:vAlign w:val="top"/>
          </w:tcPr>
          <w:p w14:paraId="764C084B">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全套电源线、数据线等配套附件</w:t>
            </w:r>
          </w:p>
        </w:tc>
        <w:tc>
          <w:tcPr>
            <w:tcW w:w="1662" w:type="dxa"/>
            <w:noWrap w:val="0"/>
            <w:vAlign w:val="top"/>
          </w:tcPr>
          <w:p w14:paraId="05779DC7">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3092" w:type="dxa"/>
            <w:noWrap w:val="0"/>
            <w:vAlign w:val="top"/>
          </w:tcPr>
          <w:p w14:paraId="69FDF431">
            <w:pPr>
              <w:jc w:val="center"/>
              <w:rPr>
                <w:rFonts w:hint="eastAsia" w:ascii="宋体" w:hAnsi="宋体" w:eastAsia="宋体" w:cs="宋体"/>
                <w:sz w:val="22"/>
                <w:szCs w:val="22"/>
                <w:highlight w:val="none"/>
              </w:rPr>
            </w:pPr>
            <w:r>
              <w:rPr>
                <w:rFonts w:hint="eastAsia"/>
                <w:highlight w:val="none"/>
              </w:rPr>
              <w:t>套</w:t>
            </w:r>
          </w:p>
        </w:tc>
      </w:tr>
    </w:tbl>
    <w:p w14:paraId="075CCB7B">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备注：科研版软件、脑电近红外同步设备、电动升降台、打印机、配套生理记录设备等属于可选购配置，不作为硬性标配要求。</w:t>
      </w:r>
    </w:p>
    <w:p w14:paraId="1ADE4CAD">
      <w:pPr>
        <w:widowControl/>
        <w:ind w:left="425" w:firstLine="283" w:firstLineChars="135"/>
        <w:jc w:val="left"/>
        <w:rPr>
          <w:rFonts w:hint="eastAsia" w:ascii="宋体" w:hAnsi="宋体" w:eastAsia="宋体" w:cs="Times New Roman"/>
          <w:color w:val="auto"/>
          <w:szCs w:val="21"/>
          <w:highlight w:val="none"/>
        </w:rPr>
      </w:pPr>
    </w:p>
    <w:p w14:paraId="0FC786BF">
      <w:pPr>
        <w:widowControl/>
        <w:ind w:left="425" w:firstLine="283" w:firstLineChars="135"/>
        <w:jc w:val="left"/>
        <w:rPr>
          <w:rFonts w:hint="eastAsia" w:ascii="宋体" w:hAnsi="宋体" w:eastAsia="宋体" w:cs="Times New Roman"/>
          <w:color w:val="auto"/>
          <w:szCs w:val="21"/>
          <w:highlight w:val="none"/>
        </w:rPr>
      </w:pPr>
    </w:p>
    <w:p w14:paraId="78C7AC56">
      <w:pPr>
        <w:widowControl/>
        <w:ind w:left="425"/>
        <w:jc w:val="left"/>
        <w:rPr>
          <w:rFonts w:hint="eastAsia" w:ascii="宋体" w:hAnsi="宋体" w:eastAsia="宋体" w:cs="宋体"/>
          <w:color w:val="auto"/>
          <w:szCs w:val="21"/>
          <w:highlight w:val="none"/>
        </w:rPr>
      </w:pP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br w:type="textWrapping"/>
      </w:r>
      <w:r>
        <w:rPr>
          <w:rFonts w:hint="eastAsia" w:ascii="宋体" w:hAnsi="宋体" w:eastAsia="宋体" w:cs="宋体"/>
          <w:color w:val="auto"/>
          <w:szCs w:val="21"/>
          <w:highlight w:val="none"/>
        </w:rPr>
        <w:br w:type="textWrapping"/>
      </w:r>
    </w:p>
    <w:p w14:paraId="443D8868">
      <w:pPr>
        <w:widowControl/>
        <w:jc w:val="center"/>
        <w:rPr>
          <w:rFonts w:hint="eastAsia" w:ascii="宋体" w:hAnsi="宋体" w:eastAsia="宋体" w:cs="Times New Roman"/>
          <w:b/>
          <w:color w:val="auto"/>
          <w:sz w:val="24"/>
          <w:szCs w:val="24"/>
          <w:highlight w:val="none"/>
          <w:lang w:eastAsia="zh-CN"/>
        </w:rPr>
      </w:pPr>
      <w:r>
        <w:rPr>
          <w:rFonts w:hint="eastAsia" w:ascii="宋体" w:hAnsi="宋体" w:eastAsia="宋体" w:cs="宋体"/>
          <w:b/>
          <w:bCs/>
          <w:color w:val="auto"/>
          <w:kern w:val="0"/>
          <w:sz w:val="28"/>
          <w:szCs w:val="28"/>
          <w:highlight w:val="none"/>
        </w:rPr>
        <w:t>4k高清腹腔镜技术规格与要求</w:t>
      </w:r>
    </w:p>
    <w:p w14:paraId="31EC08E9">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4K手术系统参数</w:t>
      </w:r>
    </w:p>
    <w:p w14:paraId="07CC5DA4">
      <w:pPr>
        <w:widowControl/>
        <w:jc w:val="left"/>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lang w:val="en-US" w:eastAsia="zh-CN"/>
        </w:rPr>
        <w:t>一、</w:t>
      </w:r>
      <w:r>
        <w:rPr>
          <w:rFonts w:hint="eastAsia" w:ascii="宋体" w:hAnsi="宋体" w:eastAsia="宋体" w:cs="宋体"/>
          <w:b/>
          <w:bCs/>
          <w:color w:val="auto"/>
          <w:kern w:val="0"/>
          <w:sz w:val="22"/>
          <w:szCs w:val="22"/>
          <w:highlight w:val="none"/>
        </w:rPr>
        <w:t>系统要求</w:t>
      </w:r>
    </w:p>
    <w:p w14:paraId="4054E005">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w:t>
      </w:r>
      <w:r>
        <w:rPr>
          <w:rFonts w:hint="eastAsia" w:ascii="宋体" w:hAnsi="宋体" w:eastAsia="宋体" w:cs="宋体"/>
          <w:color w:val="auto"/>
          <w:kern w:val="0"/>
          <w:sz w:val="22"/>
          <w:szCs w:val="22"/>
          <w:highlight w:val="none"/>
          <w:lang w:val="en-US" w:eastAsia="zh-CN"/>
        </w:rPr>
        <w:t xml:space="preserve">1.1 </w:t>
      </w:r>
      <w:r>
        <w:rPr>
          <w:rFonts w:hint="eastAsia" w:ascii="宋体" w:hAnsi="宋体" w:eastAsia="宋体" w:cs="宋体"/>
          <w:color w:val="auto"/>
          <w:kern w:val="0"/>
          <w:sz w:val="22"/>
          <w:szCs w:val="22"/>
          <w:highlight w:val="none"/>
        </w:rPr>
        <w:t>4K医用内窥镜摄像系统、冷光源、显示器等核心部件均为同一品牌以确保成像链的匹配程度高，设备发挥最佳性能。</w:t>
      </w:r>
      <w:r>
        <w:rPr>
          <w:rFonts w:hint="eastAsia" w:ascii="宋体" w:hAnsi="宋体" w:eastAsia="宋体" w:cs="宋体"/>
          <w:color w:val="auto"/>
          <w:kern w:val="0"/>
          <w:sz w:val="22"/>
          <w:szCs w:val="22"/>
          <w:highlight w:val="none"/>
          <w:lang w:eastAsia="zh-CN"/>
        </w:rPr>
        <w:t>（提供佐证材料：产品说明书或技术白皮书或</w:t>
      </w:r>
      <w:r>
        <w:rPr>
          <w:rFonts w:hint="eastAsia" w:ascii="宋体" w:hAnsi="宋体" w:cs="宋体"/>
          <w:color w:val="auto"/>
          <w:kern w:val="0"/>
          <w:sz w:val="22"/>
          <w:szCs w:val="22"/>
          <w:highlight w:val="none"/>
          <w:lang w:val="en-US" w:eastAsia="zh-CN"/>
        </w:rPr>
        <w:t>第三方</w:t>
      </w:r>
      <w:r>
        <w:rPr>
          <w:rFonts w:hint="eastAsia" w:ascii="宋体" w:hAnsi="宋体" w:eastAsia="宋体" w:cs="宋体"/>
          <w:color w:val="auto"/>
          <w:kern w:val="0"/>
          <w:sz w:val="22"/>
          <w:szCs w:val="22"/>
          <w:highlight w:val="none"/>
          <w:lang w:eastAsia="zh-CN"/>
        </w:rPr>
        <w:t>检测报告）</w:t>
      </w:r>
    </w:p>
    <w:p w14:paraId="3F3EA463">
      <w:pPr>
        <w:widowControl/>
        <w:jc w:val="left"/>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二、4K医用超高清内窥镜摄像系统主机</w:t>
      </w:r>
    </w:p>
    <w:p w14:paraId="0C51BB61">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2.1 4K医用超高清内窥镜摄像系统支持3840*2160P和1920*1080P分辨率图像，且该两种分辨率图像可同时输出；</w:t>
      </w:r>
    </w:p>
    <w:p w14:paraId="3E3ADC11">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2.2按键式操作面板：面板上快捷按键功能包括白平衡、快捷拍照和录像；系统操作按键与摄像头按键功能相同；</w:t>
      </w:r>
    </w:p>
    <w:p w14:paraId="72720150">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▲2.3 智能自动识别手术场景，无需手动调节模式，可自动识别至少包含腹腔镜/前列腺电切镜/膀胱镜/输尿管肾镜/关节镜/鼻内镜/纤维镜/胸腔镜/宫腔镜等镜种或手术场景；</w:t>
      </w:r>
      <w:r>
        <w:rPr>
          <w:rFonts w:hint="eastAsia" w:ascii="宋体" w:hAnsi="宋体" w:eastAsia="宋体" w:cs="宋体"/>
          <w:color w:val="auto"/>
          <w:kern w:val="0"/>
          <w:sz w:val="22"/>
          <w:szCs w:val="22"/>
          <w:highlight w:val="none"/>
          <w:lang w:eastAsia="zh-CN"/>
        </w:rPr>
        <w:t>（提供佐证材料：产品说明书或技术白皮书或</w:t>
      </w:r>
      <w:r>
        <w:rPr>
          <w:rFonts w:hint="eastAsia" w:ascii="宋体" w:hAnsi="宋体" w:cs="宋体"/>
          <w:color w:val="auto"/>
          <w:kern w:val="0"/>
          <w:sz w:val="22"/>
          <w:szCs w:val="22"/>
          <w:highlight w:val="none"/>
          <w:lang w:val="en-US" w:eastAsia="zh-CN"/>
        </w:rPr>
        <w:t>第三方</w:t>
      </w:r>
      <w:r>
        <w:rPr>
          <w:rFonts w:hint="eastAsia" w:ascii="宋体" w:hAnsi="宋体" w:eastAsia="宋体" w:cs="宋体"/>
          <w:color w:val="auto"/>
          <w:kern w:val="0"/>
          <w:sz w:val="22"/>
          <w:szCs w:val="22"/>
          <w:highlight w:val="none"/>
          <w:lang w:eastAsia="zh-CN"/>
        </w:rPr>
        <w:t>检测报告）</w:t>
      </w:r>
    </w:p>
    <w:p w14:paraId="3BFCEBA5">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2.4具备≥10种图像功能与图像显示模式；图像功能至少包括电子变焦（≥2倍）、图像染色、消纤维纹、图像镜像显示和180°旋转显示、构造增强显示常用功能；具备图像显示模式至少4种，提升狭窄腔体与出血场景图像亮度，优化黏膜与血管区分度以及染色筛查；</w:t>
      </w:r>
      <w:r>
        <w:rPr>
          <w:rFonts w:hint="eastAsia" w:ascii="宋体" w:hAnsi="宋体" w:eastAsia="宋体" w:cs="宋体"/>
          <w:color w:val="auto"/>
          <w:kern w:val="0"/>
          <w:sz w:val="22"/>
          <w:szCs w:val="22"/>
          <w:highlight w:val="none"/>
          <w:lang w:eastAsia="zh-CN"/>
        </w:rPr>
        <w:t>（提供佐证材料：产品说明书或技术白皮书或</w:t>
      </w:r>
      <w:r>
        <w:rPr>
          <w:rFonts w:hint="eastAsia" w:ascii="宋体" w:hAnsi="宋体" w:cs="宋体"/>
          <w:color w:val="auto"/>
          <w:kern w:val="0"/>
          <w:sz w:val="22"/>
          <w:szCs w:val="22"/>
          <w:highlight w:val="none"/>
          <w:lang w:val="en-US" w:eastAsia="zh-CN"/>
        </w:rPr>
        <w:t>第三方</w:t>
      </w:r>
      <w:r>
        <w:rPr>
          <w:rFonts w:hint="eastAsia" w:ascii="宋体" w:hAnsi="宋体" w:eastAsia="宋体" w:cs="宋体"/>
          <w:color w:val="auto"/>
          <w:kern w:val="0"/>
          <w:sz w:val="22"/>
          <w:szCs w:val="22"/>
          <w:highlight w:val="none"/>
          <w:lang w:eastAsia="zh-CN"/>
        </w:rPr>
        <w:t>检测报告）</w:t>
      </w:r>
    </w:p>
    <w:p w14:paraId="200DCB42">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▲2.5摄像主机具有自动白平衡功能，具备至少3种白平衡触发方式，开启后可自动建立色彩平衡；</w:t>
      </w:r>
      <w:r>
        <w:rPr>
          <w:rFonts w:hint="eastAsia" w:ascii="宋体" w:hAnsi="宋体" w:eastAsia="宋体" w:cs="宋体"/>
          <w:color w:val="auto"/>
          <w:kern w:val="0"/>
          <w:sz w:val="22"/>
          <w:szCs w:val="22"/>
          <w:highlight w:val="none"/>
          <w:lang w:eastAsia="zh-CN"/>
        </w:rPr>
        <w:t>（提供佐证材料：产品说明书或技术白皮书或</w:t>
      </w:r>
      <w:r>
        <w:rPr>
          <w:rFonts w:hint="eastAsia" w:ascii="宋体" w:hAnsi="宋体" w:cs="宋体"/>
          <w:color w:val="auto"/>
          <w:kern w:val="0"/>
          <w:sz w:val="22"/>
          <w:szCs w:val="22"/>
          <w:highlight w:val="none"/>
          <w:lang w:val="en-US" w:eastAsia="zh-CN"/>
        </w:rPr>
        <w:t>第三方</w:t>
      </w:r>
      <w:r>
        <w:rPr>
          <w:rFonts w:hint="eastAsia" w:ascii="宋体" w:hAnsi="宋体" w:eastAsia="宋体" w:cs="宋体"/>
          <w:color w:val="auto"/>
          <w:kern w:val="0"/>
          <w:sz w:val="22"/>
          <w:szCs w:val="22"/>
          <w:highlight w:val="none"/>
          <w:lang w:eastAsia="zh-CN"/>
        </w:rPr>
        <w:t>检测报告）</w:t>
      </w:r>
    </w:p>
    <w:p w14:paraId="44F652A8">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2.6 信号输出≥5个物理接口；</w:t>
      </w:r>
    </w:p>
    <w:p w14:paraId="0F86EC97">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2.6.1信号输出支持全高清画质输出，其中至少具备1路DVI；</w:t>
      </w:r>
    </w:p>
    <w:p w14:paraId="04A2E241">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▲2.6.2信号输出支持至少4路4K超高清画质同时输出，其中至少具备1路DP、1路HDMI、2路12G-SDI，非外接拓展或转换器实现；</w:t>
      </w:r>
      <w:r>
        <w:rPr>
          <w:rFonts w:hint="eastAsia" w:ascii="宋体" w:hAnsi="宋体" w:eastAsia="宋体" w:cs="宋体"/>
          <w:color w:val="auto"/>
          <w:kern w:val="0"/>
          <w:sz w:val="22"/>
          <w:szCs w:val="22"/>
          <w:highlight w:val="none"/>
          <w:lang w:eastAsia="zh-CN"/>
        </w:rPr>
        <w:t>（提供佐证材料：产品说明书或技术白皮书或</w:t>
      </w:r>
      <w:r>
        <w:rPr>
          <w:rFonts w:hint="eastAsia" w:ascii="宋体" w:hAnsi="宋体" w:cs="宋体"/>
          <w:color w:val="auto"/>
          <w:kern w:val="0"/>
          <w:sz w:val="22"/>
          <w:szCs w:val="22"/>
          <w:highlight w:val="none"/>
          <w:lang w:val="en-US" w:eastAsia="zh-CN"/>
        </w:rPr>
        <w:t>第三方</w:t>
      </w:r>
      <w:r>
        <w:rPr>
          <w:rFonts w:hint="eastAsia" w:ascii="宋体" w:hAnsi="宋体" w:eastAsia="宋体" w:cs="宋体"/>
          <w:color w:val="auto"/>
          <w:kern w:val="0"/>
          <w:sz w:val="22"/>
          <w:szCs w:val="22"/>
          <w:highlight w:val="none"/>
          <w:lang w:eastAsia="zh-CN"/>
        </w:rPr>
        <w:t>检测报告）</w:t>
      </w:r>
    </w:p>
    <w:p w14:paraId="5940F66E">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2.7 内置刻录系统，无需外接刻录机系统即可实现术中实时拍照和录像；图像编码方式支持至少两种编码方式的选择和切换，至少包含H.265和H.264两种编码方式；系统存储剩余时间与刻录状态实时提示；</w:t>
      </w:r>
    </w:p>
    <w:p w14:paraId="2A3C7726">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▲2.8摄像主机具备动态亮度稳定技术，可改善非匀滑、狭窄场景下图像亮度区域差异，提升整体细节展示；（提供第三方检验报告或专利文件）</w:t>
      </w:r>
    </w:p>
    <w:p w14:paraId="51507762">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▲2.9具备红色图像区分增强技术，增加红色的对比层次，提升出血点及出血覆盖区域边界与黏膜表面毛细血管区分；（提供第三方检验报告或专利文件）</w:t>
      </w:r>
    </w:p>
    <w:p w14:paraId="430B89B9">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2.10设备防护类型：Ⅰ类。电击保护类型：CF型，可用于心脏手术；</w:t>
      </w:r>
    </w:p>
    <w:p w14:paraId="35EB1AE7">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2.11具有技术过时保护：主机具备升级接口，可实现技术升级；</w:t>
      </w:r>
    </w:p>
    <w:p w14:paraId="2EE1AAB8">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▲2.12具备医疗设备高安全等级标准，安全规范符合IEC60601-1以及IEC60601-1-2，满足医用严苛环境使用要求；</w:t>
      </w:r>
      <w:r>
        <w:rPr>
          <w:rFonts w:hint="eastAsia" w:ascii="宋体" w:hAnsi="宋体" w:eastAsia="宋体" w:cs="宋体"/>
          <w:color w:val="auto"/>
          <w:kern w:val="0"/>
          <w:sz w:val="22"/>
          <w:szCs w:val="22"/>
          <w:highlight w:val="none"/>
          <w:lang w:eastAsia="zh-CN"/>
        </w:rPr>
        <w:t>（提供佐证材料：产品说明书或技术白皮书或</w:t>
      </w:r>
      <w:r>
        <w:rPr>
          <w:rFonts w:hint="eastAsia" w:ascii="宋体" w:hAnsi="宋体" w:cs="宋体"/>
          <w:color w:val="auto"/>
          <w:kern w:val="0"/>
          <w:sz w:val="22"/>
          <w:szCs w:val="22"/>
          <w:highlight w:val="none"/>
          <w:lang w:val="en-US" w:eastAsia="zh-CN"/>
        </w:rPr>
        <w:t>第三方</w:t>
      </w:r>
      <w:r>
        <w:rPr>
          <w:rFonts w:hint="eastAsia" w:ascii="宋体" w:hAnsi="宋体" w:eastAsia="宋体" w:cs="宋体"/>
          <w:color w:val="auto"/>
          <w:kern w:val="0"/>
          <w:sz w:val="22"/>
          <w:szCs w:val="22"/>
          <w:highlight w:val="none"/>
          <w:lang w:eastAsia="zh-CN"/>
        </w:rPr>
        <w:t>检测报告）</w:t>
      </w:r>
    </w:p>
    <w:p w14:paraId="67C545B4">
      <w:pPr>
        <w:widowControl/>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rPr>
        <w:t>★2.13摄像系统主机使用年限≥</w:t>
      </w:r>
      <w:r>
        <w:rPr>
          <w:rFonts w:hint="eastAsia" w:ascii="宋体" w:hAnsi="宋体" w:eastAsia="宋体" w:cs="宋体"/>
          <w:color w:val="auto"/>
          <w:kern w:val="0"/>
          <w:sz w:val="22"/>
          <w:szCs w:val="22"/>
          <w:highlight w:val="none"/>
          <w:lang w:val="en-US" w:eastAsia="zh-CN"/>
        </w:rPr>
        <w:t xml:space="preserve"> </w:t>
      </w:r>
      <w:r>
        <w:rPr>
          <w:rFonts w:hint="eastAsia" w:ascii="宋体" w:hAnsi="宋体" w:eastAsia="宋体" w:cs="宋体"/>
          <w:color w:val="auto"/>
          <w:kern w:val="0"/>
          <w:sz w:val="22"/>
          <w:szCs w:val="22"/>
          <w:highlight w:val="none"/>
        </w:rPr>
        <w:t>10年。</w:t>
      </w:r>
      <w:r>
        <w:rPr>
          <w:rFonts w:hint="eastAsia" w:ascii="宋体" w:hAnsi="宋体" w:eastAsia="宋体" w:cs="宋体"/>
          <w:color w:val="auto"/>
          <w:kern w:val="0"/>
          <w:sz w:val="22"/>
          <w:szCs w:val="22"/>
          <w:highlight w:val="none"/>
          <w:lang w:eastAsia="zh-CN"/>
        </w:rPr>
        <w:t>（提供佐证材料：产品说明书或技术白皮书）</w:t>
      </w:r>
    </w:p>
    <w:p w14:paraId="2728378F">
      <w:pPr>
        <w:widowControl/>
        <w:jc w:val="left"/>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lang w:val="en-US" w:eastAsia="zh-CN"/>
        </w:rPr>
        <w:t>三、</w:t>
      </w:r>
      <w:r>
        <w:rPr>
          <w:rFonts w:hint="eastAsia" w:ascii="宋体" w:hAnsi="宋体" w:eastAsia="宋体" w:cs="宋体"/>
          <w:b/>
          <w:bCs/>
          <w:color w:val="auto"/>
          <w:kern w:val="0"/>
          <w:sz w:val="22"/>
          <w:szCs w:val="22"/>
          <w:highlight w:val="none"/>
        </w:rPr>
        <w:t>摄像头</w:t>
      </w:r>
    </w:p>
    <w:p w14:paraId="5C4619AB">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3.1通过按键可启动功能菜单，菜单功能≥10种，至少包括白平衡/电子变焦/消纤维纹/图像染色/降噪/构造增强/拍照/录像/冻结/图像翻转显示;</w:t>
      </w:r>
    </w:p>
    <w:p w14:paraId="26528D6F">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▲3.2摄像头支持光学变焦，光学变焦倍数≥2.1倍；摄像头整合了变焦环和调焦环，分别控制光学变焦和图像清晰；具备齐焦设计，对焦后变焦，无需再次对焦;</w:t>
      </w:r>
      <w:r>
        <w:rPr>
          <w:rFonts w:hint="eastAsia" w:ascii="宋体" w:hAnsi="宋体" w:eastAsia="宋体" w:cs="宋体"/>
          <w:color w:val="auto"/>
          <w:kern w:val="0"/>
          <w:sz w:val="22"/>
          <w:szCs w:val="22"/>
          <w:highlight w:val="none"/>
          <w:lang w:eastAsia="zh-CN"/>
        </w:rPr>
        <w:t>（提供佐证材料：产品说明书或技术白皮书或</w:t>
      </w:r>
      <w:r>
        <w:rPr>
          <w:rFonts w:hint="eastAsia" w:ascii="宋体" w:hAnsi="宋体" w:cs="宋体"/>
          <w:color w:val="auto"/>
          <w:kern w:val="0"/>
          <w:sz w:val="22"/>
          <w:szCs w:val="22"/>
          <w:highlight w:val="none"/>
          <w:lang w:val="en-US" w:eastAsia="zh-CN"/>
        </w:rPr>
        <w:t>第三方</w:t>
      </w:r>
      <w:r>
        <w:rPr>
          <w:rFonts w:hint="eastAsia" w:ascii="宋体" w:hAnsi="宋体" w:eastAsia="宋体" w:cs="宋体"/>
          <w:color w:val="auto"/>
          <w:kern w:val="0"/>
          <w:sz w:val="22"/>
          <w:szCs w:val="22"/>
          <w:highlight w:val="none"/>
          <w:lang w:eastAsia="zh-CN"/>
        </w:rPr>
        <w:t>检测报告）</w:t>
      </w:r>
    </w:p>
    <w:p w14:paraId="531A6134">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3.3 电气安全：医用设备电气安全CF级别I类防护，可应用于心脏；</w:t>
      </w:r>
    </w:p>
    <w:p w14:paraId="5A0AEA3B">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3.4 连接头采用金手指设计，总长度≥3m；</w:t>
      </w:r>
    </w:p>
    <w:p w14:paraId="351A6533">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3.5 按键数≥4个，可设定快捷功能按键数≥3个；</w:t>
      </w:r>
    </w:p>
    <w:p w14:paraId="42D938DF">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▲3.6摄像头整体(含光学适配器)防护等级≥IP68;(提供第三方检验报告);</w:t>
      </w:r>
    </w:p>
    <w:p w14:paraId="68ED73CD">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▲3.7 摄像手柄含光学适配器、按钮、手柄和线缆整体可以支持低温等离子灭菌；（提供第三方检验报告）</w:t>
      </w:r>
    </w:p>
    <w:p w14:paraId="05B338A8">
      <w:pPr>
        <w:widowControl/>
        <w:jc w:val="left"/>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四、医用冷光源</w:t>
      </w:r>
    </w:p>
    <w:p w14:paraId="6109277B">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4.1灯珠有效工作寿命≥30000小时;</w:t>
      </w:r>
    </w:p>
    <w:p w14:paraId="5C311E1B">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4.2按键式操作；支持一键待机；</w:t>
      </w:r>
    </w:p>
    <w:p w14:paraId="25F2601C">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4.3色温5700K±20%;</w:t>
      </w:r>
    </w:p>
    <w:p w14:paraId="39E22087">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4.4显色指数≥90;</w:t>
      </w:r>
    </w:p>
    <w:p w14:paraId="5CDC1253">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4.5工作噪声≤50dB；</w:t>
      </w:r>
    </w:p>
    <w:p w14:paraId="535C7F3E">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4.6电气安全：医用设备电气安全CF级别I类防护，可应用于心脏；</w:t>
      </w:r>
    </w:p>
    <w:p w14:paraId="29710E31">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▲4.7冷光源使用年限≥</w:t>
      </w:r>
      <w:r>
        <w:rPr>
          <w:rFonts w:hint="eastAsia" w:ascii="宋体" w:hAnsi="宋体" w:eastAsia="宋体" w:cs="宋体"/>
          <w:color w:val="auto"/>
          <w:kern w:val="0"/>
          <w:sz w:val="22"/>
          <w:szCs w:val="22"/>
          <w:highlight w:val="none"/>
          <w:lang w:val="en-US" w:eastAsia="zh-CN"/>
        </w:rPr>
        <w:t xml:space="preserve"> </w:t>
      </w:r>
      <w:r>
        <w:rPr>
          <w:rFonts w:hint="eastAsia" w:ascii="宋体" w:hAnsi="宋体" w:eastAsia="宋体" w:cs="宋体"/>
          <w:color w:val="auto"/>
          <w:kern w:val="0"/>
          <w:sz w:val="22"/>
          <w:szCs w:val="22"/>
          <w:highlight w:val="none"/>
        </w:rPr>
        <w:t>10年。</w:t>
      </w:r>
      <w:r>
        <w:rPr>
          <w:rFonts w:hint="eastAsia" w:ascii="宋体" w:hAnsi="宋体" w:eastAsia="宋体" w:cs="宋体"/>
          <w:color w:val="auto"/>
          <w:kern w:val="0"/>
          <w:sz w:val="22"/>
          <w:szCs w:val="22"/>
          <w:highlight w:val="none"/>
          <w:lang w:eastAsia="zh-CN"/>
        </w:rPr>
        <w:t>（提供佐证材料：产品说明书或技术白皮书）</w:t>
      </w:r>
    </w:p>
    <w:p w14:paraId="4F014B4D">
      <w:pPr>
        <w:widowControl/>
        <w:jc w:val="left"/>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五、导光束</w:t>
      </w:r>
    </w:p>
    <w:p w14:paraId="3EE94A02">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5.1导光束通光外径≥3.5mm，有效使用长度≥3000mm;</w:t>
      </w:r>
    </w:p>
    <w:p w14:paraId="0A76B4A1">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5.2支持高温高压、低温等离子方式灭菌。</w:t>
      </w:r>
    </w:p>
    <w:p w14:paraId="7B64F155">
      <w:pPr>
        <w:widowControl/>
        <w:jc w:val="left"/>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六、内窥镜</w:t>
      </w:r>
    </w:p>
    <w:p w14:paraId="524D8B58">
      <w:pPr>
        <w:widowControl/>
        <w:jc w:val="left"/>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6-1.电切内窥镜：</w:t>
      </w:r>
    </w:p>
    <w:p w14:paraId="6B448424">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6.1.内窥镜镜体全部采用医用不锈钢管；</w:t>
      </w:r>
    </w:p>
    <w:p w14:paraId="07E68DDB">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6.2.视场中心角分辨力：≥2.48C/( °)。</w:t>
      </w:r>
    </w:p>
    <w:p w14:paraId="2E6C6736">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6.3.采用耐高温高强度陶瓷。</w:t>
      </w:r>
    </w:p>
    <w:p w14:paraId="619A6E74">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6.4.外鞘大量精细的外鞘出水孔，可持续灌流，更有利于保证术中视野清晰。</w:t>
      </w:r>
    </w:p>
    <w:p w14:paraId="26D0FD57">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6.5.不锈钢水阀，不易损坏，避免频繁维修。</w:t>
      </w:r>
    </w:p>
    <w:p w14:paraId="77C76AC0">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★6.6.最大插入部外径：≤Ø6.2mm  。</w:t>
      </w:r>
      <w:r>
        <w:rPr>
          <w:rFonts w:hint="eastAsia" w:ascii="宋体" w:hAnsi="宋体" w:eastAsia="宋体" w:cs="宋体"/>
          <w:color w:val="auto"/>
          <w:kern w:val="0"/>
          <w:sz w:val="22"/>
          <w:szCs w:val="22"/>
          <w:highlight w:val="none"/>
          <w:lang w:eastAsia="zh-CN"/>
        </w:rPr>
        <w:t>（提供佐证材料：产品说明书或技术白皮书或检测报告）</w:t>
      </w:r>
    </w:p>
    <w:p w14:paraId="3CCE75D3">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6.7.内窥镜外径：≤Ø2.9mm，工作长度 ≥302mm，视场角：≥60 度，视向角： ≥30/12 度。</w:t>
      </w:r>
    </w:p>
    <w:p w14:paraId="39216AEF">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6.8.内窥镜观察景深范围 3mm～100mm。</w:t>
      </w:r>
    </w:p>
    <w:p w14:paraId="425C28D9">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6.9所提供等离子电极必须与电切内窥镜为统一品牌，并可匹配该电切内窥镜使用</w:t>
      </w:r>
    </w:p>
    <w:p w14:paraId="39D650E4">
      <w:pPr>
        <w:widowControl/>
        <w:jc w:val="left"/>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6-2、内窥镜</w:t>
      </w:r>
    </w:p>
    <w:p w14:paraId="6E9AE9A5">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6.1 工作部直径10mm；</w:t>
      </w:r>
    </w:p>
    <w:p w14:paraId="14554DD0">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6.2 视向角 ≥30°；</w:t>
      </w:r>
    </w:p>
    <w:p w14:paraId="579716E3">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6.3 光学内窥镜自带多种光纤转接头，种类≥3种；</w:t>
      </w:r>
    </w:p>
    <w:p w14:paraId="1E3D5C1E">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6.4 非球面设计；</w:t>
      </w:r>
    </w:p>
    <w:p w14:paraId="63F8B267">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6.5 支持高温高压/环氧乙烷/等离子方式灭菌；</w:t>
      </w:r>
    </w:p>
    <w:p w14:paraId="52E3D6C2">
      <w:pPr>
        <w:widowControl/>
        <w:jc w:val="left"/>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七、液晶监视器</w:t>
      </w:r>
    </w:p>
    <w:p w14:paraId="66EFC4F9">
      <w:pPr>
        <w:widowControl/>
        <w:jc w:val="left"/>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7-1 32寸液晶监视器</w:t>
      </w:r>
    </w:p>
    <w:p w14:paraId="6E305F71">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7.1 尺寸32英寸，屏幕长宽对比16:9，支持显示分辨率≥3840×2160；</w:t>
      </w:r>
      <w:r>
        <w:rPr>
          <w:rFonts w:hint="eastAsia" w:ascii="宋体" w:hAnsi="宋体" w:eastAsia="宋体" w:cs="宋体"/>
          <w:color w:val="auto"/>
          <w:kern w:val="0"/>
          <w:sz w:val="22"/>
          <w:szCs w:val="22"/>
          <w:highlight w:val="none"/>
        </w:rPr>
        <w:cr/>
      </w:r>
      <w:r>
        <w:rPr>
          <w:rFonts w:hint="eastAsia" w:ascii="宋体" w:hAnsi="宋体" w:eastAsia="宋体" w:cs="宋体"/>
          <w:color w:val="auto"/>
          <w:kern w:val="0"/>
          <w:sz w:val="22"/>
          <w:szCs w:val="22"/>
          <w:highlight w:val="none"/>
        </w:rPr>
        <w:t>7.2 色域空间满足BT.709和BT.2020可选；</w:t>
      </w:r>
      <w:r>
        <w:rPr>
          <w:rFonts w:hint="eastAsia" w:ascii="宋体" w:hAnsi="宋体" w:eastAsia="宋体" w:cs="宋体"/>
          <w:color w:val="auto"/>
          <w:kern w:val="0"/>
          <w:sz w:val="22"/>
          <w:szCs w:val="22"/>
          <w:highlight w:val="none"/>
        </w:rPr>
        <w:cr/>
      </w:r>
      <w:r>
        <w:rPr>
          <w:rFonts w:hint="eastAsia" w:ascii="宋体" w:hAnsi="宋体" w:eastAsia="宋体" w:cs="宋体"/>
          <w:color w:val="auto"/>
          <w:kern w:val="0"/>
          <w:sz w:val="22"/>
          <w:szCs w:val="22"/>
          <w:highlight w:val="none"/>
        </w:rPr>
        <w:t>7.3 可视角度：≥178°（H/V）；</w:t>
      </w:r>
      <w:r>
        <w:rPr>
          <w:rFonts w:hint="eastAsia" w:ascii="宋体" w:hAnsi="宋体" w:eastAsia="宋体" w:cs="宋体"/>
          <w:color w:val="auto"/>
          <w:kern w:val="0"/>
          <w:sz w:val="22"/>
          <w:szCs w:val="22"/>
          <w:highlight w:val="none"/>
        </w:rPr>
        <w:cr/>
      </w:r>
      <w:r>
        <w:rPr>
          <w:rFonts w:hint="eastAsia" w:ascii="宋体" w:hAnsi="宋体" w:eastAsia="宋体" w:cs="宋体"/>
          <w:color w:val="auto"/>
          <w:kern w:val="0"/>
          <w:sz w:val="22"/>
          <w:szCs w:val="22"/>
          <w:highlight w:val="none"/>
        </w:rPr>
        <w:t>7.4 具备HDMI、DP、12G-SDI等多种输入/输出端口；</w:t>
      </w:r>
    </w:p>
    <w:p w14:paraId="3A8AE215">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7.5对比度≥1500:1；</w:t>
      </w:r>
    </w:p>
    <w:p w14:paraId="1D655F15">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7.6标准亮度≥850cd/m2；</w:t>
      </w:r>
    </w:p>
    <w:p w14:paraId="36E7F727">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7.7响应时间≤20ms；</w:t>
      </w:r>
    </w:p>
    <w:p w14:paraId="684B7A1C">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7.8具有图像增强功能；</w:t>
      </w:r>
    </w:p>
    <w:p w14:paraId="3109675D">
      <w:pPr>
        <w:widowControl/>
        <w:jc w:val="left"/>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7-2、27寸液晶监视器</w:t>
      </w:r>
    </w:p>
    <w:p w14:paraId="7C8B65D0">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7.1 尺寸27英寸，屏幕长宽对比16:9，支持显示分辨率≥1920*1080；</w:t>
      </w:r>
      <w:r>
        <w:rPr>
          <w:rFonts w:hint="eastAsia" w:ascii="宋体" w:hAnsi="宋体" w:eastAsia="宋体" w:cs="宋体"/>
          <w:color w:val="auto"/>
          <w:kern w:val="0"/>
          <w:sz w:val="22"/>
          <w:szCs w:val="22"/>
          <w:highlight w:val="none"/>
        </w:rPr>
        <w:cr/>
      </w:r>
      <w:r>
        <w:rPr>
          <w:rFonts w:hint="eastAsia" w:ascii="宋体" w:hAnsi="宋体" w:eastAsia="宋体" w:cs="宋体"/>
          <w:color w:val="auto"/>
          <w:kern w:val="0"/>
          <w:sz w:val="22"/>
          <w:szCs w:val="22"/>
          <w:highlight w:val="none"/>
        </w:rPr>
        <w:t>7.2 色域空间满足BT.709和BT.2020可选；</w:t>
      </w:r>
      <w:r>
        <w:rPr>
          <w:rFonts w:hint="eastAsia" w:ascii="宋体" w:hAnsi="宋体" w:eastAsia="宋体" w:cs="宋体"/>
          <w:color w:val="auto"/>
          <w:kern w:val="0"/>
          <w:sz w:val="22"/>
          <w:szCs w:val="22"/>
          <w:highlight w:val="none"/>
        </w:rPr>
        <w:cr/>
      </w:r>
      <w:r>
        <w:rPr>
          <w:rFonts w:hint="eastAsia" w:ascii="宋体" w:hAnsi="宋体" w:eastAsia="宋体" w:cs="宋体"/>
          <w:color w:val="auto"/>
          <w:kern w:val="0"/>
          <w:sz w:val="22"/>
          <w:szCs w:val="22"/>
          <w:highlight w:val="none"/>
        </w:rPr>
        <w:t>7.3 可视角度：≥178°（H/V）；</w:t>
      </w:r>
      <w:r>
        <w:rPr>
          <w:rFonts w:hint="eastAsia" w:ascii="宋体" w:hAnsi="宋体" w:eastAsia="宋体" w:cs="宋体"/>
          <w:color w:val="auto"/>
          <w:kern w:val="0"/>
          <w:sz w:val="22"/>
          <w:szCs w:val="22"/>
          <w:highlight w:val="none"/>
        </w:rPr>
        <w:cr/>
      </w:r>
      <w:r>
        <w:rPr>
          <w:rFonts w:hint="eastAsia" w:ascii="宋体" w:hAnsi="宋体" w:eastAsia="宋体" w:cs="宋体"/>
          <w:color w:val="auto"/>
          <w:kern w:val="0"/>
          <w:sz w:val="22"/>
          <w:szCs w:val="22"/>
          <w:highlight w:val="none"/>
        </w:rPr>
        <w:t>7.4 具备HDMI、DP、3G-SDI等多种输入/输出端口；</w:t>
      </w:r>
    </w:p>
    <w:p w14:paraId="2D776D29">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7.5对比度≥1000:1；</w:t>
      </w:r>
    </w:p>
    <w:p w14:paraId="03DCEE96">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7.6标准亮度≥800cd/m2；</w:t>
      </w:r>
    </w:p>
    <w:p w14:paraId="296F05D1">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7.7响应时间≤16ms；</w:t>
      </w:r>
    </w:p>
    <w:p w14:paraId="2659B46B">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7.8具有图像增强功能；</w:t>
      </w:r>
    </w:p>
    <w:p w14:paraId="1B0E654C">
      <w:pPr>
        <w:widowControl/>
        <w:jc w:val="left"/>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八、内窥镜台车和支架</w:t>
      </w:r>
    </w:p>
    <w:p w14:paraId="26493AE7">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8.1 医用内窥镜系统专用台车1台，支持液晶监视器水平角度和上下高度调整，2个摄像头托杯、5层层板，隔层板高度可调；</w:t>
      </w:r>
    </w:p>
    <w:p w14:paraId="2BD0CA45">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8.2 配套悬挂VESA件；</w:t>
      </w:r>
    </w:p>
    <w:p w14:paraId="309B9128">
      <w:pPr>
        <w:widowControl/>
        <w:jc w:val="left"/>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九、医用气腹机</w:t>
      </w:r>
    </w:p>
    <w:p w14:paraId="14B82BA7">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9.1工作压力范围1mmHg-30mmHg；</w:t>
      </w:r>
    </w:p>
    <w:p w14:paraId="3222FB25">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9.2最大充气流量≥50L/min；</w:t>
      </w:r>
    </w:p>
    <w:p w14:paraId="506B3A78">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9.3触摸显示屏≥8寸；</w:t>
      </w:r>
    </w:p>
    <w:p w14:paraId="1022C59F">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9.4支持中央供气与钢瓶直接连接两种方式；</w:t>
      </w:r>
    </w:p>
    <w:p w14:paraId="5C077A2D">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▲9.5设备自带声光报警功能；</w:t>
      </w:r>
      <w:r>
        <w:rPr>
          <w:rFonts w:hint="eastAsia" w:ascii="宋体" w:hAnsi="宋体" w:eastAsia="宋体" w:cs="宋体"/>
          <w:color w:val="auto"/>
          <w:kern w:val="0"/>
          <w:sz w:val="22"/>
          <w:szCs w:val="22"/>
          <w:highlight w:val="none"/>
          <w:lang w:eastAsia="zh-CN"/>
        </w:rPr>
        <w:t>（提供佐证材料：产品说明书或技术白皮书或检测报告）</w:t>
      </w:r>
    </w:p>
    <w:p w14:paraId="5AA89015">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9.6设备自带除烟模式≥2种，可以与摄像系统搭配，实现排烟自动控制；</w:t>
      </w:r>
    </w:p>
    <w:p w14:paraId="18F21777">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9.7设备自带气体加热功能，加热温度37℃±1℃；</w:t>
      </w:r>
    </w:p>
    <w:p w14:paraId="433E8B76">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9.8设备充气模式≥3种；</w:t>
      </w:r>
    </w:p>
    <w:p w14:paraId="27BAD7E7">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9.9设备具有过压自动释放功能，释放时间≤15秒；</w:t>
      </w:r>
    </w:p>
    <w:p w14:paraId="65AD28D1">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9.10设备具有欠压自动补气功能，欠压补气时间≤10秒；</w:t>
      </w:r>
    </w:p>
    <w:p w14:paraId="0A450B07">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9.11设备具有用气量记录功能；</w:t>
      </w:r>
    </w:p>
    <w:p w14:paraId="29A11865">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9.12气腹机具备教学演示模式，（提供证明文件）；</w:t>
      </w:r>
    </w:p>
    <w:p w14:paraId="1540EDD8">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9</w:t>
      </w:r>
      <w:r>
        <w:rPr>
          <w:rFonts w:hint="eastAsia" w:ascii="宋体" w:hAnsi="宋体" w:eastAsia="宋体" w:cs="宋体"/>
          <w:color w:val="auto"/>
          <w:kern w:val="0"/>
          <w:sz w:val="22"/>
          <w:szCs w:val="22"/>
          <w:highlight w:val="none"/>
        </w:rPr>
        <w:t>.1</w:t>
      </w:r>
      <w:r>
        <w:rPr>
          <w:rFonts w:hint="eastAsia" w:ascii="宋体" w:hAnsi="宋体" w:eastAsia="宋体" w:cs="宋体"/>
          <w:color w:val="auto"/>
          <w:kern w:val="0"/>
          <w:sz w:val="22"/>
          <w:szCs w:val="22"/>
          <w:highlight w:val="none"/>
          <w:lang w:val="en-US" w:eastAsia="zh-CN"/>
        </w:rPr>
        <w:t>3</w:t>
      </w:r>
      <w:r>
        <w:rPr>
          <w:rFonts w:hint="eastAsia" w:ascii="宋体" w:hAnsi="宋体" w:eastAsia="宋体" w:cs="宋体"/>
          <w:color w:val="auto"/>
          <w:kern w:val="0"/>
          <w:sz w:val="22"/>
          <w:szCs w:val="22"/>
          <w:highlight w:val="none"/>
        </w:rPr>
        <w:t>可选β状电切环、超细环等共手术使用。</w:t>
      </w:r>
    </w:p>
    <w:p w14:paraId="4753BC66">
      <w:pPr>
        <w:rPr>
          <w:rFonts w:ascii="Times New Roman" w:hAnsi="Times New Roman" w:eastAsia="仿宋" w:cs="Times New Roman"/>
          <w:highlight w:val="none"/>
        </w:rPr>
      </w:pPr>
    </w:p>
    <w:p w14:paraId="58C6D42E">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★十、系统配置清单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68"/>
        <w:gridCol w:w="1945"/>
        <w:gridCol w:w="4140"/>
        <w:gridCol w:w="674"/>
        <w:gridCol w:w="769"/>
      </w:tblGrid>
      <w:tr w14:paraId="56AD12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768" w:type="dxa"/>
            <w:noWrap w:val="0"/>
            <w:vAlign w:val="center"/>
          </w:tcPr>
          <w:p w14:paraId="77F63B89">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序号</w:t>
            </w:r>
          </w:p>
        </w:tc>
        <w:tc>
          <w:tcPr>
            <w:tcW w:w="1945" w:type="dxa"/>
            <w:noWrap w:val="0"/>
            <w:vAlign w:val="center"/>
          </w:tcPr>
          <w:p w14:paraId="56E135C7">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名称</w:t>
            </w:r>
          </w:p>
        </w:tc>
        <w:tc>
          <w:tcPr>
            <w:tcW w:w="4140" w:type="dxa"/>
            <w:noWrap w:val="0"/>
            <w:vAlign w:val="center"/>
          </w:tcPr>
          <w:p w14:paraId="5902EC4B">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规格要求</w:t>
            </w:r>
          </w:p>
        </w:tc>
        <w:tc>
          <w:tcPr>
            <w:tcW w:w="674" w:type="dxa"/>
            <w:noWrap w:val="0"/>
            <w:vAlign w:val="center"/>
          </w:tcPr>
          <w:p w14:paraId="76BDB53C">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数量</w:t>
            </w:r>
          </w:p>
        </w:tc>
        <w:tc>
          <w:tcPr>
            <w:tcW w:w="769" w:type="dxa"/>
            <w:noWrap w:val="0"/>
            <w:vAlign w:val="center"/>
          </w:tcPr>
          <w:p w14:paraId="228B6B84">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单位</w:t>
            </w:r>
          </w:p>
        </w:tc>
      </w:tr>
      <w:tr w14:paraId="1C71A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68" w:type="dxa"/>
            <w:noWrap w:val="0"/>
            <w:vAlign w:val="center"/>
          </w:tcPr>
          <w:p w14:paraId="2A364233">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w:t>
            </w:r>
          </w:p>
        </w:tc>
        <w:tc>
          <w:tcPr>
            <w:tcW w:w="1945" w:type="dxa"/>
            <w:noWrap w:val="0"/>
            <w:vAlign w:val="center"/>
          </w:tcPr>
          <w:p w14:paraId="70CADEA9">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4K医用内窥镜摄像系统</w:t>
            </w:r>
          </w:p>
        </w:tc>
        <w:tc>
          <w:tcPr>
            <w:tcW w:w="4140" w:type="dxa"/>
            <w:noWrap w:val="0"/>
            <w:vAlign w:val="center"/>
          </w:tcPr>
          <w:p w14:paraId="3FBA3E02">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4K超高清信号采集、处理与输出</w:t>
            </w:r>
          </w:p>
        </w:tc>
        <w:tc>
          <w:tcPr>
            <w:tcW w:w="674" w:type="dxa"/>
            <w:noWrap w:val="0"/>
            <w:vAlign w:val="center"/>
          </w:tcPr>
          <w:p w14:paraId="7975402A">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w:t>
            </w:r>
          </w:p>
        </w:tc>
        <w:tc>
          <w:tcPr>
            <w:tcW w:w="769" w:type="dxa"/>
            <w:noWrap w:val="0"/>
            <w:vAlign w:val="center"/>
          </w:tcPr>
          <w:p w14:paraId="58531651">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套</w:t>
            </w:r>
          </w:p>
        </w:tc>
      </w:tr>
      <w:tr w14:paraId="5BB64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trPr>
        <w:tc>
          <w:tcPr>
            <w:tcW w:w="768" w:type="dxa"/>
            <w:noWrap w:val="0"/>
            <w:vAlign w:val="center"/>
          </w:tcPr>
          <w:p w14:paraId="2E63497E">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w:t>
            </w:r>
          </w:p>
        </w:tc>
        <w:tc>
          <w:tcPr>
            <w:tcW w:w="1945" w:type="dxa"/>
            <w:noWrap w:val="0"/>
            <w:vAlign w:val="center"/>
          </w:tcPr>
          <w:p w14:paraId="030F6E82">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医用内窥镜冷光源</w:t>
            </w:r>
          </w:p>
        </w:tc>
        <w:tc>
          <w:tcPr>
            <w:tcW w:w="4140" w:type="dxa"/>
            <w:noWrap w:val="0"/>
            <w:vAlign w:val="center"/>
          </w:tcPr>
          <w:p w14:paraId="6BEF5330">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LED 灯珠，灯珠寿命≥30000小时</w:t>
            </w:r>
          </w:p>
        </w:tc>
        <w:tc>
          <w:tcPr>
            <w:tcW w:w="674" w:type="dxa"/>
            <w:noWrap w:val="0"/>
            <w:vAlign w:val="center"/>
          </w:tcPr>
          <w:p w14:paraId="475CDB47">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w:t>
            </w:r>
          </w:p>
        </w:tc>
        <w:tc>
          <w:tcPr>
            <w:tcW w:w="769" w:type="dxa"/>
            <w:noWrap w:val="0"/>
            <w:vAlign w:val="center"/>
          </w:tcPr>
          <w:p w14:paraId="1B6CE96E">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台</w:t>
            </w:r>
          </w:p>
        </w:tc>
      </w:tr>
      <w:tr w14:paraId="7519B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trPr>
        <w:tc>
          <w:tcPr>
            <w:tcW w:w="768" w:type="dxa"/>
            <w:vMerge w:val="restart"/>
            <w:noWrap w:val="0"/>
            <w:vAlign w:val="center"/>
          </w:tcPr>
          <w:p w14:paraId="64654897">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w:t>
            </w:r>
          </w:p>
        </w:tc>
        <w:tc>
          <w:tcPr>
            <w:tcW w:w="1945" w:type="dxa"/>
            <w:vMerge w:val="restart"/>
            <w:noWrap w:val="0"/>
            <w:vAlign w:val="center"/>
          </w:tcPr>
          <w:p w14:paraId="0E136738">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4K液晶监视器</w:t>
            </w:r>
          </w:p>
        </w:tc>
        <w:tc>
          <w:tcPr>
            <w:tcW w:w="4140" w:type="dxa"/>
            <w:noWrap w:val="0"/>
            <w:vAlign w:val="center"/>
          </w:tcPr>
          <w:p w14:paraId="4F8D73DF">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32英寸，4K 超高清显示</w:t>
            </w:r>
          </w:p>
        </w:tc>
        <w:tc>
          <w:tcPr>
            <w:tcW w:w="674" w:type="dxa"/>
            <w:noWrap w:val="0"/>
            <w:vAlign w:val="center"/>
          </w:tcPr>
          <w:p w14:paraId="6DEDFF53">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w:t>
            </w:r>
          </w:p>
        </w:tc>
        <w:tc>
          <w:tcPr>
            <w:tcW w:w="769" w:type="dxa"/>
            <w:noWrap w:val="0"/>
            <w:vAlign w:val="center"/>
          </w:tcPr>
          <w:p w14:paraId="7E6A728B">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台</w:t>
            </w:r>
          </w:p>
        </w:tc>
      </w:tr>
      <w:tr w14:paraId="2CCD81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trPr>
        <w:tc>
          <w:tcPr>
            <w:tcW w:w="768" w:type="dxa"/>
            <w:vMerge w:val="continue"/>
            <w:noWrap w:val="0"/>
            <w:vAlign w:val="center"/>
          </w:tcPr>
          <w:p w14:paraId="3179233F">
            <w:pPr>
              <w:widowControl/>
              <w:jc w:val="center"/>
              <w:rPr>
                <w:rFonts w:hint="eastAsia" w:ascii="宋体" w:hAnsi="宋体" w:eastAsia="宋体" w:cs="宋体"/>
                <w:color w:val="auto"/>
                <w:kern w:val="0"/>
                <w:sz w:val="22"/>
                <w:szCs w:val="22"/>
                <w:highlight w:val="none"/>
              </w:rPr>
            </w:pPr>
          </w:p>
        </w:tc>
        <w:tc>
          <w:tcPr>
            <w:tcW w:w="1945" w:type="dxa"/>
            <w:vMerge w:val="continue"/>
            <w:noWrap w:val="0"/>
            <w:vAlign w:val="center"/>
          </w:tcPr>
          <w:p w14:paraId="2BA1E721">
            <w:pPr>
              <w:widowControl/>
              <w:jc w:val="center"/>
              <w:rPr>
                <w:rFonts w:hint="eastAsia" w:ascii="宋体" w:hAnsi="宋体" w:eastAsia="宋体" w:cs="宋体"/>
                <w:color w:val="auto"/>
                <w:kern w:val="0"/>
                <w:sz w:val="22"/>
                <w:szCs w:val="22"/>
                <w:highlight w:val="none"/>
              </w:rPr>
            </w:pPr>
          </w:p>
        </w:tc>
        <w:tc>
          <w:tcPr>
            <w:tcW w:w="4140" w:type="dxa"/>
            <w:noWrap w:val="0"/>
            <w:vAlign w:val="center"/>
          </w:tcPr>
          <w:p w14:paraId="0D670185">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27英寸，4K 超高清显示</w:t>
            </w:r>
          </w:p>
        </w:tc>
        <w:tc>
          <w:tcPr>
            <w:tcW w:w="674" w:type="dxa"/>
            <w:noWrap w:val="0"/>
            <w:vAlign w:val="center"/>
          </w:tcPr>
          <w:p w14:paraId="77635605">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w:t>
            </w:r>
          </w:p>
        </w:tc>
        <w:tc>
          <w:tcPr>
            <w:tcW w:w="769" w:type="dxa"/>
            <w:noWrap w:val="0"/>
            <w:vAlign w:val="center"/>
          </w:tcPr>
          <w:p w14:paraId="39FC2606">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台</w:t>
            </w:r>
          </w:p>
        </w:tc>
      </w:tr>
      <w:tr w14:paraId="683F03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trPr>
        <w:tc>
          <w:tcPr>
            <w:tcW w:w="768" w:type="dxa"/>
            <w:vMerge w:val="restart"/>
            <w:noWrap w:val="0"/>
            <w:vAlign w:val="center"/>
          </w:tcPr>
          <w:p w14:paraId="13571A40">
            <w:pPr>
              <w:widowControl/>
              <w:jc w:val="center"/>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rPr>
              <w:t>4</w:t>
            </w:r>
          </w:p>
        </w:tc>
        <w:tc>
          <w:tcPr>
            <w:tcW w:w="1945" w:type="dxa"/>
            <w:vMerge w:val="restart"/>
            <w:noWrap w:val="0"/>
            <w:vAlign w:val="center"/>
          </w:tcPr>
          <w:p w14:paraId="6792E5D2">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导光束</w:t>
            </w:r>
          </w:p>
        </w:tc>
        <w:tc>
          <w:tcPr>
            <w:tcW w:w="4140" w:type="dxa"/>
            <w:noWrap w:val="0"/>
            <w:vAlign w:val="center"/>
          </w:tcPr>
          <w:p w14:paraId="5D187800">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∅3.5×3000mm；可高温高压灭菌</w:t>
            </w:r>
          </w:p>
        </w:tc>
        <w:tc>
          <w:tcPr>
            <w:tcW w:w="674" w:type="dxa"/>
            <w:noWrap w:val="0"/>
            <w:vAlign w:val="center"/>
          </w:tcPr>
          <w:p w14:paraId="220D8CD7">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w:t>
            </w:r>
          </w:p>
        </w:tc>
        <w:tc>
          <w:tcPr>
            <w:tcW w:w="769" w:type="dxa"/>
            <w:noWrap w:val="0"/>
            <w:vAlign w:val="center"/>
          </w:tcPr>
          <w:p w14:paraId="69AC1CD1">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根</w:t>
            </w:r>
          </w:p>
        </w:tc>
      </w:tr>
      <w:tr w14:paraId="21ADEB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trPr>
        <w:tc>
          <w:tcPr>
            <w:tcW w:w="768" w:type="dxa"/>
            <w:vMerge w:val="continue"/>
            <w:noWrap w:val="0"/>
            <w:vAlign w:val="center"/>
          </w:tcPr>
          <w:p w14:paraId="718289AA">
            <w:pPr>
              <w:widowControl/>
              <w:jc w:val="center"/>
              <w:rPr>
                <w:rFonts w:hint="eastAsia" w:ascii="宋体" w:hAnsi="宋体" w:eastAsia="宋体" w:cs="宋体"/>
                <w:color w:val="auto"/>
                <w:kern w:val="0"/>
                <w:sz w:val="22"/>
                <w:szCs w:val="22"/>
                <w:highlight w:val="none"/>
              </w:rPr>
            </w:pPr>
          </w:p>
        </w:tc>
        <w:tc>
          <w:tcPr>
            <w:tcW w:w="1945" w:type="dxa"/>
            <w:vMerge w:val="continue"/>
            <w:noWrap w:val="0"/>
            <w:vAlign w:val="center"/>
          </w:tcPr>
          <w:p w14:paraId="5B362768">
            <w:pPr>
              <w:widowControl/>
              <w:jc w:val="center"/>
              <w:rPr>
                <w:rFonts w:hint="eastAsia" w:ascii="宋体" w:hAnsi="宋体" w:eastAsia="宋体" w:cs="宋体"/>
                <w:color w:val="auto"/>
                <w:kern w:val="0"/>
                <w:sz w:val="22"/>
                <w:szCs w:val="22"/>
                <w:highlight w:val="none"/>
              </w:rPr>
            </w:pPr>
          </w:p>
        </w:tc>
        <w:tc>
          <w:tcPr>
            <w:tcW w:w="4140" w:type="dxa"/>
            <w:noWrap w:val="0"/>
            <w:vAlign w:val="center"/>
          </w:tcPr>
          <w:p w14:paraId="28E6CD54">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∅4.5×3000mm；可高温高压灭菌</w:t>
            </w:r>
          </w:p>
        </w:tc>
        <w:tc>
          <w:tcPr>
            <w:tcW w:w="674" w:type="dxa"/>
            <w:noWrap w:val="0"/>
            <w:vAlign w:val="center"/>
          </w:tcPr>
          <w:p w14:paraId="2309D0A1">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w:t>
            </w:r>
          </w:p>
        </w:tc>
        <w:tc>
          <w:tcPr>
            <w:tcW w:w="769" w:type="dxa"/>
            <w:noWrap w:val="0"/>
            <w:vAlign w:val="center"/>
          </w:tcPr>
          <w:p w14:paraId="1B48C1C1">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根</w:t>
            </w:r>
          </w:p>
        </w:tc>
      </w:tr>
      <w:tr w14:paraId="4FA9AD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trPr>
        <w:tc>
          <w:tcPr>
            <w:tcW w:w="768" w:type="dxa"/>
            <w:noWrap w:val="0"/>
            <w:vAlign w:val="center"/>
          </w:tcPr>
          <w:p w14:paraId="54DC26DC">
            <w:pPr>
              <w:widowControl/>
              <w:jc w:val="center"/>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rPr>
              <w:t>5</w:t>
            </w:r>
          </w:p>
        </w:tc>
        <w:tc>
          <w:tcPr>
            <w:tcW w:w="1945" w:type="dxa"/>
            <w:noWrap w:val="0"/>
            <w:vAlign w:val="center"/>
          </w:tcPr>
          <w:p w14:paraId="37CF75DA">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电源线</w:t>
            </w:r>
          </w:p>
        </w:tc>
        <w:tc>
          <w:tcPr>
            <w:tcW w:w="4140" w:type="dxa"/>
            <w:noWrap w:val="0"/>
            <w:vAlign w:val="center"/>
          </w:tcPr>
          <w:p w14:paraId="020CE03C">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3×0.75mm2×2000mm</w:t>
            </w:r>
          </w:p>
        </w:tc>
        <w:tc>
          <w:tcPr>
            <w:tcW w:w="674" w:type="dxa"/>
            <w:noWrap w:val="0"/>
            <w:vAlign w:val="center"/>
          </w:tcPr>
          <w:p w14:paraId="7CD0432E">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3</w:t>
            </w:r>
          </w:p>
        </w:tc>
        <w:tc>
          <w:tcPr>
            <w:tcW w:w="769" w:type="dxa"/>
            <w:noWrap w:val="0"/>
            <w:vAlign w:val="center"/>
          </w:tcPr>
          <w:p w14:paraId="38224007">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根</w:t>
            </w:r>
          </w:p>
        </w:tc>
      </w:tr>
      <w:tr w14:paraId="6C681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trPr>
        <w:tc>
          <w:tcPr>
            <w:tcW w:w="768" w:type="dxa"/>
            <w:vMerge w:val="restart"/>
            <w:noWrap w:val="0"/>
            <w:vAlign w:val="center"/>
          </w:tcPr>
          <w:p w14:paraId="5A9EC40C">
            <w:pPr>
              <w:widowControl/>
              <w:jc w:val="center"/>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rPr>
              <w:t>6</w:t>
            </w:r>
          </w:p>
        </w:tc>
        <w:tc>
          <w:tcPr>
            <w:tcW w:w="1945" w:type="dxa"/>
            <w:vMerge w:val="restart"/>
            <w:noWrap w:val="0"/>
            <w:vAlign w:val="center"/>
          </w:tcPr>
          <w:p w14:paraId="535A3059">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信号线</w:t>
            </w:r>
          </w:p>
        </w:tc>
        <w:tc>
          <w:tcPr>
            <w:tcW w:w="4140" w:type="dxa"/>
            <w:noWrap w:val="0"/>
            <w:vAlign w:val="center"/>
          </w:tcPr>
          <w:p w14:paraId="42391DA1">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HDMI视频线；长度1.8m</w:t>
            </w:r>
          </w:p>
        </w:tc>
        <w:tc>
          <w:tcPr>
            <w:tcW w:w="674" w:type="dxa"/>
            <w:noWrap w:val="0"/>
            <w:vAlign w:val="center"/>
          </w:tcPr>
          <w:p w14:paraId="1C211767">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w:t>
            </w:r>
          </w:p>
        </w:tc>
        <w:tc>
          <w:tcPr>
            <w:tcW w:w="769" w:type="dxa"/>
            <w:noWrap w:val="0"/>
            <w:vAlign w:val="center"/>
          </w:tcPr>
          <w:p w14:paraId="154A2D6C">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根</w:t>
            </w:r>
          </w:p>
        </w:tc>
      </w:tr>
      <w:tr w14:paraId="4B889F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trPr>
        <w:tc>
          <w:tcPr>
            <w:tcW w:w="768" w:type="dxa"/>
            <w:vMerge w:val="continue"/>
            <w:noWrap w:val="0"/>
            <w:vAlign w:val="center"/>
          </w:tcPr>
          <w:p w14:paraId="2F2DC392">
            <w:pPr>
              <w:widowControl/>
              <w:jc w:val="center"/>
              <w:rPr>
                <w:rFonts w:hint="eastAsia" w:ascii="宋体" w:hAnsi="宋体" w:eastAsia="宋体" w:cs="宋体"/>
                <w:color w:val="auto"/>
                <w:kern w:val="0"/>
                <w:sz w:val="22"/>
                <w:szCs w:val="22"/>
                <w:highlight w:val="none"/>
              </w:rPr>
            </w:pPr>
          </w:p>
        </w:tc>
        <w:tc>
          <w:tcPr>
            <w:tcW w:w="1945" w:type="dxa"/>
            <w:vMerge w:val="continue"/>
            <w:noWrap w:val="0"/>
            <w:vAlign w:val="center"/>
          </w:tcPr>
          <w:p w14:paraId="44CF4A02">
            <w:pPr>
              <w:widowControl/>
              <w:jc w:val="center"/>
              <w:rPr>
                <w:rFonts w:hint="eastAsia" w:ascii="宋体" w:hAnsi="宋体" w:eastAsia="宋体" w:cs="宋体"/>
                <w:color w:val="auto"/>
                <w:kern w:val="0"/>
                <w:sz w:val="22"/>
                <w:szCs w:val="22"/>
                <w:highlight w:val="none"/>
              </w:rPr>
            </w:pPr>
          </w:p>
        </w:tc>
        <w:tc>
          <w:tcPr>
            <w:tcW w:w="4140" w:type="dxa"/>
            <w:noWrap w:val="0"/>
            <w:vAlign w:val="center"/>
          </w:tcPr>
          <w:p w14:paraId="45487135">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DP视频线；长度1.8m</w:t>
            </w:r>
          </w:p>
        </w:tc>
        <w:tc>
          <w:tcPr>
            <w:tcW w:w="674" w:type="dxa"/>
            <w:noWrap w:val="0"/>
            <w:vAlign w:val="center"/>
          </w:tcPr>
          <w:p w14:paraId="6F5053F7">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w:t>
            </w:r>
          </w:p>
        </w:tc>
        <w:tc>
          <w:tcPr>
            <w:tcW w:w="769" w:type="dxa"/>
            <w:noWrap w:val="0"/>
            <w:vAlign w:val="center"/>
          </w:tcPr>
          <w:p w14:paraId="50E77A13">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根</w:t>
            </w:r>
          </w:p>
        </w:tc>
      </w:tr>
      <w:tr w14:paraId="3BB4A8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68" w:type="dxa"/>
            <w:noWrap w:val="0"/>
            <w:vAlign w:val="center"/>
          </w:tcPr>
          <w:p w14:paraId="21A167F4">
            <w:pPr>
              <w:widowControl/>
              <w:jc w:val="center"/>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rPr>
              <w:t>7</w:t>
            </w:r>
          </w:p>
        </w:tc>
        <w:tc>
          <w:tcPr>
            <w:tcW w:w="1945" w:type="dxa"/>
            <w:noWrap w:val="0"/>
            <w:vAlign w:val="center"/>
          </w:tcPr>
          <w:p w14:paraId="7FEF62E8">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内窥镜灭菌盒</w:t>
            </w:r>
          </w:p>
        </w:tc>
        <w:tc>
          <w:tcPr>
            <w:tcW w:w="4140" w:type="dxa"/>
            <w:noWrap w:val="0"/>
            <w:vAlign w:val="center"/>
          </w:tcPr>
          <w:p w14:paraId="53119D7D">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金属材质；支持高温高压/低温等离子/环氧乙烷灭菌</w:t>
            </w:r>
          </w:p>
        </w:tc>
        <w:tc>
          <w:tcPr>
            <w:tcW w:w="674" w:type="dxa"/>
            <w:noWrap w:val="0"/>
            <w:vAlign w:val="center"/>
          </w:tcPr>
          <w:p w14:paraId="34250207">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w:t>
            </w:r>
          </w:p>
        </w:tc>
        <w:tc>
          <w:tcPr>
            <w:tcW w:w="769" w:type="dxa"/>
            <w:noWrap w:val="0"/>
            <w:vAlign w:val="center"/>
          </w:tcPr>
          <w:p w14:paraId="445BA8E6">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个</w:t>
            </w:r>
          </w:p>
        </w:tc>
      </w:tr>
      <w:tr w14:paraId="347E60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 w:hRule="atLeast"/>
        </w:trPr>
        <w:tc>
          <w:tcPr>
            <w:tcW w:w="768" w:type="dxa"/>
            <w:noWrap w:val="0"/>
            <w:vAlign w:val="center"/>
          </w:tcPr>
          <w:p w14:paraId="6D857259">
            <w:pPr>
              <w:widowControl/>
              <w:jc w:val="center"/>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rPr>
              <w:t>8</w:t>
            </w:r>
          </w:p>
        </w:tc>
        <w:tc>
          <w:tcPr>
            <w:tcW w:w="1945" w:type="dxa"/>
            <w:noWrap w:val="0"/>
            <w:vAlign w:val="center"/>
          </w:tcPr>
          <w:p w14:paraId="34580FBA">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内窥镜</w:t>
            </w:r>
          </w:p>
        </w:tc>
        <w:tc>
          <w:tcPr>
            <w:tcW w:w="4140" w:type="dxa"/>
            <w:noWrap w:val="0"/>
            <w:vAlign w:val="top"/>
          </w:tcPr>
          <w:p w14:paraId="2A1F95F5">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∅10.0mm/30°</w:t>
            </w:r>
          </w:p>
        </w:tc>
        <w:tc>
          <w:tcPr>
            <w:tcW w:w="674" w:type="dxa"/>
            <w:noWrap w:val="0"/>
            <w:vAlign w:val="top"/>
          </w:tcPr>
          <w:p w14:paraId="5107FD8F">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w:t>
            </w:r>
          </w:p>
        </w:tc>
        <w:tc>
          <w:tcPr>
            <w:tcW w:w="769" w:type="dxa"/>
            <w:noWrap w:val="0"/>
            <w:vAlign w:val="top"/>
          </w:tcPr>
          <w:p w14:paraId="7655CDD6">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根</w:t>
            </w:r>
          </w:p>
        </w:tc>
      </w:tr>
      <w:tr w14:paraId="6585DE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68" w:type="dxa"/>
            <w:vMerge w:val="restart"/>
            <w:noWrap w:val="0"/>
            <w:vAlign w:val="center"/>
          </w:tcPr>
          <w:p w14:paraId="042F5229">
            <w:pPr>
              <w:widowControl/>
              <w:jc w:val="center"/>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rPr>
              <w:t>9</w:t>
            </w:r>
          </w:p>
        </w:tc>
        <w:tc>
          <w:tcPr>
            <w:tcW w:w="1945" w:type="dxa"/>
            <w:vMerge w:val="restart"/>
            <w:noWrap w:val="0"/>
            <w:vAlign w:val="center"/>
          </w:tcPr>
          <w:p w14:paraId="2DBD654E">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电切内窥镜</w:t>
            </w:r>
          </w:p>
        </w:tc>
        <w:tc>
          <w:tcPr>
            <w:tcW w:w="4140" w:type="dxa"/>
            <w:noWrap w:val="0"/>
            <w:vAlign w:val="top"/>
          </w:tcPr>
          <w:p w14:paraId="3CF38F65">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内窥镜（30 °）≤2.9mm</w:t>
            </w:r>
          </w:p>
        </w:tc>
        <w:tc>
          <w:tcPr>
            <w:tcW w:w="674" w:type="dxa"/>
            <w:noWrap w:val="0"/>
            <w:vAlign w:val="center"/>
          </w:tcPr>
          <w:p w14:paraId="37FE079B">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w:t>
            </w:r>
          </w:p>
        </w:tc>
        <w:tc>
          <w:tcPr>
            <w:tcW w:w="769" w:type="dxa"/>
            <w:noWrap w:val="0"/>
            <w:vAlign w:val="center"/>
          </w:tcPr>
          <w:p w14:paraId="63A60549">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根</w:t>
            </w:r>
          </w:p>
        </w:tc>
      </w:tr>
      <w:tr w14:paraId="02A20D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68" w:type="dxa"/>
            <w:vMerge w:val="continue"/>
            <w:noWrap w:val="0"/>
            <w:vAlign w:val="center"/>
          </w:tcPr>
          <w:p w14:paraId="3C69BE67">
            <w:pPr>
              <w:widowControl/>
              <w:jc w:val="center"/>
              <w:rPr>
                <w:rFonts w:hint="eastAsia" w:ascii="宋体" w:hAnsi="宋体" w:eastAsia="宋体" w:cs="宋体"/>
                <w:color w:val="auto"/>
                <w:kern w:val="0"/>
                <w:sz w:val="22"/>
                <w:szCs w:val="22"/>
                <w:highlight w:val="none"/>
              </w:rPr>
            </w:pPr>
          </w:p>
        </w:tc>
        <w:tc>
          <w:tcPr>
            <w:tcW w:w="1945" w:type="dxa"/>
            <w:vMerge w:val="continue"/>
            <w:noWrap w:val="0"/>
            <w:vAlign w:val="center"/>
          </w:tcPr>
          <w:p w14:paraId="62841433">
            <w:pPr>
              <w:widowControl/>
              <w:jc w:val="center"/>
              <w:rPr>
                <w:rFonts w:hint="eastAsia" w:ascii="宋体" w:hAnsi="宋体" w:eastAsia="宋体" w:cs="宋体"/>
                <w:color w:val="auto"/>
                <w:kern w:val="0"/>
                <w:sz w:val="22"/>
                <w:szCs w:val="22"/>
                <w:highlight w:val="none"/>
              </w:rPr>
            </w:pPr>
          </w:p>
        </w:tc>
        <w:tc>
          <w:tcPr>
            <w:tcW w:w="4140" w:type="dxa"/>
            <w:noWrap w:val="0"/>
            <w:vAlign w:val="top"/>
          </w:tcPr>
          <w:p w14:paraId="33FA531A">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操作器</w:t>
            </w:r>
          </w:p>
        </w:tc>
        <w:tc>
          <w:tcPr>
            <w:tcW w:w="674" w:type="dxa"/>
            <w:noWrap w:val="0"/>
            <w:vAlign w:val="center"/>
          </w:tcPr>
          <w:p w14:paraId="7D832D63">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w:t>
            </w:r>
          </w:p>
        </w:tc>
        <w:tc>
          <w:tcPr>
            <w:tcW w:w="769" w:type="dxa"/>
            <w:noWrap w:val="0"/>
            <w:vAlign w:val="center"/>
          </w:tcPr>
          <w:p w14:paraId="04A6B4B9">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个</w:t>
            </w:r>
          </w:p>
        </w:tc>
      </w:tr>
      <w:tr w14:paraId="1E98D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68" w:type="dxa"/>
            <w:vMerge w:val="continue"/>
            <w:noWrap w:val="0"/>
            <w:vAlign w:val="center"/>
          </w:tcPr>
          <w:p w14:paraId="4A49F1A6">
            <w:pPr>
              <w:widowControl/>
              <w:jc w:val="center"/>
              <w:rPr>
                <w:rFonts w:hint="eastAsia" w:ascii="宋体" w:hAnsi="宋体" w:eastAsia="宋体" w:cs="宋体"/>
                <w:color w:val="auto"/>
                <w:kern w:val="0"/>
                <w:sz w:val="22"/>
                <w:szCs w:val="22"/>
                <w:highlight w:val="none"/>
              </w:rPr>
            </w:pPr>
          </w:p>
        </w:tc>
        <w:tc>
          <w:tcPr>
            <w:tcW w:w="1945" w:type="dxa"/>
            <w:vMerge w:val="continue"/>
            <w:noWrap w:val="0"/>
            <w:vAlign w:val="center"/>
          </w:tcPr>
          <w:p w14:paraId="60AD074D">
            <w:pPr>
              <w:widowControl/>
              <w:jc w:val="center"/>
              <w:rPr>
                <w:rFonts w:hint="eastAsia" w:ascii="宋体" w:hAnsi="宋体" w:eastAsia="宋体" w:cs="宋体"/>
                <w:color w:val="auto"/>
                <w:kern w:val="0"/>
                <w:sz w:val="22"/>
                <w:szCs w:val="22"/>
                <w:highlight w:val="none"/>
              </w:rPr>
            </w:pPr>
          </w:p>
        </w:tc>
        <w:tc>
          <w:tcPr>
            <w:tcW w:w="4140" w:type="dxa"/>
            <w:noWrap w:val="0"/>
            <w:vAlign w:val="top"/>
          </w:tcPr>
          <w:p w14:paraId="0C9278AC">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外鞘≤18.5F</w:t>
            </w:r>
          </w:p>
        </w:tc>
        <w:tc>
          <w:tcPr>
            <w:tcW w:w="674" w:type="dxa"/>
            <w:noWrap w:val="0"/>
            <w:vAlign w:val="center"/>
          </w:tcPr>
          <w:p w14:paraId="63CBDB74">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w:t>
            </w:r>
          </w:p>
        </w:tc>
        <w:tc>
          <w:tcPr>
            <w:tcW w:w="769" w:type="dxa"/>
            <w:noWrap w:val="0"/>
            <w:vAlign w:val="center"/>
          </w:tcPr>
          <w:p w14:paraId="7F44235A">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根</w:t>
            </w:r>
          </w:p>
        </w:tc>
      </w:tr>
      <w:tr w14:paraId="3E0887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68" w:type="dxa"/>
            <w:vMerge w:val="continue"/>
            <w:noWrap w:val="0"/>
            <w:vAlign w:val="center"/>
          </w:tcPr>
          <w:p w14:paraId="3BBD92C7">
            <w:pPr>
              <w:widowControl/>
              <w:jc w:val="center"/>
              <w:rPr>
                <w:rFonts w:hint="eastAsia" w:ascii="宋体" w:hAnsi="宋体" w:eastAsia="宋体" w:cs="宋体"/>
                <w:color w:val="auto"/>
                <w:kern w:val="0"/>
                <w:sz w:val="22"/>
                <w:szCs w:val="22"/>
                <w:highlight w:val="none"/>
              </w:rPr>
            </w:pPr>
          </w:p>
        </w:tc>
        <w:tc>
          <w:tcPr>
            <w:tcW w:w="1945" w:type="dxa"/>
            <w:vMerge w:val="continue"/>
            <w:noWrap w:val="0"/>
            <w:vAlign w:val="center"/>
          </w:tcPr>
          <w:p w14:paraId="21A08FA1">
            <w:pPr>
              <w:widowControl/>
              <w:jc w:val="center"/>
              <w:rPr>
                <w:rFonts w:hint="eastAsia" w:ascii="宋体" w:hAnsi="宋体" w:eastAsia="宋体" w:cs="宋体"/>
                <w:color w:val="auto"/>
                <w:kern w:val="0"/>
                <w:sz w:val="22"/>
                <w:szCs w:val="22"/>
                <w:highlight w:val="none"/>
              </w:rPr>
            </w:pPr>
          </w:p>
        </w:tc>
        <w:tc>
          <w:tcPr>
            <w:tcW w:w="4140" w:type="dxa"/>
            <w:noWrap w:val="0"/>
            <w:vAlign w:val="top"/>
          </w:tcPr>
          <w:p w14:paraId="00FC379C">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内鞘≤16.5F</w:t>
            </w:r>
          </w:p>
        </w:tc>
        <w:tc>
          <w:tcPr>
            <w:tcW w:w="674" w:type="dxa"/>
            <w:noWrap w:val="0"/>
            <w:vAlign w:val="center"/>
          </w:tcPr>
          <w:p w14:paraId="55190C3F">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w:t>
            </w:r>
          </w:p>
        </w:tc>
        <w:tc>
          <w:tcPr>
            <w:tcW w:w="769" w:type="dxa"/>
            <w:noWrap w:val="0"/>
            <w:vAlign w:val="center"/>
          </w:tcPr>
          <w:p w14:paraId="3B92F956">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根</w:t>
            </w:r>
          </w:p>
        </w:tc>
      </w:tr>
      <w:tr w14:paraId="434E54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68" w:type="dxa"/>
            <w:vMerge w:val="continue"/>
            <w:noWrap w:val="0"/>
            <w:vAlign w:val="center"/>
          </w:tcPr>
          <w:p w14:paraId="39FFBAC9">
            <w:pPr>
              <w:widowControl/>
              <w:jc w:val="center"/>
              <w:rPr>
                <w:rFonts w:hint="eastAsia" w:ascii="宋体" w:hAnsi="宋体" w:eastAsia="宋体" w:cs="宋体"/>
                <w:color w:val="auto"/>
                <w:kern w:val="0"/>
                <w:sz w:val="22"/>
                <w:szCs w:val="22"/>
                <w:highlight w:val="none"/>
              </w:rPr>
            </w:pPr>
          </w:p>
        </w:tc>
        <w:tc>
          <w:tcPr>
            <w:tcW w:w="1945" w:type="dxa"/>
            <w:vMerge w:val="continue"/>
            <w:noWrap w:val="0"/>
            <w:vAlign w:val="center"/>
          </w:tcPr>
          <w:p w14:paraId="0E864619">
            <w:pPr>
              <w:widowControl/>
              <w:jc w:val="center"/>
              <w:rPr>
                <w:rFonts w:hint="eastAsia" w:ascii="宋体" w:hAnsi="宋体" w:eastAsia="宋体" w:cs="宋体"/>
                <w:color w:val="auto"/>
                <w:kern w:val="0"/>
                <w:sz w:val="22"/>
                <w:szCs w:val="22"/>
                <w:highlight w:val="none"/>
              </w:rPr>
            </w:pPr>
          </w:p>
        </w:tc>
        <w:tc>
          <w:tcPr>
            <w:tcW w:w="4140" w:type="dxa"/>
            <w:noWrap w:val="0"/>
            <w:vAlign w:val="top"/>
          </w:tcPr>
          <w:p w14:paraId="42E4BFF5">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接头</w:t>
            </w:r>
          </w:p>
        </w:tc>
        <w:tc>
          <w:tcPr>
            <w:tcW w:w="674" w:type="dxa"/>
            <w:noWrap w:val="0"/>
            <w:vAlign w:val="center"/>
          </w:tcPr>
          <w:p w14:paraId="10D4FF08">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w:t>
            </w:r>
          </w:p>
        </w:tc>
        <w:tc>
          <w:tcPr>
            <w:tcW w:w="769" w:type="dxa"/>
            <w:noWrap w:val="0"/>
            <w:vAlign w:val="center"/>
          </w:tcPr>
          <w:p w14:paraId="765F2E0A">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个</w:t>
            </w:r>
          </w:p>
        </w:tc>
      </w:tr>
      <w:tr w14:paraId="3470F4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68" w:type="dxa"/>
            <w:vMerge w:val="continue"/>
            <w:noWrap w:val="0"/>
            <w:vAlign w:val="center"/>
          </w:tcPr>
          <w:p w14:paraId="6F2B0CB7">
            <w:pPr>
              <w:widowControl/>
              <w:jc w:val="center"/>
              <w:rPr>
                <w:rFonts w:hint="eastAsia" w:ascii="宋体" w:hAnsi="宋体" w:eastAsia="宋体" w:cs="宋体"/>
                <w:color w:val="auto"/>
                <w:kern w:val="0"/>
                <w:sz w:val="22"/>
                <w:szCs w:val="22"/>
                <w:highlight w:val="none"/>
              </w:rPr>
            </w:pPr>
          </w:p>
        </w:tc>
        <w:tc>
          <w:tcPr>
            <w:tcW w:w="1945" w:type="dxa"/>
            <w:vMerge w:val="continue"/>
            <w:noWrap w:val="0"/>
            <w:vAlign w:val="center"/>
          </w:tcPr>
          <w:p w14:paraId="46E47651">
            <w:pPr>
              <w:widowControl/>
              <w:jc w:val="center"/>
              <w:rPr>
                <w:rFonts w:hint="eastAsia" w:ascii="宋体" w:hAnsi="宋体" w:eastAsia="宋体" w:cs="宋体"/>
                <w:color w:val="auto"/>
                <w:kern w:val="0"/>
                <w:sz w:val="22"/>
                <w:szCs w:val="22"/>
                <w:highlight w:val="none"/>
              </w:rPr>
            </w:pPr>
          </w:p>
        </w:tc>
        <w:tc>
          <w:tcPr>
            <w:tcW w:w="4140" w:type="dxa"/>
            <w:noWrap w:val="0"/>
            <w:vAlign w:val="top"/>
          </w:tcPr>
          <w:p w14:paraId="57D2C616">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导引杆</w:t>
            </w:r>
          </w:p>
        </w:tc>
        <w:tc>
          <w:tcPr>
            <w:tcW w:w="674" w:type="dxa"/>
            <w:noWrap w:val="0"/>
            <w:vAlign w:val="center"/>
          </w:tcPr>
          <w:p w14:paraId="18FDE490">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w:t>
            </w:r>
          </w:p>
        </w:tc>
        <w:tc>
          <w:tcPr>
            <w:tcW w:w="769" w:type="dxa"/>
            <w:noWrap w:val="0"/>
            <w:vAlign w:val="center"/>
          </w:tcPr>
          <w:p w14:paraId="66F9F9D6">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个</w:t>
            </w:r>
          </w:p>
        </w:tc>
      </w:tr>
      <w:tr w14:paraId="299FFF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8" w:type="dxa"/>
            <w:noWrap w:val="0"/>
            <w:vAlign w:val="center"/>
          </w:tcPr>
          <w:p w14:paraId="6C52496B">
            <w:pPr>
              <w:widowControl/>
              <w:jc w:val="center"/>
              <w:rPr>
                <w:rFonts w:hint="default"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10</w:t>
            </w:r>
          </w:p>
        </w:tc>
        <w:tc>
          <w:tcPr>
            <w:tcW w:w="1945" w:type="dxa"/>
            <w:noWrap w:val="0"/>
            <w:vAlign w:val="center"/>
          </w:tcPr>
          <w:p w14:paraId="713479B3">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内窥镜台车</w:t>
            </w:r>
          </w:p>
        </w:tc>
        <w:tc>
          <w:tcPr>
            <w:tcW w:w="4140" w:type="dxa"/>
            <w:noWrap w:val="0"/>
            <w:vAlign w:val="center"/>
          </w:tcPr>
          <w:p w14:paraId="7A25D518">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层板ABS材质，带抽柜；含支臂VESA件和电源线；</w:t>
            </w:r>
          </w:p>
        </w:tc>
        <w:tc>
          <w:tcPr>
            <w:tcW w:w="674" w:type="dxa"/>
            <w:noWrap w:val="0"/>
            <w:vAlign w:val="center"/>
          </w:tcPr>
          <w:p w14:paraId="421909A7">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w:t>
            </w:r>
          </w:p>
        </w:tc>
        <w:tc>
          <w:tcPr>
            <w:tcW w:w="769" w:type="dxa"/>
            <w:noWrap w:val="0"/>
            <w:vAlign w:val="center"/>
          </w:tcPr>
          <w:p w14:paraId="5C56B25E">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台</w:t>
            </w:r>
          </w:p>
        </w:tc>
      </w:tr>
      <w:tr w14:paraId="1A896E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trPr>
        <w:tc>
          <w:tcPr>
            <w:tcW w:w="768" w:type="dxa"/>
            <w:noWrap w:val="0"/>
            <w:vAlign w:val="center"/>
          </w:tcPr>
          <w:p w14:paraId="428B8C14">
            <w:pPr>
              <w:widowControl/>
              <w:jc w:val="center"/>
              <w:rPr>
                <w:rFonts w:hint="default"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11</w:t>
            </w:r>
          </w:p>
        </w:tc>
        <w:tc>
          <w:tcPr>
            <w:tcW w:w="1945" w:type="dxa"/>
            <w:noWrap w:val="0"/>
            <w:vAlign w:val="center"/>
          </w:tcPr>
          <w:p w14:paraId="0F9AA7F6">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医用气腹机</w:t>
            </w:r>
          </w:p>
        </w:tc>
        <w:tc>
          <w:tcPr>
            <w:tcW w:w="4140" w:type="dxa"/>
            <w:noWrap w:val="0"/>
            <w:vAlign w:val="center"/>
          </w:tcPr>
          <w:p w14:paraId="47911C15">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流量≥50L/min</w:t>
            </w:r>
          </w:p>
        </w:tc>
        <w:tc>
          <w:tcPr>
            <w:tcW w:w="674" w:type="dxa"/>
            <w:noWrap w:val="0"/>
            <w:vAlign w:val="center"/>
          </w:tcPr>
          <w:p w14:paraId="557DFAE2">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w:t>
            </w:r>
          </w:p>
        </w:tc>
        <w:tc>
          <w:tcPr>
            <w:tcW w:w="769" w:type="dxa"/>
            <w:noWrap w:val="0"/>
            <w:vAlign w:val="center"/>
          </w:tcPr>
          <w:p w14:paraId="7C5DFDC7">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台</w:t>
            </w:r>
          </w:p>
        </w:tc>
      </w:tr>
      <w:tr w14:paraId="3CEE10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4" w:hRule="atLeast"/>
        </w:trPr>
        <w:tc>
          <w:tcPr>
            <w:tcW w:w="768" w:type="dxa"/>
            <w:noWrap w:val="0"/>
            <w:vAlign w:val="center"/>
          </w:tcPr>
          <w:p w14:paraId="4675490E">
            <w:pPr>
              <w:widowControl/>
              <w:jc w:val="center"/>
              <w:rPr>
                <w:rFonts w:hint="default" w:ascii="宋体" w:hAnsi="宋体" w:eastAsia="宋体" w:cs="宋体"/>
                <w:color w:val="auto"/>
                <w:kern w:val="0"/>
                <w:sz w:val="22"/>
                <w:szCs w:val="22"/>
                <w:highlight w:val="none"/>
                <w:lang w:val="en-US" w:eastAsia="zh-CN"/>
              </w:rPr>
            </w:pPr>
            <w:r>
              <w:rPr>
                <w:rFonts w:hint="eastAsia" w:ascii="宋体" w:hAnsi="宋体" w:eastAsia="宋体" w:cs="宋体"/>
                <w:color w:val="auto"/>
                <w:kern w:val="0"/>
                <w:sz w:val="22"/>
                <w:szCs w:val="22"/>
                <w:highlight w:val="none"/>
                <w:lang w:val="en-US" w:eastAsia="zh-CN"/>
              </w:rPr>
              <w:t>12</w:t>
            </w:r>
          </w:p>
        </w:tc>
        <w:tc>
          <w:tcPr>
            <w:tcW w:w="1945" w:type="dxa"/>
            <w:noWrap w:val="0"/>
            <w:vAlign w:val="top"/>
          </w:tcPr>
          <w:p w14:paraId="05119B03">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电切环</w:t>
            </w:r>
          </w:p>
        </w:tc>
        <w:tc>
          <w:tcPr>
            <w:tcW w:w="4140" w:type="dxa"/>
            <w:noWrap w:val="0"/>
            <w:vAlign w:val="top"/>
          </w:tcPr>
          <w:p w14:paraId="17840889">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β状手术电极</w:t>
            </w:r>
          </w:p>
        </w:tc>
        <w:tc>
          <w:tcPr>
            <w:tcW w:w="674" w:type="dxa"/>
            <w:noWrap w:val="0"/>
            <w:vAlign w:val="center"/>
          </w:tcPr>
          <w:p w14:paraId="4150694A">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1</w:t>
            </w:r>
          </w:p>
        </w:tc>
        <w:tc>
          <w:tcPr>
            <w:tcW w:w="769" w:type="dxa"/>
            <w:noWrap w:val="0"/>
            <w:vAlign w:val="center"/>
          </w:tcPr>
          <w:p w14:paraId="0E58CC6D">
            <w:pPr>
              <w:widowControl/>
              <w:jc w:val="center"/>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rPr>
              <w:t>支</w:t>
            </w:r>
          </w:p>
        </w:tc>
      </w:tr>
    </w:tbl>
    <w:p w14:paraId="4D5313D5">
      <w:pPr>
        <w:jc w:val="center"/>
        <w:rPr>
          <w:rFonts w:hint="eastAsia" w:ascii="宋体" w:hAnsi="宋体" w:eastAsia="宋体" w:cs="宋体"/>
          <w:b/>
          <w:bCs/>
          <w:color w:val="auto"/>
          <w:kern w:val="0"/>
          <w:sz w:val="24"/>
          <w:szCs w:val="24"/>
          <w:highlight w:val="none"/>
        </w:rPr>
      </w:pPr>
      <w:r>
        <w:rPr>
          <w:rFonts w:hint="eastAsia" w:ascii="黑体" w:hAnsi="黑体" w:eastAsia="黑体"/>
          <w:color w:val="auto"/>
          <w:sz w:val="28"/>
          <w:szCs w:val="28"/>
          <w:highlight w:val="none"/>
        </w:rPr>
        <w:br w:type="page"/>
      </w:r>
      <w:r>
        <w:rPr>
          <w:rFonts w:hint="eastAsia" w:ascii="宋体" w:hAnsi="宋体" w:eastAsia="宋体" w:cs="宋体"/>
          <w:b/>
          <w:bCs/>
          <w:color w:val="auto"/>
          <w:kern w:val="0"/>
          <w:sz w:val="28"/>
          <w:szCs w:val="28"/>
          <w:highlight w:val="none"/>
        </w:rPr>
        <w:t>失眠综合治疗仪(声光振)技术规格与要求</w:t>
      </w:r>
      <w:r>
        <w:rPr>
          <w:rFonts w:hint="eastAsia" w:ascii="宋体" w:hAnsi="宋体" w:eastAsia="宋体" w:cs="宋体"/>
          <w:b/>
          <w:bCs/>
          <w:color w:val="auto"/>
          <w:kern w:val="0"/>
          <w:sz w:val="24"/>
          <w:szCs w:val="24"/>
          <w:highlight w:val="none"/>
        </w:rPr>
        <w:br w:type="textWrapping"/>
      </w:r>
    </w:p>
    <w:p w14:paraId="1C5A47E4">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1.</w:t>
      </w:r>
      <w:r>
        <w:rPr>
          <w:rFonts w:hint="eastAsia" w:ascii="宋体" w:hAnsi="宋体" w:eastAsia="宋体" w:cs="宋体"/>
          <w:color w:val="auto"/>
          <w:kern w:val="0"/>
          <w:sz w:val="22"/>
          <w:szCs w:val="22"/>
          <w:highlight w:val="none"/>
        </w:rPr>
        <w:t>具备</w:t>
      </w:r>
      <w:r>
        <w:rPr>
          <w:rFonts w:hint="eastAsia" w:ascii="宋体" w:hAnsi="宋体" w:eastAsia="宋体" w:cs="宋体"/>
          <w:color w:val="auto"/>
          <w:kern w:val="0"/>
          <w:sz w:val="22"/>
          <w:szCs w:val="22"/>
          <w:highlight w:val="none"/>
          <w:lang w:val="en-US" w:eastAsia="zh-CN"/>
        </w:rPr>
        <w:t>二类</w:t>
      </w:r>
      <w:r>
        <w:rPr>
          <w:rFonts w:hint="eastAsia" w:ascii="宋体" w:hAnsi="宋体" w:eastAsia="宋体" w:cs="宋体"/>
          <w:color w:val="auto"/>
          <w:kern w:val="0"/>
          <w:sz w:val="22"/>
          <w:szCs w:val="22"/>
          <w:highlight w:val="none"/>
        </w:rPr>
        <w:t>医疗器械注册证，适用范围包含非器质性失眠治疗</w:t>
      </w:r>
    </w:p>
    <w:p w14:paraId="547B7D7C">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rPr>
        <w:t>整机包含主机、配套治疗配件、电源、说明书合格证全套标准配置，不得缺件；</w:t>
      </w:r>
    </w:p>
    <w:p w14:paraId="5E9DFEED">
      <w:pPr>
        <w:widowControl/>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rPr>
        <w:t>▲3.</w:t>
      </w:r>
      <w:r>
        <w:rPr>
          <w:rFonts w:hint="eastAsia" w:ascii="宋体" w:hAnsi="宋体" w:eastAsia="宋体" w:cs="宋体"/>
          <w:color w:val="auto"/>
          <w:kern w:val="0"/>
          <w:sz w:val="22"/>
          <w:szCs w:val="22"/>
          <w:highlight w:val="none"/>
        </w:rPr>
        <w:t xml:space="preserve">治疗仪防电击类型、程度：I类、B型应用部分。适配医院 </w:t>
      </w:r>
      <w:r>
        <w:rPr>
          <w:rFonts w:hint="eastAsia" w:ascii="宋体" w:hAnsi="宋体" w:eastAsia="宋体" w:cs="宋体"/>
          <w:color w:val="auto"/>
          <w:kern w:val="0"/>
          <w:sz w:val="22"/>
          <w:szCs w:val="22"/>
          <w:highlight w:val="none"/>
          <w:lang w:val="en-US" w:eastAsia="zh-CN"/>
        </w:rPr>
        <w:t>220V±22V</w:t>
      </w:r>
      <w:r>
        <w:rPr>
          <w:rFonts w:hint="eastAsia" w:ascii="宋体" w:hAnsi="宋体" w:eastAsia="宋体" w:cs="宋体"/>
          <w:color w:val="auto"/>
          <w:kern w:val="0"/>
          <w:sz w:val="22"/>
          <w:szCs w:val="22"/>
          <w:highlight w:val="none"/>
        </w:rPr>
        <w:t xml:space="preserve"> 常规供电；</w:t>
      </w:r>
      <w:r>
        <w:rPr>
          <w:rFonts w:hint="eastAsia" w:ascii="宋体" w:hAnsi="宋体" w:eastAsia="宋体" w:cs="宋体"/>
          <w:color w:val="auto"/>
          <w:kern w:val="0"/>
          <w:sz w:val="22"/>
          <w:szCs w:val="22"/>
          <w:highlight w:val="none"/>
          <w:lang w:eastAsia="zh-CN"/>
        </w:rPr>
        <w:t>（提供佐证材料：产品说明书或技术白皮书或</w:t>
      </w:r>
      <w:r>
        <w:rPr>
          <w:rFonts w:hint="eastAsia" w:ascii="宋体" w:hAnsi="宋体" w:cs="宋体"/>
          <w:color w:val="auto"/>
          <w:kern w:val="0"/>
          <w:sz w:val="22"/>
          <w:szCs w:val="22"/>
          <w:highlight w:val="none"/>
          <w:lang w:val="en-US" w:eastAsia="zh-CN"/>
        </w:rPr>
        <w:t>第三方</w:t>
      </w:r>
      <w:r>
        <w:rPr>
          <w:rFonts w:hint="eastAsia" w:ascii="宋体" w:hAnsi="宋体" w:eastAsia="宋体" w:cs="宋体"/>
          <w:color w:val="auto"/>
          <w:kern w:val="0"/>
          <w:sz w:val="22"/>
          <w:szCs w:val="22"/>
          <w:highlight w:val="none"/>
          <w:lang w:eastAsia="zh-CN"/>
        </w:rPr>
        <w:t>检测报告）</w:t>
      </w:r>
    </w:p>
    <w:p w14:paraId="019A9744">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4.</w:t>
      </w:r>
      <w:r>
        <w:rPr>
          <w:rFonts w:hint="eastAsia" w:ascii="宋体" w:hAnsi="宋体" w:eastAsia="宋体" w:cs="宋体"/>
          <w:color w:val="auto"/>
          <w:kern w:val="0"/>
          <w:sz w:val="22"/>
          <w:szCs w:val="22"/>
          <w:highlight w:val="none"/>
        </w:rPr>
        <w:t>设备治疗结束自动关停功能。</w:t>
      </w:r>
    </w:p>
    <w:p w14:paraId="6C5ACB32">
      <w:pPr>
        <w:widowControl/>
        <w:jc w:val="left"/>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（一）光疗模块</w:t>
      </w:r>
    </w:p>
    <w:p w14:paraId="16E25D3A">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1.</w:t>
      </w:r>
      <w:r>
        <w:rPr>
          <w:rFonts w:hint="eastAsia" w:ascii="宋体" w:hAnsi="宋体" w:eastAsia="宋体" w:cs="宋体"/>
          <w:color w:val="auto"/>
          <w:kern w:val="0"/>
          <w:sz w:val="22"/>
          <w:szCs w:val="22"/>
          <w:highlight w:val="none"/>
        </w:rPr>
        <w:t>支持可调节律光</w:t>
      </w:r>
      <w:r>
        <w:rPr>
          <w:rFonts w:hint="eastAsia" w:ascii="宋体" w:hAnsi="宋体" w:eastAsia="宋体" w:cs="宋体"/>
          <w:color w:val="auto"/>
          <w:kern w:val="0"/>
          <w:sz w:val="22"/>
          <w:szCs w:val="22"/>
          <w:highlight w:val="none"/>
          <w:lang w:val="en-US" w:eastAsia="zh-CN"/>
        </w:rPr>
        <w:t>刺激</w:t>
      </w:r>
      <w:r>
        <w:rPr>
          <w:rFonts w:hint="eastAsia" w:ascii="宋体" w:hAnsi="宋体" w:eastAsia="宋体" w:cs="宋体"/>
          <w:color w:val="auto"/>
          <w:kern w:val="0"/>
          <w:sz w:val="22"/>
          <w:szCs w:val="22"/>
          <w:highlight w:val="none"/>
        </w:rPr>
        <w:t>模式，可调节</w:t>
      </w:r>
      <w:r>
        <w:rPr>
          <w:rFonts w:hint="eastAsia" w:ascii="宋体" w:hAnsi="宋体" w:eastAsia="宋体" w:cs="宋体"/>
          <w:color w:val="auto"/>
          <w:kern w:val="0"/>
          <w:sz w:val="22"/>
          <w:szCs w:val="22"/>
          <w:highlight w:val="none"/>
          <w:lang w:val="en-US" w:eastAsia="zh-CN"/>
        </w:rPr>
        <w:t>强度</w:t>
      </w:r>
      <w:r>
        <w:rPr>
          <w:rFonts w:hint="eastAsia" w:ascii="宋体" w:hAnsi="宋体" w:eastAsia="宋体" w:cs="宋体"/>
          <w:color w:val="auto"/>
          <w:kern w:val="0"/>
          <w:sz w:val="22"/>
          <w:szCs w:val="22"/>
          <w:highlight w:val="none"/>
        </w:rPr>
        <w:t>；</w:t>
      </w:r>
    </w:p>
    <w:p w14:paraId="4060FD5D">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rPr>
        <w:t>具备低强度光刺激功能，光频率区间覆盖 2–20Hz 连续可调；</w:t>
      </w:r>
      <w:r>
        <w:rPr>
          <w:rFonts w:hint="eastAsia" w:ascii="宋体" w:hAnsi="宋体" w:eastAsia="宋体" w:cs="宋体"/>
          <w:color w:val="auto"/>
          <w:kern w:val="0"/>
          <w:sz w:val="22"/>
          <w:szCs w:val="22"/>
          <w:highlight w:val="none"/>
          <w:lang w:eastAsia="zh-CN"/>
        </w:rPr>
        <w:t>（提供佐证材料：产品说明书或技术白皮书或</w:t>
      </w:r>
      <w:r>
        <w:rPr>
          <w:rFonts w:hint="eastAsia" w:ascii="宋体" w:hAnsi="宋体" w:cs="宋体"/>
          <w:color w:val="auto"/>
          <w:kern w:val="0"/>
          <w:sz w:val="22"/>
          <w:szCs w:val="22"/>
          <w:highlight w:val="none"/>
          <w:lang w:val="en-US" w:eastAsia="zh-CN"/>
        </w:rPr>
        <w:t>第三方</w:t>
      </w:r>
      <w:r>
        <w:rPr>
          <w:rFonts w:hint="eastAsia" w:ascii="宋体" w:hAnsi="宋体" w:eastAsia="宋体" w:cs="宋体"/>
          <w:color w:val="auto"/>
          <w:kern w:val="0"/>
          <w:sz w:val="22"/>
          <w:szCs w:val="22"/>
          <w:highlight w:val="none"/>
          <w:lang w:eastAsia="zh-CN"/>
        </w:rPr>
        <w:t>检测报告）</w:t>
      </w:r>
    </w:p>
    <w:p w14:paraId="3DF2DFA1">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▲3.</w:t>
      </w:r>
      <w:r>
        <w:rPr>
          <w:rFonts w:hint="eastAsia" w:ascii="宋体" w:hAnsi="宋体" w:eastAsia="宋体" w:cs="宋体"/>
          <w:color w:val="auto"/>
          <w:kern w:val="0"/>
          <w:sz w:val="22"/>
          <w:szCs w:val="22"/>
          <w:highlight w:val="none"/>
        </w:rPr>
        <w:t>光照度＜10 lx；</w:t>
      </w:r>
      <w:r>
        <w:rPr>
          <w:rFonts w:hint="eastAsia" w:ascii="宋体" w:hAnsi="宋体" w:eastAsia="宋体" w:cs="宋体"/>
          <w:color w:val="auto"/>
          <w:kern w:val="0"/>
          <w:sz w:val="22"/>
          <w:szCs w:val="22"/>
          <w:highlight w:val="none"/>
          <w:lang w:eastAsia="zh-CN"/>
        </w:rPr>
        <w:t>（提供佐证材料：产品说明书或技术白皮书或</w:t>
      </w:r>
      <w:r>
        <w:rPr>
          <w:rFonts w:hint="eastAsia" w:ascii="宋体" w:hAnsi="宋体" w:cs="宋体"/>
          <w:color w:val="auto"/>
          <w:kern w:val="0"/>
          <w:sz w:val="22"/>
          <w:szCs w:val="22"/>
          <w:highlight w:val="none"/>
          <w:lang w:val="en-US" w:eastAsia="zh-CN"/>
        </w:rPr>
        <w:t>第三方</w:t>
      </w:r>
      <w:r>
        <w:rPr>
          <w:rFonts w:hint="eastAsia" w:ascii="宋体" w:hAnsi="宋体" w:eastAsia="宋体" w:cs="宋体"/>
          <w:color w:val="auto"/>
          <w:kern w:val="0"/>
          <w:sz w:val="22"/>
          <w:szCs w:val="22"/>
          <w:highlight w:val="none"/>
          <w:lang w:eastAsia="zh-CN"/>
        </w:rPr>
        <w:t>检测报告）</w:t>
      </w:r>
    </w:p>
    <w:p w14:paraId="3879F15D">
      <w:pPr>
        <w:widowControl/>
        <w:jc w:val="left"/>
        <w:rPr>
          <w:rFonts w:hint="eastAsia" w:ascii="宋体" w:hAnsi="宋体" w:eastAsia="宋体" w:cs="宋体"/>
          <w:color w:val="auto"/>
          <w:kern w:val="0"/>
          <w:sz w:val="22"/>
          <w:szCs w:val="22"/>
          <w:highlight w:val="none"/>
          <w:lang w:eastAsia="zh-CN"/>
        </w:rPr>
      </w:pPr>
      <w:r>
        <w:rPr>
          <w:rFonts w:hint="eastAsia" w:ascii="宋体" w:hAnsi="宋体" w:eastAsia="宋体" w:cs="宋体"/>
          <w:color w:val="auto"/>
          <w:kern w:val="0"/>
          <w:sz w:val="22"/>
          <w:szCs w:val="22"/>
          <w:highlight w:val="none"/>
          <w:lang w:val="en-US" w:eastAsia="zh-CN"/>
        </w:rPr>
        <w:t>▲4.</w:t>
      </w:r>
      <w:r>
        <w:rPr>
          <w:rFonts w:hint="eastAsia" w:ascii="宋体" w:hAnsi="宋体" w:eastAsia="宋体" w:cs="宋体"/>
          <w:color w:val="auto"/>
          <w:kern w:val="0"/>
          <w:sz w:val="22"/>
          <w:szCs w:val="22"/>
          <w:highlight w:val="none"/>
        </w:rPr>
        <w:t>光脉冲占空比＜100%。</w:t>
      </w:r>
      <w:r>
        <w:rPr>
          <w:rFonts w:hint="eastAsia" w:ascii="宋体" w:hAnsi="宋体" w:eastAsia="宋体" w:cs="宋体"/>
          <w:color w:val="auto"/>
          <w:kern w:val="0"/>
          <w:sz w:val="22"/>
          <w:szCs w:val="22"/>
          <w:highlight w:val="none"/>
          <w:lang w:eastAsia="zh-CN"/>
        </w:rPr>
        <w:t>（提供佐证材料：产品说明书或技术白皮书或</w:t>
      </w:r>
      <w:r>
        <w:rPr>
          <w:rFonts w:hint="eastAsia" w:ascii="宋体" w:hAnsi="宋体" w:cs="宋体"/>
          <w:color w:val="auto"/>
          <w:kern w:val="0"/>
          <w:sz w:val="22"/>
          <w:szCs w:val="22"/>
          <w:highlight w:val="none"/>
          <w:lang w:val="en-US" w:eastAsia="zh-CN"/>
        </w:rPr>
        <w:t>第三方</w:t>
      </w:r>
      <w:r>
        <w:rPr>
          <w:rFonts w:hint="eastAsia" w:ascii="宋体" w:hAnsi="宋体" w:eastAsia="宋体" w:cs="宋体"/>
          <w:color w:val="auto"/>
          <w:kern w:val="0"/>
          <w:sz w:val="22"/>
          <w:szCs w:val="22"/>
          <w:highlight w:val="none"/>
          <w:lang w:eastAsia="zh-CN"/>
        </w:rPr>
        <w:t>检测报告）</w:t>
      </w:r>
    </w:p>
    <w:p w14:paraId="3AC18AE9">
      <w:pPr>
        <w:widowControl/>
        <w:jc w:val="left"/>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（二）体感振动模块</w:t>
      </w:r>
    </w:p>
    <w:p w14:paraId="71319260">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1.</w:t>
      </w:r>
      <w:r>
        <w:rPr>
          <w:rFonts w:hint="eastAsia" w:ascii="宋体" w:hAnsi="宋体" w:eastAsia="宋体" w:cs="宋体"/>
          <w:color w:val="auto"/>
          <w:kern w:val="0"/>
          <w:sz w:val="22"/>
          <w:szCs w:val="22"/>
          <w:highlight w:val="none"/>
        </w:rPr>
        <w:t>多档位振动强度可调，支持多部位体感振动（肩 / 腰 / 腿等）；</w:t>
      </w:r>
    </w:p>
    <w:p w14:paraId="7C986C9B">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rPr>
        <w:t>振动频率满足临床失眠干预基础需求；</w:t>
      </w:r>
    </w:p>
    <w:p w14:paraId="6B05810D">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3.</w:t>
      </w:r>
      <w:r>
        <w:rPr>
          <w:rFonts w:hint="eastAsia" w:ascii="宋体" w:hAnsi="宋体" w:eastAsia="宋体" w:cs="宋体"/>
          <w:color w:val="auto"/>
          <w:kern w:val="0"/>
          <w:sz w:val="22"/>
          <w:szCs w:val="22"/>
          <w:highlight w:val="none"/>
        </w:rPr>
        <w:t>振动位移、速度符合医用人体安全标准。</w:t>
      </w:r>
    </w:p>
    <w:p w14:paraId="73A03D03">
      <w:pPr>
        <w:widowControl/>
        <w:jc w:val="left"/>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（三）声疗系统</w:t>
      </w:r>
    </w:p>
    <w:p w14:paraId="0B9C138A">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1.</w:t>
      </w:r>
      <w:r>
        <w:rPr>
          <w:rFonts w:hint="eastAsia" w:ascii="宋体" w:hAnsi="宋体" w:eastAsia="宋体" w:cs="宋体"/>
          <w:color w:val="auto"/>
          <w:kern w:val="0"/>
          <w:sz w:val="22"/>
          <w:szCs w:val="22"/>
          <w:highlight w:val="none"/>
        </w:rPr>
        <w:t>音乐体感振动强度分多档调节，可根据患者耐受程度调节振动大小；</w:t>
      </w:r>
    </w:p>
    <w:p w14:paraId="7CC8447F">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rPr>
        <w:t>支持自定义</w:t>
      </w:r>
      <w:r>
        <w:rPr>
          <w:rFonts w:hint="eastAsia" w:ascii="宋体" w:hAnsi="宋体" w:eastAsia="宋体" w:cs="宋体"/>
          <w:color w:val="auto"/>
          <w:kern w:val="0"/>
          <w:sz w:val="22"/>
          <w:szCs w:val="22"/>
          <w:highlight w:val="none"/>
          <w:lang w:val="en-US" w:eastAsia="zh-CN"/>
        </w:rPr>
        <w:t>治疗方案</w:t>
      </w:r>
      <w:r>
        <w:rPr>
          <w:rFonts w:hint="eastAsia" w:ascii="宋体" w:hAnsi="宋体" w:eastAsia="宋体" w:cs="宋体"/>
          <w:color w:val="auto"/>
          <w:kern w:val="0"/>
          <w:sz w:val="22"/>
          <w:szCs w:val="22"/>
          <w:highlight w:val="none"/>
        </w:rPr>
        <w:t>。</w:t>
      </w:r>
    </w:p>
    <w:p w14:paraId="657DFADE">
      <w:pPr>
        <w:widowControl/>
        <w:jc w:val="left"/>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（四）治疗床 / 躺体结构</w:t>
      </w:r>
    </w:p>
    <w:p w14:paraId="0D80A65D">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▲1.</w:t>
      </w:r>
      <w:r>
        <w:rPr>
          <w:rFonts w:hint="eastAsia" w:ascii="宋体" w:hAnsi="宋体" w:eastAsia="宋体" w:cs="宋体"/>
          <w:color w:val="auto"/>
          <w:kern w:val="0"/>
          <w:sz w:val="22"/>
          <w:szCs w:val="22"/>
          <w:highlight w:val="none"/>
        </w:rPr>
        <w:t>人体工学躺卧设计，床体角度可调节；</w:t>
      </w:r>
      <w:r>
        <w:rPr>
          <w:rFonts w:hint="eastAsia" w:ascii="宋体" w:hAnsi="宋体" w:eastAsia="宋体" w:cs="宋体"/>
          <w:color w:val="auto"/>
          <w:kern w:val="0"/>
          <w:sz w:val="22"/>
          <w:szCs w:val="22"/>
          <w:highlight w:val="none"/>
          <w:lang w:val="en-US" w:eastAsia="zh-CN"/>
        </w:rPr>
        <w:t>背部调整角度：0°~70°(±5°)，头罩可前后移动。</w:t>
      </w:r>
      <w:r>
        <w:rPr>
          <w:rFonts w:hint="eastAsia" w:ascii="宋体" w:hAnsi="宋体" w:eastAsia="宋体" w:cs="宋体"/>
          <w:color w:val="auto"/>
          <w:kern w:val="0"/>
          <w:sz w:val="22"/>
          <w:szCs w:val="22"/>
          <w:highlight w:val="none"/>
          <w:lang w:eastAsia="zh-CN"/>
        </w:rPr>
        <w:t>（提供佐证材料：产品说明书或技术白皮书或</w:t>
      </w:r>
      <w:r>
        <w:rPr>
          <w:rFonts w:hint="eastAsia" w:ascii="宋体" w:hAnsi="宋体" w:cs="宋体"/>
          <w:color w:val="auto"/>
          <w:kern w:val="0"/>
          <w:sz w:val="22"/>
          <w:szCs w:val="22"/>
          <w:highlight w:val="none"/>
          <w:lang w:val="en-US" w:eastAsia="zh-CN"/>
        </w:rPr>
        <w:t>第三方</w:t>
      </w:r>
      <w:r>
        <w:rPr>
          <w:rFonts w:hint="eastAsia" w:ascii="宋体" w:hAnsi="宋体" w:eastAsia="宋体" w:cs="宋体"/>
          <w:color w:val="auto"/>
          <w:kern w:val="0"/>
          <w:sz w:val="22"/>
          <w:szCs w:val="22"/>
          <w:highlight w:val="none"/>
          <w:lang w:eastAsia="zh-CN"/>
        </w:rPr>
        <w:t>检测报告）</w:t>
      </w:r>
    </w:p>
    <w:p w14:paraId="0E1EA556">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1.</w:t>
      </w:r>
      <w:r>
        <w:rPr>
          <w:rFonts w:hint="eastAsia" w:ascii="宋体" w:hAnsi="宋体" w:eastAsia="宋体" w:cs="宋体"/>
          <w:color w:val="auto"/>
          <w:kern w:val="0"/>
          <w:sz w:val="22"/>
          <w:szCs w:val="22"/>
          <w:highlight w:val="none"/>
        </w:rPr>
        <w:t>一体式稳固舱体 / 床体，尺寸适配成人标准体型。</w:t>
      </w:r>
    </w:p>
    <w:p w14:paraId="1B3CC3B3">
      <w:pPr>
        <w:widowControl/>
        <w:jc w:val="left"/>
        <w:rPr>
          <w:rFonts w:hint="eastAsia" w:ascii="宋体" w:hAnsi="宋体" w:eastAsia="宋体" w:cs="宋体"/>
          <w:b/>
          <w:bCs/>
          <w:color w:val="auto"/>
          <w:kern w:val="0"/>
          <w:sz w:val="22"/>
          <w:szCs w:val="22"/>
          <w:highlight w:val="none"/>
        </w:rPr>
      </w:pPr>
      <w:r>
        <w:rPr>
          <w:rFonts w:hint="eastAsia" w:ascii="宋体" w:hAnsi="宋体" w:eastAsia="宋体" w:cs="宋体"/>
          <w:b/>
          <w:bCs/>
          <w:color w:val="auto"/>
          <w:kern w:val="0"/>
          <w:sz w:val="22"/>
          <w:szCs w:val="22"/>
          <w:highlight w:val="none"/>
        </w:rPr>
        <w:t>三、软件与管理系统</w:t>
      </w:r>
    </w:p>
    <w:p w14:paraId="2F378F5F">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2.</w:t>
      </w:r>
      <w:r>
        <w:rPr>
          <w:rFonts w:hint="eastAsia" w:ascii="宋体" w:hAnsi="宋体" w:eastAsia="宋体" w:cs="宋体"/>
          <w:color w:val="auto"/>
          <w:kern w:val="0"/>
          <w:sz w:val="22"/>
          <w:szCs w:val="22"/>
          <w:highlight w:val="none"/>
        </w:rPr>
        <w:t>本地设备端：记录治疗时间、</w:t>
      </w:r>
      <w:r>
        <w:rPr>
          <w:rFonts w:hint="eastAsia" w:ascii="宋体" w:hAnsi="宋体" w:eastAsia="宋体" w:cs="宋体"/>
          <w:color w:val="auto"/>
          <w:kern w:val="0"/>
          <w:sz w:val="22"/>
          <w:szCs w:val="22"/>
          <w:highlight w:val="none"/>
          <w:lang w:val="en-US" w:eastAsia="zh-CN"/>
        </w:rPr>
        <w:t>强度</w:t>
      </w:r>
      <w:r>
        <w:rPr>
          <w:rFonts w:hint="eastAsia" w:ascii="宋体" w:hAnsi="宋体" w:eastAsia="宋体" w:cs="宋体"/>
          <w:color w:val="auto"/>
          <w:kern w:val="0"/>
          <w:sz w:val="22"/>
          <w:szCs w:val="22"/>
          <w:highlight w:val="none"/>
        </w:rPr>
        <w:t>、振动、刺激参数，支持处方保存、历史记录调取；</w:t>
      </w:r>
    </w:p>
    <w:p w14:paraId="12E6302B">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3.</w:t>
      </w:r>
      <w:r>
        <w:rPr>
          <w:rFonts w:hint="eastAsia" w:ascii="宋体" w:hAnsi="宋体" w:eastAsia="宋体" w:cs="宋体"/>
          <w:color w:val="auto"/>
          <w:kern w:val="0"/>
          <w:sz w:val="22"/>
          <w:szCs w:val="22"/>
          <w:highlight w:val="none"/>
        </w:rPr>
        <w:t>基础患者管理：登记患者信息、治疗方案；</w:t>
      </w:r>
    </w:p>
    <w:p w14:paraId="6B30BD4D">
      <w:pPr>
        <w:widowControl/>
        <w:jc w:val="left"/>
        <w:rPr>
          <w:rFonts w:hint="eastAsia" w:ascii="宋体" w:hAnsi="宋体" w:eastAsia="宋体" w:cs="宋体"/>
          <w:color w:val="auto"/>
          <w:kern w:val="0"/>
          <w:sz w:val="22"/>
          <w:szCs w:val="22"/>
          <w:highlight w:val="none"/>
        </w:rPr>
      </w:pPr>
      <w:r>
        <w:rPr>
          <w:rFonts w:hint="eastAsia" w:ascii="宋体" w:hAnsi="宋体" w:eastAsia="宋体" w:cs="宋体"/>
          <w:color w:val="auto"/>
          <w:kern w:val="0"/>
          <w:sz w:val="22"/>
          <w:szCs w:val="22"/>
          <w:highlight w:val="none"/>
          <w:lang w:val="en-US" w:eastAsia="zh-CN"/>
        </w:rPr>
        <w:t>4.</w:t>
      </w:r>
      <w:r>
        <w:rPr>
          <w:rFonts w:hint="eastAsia" w:ascii="宋体" w:hAnsi="宋体" w:eastAsia="宋体" w:cs="宋体"/>
          <w:color w:val="auto"/>
          <w:kern w:val="0"/>
          <w:sz w:val="22"/>
          <w:szCs w:val="22"/>
          <w:highlight w:val="none"/>
        </w:rPr>
        <w:t>支持定时治疗、提前语音 / 闹钟提醒；</w:t>
      </w:r>
    </w:p>
    <w:p w14:paraId="1A9B9E01">
      <w:pPr>
        <w:widowControl/>
        <w:jc w:val="left"/>
        <w:rPr>
          <w:rFonts w:hint="eastAsia" w:ascii="宋体" w:hAnsi="宋体" w:eastAsia="宋体" w:cs="宋体"/>
          <w:b/>
          <w:sz w:val="22"/>
          <w:szCs w:val="22"/>
          <w:highlight w:val="none"/>
        </w:rPr>
      </w:pPr>
      <w:r>
        <w:rPr>
          <w:rFonts w:hint="eastAsia" w:ascii="宋体" w:hAnsi="宋体" w:eastAsia="宋体" w:cs="宋体"/>
          <w:color w:val="auto"/>
          <w:kern w:val="0"/>
          <w:sz w:val="22"/>
          <w:szCs w:val="22"/>
          <w:highlight w:val="none"/>
        </w:rPr>
        <w:t>★</w:t>
      </w:r>
      <w:r>
        <w:rPr>
          <w:rFonts w:hint="eastAsia" w:ascii="宋体" w:hAnsi="宋体" w:eastAsia="宋体" w:cs="宋体"/>
          <w:b/>
          <w:bCs/>
          <w:color w:val="auto"/>
          <w:kern w:val="0"/>
          <w:sz w:val="22"/>
          <w:szCs w:val="22"/>
          <w:highlight w:val="none"/>
          <w:lang w:val="en-US" w:eastAsia="zh-CN"/>
        </w:rPr>
        <w:t>四、</w:t>
      </w:r>
      <w:r>
        <w:rPr>
          <w:rFonts w:hint="eastAsia" w:ascii="宋体" w:hAnsi="宋体" w:eastAsia="宋体" w:cs="宋体"/>
          <w:b/>
          <w:bCs/>
          <w:color w:val="auto"/>
          <w:kern w:val="0"/>
          <w:sz w:val="22"/>
          <w:szCs w:val="22"/>
          <w:highlight w:val="none"/>
        </w:rPr>
        <w:t>成套基础标配清单</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68"/>
        <w:gridCol w:w="3407"/>
        <w:gridCol w:w="1662"/>
        <w:gridCol w:w="2338"/>
      </w:tblGrid>
      <w:tr w14:paraId="3A086B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6" w:hRule="atLeast"/>
        </w:trPr>
        <w:tc>
          <w:tcPr>
            <w:tcW w:w="768" w:type="dxa"/>
            <w:noWrap w:val="0"/>
            <w:vAlign w:val="center"/>
          </w:tcPr>
          <w:p w14:paraId="79370EEE">
            <w:pPr>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序号</w:t>
            </w:r>
          </w:p>
        </w:tc>
        <w:tc>
          <w:tcPr>
            <w:tcW w:w="3407" w:type="dxa"/>
            <w:noWrap w:val="0"/>
            <w:vAlign w:val="center"/>
          </w:tcPr>
          <w:p w14:paraId="62F6F7AC">
            <w:pPr>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名称</w:t>
            </w:r>
          </w:p>
        </w:tc>
        <w:tc>
          <w:tcPr>
            <w:tcW w:w="1662" w:type="dxa"/>
            <w:noWrap w:val="0"/>
            <w:vAlign w:val="center"/>
          </w:tcPr>
          <w:p w14:paraId="22F53E35">
            <w:pPr>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数量</w:t>
            </w:r>
          </w:p>
        </w:tc>
        <w:tc>
          <w:tcPr>
            <w:tcW w:w="2338" w:type="dxa"/>
            <w:noWrap w:val="0"/>
            <w:vAlign w:val="center"/>
          </w:tcPr>
          <w:p w14:paraId="3F7C6779">
            <w:pPr>
              <w:jc w:val="center"/>
              <w:rPr>
                <w:rFonts w:hint="eastAsia" w:ascii="宋体" w:hAnsi="宋体" w:eastAsia="宋体" w:cs="宋体"/>
                <w:b/>
                <w:bCs/>
                <w:sz w:val="22"/>
                <w:szCs w:val="22"/>
                <w:highlight w:val="none"/>
              </w:rPr>
            </w:pPr>
            <w:r>
              <w:rPr>
                <w:rFonts w:hint="eastAsia" w:ascii="宋体" w:hAnsi="宋体" w:eastAsia="宋体" w:cs="宋体"/>
                <w:b/>
                <w:bCs/>
                <w:sz w:val="22"/>
                <w:szCs w:val="22"/>
                <w:highlight w:val="none"/>
              </w:rPr>
              <w:t>单位</w:t>
            </w:r>
          </w:p>
        </w:tc>
      </w:tr>
      <w:tr w14:paraId="1E413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68" w:type="dxa"/>
            <w:noWrap w:val="0"/>
            <w:vAlign w:val="center"/>
          </w:tcPr>
          <w:p w14:paraId="2E48FEA3">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3407" w:type="dxa"/>
            <w:noWrap w:val="0"/>
            <w:vAlign w:val="top"/>
          </w:tcPr>
          <w:p w14:paraId="35454662">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床体</w:t>
            </w:r>
          </w:p>
        </w:tc>
        <w:tc>
          <w:tcPr>
            <w:tcW w:w="1662" w:type="dxa"/>
            <w:noWrap w:val="0"/>
            <w:vAlign w:val="top"/>
          </w:tcPr>
          <w:p w14:paraId="0DD785C5">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2338" w:type="dxa"/>
            <w:noWrap w:val="0"/>
            <w:vAlign w:val="top"/>
          </w:tcPr>
          <w:p w14:paraId="02C70A39">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张</w:t>
            </w:r>
          </w:p>
        </w:tc>
      </w:tr>
      <w:tr w14:paraId="6F9D9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1" w:hRule="atLeast"/>
        </w:trPr>
        <w:tc>
          <w:tcPr>
            <w:tcW w:w="768" w:type="dxa"/>
            <w:noWrap w:val="0"/>
            <w:vAlign w:val="center"/>
          </w:tcPr>
          <w:p w14:paraId="1080CE81">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2</w:t>
            </w:r>
          </w:p>
        </w:tc>
        <w:tc>
          <w:tcPr>
            <w:tcW w:w="3407" w:type="dxa"/>
            <w:noWrap w:val="0"/>
            <w:vAlign w:val="top"/>
          </w:tcPr>
          <w:p w14:paraId="3E33E3B5">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头罩</w:t>
            </w:r>
          </w:p>
        </w:tc>
        <w:tc>
          <w:tcPr>
            <w:tcW w:w="1662" w:type="dxa"/>
            <w:noWrap w:val="0"/>
            <w:vAlign w:val="top"/>
          </w:tcPr>
          <w:p w14:paraId="727B6EF1">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2338" w:type="dxa"/>
            <w:noWrap w:val="0"/>
            <w:vAlign w:val="top"/>
          </w:tcPr>
          <w:p w14:paraId="332F90F2">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个</w:t>
            </w:r>
          </w:p>
        </w:tc>
      </w:tr>
      <w:tr w14:paraId="482032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0" w:hRule="atLeast"/>
        </w:trPr>
        <w:tc>
          <w:tcPr>
            <w:tcW w:w="768" w:type="dxa"/>
            <w:noWrap w:val="0"/>
            <w:vAlign w:val="center"/>
          </w:tcPr>
          <w:p w14:paraId="1AFE0EB7">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3</w:t>
            </w:r>
          </w:p>
        </w:tc>
        <w:tc>
          <w:tcPr>
            <w:tcW w:w="3407" w:type="dxa"/>
            <w:noWrap w:val="0"/>
            <w:vAlign w:val="top"/>
          </w:tcPr>
          <w:p w14:paraId="3C5ACA7F">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控制台</w:t>
            </w:r>
          </w:p>
        </w:tc>
        <w:tc>
          <w:tcPr>
            <w:tcW w:w="1662" w:type="dxa"/>
            <w:noWrap w:val="0"/>
            <w:vAlign w:val="top"/>
          </w:tcPr>
          <w:p w14:paraId="09F60E5B">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2338" w:type="dxa"/>
            <w:noWrap w:val="0"/>
            <w:vAlign w:val="top"/>
          </w:tcPr>
          <w:p w14:paraId="3EB04EE0">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个</w:t>
            </w:r>
          </w:p>
        </w:tc>
      </w:tr>
      <w:tr w14:paraId="3C2E3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1" w:hRule="atLeast"/>
        </w:trPr>
        <w:tc>
          <w:tcPr>
            <w:tcW w:w="768" w:type="dxa"/>
            <w:noWrap w:val="0"/>
            <w:vAlign w:val="center"/>
          </w:tcPr>
          <w:p w14:paraId="1AB13FB7">
            <w:pPr>
              <w:jc w:val="center"/>
              <w:rPr>
                <w:rFonts w:hint="default"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4</w:t>
            </w:r>
          </w:p>
        </w:tc>
        <w:tc>
          <w:tcPr>
            <w:tcW w:w="3407" w:type="dxa"/>
            <w:noWrap w:val="0"/>
            <w:vAlign w:val="top"/>
          </w:tcPr>
          <w:p w14:paraId="6A619D68">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控制线（串口）</w:t>
            </w:r>
          </w:p>
        </w:tc>
        <w:tc>
          <w:tcPr>
            <w:tcW w:w="1662" w:type="dxa"/>
            <w:noWrap w:val="0"/>
            <w:vAlign w:val="top"/>
          </w:tcPr>
          <w:p w14:paraId="1994F97A">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2338" w:type="dxa"/>
            <w:noWrap w:val="0"/>
            <w:vAlign w:val="top"/>
          </w:tcPr>
          <w:p w14:paraId="242B698E">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根</w:t>
            </w:r>
          </w:p>
        </w:tc>
      </w:tr>
      <w:tr w14:paraId="7E099D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 w:hRule="atLeast"/>
        </w:trPr>
        <w:tc>
          <w:tcPr>
            <w:tcW w:w="768" w:type="dxa"/>
            <w:noWrap w:val="0"/>
            <w:vAlign w:val="center"/>
          </w:tcPr>
          <w:p w14:paraId="71D544C6">
            <w:pPr>
              <w:jc w:val="center"/>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lang w:val="en-US" w:eastAsia="zh-CN"/>
              </w:rPr>
              <w:t>5</w:t>
            </w:r>
          </w:p>
        </w:tc>
        <w:tc>
          <w:tcPr>
            <w:tcW w:w="3407" w:type="dxa"/>
            <w:noWrap w:val="0"/>
            <w:vAlign w:val="top"/>
          </w:tcPr>
          <w:p w14:paraId="4B173F56">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音频线</w:t>
            </w:r>
          </w:p>
        </w:tc>
        <w:tc>
          <w:tcPr>
            <w:tcW w:w="1662" w:type="dxa"/>
            <w:noWrap w:val="0"/>
            <w:vAlign w:val="top"/>
          </w:tcPr>
          <w:p w14:paraId="26B1AB05">
            <w:pPr>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rPr>
              <w:t>1</w:t>
            </w:r>
          </w:p>
        </w:tc>
        <w:tc>
          <w:tcPr>
            <w:tcW w:w="2338" w:type="dxa"/>
            <w:noWrap w:val="0"/>
            <w:vAlign w:val="top"/>
          </w:tcPr>
          <w:p w14:paraId="16F61E37">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根</w:t>
            </w:r>
          </w:p>
        </w:tc>
      </w:tr>
      <w:tr w14:paraId="11C805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2" w:hRule="atLeast"/>
        </w:trPr>
        <w:tc>
          <w:tcPr>
            <w:tcW w:w="768" w:type="dxa"/>
            <w:noWrap w:val="0"/>
            <w:vAlign w:val="center"/>
          </w:tcPr>
          <w:p w14:paraId="305527FF">
            <w:pPr>
              <w:jc w:val="center"/>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lang w:val="en-US" w:eastAsia="zh-CN"/>
              </w:rPr>
              <w:t>6</w:t>
            </w:r>
          </w:p>
        </w:tc>
        <w:tc>
          <w:tcPr>
            <w:tcW w:w="3407" w:type="dxa"/>
            <w:noWrap w:val="0"/>
            <w:vAlign w:val="top"/>
          </w:tcPr>
          <w:p w14:paraId="6B65965D">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床体电源线</w:t>
            </w:r>
          </w:p>
        </w:tc>
        <w:tc>
          <w:tcPr>
            <w:tcW w:w="1662" w:type="dxa"/>
            <w:noWrap w:val="0"/>
            <w:vAlign w:val="top"/>
          </w:tcPr>
          <w:p w14:paraId="5E7F3C30">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2338" w:type="dxa"/>
            <w:noWrap w:val="0"/>
            <w:vAlign w:val="top"/>
          </w:tcPr>
          <w:p w14:paraId="6D9F415F">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根</w:t>
            </w:r>
          </w:p>
        </w:tc>
      </w:tr>
      <w:tr w14:paraId="767A13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2" w:hRule="atLeast"/>
        </w:trPr>
        <w:tc>
          <w:tcPr>
            <w:tcW w:w="768" w:type="dxa"/>
            <w:noWrap w:val="0"/>
            <w:vAlign w:val="center"/>
          </w:tcPr>
          <w:p w14:paraId="27CE720B">
            <w:pPr>
              <w:jc w:val="center"/>
              <w:rPr>
                <w:rFonts w:hint="eastAsia" w:ascii="宋体" w:hAnsi="宋体" w:eastAsia="宋体" w:cs="宋体"/>
                <w:sz w:val="22"/>
                <w:szCs w:val="22"/>
                <w:highlight w:val="none"/>
                <w:lang w:eastAsia="zh-CN"/>
              </w:rPr>
            </w:pPr>
            <w:r>
              <w:rPr>
                <w:rFonts w:hint="eastAsia" w:ascii="宋体" w:hAnsi="宋体" w:eastAsia="宋体" w:cs="宋体"/>
                <w:sz w:val="22"/>
                <w:szCs w:val="22"/>
                <w:highlight w:val="none"/>
                <w:lang w:val="en-US" w:eastAsia="zh-CN"/>
              </w:rPr>
              <w:t>7</w:t>
            </w:r>
          </w:p>
        </w:tc>
        <w:tc>
          <w:tcPr>
            <w:tcW w:w="3407" w:type="dxa"/>
            <w:noWrap w:val="0"/>
            <w:vAlign w:val="top"/>
          </w:tcPr>
          <w:p w14:paraId="5514DA92">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产品说明书</w:t>
            </w:r>
          </w:p>
        </w:tc>
        <w:tc>
          <w:tcPr>
            <w:tcW w:w="1662" w:type="dxa"/>
            <w:noWrap w:val="0"/>
            <w:vAlign w:val="top"/>
          </w:tcPr>
          <w:p w14:paraId="472DAAF2">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2338" w:type="dxa"/>
            <w:noWrap w:val="0"/>
            <w:vAlign w:val="top"/>
          </w:tcPr>
          <w:p w14:paraId="7B1F2CCF">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册</w:t>
            </w:r>
          </w:p>
        </w:tc>
      </w:tr>
      <w:tr w14:paraId="160AC1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rPr>
        <w:tc>
          <w:tcPr>
            <w:tcW w:w="768" w:type="dxa"/>
            <w:noWrap w:val="0"/>
            <w:vAlign w:val="center"/>
          </w:tcPr>
          <w:p w14:paraId="63452C8C">
            <w:pPr>
              <w:jc w:val="center"/>
              <w:rPr>
                <w:rFonts w:hint="eastAsia" w:ascii="宋体" w:hAnsi="宋体" w:eastAsia="宋体" w:cs="宋体"/>
                <w:sz w:val="22"/>
                <w:szCs w:val="22"/>
                <w:highlight w:val="none"/>
                <w:lang w:val="en-US" w:eastAsia="zh-CN"/>
              </w:rPr>
            </w:pPr>
            <w:r>
              <w:rPr>
                <w:rFonts w:hint="eastAsia" w:ascii="宋体" w:hAnsi="宋体" w:eastAsia="宋体" w:cs="宋体"/>
                <w:sz w:val="22"/>
                <w:szCs w:val="22"/>
                <w:highlight w:val="none"/>
                <w:lang w:val="en-US" w:eastAsia="zh-CN"/>
              </w:rPr>
              <w:t>8</w:t>
            </w:r>
          </w:p>
        </w:tc>
        <w:tc>
          <w:tcPr>
            <w:tcW w:w="3407" w:type="dxa"/>
            <w:noWrap w:val="0"/>
            <w:vAlign w:val="top"/>
          </w:tcPr>
          <w:p w14:paraId="7FB37C31">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产品合格证</w:t>
            </w:r>
          </w:p>
        </w:tc>
        <w:tc>
          <w:tcPr>
            <w:tcW w:w="1662" w:type="dxa"/>
            <w:noWrap w:val="0"/>
            <w:vAlign w:val="top"/>
          </w:tcPr>
          <w:p w14:paraId="269DDB6A">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1</w:t>
            </w:r>
          </w:p>
        </w:tc>
        <w:tc>
          <w:tcPr>
            <w:tcW w:w="2338" w:type="dxa"/>
            <w:noWrap w:val="0"/>
            <w:vAlign w:val="top"/>
          </w:tcPr>
          <w:p w14:paraId="205D5127">
            <w:pPr>
              <w:jc w:val="center"/>
              <w:rPr>
                <w:rFonts w:hint="eastAsia" w:ascii="宋体" w:hAnsi="宋体" w:eastAsia="宋体" w:cs="宋体"/>
                <w:sz w:val="22"/>
                <w:szCs w:val="22"/>
                <w:highlight w:val="none"/>
              </w:rPr>
            </w:pPr>
            <w:r>
              <w:rPr>
                <w:rFonts w:hint="eastAsia" w:ascii="宋体" w:hAnsi="宋体" w:eastAsia="宋体" w:cs="宋体"/>
                <w:sz w:val="22"/>
                <w:szCs w:val="22"/>
                <w:highlight w:val="none"/>
              </w:rPr>
              <w:t>张</w:t>
            </w:r>
          </w:p>
        </w:tc>
      </w:tr>
    </w:tbl>
    <w:p w14:paraId="655B9381">
      <w:pPr>
        <w:spacing w:line="296" w:lineRule="auto"/>
        <w:jc w:val="center"/>
        <w:rPr>
          <w:rFonts w:hint="eastAsia" w:ascii="黑体" w:hAnsi="黑体" w:eastAsia="黑体"/>
          <w:b/>
          <w:bCs/>
          <w:sz w:val="28"/>
          <w:szCs w:val="28"/>
          <w:highlight w:val="none"/>
        </w:rPr>
      </w:pPr>
      <w:r>
        <w:rPr>
          <w:rFonts w:hint="eastAsia" w:ascii="黑体" w:hAnsi="黑体" w:eastAsia="黑体"/>
          <w:b/>
          <w:bCs/>
          <w:sz w:val="28"/>
          <w:szCs w:val="28"/>
          <w:highlight w:val="none"/>
        </w:rPr>
        <w:br w:type="textWrapping"/>
      </w:r>
    </w:p>
    <w:p w14:paraId="2D968875">
      <w:pPr>
        <w:spacing w:line="296" w:lineRule="auto"/>
        <w:jc w:val="center"/>
        <w:rPr>
          <w:rFonts w:ascii="黑体" w:hAnsi="黑体" w:eastAsia="黑体"/>
          <w:highlight w:val="none"/>
        </w:rPr>
      </w:pPr>
      <w:r>
        <w:rPr>
          <w:rFonts w:hint="eastAsia" w:ascii="黑体" w:hAnsi="黑体" w:eastAsia="黑体"/>
          <w:b/>
          <w:bCs/>
          <w:sz w:val="28"/>
          <w:szCs w:val="28"/>
          <w:highlight w:val="none"/>
        </w:rPr>
        <w:t>第三节 商务要求</w:t>
      </w:r>
      <w:bookmarkEnd w:id="3"/>
    </w:p>
    <w:p w14:paraId="118DA4DF">
      <w:pPr>
        <w:adjustRightInd w:val="0"/>
        <w:snapToGrid w:val="0"/>
        <w:spacing w:line="440" w:lineRule="exact"/>
        <w:ind w:firstLine="482" w:firstLineChars="200"/>
        <w:rPr>
          <w:rFonts w:hint="eastAsia" w:ascii="华文仿宋" w:hAnsi="华文仿宋" w:eastAsia="华文仿宋"/>
          <w:b/>
          <w:bCs/>
          <w:color w:val="auto"/>
          <w:sz w:val="24"/>
          <w:highlight w:val="none"/>
          <w:lang w:val="ru-RU"/>
        </w:rPr>
      </w:pPr>
      <w:r>
        <w:rPr>
          <w:rFonts w:hint="eastAsia" w:ascii="华文仿宋" w:hAnsi="华文仿宋" w:eastAsia="华文仿宋"/>
          <w:b/>
          <w:bCs/>
          <w:color w:val="auto"/>
          <w:sz w:val="24"/>
          <w:highlight w:val="none"/>
        </w:rPr>
        <w:t>一</w:t>
      </w:r>
      <w:r>
        <w:rPr>
          <w:rFonts w:hint="eastAsia" w:ascii="华文仿宋" w:hAnsi="华文仿宋" w:eastAsia="华文仿宋"/>
          <w:b/>
          <w:bCs/>
          <w:color w:val="auto"/>
          <w:sz w:val="24"/>
          <w:highlight w:val="none"/>
          <w:lang w:val="ru-RU"/>
        </w:rPr>
        <w:t>、项目交货时间及地点及付款方式</w:t>
      </w:r>
    </w:p>
    <w:p w14:paraId="2D9697A0">
      <w:pPr>
        <w:adjustRightInd w:val="0"/>
        <w:snapToGrid w:val="0"/>
        <w:spacing w:line="440" w:lineRule="exact"/>
        <w:ind w:left="420" w:leftChars="200" w:firstLine="0" w:firstLineChars="0"/>
        <w:rPr>
          <w:rFonts w:hint="eastAsia" w:ascii="宋体" w:hAnsi="宋体" w:cs="宋体"/>
          <w:color w:val="auto"/>
          <w:highlight w:val="none"/>
        </w:rPr>
      </w:pPr>
      <w:r>
        <w:rPr>
          <w:rFonts w:hint="eastAsia" w:ascii="宋体" w:hAnsi="宋体" w:cs="宋体"/>
          <w:color w:val="auto"/>
          <w:highlight w:val="none"/>
        </w:rPr>
        <w:t>1.交货期限：</w:t>
      </w:r>
      <w:r>
        <w:rPr>
          <w:rFonts w:hint="eastAsia" w:ascii="宋体" w:hAnsi="宋体" w:cs="宋体"/>
          <w:color w:val="auto"/>
          <w:highlight w:val="none"/>
          <w:lang w:eastAsia="zh-CN"/>
        </w:rPr>
        <w:t xml:space="preserve">根据医院资金安排，接到采购人通知之日起15天内完成设备的供货、安装、调试、检测运行及验收工作。 </w:t>
      </w:r>
      <w:r>
        <w:rPr>
          <w:rFonts w:hint="eastAsia" w:ascii="宋体" w:hAnsi="宋体" w:cs="宋体"/>
          <w:color w:val="auto"/>
          <w:highlight w:val="none"/>
        </w:rPr>
        <w:br w:type="textWrapping"/>
      </w:r>
      <w:r>
        <w:rPr>
          <w:rFonts w:hint="eastAsia" w:ascii="宋体" w:hAnsi="宋体" w:cs="宋体"/>
          <w:color w:val="auto"/>
          <w:highlight w:val="none"/>
        </w:rPr>
        <w:t>2.项目地点：采购人指定地点。</w:t>
      </w:r>
    </w:p>
    <w:p w14:paraId="5745B4FF">
      <w:pPr>
        <w:keepNext w:val="0"/>
        <w:keepLines w:val="0"/>
        <w:pageBreakBefore w:val="0"/>
        <w:numPr>
          <w:ilvl w:val="0"/>
          <w:numId w:val="0"/>
        </w:numPr>
        <w:kinsoku/>
        <w:wordWrap/>
        <w:overflowPunct/>
        <w:topLinePunct w:val="0"/>
        <w:autoSpaceDE/>
        <w:autoSpaceDN/>
        <w:bidi w:val="0"/>
        <w:adjustRightInd/>
        <w:snapToGrid/>
        <w:spacing w:line="360" w:lineRule="auto"/>
        <w:ind w:leftChars="0" w:firstLine="420" w:firstLineChars="0"/>
        <w:jc w:val="left"/>
        <w:textAlignment w:val="auto"/>
        <w:rPr>
          <w:rFonts w:hint="eastAsia" w:ascii="宋体" w:hAnsi="宋体" w:cs="宋体"/>
          <w:color w:val="auto"/>
          <w:highlight w:val="none"/>
        </w:rPr>
      </w:pPr>
      <w:r>
        <w:rPr>
          <w:rFonts w:hint="eastAsia" w:ascii="宋体" w:hAnsi="宋体" w:cs="宋体"/>
          <w:color w:val="auto"/>
          <w:highlight w:val="none"/>
        </w:rPr>
        <w:t>3.支付方式：</w:t>
      </w:r>
    </w:p>
    <w:p w14:paraId="627D971F">
      <w:pPr>
        <w:adjustRightInd w:val="0"/>
        <w:snapToGrid w:val="0"/>
        <w:spacing w:line="440" w:lineRule="exact"/>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（1）甲方在合同生效，设备到医院安装调试、验收合格后，凭中标方开具的全额正规税务发票，六十日内支付至合同总额的95%。</w:t>
      </w:r>
    </w:p>
    <w:p w14:paraId="7A8F4CEE">
      <w:pPr>
        <w:adjustRightInd w:val="0"/>
        <w:snapToGrid w:val="0"/>
        <w:spacing w:line="440" w:lineRule="exact"/>
        <w:ind w:firstLine="420" w:firstLineChars="200"/>
        <w:rPr>
          <w:rFonts w:hint="eastAsia" w:ascii="宋体" w:hAnsi="宋体" w:eastAsia="宋体" w:cs="宋体"/>
          <w:color w:val="auto"/>
          <w:highlight w:val="none"/>
          <w:lang w:val="en-US" w:eastAsia="zh-CN"/>
        </w:rPr>
      </w:pPr>
      <w:r>
        <w:rPr>
          <w:rFonts w:hint="eastAsia" w:ascii="宋体" w:hAnsi="宋体" w:eastAsia="宋体" w:cs="宋体"/>
          <w:color w:val="auto"/>
          <w:highlight w:val="none"/>
          <w:lang w:val="en-US" w:eastAsia="zh-CN"/>
        </w:rPr>
        <w:t>（2）验收尾款：剩余 5% 作为验收尾款。待质保期满后（质保期内若无质量问题、售后服务纠纷、经济法律纠纷等并能积极响应售后服务）六十日内一次性无息付清。</w:t>
      </w:r>
    </w:p>
    <w:p w14:paraId="405B9837">
      <w:pPr>
        <w:adjustRightInd w:val="0"/>
        <w:snapToGrid w:val="0"/>
        <w:spacing w:line="440" w:lineRule="exact"/>
        <w:ind w:firstLine="420" w:firstLineChars="200"/>
        <w:rPr>
          <w:rFonts w:hint="eastAsia" w:ascii="宋体" w:hAnsi="宋体" w:eastAsia="宋体" w:cs="宋体"/>
          <w:color w:val="auto"/>
          <w:highlight w:val="none"/>
          <w:lang w:val="zh-CN" w:eastAsia="zh-CN"/>
        </w:rPr>
      </w:pPr>
      <w:r>
        <w:rPr>
          <w:rFonts w:hint="eastAsia" w:ascii="宋体" w:hAnsi="宋体" w:eastAsia="宋体" w:cs="宋体"/>
          <w:color w:val="auto"/>
          <w:highlight w:val="none"/>
          <w:lang w:val="en-US" w:eastAsia="zh-CN"/>
        </w:rPr>
        <w:t>（3）尾款置换：设备验收合格满 1 年后，供应商提交银行保函（保函有效期覆盖全部剩余质保期，设备质保期不低于 3 年），采购人凭该有效保函支付上述验收尾款。若后续发生质量问题或供应商未履行质保义务，采购人有权依据保函主张相应责任。</w:t>
      </w:r>
    </w:p>
    <w:p w14:paraId="35CCF8D3">
      <w:pPr>
        <w:adjustRightInd w:val="0"/>
        <w:snapToGrid w:val="0"/>
        <w:spacing w:line="440" w:lineRule="exact"/>
        <w:ind w:firstLine="482" w:firstLineChars="200"/>
        <w:rPr>
          <w:rFonts w:hint="eastAsia" w:ascii="华文仿宋" w:hAnsi="华文仿宋" w:eastAsia="华文仿宋"/>
          <w:b/>
          <w:bCs/>
          <w:color w:val="auto"/>
          <w:sz w:val="24"/>
          <w:highlight w:val="none"/>
          <w:lang w:val="ru-RU"/>
        </w:rPr>
      </w:pPr>
      <w:r>
        <w:rPr>
          <w:rFonts w:hint="eastAsia" w:ascii="华文仿宋" w:hAnsi="华文仿宋" w:eastAsia="华文仿宋"/>
          <w:b/>
          <w:bCs/>
          <w:color w:val="auto"/>
          <w:sz w:val="24"/>
          <w:highlight w:val="none"/>
        </w:rPr>
        <w:t>二</w:t>
      </w:r>
      <w:r>
        <w:rPr>
          <w:rFonts w:hint="eastAsia" w:ascii="华文仿宋" w:hAnsi="华文仿宋" w:eastAsia="华文仿宋"/>
          <w:b/>
          <w:bCs/>
          <w:color w:val="auto"/>
          <w:sz w:val="24"/>
          <w:highlight w:val="none"/>
          <w:lang w:val="ru-RU"/>
        </w:rPr>
        <w:t>、验收要求</w:t>
      </w:r>
    </w:p>
    <w:p w14:paraId="5236C826">
      <w:pPr>
        <w:adjustRightInd w:val="0"/>
        <w:snapToGrid w:val="0"/>
        <w:spacing w:line="440" w:lineRule="exact"/>
        <w:ind w:firstLine="420" w:firstLineChars="200"/>
        <w:rPr>
          <w:rFonts w:hint="eastAsia" w:ascii="宋体" w:hAnsi="宋体" w:eastAsia="宋体" w:cs="宋体"/>
          <w:highlight w:val="none"/>
          <w:lang w:val="en-US" w:eastAsia="zh-CN"/>
        </w:rPr>
      </w:pPr>
      <w:r>
        <w:rPr>
          <w:rFonts w:hint="eastAsia" w:ascii="宋体" w:hAnsi="宋体" w:eastAsia="宋体" w:cs="宋体"/>
          <w:highlight w:val="none"/>
          <w:lang w:val="en-US" w:eastAsia="zh-CN"/>
        </w:rPr>
        <w:t>1.安装调试完成后通过采购人组织相关人员参与验收，确保所供产品的正常使用。投标人所投标产品必须为符合国家标准的正品，并提供相关部门的认证及检测资料，不得提供贴牌或高仿产品，一经发现，采购人有权要求退货，并要求赔偿相应损失。</w:t>
      </w:r>
    </w:p>
    <w:p w14:paraId="0EA30015">
      <w:pPr>
        <w:adjustRightInd w:val="0"/>
        <w:snapToGrid w:val="0"/>
        <w:spacing w:line="440" w:lineRule="exact"/>
        <w:ind w:firstLine="420" w:firstLineChars="200"/>
        <w:rPr>
          <w:rFonts w:hint="eastAsia" w:ascii="宋体" w:hAnsi="宋体" w:cs="宋体"/>
          <w:highlight w:val="none"/>
        </w:rPr>
      </w:pPr>
      <w:r>
        <w:rPr>
          <w:rFonts w:hint="eastAsia" w:ascii="宋体" w:hAnsi="宋体" w:eastAsia="宋体" w:cs="宋体"/>
          <w:highlight w:val="none"/>
          <w:lang w:val="en-US" w:eastAsia="zh-CN"/>
        </w:rPr>
        <w:t>2.</w:t>
      </w:r>
      <w:r>
        <w:rPr>
          <w:rFonts w:hint="eastAsia" w:ascii="宋体" w:hAnsi="宋体" w:cs="宋体"/>
          <w:bCs/>
          <w:sz w:val="21"/>
          <w:szCs w:val="21"/>
          <w:lang w:val="en-US" w:eastAsia="zh-CN"/>
        </w:rPr>
        <w:t>培训要求：中标人负责对采购人的有关操作使用</w:t>
      </w:r>
      <w:r>
        <w:rPr>
          <w:rFonts w:hint="eastAsia" w:ascii="宋体" w:hAnsi="宋体" w:cs="宋体"/>
          <w:bCs/>
          <w:color w:val="auto"/>
          <w:sz w:val="21"/>
          <w:szCs w:val="21"/>
          <w:lang w:val="en-US" w:eastAsia="zh-CN"/>
        </w:rPr>
        <w:t>人员全员免费</w:t>
      </w:r>
      <w:r>
        <w:rPr>
          <w:rFonts w:hint="eastAsia" w:ascii="宋体" w:hAnsi="宋体" w:cs="宋体"/>
          <w:bCs/>
          <w:sz w:val="21"/>
          <w:szCs w:val="21"/>
          <w:lang w:val="en-US" w:eastAsia="zh-CN"/>
        </w:rPr>
        <w:t>进行使用、操作、维护等技术培训。</w:t>
      </w:r>
      <w:r>
        <w:rPr>
          <w:rFonts w:hint="eastAsia" w:ascii="宋体" w:hAnsi="宋体" w:eastAsia="宋体" w:cs="宋体"/>
          <w:bCs/>
          <w:sz w:val="21"/>
          <w:szCs w:val="21"/>
        </w:rPr>
        <w:t>使其能熟练操作设备以及处理简单的故障维修和日常维护使用。</w:t>
      </w:r>
      <w:r>
        <w:rPr>
          <w:rFonts w:hint="eastAsia" w:ascii="宋体" w:hAnsi="宋体" w:eastAsia="宋体" w:cs="宋体"/>
          <w:highlight w:val="none"/>
        </w:rPr>
        <w:br w:type="textWrapping"/>
      </w:r>
      <w:r>
        <w:rPr>
          <w:rFonts w:hint="eastAsia" w:ascii="宋体" w:hAnsi="宋体" w:eastAsia="宋体" w:cs="宋体"/>
          <w:highlight w:val="none"/>
          <w:lang w:val="en-US" w:eastAsia="zh-CN"/>
        </w:rPr>
        <w:t xml:space="preserve">    3.</w:t>
      </w:r>
      <w:r>
        <w:rPr>
          <w:rFonts w:hint="eastAsia" w:ascii="宋体" w:hAnsi="宋体" w:cs="宋体"/>
          <w:bCs/>
          <w:color w:val="auto"/>
          <w:szCs w:val="21"/>
          <w:highlight w:val="none"/>
          <w:lang w:val="en-US" w:eastAsia="zh-CN"/>
        </w:rPr>
        <w:t>安装调试完成后，试运行1个月，甲方组织验收，</w:t>
      </w:r>
      <w:r>
        <w:rPr>
          <w:rFonts w:hint="eastAsia" w:ascii="宋体" w:hAnsi="宋体" w:cs="宋体"/>
          <w:color w:val="auto"/>
        </w:rPr>
        <w:t>项目验收不合格，由中标单位返工直至合格，有关返工、再行验收，以及给采购人造成的损失等费用由中标单位承担。连续两次项目验收不合格的，采购人可终止合同，由此带来的一切损失由中标单位承担。</w:t>
      </w:r>
    </w:p>
    <w:p w14:paraId="1A570DB7">
      <w:pPr>
        <w:adjustRightInd w:val="0"/>
        <w:snapToGrid w:val="0"/>
        <w:spacing w:line="440" w:lineRule="exact"/>
        <w:ind w:firstLine="420" w:firstLineChars="200"/>
        <w:rPr>
          <w:rFonts w:hint="eastAsia" w:ascii="宋体" w:hAnsi="宋体" w:cs="宋体"/>
          <w:highlight w:val="none"/>
        </w:rPr>
      </w:pPr>
      <w:r>
        <w:rPr>
          <w:rFonts w:hint="eastAsia" w:ascii="宋体" w:hAnsi="宋体" w:cs="宋体"/>
          <w:highlight w:val="none"/>
          <w:lang w:val="en-US" w:eastAsia="zh-CN"/>
        </w:rPr>
        <w:t>4.</w:t>
      </w:r>
      <w:r>
        <w:rPr>
          <w:rFonts w:hint="eastAsia" w:ascii="宋体" w:hAnsi="宋体" w:cs="宋体"/>
          <w:highlight w:val="none"/>
        </w:rPr>
        <w:t>项目验收严格按采购文件采购清单及说明、采购合同的有关规定执行。验收时提供出厂检验证书、合格证、权威性检验报告和产品生产许可证。国家有强制性规定的，按国家规定执行，验收费用由中标单位承担，验收报告作为申请付款的凭证之一。</w:t>
      </w:r>
    </w:p>
    <w:p w14:paraId="75FDED9F">
      <w:pPr>
        <w:adjustRightInd w:val="0"/>
        <w:snapToGrid w:val="0"/>
        <w:spacing w:line="440" w:lineRule="exact"/>
        <w:ind w:firstLine="420" w:firstLineChars="200"/>
        <w:rPr>
          <w:rFonts w:hint="eastAsia" w:ascii="宋体" w:hAnsi="宋体" w:cs="宋体"/>
          <w:highlight w:val="none"/>
        </w:rPr>
      </w:pPr>
      <w:r>
        <w:rPr>
          <w:rFonts w:hint="eastAsia" w:ascii="宋体" w:hAnsi="宋体" w:cs="宋体"/>
          <w:highlight w:val="none"/>
          <w:lang w:val="en-US" w:eastAsia="zh-CN"/>
        </w:rPr>
        <w:t>5.</w:t>
      </w:r>
      <w:r>
        <w:rPr>
          <w:rFonts w:hint="eastAsia" w:ascii="宋体" w:hAnsi="宋体" w:cs="宋体"/>
          <w:highlight w:val="none"/>
        </w:rPr>
        <w:t>验收过程中产生纠纷的，由质量技术监督部门认定的检测机构检测,如为中标单位原因造成的，由中标单位承担检测费用。</w:t>
      </w:r>
    </w:p>
    <w:p w14:paraId="40367E78">
      <w:pPr>
        <w:adjustRightInd w:val="0"/>
        <w:snapToGrid w:val="0"/>
        <w:spacing w:line="440" w:lineRule="exact"/>
        <w:ind w:firstLine="420" w:firstLineChars="200"/>
        <w:rPr>
          <w:rFonts w:hint="eastAsia" w:ascii="宋体" w:hAnsi="宋体" w:cs="宋体"/>
          <w:highlight w:val="none"/>
        </w:rPr>
      </w:pPr>
      <w:r>
        <w:rPr>
          <w:rFonts w:hint="eastAsia" w:ascii="宋体" w:hAnsi="宋体" w:cs="宋体"/>
          <w:highlight w:val="none"/>
          <w:lang w:val="en-US" w:eastAsia="zh-CN"/>
        </w:rPr>
        <w:t>6.</w:t>
      </w:r>
      <w:r>
        <w:rPr>
          <w:rFonts w:hint="eastAsia" w:ascii="宋体" w:hAnsi="宋体" w:cs="宋体"/>
          <w:highlight w:val="none"/>
        </w:rPr>
        <w:t>项目验收不合格，由中标单位返工直至合格，有关返工、再行验收，以及给采购人造成的损失等费用由中标单位承担。连续两次项目验收不合格的，采购人可终止合同，由此带来的一切损失由中标单位承担。</w:t>
      </w:r>
    </w:p>
    <w:p w14:paraId="128B8762">
      <w:pPr>
        <w:adjustRightInd w:val="0"/>
        <w:snapToGrid w:val="0"/>
        <w:spacing w:line="440" w:lineRule="exact"/>
        <w:ind w:firstLine="211" w:firstLineChars="100"/>
        <w:rPr>
          <w:rFonts w:hint="eastAsia" w:ascii="宋体" w:hAnsi="宋体" w:cs="宋体"/>
          <w:highlight w:val="none"/>
        </w:rPr>
      </w:pPr>
      <w:r>
        <w:rPr>
          <w:rFonts w:hint="eastAsia" w:ascii="宋体" w:hAnsi="宋体" w:eastAsia="宋体" w:cs="宋体"/>
          <w:b/>
          <w:bCs w:val="0"/>
          <w:color w:val="auto"/>
          <w:sz w:val="21"/>
          <w:szCs w:val="21"/>
          <w:highlight w:val="none"/>
          <w:lang w:val="en-US" w:eastAsia="zh-CN"/>
        </w:rPr>
        <w:t>★</w:t>
      </w:r>
      <w:r>
        <w:rPr>
          <w:rFonts w:hint="eastAsia" w:ascii="宋体" w:hAnsi="宋体" w:cs="宋体"/>
          <w:highlight w:val="none"/>
          <w:lang w:val="en-US" w:eastAsia="zh-CN"/>
        </w:rPr>
        <w:t>7</w:t>
      </w:r>
      <w:r>
        <w:rPr>
          <w:rFonts w:hint="eastAsia" w:ascii="宋体" w:hAnsi="宋体" w:cs="宋体"/>
          <w:highlight w:val="none"/>
        </w:rPr>
        <w:t>.</w:t>
      </w:r>
      <w:r>
        <w:rPr>
          <w:rFonts w:hint="eastAsia" w:ascii="宋体" w:hAnsi="宋体" w:eastAsia="宋体" w:cs="宋体"/>
          <w:b/>
          <w:bCs w:val="0"/>
          <w:color w:val="auto"/>
          <w:sz w:val="21"/>
          <w:szCs w:val="21"/>
          <w:highlight w:val="none"/>
          <w:lang w:val="en-US" w:eastAsia="zh-CN"/>
        </w:rPr>
        <w:t>出厂日期：投标人保证，交付至采购人指定地点并完成安装调试的所有设备，其出厂日期至设备现场初步验收合格之日的间隔时间不超过六个月。（提供承诺函）</w:t>
      </w:r>
    </w:p>
    <w:p w14:paraId="542AD0B3">
      <w:pPr>
        <w:numPr>
          <w:ilvl w:val="0"/>
          <w:numId w:val="0"/>
        </w:numPr>
        <w:adjustRightInd w:val="0"/>
        <w:snapToGrid w:val="0"/>
        <w:spacing w:line="440" w:lineRule="exact"/>
        <w:ind w:leftChars="0" w:firstLine="210" w:firstLineChars="100"/>
        <w:rPr>
          <w:rFonts w:hint="eastAsia" w:ascii="宋体" w:hAnsi="宋体" w:cs="宋体"/>
          <w:highlight w:val="none"/>
        </w:rPr>
      </w:pPr>
      <w:r>
        <w:rPr>
          <w:rFonts w:hint="eastAsia" w:ascii="宋体" w:hAnsi="宋体" w:cs="宋体"/>
          <w:highlight w:val="none"/>
          <w:lang w:val="en-US" w:eastAsia="zh-CN"/>
        </w:rPr>
        <w:t>8.</w:t>
      </w:r>
      <w:r>
        <w:rPr>
          <w:rFonts w:hint="eastAsia" w:ascii="宋体" w:hAnsi="宋体" w:cs="宋体"/>
          <w:highlight w:val="none"/>
        </w:rPr>
        <w:t>本项目的履约验收为采购人自行组织验收，具体验收方法按照《株洲市政府采购项目履约验收 管理暂行办法》株财发【2020】9号的相关规定执行。</w:t>
      </w:r>
    </w:p>
    <w:p w14:paraId="36A9D0C8">
      <w:pPr>
        <w:numPr>
          <w:ilvl w:val="0"/>
          <w:numId w:val="0"/>
        </w:numPr>
        <w:adjustRightInd w:val="0"/>
        <w:snapToGrid w:val="0"/>
        <w:spacing w:line="440" w:lineRule="exact"/>
        <w:ind w:leftChars="0" w:firstLine="210" w:firstLineChars="100"/>
        <w:rPr>
          <w:rFonts w:hint="eastAsia" w:ascii="宋体" w:hAnsi="宋体" w:cs="宋体"/>
          <w:color w:val="auto"/>
          <w:highlight w:val="none"/>
        </w:rPr>
      </w:pPr>
      <w:r>
        <w:rPr>
          <w:rFonts w:hint="eastAsia" w:ascii="宋体" w:hAnsi="宋体" w:cs="宋体"/>
          <w:highlight w:val="none"/>
          <w:lang w:val="en-US" w:eastAsia="zh-CN"/>
        </w:rPr>
        <w:t>9</w:t>
      </w:r>
      <w:r>
        <w:rPr>
          <w:rFonts w:hint="eastAsia" w:ascii="宋体" w:hAnsi="宋体" w:cs="宋体"/>
          <w:color w:val="auto"/>
          <w:highlight w:val="none"/>
          <w:lang w:val="en-US" w:eastAsia="zh-CN"/>
        </w:rPr>
        <w:t>.成交单位须委托具备本行业资质的检测公司对设备及设备系统展开校验工作，并出具检测报告，检测费用由成交单位承担。</w:t>
      </w:r>
    </w:p>
    <w:p w14:paraId="47F0B108">
      <w:pPr>
        <w:adjustRightInd w:val="0"/>
        <w:snapToGrid w:val="0"/>
        <w:spacing w:line="440" w:lineRule="exact"/>
        <w:ind w:firstLine="482" w:firstLineChars="200"/>
        <w:rPr>
          <w:rFonts w:hint="eastAsia" w:ascii="华文仿宋" w:hAnsi="华文仿宋" w:eastAsia="华文仿宋"/>
          <w:b/>
          <w:bCs/>
          <w:color w:val="auto"/>
          <w:sz w:val="24"/>
          <w:highlight w:val="none"/>
          <w:lang w:val="ru-RU"/>
        </w:rPr>
      </w:pPr>
      <w:r>
        <w:rPr>
          <w:rFonts w:hint="eastAsia" w:ascii="华文仿宋" w:hAnsi="华文仿宋" w:eastAsia="华文仿宋"/>
          <w:b/>
          <w:bCs/>
          <w:color w:val="auto"/>
          <w:sz w:val="24"/>
          <w:highlight w:val="none"/>
        </w:rPr>
        <w:t>三</w:t>
      </w:r>
      <w:r>
        <w:rPr>
          <w:rFonts w:hint="eastAsia" w:ascii="华文仿宋" w:hAnsi="华文仿宋" w:eastAsia="华文仿宋"/>
          <w:b/>
          <w:bCs/>
          <w:color w:val="auto"/>
          <w:sz w:val="24"/>
          <w:highlight w:val="none"/>
          <w:lang w:val="ru-RU"/>
        </w:rPr>
        <w:t>、质量保证及售后服务</w:t>
      </w:r>
    </w:p>
    <w:p w14:paraId="7511B408">
      <w:pPr>
        <w:adjustRightInd w:val="0"/>
        <w:snapToGrid w:val="0"/>
        <w:spacing w:line="440" w:lineRule="exact"/>
        <w:ind w:firstLine="420" w:firstLineChars="200"/>
        <w:rPr>
          <w:rFonts w:hint="eastAsia" w:ascii="宋体" w:hAnsi="宋体" w:cs="宋体"/>
          <w:color w:val="auto"/>
          <w:highlight w:val="none"/>
          <w:lang w:val="zh-CN"/>
        </w:rPr>
      </w:pPr>
      <w:bookmarkStart w:id="4" w:name="_Toc286867883"/>
      <w:r>
        <w:rPr>
          <w:rFonts w:hint="eastAsia" w:ascii="宋体" w:hAnsi="宋体" w:cs="宋体"/>
          <w:color w:val="auto"/>
          <w:highlight w:val="none"/>
          <w:lang w:val="zh-CN"/>
        </w:rPr>
        <w:t>1.投标单位必须提供详细的售前、售中、售后服务计划及承诺。</w:t>
      </w:r>
    </w:p>
    <w:p w14:paraId="6C965016">
      <w:pPr>
        <w:adjustRightInd w:val="0"/>
        <w:snapToGrid w:val="0"/>
        <w:spacing w:line="440" w:lineRule="exact"/>
        <w:ind w:firstLine="220" w:firstLineChars="100"/>
        <w:rPr>
          <w:rFonts w:hint="eastAsia" w:ascii="宋体" w:hAnsi="宋体" w:cs="宋体"/>
          <w:color w:val="auto"/>
          <w:highlight w:val="none"/>
          <w:lang w:val="zh-CN"/>
        </w:rPr>
      </w:pPr>
      <w:r>
        <w:rPr>
          <w:rFonts w:hint="eastAsia"/>
          <w:color w:val="auto"/>
          <w:sz w:val="22"/>
          <w:szCs w:val="22"/>
          <w:highlight w:val="none"/>
        </w:rPr>
        <w:t>★</w:t>
      </w:r>
      <w:r>
        <w:rPr>
          <w:rFonts w:hint="eastAsia" w:ascii="宋体" w:hAnsi="宋体" w:cs="宋体"/>
          <w:color w:val="auto"/>
          <w:highlight w:val="none"/>
          <w:lang w:val="zh-CN"/>
        </w:rPr>
        <w:t>2.保修期限：眼动检测仪整机</w:t>
      </w:r>
      <w:r>
        <w:rPr>
          <w:rFonts w:hint="eastAsia" w:ascii="宋体" w:hAnsi="宋体" w:cs="宋体"/>
          <w:color w:val="auto"/>
          <w:highlight w:val="none"/>
          <w:lang w:val="zh-CN" w:eastAsia="zh-CN"/>
        </w:rPr>
        <w:t>无条件原厂质保期≥</w:t>
      </w:r>
      <w:r>
        <w:rPr>
          <w:rFonts w:hint="eastAsia" w:ascii="宋体" w:hAnsi="宋体" w:cs="宋体"/>
          <w:color w:val="auto"/>
          <w:highlight w:val="none"/>
          <w:lang w:val="en-US" w:eastAsia="zh-CN"/>
        </w:rPr>
        <w:t>5</w:t>
      </w:r>
      <w:r>
        <w:rPr>
          <w:rFonts w:hint="eastAsia" w:ascii="宋体" w:hAnsi="宋体" w:cs="宋体"/>
          <w:color w:val="auto"/>
          <w:highlight w:val="none"/>
          <w:lang w:val="zh-CN" w:eastAsia="zh-CN"/>
        </w:rPr>
        <w:t>年。</w:t>
      </w:r>
      <w:r>
        <w:rPr>
          <w:rFonts w:hint="eastAsia" w:ascii="宋体" w:hAnsi="宋体" w:cs="宋体"/>
          <w:color w:val="auto"/>
          <w:highlight w:val="none"/>
          <w:lang w:val="zh-CN"/>
        </w:rPr>
        <w:t>4k高清腹腔镜、失眠综合治疗仪(声光振)整机</w:t>
      </w:r>
      <w:r>
        <w:rPr>
          <w:rFonts w:hint="eastAsia" w:ascii="宋体" w:hAnsi="宋体" w:cs="宋体"/>
          <w:color w:val="auto"/>
          <w:highlight w:val="none"/>
          <w:lang w:val="zh-CN" w:eastAsia="zh-CN"/>
        </w:rPr>
        <w:t>无条件原厂质保期≥3年。</w:t>
      </w:r>
      <w:r>
        <w:rPr>
          <w:rFonts w:hint="eastAsia" w:ascii="宋体" w:hAnsi="宋体" w:cs="宋体"/>
          <w:color w:val="auto"/>
          <w:highlight w:val="none"/>
          <w:lang w:val="zh-CN"/>
        </w:rPr>
        <w:t>质保期内免费维修与更换有缺陷的货物或部件，质保期满后只收取用工费和投标时承诺的备品备件所需费用。每次维护维修后，应及时向</w:t>
      </w:r>
      <w:r>
        <w:rPr>
          <w:rFonts w:hint="eastAsia" w:ascii="宋体" w:hAnsi="宋体" w:cs="宋体"/>
          <w:color w:val="auto"/>
          <w:highlight w:val="none"/>
          <w:lang w:val="zh-CN" w:eastAsia="zh-CN"/>
        </w:rPr>
        <w:t>招标人</w:t>
      </w:r>
      <w:r>
        <w:rPr>
          <w:rFonts w:hint="eastAsia" w:ascii="宋体" w:hAnsi="宋体" w:cs="宋体"/>
          <w:color w:val="auto"/>
          <w:highlight w:val="none"/>
          <w:lang w:val="zh-CN"/>
        </w:rPr>
        <w:t>提供相关记录</w:t>
      </w:r>
      <w:r>
        <w:rPr>
          <w:rFonts w:hint="eastAsia" w:ascii="宋体" w:hAnsi="宋体" w:cs="宋体"/>
          <w:color w:val="auto"/>
          <w:highlight w:val="none"/>
          <w:lang w:val="zh-CN" w:eastAsia="zh-CN"/>
        </w:rPr>
        <w:t>；</w:t>
      </w:r>
      <w:r>
        <w:rPr>
          <w:rFonts w:hint="eastAsia" w:ascii="宋体" w:hAnsi="宋体" w:eastAsia="宋体" w:cs="宋体"/>
          <w:b/>
          <w:bCs w:val="0"/>
          <w:color w:val="auto"/>
          <w:sz w:val="21"/>
          <w:szCs w:val="21"/>
          <w:highlight w:val="none"/>
          <w:lang w:val="en-US" w:eastAsia="zh-CN"/>
        </w:rPr>
        <w:t>（提供承诺函）</w:t>
      </w:r>
    </w:p>
    <w:p w14:paraId="6DCB75AA">
      <w:pPr>
        <w:adjustRightInd w:val="0"/>
        <w:snapToGrid w:val="0"/>
        <w:spacing w:line="440" w:lineRule="exact"/>
        <w:ind w:firstLine="420" w:firstLineChars="200"/>
        <w:rPr>
          <w:rFonts w:hint="eastAsia" w:ascii="宋体" w:hAnsi="宋体" w:eastAsia="\&quot;宋体\&quot;" w:cs="宋体"/>
          <w:color w:val="auto"/>
          <w:highlight w:val="none"/>
          <w:lang w:val="zh-CN" w:eastAsia="zh-CN"/>
        </w:rPr>
      </w:pPr>
      <w:r>
        <w:rPr>
          <w:rFonts w:hint="eastAsia" w:ascii="宋体" w:hAnsi="宋体" w:cs="宋体"/>
          <w:color w:val="auto"/>
          <w:highlight w:val="none"/>
          <w:lang w:val="zh-CN"/>
        </w:rPr>
        <w:t>3.</w:t>
      </w:r>
      <w:r>
        <w:rPr>
          <w:rFonts w:hint="eastAsia" w:ascii="宋体" w:hAnsi="宋体" w:eastAsia="宋体" w:cs="宋体"/>
          <w:bCs/>
          <w:color w:val="auto"/>
          <w:sz w:val="21"/>
          <w:szCs w:val="21"/>
        </w:rPr>
        <w:t>接到</w:t>
      </w:r>
      <w:r>
        <w:rPr>
          <w:rFonts w:hint="eastAsia" w:ascii="宋体" w:hAnsi="宋体" w:cs="宋体"/>
          <w:bCs/>
          <w:color w:val="auto"/>
          <w:sz w:val="21"/>
          <w:szCs w:val="21"/>
          <w:lang w:val="en-US" w:eastAsia="zh-CN"/>
        </w:rPr>
        <w:t>采购</w:t>
      </w:r>
      <w:r>
        <w:rPr>
          <w:rFonts w:hint="eastAsia" w:ascii="宋体" w:hAnsi="宋体" w:eastAsia="宋体" w:cs="宋体"/>
          <w:bCs/>
          <w:color w:val="auto"/>
          <w:sz w:val="21"/>
          <w:szCs w:val="21"/>
          <w:lang w:eastAsia="zh-CN"/>
        </w:rPr>
        <w:t>人</w:t>
      </w:r>
      <w:r>
        <w:rPr>
          <w:rFonts w:hint="eastAsia" w:ascii="宋体" w:hAnsi="宋体" w:eastAsia="宋体" w:cs="宋体"/>
          <w:bCs/>
          <w:color w:val="auto"/>
          <w:sz w:val="21"/>
          <w:szCs w:val="21"/>
        </w:rPr>
        <w:t>故障通知后1小时内响应，12小时内到达现场维修，一般故障当场解决，重大故障导致无法当天解决或需返厂维修的应报采购单位负责人同意方可执行，同时为</w:t>
      </w:r>
      <w:r>
        <w:rPr>
          <w:rFonts w:hint="eastAsia" w:ascii="宋体" w:hAnsi="宋体" w:cs="宋体"/>
          <w:bCs/>
          <w:color w:val="auto"/>
          <w:sz w:val="21"/>
          <w:szCs w:val="21"/>
          <w:lang w:val="en-US" w:eastAsia="zh-CN"/>
        </w:rPr>
        <w:t>采购</w:t>
      </w:r>
      <w:r>
        <w:rPr>
          <w:rFonts w:hint="eastAsia" w:ascii="宋体" w:hAnsi="宋体" w:eastAsia="宋体" w:cs="宋体"/>
          <w:bCs/>
          <w:color w:val="auto"/>
          <w:sz w:val="21"/>
          <w:szCs w:val="21"/>
          <w:lang w:eastAsia="zh-CN"/>
        </w:rPr>
        <w:t>人</w:t>
      </w:r>
      <w:r>
        <w:rPr>
          <w:rFonts w:hint="eastAsia" w:ascii="宋体" w:hAnsi="宋体" w:eastAsia="宋体" w:cs="宋体"/>
          <w:bCs/>
          <w:color w:val="auto"/>
          <w:sz w:val="21"/>
          <w:szCs w:val="21"/>
        </w:rPr>
        <w:t>提供备用配件，备用配件到场时间＜2 天</w:t>
      </w:r>
      <w:r>
        <w:rPr>
          <w:rFonts w:hint="eastAsia" w:ascii="宋体" w:hAnsi="宋体" w:cs="宋体"/>
          <w:color w:val="auto"/>
          <w:highlight w:val="none"/>
        </w:rPr>
        <w:t>。</w:t>
      </w:r>
      <w:r>
        <w:rPr>
          <w:rFonts w:ascii="\&quot;宋体\&quot;" w:hAnsi="\&quot;宋体\&quot;" w:eastAsia="\&quot;宋体\&quot;" w:cs="\&quot;宋体\&quot;"/>
          <w:i w:val="0"/>
          <w:iCs w:val="0"/>
          <w:caps w:val="0"/>
          <w:color w:val="auto"/>
          <w:spacing w:val="0"/>
          <w:sz w:val="21"/>
          <w:szCs w:val="21"/>
        </w:rPr>
        <w:t>设备</w:t>
      </w:r>
      <w:r>
        <w:rPr>
          <w:rFonts w:hint="eastAsia" w:ascii="\&quot;宋体\&quot;" w:hAnsi="\&quot;宋体\&quot;" w:eastAsia="\&quot;宋体\&quot;" w:cs="\&quot;宋体\&quot;"/>
          <w:i w:val="0"/>
          <w:iCs w:val="0"/>
          <w:caps w:val="0"/>
          <w:color w:val="auto"/>
          <w:spacing w:val="0"/>
          <w:sz w:val="21"/>
          <w:szCs w:val="21"/>
          <w:lang w:val="en-US" w:eastAsia="zh-CN"/>
        </w:rPr>
        <w:t>返厂</w:t>
      </w:r>
      <w:r>
        <w:rPr>
          <w:rFonts w:ascii="\&quot;宋体\&quot;" w:hAnsi="\&quot;宋体\&quot;" w:eastAsia="\&quot;宋体\&quot;" w:cs="\&quot;宋体\&quot;"/>
          <w:i w:val="0"/>
          <w:iCs w:val="0"/>
          <w:caps w:val="0"/>
          <w:color w:val="auto"/>
          <w:spacing w:val="0"/>
          <w:sz w:val="21"/>
          <w:szCs w:val="21"/>
        </w:rPr>
        <w:t>维修期间须提供相应的备用设备，以保证医院工作的正常进行</w:t>
      </w:r>
      <w:r>
        <w:rPr>
          <w:rFonts w:hint="eastAsia" w:ascii="\&quot;宋体\&quot;" w:hAnsi="\&quot;宋体\&quot;" w:eastAsia="\&quot;宋体\&quot;" w:cs="\&quot;宋体\&quot;"/>
          <w:i w:val="0"/>
          <w:iCs w:val="0"/>
          <w:caps w:val="0"/>
          <w:color w:val="auto"/>
          <w:spacing w:val="0"/>
          <w:sz w:val="21"/>
          <w:szCs w:val="21"/>
          <w:lang w:eastAsia="zh-CN"/>
        </w:rPr>
        <w:t>。</w:t>
      </w:r>
    </w:p>
    <w:p w14:paraId="754F5121">
      <w:pPr>
        <w:adjustRightInd w:val="0"/>
        <w:snapToGrid w:val="0"/>
        <w:spacing w:line="440" w:lineRule="exact"/>
        <w:ind w:firstLine="420" w:firstLineChars="200"/>
        <w:rPr>
          <w:rFonts w:hint="eastAsia" w:ascii="宋体" w:hAnsi="宋体" w:cs="宋体"/>
          <w:color w:val="auto"/>
          <w:highlight w:val="none"/>
        </w:rPr>
      </w:pPr>
      <w:r>
        <w:rPr>
          <w:rFonts w:hint="eastAsia" w:ascii="宋体" w:hAnsi="宋体" w:cs="宋体"/>
          <w:color w:val="auto"/>
          <w:highlight w:val="none"/>
        </w:rPr>
        <w:t>4.投标人须承诺中标后所提供的货物如果因货物本身存在质量问题导致故障频发的，应负责免费更换，由此带来的一切损失由投标人自行承担。</w:t>
      </w:r>
    </w:p>
    <w:p w14:paraId="2762579D">
      <w:pPr>
        <w:tabs>
          <w:tab w:val="left" w:pos="2310"/>
        </w:tabs>
        <w:adjustRightInd w:val="0"/>
        <w:snapToGrid w:val="0"/>
        <w:spacing w:line="440" w:lineRule="exact"/>
        <w:ind w:firstLine="420" w:firstLineChars="200"/>
        <w:rPr>
          <w:rFonts w:hint="eastAsia" w:ascii="宋体" w:hAnsi="宋体" w:cs="宋体"/>
          <w:color w:val="auto"/>
          <w:highlight w:val="none"/>
        </w:rPr>
      </w:pPr>
      <w:r>
        <w:rPr>
          <w:rFonts w:hint="eastAsia" w:ascii="宋体" w:hAnsi="宋体" w:cs="宋体"/>
          <w:color w:val="auto"/>
          <w:highlight w:val="none"/>
        </w:rPr>
        <w:t>5.</w:t>
      </w:r>
      <w:r>
        <w:rPr>
          <w:rFonts w:hint="eastAsia" w:ascii="宋体" w:hAnsi="宋体" w:eastAsia="宋体" w:cs="宋体"/>
          <w:bCs/>
          <w:color w:val="auto"/>
          <w:sz w:val="21"/>
          <w:szCs w:val="21"/>
        </w:rPr>
        <w:t>提供售后服务机构详细资料（包括服务机构地址、联系人、售后服务热线、维修技术人员、备品备件等内容），以证明其具备能响应本项目售后服务的能力。</w:t>
      </w:r>
    </w:p>
    <w:p w14:paraId="14D0D192">
      <w:pPr>
        <w:tabs>
          <w:tab w:val="left" w:pos="2310"/>
        </w:tabs>
        <w:adjustRightInd w:val="0"/>
        <w:snapToGrid w:val="0"/>
        <w:spacing w:line="440" w:lineRule="exact"/>
        <w:ind w:firstLine="420" w:firstLineChars="200"/>
        <w:rPr>
          <w:rFonts w:hint="eastAsia" w:ascii="宋体" w:hAnsi="宋体" w:eastAsia="宋体" w:cs="宋体"/>
          <w:bCs/>
          <w:sz w:val="21"/>
          <w:szCs w:val="21"/>
        </w:rPr>
      </w:pPr>
      <w:r>
        <w:rPr>
          <w:rFonts w:hint="eastAsia" w:ascii="宋体" w:hAnsi="宋体" w:cs="宋体"/>
          <w:bCs/>
          <w:color w:val="auto"/>
          <w:sz w:val="21"/>
          <w:szCs w:val="21"/>
          <w:lang w:val="en-US" w:eastAsia="zh-CN"/>
        </w:rPr>
        <w:t>6、</w:t>
      </w:r>
      <w:r>
        <w:rPr>
          <w:rFonts w:hint="eastAsia" w:ascii="宋体" w:hAnsi="宋体" w:eastAsia="宋体" w:cs="宋体"/>
          <w:bCs/>
          <w:color w:val="auto"/>
          <w:sz w:val="21"/>
          <w:szCs w:val="21"/>
        </w:rPr>
        <w:t>提供所有产品的相关技术资料（提供完整准确的操作使用中文说明</w:t>
      </w:r>
      <w:r>
        <w:rPr>
          <w:rFonts w:hint="eastAsia" w:ascii="宋体" w:hAnsi="宋体" w:eastAsia="宋体" w:cs="宋体"/>
          <w:bCs/>
          <w:sz w:val="21"/>
          <w:szCs w:val="21"/>
        </w:rPr>
        <w:t>书,电子版一份、纸质版二份。纸质版的必须印制精美,装订成册；电子版必须复制保存到U盘）、并为</w:t>
      </w:r>
      <w:r>
        <w:rPr>
          <w:rFonts w:hint="eastAsia" w:ascii="宋体" w:hAnsi="宋体" w:eastAsia="宋体" w:cs="宋体"/>
          <w:bCs/>
          <w:sz w:val="21"/>
          <w:szCs w:val="21"/>
          <w:lang w:eastAsia="zh-CN"/>
        </w:rPr>
        <w:t>招标人</w:t>
      </w:r>
      <w:r>
        <w:rPr>
          <w:rFonts w:hint="eastAsia" w:ascii="宋体" w:hAnsi="宋体" w:eastAsia="宋体" w:cs="宋体"/>
          <w:bCs/>
          <w:sz w:val="21"/>
          <w:szCs w:val="21"/>
        </w:rPr>
        <w:t>提供终身技术咨询服务。</w:t>
      </w:r>
    </w:p>
    <w:p w14:paraId="155AC9E7">
      <w:pPr>
        <w:tabs>
          <w:tab w:val="left" w:pos="2310"/>
        </w:tabs>
        <w:adjustRightInd w:val="0"/>
        <w:snapToGrid w:val="0"/>
        <w:spacing w:line="440" w:lineRule="exact"/>
        <w:ind w:firstLine="420" w:firstLineChars="200"/>
        <w:rPr>
          <w:rFonts w:hint="eastAsia" w:ascii="宋体" w:hAnsi="宋体" w:eastAsia="宋体" w:cs="宋体"/>
          <w:bCs/>
          <w:sz w:val="21"/>
          <w:szCs w:val="21"/>
        </w:rPr>
      </w:pPr>
      <w:r>
        <w:rPr>
          <w:rFonts w:hint="eastAsia" w:ascii="宋体" w:hAnsi="宋体" w:cs="宋体"/>
          <w:bCs/>
          <w:sz w:val="21"/>
          <w:szCs w:val="21"/>
          <w:lang w:val="en-US" w:eastAsia="zh-CN"/>
        </w:rPr>
        <w:t>7、</w:t>
      </w:r>
      <w:r>
        <w:rPr>
          <w:rFonts w:hint="eastAsia" w:ascii="宋体" w:hAnsi="宋体" w:eastAsia="宋体" w:cs="宋体"/>
          <w:bCs/>
          <w:sz w:val="21"/>
          <w:szCs w:val="21"/>
        </w:rPr>
        <w:t>所有产品外包装箱、单个产品包装盒及装备上必须具有下列基本信息：产品生产厂家、生产日期、有效期、生产厂家联系人、联系电话；代理厂商联系人、联系电话、售后联系人、联系方式。</w:t>
      </w:r>
    </w:p>
    <w:p w14:paraId="39879F7F">
      <w:pPr>
        <w:tabs>
          <w:tab w:val="left" w:pos="2310"/>
        </w:tabs>
        <w:adjustRightInd w:val="0"/>
        <w:snapToGrid w:val="0"/>
        <w:spacing w:line="440" w:lineRule="exact"/>
        <w:ind w:firstLine="420" w:firstLineChars="200"/>
        <w:rPr>
          <w:rFonts w:hint="eastAsia" w:ascii="宋体" w:hAnsi="宋体" w:eastAsia="宋体" w:cs="宋体"/>
          <w:bCs/>
          <w:color w:val="auto"/>
          <w:sz w:val="21"/>
          <w:szCs w:val="21"/>
        </w:rPr>
      </w:pPr>
      <w:r>
        <w:rPr>
          <w:rFonts w:hint="eastAsia" w:ascii="宋体" w:hAnsi="宋体" w:cs="宋体"/>
          <w:bCs/>
          <w:color w:val="auto"/>
          <w:sz w:val="21"/>
          <w:szCs w:val="21"/>
          <w:lang w:val="en-US" w:eastAsia="zh-CN"/>
        </w:rPr>
        <w:t>8、如有专用备品备件及零配件，须</w:t>
      </w:r>
      <w:r>
        <w:rPr>
          <w:rFonts w:hint="eastAsia" w:ascii="宋体" w:hAnsi="宋体" w:eastAsia="宋体" w:cs="宋体"/>
          <w:bCs/>
          <w:color w:val="auto"/>
          <w:sz w:val="21"/>
          <w:szCs w:val="21"/>
        </w:rPr>
        <w:t>提供所有备品备件及零配件报价清单,</w:t>
      </w:r>
      <w:r>
        <w:rPr>
          <w:rFonts w:hint="eastAsia" w:ascii="宋体" w:hAnsi="宋体" w:cs="宋体"/>
          <w:bCs/>
          <w:color w:val="auto"/>
          <w:sz w:val="21"/>
          <w:szCs w:val="21"/>
          <w:lang w:val="en-US" w:eastAsia="zh-CN"/>
        </w:rPr>
        <w:t>通用备品备件及零配件可不提供，</w:t>
      </w:r>
      <w:r>
        <w:rPr>
          <w:rFonts w:hint="eastAsia" w:ascii="宋体" w:hAnsi="宋体" w:eastAsia="宋体" w:cs="宋体"/>
          <w:bCs/>
          <w:color w:val="auto"/>
          <w:sz w:val="21"/>
          <w:szCs w:val="21"/>
        </w:rPr>
        <w:t>并承诺质保期满后按</w:t>
      </w:r>
      <w:r>
        <w:rPr>
          <w:rFonts w:hint="eastAsia" w:ascii="宋体" w:hAnsi="宋体" w:cs="宋体"/>
          <w:bCs/>
          <w:color w:val="auto"/>
          <w:sz w:val="21"/>
          <w:szCs w:val="21"/>
          <w:lang w:val="en-US" w:eastAsia="zh-CN"/>
        </w:rPr>
        <w:t>不高于</w:t>
      </w:r>
      <w:r>
        <w:rPr>
          <w:rFonts w:hint="eastAsia" w:ascii="宋体" w:hAnsi="宋体" w:eastAsia="宋体" w:cs="宋体"/>
          <w:bCs/>
          <w:color w:val="auto"/>
          <w:sz w:val="21"/>
          <w:szCs w:val="21"/>
        </w:rPr>
        <w:t>清单报价收取材料费。</w:t>
      </w:r>
    </w:p>
    <w:p w14:paraId="71DB6099">
      <w:pPr>
        <w:tabs>
          <w:tab w:val="left" w:pos="2310"/>
        </w:tabs>
        <w:adjustRightInd w:val="0"/>
        <w:snapToGrid w:val="0"/>
        <w:spacing w:line="440" w:lineRule="exact"/>
        <w:ind w:firstLine="420" w:firstLineChars="200"/>
        <w:rPr>
          <w:rFonts w:hint="default" w:ascii="宋体" w:hAnsi="宋体" w:eastAsia="微软雅黑" w:cs="宋体"/>
          <w:highlight w:val="none"/>
          <w:lang w:val="en-US" w:eastAsia="zh-CN"/>
        </w:rPr>
      </w:pPr>
      <w:r>
        <w:rPr>
          <w:rFonts w:hint="eastAsia" w:ascii="宋体" w:hAnsi="宋体" w:eastAsia="宋体" w:cs="宋体"/>
          <w:bCs/>
          <w:color w:val="auto"/>
          <w:sz w:val="21"/>
          <w:szCs w:val="21"/>
          <w:lang w:val="en-US" w:eastAsia="zh-CN"/>
        </w:rPr>
        <w:t>9、</w:t>
      </w:r>
      <w:r>
        <w:rPr>
          <w:rFonts w:hint="eastAsia" w:ascii="宋体" w:hAnsi="宋体" w:eastAsia="宋体" w:cs="宋体"/>
          <w:highlight w:val="none"/>
        </w:rPr>
        <w:t>提供软件升级服务。</w:t>
      </w:r>
    </w:p>
    <w:p w14:paraId="72C3033E">
      <w:pPr>
        <w:pStyle w:val="7"/>
        <w:snapToGrid w:val="0"/>
        <w:spacing w:line="440" w:lineRule="exact"/>
        <w:ind w:left="0" w:firstLine="482" w:firstLineChars="200"/>
        <w:rPr>
          <w:rFonts w:hint="eastAsia"/>
          <w:highlight w:val="none"/>
        </w:rPr>
      </w:pPr>
      <w:r>
        <w:rPr>
          <w:rFonts w:hint="eastAsia" w:ascii="华文仿宋" w:hAnsi="华文仿宋" w:eastAsia="华文仿宋" w:cs="Times New Roman"/>
          <w:b/>
          <w:bCs/>
          <w:sz w:val="24"/>
          <w:highlight w:val="none"/>
        </w:rPr>
        <w:t>四</w:t>
      </w:r>
      <w:r>
        <w:rPr>
          <w:rFonts w:hint="eastAsia" w:ascii="华文仿宋" w:hAnsi="华文仿宋" w:eastAsia="华文仿宋" w:cs="Times New Roman"/>
          <w:b/>
          <w:bCs/>
          <w:sz w:val="24"/>
          <w:highlight w:val="none"/>
          <w:lang w:val="ru-RU"/>
        </w:rPr>
        <w:t>、其他要求</w:t>
      </w:r>
      <w:bookmarkEnd w:id="4"/>
    </w:p>
    <w:p w14:paraId="1DA673B7">
      <w:pPr>
        <w:adjustRightInd w:val="0"/>
        <w:snapToGrid w:val="0"/>
        <w:spacing w:line="440" w:lineRule="exact"/>
        <w:ind w:firstLine="420" w:firstLineChars="200"/>
        <w:rPr>
          <w:rFonts w:hint="eastAsia" w:ascii="宋体" w:hAnsi="宋体" w:cs="宋体"/>
          <w:highlight w:val="none"/>
        </w:rPr>
      </w:pPr>
      <w:r>
        <w:rPr>
          <w:rFonts w:hint="eastAsia" w:ascii="宋体" w:hAnsi="宋体" w:cs="宋体"/>
          <w:highlight w:val="none"/>
        </w:rPr>
        <w:t>1、投标人应给出所投标产品的详细技术数据；招标文件中主要技术参数及要求，投标人必须满足或超过，并不得有弄虚作假现象，否则作无效投标处理。</w:t>
      </w:r>
    </w:p>
    <w:p w14:paraId="311A5BC1">
      <w:pPr>
        <w:tabs>
          <w:tab w:val="left" w:pos="2310"/>
        </w:tabs>
        <w:snapToGrid w:val="0"/>
        <w:spacing w:line="440" w:lineRule="exact"/>
        <w:ind w:firstLine="420" w:firstLineChars="200"/>
        <w:textAlignment w:val="baseline"/>
        <w:rPr>
          <w:rStyle w:val="8"/>
          <w:rFonts w:hint="eastAsia" w:ascii="宋体" w:hAnsi="宋体" w:eastAsia="宋体" w:cs="宋体"/>
          <w:bCs/>
          <w:sz w:val="21"/>
          <w:szCs w:val="21"/>
        </w:rPr>
      </w:pPr>
      <w:r>
        <w:rPr>
          <w:rFonts w:hint="eastAsia" w:ascii="宋体" w:hAnsi="宋体" w:cs="宋体"/>
          <w:bCs/>
          <w:szCs w:val="21"/>
          <w:highlight w:val="none"/>
        </w:rPr>
        <w:t>2、</w:t>
      </w:r>
      <w:r>
        <w:rPr>
          <w:rStyle w:val="8"/>
          <w:rFonts w:hint="eastAsia" w:ascii="宋体" w:hAnsi="宋体" w:eastAsia="宋体" w:cs="宋体"/>
          <w:bCs/>
          <w:sz w:val="21"/>
          <w:szCs w:val="21"/>
        </w:rPr>
        <w:t>中标单位确保所供货物技术指标符合项目采购技术文件、以及国家或行业标准要求。</w:t>
      </w:r>
    </w:p>
    <w:p w14:paraId="7E8F3E2A">
      <w:pPr>
        <w:tabs>
          <w:tab w:val="left" w:pos="2310"/>
        </w:tabs>
        <w:snapToGrid w:val="0"/>
        <w:spacing w:line="440" w:lineRule="exact"/>
        <w:ind w:firstLine="420" w:firstLineChars="200"/>
        <w:textAlignment w:val="baseline"/>
        <w:rPr>
          <w:rStyle w:val="8"/>
          <w:rFonts w:hint="eastAsia" w:ascii="宋体" w:hAnsi="宋体" w:eastAsia="宋体" w:cs="宋体"/>
          <w:bCs/>
          <w:sz w:val="21"/>
          <w:szCs w:val="21"/>
        </w:rPr>
      </w:pPr>
      <w:r>
        <w:rPr>
          <w:rStyle w:val="8"/>
          <w:rFonts w:hint="eastAsia" w:ascii="宋体" w:hAnsi="宋体" w:eastAsia="宋体" w:cs="宋体"/>
          <w:bCs/>
          <w:sz w:val="21"/>
          <w:szCs w:val="21"/>
          <w:lang w:val="en-US"/>
        </w:rPr>
        <w:t>3</w:t>
      </w:r>
      <w:r>
        <w:rPr>
          <w:rStyle w:val="8"/>
          <w:rFonts w:hint="eastAsia" w:ascii="宋体" w:hAnsi="宋体" w:eastAsia="宋体" w:cs="宋体"/>
          <w:bCs/>
          <w:sz w:val="21"/>
          <w:szCs w:val="21"/>
        </w:rPr>
        <w:t>、投标人应说明所投产品相关的生产体系、认证情况、产品质量、产品检验报告等证明材料以证明产品的来源及质量合格。</w:t>
      </w:r>
      <w:r>
        <w:rPr>
          <w:rFonts w:hint="eastAsia" w:ascii="宋体" w:hAnsi="宋体" w:cs="宋体"/>
        </w:rPr>
        <w:t>提供制造商关于投标产品的官方宣传资料影印件（或宣传彩页）等技术参数证明材料。</w:t>
      </w:r>
    </w:p>
    <w:p w14:paraId="334C4845">
      <w:pPr>
        <w:tabs>
          <w:tab w:val="left" w:pos="2310"/>
        </w:tabs>
        <w:snapToGrid w:val="0"/>
        <w:spacing w:line="440" w:lineRule="exact"/>
        <w:ind w:firstLine="420" w:firstLineChars="200"/>
        <w:textAlignment w:val="baseline"/>
        <w:rPr>
          <w:rStyle w:val="8"/>
          <w:rFonts w:hint="eastAsia" w:ascii="宋体" w:hAnsi="宋体" w:eastAsia="宋体" w:cs="宋体"/>
          <w:bCs/>
          <w:sz w:val="21"/>
          <w:szCs w:val="21"/>
        </w:rPr>
      </w:pPr>
      <w:r>
        <w:rPr>
          <w:rStyle w:val="8"/>
          <w:rFonts w:hint="eastAsia" w:ascii="宋体" w:hAnsi="宋体" w:eastAsia="宋体" w:cs="宋体"/>
          <w:bCs/>
          <w:sz w:val="21"/>
          <w:szCs w:val="21"/>
          <w:lang w:val="en-US"/>
        </w:rPr>
        <w:t>4</w:t>
      </w:r>
      <w:r>
        <w:rPr>
          <w:rStyle w:val="8"/>
          <w:rFonts w:hint="eastAsia" w:ascii="宋体" w:hAnsi="宋体" w:eastAsia="宋体" w:cs="宋体"/>
          <w:bCs/>
          <w:sz w:val="21"/>
          <w:szCs w:val="21"/>
        </w:rPr>
        <w:t>、投标人需提供所投产品相关零部件的储存、备份及备品备件情况，包括但不限于零配件清单、产地、品牌、型号、价格等。如有耗材的还需报出耗材的品牌、产地、型号及价格。</w:t>
      </w:r>
    </w:p>
    <w:p w14:paraId="5F7A02CA">
      <w:pPr>
        <w:tabs>
          <w:tab w:val="left" w:pos="2310"/>
        </w:tabs>
        <w:snapToGrid w:val="0"/>
        <w:spacing w:line="440" w:lineRule="exact"/>
        <w:ind w:firstLine="420" w:firstLineChars="200"/>
        <w:textAlignment w:val="baseline"/>
        <w:rPr>
          <w:rFonts w:hint="eastAsia" w:ascii="宋体" w:hAnsi="宋体" w:cs="宋体"/>
          <w:color w:val="auto"/>
        </w:rPr>
      </w:pPr>
      <w:r>
        <w:rPr>
          <w:rStyle w:val="8"/>
          <w:rFonts w:hint="eastAsia" w:ascii="宋体" w:hAnsi="宋体" w:eastAsia="宋体" w:cs="宋体"/>
          <w:bCs/>
          <w:sz w:val="21"/>
          <w:szCs w:val="21"/>
          <w:lang w:val="en-US"/>
        </w:rPr>
        <w:t>5</w:t>
      </w:r>
      <w:r>
        <w:rPr>
          <w:rStyle w:val="8"/>
          <w:rFonts w:hint="eastAsia" w:ascii="宋体" w:hAnsi="宋体" w:eastAsia="宋体" w:cs="宋体"/>
          <w:bCs/>
          <w:sz w:val="21"/>
          <w:szCs w:val="21"/>
        </w:rPr>
        <w:t>、</w:t>
      </w:r>
      <w:r>
        <w:rPr>
          <w:rFonts w:hint="eastAsia" w:ascii="宋体" w:hAnsi="宋体" w:cs="宋体"/>
        </w:rPr>
        <w:t>本项目投标报价包括但不限于货物采购、人工费、标准附件、专用工具、安装辅材、运输、保险、保管、安装、调试、验收及培训、售后服务、利润、税金、不可预见费等以及政策性文件规定与合同包含的所有风险责任等所有费用的总和</w:t>
      </w:r>
      <w:r>
        <w:rPr>
          <w:rFonts w:hint="eastAsia" w:ascii="宋体" w:hAnsi="宋体" w:cs="宋体"/>
          <w:lang w:val="en-US" w:eastAsia="zh-CN"/>
        </w:rPr>
        <w:t>的“交钥匙价”。</w:t>
      </w:r>
      <w:r>
        <w:rPr>
          <w:rFonts w:hint="eastAsia" w:ascii="宋体" w:hAnsi="宋体" w:cs="宋体"/>
        </w:rPr>
        <w:t>如一旦中标，在项目实施中</w:t>
      </w:r>
      <w:r>
        <w:rPr>
          <w:rFonts w:hint="eastAsia" w:ascii="宋体" w:hAnsi="宋体" w:cs="宋体"/>
          <w:color w:val="auto"/>
          <w:lang w:val="en-US" w:eastAsia="zh-CN"/>
        </w:rPr>
        <w:t>因中标单位</w:t>
      </w:r>
      <w:r>
        <w:rPr>
          <w:rFonts w:hint="eastAsia" w:ascii="宋体" w:hAnsi="宋体" w:cs="宋体"/>
          <w:color w:val="auto"/>
        </w:rPr>
        <w:t>出现</w:t>
      </w:r>
      <w:r>
        <w:rPr>
          <w:rFonts w:hint="eastAsia" w:ascii="宋体" w:hAnsi="宋体" w:cs="宋体"/>
          <w:color w:val="auto"/>
          <w:lang w:val="en-US" w:eastAsia="zh-CN"/>
        </w:rPr>
        <w:t>的</w:t>
      </w:r>
      <w:r>
        <w:rPr>
          <w:rFonts w:hint="eastAsia" w:ascii="宋体" w:hAnsi="宋体" w:cs="宋体"/>
          <w:color w:val="auto"/>
        </w:rPr>
        <w:t>遗漏，均由中标单位免费提供，采购人不再支付任何费用。</w:t>
      </w:r>
    </w:p>
    <w:p w14:paraId="296DF93F">
      <w:pPr>
        <w:tabs>
          <w:tab w:val="left" w:pos="2310"/>
        </w:tabs>
        <w:snapToGrid w:val="0"/>
        <w:spacing w:line="440" w:lineRule="exact"/>
        <w:ind w:firstLine="420" w:firstLineChars="200"/>
        <w:textAlignment w:val="baseline"/>
        <w:rPr>
          <w:rFonts w:hint="default" w:ascii="宋体" w:hAnsi="宋体" w:cs="宋体"/>
          <w:color w:val="auto"/>
          <w:lang w:val="en-US" w:eastAsia="zh-CN"/>
        </w:rPr>
      </w:pPr>
      <w:r>
        <w:rPr>
          <w:rFonts w:hint="eastAsia" w:ascii="宋体" w:hAnsi="宋体" w:cs="宋体"/>
          <w:color w:val="auto"/>
          <w:lang w:val="en-US" w:eastAsia="zh-CN"/>
        </w:rPr>
        <w:t>6、投标人中标后应在采购方专项资金批复确定后，再启动本合同项下货物供货流程。</w:t>
      </w:r>
    </w:p>
    <w:p w14:paraId="14F9FE28">
      <w:pPr>
        <w:adjustRightInd w:val="0"/>
        <w:snapToGrid w:val="0"/>
        <w:spacing w:line="440" w:lineRule="exact"/>
        <w:ind w:firstLine="210" w:firstLineChars="100"/>
        <w:rPr>
          <w:rFonts w:hint="eastAsia" w:ascii="宋体" w:hAnsi="宋体" w:cs="宋体"/>
          <w:lang w:val="en-US" w:eastAsia="zh-CN"/>
        </w:rPr>
      </w:pPr>
      <w:r>
        <w:rPr>
          <w:rFonts w:hint="eastAsia" w:ascii="宋体" w:hAnsi="宋体" w:cs="宋体"/>
          <w:lang w:val="en-US" w:eastAsia="zh-CN"/>
        </w:rPr>
        <w:t>★7、采购人有权要求中标候选人在中标公示发布30日内，免费提供所投产品进行现场演示，确保其所投标的货物与其投标文件描述一致。如中标候选人产品演示过程中出现虚假应标，采购人有权取消其中标候选人资格并报请财政部门进一步处罚。</w:t>
      </w:r>
      <w:r>
        <w:rPr>
          <w:rFonts w:hint="eastAsia" w:ascii="宋体" w:hAnsi="宋体" w:eastAsia="宋体" w:cs="宋体"/>
          <w:b/>
          <w:bCs w:val="0"/>
          <w:color w:val="auto"/>
          <w:sz w:val="21"/>
          <w:szCs w:val="21"/>
          <w:highlight w:val="none"/>
          <w:lang w:val="en-US" w:eastAsia="zh-CN"/>
        </w:rPr>
        <w:t>（提供承诺函）</w:t>
      </w:r>
    </w:p>
    <w:p w14:paraId="0434A659">
      <w:pPr>
        <w:tabs>
          <w:tab w:val="left" w:pos="2310"/>
        </w:tabs>
        <w:snapToGrid w:val="0"/>
        <w:spacing w:line="440" w:lineRule="exact"/>
        <w:ind w:firstLine="420" w:firstLineChars="200"/>
        <w:textAlignment w:val="baseline"/>
        <w:rPr>
          <w:rFonts w:hint="eastAsia" w:hAnsi="宋体"/>
          <w:b/>
          <w:bCs/>
          <w:szCs w:val="21"/>
          <w:highlight w:val="none"/>
        </w:rPr>
      </w:pPr>
      <w:r>
        <w:rPr>
          <w:rFonts w:hint="eastAsia" w:ascii="宋体" w:hAnsi="宋体" w:cs="宋体"/>
          <w:lang w:val="en-US" w:eastAsia="zh-CN"/>
        </w:rPr>
        <w:t>8、</w:t>
      </w:r>
      <w:r>
        <w:rPr>
          <w:rFonts w:hint="eastAsia" w:ascii="宋体" w:hAnsi="宋体" w:cs="宋体"/>
        </w:rPr>
        <w:t>其它未尽事宜以合同约定为准，双方友好协商确定。</w:t>
      </w:r>
    </w:p>
    <w:p w14:paraId="7E09BF01">
      <w:pPr>
        <w:tabs>
          <w:tab w:val="left" w:pos="0"/>
        </w:tabs>
        <w:spacing w:before="156" w:beforeLines="50" w:after="156" w:afterLines="50" w:line="240" w:lineRule="auto"/>
        <w:jc w:val="left"/>
        <w:rPr>
          <w:rFonts w:hint="eastAsia" w:ascii="Times New Roman" w:hAnsi="宋体" w:eastAsia="宋体" w:cs="Times New Roman"/>
          <w:b/>
          <w:bCs/>
          <w:szCs w:val="21"/>
          <w:highlight w:val="none"/>
        </w:rPr>
      </w:pPr>
      <w:r>
        <w:rPr>
          <w:rFonts w:hint="eastAsia" w:ascii="Times New Roman" w:hAnsi="宋体" w:eastAsia="宋体" w:cs="Times New Roman"/>
          <w:b/>
          <w:bCs/>
          <w:szCs w:val="21"/>
          <w:highlight w:val="none"/>
        </w:rPr>
        <w:t>重要说明：</w:t>
      </w:r>
    </w:p>
    <w:p w14:paraId="78A7E8A9">
      <w:pPr>
        <w:tabs>
          <w:tab w:val="left" w:pos="0"/>
        </w:tabs>
        <w:spacing w:before="156" w:beforeLines="50" w:after="156" w:afterLines="50" w:line="240" w:lineRule="auto"/>
        <w:jc w:val="left"/>
        <w:rPr>
          <w:rFonts w:hint="eastAsia" w:ascii="Times New Roman" w:hAnsi="宋体" w:eastAsia="宋体" w:cs="Times New Roman"/>
          <w:b/>
          <w:bCs/>
          <w:szCs w:val="21"/>
          <w:highlight w:val="none"/>
        </w:rPr>
      </w:pPr>
      <w:r>
        <w:rPr>
          <w:rFonts w:hint="eastAsia" w:ascii="Times New Roman" w:hAnsi="宋体" w:eastAsia="宋体" w:cs="Times New Roman"/>
          <w:b/>
          <w:bCs/>
          <w:szCs w:val="21"/>
          <w:highlight w:val="none"/>
        </w:rPr>
        <w:t>1、对于上述项目要求，投标人应在投标文件中进行回应，作出承诺、说明。</w:t>
      </w:r>
    </w:p>
    <w:p w14:paraId="66B2B538">
      <w:pPr>
        <w:tabs>
          <w:tab w:val="left" w:pos="0"/>
        </w:tabs>
        <w:spacing w:before="156" w:beforeLines="50" w:after="156" w:afterLines="50" w:line="240" w:lineRule="auto"/>
        <w:jc w:val="left"/>
        <w:rPr>
          <w:rFonts w:hint="eastAsia" w:ascii="Times New Roman" w:hAnsi="宋体" w:eastAsia="宋体" w:cs="Times New Roman"/>
          <w:b/>
          <w:bCs/>
          <w:szCs w:val="21"/>
          <w:highlight w:val="none"/>
        </w:rPr>
      </w:pPr>
      <w:r>
        <w:rPr>
          <w:rFonts w:hint="eastAsia" w:ascii="Times New Roman" w:hAnsi="宋体" w:eastAsia="宋体" w:cs="Times New Roman"/>
          <w:b/>
          <w:bCs/>
          <w:szCs w:val="21"/>
          <w:highlight w:val="none"/>
        </w:rPr>
        <w:t>2、带“★”符号要求，投标人必须满足或超过，并不得有弄虚作假现象，否则投标无效。</w:t>
      </w:r>
    </w:p>
    <w:p w14:paraId="113069BF">
      <w:pPr>
        <w:tabs>
          <w:tab w:val="left" w:pos="0"/>
        </w:tabs>
        <w:spacing w:before="156" w:beforeLines="50" w:after="156" w:afterLines="50" w:line="240" w:lineRule="auto"/>
        <w:jc w:val="left"/>
        <w:rPr>
          <w:rFonts w:hint="eastAsia" w:ascii="Times New Roman" w:hAnsi="宋体" w:eastAsia="宋体" w:cs="Times New Roman"/>
          <w:b/>
          <w:bCs/>
          <w:szCs w:val="21"/>
          <w:highlight w:val="none"/>
        </w:rPr>
      </w:pPr>
      <w:r>
        <w:rPr>
          <w:rFonts w:hint="eastAsia" w:ascii="Times New Roman" w:hAnsi="宋体" w:eastAsia="宋体" w:cs="Times New Roman"/>
          <w:b/>
          <w:bCs/>
          <w:szCs w:val="21"/>
          <w:highlight w:val="none"/>
        </w:rPr>
        <w:t>★3、投标人需承诺中标后所提供的产品与投标文件中提供的产品一致，“★”“▲”条款项需提供产品说明书或技术白皮书或检测报告</w:t>
      </w:r>
      <w:r>
        <w:rPr>
          <w:rFonts w:hint="eastAsia" w:ascii="Times New Roman" w:hAnsi="宋体" w:eastAsia="宋体" w:cs="Times New Roman"/>
          <w:b/>
          <w:bCs/>
          <w:szCs w:val="21"/>
          <w:highlight w:val="none"/>
          <w:lang w:val="en-US" w:eastAsia="zh-CN"/>
        </w:rPr>
        <w:t>或彩页</w:t>
      </w:r>
      <w:r>
        <w:rPr>
          <w:rFonts w:hint="eastAsia" w:ascii="Times New Roman" w:hAnsi="宋体" w:eastAsia="宋体" w:cs="Times New Roman"/>
          <w:b/>
          <w:bCs/>
          <w:szCs w:val="21"/>
          <w:highlight w:val="none"/>
        </w:rPr>
        <w:t>作为佐证材料，若出现不一致</w:t>
      </w:r>
      <w:r>
        <w:rPr>
          <w:rFonts w:hint="eastAsia" w:ascii="Times New Roman" w:hAnsi="宋体" w:eastAsia="宋体" w:cs="Times New Roman"/>
          <w:b/>
          <w:bCs/>
          <w:szCs w:val="21"/>
          <w:highlight w:val="none"/>
          <w:lang w:eastAsia="zh-CN"/>
        </w:rPr>
        <w:t>（</w:t>
      </w:r>
      <w:r>
        <w:rPr>
          <w:rFonts w:hint="eastAsia" w:ascii="Times New Roman" w:hAnsi="宋体" w:eastAsia="宋体" w:cs="Times New Roman"/>
          <w:b/>
          <w:bCs/>
          <w:szCs w:val="21"/>
          <w:highlight w:val="none"/>
          <w:lang w:val="en-US" w:eastAsia="zh-CN"/>
        </w:rPr>
        <w:t>要求提供承诺函除外</w:t>
      </w:r>
      <w:r>
        <w:rPr>
          <w:rFonts w:hint="eastAsia" w:ascii="Times New Roman" w:hAnsi="宋体" w:eastAsia="宋体" w:cs="Times New Roman"/>
          <w:b/>
          <w:bCs/>
          <w:szCs w:val="21"/>
          <w:highlight w:val="none"/>
          <w:lang w:eastAsia="zh-CN"/>
        </w:rPr>
        <w:t>）</w:t>
      </w:r>
      <w:r>
        <w:rPr>
          <w:rFonts w:hint="eastAsia" w:ascii="Times New Roman" w:hAnsi="宋体" w:eastAsia="宋体" w:cs="Times New Roman"/>
          <w:b/>
          <w:bCs/>
          <w:szCs w:val="21"/>
          <w:highlight w:val="none"/>
        </w:rPr>
        <w:t>，按虚假应标处理，中标无效，并上报至相关部门。</w:t>
      </w:r>
    </w:p>
    <w:p w14:paraId="00A92A75">
      <w:r>
        <w:rPr>
          <w:rFonts w:hint="eastAsia" w:hAnsi="宋体"/>
          <w:b/>
          <w:bCs/>
          <w:szCs w:val="21"/>
          <w:highlight w:val="none"/>
        </w:rPr>
        <w:t>★4、投标人在投标文件中有隐瞒事实、弄虚作假的行为，或有不按招标文件的要求如实提供有关情况、文件、证明等资料的行为，或有所提供的有关情况、文件、证明等资料与经查实的事实不符的行为，且上述行为对该投标人有利的，按照不合格投标人处理。已被列为中标候选人的，职消其中标候选人资格。已中标的，取消其中标资格，并送财政监管部门依法追究其法律责任。★5、如投标人提供虚假材料谋取中标，在评标环节发现的，按无效投标处理。如中标后发现的，取消其中标资格，并送财政监管部门依法追究其法律责任。</w:t>
      </w:r>
      <w:bookmarkStart w:id="5" w:name="_GoBack"/>
      <w:bookmarkEnd w:id="5"/>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中宋">
    <w:altName w:val="宋体"/>
    <w:panose1 w:val="02010600040101010101"/>
    <w:charset w:val="86"/>
    <w:family w:val="auto"/>
    <w:pitch w:val="default"/>
    <w:sig w:usb0="00000000" w:usb1="00000000" w:usb2="00000000" w:usb3="00000000" w:csb0="0004009F" w:csb1="DFD7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00" w:usb3="00000000" w:csb0="0004009F" w:csb1="DFD70000"/>
  </w:font>
  <w:font w:name="\&quot;宋体\&quot;">
    <w:altName w:val="宋体"/>
    <w:panose1 w:val="00000000000000000000"/>
    <w:charset w:val="00"/>
    <w:family w:val="auto"/>
    <w:pitch w:val="default"/>
    <w:sig w:usb0="00000000" w:usb1="00000000" w:usb2="00000000" w:usb3="00000000" w:csb0="00040001"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689445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uiPriority w:val="0"/>
    <w:pPr>
      <w:keepNext/>
      <w:jc w:val="center"/>
      <w:outlineLvl w:val="0"/>
    </w:pPr>
    <w:rPr>
      <w:b/>
      <w:bCs/>
      <w:sz w:val="24"/>
      <w:szCs w:val="20"/>
    </w:rPr>
  </w:style>
  <w:style w:type="paragraph" w:styleId="3">
    <w:name w:val="heading 2"/>
    <w:basedOn w:val="1"/>
    <w:next w:val="1"/>
    <w:qFormat/>
    <w:uiPriority w:val="0"/>
    <w:pPr>
      <w:keepNext/>
      <w:keepLines/>
      <w:spacing w:line="360" w:lineRule="auto"/>
      <w:outlineLvl w:val="1"/>
    </w:pPr>
    <w:rPr>
      <w:rFonts w:ascii="Arial" w:hAnsi="Arial"/>
      <w:b/>
      <w:bCs/>
      <w:sz w:val="24"/>
      <w:szCs w:val="32"/>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customStyle="1" w:styleId="6">
    <w:name w:val="列出段落1"/>
    <w:basedOn w:val="1"/>
    <w:qFormat/>
    <w:uiPriority w:val="0"/>
    <w:pPr>
      <w:ind w:firstLine="420" w:firstLineChars="200"/>
    </w:pPr>
    <w:rPr>
      <w:szCs w:val="21"/>
    </w:rPr>
  </w:style>
  <w:style w:type="paragraph" w:customStyle="1" w:styleId="7">
    <w:name w:val="List Paragraph"/>
    <w:basedOn w:val="1"/>
    <w:qFormat/>
    <w:uiPriority w:val="1"/>
    <w:pPr>
      <w:ind w:left="768" w:firstLine="420"/>
    </w:pPr>
    <w:rPr>
      <w:rFonts w:ascii="宋体" w:hAnsi="宋体" w:eastAsia="宋体" w:cs="宋体"/>
    </w:rPr>
  </w:style>
  <w:style w:type="character" w:customStyle="1" w:styleId="8">
    <w:name w:val="NormalCharacter"/>
    <w:qFormat/>
    <w:uiPriority w:val="0"/>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11</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2026-10-23T06:08:12Z</dcterms:created>
  <dc:creator>Administrator</dc:creator>
  <cp:lastModifiedBy>Administrator</cp:lastModifiedBy>
  <dcterms:modified xsi:type="dcterms:W3CDTF">2026-10-23T06:08:15Z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KSOTemplateDocerSaveRecord">
    <vt:lpwstr>eyJoZGlkIjoiY2ZhZDkzN2Q2YWY5N2UyZGVmMmE4Y2NkYzc2NTNhZjQiLCJ1c2VySWQiOiIyNDc4OTM0MTEifQ==</vt:lpwstr>
  </property>
  <property fmtid="{D5CDD505-2E9C-101B-9397-08002B2CF9AE}" pid="4" name="ICV">
    <vt:lpwstr>BD730CE44DD040E184F4486EB247464B_12</vt:lpwstr>
  </property>
</Properties>
</file>