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2C5EB">
      <w:pPr>
        <w:pStyle w:val="23"/>
        <w:adjustRightInd w:val="0"/>
        <w:snapToGrid w:val="0"/>
        <w:spacing w:line="240" w:lineRule="atLeast"/>
        <w:jc w:val="center"/>
        <w:rPr>
          <w:rFonts w:hint="eastAsia" w:ascii="宋体" w:hAnsi="宋体" w:eastAsia="宋体" w:cs="宋体"/>
          <w:color w:val="auto"/>
          <w:highlight w:val="none"/>
        </w:rPr>
      </w:pPr>
    </w:p>
    <w:p w14:paraId="24AB147E">
      <w:pPr>
        <w:pStyle w:val="23"/>
        <w:adjustRightInd w:val="0"/>
        <w:snapToGrid w:val="0"/>
        <w:spacing w:line="240" w:lineRule="atLeast"/>
        <w:jc w:val="center"/>
        <w:rPr>
          <w:rFonts w:hint="eastAsia" w:ascii="宋体" w:hAnsi="宋体" w:eastAsia="宋体" w:cs="宋体"/>
          <w:color w:val="auto"/>
          <w:highlight w:val="none"/>
        </w:rPr>
      </w:pPr>
    </w:p>
    <w:p w14:paraId="6677B25D">
      <w:pPr>
        <w:pStyle w:val="23"/>
        <w:adjustRightInd w:val="0"/>
        <w:snapToGrid w:val="0"/>
        <w:spacing w:line="240" w:lineRule="atLeast"/>
        <w:jc w:val="center"/>
        <w:rPr>
          <w:rFonts w:hint="eastAsia" w:ascii="宋体" w:hAnsi="宋体" w:eastAsia="宋体" w:cs="宋体"/>
          <w:color w:val="auto"/>
          <w:highlight w:val="none"/>
        </w:rPr>
      </w:pPr>
    </w:p>
    <w:p w14:paraId="76EC8199">
      <w:pPr>
        <w:pStyle w:val="23"/>
        <w:adjustRightInd w:val="0"/>
        <w:snapToGrid w:val="0"/>
        <w:spacing w:line="240" w:lineRule="atLeast"/>
        <w:jc w:val="right"/>
        <w:rPr>
          <w:rFonts w:hint="eastAsia" w:ascii="宋体" w:hAnsi="宋体" w:eastAsia="宋体" w:cs="宋体"/>
          <w:color w:val="auto"/>
          <w:highlight w:val="none"/>
        </w:rPr>
      </w:pPr>
    </w:p>
    <w:p w14:paraId="57ABC0E6">
      <w:pPr>
        <w:pStyle w:val="23"/>
        <w:adjustRightInd w:val="0"/>
        <w:snapToGrid w:val="0"/>
        <w:spacing w:line="240" w:lineRule="atLeast"/>
        <w:jc w:val="center"/>
        <w:rPr>
          <w:rFonts w:hint="eastAsia" w:ascii="宋体" w:hAnsi="宋体" w:eastAsia="宋体" w:cs="宋体"/>
          <w:bCs/>
          <w:color w:val="auto"/>
          <w:sz w:val="72"/>
          <w:szCs w:val="72"/>
          <w:highlight w:val="none"/>
        </w:rPr>
      </w:pPr>
      <w:r>
        <w:rPr>
          <w:rFonts w:hint="eastAsia" w:ascii="宋体" w:hAnsi="宋体" w:eastAsia="宋体" w:cs="宋体"/>
          <w:bCs/>
          <w:color w:val="auto"/>
          <w:sz w:val="72"/>
          <w:szCs w:val="72"/>
          <w:highlight w:val="none"/>
          <w:lang w:eastAsia="zh-CN"/>
        </w:rPr>
        <w:t>政府采购【郴州电子标】</w:t>
      </w:r>
    </w:p>
    <w:p w14:paraId="5A8D94CA">
      <w:pPr>
        <w:pStyle w:val="23"/>
        <w:adjustRightInd w:val="0"/>
        <w:snapToGrid w:val="0"/>
        <w:spacing w:line="240" w:lineRule="atLeast"/>
        <w:jc w:val="center"/>
        <w:rPr>
          <w:rFonts w:hint="eastAsia" w:ascii="宋体" w:hAnsi="宋体" w:eastAsia="宋体" w:cs="宋体"/>
          <w:bCs/>
          <w:color w:val="auto"/>
          <w:sz w:val="72"/>
          <w:szCs w:val="72"/>
          <w:highlight w:val="none"/>
        </w:rPr>
      </w:pPr>
    </w:p>
    <w:p w14:paraId="077198C8">
      <w:pPr>
        <w:pStyle w:val="23"/>
        <w:adjustRightInd w:val="0"/>
        <w:snapToGrid w:val="0"/>
        <w:spacing w:line="240" w:lineRule="atLeast"/>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招标文件</w:t>
      </w:r>
    </w:p>
    <w:p w14:paraId="28E0628B">
      <w:pPr>
        <w:pStyle w:val="23"/>
        <w:adjustRightInd w:val="0"/>
        <w:snapToGrid w:val="0"/>
        <w:spacing w:line="240" w:lineRule="atLeast"/>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w:t>
      </w:r>
      <w:r>
        <w:rPr>
          <w:rFonts w:hint="eastAsia" w:ascii="宋体" w:hAnsi="宋体" w:eastAsia="宋体" w:cs="宋体"/>
          <w:b/>
          <w:bCs/>
          <w:color w:val="auto"/>
          <w:sz w:val="52"/>
          <w:szCs w:val="52"/>
          <w:highlight w:val="none"/>
        </w:rPr>
        <w:t>服务类综合评分法</w:t>
      </w:r>
      <w:r>
        <w:rPr>
          <w:rFonts w:hint="eastAsia" w:ascii="宋体" w:hAnsi="宋体" w:eastAsia="宋体" w:cs="宋体"/>
          <w:b/>
          <w:bCs/>
          <w:color w:val="auto"/>
          <w:sz w:val="52"/>
          <w:szCs w:val="52"/>
          <w:highlight w:val="none"/>
          <w:lang w:eastAsia="zh-CN"/>
        </w:rPr>
        <w:t>）</w:t>
      </w:r>
    </w:p>
    <w:p w14:paraId="0D847C0D">
      <w:pPr>
        <w:pStyle w:val="23"/>
        <w:adjustRightInd w:val="0"/>
        <w:snapToGrid w:val="0"/>
        <w:spacing w:line="240" w:lineRule="atLeast"/>
        <w:jc w:val="center"/>
        <w:rPr>
          <w:rFonts w:hint="eastAsia" w:ascii="宋体" w:hAnsi="宋体" w:eastAsia="宋体" w:cs="宋体"/>
          <w:b/>
          <w:bCs/>
          <w:color w:val="auto"/>
          <w:sz w:val="32"/>
          <w:szCs w:val="32"/>
          <w:highlight w:val="none"/>
        </w:rPr>
      </w:pPr>
    </w:p>
    <w:p w14:paraId="0F6BE9EA">
      <w:pPr>
        <w:pStyle w:val="23"/>
        <w:adjustRightInd w:val="0"/>
        <w:snapToGrid w:val="0"/>
        <w:spacing w:line="240" w:lineRule="atLeast"/>
        <w:jc w:val="center"/>
        <w:rPr>
          <w:rFonts w:hint="eastAsia" w:ascii="宋体" w:hAnsi="宋体" w:eastAsia="宋体" w:cs="宋体"/>
          <w:b/>
          <w:bCs/>
          <w:color w:val="auto"/>
          <w:sz w:val="32"/>
          <w:szCs w:val="32"/>
          <w:highlight w:val="none"/>
        </w:rPr>
      </w:pPr>
    </w:p>
    <w:p w14:paraId="21FDD748">
      <w:pPr>
        <w:pStyle w:val="23"/>
        <w:adjustRightInd w:val="0"/>
        <w:snapToGrid w:val="0"/>
        <w:spacing w:line="240" w:lineRule="atLeast"/>
        <w:jc w:val="center"/>
        <w:rPr>
          <w:rFonts w:hint="eastAsia" w:ascii="宋体" w:hAnsi="宋体" w:eastAsia="宋体" w:cs="宋体"/>
          <w:b/>
          <w:bCs/>
          <w:color w:val="auto"/>
          <w:sz w:val="44"/>
          <w:szCs w:val="44"/>
          <w:highlight w:val="none"/>
        </w:rPr>
      </w:pPr>
    </w:p>
    <w:p w14:paraId="78EE70F5">
      <w:pPr>
        <w:pStyle w:val="23"/>
        <w:adjustRightInd w:val="0"/>
        <w:snapToGrid w:val="0"/>
        <w:spacing w:line="240" w:lineRule="atLeast"/>
        <w:jc w:val="center"/>
        <w:rPr>
          <w:rFonts w:hint="eastAsia" w:ascii="宋体" w:hAnsi="宋体" w:eastAsia="宋体" w:cs="宋体"/>
          <w:bCs/>
          <w:color w:val="auto"/>
          <w:highlight w:val="none"/>
        </w:rPr>
      </w:pPr>
    </w:p>
    <w:p w14:paraId="51DC8155">
      <w:pPr>
        <w:adjustRightInd w:val="0"/>
        <w:snapToGrid w:val="0"/>
        <w:spacing w:line="360" w:lineRule="auto"/>
        <w:ind w:firstLine="1205" w:firstLineChars="4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采购项目名称：</w:t>
      </w:r>
      <w:r>
        <w:rPr>
          <w:rFonts w:hint="eastAsia" w:ascii="宋体" w:hAnsi="宋体" w:cs="宋体"/>
          <w:color w:val="auto"/>
          <w:sz w:val="30"/>
          <w:szCs w:val="30"/>
          <w:highlight w:val="none"/>
          <w:u w:val="single"/>
          <w:lang w:eastAsia="zh-CN"/>
        </w:rPr>
        <w:t>市委、市政府机关食堂服务团队采购项目</w:t>
      </w:r>
      <w:r>
        <w:rPr>
          <w:rFonts w:hint="eastAsia" w:ascii="宋体" w:hAnsi="宋体" w:eastAsia="宋体" w:cs="宋体"/>
          <w:color w:val="auto"/>
          <w:sz w:val="30"/>
          <w:szCs w:val="30"/>
          <w:highlight w:val="none"/>
        </w:rPr>
        <w:t xml:space="preserve"> </w:t>
      </w:r>
    </w:p>
    <w:p w14:paraId="4733148A">
      <w:pPr>
        <w:adjustRightInd w:val="0"/>
        <w:snapToGrid w:val="0"/>
        <w:spacing w:line="360" w:lineRule="auto"/>
        <w:ind w:firstLine="1054" w:firstLineChars="350"/>
        <w:rPr>
          <w:rFonts w:hint="default" w:ascii="宋体" w:hAnsi="宋体" w:cs="宋体"/>
          <w:b w:val="0"/>
          <w:bCs/>
          <w:color w:val="auto"/>
          <w:sz w:val="30"/>
          <w:szCs w:val="30"/>
          <w:highlight w:val="none"/>
          <w:u w:val="single"/>
          <w:lang w:val="en-US" w:eastAsia="zh-CN"/>
        </w:rPr>
      </w:pPr>
      <w:r>
        <w:rPr>
          <w:rFonts w:hint="eastAsia" w:ascii="宋体" w:hAnsi="宋体" w:cs="宋体"/>
          <w:b/>
          <w:color w:val="auto"/>
          <w:sz w:val="30"/>
          <w:szCs w:val="30"/>
          <w:highlight w:val="none"/>
          <w:lang w:eastAsia="zh-CN"/>
        </w:rPr>
        <w:t>政府采购计划编号</w:t>
      </w:r>
      <w:r>
        <w:rPr>
          <w:rFonts w:hint="eastAsia" w:ascii="宋体" w:hAnsi="宋体" w:eastAsia="宋体" w:cs="宋体"/>
          <w:b/>
          <w:color w:val="auto"/>
          <w:sz w:val="30"/>
          <w:szCs w:val="30"/>
          <w:highlight w:val="none"/>
        </w:rPr>
        <w:t>：</w:t>
      </w:r>
      <w:r>
        <w:rPr>
          <w:rFonts w:hint="eastAsia" w:ascii="宋体" w:hAnsi="宋体" w:cs="宋体"/>
          <w:b w:val="0"/>
          <w:bCs/>
          <w:color w:val="auto"/>
          <w:sz w:val="30"/>
          <w:szCs w:val="30"/>
          <w:highlight w:val="none"/>
          <w:u w:val="single"/>
          <w:lang w:val="en-US" w:eastAsia="zh-CN"/>
        </w:rPr>
        <w:t xml:space="preserve">(2026)431000000062-1 </w:t>
      </w:r>
    </w:p>
    <w:p w14:paraId="0835445C">
      <w:pPr>
        <w:adjustRightInd w:val="0"/>
        <w:snapToGrid w:val="0"/>
        <w:spacing w:line="360" w:lineRule="auto"/>
        <w:ind w:firstLine="1054" w:firstLineChars="350"/>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eastAsia="zh-CN"/>
        </w:rPr>
        <w:t>委托代理编号：</w:t>
      </w:r>
      <w:r>
        <w:rPr>
          <w:rFonts w:hint="eastAsia" w:ascii="宋体" w:hAnsi="宋体" w:cs="宋体"/>
          <w:b w:val="0"/>
          <w:bCs/>
          <w:color w:val="auto"/>
          <w:sz w:val="30"/>
          <w:szCs w:val="30"/>
          <w:highlight w:val="none"/>
          <w:u w:val="single"/>
          <w:lang w:eastAsia="zh-CN"/>
        </w:rPr>
        <w:t>0623-2651N3116031</w:t>
      </w:r>
    </w:p>
    <w:p w14:paraId="16AFF8F2">
      <w:pPr>
        <w:adjustRightInd w:val="0"/>
        <w:snapToGrid w:val="0"/>
        <w:spacing w:line="360" w:lineRule="auto"/>
        <w:ind w:firstLine="1054" w:firstLineChars="35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   购   人：</w:t>
      </w:r>
      <w:r>
        <w:rPr>
          <w:rFonts w:hint="eastAsia" w:ascii="宋体" w:hAnsi="宋体" w:eastAsia="宋体" w:cs="宋体"/>
          <w:b/>
          <w:color w:val="auto"/>
          <w:sz w:val="30"/>
          <w:szCs w:val="30"/>
          <w:highlight w:val="none"/>
          <w:u w:val="single"/>
        </w:rPr>
        <w:t xml:space="preserve"> </w:t>
      </w:r>
      <w:r>
        <w:rPr>
          <w:rFonts w:hint="eastAsia" w:ascii="宋体" w:hAnsi="宋体" w:cs="宋体"/>
          <w:color w:val="auto"/>
          <w:sz w:val="30"/>
          <w:szCs w:val="30"/>
          <w:highlight w:val="none"/>
          <w:u w:val="single"/>
          <w:lang w:eastAsia="zh-CN"/>
        </w:rPr>
        <w:t>郴州市机关事务管理局</w:t>
      </w:r>
    </w:p>
    <w:p w14:paraId="0429319B">
      <w:pPr>
        <w:adjustRightInd w:val="0"/>
        <w:snapToGrid w:val="0"/>
        <w:spacing w:line="360" w:lineRule="auto"/>
        <w:ind w:firstLine="1054" w:firstLineChars="350"/>
        <w:rPr>
          <w:rFonts w:hint="eastAsia" w:ascii="宋体" w:hAnsi="宋体" w:eastAsia="宋体" w:cs="宋体"/>
          <w:b/>
          <w:color w:val="auto"/>
          <w:sz w:val="32"/>
          <w:szCs w:val="21"/>
          <w:highlight w:val="none"/>
        </w:rPr>
      </w:pPr>
      <w:r>
        <w:rPr>
          <w:rFonts w:hint="eastAsia" w:ascii="宋体" w:hAnsi="宋体" w:eastAsia="宋体" w:cs="宋体"/>
          <w:b/>
          <w:color w:val="auto"/>
          <w:sz w:val="30"/>
          <w:szCs w:val="30"/>
          <w:highlight w:val="none"/>
        </w:rPr>
        <w:t>采购代理机构：</w:t>
      </w:r>
      <w:r>
        <w:rPr>
          <w:rFonts w:hint="eastAsia" w:ascii="宋体" w:hAnsi="宋体" w:eastAsia="宋体" w:cs="宋体"/>
          <w:b/>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湖南省招标有限责任公司</w:t>
      </w:r>
      <w:r>
        <w:rPr>
          <w:rFonts w:hint="eastAsia" w:ascii="宋体" w:hAnsi="宋体" w:eastAsia="宋体" w:cs="宋体"/>
          <w:b/>
          <w:color w:val="auto"/>
          <w:sz w:val="32"/>
          <w:szCs w:val="21"/>
          <w:highlight w:val="none"/>
          <w:u w:val="single"/>
        </w:rPr>
        <w:t xml:space="preserve"> </w:t>
      </w:r>
    </w:p>
    <w:p w14:paraId="4B6683A4">
      <w:pPr>
        <w:pStyle w:val="23"/>
        <w:adjustRightInd w:val="0"/>
        <w:snapToGrid w:val="0"/>
        <w:spacing w:line="360" w:lineRule="auto"/>
        <w:jc w:val="center"/>
        <w:rPr>
          <w:rFonts w:hint="eastAsia" w:ascii="宋体" w:hAnsi="宋体" w:eastAsia="宋体" w:cs="宋体"/>
          <w:bCs/>
          <w:color w:val="auto"/>
          <w:sz w:val="32"/>
          <w:szCs w:val="32"/>
          <w:highlight w:val="none"/>
        </w:rPr>
      </w:pPr>
    </w:p>
    <w:p w14:paraId="24A07F08">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49CBDFA5">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1ED4A7A1">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6B33D063">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2A383C21">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43CA9C1F">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5B4348C1">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3C4E6636">
      <w:pPr>
        <w:pStyle w:val="23"/>
        <w:adjustRightInd w:val="0"/>
        <w:snapToGrid w:val="0"/>
        <w:spacing w:line="240" w:lineRule="atLeast"/>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highlight w:val="none"/>
        </w:rPr>
        <w:t xml:space="preserve"> </w:t>
      </w:r>
      <w:r>
        <w:rPr>
          <w:rFonts w:hint="eastAsia" w:ascii="宋体" w:hAnsi="宋体" w:eastAsia="宋体" w:cs="宋体"/>
          <w:b/>
          <w:color w:val="auto"/>
          <w:sz w:val="32"/>
          <w:highlight w:val="none"/>
          <w:lang w:val="en-US" w:eastAsia="zh-CN"/>
        </w:rPr>
        <w:t>202</w:t>
      </w:r>
      <w:r>
        <w:rPr>
          <w:rFonts w:hint="eastAsia" w:hAnsi="宋体" w:cs="宋体"/>
          <w:b/>
          <w:color w:val="auto"/>
          <w:sz w:val="32"/>
          <w:highlight w:val="none"/>
          <w:lang w:val="en-US" w:eastAsia="zh-CN"/>
        </w:rPr>
        <w:t>6</w:t>
      </w:r>
      <w:r>
        <w:rPr>
          <w:rFonts w:hint="eastAsia" w:ascii="宋体" w:hAnsi="宋体" w:eastAsia="宋体" w:cs="宋体"/>
          <w:b/>
          <w:color w:val="auto"/>
          <w:sz w:val="32"/>
          <w:highlight w:val="none"/>
        </w:rPr>
        <w:t>年</w:t>
      </w:r>
      <w:r>
        <w:rPr>
          <w:rFonts w:hint="eastAsia" w:hAnsi="宋体" w:cs="宋体"/>
          <w:b/>
          <w:color w:val="auto"/>
          <w:sz w:val="32"/>
          <w:highlight w:val="none"/>
          <w:lang w:val="en-US" w:eastAsia="zh-CN"/>
        </w:rPr>
        <w:t>7</w:t>
      </w:r>
      <w:r>
        <w:rPr>
          <w:rFonts w:hint="eastAsia" w:ascii="宋体" w:hAnsi="宋体" w:eastAsia="宋体" w:cs="宋体"/>
          <w:b/>
          <w:color w:val="auto"/>
          <w:sz w:val="32"/>
          <w:highlight w:val="none"/>
        </w:rPr>
        <w:t>月</w:t>
      </w:r>
    </w:p>
    <w:p w14:paraId="4A29AD3B">
      <w:pPr>
        <w:pStyle w:val="23"/>
        <w:adjustRightInd w:val="0"/>
        <w:snapToGrid w:val="0"/>
        <w:spacing w:line="240" w:lineRule="atLeast"/>
        <w:jc w:val="center"/>
        <w:rPr>
          <w:rFonts w:hint="eastAsia" w:ascii="宋体" w:hAnsi="宋体" w:eastAsia="宋体" w:cs="宋体"/>
          <w:b/>
          <w:bCs/>
          <w:color w:val="auto"/>
          <w:sz w:val="32"/>
          <w:szCs w:val="32"/>
          <w:highlight w:val="none"/>
        </w:rPr>
        <w:sectPr>
          <w:headerReference r:id="rId3" w:type="default"/>
          <w:footerReference r:id="rId4" w:type="default"/>
          <w:pgSz w:w="11906" w:h="16838"/>
          <w:pgMar w:top="1440" w:right="1588" w:bottom="1440" w:left="1588" w:header="851" w:footer="992" w:gutter="0"/>
          <w:pgNumType w:fmt="decimal"/>
          <w:cols w:space="720" w:num="1"/>
          <w:docGrid w:type="lines" w:linePitch="312" w:charSpace="0"/>
        </w:sectPr>
      </w:pPr>
    </w:p>
    <w:p w14:paraId="25F792EB">
      <w:pPr>
        <w:pStyle w:val="23"/>
        <w:adjustRightInd w:val="0"/>
        <w:snapToGrid w:val="0"/>
        <w:spacing w:line="360" w:lineRule="auto"/>
        <w:jc w:val="both"/>
        <w:rPr>
          <w:rFonts w:hint="eastAsia" w:ascii="宋体" w:hAnsi="宋体" w:eastAsia="宋体" w:cs="宋体"/>
          <w:b/>
          <w:color w:val="auto"/>
          <w:spacing w:val="160"/>
          <w:sz w:val="36"/>
          <w:szCs w:val="36"/>
          <w:highlight w:val="none"/>
        </w:rPr>
      </w:pPr>
    </w:p>
    <w:p w14:paraId="44992CAA">
      <w:pPr>
        <w:pStyle w:val="23"/>
        <w:adjustRightInd w:val="0"/>
        <w:snapToGrid w:val="0"/>
        <w:spacing w:line="360" w:lineRule="auto"/>
        <w:jc w:val="center"/>
        <w:rPr>
          <w:rFonts w:hint="eastAsia" w:ascii="宋体" w:hAnsi="宋体" w:eastAsia="宋体" w:cs="宋体"/>
          <w:b/>
          <w:color w:val="auto"/>
          <w:spacing w:val="160"/>
          <w:sz w:val="36"/>
          <w:szCs w:val="36"/>
          <w:highlight w:val="none"/>
        </w:rPr>
      </w:pPr>
      <w:r>
        <w:rPr>
          <w:rFonts w:hint="eastAsia" w:ascii="宋体" w:hAnsi="宋体" w:eastAsia="宋体" w:cs="宋体"/>
          <w:b/>
          <w:color w:val="auto"/>
          <w:spacing w:val="160"/>
          <w:sz w:val="36"/>
          <w:szCs w:val="36"/>
          <w:highlight w:val="none"/>
        </w:rPr>
        <w:t>目录</w:t>
      </w:r>
    </w:p>
    <w:p w14:paraId="50F1A942">
      <w:pPr>
        <w:pStyle w:val="29"/>
        <w:tabs>
          <w:tab w:val="right" w:leader="dot" w:pos="8844"/>
        </w:tabs>
        <w:rPr>
          <w:rFonts w:hint="eastAsia" w:ascii="宋体" w:hAnsi="宋体" w:eastAsia="宋体" w:cs="宋体"/>
          <w:color w:val="auto"/>
          <w:highlight w:val="none"/>
        </w:rPr>
      </w:pPr>
      <w:r>
        <w:rPr>
          <w:rStyle w:val="47"/>
          <w:rFonts w:hint="eastAsia" w:ascii="宋体" w:hAnsi="宋体" w:eastAsia="宋体" w:cs="宋体"/>
          <w:b w:val="0"/>
          <w:color w:val="auto"/>
          <w:highlight w:val="none"/>
        </w:rPr>
        <w:fldChar w:fldCharType="begin"/>
      </w:r>
      <w:r>
        <w:rPr>
          <w:rStyle w:val="47"/>
          <w:rFonts w:hint="eastAsia" w:ascii="宋体" w:hAnsi="宋体" w:eastAsia="宋体" w:cs="宋体"/>
          <w:b w:val="0"/>
          <w:color w:val="auto"/>
          <w:highlight w:val="none"/>
        </w:rPr>
        <w:instrText xml:space="preserve"> TOC \o "1-4" \h \z \u </w:instrText>
      </w:r>
      <w:r>
        <w:rPr>
          <w:rStyle w:val="47"/>
          <w:rFonts w:hint="eastAsia" w:ascii="宋体" w:hAnsi="宋体" w:eastAsia="宋体" w:cs="宋体"/>
          <w:b w:val="0"/>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_Toc21624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第一章 投标邀请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_Toc21624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1A03489">
      <w:pPr>
        <w:pStyle w:val="34"/>
        <w:tabs>
          <w:tab w:val="right" w:leader="dot" w:pos="8844"/>
        </w:tabs>
        <w:rPr>
          <w:rFonts w:hint="eastAsia" w:ascii="宋体" w:hAnsi="宋体" w:eastAsia="宋体" w:cs="宋体"/>
          <w:color w:val="auto"/>
          <w:highlight w:val="none"/>
        </w:rPr>
      </w:pPr>
    </w:p>
    <w:p w14:paraId="11F0124B">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_Toc14843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第二章 投标须知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_Toc14843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524470C">
      <w:pPr>
        <w:pStyle w:val="22"/>
        <w:tabs>
          <w:tab w:val="right" w:leader="dot" w:pos="8844"/>
        </w:tabs>
        <w:rPr>
          <w:rFonts w:hint="eastAsia" w:ascii="宋体" w:hAnsi="宋体" w:eastAsia="宋体" w:cs="宋体"/>
          <w:color w:val="auto"/>
          <w:highlight w:val="none"/>
        </w:rPr>
      </w:pPr>
    </w:p>
    <w:p w14:paraId="309DA0FE">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_Toc8014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第三章 资格审查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_Toc8014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8B9776F">
      <w:pPr>
        <w:pStyle w:val="30"/>
        <w:tabs>
          <w:tab w:val="right" w:leader="dot" w:pos="8844"/>
        </w:tabs>
        <w:rPr>
          <w:rFonts w:hint="eastAsia" w:ascii="宋体" w:hAnsi="宋体" w:eastAsia="宋体" w:cs="宋体"/>
          <w:color w:val="auto"/>
          <w:highlight w:val="none"/>
        </w:rPr>
      </w:pPr>
    </w:p>
    <w:p w14:paraId="19665A05">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_Toc20049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第四章 评标方法及标准（综合评分法）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_Toc20049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BCAF94E">
      <w:pPr>
        <w:pStyle w:val="22"/>
        <w:tabs>
          <w:tab w:val="right" w:leader="dot" w:pos="8844"/>
        </w:tabs>
        <w:ind w:left="0" w:leftChars="0" w:firstLine="0" w:firstLineChars="0"/>
        <w:rPr>
          <w:rFonts w:hint="eastAsia" w:ascii="宋体" w:hAnsi="宋体" w:eastAsia="宋体" w:cs="宋体"/>
          <w:color w:val="auto"/>
          <w:highlight w:val="none"/>
        </w:rPr>
      </w:pPr>
    </w:p>
    <w:p w14:paraId="67384B5D">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_Toc8671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第五章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_Toc8671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5628268">
      <w:pPr>
        <w:pStyle w:val="34"/>
        <w:tabs>
          <w:tab w:val="right" w:leader="dot" w:pos="8844"/>
        </w:tabs>
        <w:rPr>
          <w:rFonts w:hint="eastAsia" w:ascii="宋体" w:hAnsi="宋体" w:eastAsia="宋体" w:cs="宋体"/>
          <w:color w:val="auto"/>
          <w:highlight w:val="none"/>
        </w:rPr>
      </w:pPr>
    </w:p>
    <w:p w14:paraId="4D46DD7C">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_Toc10064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第六章 政府采购合同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_Toc10064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95A16A3">
      <w:pPr>
        <w:pStyle w:val="34"/>
        <w:tabs>
          <w:tab w:val="right" w:leader="dot" w:pos="8844"/>
        </w:tabs>
        <w:rPr>
          <w:rFonts w:hint="eastAsia" w:ascii="宋体" w:hAnsi="宋体" w:eastAsia="宋体" w:cs="宋体"/>
          <w:color w:val="auto"/>
          <w:highlight w:val="none"/>
        </w:rPr>
      </w:pPr>
    </w:p>
    <w:p w14:paraId="1F215979">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_Toc18776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第七章 投标文件的组成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_Toc18776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49E5563">
      <w:pPr>
        <w:pStyle w:val="22"/>
        <w:tabs>
          <w:tab w:val="right" w:leader="dot" w:pos="8844"/>
        </w:tabs>
        <w:rPr>
          <w:rFonts w:hint="eastAsia" w:ascii="宋体" w:hAnsi="宋体" w:eastAsia="宋体" w:cs="宋体"/>
          <w:color w:val="auto"/>
          <w:highlight w:val="none"/>
        </w:rPr>
      </w:pPr>
    </w:p>
    <w:p w14:paraId="36E7C38F">
      <w:pPr>
        <w:pStyle w:val="22"/>
        <w:tabs>
          <w:tab w:val="right" w:leader="dot" w:pos="8844"/>
        </w:tabs>
        <w:rPr>
          <w:rFonts w:hint="eastAsia" w:ascii="宋体" w:hAnsi="宋体" w:eastAsia="宋体" w:cs="宋体"/>
          <w:color w:val="auto"/>
          <w:highlight w:val="none"/>
        </w:rPr>
      </w:pPr>
    </w:p>
    <w:p w14:paraId="2D7C6CD9">
      <w:pPr>
        <w:rPr>
          <w:rFonts w:hint="eastAsia" w:ascii="宋体" w:hAnsi="宋体" w:eastAsia="宋体" w:cs="宋体"/>
          <w:color w:val="auto"/>
          <w:highlight w:val="none"/>
        </w:rPr>
      </w:pP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4216F56F">
      <w:pPr>
        <w:adjustRightInd w:val="0"/>
        <w:snapToGrid w:val="0"/>
        <w:spacing w:line="240" w:lineRule="atLeast"/>
        <w:ind w:firstLine="840" w:firstLineChars="400"/>
        <w:rPr>
          <w:rFonts w:hint="eastAsia" w:ascii="宋体" w:hAnsi="宋体" w:eastAsia="宋体" w:cs="宋体"/>
          <w:color w:val="auto"/>
          <w:szCs w:val="21"/>
          <w:highlight w:val="none"/>
        </w:rPr>
      </w:pPr>
    </w:p>
    <w:p w14:paraId="1EC7FDD6">
      <w:pPr>
        <w:pStyle w:val="2"/>
        <w:rPr>
          <w:rFonts w:hint="eastAsia" w:ascii="宋体" w:hAnsi="宋体" w:eastAsia="宋体" w:cs="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fmt="decimal"/>
          <w:cols w:space="720" w:num="1"/>
          <w:docGrid w:type="lines" w:linePitch="312" w:charSpace="0"/>
        </w:sectPr>
      </w:pPr>
    </w:p>
    <w:p w14:paraId="354013B5">
      <w:pPr>
        <w:spacing w:line="360" w:lineRule="auto"/>
        <w:jc w:val="center"/>
        <w:rPr>
          <w:rFonts w:hint="eastAsia" w:ascii="宋体" w:hAnsi="宋体" w:eastAsia="宋体" w:cs="宋体"/>
          <w:color w:val="auto"/>
          <w:sz w:val="44"/>
          <w:szCs w:val="44"/>
          <w:highlight w:val="none"/>
        </w:rPr>
      </w:pPr>
      <w:bookmarkStart w:id="0" w:name="_Toc29913893"/>
      <w:r>
        <w:rPr>
          <w:rFonts w:hint="eastAsia" w:ascii="宋体" w:hAnsi="宋体" w:eastAsia="宋体" w:cs="宋体"/>
          <w:color w:val="auto"/>
          <w:sz w:val="44"/>
          <w:szCs w:val="44"/>
          <w:highlight w:val="none"/>
        </w:rPr>
        <w:t>电子招投标相关规定</w:t>
      </w:r>
    </w:p>
    <w:p w14:paraId="54F15740">
      <w:pPr>
        <w:numPr>
          <w:ilvl w:val="0"/>
          <w:numId w:val="1"/>
        </w:num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本项目采用电子招投标方式，招标文件的下载、</w:t>
      </w:r>
      <w:r>
        <w:rPr>
          <w:rFonts w:hint="eastAsia" w:ascii="宋体" w:hAnsi="宋体" w:eastAsia="宋体" w:cs="宋体"/>
          <w:color w:val="auto"/>
          <w:sz w:val="24"/>
          <w:szCs w:val="24"/>
          <w:highlight w:val="none"/>
          <w:lang w:eastAsia="zh-CN"/>
        </w:rPr>
        <w:t>投标文件的</w:t>
      </w:r>
      <w:r>
        <w:rPr>
          <w:rFonts w:hint="eastAsia" w:ascii="宋体" w:hAnsi="宋体" w:eastAsia="宋体" w:cs="宋体"/>
          <w:color w:val="auto"/>
          <w:sz w:val="24"/>
          <w:szCs w:val="24"/>
          <w:highlight w:val="none"/>
        </w:rPr>
        <w:t>上传、</w:t>
      </w:r>
      <w:r>
        <w:rPr>
          <w:rFonts w:hint="eastAsia" w:ascii="宋体" w:hAnsi="宋体" w:eastAsia="宋体" w:cs="宋体"/>
          <w:color w:val="auto"/>
          <w:sz w:val="24"/>
          <w:szCs w:val="24"/>
          <w:highlight w:val="none"/>
          <w:lang w:eastAsia="zh-CN"/>
        </w:rPr>
        <w:t>投标文件的</w:t>
      </w:r>
      <w:r>
        <w:rPr>
          <w:rFonts w:hint="eastAsia" w:ascii="宋体" w:hAnsi="宋体" w:eastAsia="宋体" w:cs="宋体"/>
          <w:color w:val="auto"/>
          <w:sz w:val="24"/>
          <w:szCs w:val="24"/>
          <w:highlight w:val="none"/>
        </w:rPr>
        <w:t>解密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开评标均通过互联网操作，电子招标文件免费提供。</w:t>
      </w:r>
    </w:p>
    <w:p w14:paraId="450A113F">
      <w:pPr>
        <w:widowControl/>
        <w:numPr>
          <w:ilvl w:val="0"/>
          <w:numId w:val="1"/>
        </w:numPr>
        <w:tabs>
          <w:tab w:val="left" w:pos="3500"/>
        </w:tabs>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本项目招标信息在湖南省政府采购网(www.ccgp-hunan.gov.cn)和</w:t>
      </w:r>
      <w:r>
        <w:rPr>
          <w:rFonts w:hint="eastAsia" w:ascii="宋体" w:hAnsi="宋体" w:eastAsia="宋体" w:cs="宋体"/>
          <w:color w:val="auto"/>
          <w:sz w:val="24"/>
          <w:szCs w:val="24"/>
          <w:highlight w:val="none"/>
        </w:rPr>
        <w:t>郴州市公共资源交易中心(http://czggzy.czs.gov.cn/)上同时</w:t>
      </w:r>
      <w:r>
        <w:rPr>
          <w:rFonts w:hint="eastAsia" w:ascii="宋体" w:hAnsi="宋体" w:eastAsia="宋体" w:cs="宋体"/>
          <w:color w:val="auto"/>
          <w:kern w:val="0"/>
          <w:sz w:val="24"/>
          <w:szCs w:val="24"/>
          <w:highlight w:val="none"/>
        </w:rPr>
        <w:t>发布。</w:t>
      </w:r>
      <w:r>
        <w:rPr>
          <w:rFonts w:hint="eastAsia" w:ascii="宋体" w:hAnsi="宋体" w:eastAsia="宋体" w:cs="宋体"/>
          <w:color w:val="auto"/>
          <w:sz w:val="24"/>
          <w:szCs w:val="24"/>
          <w:highlight w:val="none"/>
        </w:rPr>
        <w:t>投标人应仔细阅读本招标文件第二章《投标须知》，并在“郴州市公共资源交易中心(http://czggzy.czs.gov.cn/) 办事指南--政府采购”进行学习，投标人使用电子投标遇到问题时，请及时向</w:t>
      </w:r>
      <w:r>
        <w:rPr>
          <w:rFonts w:hint="eastAsia" w:ascii="宋体" w:hAnsi="宋体" w:eastAsia="宋体" w:cs="宋体"/>
          <w:color w:val="auto"/>
          <w:sz w:val="24"/>
          <w:szCs w:val="24"/>
          <w:highlight w:val="none"/>
          <w:lang w:eastAsia="zh-CN"/>
        </w:rPr>
        <w:t>新点</w:t>
      </w:r>
      <w:r>
        <w:rPr>
          <w:rFonts w:hint="eastAsia" w:ascii="宋体" w:hAnsi="宋体" w:eastAsia="宋体" w:cs="宋体"/>
          <w:color w:val="auto"/>
          <w:sz w:val="24"/>
          <w:szCs w:val="24"/>
          <w:highlight w:val="none"/>
        </w:rPr>
        <w:t>软件公司咨询，联系方式：客服电话0735-2369157，4009980000。</w:t>
      </w:r>
    </w:p>
    <w:p w14:paraId="0A0993B6">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三、郴州市公共资源交易中心网上办事系统需使用数字证书登陆进行操作。投标人应按相关需要办理以下数字证书:（1）投标单位数字证书(含电子印章)。（2）</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数字证书（授权投标的还需办理授权代表数字证书）。数字证书(含电子印章)具体办理流程详见郴州市公共资源交易中心网站。</w:t>
      </w:r>
    </w:p>
    <w:p w14:paraId="08C512E7">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四、本项目采用“不见面开标”模式，是指将传统的开标场所移到互联网，采购人在不见面开标大厅组织线上开标，投标人通过互联网远程参加开标，并共同完成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解密、唱标、异议和答复、开标确认、交流互动等开标活动。</w:t>
      </w:r>
    </w:p>
    <w:p w14:paraId="26D63F69">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五、网上开标系统登录地址为：郴州市公共资源交易中心网上办事系统的“网上开标”模块（</w:t>
      </w:r>
      <w:r>
        <w:rPr>
          <w:rFonts w:hint="eastAsia" w:ascii="宋体" w:hAnsi="宋体" w:eastAsia="宋体" w:cs="宋体"/>
          <w:color w:val="auto"/>
          <w:sz w:val="24"/>
          <w:szCs w:val="24"/>
          <w:highlight w:val="none"/>
          <w:lang w:eastAsia="zh-CN"/>
        </w:rPr>
        <w:t>http://www.czggzyzx.cn/BidOpening</w:t>
      </w:r>
      <w:r>
        <w:rPr>
          <w:rFonts w:hint="eastAsia" w:ascii="宋体" w:hAnsi="宋体" w:eastAsia="宋体" w:cs="宋体"/>
          <w:color w:val="auto"/>
          <w:sz w:val="24"/>
          <w:szCs w:val="24"/>
          <w:highlight w:val="none"/>
        </w:rPr>
        <w:t>）。</w:t>
      </w:r>
    </w:p>
    <w:p w14:paraId="126DCE08">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六、投标人应在投标截止时间之前使用数字证书(CA)，自备具有上网卡和音视频功能的电脑自行登录网上不见面开标大厅（郴州市公共资源交易中心网上办事系统的“网上开标”模块（</w:t>
      </w:r>
      <w:r>
        <w:rPr>
          <w:rFonts w:hint="eastAsia" w:ascii="宋体" w:hAnsi="宋体" w:eastAsia="宋体" w:cs="宋体"/>
          <w:color w:val="auto"/>
          <w:sz w:val="24"/>
          <w:szCs w:val="24"/>
          <w:highlight w:val="none"/>
          <w:lang w:eastAsia="zh-CN"/>
        </w:rPr>
        <w:t>http://www.czggzyzx.cn/BidOpening</w:t>
      </w:r>
      <w:r>
        <w:rPr>
          <w:rFonts w:hint="eastAsia" w:ascii="宋体" w:hAnsi="宋体" w:eastAsia="宋体" w:cs="宋体"/>
          <w:color w:val="auto"/>
          <w:sz w:val="24"/>
          <w:szCs w:val="24"/>
          <w:highlight w:val="none"/>
        </w:rPr>
        <w:t>），在线等待开标，并在开标期间保持通讯畅通。开标期间，投标人在开标大厅与采购人进行相关操作、音视频及文字交互，各电脑终端上的所有操作、音视频及文字交互均被视为各交易主体的行为。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4EF4432E">
      <w:pPr>
        <w:spacing w:line="360" w:lineRule="auto"/>
        <w:ind w:firstLine="480" w:firstLineChars="200"/>
        <w:outlineLvl w:val="9"/>
        <w:rPr>
          <w:rFonts w:hint="eastAsia" w:ascii="宋体" w:hAnsi="宋体" w:eastAsia="宋体" w:cs="宋体"/>
          <w:color w:val="auto"/>
          <w:sz w:val="24"/>
          <w:szCs w:val="24"/>
          <w:highlight w:val="none"/>
        </w:rPr>
        <w:sectPr>
          <w:footerReference r:id="rId9"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color w:val="auto"/>
          <w:sz w:val="24"/>
          <w:szCs w:val="24"/>
          <w:highlight w:val="none"/>
        </w:rPr>
        <w:t>七、开评标全过程中，投标人参与远程交互的</w:t>
      </w:r>
      <w:r>
        <w:rPr>
          <w:rFonts w:hint="eastAsia" w:ascii="宋体" w:hAnsi="宋体" w:eastAsia="宋体" w:cs="宋体"/>
          <w:color w:val="auto"/>
          <w:sz w:val="24"/>
          <w:szCs w:val="24"/>
          <w:highlight w:val="none"/>
          <w:lang w:eastAsia="zh-CN"/>
        </w:rPr>
        <w:t>授权代表人</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应始终为同一个人，中途不得更换，在废标、澄清、提疑、传送文件等特殊情况下需要交互时，投标人一端参与交互的人员将均被视为是投标人的</w:t>
      </w:r>
      <w:r>
        <w:rPr>
          <w:rFonts w:hint="eastAsia" w:ascii="宋体" w:hAnsi="宋体" w:eastAsia="宋体" w:cs="宋体"/>
          <w:color w:val="auto"/>
          <w:sz w:val="24"/>
          <w:szCs w:val="24"/>
          <w:highlight w:val="none"/>
          <w:lang w:eastAsia="zh-CN"/>
        </w:rPr>
        <w:t>授权代表人</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，投标人不得以不承认交互人员的资格或身份等为借口抵赖推脱，投标人自行承担随意更换人员所导致的一切后果。</w:t>
      </w:r>
    </w:p>
    <w:p w14:paraId="26A30BF0">
      <w:pPr>
        <w:pStyle w:val="2"/>
        <w:ind w:left="1215"/>
        <w:jc w:val="center"/>
        <w:rPr>
          <w:rFonts w:hint="eastAsia" w:ascii="宋体" w:hAnsi="宋体" w:eastAsia="宋体" w:cs="宋体"/>
          <w:color w:val="auto"/>
          <w:highlight w:val="none"/>
        </w:rPr>
      </w:pPr>
      <w:bookmarkStart w:id="1" w:name="_Toc21624"/>
      <w:bookmarkStart w:id="2" w:name="_Toc21937"/>
      <w:r>
        <w:rPr>
          <w:rFonts w:hint="eastAsia" w:ascii="宋体" w:hAnsi="宋体" w:eastAsia="宋体" w:cs="宋体"/>
          <w:color w:val="auto"/>
          <w:sz w:val="32"/>
          <w:szCs w:val="32"/>
          <w:highlight w:val="none"/>
        </w:rPr>
        <w:t>第一章 投标邀请</w:t>
      </w:r>
      <w:bookmarkEnd w:id="0"/>
      <w:bookmarkEnd w:id="1"/>
      <w:bookmarkEnd w:id="2"/>
    </w:p>
    <w:p w14:paraId="4DEF54D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cs="宋体"/>
          <w:b/>
          <w:bCs/>
          <w:color w:val="auto"/>
          <w:sz w:val="24"/>
          <w:szCs w:val="24"/>
          <w:highlight w:val="none"/>
          <w:lang w:eastAsia="zh-CN"/>
        </w:rPr>
        <w:t>市委、市政府机关食堂服务团队采购</w:t>
      </w:r>
      <w:r>
        <w:rPr>
          <w:rFonts w:hint="eastAsia" w:ascii="宋体" w:hAnsi="宋体" w:eastAsia="宋体" w:cs="宋体"/>
          <w:b/>
          <w:bCs/>
          <w:color w:val="auto"/>
          <w:sz w:val="24"/>
          <w:szCs w:val="24"/>
          <w:highlight w:val="none"/>
        </w:rPr>
        <w:t>项目招标公告</w:t>
      </w:r>
    </w:p>
    <w:p w14:paraId="3983E25B">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郴州市机关事务管理局</w:t>
      </w:r>
      <w:r>
        <w:rPr>
          <w:rFonts w:hint="eastAsia" w:ascii="宋体" w:hAnsi="宋体" w:eastAsia="宋体" w:cs="宋体"/>
          <w:color w:val="auto"/>
          <w:sz w:val="21"/>
          <w:szCs w:val="21"/>
          <w:highlight w:val="none"/>
        </w:rPr>
        <w:t xml:space="preserve">（采购人名称）的 </w:t>
      </w:r>
      <w:r>
        <w:rPr>
          <w:rFonts w:hint="eastAsia" w:ascii="宋体" w:hAnsi="宋体" w:cs="宋体"/>
          <w:color w:val="auto"/>
          <w:sz w:val="21"/>
          <w:szCs w:val="21"/>
          <w:highlight w:val="none"/>
          <w:u w:val="single"/>
          <w:lang w:eastAsia="zh-CN"/>
        </w:rPr>
        <w:t>市委、市政府机关食堂服务团队采购项目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采购项目名称</w:t>
      </w:r>
      <w:r>
        <w:rPr>
          <w:rFonts w:hint="eastAsia" w:ascii="宋体" w:hAnsi="宋体" w:eastAsia="宋体" w:cs="宋体"/>
          <w:color w:val="auto"/>
          <w:sz w:val="21"/>
          <w:szCs w:val="21"/>
          <w:highlight w:val="none"/>
        </w:rPr>
        <w:t>)进行公开招标采购，现邀请合格投标人参加投标。</w:t>
      </w:r>
    </w:p>
    <w:p w14:paraId="179E3C5F">
      <w:pPr>
        <w:pStyle w:val="3"/>
        <w:bidi w:val="0"/>
        <w:rPr>
          <w:rFonts w:hint="eastAsia" w:ascii="宋体" w:hAnsi="宋体" w:eastAsia="宋体" w:cs="宋体"/>
          <w:color w:val="auto"/>
          <w:sz w:val="21"/>
          <w:szCs w:val="21"/>
          <w:highlight w:val="none"/>
          <w:lang w:eastAsia="zh-CN"/>
        </w:rPr>
      </w:pPr>
      <w:bookmarkStart w:id="3" w:name="_Toc27725"/>
      <w:bookmarkStart w:id="4" w:name="_Toc17179"/>
      <w:r>
        <w:rPr>
          <w:rFonts w:hint="eastAsia" w:ascii="宋体" w:hAnsi="宋体" w:eastAsia="宋体" w:cs="宋体"/>
          <w:color w:val="auto"/>
          <w:sz w:val="21"/>
          <w:szCs w:val="21"/>
          <w:highlight w:val="none"/>
        </w:rPr>
        <w:t>一、采购项目</w:t>
      </w:r>
      <w:r>
        <w:rPr>
          <w:rFonts w:hint="eastAsia" w:ascii="宋体" w:hAnsi="宋体" w:eastAsia="宋体" w:cs="宋体"/>
          <w:color w:val="auto"/>
          <w:sz w:val="21"/>
          <w:szCs w:val="21"/>
          <w:highlight w:val="none"/>
          <w:lang w:val="en-US" w:eastAsia="zh-CN"/>
        </w:rPr>
        <w:t>基本信息</w:t>
      </w:r>
      <w:bookmarkEnd w:id="3"/>
      <w:bookmarkEnd w:id="4"/>
    </w:p>
    <w:p w14:paraId="4903100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采购项目名称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市委、市政府机关食堂服务团队采购项目</w:t>
      </w:r>
    </w:p>
    <w:p w14:paraId="37D59F1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政府采购计划编号</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(2026)431000000062-1</w:t>
      </w:r>
      <w:r>
        <w:rPr>
          <w:rFonts w:hint="eastAsia" w:ascii="宋体" w:hAnsi="宋体" w:eastAsia="宋体" w:cs="宋体"/>
          <w:color w:val="auto"/>
          <w:sz w:val="21"/>
          <w:szCs w:val="21"/>
          <w:highlight w:val="none"/>
          <w:u w:val="single"/>
          <w:lang w:val="en-US" w:eastAsia="zh-CN"/>
        </w:rPr>
        <w:t xml:space="preserve"> </w:t>
      </w:r>
    </w:p>
    <w:p w14:paraId="5D0BB26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cs="宋体"/>
          <w:color w:val="auto"/>
          <w:sz w:val="21"/>
          <w:szCs w:val="21"/>
          <w:highlight w:val="none"/>
          <w:u w:val="singl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委托代理编号：</w:t>
      </w:r>
      <w:r>
        <w:rPr>
          <w:rFonts w:hint="eastAsia" w:ascii="宋体" w:hAnsi="宋体" w:cs="宋体"/>
          <w:color w:val="auto"/>
          <w:sz w:val="21"/>
          <w:szCs w:val="21"/>
          <w:highlight w:val="none"/>
          <w:u w:val="single"/>
          <w:lang w:val="en-US" w:eastAsia="zh-CN"/>
        </w:rPr>
        <w:t>0623-2651N3116031</w:t>
      </w:r>
    </w:p>
    <w:p w14:paraId="22BC071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、采购项目预算：</w:t>
      </w:r>
      <w:r>
        <w:rPr>
          <w:rFonts w:hint="eastAsia" w:ascii="宋体" w:hAnsi="宋体" w:eastAsia="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6540000.00</w:t>
      </w:r>
      <w:r>
        <w:rPr>
          <w:rFonts w:hint="eastAsia" w:ascii="宋体" w:hAnsi="宋体" w:eastAsia="宋体" w:cs="宋体"/>
          <w:color w:val="auto"/>
          <w:sz w:val="21"/>
          <w:szCs w:val="21"/>
          <w:highlight w:val="none"/>
          <w:u w:val="single"/>
          <w:lang w:val="en-US" w:eastAsia="zh-CN"/>
        </w:rPr>
        <w:t>元</w:t>
      </w:r>
    </w:p>
    <w:p w14:paraId="2A0DA3CD">
      <w:pPr>
        <w:keepNext w:val="0"/>
        <w:keepLines w:val="0"/>
        <w:pageBreakBefore w:val="0"/>
        <w:kinsoku/>
        <w:overflowPunct/>
        <w:bidi w:val="0"/>
        <w:adjustRightInd w:val="0"/>
        <w:snapToGrid w:val="0"/>
        <w:spacing w:line="50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支持预付款，预付比例：_</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rPr>
        <w:t>_</w:t>
      </w:r>
    </w:p>
    <w:p w14:paraId="3707F2E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、本项目对应的中小企业划分标准所属行业：</w:t>
      </w:r>
      <w:r>
        <w:rPr>
          <w:rFonts w:hint="eastAsia" w:ascii="宋体" w:hAnsi="宋体" w:cs="宋体"/>
          <w:color w:val="auto"/>
          <w:sz w:val="21"/>
          <w:szCs w:val="21"/>
          <w:highlight w:val="none"/>
          <w:u w:val="single"/>
          <w:lang w:val="en-US" w:eastAsia="zh-CN"/>
        </w:rPr>
        <w:t>餐饮业</w:t>
      </w:r>
      <w:r>
        <w:rPr>
          <w:rFonts w:hint="eastAsia" w:ascii="宋体" w:hAnsi="宋体" w:eastAsia="宋体" w:cs="宋体"/>
          <w:color w:val="auto"/>
          <w:sz w:val="21"/>
          <w:szCs w:val="21"/>
          <w:highlight w:val="none"/>
        </w:rPr>
        <w:t xml:space="preserve"> </w:t>
      </w:r>
    </w:p>
    <w:p w14:paraId="00CCFD2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综合评分法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最低评标价法</w:t>
      </w:r>
    </w:p>
    <w:p w14:paraId="7F0479C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固定总价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固定单价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成本补偿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p>
    <w:p w14:paraId="4ACE1C42">
      <w:pPr>
        <w:keepNext w:val="0"/>
        <w:keepLines w:val="0"/>
        <w:pageBreakBefore w:val="0"/>
        <w:kinsoku/>
        <w:overflowPunct/>
        <w:bidi w:val="0"/>
        <w:adjustRightInd w:val="0"/>
        <w:snapToGrid w:val="0"/>
        <w:spacing w:line="500" w:lineRule="exact"/>
        <w:ind w:firstLine="420" w:firstLineChars="200"/>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、服务时间：</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p>
    <w:p w14:paraId="4A91DBA3">
      <w:pPr>
        <w:keepNext w:val="0"/>
        <w:keepLines w:val="0"/>
        <w:pageBreakBefore w:val="0"/>
        <w:kinsoku/>
        <w:overflowPunct/>
        <w:bidi w:val="0"/>
        <w:adjustRightInd w:val="0"/>
        <w:snapToGrid w:val="0"/>
        <w:spacing w:line="500" w:lineRule="exact"/>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、根据《关于进一步优化政府采购领域营商环境的通知》郴财采资〔2024〕6号文件精神，</w:t>
      </w: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eastAsia="zh-CN"/>
        </w:rPr>
        <w:t>取消投标保证金及履约保证金。</w:t>
      </w:r>
    </w:p>
    <w:p w14:paraId="141FD303">
      <w:pPr>
        <w:pStyle w:val="3"/>
        <w:bidi w:val="0"/>
        <w:rPr>
          <w:rFonts w:hint="eastAsia" w:ascii="宋体" w:hAnsi="宋体" w:eastAsia="宋体" w:cs="宋体"/>
          <w:color w:val="auto"/>
          <w:sz w:val="21"/>
          <w:szCs w:val="21"/>
          <w:highlight w:val="none"/>
        </w:rPr>
      </w:pPr>
      <w:bookmarkStart w:id="5" w:name="_Toc11805"/>
      <w:bookmarkStart w:id="6" w:name="_Toc130"/>
      <w:r>
        <w:rPr>
          <w:rFonts w:hint="eastAsia" w:ascii="宋体" w:hAnsi="宋体" w:eastAsia="宋体" w:cs="宋体"/>
          <w:color w:val="auto"/>
          <w:sz w:val="21"/>
          <w:szCs w:val="21"/>
          <w:highlight w:val="none"/>
        </w:rPr>
        <w:t>二、采购人的采购需求（按包）</w:t>
      </w:r>
      <w:bookmarkEnd w:id="5"/>
      <w:bookmarkEnd w:id="6"/>
    </w:p>
    <w:tbl>
      <w:tblPr>
        <w:tblStyle w:val="44"/>
        <w:tblW w:w="961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701"/>
        <w:gridCol w:w="1701"/>
        <w:gridCol w:w="983"/>
        <w:gridCol w:w="510"/>
        <w:gridCol w:w="1268"/>
        <w:gridCol w:w="1329"/>
        <w:gridCol w:w="810"/>
        <w:gridCol w:w="762"/>
      </w:tblGrid>
      <w:tr w14:paraId="53022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4" w:hRule="atLeast"/>
          <w:jc w:val="center"/>
        </w:trPr>
        <w:tc>
          <w:tcPr>
            <w:tcW w:w="553" w:type="dxa"/>
            <w:noWrap w:val="0"/>
            <w:vAlign w:val="center"/>
          </w:tcPr>
          <w:p w14:paraId="4C8A4AAB">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 xml:space="preserve">包号 </w:t>
            </w:r>
          </w:p>
        </w:tc>
        <w:tc>
          <w:tcPr>
            <w:tcW w:w="1701" w:type="dxa"/>
            <w:noWrap w:val="0"/>
            <w:vAlign w:val="center"/>
          </w:tcPr>
          <w:p w14:paraId="39011602">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包名称</w:t>
            </w:r>
          </w:p>
        </w:tc>
        <w:tc>
          <w:tcPr>
            <w:tcW w:w="1701" w:type="dxa"/>
            <w:noWrap w:val="0"/>
            <w:vAlign w:val="center"/>
          </w:tcPr>
          <w:p w14:paraId="544F1DD8">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标的名称</w:t>
            </w:r>
          </w:p>
        </w:tc>
        <w:tc>
          <w:tcPr>
            <w:tcW w:w="983" w:type="dxa"/>
            <w:tcBorders>
              <w:left w:val="single" w:color="auto" w:sz="4" w:space="0"/>
            </w:tcBorders>
            <w:noWrap w:val="0"/>
            <w:vAlign w:val="center"/>
          </w:tcPr>
          <w:p w14:paraId="52B65123">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简要技术要求</w:t>
            </w:r>
          </w:p>
        </w:tc>
        <w:tc>
          <w:tcPr>
            <w:tcW w:w="510" w:type="dxa"/>
            <w:tcBorders>
              <w:left w:val="single" w:color="auto" w:sz="4" w:space="0"/>
            </w:tcBorders>
            <w:noWrap w:val="0"/>
            <w:vAlign w:val="center"/>
          </w:tcPr>
          <w:p w14:paraId="76126639">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数量</w:t>
            </w:r>
          </w:p>
        </w:tc>
        <w:tc>
          <w:tcPr>
            <w:tcW w:w="1268" w:type="dxa"/>
            <w:noWrap w:val="0"/>
            <w:vAlign w:val="center"/>
          </w:tcPr>
          <w:p w14:paraId="4360AD20">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标的预算</w:t>
            </w:r>
          </w:p>
        </w:tc>
        <w:tc>
          <w:tcPr>
            <w:tcW w:w="1329" w:type="dxa"/>
            <w:noWrap w:val="0"/>
            <w:vAlign w:val="center"/>
          </w:tcPr>
          <w:p w14:paraId="705D50B2">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最高限价</w:t>
            </w:r>
          </w:p>
        </w:tc>
        <w:tc>
          <w:tcPr>
            <w:tcW w:w="810" w:type="dxa"/>
            <w:noWrap w:val="0"/>
            <w:vAlign w:val="center"/>
          </w:tcPr>
          <w:p w14:paraId="3757B96A">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节能产品</w:t>
            </w:r>
          </w:p>
        </w:tc>
        <w:tc>
          <w:tcPr>
            <w:tcW w:w="762" w:type="dxa"/>
            <w:noWrap w:val="0"/>
            <w:vAlign w:val="center"/>
          </w:tcPr>
          <w:p w14:paraId="4C135638">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进口产品</w:t>
            </w:r>
          </w:p>
        </w:tc>
      </w:tr>
      <w:tr w14:paraId="0620B2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jc w:val="center"/>
        </w:trPr>
        <w:tc>
          <w:tcPr>
            <w:tcW w:w="553" w:type="dxa"/>
            <w:noWrap w:val="0"/>
            <w:vAlign w:val="center"/>
          </w:tcPr>
          <w:p w14:paraId="0F354A45">
            <w:pPr>
              <w:keepNext w:val="0"/>
              <w:keepLines w:val="0"/>
              <w:pageBreakBefore w:val="0"/>
              <w:widowControl/>
              <w:kinsoku/>
              <w:overflowPunct/>
              <w:bidi w:val="0"/>
              <w:adjustRightInd w:val="0"/>
              <w:snapToGrid w:val="0"/>
              <w:spacing w:line="500" w:lineRule="exact"/>
              <w:jc w:val="center"/>
              <w:textAlignment w:val="auto"/>
              <w:rPr>
                <w:rFonts w:hint="eastAsia" w:cs="宋体" w:asciiTheme="minorEastAsia" w:hAnsiTheme="minorEastAsia" w:eastAsiaTheme="minorEastAsia"/>
                <w:color w:val="auto"/>
                <w:kern w:val="0"/>
                <w:sz w:val="24"/>
                <w:highlight w:val="none"/>
                <w:lang w:val="en-US" w:eastAsia="zh-CN"/>
              </w:rPr>
            </w:pPr>
            <w:r>
              <w:rPr>
                <w:rFonts w:hint="eastAsia" w:cs="宋体" w:asciiTheme="minorEastAsia" w:hAnsiTheme="minorEastAsia" w:eastAsiaTheme="minorEastAsia"/>
                <w:color w:val="auto"/>
                <w:kern w:val="0"/>
                <w:sz w:val="24"/>
                <w:highlight w:val="none"/>
                <w:lang w:val="en-US" w:eastAsia="zh-CN"/>
              </w:rPr>
              <w:t>1</w:t>
            </w:r>
          </w:p>
        </w:tc>
        <w:tc>
          <w:tcPr>
            <w:tcW w:w="1701" w:type="dxa"/>
            <w:noWrap w:val="0"/>
            <w:vAlign w:val="center"/>
          </w:tcPr>
          <w:p w14:paraId="7C161FE9">
            <w:pPr>
              <w:adjustRightInd w:val="0"/>
              <w:snapToGrid w:val="0"/>
              <w:spacing w:before="156" w:beforeLines="50"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市委、市政府机关食堂服务团队采购项目</w:t>
            </w:r>
          </w:p>
        </w:tc>
        <w:tc>
          <w:tcPr>
            <w:tcW w:w="1701" w:type="dxa"/>
            <w:noWrap w:val="0"/>
            <w:vAlign w:val="center"/>
          </w:tcPr>
          <w:p w14:paraId="12ECCE9B">
            <w:pPr>
              <w:adjustRightInd w:val="0"/>
              <w:snapToGrid w:val="0"/>
              <w:spacing w:before="156" w:beforeLines="50" w:line="240" w:lineRule="auto"/>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市委、市政府机关食堂服务团队采购项目</w:t>
            </w:r>
          </w:p>
        </w:tc>
        <w:tc>
          <w:tcPr>
            <w:tcW w:w="983" w:type="dxa"/>
            <w:tcBorders>
              <w:left w:val="single" w:color="auto" w:sz="4" w:space="0"/>
            </w:tcBorders>
            <w:noWrap w:val="0"/>
            <w:vAlign w:val="center"/>
          </w:tcPr>
          <w:p w14:paraId="19273DFB">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详见采购需求</w:t>
            </w:r>
          </w:p>
        </w:tc>
        <w:tc>
          <w:tcPr>
            <w:tcW w:w="510" w:type="dxa"/>
            <w:tcBorders>
              <w:left w:val="single" w:color="auto" w:sz="4" w:space="0"/>
            </w:tcBorders>
            <w:noWrap w:val="0"/>
            <w:vAlign w:val="center"/>
          </w:tcPr>
          <w:p w14:paraId="25EA4DED">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268" w:type="dxa"/>
            <w:noWrap w:val="0"/>
            <w:vAlign w:val="center"/>
          </w:tcPr>
          <w:p w14:paraId="2FB48431">
            <w:pPr>
              <w:adjustRightInd w:val="0"/>
              <w:snapToGrid w:val="0"/>
              <w:spacing w:before="156" w:beforeLines="50" w:line="240" w:lineRule="auto"/>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eastAsia="zh-CN"/>
              </w:rPr>
              <w:t>6540000.00</w:t>
            </w:r>
          </w:p>
        </w:tc>
        <w:tc>
          <w:tcPr>
            <w:tcW w:w="1329" w:type="dxa"/>
            <w:noWrap w:val="0"/>
            <w:vAlign w:val="center"/>
          </w:tcPr>
          <w:p w14:paraId="10D19C42">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6540000.00</w:t>
            </w:r>
          </w:p>
        </w:tc>
        <w:tc>
          <w:tcPr>
            <w:tcW w:w="810" w:type="dxa"/>
            <w:noWrap w:val="0"/>
            <w:vAlign w:val="center"/>
          </w:tcPr>
          <w:p w14:paraId="0D1BB4A1">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762" w:type="dxa"/>
            <w:noWrap w:val="0"/>
            <w:vAlign w:val="center"/>
          </w:tcPr>
          <w:p w14:paraId="4A5DCE45">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lang w:val="en-US" w:eastAsia="zh-CN"/>
              </w:rPr>
            </w:pPr>
            <w:r>
              <w:rPr>
                <w:rFonts w:hint="eastAsia" w:cs="宋体" w:asciiTheme="minorEastAsia" w:hAnsiTheme="minorEastAsia" w:eastAsiaTheme="minorEastAsia"/>
                <w:color w:val="auto"/>
                <w:kern w:val="0"/>
                <w:sz w:val="24"/>
                <w:highlight w:val="none"/>
                <w:lang w:val="en-US" w:eastAsia="zh-CN"/>
              </w:rPr>
              <w:t>/</w:t>
            </w:r>
          </w:p>
        </w:tc>
      </w:tr>
    </w:tbl>
    <w:p w14:paraId="3F5E441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6E6AB3E8">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节能产品实行强制采购的，需提供国家认证机构出具的、处于有效期内的节能产品证书。</w:t>
      </w:r>
    </w:p>
    <w:p w14:paraId="2870CA6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同意购买进口产品的，不限制满足采购需求的国内产品参与投标。</w:t>
      </w:r>
    </w:p>
    <w:p w14:paraId="31B0A258">
      <w:pPr>
        <w:pStyle w:val="3"/>
        <w:bidi w:val="0"/>
        <w:rPr>
          <w:rFonts w:hint="eastAsia" w:ascii="宋体" w:hAnsi="宋体" w:eastAsia="宋体" w:cs="宋体"/>
          <w:color w:val="auto"/>
          <w:sz w:val="21"/>
          <w:szCs w:val="21"/>
          <w:highlight w:val="none"/>
        </w:rPr>
      </w:pPr>
      <w:bookmarkStart w:id="7" w:name="_Toc4710"/>
      <w:bookmarkStart w:id="8" w:name="_Toc1830"/>
      <w:r>
        <w:rPr>
          <w:rFonts w:hint="eastAsia" w:ascii="宋体" w:hAnsi="宋体" w:eastAsia="宋体" w:cs="宋体"/>
          <w:color w:val="auto"/>
          <w:sz w:val="21"/>
          <w:szCs w:val="21"/>
          <w:highlight w:val="none"/>
        </w:rPr>
        <w:t>三、采购项目需落实的政府采购政策：</w:t>
      </w:r>
      <w:bookmarkEnd w:id="7"/>
      <w:bookmarkEnd w:id="8"/>
    </w:p>
    <w:p w14:paraId="22F3653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优先采购：</w:t>
      </w:r>
      <w:r>
        <w:rPr>
          <w:rFonts w:hint="eastAsia" w:ascii="宋体" w:hAnsi="宋体" w:eastAsia="宋体" w:cs="宋体"/>
          <w:color w:val="auto"/>
          <w:szCs w:val="21"/>
          <w:highlight w:val="none"/>
        </w:rPr>
        <w:t>节能产品、</w:t>
      </w:r>
      <w:r>
        <w:rPr>
          <w:rFonts w:hint="eastAsia" w:ascii="宋体" w:hAnsi="宋体" w:eastAsia="宋体" w:cs="宋体"/>
          <w:color w:val="auto"/>
          <w:szCs w:val="21"/>
          <w:highlight w:val="none"/>
          <w:lang w:val="en-US" w:eastAsia="zh-CN"/>
        </w:rPr>
        <w:t>环境标志产品</w:t>
      </w:r>
      <w:r>
        <w:rPr>
          <w:rFonts w:hint="eastAsia" w:ascii="宋体" w:hAnsi="宋体" w:eastAsia="宋体" w:cs="宋体"/>
          <w:color w:val="auto"/>
          <w:szCs w:val="21"/>
          <w:highlight w:val="none"/>
        </w:rPr>
        <w:t>享受加分或价格折扣。</w:t>
      </w:r>
    </w:p>
    <w:p w14:paraId="100589E9">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支持中小企业：中小企业享受预留采购份额或价格折扣。</w:t>
      </w:r>
    </w:p>
    <w:p w14:paraId="337F865B">
      <w:pPr>
        <w:pStyle w:val="3"/>
        <w:bidi w:val="0"/>
        <w:rPr>
          <w:rFonts w:hint="eastAsia" w:ascii="宋体" w:hAnsi="宋体" w:eastAsia="宋体" w:cs="宋体"/>
          <w:color w:val="auto"/>
          <w:sz w:val="21"/>
          <w:szCs w:val="21"/>
          <w:highlight w:val="none"/>
        </w:rPr>
      </w:pPr>
      <w:bookmarkStart w:id="9" w:name="_Toc11302"/>
      <w:bookmarkStart w:id="10" w:name="_Toc20425"/>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、投标人的资格要求：</w:t>
      </w:r>
      <w:bookmarkEnd w:id="9"/>
      <w:bookmarkEnd w:id="10"/>
    </w:p>
    <w:p w14:paraId="35C018CC">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1、投标人的基本资格条件：投标人必须是在中华人民共和国境内注册登记的法人、其他组织或者自然人，且应当符合《政府采购法》第二十二条第一款的规定。</w:t>
      </w:r>
    </w:p>
    <w:p w14:paraId="5C7A2924">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7F2A973E">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专门面向</w:t>
      </w:r>
      <w:r>
        <w:rPr>
          <w:rFonts w:hint="eastAsia" w:ascii="宋体" w:hAnsi="宋体" w:eastAsia="宋体" w:cs="宋体"/>
          <w:bCs/>
          <w:color w:val="auto"/>
          <w:sz w:val="21"/>
          <w:szCs w:val="21"/>
          <w:highlight w:val="none"/>
          <w:lang w:eastAsia="zh-CN"/>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中</w:t>
      </w:r>
      <w:r>
        <w:rPr>
          <w:rFonts w:hint="eastAsia" w:ascii="宋体" w:hAnsi="宋体" w:eastAsia="宋体" w:cs="宋体"/>
          <w:iCs/>
          <w:color w:val="auto"/>
          <w:sz w:val="21"/>
          <w:szCs w:val="21"/>
          <w:highlight w:val="none"/>
          <w:lang w:val="en-US" w:eastAsia="zh-CN"/>
        </w:rPr>
        <w:t>小</w:t>
      </w:r>
      <w:r>
        <w:rPr>
          <w:rFonts w:hint="eastAsia" w:ascii="宋体" w:hAnsi="宋体" w:eastAsia="宋体" w:cs="宋体"/>
          <w:iCs/>
          <w:color w:val="auto"/>
          <w:sz w:val="21"/>
          <w:szCs w:val="21"/>
          <w:highlight w:val="none"/>
        </w:rPr>
        <w:t xml:space="preserve">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4F50E2CF">
      <w:pPr>
        <w:adjustRightInd w:val="0"/>
        <w:snapToGrid w:val="0"/>
        <w:spacing w:line="360" w:lineRule="auto"/>
        <w:ind w:firstLine="630" w:firstLineChars="300"/>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大型企业应将采购份额</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u w:val="single"/>
          <w:lang w:val="en-US" w:eastAsia="zh-CN"/>
        </w:rPr>
        <w:t xml:space="preserve">  / </w:t>
      </w:r>
      <w:r>
        <w:rPr>
          <w:rFonts w:hint="eastAsia" w:ascii="宋体" w:hAnsi="宋体" w:eastAsia="宋体" w:cs="宋体"/>
          <w:bCs/>
          <w:color w:val="auto"/>
          <w:sz w:val="21"/>
          <w:szCs w:val="21"/>
          <w:highlight w:val="none"/>
        </w:rPr>
        <w:t>%分包给中小企业。</w:t>
      </w:r>
    </w:p>
    <w:p w14:paraId="2D070A72">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3、采购项目的特定资格条件：</w:t>
      </w:r>
      <w:r>
        <w:rPr>
          <w:rFonts w:hint="eastAsia" w:ascii="宋体" w:hAnsi="宋体" w:cs="宋体"/>
          <w:color w:val="auto"/>
          <w:sz w:val="21"/>
          <w:szCs w:val="21"/>
          <w:highlight w:val="none"/>
          <w:u w:val="none"/>
          <w:lang w:val="en-US" w:eastAsia="zh-CN"/>
        </w:rPr>
        <w:t>无</w:t>
      </w:r>
      <w:r>
        <w:rPr>
          <w:rFonts w:hint="eastAsia" w:ascii="宋体" w:hAnsi="宋体" w:eastAsia="宋体" w:cs="宋体"/>
          <w:color w:val="auto"/>
          <w:sz w:val="21"/>
          <w:szCs w:val="21"/>
          <w:highlight w:val="none"/>
        </w:rPr>
        <w:t>。</w:t>
      </w:r>
    </w:p>
    <w:p w14:paraId="0FEFE3C8">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4、单位负责人为同一人或者存在直接控股、管理关系的不同投标人，不得参加同一合同项下的政府采购活动。</w:t>
      </w:r>
    </w:p>
    <w:p w14:paraId="38D95B2F">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5、为本采购项目提供整体设计、规范编制或者项目管理、监理、检测等服务的，不得再参加此项目的其他采购活动。</w:t>
      </w:r>
    </w:p>
    <w:p w14:paraId="469F3792">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lang w:val="en-US" w:eastAsia="zh-CN" w:bidi="ar"/>
        </w:rPr>
        <w:t>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187ACDC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7、联合体投标。本次招标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不接受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(接受或不接受)联合体投标。接受联合体投标的，联合体应当具备下列条件：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E716FAC">
      <w:pPr>
        <w:pStyle w:val="3"/>
        <w:bidi w:val="0"/>
        <w:rPr>
          <w:rFonts w:hint="eastAsia" w:ascii="宋体" w:hAnsi="宋体" w:eastAsia="宋体" w:cs="宋体"/>
          <w:color w:val="auto"/>
          <w:sz w:val="21"/>
          <w:szCs w:val="21"/>
          <w:highlight w:val="none"/>
        </w:rPr>
      </w:pPr>
      <w:bookmarkStart w:id="11" w:name="_Toc2647"/>
      <w:bookmarkStart w:id="12" w:name="_Toc19023"/>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、获取电子招标文件的时间、期限、方式</w:t>
      </w:r>
      <w:bookmarkEnd w:id="11"/>
      <w:bookmarkEnd w:id="12"/>
    </w:p>
    <w:p w14:paraId="2CF578E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凡符合投标资格要求并有意参加投标者，可在公告发布之日起至提交投标文件截止之日通过郴州市公共资源交易中心(http://czggzy.czs.gov.cn/)免费获取电子招标文件。</w:t>
      </w:r>
    </w:p>
    <w:p w14:paraId="1AF75B3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5A533D4D">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3、通过网络下载，其招标文件与备案的书面招标文件具有同等法律效力。投标人应及时关注网上相关招标信息，如有遗漏（包括但不限于文件未下载或下载不完整）</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概不负责，所造成的投标失败或损失由投标人自行负责。</w:t>
      </w:r>
    </w:p>
    <w:p w14:paraId="70CF4347">
      <w:pPr>
        <w:pStyle w:val="3"/>
        <w:bidi w:val="0"/>
        <w:rPr>
          <w:rFonts w:hint="eastAsia" w:ascii="宋体" w:hAnsi="宋体" w:eastAsia="宋体" w:cs="宋体"/>
          <w:color w:val="auto"/>
          <w:sz w:val="21"/>
          <w:szCs w:val="21"/>
          <w:highlight w:val="none"/>
        </w:rPr>
      </w:pPr>
      <w:bookmarkStart w:id="13" w:name="_Toc11832"/>
      <w:bookmarkStart w:id="14" w:name="_Toc24714"/>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、投标截止时间、开标时间、开标地点</w:t>
      </w:r>
      <w:bookmarkEnd w:id="13"/>
      <w:bookmarkEnd w:id="14"/>
    </w:p>
    <w:p w14:paraId="770CFA3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1、提交投标文件的截止时间：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8月21日9</w:t>
      </w:r>
      <w:r>
        <w:rPr>
          <w:rFonts w:hint="eastAsia" w:ascii="宋体" w:hAnsi="宋体" w:eastAsia="宋体" w:cs="宋体"/>
          <w:color w:val="auto"/>
          <w:sz w:val="21"/>
          <w:szCs w:val="21"/>
          <w:highlight w:val="none"/>
          <w:u w:val="single"/>
        </w:rPr>
        <w:t>时</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分（北京时间）</w:t>
      </w:r>
      <w:r>
        <w:rPr>
          <w:rFonts w:hint="eastAsia" w:ascii="宋体" w:hAnsi="宋体" w:eastAsia="宋体" w:cs="宋体"/>
          <w:color w:val="auto"/>
          <w:sz w:val="21"/>
          <w:szCs w:val="21"/>
          <w:highlight w:val="none"/>
        </w:rPr>
        <w:t>，超过截止时间的投标将被拒绝。</w:t>
      </w:r>
    </w:p>
    <w:p w14:paraId="265C20F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、开标时间：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8月21日9</w:t>
      </w:r>
      <w:r>
        <w:rPr>
          <w:rFonts w:hint="eastAsia" w:ascii="宋体" w:hAnsi="宋体" w:eastAsia="宋体" w:cs="宋体"/>
          <w:color w:val="auto"/>
          <w:sz w:val="21"/>
          <w:szCs w:val="21"/>
          <w:highlight w:val="none"/>
          <w:u w:val="single"/>
        </w:rPr>
        <w:t>时</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分（北京时间）</w:t>
      </w:r>
      <w:r>
        <w:rPr>
          <w:rFonts w:hint="eastAsia" w:ascii="宋体" w:hAnsi="宋体" w:cs="宋体"/>
          <w:color w:val="auto"/>
          <w:sz w:val="21"/>
          <w:szCs w:val="21"/>
          <w:highlight w:val="none"/>
          <w:lang w:eastAsia="zh-CN"/>
        </w:rPr>
        <w:t>。</w:t>
      </w:r>
    </w:p>
    <w:p w14:paraId="33F2D1B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、开标地点：</w:t>
      </w:r>
      <w:r>
        <w:rPr>
          <w:rFonts w:hint="eastAsia" w:ascii="宋体" w:hAnsi="宋体" w:eastAsia="宋体" w:cs="宋体"/>
          <w:color w:val="auto"/>
          <w:sz w:val="21"/>
          <w:szCs w:val="21"/>
          <w:highlight w:val="none"/>
          <w:u w:val="single"/>
        </w:rPr>
        <w:t>郴州市市民服务中心</w:t>
      </w:r>
      <w:r>
        <w:rPr>
          <w:rFonts w:hint="eastAsia" w:ascii="宋体" w:hAnsi="宋体" w:eastAsia="宋体" w:cs="宋体"/>
          <w:color w:val="auto"/>
          <w:sz w:val="21"/>
          <w:szCs w:val="21"/>
          <w:highlight w:val="none"/>
          <w:u w:val="single"/>
        </w:rPr>
        <w:t>4楼市公共资源交易中心第</w:t>
      </w:r>
      <w:r>
        <w:rPr>
          <w:rFonts w:hint="eastAsia" w:ascii="宋体"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开标室</w:t>
      </w:r>
      <w:r>
        <w:rPr>
          <w:rFonts w:hint="eastAsia" w:ascii="宋体" w:hAnsi="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 xml:space="preserve"> </w:t>
      </w:r>
    </w:p>
    <w:p w14:paraId="6FDF916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4、电子标项目实行网上投标及解密，具体操作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投标人在“郴州市公共资源交易中心”登录“政府采购交易系统”（</w:t>
      </w:r>
      <w:r>
        <w:rPr>
          <w:rFonts w:hint="eastAsia" w:ascii="宋体" w:hAnsi="宋体" w:eastAsia="宋体" w:cs="宋体"/>
          <w:color w:val="auto"/>
          <w:sz w:val="21"/>
          <w:szCs w:val="21"/>
          <w:highlight w:val="none"/>
          <w:lang w:eastAsia="zh-CN"/>
        </w:rPr>
        <w:t>http://www.czggzyzx.cn/TPBidder</w:t>
      </w:r>
      <w:r>
        <w:rPr>
          <w:rFonts w:hint="eastAsia" w:ascii="宋体" w:hAnsi="宋体" w:eastAsia="宋体" w:cs="宋体"/>
          <w:color w:val="auto"/>
          <w:sz w:val="21"/>
          <w:szCs w:val="21"/>
          <w:highlight w:val="none"/>
        </w:rPr>
        <w:t>），上传电子投标文件，登录“不见面开标大厅”（</w:t>
      </w:r>
      <w:r>
        <w:rPr>
          <w:rFonts w:hint="eastAsia" w:ascii="宋体" w:hAnsi="宋体" w:eastAsia="宋体" w:cs="宋体"/>
          <w:color w:val="auto"/>
          <w:sz w:val="21"/>
          <w:szCs w:val="21"/>
          <w:highlight w:val="none"/>
          <w:lang w:eastAsia="zh-CN"/>
        </w:rPr>
        <w:t>http://www.czggzyzx.cn/BidOpening</w:t>
      </w:r>
      <w:r>
        <w:rPr>
          <w:rFonts w:hint="eastAsia" w:ascii="宋体" w:hAnsi="宋体" w:eastAsia="宋体" w:cs="宋体"/>
          <w:color w:val="auto"/>
          <w:sz w:val="21"/>
          <w:szCs w:val="21"/>
          <w:highlight w:val="none"/>
        </w:rPr>
        <w:t>）在规定时间自行远程解密参加网上开标活动。建议投标人上传电子投标文件容量为200MB以内。</w:t>
      </w:r>
    </w:p>
    <w:p w14:paraId="3725A957">
      <w:pPr>
        <w:keepNext w:val="0"/>
        <w:keepLines w:val="0"/>
        <w:pageBreakBefore w:val="0"/>
        <w:kinsoku/>
        <w:wordWrap w:val="0"/>
        <w:overflowPunct/>
        <w:topLine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、电子投标文件解密时限：30分钟</w:t>
      </w:r>
      <w:r>
        <w:rPr>
          <w:rFonts w:hint="eastAsia" w:ascii="宋体" w:hAnsi="宋体" w:eastAsia="宋体" w:cs="宋体"/>
          <w:color w:val="auto"/>
          <w:sz w:val="21"/>
          <w:szCs w:val="21"/>
          <w:highlight w:val="none"/>
          <w:lang w:eastAsia="zh-CN"/>
        </w:rPr>
        <w:t>。</w:t>
      </w:r>
    </w:p>
    <w:p w14:paraId="547955E0">
      <w:pPr>
        <w:pStyle w:val="3"/>
        <w:bidi w:val="0"/>
        <w:rPr>
          <w:rFonts w:hint="eastAsia" w:ascii="宋体" w:hAnsi="宋体" w:eastAsia="宋体" w:cs="宋体"/>
          <w:color w:val="auto"/>
          <w:sz w:val="21"/>
          <w:szCs w:val="21"/>
          <w:highlight w:val="none"/>
        </w:rPr>
      </w:pPr>
      <w:bookmarkStart w:id="15" w:name="_Toc17186"/>
      <w:bookmarkStart w:id="16" w:name="_Toc1255"/>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、招标文件公告期限：</w:t>
      </w:r>
      <w:bookmarkEnd w:id="15"/>
      <w:bookmarkEnd w:id="16"/>
    </w:p>
    <w:p w14:paraId="62E1645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1、招标文件公告期限：</w:t>
      </w:r>
      <w:r>
        <w:rPr>
          <w:rFonts w:hint="eastAsia" w:ascii="宋体" w:hAnsi="宋体" w:cs="宋体"/>
          <w:color w:val="auto"/>
          <w:sz w:val="21"/>
          <w:szCs w:val="21"/>
          <w:highlight w:val="none"/>
          <w:u w:val="single"/>
          <w:lang w:val="en-US" w:eastAsia="zh-CN"/>
        </w:rPr>
        <w:t>2026年7月31日9时00分至2026年8月6日17时30</w:t>
      </w:r>
      <w:bookmarkStart w:id="253" w:name="_GoBack"/>
      <w:bookmarkEnd w:id="253"/>
      <w:r>
        <w:rPr>
          <w:rFonts w:hint="eastAsia" w:ascii="宋体" w:hAnsi="宋体" w:cs="宋体"/>
          <w:color w:val="auto"/>
          <w:sz w:val="21"/>
          <w:szCs w:val="21"/>
          <w:highlight w:val="none"/>
          <w:u w:val="single"/>
          <w:lang w:val="en-US" w:eastAsia="zh-CN"/>
        </w:rPr>
        <w:t>分止</w:t>
      </w:r>
      <w:r>
        <w:rPr>
          <w:rFonts w:hint="eastAsia" w:ascii="宋体" w:hAnsi="宋体" w:eastAsia="宋体" w:cs="宋体"/>
          <w:color w:val="auto"/>
          <w:sz w:val="21"/>
          <w:szCs w:val="21"/>
          <w:highlight w:val="none"/>
        </w:rPr>
        <w:t>（5个工作日）。</w:t>
      </w:r>
    </w:p>
    <w:p w14:paraId="572805E1">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bookmarkStart w:id="17" w:name="_Toc1323"/>
      <w:bookmarkStart w:id="18" w:name="_Toc17175"/>
      <w:r>
        <w:rPr>
          <w:rFonts w:hint="eastAsia" w:ascii="宋体" w:hAnsi="宋体" w:eastAsia="宋体" w:cs="宋体"/>
          <w:color w:val="auto"/>
          <w:sz w:val="21"/>
          <w:szCs w:val="21"/>
          <w:highlight w:val="none"/>
        </w:rPr>
        <w:t>2、本招标公告在中国湖南政府采购网（www.ccgp-hunan.gov.cn）、郴州市公共资源交易中心(http://czggzy.czs.gov.cn/)发布。在其他媒体发布的招标公告，公告内容以本招标公告指定媒体发布的公告为准；公告期限自本招标公告指定媒体最先发布公告之日起算。</w:t>
      </w:r>
    </w:p>
    <w:p w14:paraId="1E25FD28">
      <w:pPr>
        <w:pStyle w:val="3"/>
        <w:bidi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rPr>
        <w:t>、疑问及质疑</w:t>
      </w:r>
      <w:r>
        <w:rPr>
          <w:rFonts w:hint="eastAsia" w:ascii="宋体" w:hAnsi="宋体" w:eastAsia="宋体" w:cs="宋体"/>
          <w:color w:val="auto"/>
          <w:sz w:val="21"/>
          <w:szCs w:val="21"/>
          <w:highlight w:val="none"/>
        </w:rPr>
        <w:t>：</w:t>
      </w:r>
      <w:bookmarkEnd w:id="17"/>
      <w:bookmarkEnd w:id="18"/>
    </w:p>
    <w:p w14:paraId="2695095C">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1、投标人对政府采购活动事项如有疑问的，可以向采购人、采购代理机构提出询问。采购人、采购代理机构将在3个工作日内作出答复。</w:t>
      </w:r>
    </w:p>
    <w:p w14:paraId="6CF36FC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Times New Roman"/>
          <w:color w:val="auto"/>
          <w:sz w:val="21"/>
          <w:szCs w:val="21"/>
          <w:highlight w:val="none"/>
        </w:rPr>
        <w:t>潜在投标人认为招标文件或招标公告使自己的合法权益受到损害的，可以在获取招标文件之日或招标公告期限届满之日（</w:t>
      </w:r>
      <w:r>
        <w:rPr>
          <w:rFonts w:hint="eastAsia" w:ascii="宋体" w:hAnsi="宋体" w:eastAsia="宋体" w:cs="Times New Roman"/>
          <w:b/>
          <w:bCs/>
          <w:color w:val="auto"/>
          <w:sz w:val="21"/>
          <w:szCs w:val="21"/>
          <w:highlight w:val="none"/>
        </w:rPr>
        <w:t>公告期限届满后获取采购文件的，以公告期限届满之日为准</w:t>
      </w:r>
      <w:r>
        <w:rPr>
          <w:rFonts w:hint="eastAsia" w:ascii="宋体" w:hAnsi="宋体" w:eastAsia="宋体" w:cs="Times New Roman"/>
          <w:color w:val="auto"/>
          <w:sz w:val="21"/>
          <w:szCs w:val="21"/>
          <w:highlight w:val="none"/>
        </w:rPr>
        <w:t>）起7个工作日内，按《湖南省财政厅关于印发＜政府采购质疑答复和投诉处理操作规程＞的通知》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湘财购【2024】67号</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规定，以书面形式向采购人、采购代理机构提出质疑</w:t>
      </w:r>
    </w:p>
    <w:p w14:paraId="3EAC6846">
      <w:pPr>
        <w:pStyle w:val="3"/>
        <w:bidi w:val="0"/>
        <w:rPr>
          <w:rFonts w:hint="eastAsia" w:ascii="宋体" w:hAnsi="宋体" w:eastAsia="宋体" w:cs="宋体"/>
          <w:color w:val="auto"/>
          <w:sz w:val="21"/>
          <w:szCs w:val="21"/>
          <w:highlight w:val="none"/>
        </w:rPr>
      </w:pPr>
      <w:bookmarkStart w:id="19" w:name="_Toc13458"/>
      <w:bookmarkStart w:id="20" w:name="_Toc26172"/>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、对本次招标提出询问，请按以下方式联系</w:t>
      </w:r>
      <w:bookmarkEnd w:id="19"/>
      <w:bookmarkEnd w:id="20"/>
    </w:p>
    <w:p w14:paraId="61AE1E8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1、采购人信息</w:t>
      </w:r>
    </w:p>
    <w:p w14:paraId="0E0A2101">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（1）名  称：</w:t>
      </w:r>
      <w:r>
        <w:rPr>
          <w:rFonts w:hint="eastAsia" w:ascii="宋体" w:hAnsi="宋体" w:cs="宋体"/>
          <w:bCs/>
          <w:color w:val="auto"/>
          <w:sz w:val="21"/>
          <w:szCs w:val="21"/>
          <w:highlight w:val="none"/>
          <w:lang w:eastAsia="zh-CN"/>
        </w:rPr>
        <w:t>郴州市机关事务管理局</w:t>
      </w:r>
    </w:p>
    <w:p w14:paraId="37ED47F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（2）地  址：</w:t>
      </w:r>
      <w:r>
        <w:rPr>
          <w:rFonts w:hint="eastAsia" w:ascii="宋体" w:hAnsi="宋体" w:cs="宋体"/>
          <w:bCs/>
          <w:color w:val="auto"/>
          <w:sz w:val="21"/>
          <w:szCs w:val="21"/>
          <w:highlight w:val="none"/>
          <w:lang w:eastAsia="zh-CN"/>
        </w:rPr>
        <w:t>郴州市北湖区青年路2号</w:t>
      </w:r>
    </w:p>
    <w:p w14:paraId="2A6A9CD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（3）联系人：</w:t>
      </w:r>
      <w:r>
        <w:rPr>
          <w:rFonts w:hint="eastAsia" w:ascii="宋体" w:hAnsi="宋体" w:cs="宋体"/>
          <w:bCs/>
          <w:color w:val="auto"/>
          <w:sz w:val="21"/>
          <w:szCs w:val="21"/>
          <w:highlight w:val="none"/>
          <w:lang w:val="en-US" w:eastAsia="zh-CN"/>
        </w:rPr>
        <w:t>孔先生</w:t>
      </w:r>
    </w:p>
    <w:p w14:paraId="2636ED21">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（4）电  话：</w:t>
      </w:r>
      <w:r>
        <w:rPr>
          <w:rFonts w:hint="eastAsia" w:ascii="宋体" w:hAnsi="宋体" w:cs="宋体"/>
          <w:bCs/>
          <w:color w:val="auto"/>
          <w:sz w:val="21"/>
          <w:szCs w:val="21"/>
          <w:highlight w:val="none"/>
          <w:lang w:eastAsia="zh-CN"/>
        </w:rPr>
        <w:t xml:space="preserve">0735-2368188 </w:t>
      </w:r>
    </w:p>
    <w:p w14:paraId="44389D1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2、采购代理机构信息</w:t>
      </w:r>
    </w:p>
    <w:p w14:paraId="246C0EB1">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（1）名    称：</w:t>
      </w:r>
      <w:r>
        <w:rPr>
          <w:rFonts w:hint="eastAsia" w:ascii="宋体" w:hAnsi="宋体" w:cs="宋体"/>
          <w:bCs/>
          <w:color w:val="auto"/>
          <w:sz w:val="21"/>
          <w:szCs w:val="21"/>
          <w:highlight w:val="none"/>
          <w:lang w:eastAsia="zh-CN"/>
        </w:rPr>
        <w:t>湖南省招标有限责任公司</w:t>
      </w:r>
    </w:p>
    <w:p w14:paraId="1180215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（2）地    址：</w:t>
      </w:r>
      <w:r>
        <w:rPr>
          <w:rFonts w:hint="eastAsia" w:ascii="宋体" w:hAnsi="宋体" w:cs="宋体"/>
          <w:bCs/>
          <w:color w:val="auto"/>
          <w:sz w:val="21"/>
          <w:szCs w:val="21"/>
          <w:highlight w:val="none"/>
          <w:lang w:eastAsia="zh-CN"/>
        </w:rPr>
        <w:t>郴州市青年大道芳头小区2栋4楼</w:t>
      </w:r>
    </w:p>
    <w:p w14:paraId="65D5381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（3）联 系 人：文慧、肖慧娟、陈彬           </w:t>
      </w:r>
    </w:p>
    <w:p w14:paraId="0DC1C81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 xml:space="preserve">（4）电    话：0735-2883729 </w:t>
      </w:r>
    </w:p>
    <w:p w14:paraId="2A549E5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3、电子交易平台服务机构信息</w:t>
      </w:r>
    </w:p>
    <w:p w14:paraId="43FC1051">
      <w:pPr>
        <w:keepNext w:val="0"/>
        <w:keepLines w:val="0"/>
        <w:pageBreakBefore w:val="0"/>
        <w:kinsoku/>
        <w:overflowPunct/>
        <w:bidi w:val="0"/>
        <w:adjustRightInd w:val="0"/>
        <w:snapToGrid w:val="0"/>
        <w:spacing w:line="500" w:lineRule="exact"/>
        <w:ind w:firstLine="411" w:firstLineChars="196"/>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名  称：</w:t>
      </w:r>
      <w:r>
        <w:rPr>
          <w:rFonts w:hint="eastAsia" w:ascii="宋体" w:hAnsi="宋体" w:eastAsia="宋体" w:cs="宋体"/>
          <w:bCs/>
          <w:color w:val="auto"/>
          <w:sz w:val="21"/>
          <w:szCs w:val="21"/>
          <w:highlight w:val="none"/>
          <w:lang w:val="en-US" w:eastAsia="zh-CN"/>
        </w:rPr>
        <w:t>郴州市公共资源交易中心</w:t>
      </w:r>
    </w:p>
    <w:p w14:paraId="685F104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  址：</w:t>
      </w:r>
      <w:r>
        <w:rPr>
          <w:rFonts w:hint="eastAsia" w:ascii="宋体" w:hAnsi="宋体" w:eastAsia="宋体" w:cs="宋体"/>
          <w:color w:val="auto"/>
          <w:sz w:val="21"/>
          <w:szCs w:val="21"/>
          <w:highlight w:val="none"/>
          <w:u w:val="none"/>
        </w:rPr>
        <w:t>郴州市市民服务中心4楼市公共资源交易中心</w:t>
      </w:r>
    </w:p>
    <w:p w14:paraId="775BC247">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（3）联系人：</w:t>
      </w:r>
      <w:r>
        <w:rPr>
          <w:rFonts w:hint="eastAsia" w:ascii="宋体" w:hAnsi="宋体" w:eastAsia="宋体" w:cs="宋体"/>
          <w:color w:val="auto"/>
          <w:sz w:val="21"/>
          <w:szCs w:val="21"/>
          <w:highlight w:val="none"/>
          <w:lang w:val="en-US" w:eastAsia="zh-CN"/>
        </w:rPr>
        <w:t>政府采购科</w:t>
      </w:r>
    </w:p>
    <w:p w14:paraId="028D2BD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  话：</w:t>
      </w:r>
      <w:r>
        <w:rPr>
          <w:rFonts w:hint="eastAsia" w:ascii="宋体" w:hAnsi="宋体" w:eastAsia="宋体" w:cs="宋体"/>
          <w:color w:val="auto"/>
          <w:sz w:val="21"/>
          <w:szCs w:val="21"/>
          <w:highlight w:val="none"/>
          <w:lang w:val="en-US" w:eastAsia="zh-CN"/>
        </w:rPr>
        <w:t>0735-2299020</w:t>
      </w:r>
    </w:p>
    <w:p w14:paraId="402F3AA3">
      <w:pPr>
        <w:pStyle w:val="3"/>
        <w:bidi w:val="0"/>
        <w:rPr>
          <w:rFonts w:hint="eastAsia" w:ascii="宋体" w:hAnsi="宋体" w:eastAsia="宋体" w:cs="宋体"/>
          <w:color w:val="auto"/>
          <w:sz w:val="21"/>
          <w:szCs w:val="21"/>
          <w:highlight w:val="none"/>
        </w:rPr>
      </w:pPr>
      <w:bookmarkStart w:id="21" w:name="_Toc27917"/>
      <w:bookmarkStart w:id="22" w:name="_Toc13920"/>
      <w:r>
        <w:rPr>
          <w:rFonts w:hint="eastAsia" w:ascii="宋体" w:hAnsi="宋体" w:eastAsia="宋体" w:cs="宋体"/>
          <w:color w:val="auto"/>
          <w:sz w:val="21"/>
          <w:szCs w:val="21"/>
          <w:highlight w:val="none"/>
          <w:lang w:val="en-US" w:eastAsia="zh-CN"/>
        </w:rPr>
        <w:t>十</w:t>
      </w:r>
      <w:r>
        <w:rPr>
          <w:rFonts w:hint="eastAsia" w:ascii="宋体" w:hAnsi="宋体" w:eastAsia="宋体" w:cs="宋体"/>
          <w:color w:val="auto"/>
          <w:sz w:val="21"/>
          <w:szCs w:val="21"/>
          <w:highlight w:val="none"/>
        </w:rPr>
        <w:t>、其它补充事宜</w:t>
      </w:r>
      <w:bookmarkEnd w:id="21"/>
      <w:bookmarkEnd w:id="22"/>
    </w:p>
    <w:p w14:paraId="59B793A4">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1、本公告选项：</w:t>
      </w:r>
      <w:r>
        <w:rPr>
          <w:rFonts w:hint="eastAsia" w:ascii="宋体" w:hAnsi="宋体" w:eastAsia="宋体" w:cs="宋体"/>
          <w:color w:val="auto"/>
          <w:sz w:val="21"/>
          <w:szCs w:val="21"/>
          <w:highlight w:val="none"/>
          <w:lang w:val="en-US" w:eastAsia="zh-CN"/>
        </w:rPr>
        <w:sym w:font="Wingdings 2" w:char="0052"/>
      </w:r>
      <w:r>
        <w:rPr>
          <w:rFonts w:hint="eastAsia" w:ascii="宋体" w:hAnsi="宋体" w:eastAsia="宋体" w:cs="宋体"/>
          <w:color w:val="auto"/>
          <w:sz w:val="21"/>
          <w:szCs w:val="21"/>
          <w:highlight w:val="none"/>
          <w:lang w:val="en-US" w:eastAsia="zh-CN"/>
        </w:rPr>
        <w:t xml:space="preserve">表示选择  </w:t>
      </w:r>
      <w:r>
        <w:rPr>
          <w:rFonts w:hint="eastAsia" w:ascii="宋体" w:hAnsi="宋体" w:eastAsia="宋体" w:cs="宋体"/>
          <w:color w:val="auto"/>
          <w:sz w:val="21"/>
          <w:szCs w:val="21"/>
          <w:highlight w:val="none"/>
          <w:lang w:val="en-US" w:eastAsia="zh-CN"/>
        </w:rPr>
        <w:sym w:font="Wingdings 2" w:char="00A3"/>
      </w:r>
      <w:r>
        <w:rPr>
          <w:rFonts w:hint="eastAsia" w:ascii="宋体" w:hAnsi="宋体" w:eastAsia="宋体" w:cs="宋体"/>
          <w:color w:val="auto"/>
          <w:sz w:val="21"/>
          <w:szCs w:val="21"/>
          <w:highlight w:val="none"/>
          <w:lang w:val="en-US" w:eastAsia="zh-CN"/>
        </w:rPr>
        <w:t>表示不选择。</w:t>
      </w:r>
    </w:p>
    <w:p w14:paraId="437179B6">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2、投标人参与政府采购活动，无需向采购人、采购代理机构、交易平台缴纳任何费用。</w:t>
      </w:r>
    </w:p>
    <w:p w14:paraId="0177AEDA">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采购代理服务费</w:t>
      </w:r>
      <w:r>
        <w:rPr>
          <w:rFonts w:hint="eastAsia" w:ascii="宋体" w:hAnsi="宋体" w:eastAsia="宋体" w:cs="宋体"/>
          <w:color w:val="auto"/>
          <w:sz w:val="21"/>
          <w:szCs w:val="21"/>
          <w:highlight w:val="none"/>
        </w:rPr>
        <w:t>和专家评审费</w:t>
      </w:r>
      <w:r>
        <w:rPr>
          <w:rFonts w:hint="eastAsia" w:ascii="宋体" w:hAnsi="宋体" w:cs="宋体"/>
          <w:color w:val="auto"/>
          <w:sz w:val="21"/>
          <w:szCs w:val="21"/>
          <w:highlight w:val="none"/>
          <w:lang w:eastAsia="zh-CN"/>
        </w:rPr>
        <w:t>均</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u w:val="single"/>
        </w:rPr>
        <w:t>采购人</w:t>
      </w:r>
      <w:r>
        <w:rPr>
          <w:rFonts w:hint="eastAsia" w:ascii="宋体" w:hAnsi="宋体" w:eastAsia="宋体" w:cs="宋体"/>
          <w:color w:val="auto"/>
          <w:sz w:val="21"/>
          <w:szCs w:val="21"/>
          <w:highlight w:val="none"/>
        </w:rPr>
        <w:t>支付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其中</w:t>
      </w:r>
      <w:r>
        <w:rPr>
          <w:rFonts w:hint="eastAsia" w:ascii="宋体" w:hAnsi="宋体" w:cs="宋体"/>
          <w:color w:val="auto"/>
          <w:sz w:val="21"/>
          <w:szCs w:val="21"/>
          <w:highlight w:val="none"/>
          <w:lang w:eastAsia="zh-CN"/>
        </w:rPr>
        <w:t>采购代理服务费46800.00元</w:t>
      </w:r>
      <w:r>
        <w:rPr>
          <w:rFonts w:hint="eastAsia" w:ascii="宋体" w:hAnsi="宋体" w:eastAsia="宋体" w:cs="宋体"/>
          <w:color w:val="auto"/>
          <w:sz w:val="21"/>
          <w:szCs w:val="21"/>
          <w:highlight w:val="none"/>
        </w:rPr>
        <w:t>。</w:t>
      </w:r>
    </w:p>
    <w:p w14:paraId="19EE2EB4">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、请投标人在郴州市公共资源交易中心“下载中心”中及时下载安装最新版本“投标文件制作软件（湖南公共资源版）”、“湖南CA驱动”。参与投标的投标人需使用电子标书编制软件制作投标文件。</w:t>
      </w:r>
      <w:r>
        <w:rPr>
          <w:rFonts w:hint="eastAsia" w:ascii="宋体" w:hAnsi="宋体" w:eastAsia="宋体" w:cs="宋体"/>
          <w:color w:val="auto"/>
          <w:sz w:val="21"/>
          <w:szCs w:val="21"/>
          <w:highlight w:val="none"/>
          <w:lang w:val="en-US" w:eastAsia="zh-CN"/>
        </w:rPr>
        <w:t>操作手册下载地址：</w:t>
      </w:r>
      <w:r>
        <w:rPr>
          <w:rFonts w:hint="eastAsia" w:ascii="宋体" w:hAnsi="宋体" w:eastAsia="宋体" w:cs="宋体"/>
          <w:color w:val="auto"/>
          <w:sz w:val="21"/>
          <w:szCs w:val="21"/>
          <w:highlight w:val="none"/>
          <w:u w:val="single"/>
          <w:lang w:val="en-US" w:eastAsia="zh-CN"/>
        </w:rPr>
        <w:t>http://czggzy.czs.gov.cn/18375/18376/index.htm郴州市公共资源交易中心交易系统操作手册.zip</w:t>
      </w:r>
    </w:p>
    <w:p w14:paraId="46AFD5F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因电子招投标需要，投标人应及时办理CA数字证书（含电子签章）。移动CA数字证书（含电子签章）办理咨询电话：4009980000、0731-82817876，介质CA数字证书（含电子签章）办理地址：郴州市公共资源交易中心</w:t>
      </w:r>
      <w:r>
        <w:rPr>
          <w:rFonts w:hint="eastAsia" w:ascii="宋体" w:hAnsi="宋体" w:eastAsia="宋体" w:cs="宋体"/>
          <w:color w:val="auto"/>
          <w:sz w:val="21"/>
          <w:szCs w:val="21"/>
          <w:highlight w:val="none"/>
          <w:lang w:eastAsia="zh-CN"/>
        </w:rPr>
        <w:t>4楼</w:t>
      </w:r>
      <w:r>
        <w:rPr>
          <w:rFonts w:hint="eastAsia" w:ascii="宋体" w:hAnsi="宋体" w:eastAsia="宋体" w:cs="宋体"/>
          <w:color w:val="auto"/>
          <w:sz w:val="21"/>
          <w:szCs w:val="21"/>
          <w:highlight w:val="none"/>
        </w:rPr>
        <w:t>大厅，咨询电话：4006682666、18175580110。</w:t>
      </w:r>
    </w:p>
    <w:p w14:paraId="0344B1F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于投标人</w:t>
      </w:r>
      <w:r>
        <w:rPr>
          <w:rFonts w:hint="eastAsia" w:ascii="宋体" w:hAnsi="宋体" w:eastAsia="宋体" w:cs="宋体"/>
          <w:color w:val="auto"/>
          <w:sz w:val="21"/>
          <w:szCs w:val="21"/>
          <w:highlight w:val="none"/>
        </w:rPr>
        <w:t>对网上招投标操作不熟悉或自身电脑、个人网络等原因导致不能在投标截止时间之前完成投标文件上传的，相应责任由投标人自行承担。</w:t>
      </w:r>
      <w:r>
        <w:rPr>
          <w:rFonts w:hint="eastAsia" w:ascii="宋体" w:hAnsi="宋体" w:eastAsia="宋体" w:cs="宋体"/>
          <w:color w:val="auto"/>
          <w:sz w:val="21"/>
          <w:szCs w:val="21"/>
          <w:highlight w:val="none"/>
          <w:lang w:val="en-US" w:eastAsia="zh-CN"/>
        </w:rPr>
        <w:t>建议各投标人在工作时间段上传投标文件，选择IE11浏览器进行文件解密，在操作系统过程中有疑问或困难请及时进行咨询。</w:t>
      </w:r>
    </w:p>
    <w:p w14:paraId="5C3ED4D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、如果开标时出现网络故障、技术故障等情形而影响招投标活动，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将</w:t>
      </w:r>
      <w:r>
        <w:rPr>
          <w:rFonts w:hint="eastAsia" w:ascii="宋体" w:hAnsi="宋体" w:eastAsia="宋体" w:cs="宋体"/>
          <w:b/>
          <w:color w:val="auto"/>
          <w:sz w:val="21"/>
          <w:szCs w:val="21"/>
          <w:highlight w:val="none"/>
        </w:rPr>
        <w:t>采取项目延期、延长投标文件解密时间</w:t>
      </w:r>
      <w:r>
        <w:rPr>
          <w:rFonts w:hint="eastAsia" w:ascii="宋体" w:hAnsi="宋体" w:eastAsia="宋体" w:cs="宋体"/>
          <w:color w:val="auto"/>
          <w:sz w:val="21"/>
          <w:szCs w:val="21"/>
          <w:highlight w:val="none"/>
        </w:rPr>
        <w:t>等相应措施，以保障招投标活动的公开、公平和公正，投标人不得对此持有异议。</w:t>
      </w:r>
    </w:p>
    <w:p w14:paraId="2F50EB3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、交易平台技术支持联系方式</w:t>
      </w:r>
    </w:p>
    <w:p w14:paraId="024FE568">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联系电话：4009980000</w:t>
      </w:r>
    </w:p>
    <w:p w14:paraId="7326B26B">
      <w:pPr>
        <w:pStyle w:val="58"/>
        <w:rPr>
          <w:rFonts w:hint="eastAsia" w:ascii="宋体" w:hAnsi="宋体" w:eastAsia="宋体" w:cs="宋体"/>
          <w:color w:val="auto"/>
          <w:sz w:val="21"/>
          <w:szCs w:val="21"/>
          <w:highlight w:val="none"/>
        </w:rPr>
      </w:pPr>
    </w:p>
    <w:p w14:paraId="06CC9436">
      <w:pPr>
        <w:rPr>
          <w:rFonts w:hint="eastAsia" w:ascii="宋体" w:hAnsi="宋体" w:eastAsia="宋体" w:cs="宋体"/>
          <w:b/>
          <w:color w:val="auto"/>
          <w:sz w:val="32"/>
          <w:szCs w:val="32"/>
          <w:highlight w:val="none"/>
        </w:rPr>
      </w:pPr>
      <w:bookmarkStart w:id="23" w:name="_Toc11119"/>
      <w:bookmarkStart w:id="24" w:name="_Toc29913894"/>
      <w:bookmarkStart w:id="25" w:name="_Toc14843"/>
    </w:p>
    <w:p w14:paraId="2114F91C">
      <w:pPr>
        <w:rPr>
          <w:rFonts w:hint="eastAsia" w:ascii="宋体" w:hAnsi="宋体" w:eastAsia="宋体" w:cs="宋体"/>
          <w:b/>
          <w:color w:val="auto"/>
          <w:sz w:val="32"/>
          <w:szCs w:val="32"/>
          <w:highlight w:val="none"/>
        </w:rPr>
      </w:pPr>
    </w:p>
    <w:p w14:paraId="33D10849">
      <w:pPr>
        <w:pStyle w:val="23"/>
        <w:adjustRightInd w:val="0"/>
        <w:snapToGrid w:val="0"/>
        <w:spacing w:line="360" w:lineRule="auto"/>
        <w:jc w:val="center"/>
        <w:outlineLvl w:val="0"/>
        <w:rPr>
          <w:rFonts w:hint="eastAsia" w:ascii="宋体" w:hAnsi="宋体" w:eastAsia="宋体" w:cs="宋体"/>
          <w:b/>
          <w:color w:val="auto"/>
          <w:spacing w:val="100"/>
          <w:sz w:val="32"/>
          <w:szCs w:val="32"/>
          <w:highlight w:val="none"/>
        </w:rPr>
      </w:pPr>
      <w:r>
        <w:rPr>
          <w:rFonts w:hint="eastAsia" w:ascii="宋体" w:hAnsi="宋体" w:eastAsia="宋体" w:cs="宋体"/>
          <w:b/>
          <w:color w:val="auto"/>
          <w:sz w:val="32"/>
          <w:szCs w:val="32"/>
          <w:highlight w:val="none"/>
        </w:rPr>
        <w:t>第二章 投标须知</w:t>
      </w:r>
      <w:bookmarkEnd w:id="23"/>
      <w:bookmarkEnd w:id="24"/>
      <w:bookmarkEnd w:id="25"/>
    </w:p>
    <w:p w14:paraId="5C0A044C">
      <w:pPr>
        <w:pStyle w:val="3"/>
        <w:bidi w:val="0"/>
        <w:jc w:val="center"/>
        <w:rPr>
          <w:rFonts w:hint="eastAsia" w:ascii="宋体" w:hAnsi="宋体" w:eastAsia="宋体" w:cs="宋体"/>
          <w:color w:val="auto"/>
          <w:highlight w:val="none"/>
        </w:rPr>
      </w:pPr>
      <w:bookmarkStart w:id="26" w:name="_Toc29942"/>
      <w:bookmarkStart w:id="27" w:name="_Toc20671"/>
      <w:bookmarkStart w:id="28" w:name="_Toc30523"/>
      <w:bookmarkStart w:id="29" w:name="_Toc29913895"/>
      <w:r>
        <w:rPr>
          <w:rFonts w:hint="eastAsia" w:ascii="宋体" w:hAnsi="宋体" w:eastAsia="宋体" w:cs="宋体"/>
          <w:color w:val="auto"/>
          <w:highlight w:val="none"/>
        </w:rPr>
        <w:t>第一节 投标须知前附表</w:t>
      </w:r>
      <w:bookmarkEnd w:id="26"/>
      <w:bookmarkEnd w:id="27"/>
      <w:bookmarkEnd w:id="28"/>
      <w:bookmarkEnd w:id="29"/>
    </w:p>
    <w:tbl>
      <w:tblPr>
        <w:tblStyle w:val="44"/>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4"/>
        <w:gridCol w:w="2669"/>
        <w:gridCol w:w="19"/>
        <w:gridCol w:w="4659"/>
      </w:tblGrid>
      <w:tr w14:paraId="36843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6C485B0A">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693" w:type="dxa"/>
            <w:gridSpan w:val="2"/>
            <w:vAlign w:val="center"/>
          </w:tcPr>
          <w:p w14:paraId="7A6B9F40">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4678" w:type="dxa"/>
            <w:gridSpan w:val="2"/>
            <w:vAlign w:val="center"/>
          </w:tcPr>
          <w:p w14:paraId="6E634C7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78057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5"/>
            <w:vAlign w:val="center"/>
          </w:tcPr>
          <w:p w14:paraId="0A8B9C3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640458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A2FFBE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2693" w:type="dxa"/>
            <w:gridSpan w:val="2"/>
            <w:vAlign w:val="center"/>
          </w:tcPr>
          <w:p w14:paraId="7759484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4678" w:type="dxa"/>
            <w:gridSpan w:val="2"/>
            <w:vAlign w:val="center"/>
          </w:tcPr>
          <w:p w14:paraId="3A8939D0">
            <w:pPr>
              <w:adjustRightInd w:val="0"/>
              <w:snapToGrid w:val="0"/>
              <w:spacing w:line="420" w:lineRule="exact"/>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eastAsia="zh-CN"/>
              </w:rPr>
              <w:t>市委、市政府机关食堂服务团队采购项目</w:t>
            </w:r>
            <w:r>
              <w:rPr>
                <w:rFonts w:hint="eastAsia" w:ascii="宋体" w:hAnsi="宋体" w:eastAsia="宋体" w:cs="宋体"/>
                <w:color w:val="auto"/>
                <w:sz w:val="21"/>
                <w:szCs w:val="21"/>
                <w:highlight w:val="none"/>
                <w:u w:val="single"/>
              </w:rPr>
              <w:t xml:space="preserve"> </w:t>
            </w:r>
          </w:p>
        </w:tc>
      </w:tr>
      <w:tr w14:paraId="30350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484F0E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第1.2款</w:t>
            </w:r>
          </w:p>
        </w:tc>
        <w:tc>
          <w:tcPr>
            <w:tcW w:w="2693" w:type="dxa"/>
            <w:gridSpan w:val="2"/>
            <w:vAlign w:val="center"/>
          </w:tcPr>
          <w:p w14:paraId="5D53C93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专门面向中小企业采购</w:t>
            </w:r>
          </w:p>
        </w:tc>
        <w:tc>
          <w:tcPr>
            <w:tcW w:w="4678" w:type="dxa"/>
            <w:gridSpan w:val="2"/>
            <w:vAlign w:val="center"/>
          </w:tcPr>
          <w:p w14:paraId="0C3F102D">
            <w:pPr>
              <w:adjustRightInd w:val="0"/>
              <w:snapToGrid w:val="0"/>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是</w:t>
            </w:r>
          </w:p>
          <w:p w14:paraId="23A59DB4">
            <w:pPr>
              <w:adjustRightInd w:val="0"/>
              <w:snapToGrid w:val="0"/>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否</w:t>
            </w:r>
          </w:p>
        </w:tc>
      </w:tr>
      <w:tr w14:paraId="763DA1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03CE15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2693" w:type="dxa"/>
            <w:gridSpan w:val="2"/>
          </w:tcPr>
          <w:p w14:paraId="1CC77F2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采购项目联系人姓名和电话</w:t>
            </w:r>
          </w:p>
        </w:tc>
        <w:tc>
          <w:tcPr>
            <w:tcW w:w="4678" w:type="dxa"/>
            <w:gridSpan w:val="2"/>
            <w:vAlign w:val="center"/>
          </w:tcPr>
          <w:p w14:paraId="4E71162C">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2AE5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99FB8B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2693" w:type="dxa"/>
            <w:gridSpan w:val="2"/>
            <w:vAlign w:val="center"/>
          </w:tcPr>
          <w:p w14:paraId="7F60B282">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采购人名称、地址、电话、联系人</w:t>
            </w:r>
          </w:p>
        </w:tc>
        <w:tc>
          <w:tcPr>
            <w:tcW w:w="4678" w:type="dxa"/>
            <w:gridSpan w:val="2"/>
            <w:vAlign w:val="center"/>
          </w:tcPr>
          <w:p w14:paraId="39937FFF">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6D100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4F806A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w:t>
            </w:r>
            <w:r>
              <w:rPr>
                <w:rFonts w:hint="eastAsia" w:ascii="宋体" w:hAnsi="宋体" w:eastAsia="宋体" w:cs="宋体"/>
                <w:color w:val="auto"/>
                <w:kern w:val="0"/>
                <w:szCs w:val="21"/>
                <w:highlight w:val="none"/>
                <w:lang w:val="zh-CN"/>
              </w:rPr>
              <w:t>款</w:t>
            </w:r>
          </w:p>
        </w:tc>
        <w:tc>
          <w:tcPr>
            <w:tcW w:w="2693" w:type="dxa"/>
            <w:gridSpan w:val="2"/>
            <w:vAlign w:val="center"/>
          </w:tcPr>
          <w:p w14:paraId="2034B6B1">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采购代理机构名称、地址、电话、联系人</w:t>
            </w:r>
          </w:p>
        </w:tc>
        <w:tc>
          <w:tcPr>
            <w:tcW w:w="4678" w:type="dxa"/>
            <w:gridSpan w:val="2"/>
            <w:vAlign w:val="center"/>
          </w:tcPr>
          <w:p w14:paraId="7A41F853">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4BF19A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796FF6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第2.5</w:t>
            </w:r>
            <w:r>
              <w:rPr>
                <w:rFonts w:hint="eastAsia" w:ascii="宋体" w:hAnsi="宋体" w:eastAsia="宋体" w:cs="宋体"/>
                <w:color w:val="auto"/>
                <w:kern w:val="0"/>
                <w:szCs w:val="21"/>
                <w:highlight w:val="none"/>
                <w:lang w:val="zh-CN"/>
              </w:rPr>
              <w:t>款</w:t>
            </w:r>
          </w:p>
        </w:tc>
        <w:tc>
          <w:tcPr>
            <w:tcW w:w="2693" w:type="dxa"/>
            <w:gridSpan w:val="2"/>
            <w:vAlign w:val="center"/>
          </w:tcPr>
          <w:p w14:paraId="07F3B8E2">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采购进口产品</w:t>
            </w:r>
          </w:p>
        </w:tc>
        <w:tc>
          <w:tcPr>
            <w:tcW w:w="4678" w:type="dxa"/>
            <w:gridSpan w:val="2"/>
            <w:vAlign w:val="center"/>
          </w:tcPr>
          <w:p w14:paraId="6C61EF5D">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    本项目已经财政部门审核同意购买进口产品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24554F27">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拒绝   本项目拒绝进口产品参加投标</w:t>
            </w:r>
            <w:r>
              <w:rPr>
                <w:rFonts w:hint="eastAsia" w:ascii="宋体" w:hAnsi="宋体" w:eastAsia="宋体" w:cs="宋体"/>
                <w:color w:val="auto"/>
                <w:szCs w:val="21"/>
                <w:highlight w:val="none"/>
                <w:lang w:eastAsia="zh-CN"/>
              </w:rPr>
              <w:t>。</w:t>
            </w:r>
          </w:p>
        </w:tc>
      </w:tr>
      <w:tr w14:paraId="54D21E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20EDA9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2693" w:type="dxa"/>
            <w:gridSpan w:val="2"/>
            <w:vAlign w:val="center"/>
          </w:tcPr>
          <w:p w14:paraId="4629DA5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投标人资格条件</w:t>
            </w:r>
          </w:p>
        </w:tc>
        <w:tc>
          <w:tcPr>
            <w:tcW w:w="4678" w:type="dxa"/>
            <w:gridSpan w:val="2"/>
            <w:vAlign w:val="center"/>
          </w:tcPr>
          <w:p w14:paraId="551437CD">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13D34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987B1E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第3.2</w:t>
            </w:r>
            <w:r>
              <w:rPr>
                <w:rFonts w:hint="eastAsia" w:ascii="宋体" w:hAnsi="宋体" w:eastAsia="宋体" w:cs="宋体"/>
                <w:color w:val="auto"/>
                <w:kern w:val="0"/>
                <w:szCs w:val="21"/>
                <w:highlight w:val="none"/>
                <w:lang w:val="zh-CN"/>
              </w:rPr>
              <w:t>款</w:t>
            </w:r>
          </w:p>
        </w:tc>
        <w:tc>
          <w:tcPr>
            <w:tcW w:w="2693" w:type="dxa"/>
            <w:gridSpan w:val="2"/>
            <w:vAlign w:val="center"/>
          </w:tcPr>
          <w:p w14:paraId="055D6DA1">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接受联合体形式投标</w:t>
            </w:r>
          </w:p>
        </w:tc>
        <w:tc>
          <w:tcPr>
            <w:tcW w:w="4678" w:type="dxa"/>
            <w:gridSpan w:val="2"/>
            <w:vAlign w:val="center"/>
          </w:tcPr>
          <w:p w14:paraId="44789E8E">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w:t>
            </w:r>
          </w:p>
          <w:p w14:paraId="752B7AD7">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不接受</w:t>
            </w:r>
          </w:p>
        </w:tc>
      </w:tr>
      <w:tr w14:paraId="7215D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4E8DA2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w:t>
            </w:r>
            <w:r>
              <w:rPr>
                <w:rFonts w:hint="eastAsia" w:ascii="宋体" w:hAnsi="宋体" w:eastAsia="宋体" w:cs="宋体"/>
                <w:color w:val="auto"/>
                <w:kern w:val="0"/>
                <w:szCs w:val="21"/>
                <w:highlight w:val="none"/>
                <w:lang w:val="zh-CN"/>
              </w:rPr>
              <w:t>款</w:t>
            </w:r>
          </w:p>
        </w:tc>
        <w:tc>
          <w:tcPr>
            <w:tcW w:w="2693" w:type="dxa"/>
            <w:gridSpan w:val="2"/>
            <w:vAlign w:val="center"/>
          </w:tcPr>
          <w:p w14:paraId="26C422C5">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招标文件提供期限</w:t>
            </w:r>
          </w:p>
        </w:tc>
        <w:tc>
          <w:tcPr>
            <w:tcW w:w="4678" w:type="dxa"/>
            <w:gridSpan w:val="2"/>
            <w:vAlign w:val="center"/>
          </w:tcPr>
          <w:p w14:paraId="265AD2FB">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252BB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8FFB72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2693" w:type="dxa"/>
            <w:gridSpan w:val="2"/>
            <w:vAlign w:val="center"/>
          </w:tcPr>
          <w:p w14:paraId="3B2E5F3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4678" w:type="dxa"/>
            <w:gridSpan w:val="2"/>
            <w:vAlign w:val="center"/>
          </w:tcPr>
          <w:p w14:paraId="1FDD5A14">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不组织</w:t>
            </w:r>
            <w:r>
              <w:rPr>
                <w:rFonts w:hint="eastAsia" w:ascii="宋体" w:hAnsi="宋体" w:eastAsia="宋体" w:cs="宋体"/>
                <w:color w:val="auto"/>
                <w:szCs w:val="21"/>
                <w:highlight w:val="none"/>
                <w:lang w:eastAsia="zh-CN"/>
              </w:rPr>
              <w:t>。</w:t>
            </w:r>
          </w:p>
          <w:p w14:paraId="26F7D26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组织</w:t>
            </w:r>
          </w:p>
          <w:p w14:paraId="1C48DA9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时间：         </w:t>
            </w:r>
          </w:p>
          <w:p w14:paraId="0EB04D2A">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地点：         </w:t>
            </w:r>
          </w:p>
          <w:p w14:paraId="2D6EC008">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联系人：</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6778C3F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联系方式：</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34CD1CF5">
            <w:pPr>
              <w:adjustRightInd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说明事项：</w:t>
            </w:r>
            <w:r>
              <w:rPr>
                <w:rFonts w:hint="eastAsia" w:ascii="宋体" w:hAnsi="宋体" w:eastAsia="宋体" w:cs="宋体"/>
                <w:color w:val="auto"/>
                <w:szCs w:val="21"/>
                <w:highlight w:val="none"/>
                <w:u w:val="single"/>
                <w:lang w:val="en-US" w:eastAsia="zh-CN"/>
              </w:rPr>
              <w:t>/</w:t>
            </w:r>
          </w:p>
        </w:tc>
      </w:tr>
      <w:tr w14:paraId="3856A8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073F3D93">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4FFC89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6F9522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第7.4</w:t>
            </w:r>
            <w:r>
              <w:rPr>
                <w:rFonts w:hint="eastAsia" w:ascii="宋体" w:hAnsi="宋体" w:eastAsia="宋体" w:cs="宋体"/>
                <w:color w:val="auto"/>
                <w:kern w:val="0"/>
                <w:szCs w:val="21"/>
                <w:highlight w:val="none"/>
                <w:lang w:val="zh-CN"/>
              </w:rPr>
              <w:t>款</w:t>
            </w:r>
          </w:p>
        </w:tc>
        <w:tc>
          <w:tcPr>
            <w:tcW w:w="2693" w:type="dxa"/>
            <w:gridSpan w:val="2"/>
            <w:vAlign w:val="center"/>
          </w:tcPr>
          <w:p w14:paraId="388D1E2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非实质性偏离的范围和幅度</w:t>
            </w:r>
          </w:p>
        </w:tc>
        <w:tc>
          <w:tcPr>
            <w:tcW w:w="4678" w:type="dxa"/>
            <w:gridSpan w:val="2"/>
            <w:vAlign w:val="center"/>
          </w:tcPr>
          <w:p w14:paraId="0A2D0DEB">
            <w:pPr>
              <w:adjustRightInd w:val="0"/>
              <w:snapToGrid w:val="0"/>
              <w:spacing w:line="360" w:lineRule="auto"/>
              <w:ind w:left="105" w:hanging="105" w:hangingChars="50"/>
              <w:jc w:val="left"/>
              <w:rPr>
                <w:rFonts w:hint="eastAsia" w:ascii="宋体" w:hAnsi="宋体" w:eastAsia="宋体" w:cs="宋体"/>
                <w:color w:val="auto"/>
                <w:szCs w:val="21"/>
                <w:highlight w:val="none"/>
                <w:u w:val="single"/>
              </w:rPr>
            </w:pPr>
            <w:r>
              <w:rPr>
                <w:rFonts w:hint="eastAsia" w:ascii="宋体" w:hAnsi="宋体" w:eastAsia="宋体" w:cs="宋体"/>
                <w:b/>
                <w:bCs/>
                <w:color w:val="auto"/>
                <w:szCs w:val="21"/>
                <w:highlight w:val="none"/>
              </w:rPr>
              <w:t>招标文件第五章【采购需求】中条款偏离项数之和≥</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项将导致无效投标。</w:t>
            </w:r>
            <w:r>
              <w:rPr>
                <w:rFonts w:hint="eastAsia" w:ascii="宋体" w:hAnsi="宋体" w:eastAsia="宋体" w:cs="宋体"/>
                <w:b/>
                <w:bCs/>
                <w:color w:val="auto"/>
                <w:szCs w:val="21"/>
                <w:highlight w:val="none"/>
                <w:lang w:val="en-US" w:eastAsia="zh-CN"/>
              </w:rPr>
              <w:t>条款数（最高项数）的统计方法：采购需求</w:t>
            </w:r>
            <w:r>
              <w:rPr>
                <w:rFonts w:hint="eastAsia" w:ascii="宋体" w:hAnsi="宋体" w:eastAsia="宋体" w:cs="宋体"/>
                <w:b/>
                <w:bCs/>
                <w:color w:val="auto"/>
                <w:kern w:val="0"/>
                <w:sz w:val="20"/>
                <w:szCs w:val="20"/>
                <w:highlight w:val="none"/>
                <w:lang w:bidi="ar"/>
              </w:rPr>
              <w:t>中，凡编排有单独的中文序数或阿拉伯数字或英文字母序列号等字符的条款算一项商务或技术要求项数，相同内容的条款不重复计算项数。</w:t>
            </w:r>
          </w:p>
        </w:tc>
      </w:tr>
      <w:tr w14:paraId="394BF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28E037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第9.1</w:t>
            </w:r>
            <w:r>
              <w:rPr>
                <w:rFonts w:hint="eastAsia" w:ascii="宋体" w:hAnsi="宋体" w:eastAsia="宋体" w:cs="宋体"/>
                <w:color w:val="auto"/>
                <w:kern w:val="0"/>
                <w:szCs w:val="21"/>
                <w:highlight w:val="none"/>
                <w:lang w:val="zh-CN"/>
              </w:rPr>
              <w:t>款</w:t>
            </w:r>
          </w:p>
        </w:tc>
        <w:tc>
          <w:tcPr>
            <w:tcW w:w="2693" w:type="dxa"/>
            <w:gridSpan w:val="2"/>
            <w:vAlign w:val="center"/>
          </w:tcPr>
          <w:p w14:paraId="4D2F95B1">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招标公告指定媒体</w:t>
            </w:r>
          </w:p>
        </w:tc>
        <w:tc>
          <w:tcPr>
            <w:tcW w:w="4678" w:type="dxa"/>
            <w:gridSpan w:val="2"/>
            <w:vAlign w:val="center"/>
          </w:tcPr>
          <w:p w14:paraId="4A654F35">
            <w:pPr>
              <w:adjustRightInd w:val="0"/>
              <w:snapToGrid w:val="0"/>
              <w:spacing w:line="360" w:lineRule="auto"/>
              <w:ind w:left="105" w:hanging="105" w:hangingChars="5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u w:val="single"/>
              </w:rPr>
              <w:t>湖南省政府采购网(www.ccgp-hunan.gov.cn)和</w:t>
            </w:r>
            <w:r>
              <w:rPr>
                <w:rFonts w:hint="eastAsia" w:ascii="宋体" w:hAnsi="宋体" w:eastAsia="宋体" w:cs="宋体"/>
                <w:color w:val="auto"/>
                <w:sz w:val="21"/>
                <w:szCs w:val="21"/>
                <w:highlight w:val="none"/>
                <w:u w:val="single"/>
              </w:rPr>
              <w:t>郴州市公共资源交易中心(</w:t>
            </w:r>
            <w:r>
              <w:rPr>
                <w:rFonts w:hint="eastAsia" w:ascii="宋体" w:hAnsi="宋体" w:cs="宋体"/>
                <w:color w:val="auto"/>
                <w:sz w:val="21"/>
                <w:szCs w:val="21"/>
                <w:highlight w:val="none"/>
                <w:u w:val="single"/>
                <w:lang w:eastAsia="zh-CN"/>
              </w:rPr>
              <w:t>http://61.187.195.137:8000/TPBidder</w:t>
            </w:r>
            <w:r>
              <w:rPr>
                <w:rFonts w:hint="eastAsia" w:ascii="宋体" w:hAnsi="宋体" w:cs="宋体"/>
                <w:color w:val="auto"/>
                <w:sz w:val="21"/>
                <w:szCs w:val="21"/>
                <w:highlight w:val="none"/>
                <w:u w:val="single"/>
                <w:lang w:val="en-US" w:eastAsia="zh-CN"/>
              </w:rPr>
              <w:t>)</w:t>
            </w:r>
          </w:p>
        </w:tc>
      </w:tr>
      <w:tr w14:paraId="509D1E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5"/>
            <w:vAlign w:val="center"/>
          </w:tcPr>
          <w:p w14:paraId="2392C8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770B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A89139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第13.2</w:t>
            </w:r>
            <w:r>
              <w:rPr>
                <w:rFonts w:hint="eastAsia" w:ascii="宋体" w:hAnsi="宋体" w:eastAsia="宋体" w:cs="宋体"/>
                <w:color w:val="auto"/>
                <w:kern w:val="0"/>
                <w:szCs w:val="21"/>
                <w:highlight w:val="none"/>
                <w:lang w:val="zh-CN"/>
              </w:rPr>
              <w:t>款</w:t>
            </w:r>
          </w:p>
        </w:tc>
        <w:tc>
          <w:tcPr>
            <w:tcW w:w="2693" w:type="dxa"/>
            <w:gridSpan w:val="2"/>
            <w:vAlign w:val="center"/>
          </w:tcPr>
          <w:p w14:paraId="3AC04293">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采购预算、最高限价</w:t>
            </w:r>
          </w:p>
        </w:tc>
        <w:tc>
          <w:tcPr>
            <w:tcW w:w="4678" w:type="dxa"/>
            <w:gridSpan w:val="2"/>
            <w:vAlign w:val="center"/>
          </w:tcPr>
          <w:p w14:paraId="52D33D50">
            <w:pPr>
              <w:adjustRightInd w:val="0"/>
              <w:snapToGrid w:val="0"/>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详见第一章【投标邀请】</w:t>
            </w:r>
          </w:p>
        </w:tc>
      </w:tr>
      <w:tr w14:paraId="2C2F6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4F2A74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第13.8款</w:t>
            </w:r>
          </w:p>
        </w:tc>
        <w:tc>
          <w:tcPr>
            <w:tcW w:w="2693" w:type="dxa"/>
            <w:gridSpan w:val="2"/>
            <w:vAlign w:val="center"/>
          </w:tcPr>
          <w:p w14:paraId="6BC3F209">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投标报价的其他要求</w:t>
            </w:r>
          </w:p>
        </w:tc>
        <w:tc>
          <w:tcPr>
            <w:tcW w:w="4678" w:type="dxa"/>
            <w:gridSpan w:val="2"/>
            <w:vAlign w:val="center"/>
          </w:tcPr>
          <w:p w14:paraId="1DC76533">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eastAsia="zh-CN"/>
              </w:rPr>
              <w:t>投标报价不得超过采购项目预算或最高限价</w:t>
            </w:r>
            <w:r>
              <w:rPr>
                <w:rFonts w:hint="eastAsia" w:ascii="宋体" w:hAnsi="宋体" w:eastAsia="宋体" w:cs="宋体"/>
                <w:color w:val="auto"/>
                <w:kern w:val="0"/>
                <w:szCs w:val="21"/>
                <w:highlight w:val="none"/>
              </w:rPr>
              <w:t>。</w:t>
            </w:r>
          </w:p>
          <w:p w14:paraId="5C7E8AAE">
            <w:pPr>
              <w:numPr>
                <w:ilvl w:val="0"/>
                <w:numId w:val="2"/>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评标委员会认为投标人的报价明显低于其他通过符合性审查投标人的报价，有可能影响服务质量或者不能诚信履约的，可要求其在合理时间内采用数据电文形式，并根据要求进行电子签章，提供书面说明，</w:t>
            </w:r>
            <w:r>
              <w:rPr>
                <w:rFonts w:hint="eastAsia" w:ascii="宋体" w:hAnsi="宋体" w:cs="宋体"/>
                <w:color w:val="auto"/>
                <w:kern w:val="0"/>
                <w:szCs w:val="21"/>
                <w:highlight w:val="none"/>
                <w:lang w:val="en-US" w:eastAsia="zh-CN"/>
              </w:rPr>
              <w:t>书面说明应提供</w:t>
            </w:r>
            <w:r>
              <w:rPr>
                <w:rFonts w:hint="eastAsia" w:ascii="宋体" w:hAnsi="宋体" w:eastAsia="宋体" w:cs="宋体"/>
                <w:color w:val="auto"/>
                <w:kern w:val="0"/>
                <w:szCs w:val="21"/>
                <w:highlight w:val="none"/>
              </w:rPr>
              <w:t>相关证明材料；投标人不能证明其报价合理性的，评标委员会将其作为无效投标处理。</w:t>
            </w:r>
          </w:p>
          <w:p w14:paraId="5F26A06C">
            <w:pPr>
              <w:adjustRightInd w:val="0"/>
              <w:snapToGrid w:val="0"/>
              <w:spacing w:line="400" w:lineRule="exact"/>
              <w:jc w:val="left"/>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根据《关于推动解决政府采购异常低价问题的通知》（财库〔2026〕2号）政府采购评审中出现下列情形之一的，评审委员会应当启动异常低价投标（响应）审查程序： </w:t>
            </w:r>
          </w:p>
          <w:p w14:paraId="74E4FD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1.投标（响应）报价低于全部通过符合性审查供应商投标（响应）报价平均值50%的（不得超过65%），即投标（响应）报价＜全部通过符合性审查供应商投标（响应）报价平均值×50%；</w:t>
            </w:r>
          </w:p>
          <w:p w14:paraId="41E92A6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2.投标（响应）报价低于通过符合性审查的次低报价供应商投标（响应）报价50%的（不得超过65%），即投标（响应）报价＜通过符合性审查的次低报价供应商投标（响应）报价×50%；</w:t>
            </w:r>
          </w:p>
          <w:p w14:paraId="15A738B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3.投标（响应）报价低于采购项目最高限价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%的（不得超过65%），即投标（响应）报价＜采购项目最高限价×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w:t>
            </w:r>
          </w:p>
          <w:p w14:paraId="6ADF9EA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4.评审委员会基于专业判断，认为供应商报价过低，有可能影响产品质量或者不能诚信履约的其他情形。</w:t>
            </w:r>
          </w:p>
          <w:p w14:paraId="6105D75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相关法律法规对供应商报价有规定的，从其规定。</w:t>
            </w:r>
          </w:p>
          <w:p w14:paraId="07497E47">
            <w:pPr>
              <w:adjustRightInd w:val="0"/>
              <w:snapToGrid w:val="0"/>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highlight w:val="none"/>
                <w:lang w:val="en-US" w:eastAsia="zh-Hans"/>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254451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B84FF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2693" w:type="dxa"/>
            <w:gridSpan w:val="2"/>
            <w:vAlign w:val="center"/>
          </w:tcPr>
          <w:p w14:paraId="390DC133">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投标人应提供资格审查资料</w:t>
            </w:r>
          </w:p>
        </w:tc>
        <w:tc>
          <w:tcPr>
            <w:tcW w:w="4678" w:type="dxa"/>
            <w:gridSpan w:val="2"/>
            <w:vAlign w:val="center"/>
          </w:tcPr>
          <w:p w14:paraId="74B8CB70">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62453A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87A1FE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第14.1(3)项</w:t>
            </w:r>
          </w:p>
        </w:tc>
        <w:tc>
          <w:tcPr>
            <w:tcW w:w="2693" w:type="dxa"/>
            <w:gridSpan w:val="2"/>
            <w:vAlign w:val="center"/>
          </w:tcPr>
          <w:p w14:paraId="21C6EBAD">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特定资格条件应提供的资格审查资料</w:t>
            </w:r>
          </w:p>
        </w:tc>
        <w:tc>
          <w:tcPr>
            <w:tcW w:w="4678" w:type="dxa"/>
            <w:gridSpan w:val="2"/>
            <w:vAlign w:val="center"/>
          </w:tcPr>
          <w:p w14:paraId="162052F6">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524E2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3" w:hRule="atLeast"/>
        </w:trPr>
        <w:tc>
          <w:tcPr>
            <w:tcW w:w="1560" w:type="dxa"/>
            <w:vAlign w:val="center"/>
          </w:tcPr>
          <w:p w14:paraId="10BE8FE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第15.3款</w:t>
            </w:r>
          </w:p>
        </w:tc>
        <w:tc>
          <w:tcPr>
            <w:tcW w:w="2693" w:type="dxa"/>
            <w:gridSpan w:val="2"/>
            <w:vAlign w:val="center"/>
          </w:tcPr>
          <w:p w14:paraId="3065CD0E">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样品提供的规定</w:t>
            </w:r>
          </w:p>
        </w:tc>
        <w:tc>
          <w:tcPr>
            <w:tcW w:w="4678" w:type="dxa"/>
            <w:gridSpan w:val="2"/>
            <w:vAlign w:val="center"/>
          </w:tcPr>
          <w:p w14:paraId="4BDA01B7">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不要求提供</w:t>
            </w:r>
          </w:p>
          <w:p w14:paraId="45D1F704">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要求提供，提交的时间：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BB6FF78">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1、样品制作的标准和要求、是否需要随样品提交相关检测报告、样品的评审方法以及评审标准详见第三章及第四章。</w:t>
            </w:r>
          </w:p>
          <w:p w14:paraId="4C8BACB1">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2、中标人提供的样品保管、封存规定：</w:t>
            </w:r>
          </w:p>
          <w:p w14:paraId="43ED1603">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__</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____</w:t>
            </w:r>
          </w:p>
        </w:tc>
      </w:tr>
      <w:tr w14:paraId="69D698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44E9D1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第16.1</w:t>
            </w:r>
            <w:r>
              <w:rPr>
                <w:rFonts w:hint="eastAsia" w:ascii="宋体" w:hAnsi="宋体" w:eastAsia="宋体" w:cs="宋体"/>
                <w:color w:val="auto"/>
                <w:kern w:val="0"/>
                <w:szCs w:val="21"/>
                <w:highlight w:val="none"/>
                <w:lang w:val="zh-CN"/>
              </w:rPr>
              <w:t>款</w:t>
            </w:r>
          </w:p>
        </w:tc>
        <w:tc>
          <w:tcPr>
            <w:tcW w:w="2693" w:type="dxa"/>
            <w:gridSpan w:val="2"/>
            <w:vAlign w:val="center"/>
          </w:tcPr>
          <w:p w14:paraId="712628A9">
            <w:pPr>
              <w:adjustRightInd w:val="0"/>
              <w:snapToGrid w:val="0"/>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投标有效期</w:t>
            </w:r>
          </w:p>
        </w:tc>
        <w:tc>
          <w:tcPr>
            <w:tcW w:w="4678" w:type="dxa"/>
            <w:gridSpan w:val="2"/>
            <w:vAlign w:val="center"/>
          </w:tcPr>
          <w:p w14:paraId="386C0E13">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90 </w:t>
            </w:r>
            <w:r>
              <w:rPr>
                <w:rFonts w:hint="eastAsia" w:ascii="宋体" w:hAnsi="宋体" w:eastAsia="宋体" w:cs="宋体"/>
                <w:bCs/>
                <w:color w:val="auto"/>
                <w:szCs w:val="21"/>
                <w:highlight w:val="none"/>
              </w:rPr>
              <w:t>日（日历日）</w:t>
            </w:r>
            <w:r>
              <w:rPr>
                <w:rFonts w:hint="eastAsia" w:ascii="宋体" w:hAnsi="宋体" w:eastAsia="宋体" w:cs="宋体"/>
                <w:color w:val="auto"/>
                <w:highlight w:val="none"/>
              </w:rPr>
              <w:t>从</w:t>
            </w:r>
            <w:r>
              <w:rPr>
                <w:rFonts w:hint="eastAsia" w:ascii="宋体" w:hAnsi="宋体" w:eastAsia="宋体" w:cs="宋体"/>
                <w:color w:val="auto"/>
                <w:kern w:val="0"/>
                <w:szCs w:val="21"/>
                <w:highlight w:val="none"/>
              </w:rPr>
              <w:t>提交</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文件截止时间</w:t>
            </w:r>
            <w:r>
              <w:rPr>
                <w:rFonts w:hint="eastAsia" w:ascii="宋体" w:hAnsi="宋体" w:eastAsia="宋体" w:cs="宋体"/>
                <w:color w:val="auto"/>
                <w:highlight w:val="none"/>
              </w:rPr>
              <w:t>之日起计算</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如投标有效期不足的，在评标时将视为无效投标。</w:t>
            </w:r>
          </w:p>
        </w:tc>
      </w:tr>
      <w:tr w14:paraId="0E3E7A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402A8A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63C95BA8">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分包</w:t>
            </w:r>
          </w:p>
        </w:tc>
        <w:tc>
          <w:tcPr>
            <w:tcW w:w="4678" w:type="dxa"/>
            <w:gridSpan w:val="2"/>
            <w:vAlign w:val="center"/>
          </w:tcPr>
          <w:p w14:paraId="3C22BC0C">
            <w:pPr>
              <w:adjustRightInd w:val="0"/>
              <w:snapToGrid w:val="0"/>
              <w:spacing w:line="24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分包要求: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不接受</w:t>
            </w:r>
            <w:r>
              <w:rPr>
                <w:rFonts w:hint="eastAsia" w:ascii="宋体" w:hAnsi="宋体" w:eastAsia="宋体" w:cs="宋体"/>
                <w:bCs/>
                <w:color w:val="auto"/>
                <w:szCs w:val="21"/>
                <w:highlight w:val="none"/>
                <w:u w:val="single"/>
              </w:rPr>
              <w:t xml:space="preserve">  </w:t>
            </w:r>
          </w:p>
        </w:tc>
      </w:tr>
      <w:tr w14:paraId="6AE011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7A6D5967">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36424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E2AC18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39E554F3">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投标截止时间（开标时间）</w:t>
            </w:r>
          </w:p>
        </w:tc>
        <w:tc>
          <w:tcPr>
            <w:tcW w:w="4678" w:type="dxa"/>
            <w:gridSpan w:val="2"/>
            <w:vAlign w:val="center"/>
          </w:tcPr>
          <w:p w14:paraId="597E8394">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详见第一章【投标邀请】</w:t>
            </w:r>
          </w:p>
        </w:tc>
      </w:tr>
      <w:tr w14:paraId="34FDE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63E422A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764768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782714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款</w:t>
            </w:r>
          </w:p>
        </w:tc>
        <w:tc>
          <w:tcPr>
            <w:tcW w:w="2693" w:type="dxa"/>
            <w:gridSpan w:val="2"/>
            <w:vAlign w:val="center"/>
          </w:tcPr>
          <w:p w14:paraId="74936394">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解密电子投标文件时限及方式</w:t>
            </w:r>
          </w:p>
        </w:tc>
        <w:tc>
          <w:tcPr>
            <w:tcW w:w="4678" w:type="dxa"/>
            <w:gridSpan w:val="2"/>
            <w:vAlign w:val="center"/>
          </w:tcPr>
          <w:p w14:paraId="698035F6">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投标人使用加密投标文件的CA数字证书在投标截止时间起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5DC05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19FA902D">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482F0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0DFEF1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款</w:t>
            </w:r>
          </w:p>
        </w:tc>
        <w:tc>
          <w:tcPr>
            <w:tcW w:w="2693" w:type="dxa"/>
            <w:gridSpan w:val="2"/>
            <w:vAlign w:val="center"/>
          </w:tcPr>
          <w:p w14:paraId="0782B776">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4678" w:type="dxa"/>
            <w:gridSpan w:val="2"/>
            <w:vAlign w:val="center"/>
          </w:tcPr>
          <w:p w14:paraId="099C20D9">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r w14:paraId="3F41A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477CC2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kern w:val="0"/>
                <w:szCs w:val="21"/>
                <w:highlight w:val="none"/>
                <w:lang w:val="zh-CN"/>
              </w:rPr>
              <w:t>款</w:t>
            </w:r>
          </w:p>
        </w:tc>
        <w:tc>
          <w:tcPr>
            <w:tcW w:w="2693" w:type="dxa"/>
            <w:gridSpan w:val="2"/>
            <w:vAlign w:val="center"/>
          </w:tcPr>
          <w:p w14:paraId="0F52139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接收质疑函的联系部门、联系电话和通讯地址</w:t>
            </w:r>
          </w:p>
        </w:tc>
        <w:tc>
          <w:tcPr>
            <w:tcW w:w="4678" w:type="dxa"/>
            <w:gridSpan w:val="2"/>
            <w:vAlign w:val="center"/>
          </w:tcPr>
          <w:p w14:paraId="1FC3F6E5">
            <w:pPr>
              <w:adjustRightInd w:val="0"/>
              <w:snapToGrid w:val="0"/>
              <w:spacing w:line="42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详见第一章【投标邀请】</w:t>
            </w:r>
          </w:p>
        </w:tc>
      </w:tr>
      <w:tr w14:paraId="1ADDB7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78E69B20">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七、签订合同</w:t>
            </w:r>
          </w:p>
        </w:tc>
      </w:tr>
      <w:tr w14:paraId="7AB46C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84" w:type="dxa"/>
            <w:gridSpan w:val="2"/>
            <w:tcBorders>
              <w:right w:val="single" w:color="auto" w:sz="4" w:space="0"/>
            </w:tcBorders>
            <w:vAlign w:val="center"/>
          </w:tcPr>
          <w:p w14:paraId="50421F35">
            <w:pPr>
              <w:adjustRightInd w:val="0"/>
              <w:snapToGrid w:val="0"/>
              <w:spacing w:line="4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28.1款</w:t>
            </w:r>
          </w:p>
        </w:tc>
        <w:tc>
          <w:tcPr>
            <w:tcW w:w="2688" w:type="dxa"/>
            <w:gridSpan w:val="2"/>
            <w:tcBorders>
              <w:left w:val="single" w:color="auto" w:sz="4" w:space="0"/>
              <w:right w:val="single" w:color="auto" w:sz="4" w:space="0"/>
            </w:tcBorders>
            <w:vAlign w:val="center"/>
          </w:tcPr>
          <w:p w14:paraId="478B99B2">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合同签订、公示、备案</w:t>
            </w:r>
          </w:p>
        </w:tc>
        <w:tc>
          <w:tcPr>
            <w:tcW w:w="4659" w:type="dxa"/>
            <w:tcBorders>
              <w:left w:val="single" w:color="auto" w:sz="4" w:space="0"/>
            </w:tcBorders>
            <w:vAlign w:val="center"/>
          </w:tcPr>
          <w:p w14:paraId="036DAF8F">
            <w:pPr>
              <w:adjustRightInd w:val="0"/>
              <w:snapToGrid w:val="0"/>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eastAsia="zh-CN"/>
              </w:rPr>
              <w:t>根据</w:t>
            </w:r>
            <w:r>
              <w:rPr>
                <w:rFonts w:hint="eastAsia" w:ascii="宋体" w:hAnsi="宋体" w:eastAsia="宋体" w:cs="宋体"/>
                <w:color w:val="auto"/>
                <w:highlight w:val="none"/>
                <w:lang w:val="en-US" w:eastAsia="zh-CN"/>
              </w:rPr>
              <w:t>郴州市财政局郴财采资[2024]6号文件，鼓励采购人在中标通知书发出20日内，根据招标文件确定的事项签订政府采购合同。对于未在规定时间内签订合同，且无法说明合法理由的采购人、采购代理机构，依法进行处理并予以通报。采购人应当在合同签订后1个工作日内将政府采购合同在湖南省政府采购网公示、5个工作日完成备案，合同中涉及国家秘密、商业秘密的内容除外</w:t>
            </w:r>
            <w:r>
              <w:rPr>
                <w:rFonts w:hint="eastAsia" w:ascii="宋体" w:hAnsi="宋体" w:eastAsia="宋体" w:cs="宋体"/>
                <w:color w:val="auto"/>
                <w:highlight w:val="none"/>
              </w:rPr>
              <w:t>。</w:t>
            </w:r>
          </w:p>
        </w:tc>
      </w:tr>
      <w:tr w14:paraId="4C809B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44E20891">
            <w:pPr>
              <w:adjustRightInd w:val="0"/>
              <w:snapToGrid w:val="0"/>
              <w:spacing w:line="420" w:lineRule="exac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八、政府采购政策</w:t>
            </w:r>
          </w:p>
        </w:tc>
      </w:tr>
      <w:tr w14:paraId="2B927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restart"/>
            <w:vAlign w:val="center"/>
          </w:tcPr>
          <w:p w14:paraId="4FE277DB">
            <w:pPr>
              <w:adjustRightInd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30.6款</w:t>
            </w:r>
          </w:p>
        </w:tc>
        <w:tc>
          <w:tcPr>
            <w:tcW w:w="2693" w:type="dxa"/>
            <w:gridSpan w:val="2"/>
            <w:vMerge w:val="restart"/>
            <w:vAlign w:val="center"/>
          </w:tcPr>
          <w:p w14:paraId="2DA46E6A">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支持中小企业</w:t>
            </w:r>
          </w:p>
        </w:tc>
        <w:tc>
          <w:tcPr>
            <w:tcW w:w="4678" w:type="dxa"/>
            <w:gridSpan w:val="2"/>
            <w:vAlign w:val="center"/>
          </w:tcPr>
          <w:p w14:paraId="170C1375">
            <w:pPr>
              <w:spacing w:line="240" w:lineRule="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本项目所属行业</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rPr>
              <w:t>（十）餐饮业</w:t>
            </w:r>
          </w:p>
          <w:p w14:paraId="7E19C6A9">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(注：从以下选项中选择填写</w:t>
            </w:r>
            <w:r>
              <w:rPr>
                <w:rFonts w:hint="eastAsia" w:ascii="宋体" w:hAnsi="宋体" w:eastAsia="宋体" w:cs="宋体"/>
                <w:color w:val="auto"/>
                <w:sz w:val="21"/>
                <w:szCs w:val="21"/>
                <w:highlight w:val="none"/>
                <w:lang w:eastAsia="zh-CN"/>
              </w:rPr>
              <w:t>）</w:t>
            </w:r>
          </w:p>
          <w:p w14:paraId="7E08E38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（一）农、林、牧、渔业</w:t>
            </w:r>
          </w:p>
          <w:p w14:paraId="4AFBCEF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（二）工业</w:t>
            </w:r>
          </w:p>
          <w:p w14:paraId="2E6FE8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（三）建筑业</w:t>
            </w:r>
          </w:p>
          <w:p w14:paraId="4DC3506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（四）批发业</w:t>
            </w:r>
          </w:p>
          <w:p w14:paraId="7DEE13C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（五）零售业</w:t>
            </w:r>
          </w:p>
          <w:p w14:paraId="14015DA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（六）交通运输业</w:t>
            </w:r>
          </w:p>
          <w:p w14:paraId="31BE70B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（七）仓储业</w:t>
            </w:r>
          </w:p>
          <w:p w14:paraId="61828B9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（八）邮政业</w:t>
            </w:r>
          </w:p>
          <w:p w14:paraId="5CA56F9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（九）住宿业</w:t>
            </w:r>
          </w:p>
          <w:p w14:paraId="7B3DC23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（十）餐饮业</w:t>
            </w:r>
          </w:p>
          <w:p w14:paraId="27AC47C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（十一）信息传输业</w:t>
            </w:r>
          </w:p>
          <w:p w14:paraId="5413B7A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（十二）软件和信息技术服务业</w:t>
            </w:r>
          </w:p>
          <w:p w14:paraId="75744E3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（十三）房地产开发经营</w:t>
            </w:r>
          </w:p>
          <w:p w14:paraId="51D270A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（十四）物业管理</w:t>
            </w:r>
          </w:p>
          <w:p w14:paraId="3153C4F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（十五）租赁和商务服务业</w:t>
            </w:r>
          </w:p>
          <w:p w14:paraId="0FDBB054">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（十六）其他未列明行业</w:t>
            </w:r>
          </w:p>
        </w:tc>
      </w:tr>
      <w:tr w14:paraId="7F4C4D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continue"/>
            <w:vAlign w:val="center"/>
          </w:tcPr>
          <w:p w14:paraId="781073F6">
            <w:pPr>
              <w:adjustRightInd w:val="0"/>
              <w:snapToGrid w:val="0"/>
              <w:spacing w:line="360" w:lineRule="auto"/>
              <w:jc w:val="center"/>
              <w:rPr>
                <w:rFonts w:hint="eastAsia" w:ascii="宋体" w:hAnsi="宋体" w:eastAsia="宋体" w:cs="宋体"/>
                <w:color w:val="auto"/>
                <w:szCs w:val="21"/>
                <w:highlight w:val="none"/>
              </w:rPr>
            </w:pPr>
          </w:p>
        </w:tc>
        <w:tc>
          <w:tcPr>
            <w:tcW w:w="2693" w:type="dxa"/>
            <w:gridSpan w:val="2"/>
            <w:vMerge w:val="continue"/>
            <w:vAlign w:val="center"/>
          </w:tcPr>
          <w:p w14:paraId="0E2E9D47">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4678" w:type="dxa"/>
            <w:gridSpan w:val="2"/>
            <w:vAlign w:val="center"/>
          </w:tcPr>
          <w:p w14:paraId="2C390731">
            <w:pPr>
              <w:spacing w:line="24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本项目专门面向中小企业采购</w:t>
            </w:r>
            <w:r>
              <w:rPr>
                <w:rFonts w:hint="eastAsia" w:ascii="宋体" w:hAnsi="宋体" w:cs="宋体"/>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本项目专门面向中小微企业采购，</w:t>
            </w:r>
            <w:r>
              <w:rPr>
                <w:rFonts w:hint="eastAsia" w:ascii="宋体" w:hAnsi="宋体" w:cs="宋体"/>
                <w:b w:val="0"/>
                <w:color w:val="auto"/>
                <w:sz w:val="21"/>
                <w:szCs w:val="21"/>
                <w:highlight w:val="none"/>
                <w:lang w:val="en-US" w:eastAsia="zh-CN"/>
              </w:rPr>
              <w:t>投标人</w:t>
            </w:r>
            <w:r>
              <w:rPr>
                <w:rFonts w:hint="eastAsia" w:ascii="宋体" w:hAnsi="宋体" w:eastAsia="宋体" w:cs="宋体"/>
                <w:b w:val="0"/>
                <w:color w:val="auto"/>
                <w:sz w:val="21"/>
                <w:szCs w:val="21"/>
                <w:highlight w:val="none"/>
                <w:lang w:val="en-US" w:eastAsia="zh-CN"/>
              </w:rPr>
              <w:t>必须提供“湖南省政府采购供应商资格承诺函（格式）”，且企业规模必须为中型企业或小型企业或微型企业，不得是大型企业。</w:t>
            </w:r>
            <w:r>
              <w:rPr>
                <w:rFonts w:hint="eastAsia" w:ascii="宋体" w:hAnsi="宋体" w:cs="宋体"/>
                <w:b w:val="0"/>
                <w:color w:val="auto"/>
                <w:sz w:val="21"/>
                <w:szCs w:val="21"/>
                <w:highlight w:val="none"/>
                <w:lang w:val="en-US" w:eastAsia="zh-CN"/>
              </w:rPr>
              <w:t>投标人</w:t>
            </w:r>
            <w:r>
              <w:rPr>
                <w:rFonts w:hint="eastAsia" w:ascii="宋体" w:hAnsi="宋体" w:eastAsia="宋体" w:cs="宋体"/>
                <w:b w:val="0"/>
                <w:color w:val="auto"/>
                <w:sz w:val="21"/>
                <w:szCs w:val="21"/>
                <w:highlight w:val="none"/>
                <w:lang w:val="en-US" w:eastAsia="zh-CN"/>
              </w:rPr>
              <w:t>无需提供财务状况、缴纳税收和社会保障资金等资格证明材料。</w:t>
            </w:r>
          </w:p>
          <w:p w14:paraId="02ACF8BE">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（按湘财购</w:t>
            </w:r>
            <w:r>
              <w:rPr>
                <w:rFonts w:hint="eastAsia" w:ascii="宋体" w:hAnsi="宋体" w:eastAsia="宋体" w:cs="宋体"/>
                <w:color w:val="auto"/>
                <w:sz w:val="21"/>
                <w:szCs w:val="21"/>
                <w:highlight w:val="none"/>
                <w:lang w:val="en-US" w:eastAsia="zh-CN"/>
              </w:rPr>
              <w:t>[2022]17号文件规定，</w:t>
            </w:r>
            <w:r>
              <w:rPr>
                <w:rFonts w:hint="eastAsia" w:ascii="宋体" w:hAnsi="宋体" w:eastAsia="宋体" w:cs="宋体"/>
                <w:color w:val="auto"/>
                <w:kern w:val="0"/>
                <w:sz w:val="21"/>
                <w:szCs w:val="21"/>
                <w:highlight w:val="none"/>
                <w:lang w:val="en-US" w:eastAsia="zh-CN" w:bidi="ar"/>
              </w:rPr>
              <w:t>预算200万元以下的货物、服务项目和400万元以下的工程项目适宜由中小企业提供的，应面向中小企业采购</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tc>
      </w:tr>
      <w:tr w14:paraId="6DF15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continue"/>
            <w:vAlign w:val="center"/>
          </w:tcPr>
          <w:p w14:paraId="3EB55B35">
            <w:pPr>
              <w:adjustRightInd w:val="0"/>
              <w:snapToGrid w:val="0"/>
              <w:spacing w:line="360" w:lineRule="auto"/>
              <w:jc w:val="center"/>
              <w:rPr>
                <w:rFonts w:hint="eastAsia" w:ascii="宋体" w:hAnsi="宋体" w:eastAsia="宋体" w:cs="宋体"/>
                <w:color w:val="auto"/>
                <w:szCs w:val="21"/>
                <w:highlight w:val="none"/>
              </w:rPr>
            </w:pPr>
          </w:p>
        </w:tc>
        <w:tc>
          <w:tcPr>
            <w:tcW w:w="2693" w:type="dxa"/>
            <w:gridSpan w:val="2"/>
            <w:vMerge w:val="continue"/>
            <w:vAlign w:val="center"/>
          </w:tcPr>
          <w:p w14:paraId="03DED46E">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4678" w:type="dxa"/>
            <w:gridSpan w:val="2"/>
            <w:vAlign w:val="center"/>
          </w:tcPr>
          <w:p w14:paraId="45C565B1">
            <w:pPr>
              <w:spacing w:line="240" w:lineRule="auto"/>
              <w:rPr>
                <w:rFonts w:hint="eastAsia" w:ascii="宋体" w:hAnsi="宋体" w:eastAsia="宋体" w:cs="宋体"/>
                <w:color w:val="auto"/>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非专门面向中小企业采购</w:t>
            </w:r>
          </w:p>
        </w:tc>
      </w:tr>
      <w:tr w14:paraId="155C69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6B2F1BC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、其他规定</w:t>
            </w:r>
          </w:p>
        </w:tc>
      </w:tr>
      <w:tr w14:paraId="4A39ED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7132E0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2EFE8B5C">
            <w:pPr>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采购代理服务费</w:t>
            </w:r>
          </w:p>
        </w:tc>
        <w:tc>
          <w:tcPr>
            <w:tcW w:w="4678" w:type="dxa"/>
            <w:gridSpan w:val="2"/>
            <w:vAlign w:val="center"/>
          </w:tcPr>
          <w:p w14:paraId="09C8B99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□集中采购机构不收代理服务费。</w:t>
            </w:r>
          </w:p>
          <w:p w14:paraId="7155088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☑采购代理服务费由采购人支付</w:t>
            </w:r>
            <w:r>
              <w:rPr>
                <w:rFonts w:hint="eastAsia" w:ascii="宋体" w:hAnsi="宋体" w:eastAsia="宋体" w:cs="宋体"/>
                <w:color w:val="auto"/>
                <w:szCs w:val="21"/>
                <w:highlight w:val="none"/>
              </w:rPr>
              <w:t>。</w:t>
            </w:r>
          </w:p>
        </w:tc>
      </w:tr>
      <w:tr w14:paraId="5C6C9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F7B243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248E1BF3">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4678" w:type="dxa"/>
            <w:gridSpan w:val="2"/>
            <w:vAlign w:val="center"/>
          </w:tcPr>
          <w:p w14:paraId="71D42873">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投标人应在投标截止时间之前完成电子投标文件上传。若因投标人对网上招投标操作不熟悉或自身电脑、个人网络等原因导致不能在投标截止时间之前完成投标文件上传的，所造成的投标失败或损失由投标人自行承担。建议各投标人在工作时间段内上传投标文件，在操作系统过程中有疑问或困难请及时进行咨询。</w:t>
            </w:r>
          </w:p>
          <w:p w14:paraId="33913009">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投标人使用加密投标文件的CA数字证书在规定时间内完成投标文件解密。因投标人自身原因未在规定时间内完成解密或解密失败的，视为撤销投标文件，其责任由投标人自行承担，开标继续进行。若开标时出现网络故障、交易系统技术故障等情形，导致解密无法完成而影响采购活动开展的，采购人有权采取非加密文件上传、纸质标书评审方式或将项目延期、延长投标文件解密时间等相应措施，以保障采购活动的公开、公平和公正，投标人不得对此持有异议。</w:t>
            </w:r>
          </w:p>
          <w:p w14:paraId="76577B95">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（3）对列入失信被执行人、重大税收违法案件当 </w:t>
            </w:r>
          </w:p>
          <w:p w14:paraId="127B56ED">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事人名单、政府采购严重违法失信行为记录名单 </w:t>
            </w:r>
          </w:p>
          <w:p w14:paraId="61553984">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的供应商，应当拒绝其参与政府采购活动。两个 </w:t>
            </w:r>
          </w:p>
          <w:p w14:paraId="0D02EFB0">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以上的自然人、法人或者其他组织组成一个联合 </w:t>
            </w:r>
          </w:p>
          <w:p w14:paraId="71FFCC53">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体，以一个供应商的身份共同参加政府采购活动 </w:t>
            </w:r>
          </w:p>
          <w:p w14:paraId="3764655C">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的，应当对所有联合体成员进行信用记录查询， </w:t>
            </w:r>
          </w:p>
          <w:p w14:paraId="0A2A17DB">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联合体成员存在不良信用记录的，视同联合体存 </w:t>
            </w:r>
          </w:p>
          <w:p w14:paraId="7ABE0558">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在不良信用记录。 </w:t>
            </w:r>
          </w:p>
          <w:p w14:paraId="108EA213">
            <w:pPr>
              <w:numPr>
                <w:ilvl w:val="0"/>
                <w:numId w:val="3"/>
              </w:numPr>
              <w:adjustRightInd w:val="0"/>
              <w:snapToGrid w:val="0"/>
              <w:spacing w:line="360" w:lineRule="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中标人应在发放中标通知书前准备 1 式 4 份投标文件纸质版并外封面加盖单位公章交由采购代理机构用于存档。</w:t>
            </w:r>
          </w:p>
          <w:p w14:paraId="393354E8">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免责声明</w:t>
            </w:r>
            <w:r>
              <w:rPr>
                <w:rFonts w:hint="eastAsia"/>
                <w:color w:val="auto"/>
                <w:highlight w:val="none"/>
                <w:lang w:eastAsia="zh-CN"/>
              </w:rPr>
              <w:t>：</w:t>
            </w:r>
            <w:r>
              <w:rPr>
                <w:rFonts w:hint="eastAsia"/>
                <w:color w:val="auto"/>
                <w:highlight w:val="none"/>
              </w:rPr>
              <w:t xml:space="preserve"> </w:t>
            </w:r>
          </w:p>
          <w:p w14:paraId="5C85BF33">
            <w:pPr>
              <w:spacing w:line="360" w:lineRule="exact"/>
              <w:rPr>
                <w:rFonts w:hint="eastAsia"/>
                <w:color w:val="auto"/>
                <w:highlight w:val="none"/>
              </w:rPr>
            </w:pPr>
            <w:r>
              <w:rPr>
                <w:rFonts w:hint="eastAsia"/>
                <w:color w:val="auto"/>
                <w:highlight w:val="none"/>
                <w:lang w:val="en-US" w:eastAsia="zh-CN"/>
              </w:rPr>
              <w:t>5</w:t>
            </w:r>
            <w:r>
              <w:rPr>
                <w:rFonts w:hint="eastAsia"/>
                <w:color w:val="auto"/>
                <w:highlight w:val="none"/>
              </w:rPr>
              <w:t xml:space="preserve">.1 投标人自行承担投标过程中产生的费用。无论因何种因素导致招标项目延期开标、废标（流标）、投标人未中标、项目终止招标的，采购人与采购代理机构均不承担投标人的投标费用。 </w:t>
            </w:r>
          </w:p>
          <w:p w14:paraId="37A00BEF">
            <w:pPr>
              <w:spacing w:line="360" w:lineRule="exact"/>
              <w:rPr>
                <w:rFonts w:hint="eastAsia"/>
                <w:color w:val="auto"/>
                <w:highlight w:val="none"/>
              </w:rPr>
            </w:pPr>
            <w:r>
              <w:rPr>
                <w:rFonts w:hint="eastAsia"/>
                <w:color w:val="auto"/>
                <w:highlight w:val="none"/>
                <w:lang w:val="en-US" w:eastAsia="zh-CN"/>
              </w:rPr>
              <w:t>5</w:t>
            </w:r>
            <w:r>
              <w:rPr>
                <w:rFonts w:hint="eastAsia"/>
                <w:color w:val="auto"/>
                <w:highlight w:val="none"/>
              </w:rPr>
              <w:t>.2 投标人在投标、合同履行过程中必须做好安全保障工作，不因项目实施而危及自身及第三方人员、财产安全。若发生任何安全事故，由中标人自行承担一切责任并赔偿损失。</w:t>
            </w:r>
          </w:p>
          <w:p w14:paraId="166AB43D">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投标人参与政府采购应提供真实有效的证明材料，应当诚信守法、公平竞争。如有以提供虚假材料（包括但不限于虚假技术参数响应、虚假制造商产品彩页、虚假业绩、虚假证书等）、隐瞒失信信息等谋取中标的行为，一经发</w:t>
            </w:r>
            <w:r>
              <w:rPr>
                <w:rFonts w:hint="eastAsia"/>
                <w:color w:val="auto"/>
                <w:highlight w:val="none"/>
              </w:rPr>
              <w:t>现，将报行政监管部门严肃查处。</w:t>
            </w:r>
          </w:p>
        </w:tc>
      </w:tr>
    </w:tbl>
    <w:p w14:paraId="0FD9A284">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33E46D28">
      <w:pPr>
        <w:pStyle w:val="3"/>
        <w:adjustRightInd w:val="0"/>
        <w:snapToGrid w:val="0"/>
        <w:spacing w:before="156" w:beforeLines="50"/>
        <w:jc w:val="center"/>
        <w:rPr>
          <w:rFonts w:hint="eastAsia" w:ascii="宋体" w:hAnsi="宋体" w:eastAsia="宋体" w:cs="宋体"/>
          <w:color w:val="auto"/>
          <w:sz w:val="28"/>
          <w:szCs w:val="28"/>
          <w:highlight w:val="none"/>
        </w:rPr>
      </w:pPr>
      <w:bookmarkStart w:id="30" w:name="_Toc30999"/>
      <w:bookmarkStart w:id="31" w:name="_Toc29913896"/>
      <w:bookmarkStart w:id="32" w:name="_Toc12727"/>
      <w:bookmarkStart w:id="33" w:name="_Toc11081"/>
      <w:r>
        <w:rPr>
          <w:rFonts w:hint="eastAsia" w:ascii="宋体" w:hAnsi="宋体" w:eastAsia="宋体" w:cs="宋体"/>
          <w:color w:val="auto"/>
          <w:sz w:val="28"/>
          <w:szCs w:val="28"/>
          <w:highlight w:val="none"/>
        </w:rPr>
        <w:t>第二节 投标须知</w:t>
      </w:r>
      <w:bookmarkEnd w:id="30"/>
      <w:bookmarkEnd w:id="31"/>
      <w:bookmarkEnd w:id="32"/>
      <w:bookmarkEnd w:id="33"/>
    </w:p>
    <w:p w14:paraId="69F407E5">
      <w:pPr>
        <w:pStyle w:val="4"/>
        <w:adjustRightInd w:val="0"/>
        <w:snapToGrid w:val="0"/>
        <w:spacing w:before="156" w:beforeLines="50" w:after="0" w:line="360" w:lineRule="auto"/>
        <w:jc w:val="center"/>
        <w:rPr>
          <w:rFonts w:hint="eastAsia" w:ascii="宋体" w:hAnsi="宋体" w:eastAsia="宋体" w:cs="宋体"/>
          <w:b w:val="0"/>
          <w:color w:val="auto"/>
          <w:sz w:val="28"/>
          <w:szCs w:val="28"/>
          <w:highlight w:val="none"/>
        </w:rPr>
      </w:pPr>
      <w:bookmarkStart w:id="34" w:name="_Toc20792"/>
      <w:bookmarkStart w:id="35" w:name="_Toc1332"/>
      <w:bookmarkStart w:id="36" w:name="_Toc29913897"/>
      <w:bookmarkStart w:id="37" w:name="_Toc13834"/>
      <w:r>
        <w:rPr>
          <w:rFonts w:hint="eastAsia" w:ascii="宋体" w:hAnsi="宋体" w:eastAsia="宋体" w:cs="宋体"/>
          <w:color w:val="auto"/>
          <w:sz w:val="28"/>
          <w:szCs w:val="28"/>
          <w:highlight w:val="none"/>
        </w:rPr>
        <w:t>一、总则</w:t>
      </w:r>
      <w:bookmarkEnd w:id="34"/>
      <w:bookmarkEnd w:id="35"/>
      <w:bookmarkEnd w:id="36"/>
      <w:bookmarkEnd w:id="37"/>
    </w:p>
    <w:p w14:paraId="16850DF1">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3B86C8E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1.1本招标文件仅适用于本章第一节“投标须知前附表”（以下简称</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）中所叙述的采购项目。</w:t>
      </w:r>
    </w:p>
    <w:p w14:paraId="79735F8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规定采购项目专门面向中小企业采购的，如投标人为非中小企业，其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10D638BF">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5D59A91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2.1采购项目联系人姓名和电话见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44E88C0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2.2采购人名称、地址、电话、联系人见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1AFDFEF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2.3采购代理机构名称、地址、电话、联系人见</w:t>
      </w:r>
      <w:r>
        <w:rPr>
          <w:rFonts w:hint="eastAsia" w:ascii="宋体" w:hAnsi="宋体" w:eastAsia="宋体" w:cs="宋体"/>
          <w:b/>
          <w:color w:val="auto"/>
          <w:szCs w:val="21"/>
          <w:highlight w:val="none"/>
        </w:rPr>
        <w:t>【投标须知前附表】。</w:t>
      </w:r>
    </w:p>
    <w:p w14:paraId="62896E4D">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2.4投标人系指响应招标、参加投标竞争的法人、其他组织或自然人。</w:t>
      </w:r>
    </w:p>
    <w:p w14:paraId="594C05B0">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2.5</w:t>
      </w:r>
      <w:r>
        <w:rPr>
          <w:rFonts w:hint="eastAsia" w:ascii="宋体" w:hAnsi="宋体" w:eastAsia="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cs="宋体"/>
          <w:b/>
          <w:color w:val="auto"/>
          <w:szCs w:val="21"/>
          <w:highlight w:val="none"/>
        </w:rPr>
        <w:t>【投标须知前附表】</w:t>
      </w:r>
      <w:r>
        <w:rPr>
          <w:rFonts w:hint="eastAsia" w:ascii="宋体" w:hAnsi="宋体" w:eastAsia="宋体" w:cs="宋体"/>
          <w:color w:val="auto"/>
          <w:kern w:val="0"/>
          <w:szCs w:val="21"/>
          <w:highlight w:val="none"/>
        </w:rPr>
        <w:t>另有规定外，采购项目</w:t>
      </w:r>
      <w:r>
        <w:rPr>
          <w:rFonts w:hint="eastAsia" w:ascii="宋体" w:hAnsi="宋体" w:eastAsia="宋体" w:cs="宋体"/>
          <w:b/>
          <w:color w:val="auto"/>
          <w:kern w:val="0"/>
          <w:szCs w:val="21"/>
          <w:highlight w:val="none"/>
        </w:rPr>
        <w:t>拒绝进口产品参加投标</w:t>
      </w:r>
      <w:r>
        <w:rPr>
          <w:rFonts w:hint="eastAsia" w:ascii="宋体" w:hAnsi="宋体" w:eastAsia="宋体" w:cs="宋体"/>
          <w:color w:val="auto"/>
          <w:kern w:val="0"/>
          <w:szCs w:val="21"/>
          <w:highlight w:val="none"/>
        </w:rPr>
        <w:t>。本款规定同意购买进口产品的，不限制满足招标文件要求的国内产品参与投标竞争。</w:t>
      </w:r>
    </w:p>
    <w:p w14:paraId="6D16AB61">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2.6电子招标投标：是指电子招标投标参与各方（采购人、采购代理机构、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评标专家</w:t>
      </w:r>
      <w:r>
        <w:rPr>
          <w:rFonts w:hint="eastAsia" w:ascii="宋体" w:hAnsi="宋体" w:eastAsia="宋体" w:cs="宋体"/>
          <w:color w:val="auto"/>
          <w:kern w:val="0"/>
          <w:szCs w:val="21"/>
          <w:highlight w:val="none"/>
        </w:rPr>
        <w:t>）按照相关法律法规的规定，应用网络信息技术，使用CA数字证书（含电子签章、签名）在电子招标投标交易平台(以下简称交易平台)，进行的招标投标活动。</w:t>
      </w:r>
    </w:p>
    <w:p w14:paraId="54DDA8AA">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投标人的资格要求</w:t>
      </w:r>
    </w:p>
    <w:p w14:paraId="71917B4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3.1投标人应当符合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规定的投标人资格条件。</w:t>
      </w:r>
    </w:p>
    <w:p w14:paraId="5BDEA75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 xml:space="preserve">规定外，还应遵守以下规定： </w:t>
      </w:r>
    </w:p>
    <w:p w14:paraId="71E8551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（l）联合体中有同类资质的供应商按照联合体分工承担相同工作的，应当按照资质等级较低的供应商确定资质等级。</w:t>
      </w:r>
    </w:p>
    <w:p w14:paraId="27BD266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（2）联合体各方应按招标文件提供的格式签订联合体协议书，明确联合体牵头人和各方的权利义务、合同工作量比例；</w:t>
      </w:r>
    </w:p>
    <w:p w14:paraId="54722F69">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49F2432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4. 投标费用 </w:t>
      </w:r>
    </w:p>
    <w:p w14:paraId="7AE8674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4.1投标人应自行承担所有参与投标的相关费用，不论投标的结果如何，采购人、采购代理机构均无义务和责任承担这些费用。</w:t>
      </w:r>
    </w:p>
    <w:p w14:paraId="664A05C4">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5．组织现场考察或者召开答疑会</w:t>
      </w:r>
    </w:p>
    <w:p w14:paraId="4B16E5B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5.1采购人、采购代理机构可以在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规定的招标文件提供期限截止后，组织已获取招标文件的潜在投标人现场考察或者召开开标前答疑会。</w:t>
      </w:r>
    </w:p>
    <w:p w14:paraId="231063F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5.2获取招标文件的潜在投标人应按</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规定参加现场考察或者答疑会；如不参加，其风险由其自行承担。</w:t>
      </w:r>
    </w:p>
    <w:p w14:paraId="7ADF547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5.3潜在投标人现场考察或者参加答疑会的费用由自己承担，现场考察期间所发生的人身伤害及财产损失由自己负责。</w:t>
      </w:r>
    </w:p>
    <w:p w14:paraId="7236FBB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5.4采购人、采购代理机构不对投标人据此而做出的推论、理解和结论负责。投标人一旦中标，不得以任何借口，提出额外补偿，或延长合同期限的要求。</w:t>
      </w:r>
    </w:p>
    <w:p w14:paraId="0A3828DE">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38" w:name="_Toc6469"/>
      <w:bookmarkStart w:id="39" w:name="_Toc13566"/>
      <w:bookmarkStart w:id="40" w:name="_Toc29352"/>
      <w:bookmarkStart w:id="41" w:name="_Toc29913898"/>
      <w:r>
        <w:rPr>
          <w:rFonts w:hint="eastAsia" w:ascii="宋体" w:hAnsi="宋体" w:eastAsia="宋体" w:cs="宋体"/>
          <w:color w:val="auto"/>
          <w:sz w:val="28"/>
          <w:szCs w:val="28"/>
          <w:highlight w:val="none"/>
        </w:rPr>
        <w:t>二、招标文件</w:t>
      </w:r>
      <w:bookmarkEnd w:id="38"/>
      <w:bookmarkEnd w:id="39"/>
      <w:bookmarkEnd w:id="40"/>
      <w:bookmarkEnd w:id="41"/>
    </w:p>
    <w:p w14:paraId="1FC054A8">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招标文件的构成</w:t>
      </w:r>
    </w:p>
    <w:p w14:paraId="4B4B13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招标文件共七章，各章内容如下：</w:t>
      </w:r>
    </w:p>
    <w:p w14:paraId="770527C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投标邀请</w:t>
      </w:r>
    </w:p>
    <w:p w14:paraId="0B0A856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投标须知</w:t>
      </w:r>
    </w:p>
    <w:p w14:paraId="42015CF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资格审查</w:t>
      </w:r>
    </w:p>
    <w:p w14:paraId="0D98CBB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评标方法及标准</w:t>
      </w:r>
    </w:p>
    <w:p w14:paraId="073E943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采购需求</w:t>
      </w:r>
    </w:p>
    <w:p w14:paraId="3455C78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政府采购合同</w:t>
      </w:r>
    </w:p>
    <w:p w14:paraId="1DEDB6E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投标文件的组成</w:t>
      </w:r>
    </w:p>
    <w:p w14:paraId="1C553761">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6.2采购人、采购代理机构在提交投标文件截止时间前对招标文件所作的澄清或者修改，构成招标文件的组成部分。</w:t>
      </w:r>
    </w:p>
    <w:p w14:paraId="6F743AD7">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7．偏离与实质性响应</w:t>
      </w:r>
    </w:p>
    <w:p w14:paraId="60A076ED">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7.1投标人应当按照招标文件的要求编制投标文件。投标文件应当对招标文件提出的要求和条件作出明确响应。</w:t>
      </w:r>
    </w:p>
    <w:p w14:paraId="4EF564FD">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7.2偏离是指投标文件不响应或者不满足招标文件提出的要求和条件，分为实质性偏离和非实质性偏离。</w:t>
      </w:r>
    </w:p>
    <w:p w14:paraId="112C7D2E">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cs="宋体"/>
          <w:b/>
          <w:color w:val="auto"/>
          <w:highlight w:val="none"/>
        </w:rPr>
        <w:t>其投标无效</w:t>
      </w:r>
      <w:r>
        <w:rPr>
          <w:rFonts w:hint="eastAsia" w:ascii="宋体" w:hAnsi="宋体" w:eastAsia="宋体" w:cs="宋体"/>
          <w:color w:val="auto"/>
          <w:highlight w:val="none"/>
        </w:rPr>
        <w:t>。</w:t>
      </w:r>
    </w:p>
    <w:p w14:paraId="23006323">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7.4投标</w:t>
      </w:r>
      <w:r>
        <w:rPr>
          <w:rFonts w:hint="eastAsia" w:ascii="宋体" w:hAnsi="宋体" w:eastAsia="宋体" w:cs="宋体"/>
          <w:color w:val="auto"/>
          <w:szCs w:val="21"/>
          <w:highlight w:val="none"/>
        </w:rPr>
        <w:t>文件偏离招标文件的非实质性要求和条件，为非实质性偏离。非实质性偏离的范围和幅度应当符合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w:t>
      </w:r>
      <w:r>
        <w:rPr>
          <w:rFonts w:hint="eastAsia" w:ascii="宋体" w:hAnsi="宋体" w:eastAsia="宋体" w:cs="宋体"/>
          <w:b/>
          <w:color w:val="auto"/>
          <w:szCs w:val="21"/>
          <w:highlight w:val="none"/>
        </w:rPr>
        <w:t>否</w:t>
      </w:r>
      <w:r>
        <w:rPr>
          <w:rFonts w:hint="eastAsia" w:ascii="宋体" w:hAnsi="宋体" w:eastAsia="宋体" w:cs="宋体"/>
          <w:b/>
          <w:color w:val="auto"/>
          <w:highlight w:val="none"/>
        </w:rPr>
        <w:t>则投标无效</w:t>
      </w:r>
      <w:r>
        <w:rPr>
          <w:rFonts w:hint="eastAsia" w:ascii="宋体" w:hAnsi="宋体" w:eastAsia="宋体" w:cs="宋体"/>
          <w:color w:val="auto"/>
          <w:highlight w:val="none"/>
        </w:rPr>
        <w:t>。</w:t>
      </w:r>
    </w:p>
    <w:p w14:paraId="3662109C">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8. 询问</w:t>
      </w:r>
    </w:p>
    <w:p w14:paraId="4B3AFFC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8.1潜在投标人应仔细阅读和检查招标文件的全部内容。如有疑问，可以向采购人或者采购代理机构提出询问。</w:t>
      </w:r>
    </w:p>
    <w:p w14:paraId="24D19526">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招标文件的澄清或者修改</w:t>
      </w:r>
    </w:p>
    <w:p w14:paraId="3DB52DE1">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9.1采购人、采购代理机构对已发出的招标文件进行必要澄清或者修改的，将在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w:t>
      </w:r>
      <w:r>
        <w:rPr>
          <w:rFonts w:hint="eastAsia" w:ascii="宋体" w:hAnsi="宋体" w:eastAsia="宋体" w:cs="宋体"/>
          <w:color w:val="auto"/>
          <w:highlight w:val="none"/>
        </w:rPr>
        <w:t>招标公告指定媒体上发布澄清或者修改公告。</w:t>
      </w:r>
    </w:p>
    <w:p w14:paraId="411C281E">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s="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s="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s="宋体"/>
          <w:color w:val="auto"/>
          <w:highlight w:val="none"/>
        </w:rPr>
        <w:t>以数据电文形式通知所有获取招标文件的潜在投标人；不足15日的，将相应延长提交投标文件的截止时间。</w:t>
      </w:r>
    </w:p>
    <w:p w14:paraId="36233AD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9.3招标文件的提供期限届满后，获取招标文件的潜在投标人不足3家的，可以顺延提供期限，并在指定媒体上发布修改公告。</w:t>
      </w:r>
    </w:p>
    <w:p w14:paraId="2AA298E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9.4通过交易平台下载招标文件的，请获取招标文件的潜在投标人及时关注</w:t>
      </w:r>
      <w:r>
        <w:rPr>
          <w:rFonts w:hint="eastAsia" w:ascii="宋体" w:hAnsi="宋体" w:eastAsia="宋体" w:cs="宋体"/>
          <w:color w:val="auto"/>
          <w:szCs w:val="21"/>
          <w:highlight w:val="none"/>
        </w:rPr>
        <w:t>招标公告指定媒体</w:t>
      </w:r>
      <w:r>
        <w:rPr>
          <w:rFonts w:hint="eastAsia" w:ascii="宋体" w:hAnsi="宋体" w:eastAsia="宋体" w:cs="宋体"/>
          <w:color w:val="auto"/>
          <w:highlight w:val="none"/>
        </w:rPr>
        <w:t>发布的澄清或者修改公告。</w:t>
      </w:r>
    </w:p>
    <w:p w14:paraId="2B9EB9BC">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42" w:name="_Toc2061"/>
      <w:bookmarkStart w:id="43" w:name="_Toc29913899"/>
      <w:bookmarkStart w:id="44" w:name="_Toc32523"/>
      <w:bookmarkStart w:id="45" w:name="_Toc16010"/>
      <w:r>
        <w:rPr>
          <w:rFonts w:hint="eastAsia" w:ascii="宋体" w:hAnsi="宋体" w:eastAsia="宋体" w:cs="宋体"/>
          <w:color w:val="auto"/>
          <w:sz w:val="28"/>
          <w:szCs w:val="28"/>
          <w:highlight w:val="none"/>
        </w:rPr>
        <w:t>三、投标文件</w:t>
      </w:r>
      <w:bookmarkEnd w:id="42"/>
      <w:bookmarkEnd w:id="43"/>
      <w:bookmarkEnd w:id="44"/>
      <w:bookmarkEnd w:id="45"/>
    </w:p>
    <w:p w14:paraId="1BA745AC">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投标语言</w:t>
      </w:r>
    </w:p>
    <w:p w14:paraId="70DDA54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458335EC">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11. </w:t>
      </w:r>
      <w:r>
        <w:rPr>
          <w:rFonts w:hint="eastAsia" w:ascii="宋体" w:hAnsi="宋体" w:eastAsia="宋体" w:cs="宋体"/>
          <w:b/>
          <w:color w:val="auto"/>
          <w:sz w:val="24"/>
          <w:highlight w:val="none"/>
        </w:rPr>
        <w:t>计量单位</w:t>
      </w:r>
    </w:p>
    <w:p w14:paraId="376EBA2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11.1所有计量均采用中华人民共和国法定计量单位。</w:t>
      </w:r>
    </w:p>
    <w:p w14:paraId="724E09C5">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12. </w:t>
      </w:r>
      <w:r>
        <w:rPr>
          <w:rFonts w:hint="eastAsia" w:ascii="宋体" w:hAnsi="宋体" w:eastAsia="宋体" w:cs="宋体"/>
          <w:b/>
          <w:bCs/>
          <w:color w:val="auto"/>
          <w:sz w:val="24"/>
          <w:highlight w:val="none"/>
        </w:rPr>
        <w:t>投标文件的组成</w:t>
      </w:r>
    </w:p>
    <w:p w14:paraId="3523B69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12.1投标文件由如下内容组成：</w:t>
      </w:r>
    </w:p>
    <w:p w14:paraId="770ECC25">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4CBEA42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37615C8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身份证明或授权委托书</w:t>
      </w:r>
    </w:p>
    <w:p w14:paraId="45933CA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、投标人提供的资格证明文件</w:t>
      </w:r>
    </w:p>
    <w:p w14:paraId="492EFD77">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1C1E8C8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、投标函</w:t>
      </w:r>
    </w:p>
    <w:p w14:paraId="6395FDE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、分项报价</w:t>
      </w:r>
    </w:p>
    <w:p w14:paraId="35B4380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采购需求响应</w:t>
      </w:r>
    </w:p>
    <w:p w14:paraId="4B51263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、合同条款偏离表</w:t>
      </w:r>
    </w:p>
    <w:p w14:paraId="317C6DB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6B44CEF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、享受政府采购政策优惠的证明资料和清单表</w:t>
      </w:r>
    </w:p>
    <w:p w14:paraId="417DB14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eastAsia="zh-CN"/>
        </w:rPr>
        <w:t>投标服务（含配套货物）符合招标文件规定的证明文件</w:t>
      </w:r>
    </w:p>
    <w:p w14:paraId="0D09C1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、投标人认为需提供的其他资料</w:t>
      </w:r>
    </w:p>
    <w:p w14:paraId="4D0E440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根据《政府采购法》第四十二条的规定，投标人无论中标与否，其投标文件不予退还。</w:t>
      </w:r>
    </w:p>
    <w:p w14:paraId="52A79253">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投标报价</w:t>
      </w:r>
    </w:p>
    <w:p w14:paraId="6BF9343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19D4A14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13.2投标人的投标报价不得超过采购预算，也不得超过最高限价(如果设定)，否则其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。采购项目预算、最高限价见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7D90655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投标人应在分项报价明细表中对每项内容给予详细分项</w:t>
      </w:r>
      <w:r>
        <w:rPr>
          <w:rFonts w:hint="eastAsia" w:ascii="宋体" w:hAnsi="宋体" w:eastAsia="宋体" w:cs="宋体"/>
          <w:color w:val="auto"/>
          <w:highlight w:val="none"/>
        </w:rPr>
        <w:t>报价。</w:t>
      </w:r>
    </w:p>
    <w:p w14:paraId="3E6D8A9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投标人对采购项目内容只允许有一个投标报价，否则其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7B95184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采购人不接受投标人给予的赠品、回扣或者与采购无关的其他商品、服务。如有赠与行为，其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4512E46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5536853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1480C1D9">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投标报价的其他要求见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highlight w:val="none"/>
        </w:rPr>
        <w:t xml:space="preserve">。 </w:t>
      </w:r>
    </w:p>
    <w:p w14:paraId="7DF0E11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14. </w:t>
      </w:r>
      <w:r>
        <w:rPr>
          <w:rFonts w:hint="eastAsia" w:ascii="宋体" w:hAnsi="宋体" w:eastAsia="宋体" w:cs="宋体"/>
          <w:b/>
          <w:bCs/>
          <w:color w:val="auto"/>
          <w:sz w:val="24"/>
          <w:highlight w:val="none"/>
        </w:rPr>
        <w:t>投标人的资格证明文件</w:t>
      </w:r>
    </w:p>
    <w:p w14:paraId="1A7A3F49">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14.1</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另有规</w:t>
      </w:r>
      <w:r>
        <w:rPr>
          <w:rFonts w:hint="eastAsia" w:ascii="宋体" w:hAnsi="宋体" w:eastAsia="宋体" w:cs="宋体"/>
          <w:color w:val="auto"/>
          <w:highlight w:val="none"/>
        </w:rPr>
        <w:t>定外，投标人应按下列规定提供资格证明文件。</w:t>
      </w:r>
    </w:p>
    <w:p w14:paraId="235256BD">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b/>
          <w:color w:val="auto"/>
          <w:highlight w:val="none"/>
        </w:rPr>
        <w:t>法人或者其他组织的营业执照等主体资格证明文件，自然人的身份证明</w:t>
      </w:r>
      <w:r>
        <w:rPr>
          <w:rFonts w:hint="eastAsia" w:ascii="宋体" w:hAnsi="宋体" w:eastAsia="宋体" w:cs="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4CCC5549">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b/>
          <w:color w:val="auto"/>
          <w:highlight w:val="none"/>
        </w:rPr>
        <w:t>投标人资格声明(格式)</w:t>
      </w:r>
    </w:p>
    <w:p w14:paraId="35A06D7D">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（3）</w:t>
      </w:r>
      <w:r>
        <w:rPr>
          <w:rFonts w:hint="eastAsia" w:ascii="宋体" w:hAnsi="宋体" w:eastAsia="宋体" w:cs="宋体"/>
          <w:b/>
          <w:color w:val="auto"/>
          <w:highlight w:val="none"/>
        </w:rPr>
        <w:t>符合特定资格条件证明材料复印件或者情况说明原件</w:t>
      </w:r>
      <w:r>
        <w:rPr>
          <w:rFonts w:hint="eastAsia" w:ascii="宋体" w:hAnsi="宋体" w:eastAsia="宋体" w:cs="宋体"/>
          <w:color w:val="auto"/>
          <w:highlight w:val="none"/>
        </w:rPr>
        <w:t>。</w:t>
      </w:r>
      <w:r>
        <w:rPr>
          <w:rFonts w:hint="eastAsia" w:ascii="宋体" w:hAnsi="宋体" w:eastAsia="宋体" w:cs="宋体"/>
          <w:color w:val="auto"/>
          <w:szCs w:val="21"/>
          <w:highlight w:val="none"/>
        </w:rPr>
        <w:t>具体要求见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32448B2C">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14.2投标人以联合体形式投标的，除应提交联合协议(格式)外，参加联合体的各方均应提交上款资格证明材料。</w:t>
      </w:r>
    </w:p>
    <w:p w14:paraId="6B652EF8">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14.3投标人的资格证明文件均应为有效文件并加盖投标人电子章，并按招标文件规定签署。</w:t>
      </w:r>
    </w:p>
    <w:p w14:paraId="359AAA06">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投标服务（含配套货物）符合招标文件规定的证明文件</w:t>
      </w:r>
    </w:p>
    <w:p w14:paraId="38DC332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15.1投标人应当提交其拟供的合同项下服务（含配套货物）符合招标文件规定的证明文件,该证明文件作为投标文件的一部分。</w:t>
      </w:r>
    </w:p>
    <w:p w14:paraId="3E13D31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15.2上述证明文件可以是文字资料、图表、数据、证书等资料，包括但不限于：</w:t>
      </w:r>
    </w:p>
    <w:p w14:paraId="6D17F7B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（1）服务（含配套货物）主要技术指标和性能的详细说明。对有具体参数要求的指标，投标人应提供具体参数值；</w:t>
      </w:r>
    </w:p>
    <w:p w14:paraId="5E8ED63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（2）配套货物的品牌型号、制造商及原产地等说明；</w:t>
      </w:r>
    </w:p>
    <w:p w14:paraId="3527F04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（3）招标文件第五章“采购需求”要求的其它</w:t>
      </w:r>
      <w:r>
        <w:rPr>
          <w:rFonts w:hint="eastAsia" w:ascii="宋体" w:hAnsi="宋体" w:eastAsia="宋体" w:cs="宋体"/>
          <w:color w:val="auto"/>
          <w:szCs w:val="21"/>
          <w:highlight w:val="none"/>
          <w:lang w:eastAsia="zh-CN"/>
        </w:rPr>
        <w:t>资料</w:t>
      </w:r>
      <w:r>
        <w:rPr>
          <w:rFonts w:hint="eastAsia" w:ascii="宋体" w:hAnsi="宋体" w:eastAsia="宋体" w:cs="宋体"/>
          <w:color w:val="auto"/>
          <w:szCs w:val="21"/>
          <w:highlight w:val="none"/>
        </w:rPr>
        <w:t>。</w:t>
      </w:r>
    </w:p>
    <w:p w14:paraId="4388EAA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15.3样品提供的规定：详见投标须知前附表。</w:t>
      </w:r>
    </w:p>
    <w:p w14:paraId="46697033">
      <w:pPr>
        <w:numPr>
          <w:ilvl w:val="0"/>
          <w:numId w:val="4"/>
        </w:num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投标有效期</w:t>
      </w:r>
    </w:p>
    <w:p w14:paraId="27CCDB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16.1投标有效期从提交投标文件的截止之日起算。投标文件中承诺的投标有效期应当不少于</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中载明的投标有效期。投标有效期不满足要求的，其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68591F8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16.2投标有效期内投标人撤销投标文件的，投标人应承担招标文件和法律规定的责任。</w:t>
      </w:r>
    </w:p>
    <w:p w14:paraId="626B7EC1">
      <w:pPr>
        <w:numPr>
          <w:ilvl w:val="0"/>
          <w:numId w:val="4"/>
        </w:numPr>
        <w:adjustRightInd w:val="0"/>
        <w:snapToGrid w:val="0"/>
        <w:spacing w:before="156" w:beforeLines="50" w:line="360" w:lineRule="auto"/>
        <w:ind w:left="0" w:leftChars="0" w:firstLine="0" w:firstLineChars="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p w14:paraId="1C4C24E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.1投标人拟在中标后将中</w:t>
      </w:r>
      <w:r>
        <w:rPr>
          <w:rFonts w:hint="eastAsia" w:ascii="宋体" w:hAnsi="宋体" w:eastAsia="宋体" w:cs="宋体"/>
          <w:color w:val="auto"/>
          <w:szCs w:val="21"/>
          <w:highlight w:val="none"/>
        </w:rPr>
        <w:t>标项目的非主体、非关键性工作进行分包的，应符合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规定的分包内容、分包金</w:t>
      </w:r>
      <w:r>
        <w:rPr>
          <w:rFonts w:hint="eastAsia" w:ascii="宋体" w:hAnsi="宋体" w:eastAsia="宋体" w:cs="宋体"/>
          <w:color w:val="auto"/>
          <w:highlight w:val="none"/>
        </w:rPr>
        <w:t>额和资质要求等限制性条件，并在投标文件中载明分包承担主体，且分包承担主体不得再次分包。</w:t>
      </w:r>
    </w:p>
    <w:p w14:paraId="15957041">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.2中标人应当就分包项目向采购人负责，分包承担主体就分包项目承担连带责任。</w:t>
      </w:r>
    </w:p>
    <w:p w14:paraId="0F62158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3不符合招标文件中有关分包规定的，其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127E8C7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电子</w:t>
      </w:r>
      <w:r>
        <w:rPr>
          <w:rFonts w:hint="eastAsia" w:ascii="宋体" w:hAnsi="宋体" w:eastAsia="宋体" w:cs="宋体"/>
          <w:b/>
          <w:bCs/>
          <w:color w:val="auto"/>
          <w:sz w:val="24"/>
          <w:highlight w:val="none"/>
          <w:lang w:eastAsia="zh-CN"/>
        </w:rPr>
        <w:t>投标</w:t>
      </w:r>
      <w:r>
        <w:rPr>
          <w:rFonts w:hint="eastAsia" w:ascii="宋体" w:hAnsi="宋体" w:eastAsia="宋体" w:cs="宋体"/>
          <w:b/>
          <w:bCs/>
          <w:color w:val="auto"/>
          <w:sz w:val="24"/>
          <w:highlight w:val="none"/>
        </w:rPr>
        <w:t>文件的制作和签署</w:t>
      </w:r>
    </w:p>
    <w:p w14:paraId="23F9FD0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.1投标人确认投标后，应当在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公共资源交易政府采购电子化平台上认可的“投标文件制作工具软件下载”制作投标文件（ 含澄清、说明文件）并进行固化、加密；</w:t>
      </w:r>
      <w:r>
        <w:rPr>
          <w:rFonts w:hint="eastAsia" w:ascii="宋体" w:hAnsi="宋体" w:eastAsia="宋体" w:cs="宋体"/>
          <w:bCs/>
          <w:color w:val="auto"/>
          <w:szCs w:val="21"/>
          <w:highlight w:val="none"/>
        </w:rPr>
        <w:t>否则将可能影响电子投标文件的上传而导致投标无效。</w:t>
      </w:r>
    </w:p>
    <w:p w14:paraId="22079C7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2投标人应按照电子招标文件格式及投标工具编制资格证明文件，不得将其编制上传到商务和技术文件中。否则，由于编制上传位置失误导致无法进行资格审查，由此所产生的后果和责任由投标人自行承担。</w:t>
      </w:r>
    </w:p>
    <w:p w14:paraId="3701018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16B9849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5A589E0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.5投标人应在电子投标文件指定签章处采用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公共资源交易中心交易平台认可的CA数字证书（含电子印章）进行签章。</w:t>
      </w:r>
    </w:p>
    <w:p w14:paraId="5BB48C9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 xml:space="preserve">.6 </w:t>
      </w:r>
      <w:r>
        <w:rPr>
          <w:rFonts w:hint="eastAsia" w:ascii="宋体" w:hAnsi="宋体" w:eastAsia="宋体" w:cs="宋体"/>
          <w:color w:val="auto"/>
          <w:szCs w:val="21"/>
          <w:highlight w:val="none"/>
          <w:lang w:eastAsia="zh-CN"/>
        </w:rPr>
        <w:t>电子投标文件</w:t>
      </w:r>
      <w:r>
        <w:rPr>
          <w:rFonts w:hint="eastAsia" w:ascii="宋体" w:hAnsi="宋体" w:eastAsia="宋体" w:cs="宋体"/>
          <w:color w:val="auto"/>
          <w:szCs w:val="21"/>
          <w:highlight w:val="none"/>
        </w:rPr>
        <w:t>具有法律效力，若投标文件与招标文件要求不一致，其内容影响中标结果时，责任由投标人自行承担。</w:t>
      </w:r>
    </w:p>
    <w:p w14:paraId="7AD7443E">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769A2801">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35DFCBEE">
      <w:pPr>
        <w:pStyle w:val="4"/>
        <w:keepNext w:val="0"/>
        <w:keepLines w:val="0"/>
        <w:numPr>
          <w:ilvl w:val="0"/>
          <w:numId w:val="5"/>
        </w:numPr>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46" w:name="_Toc13619"/>
      <w:bookmarkStart w:id="47" w:name="_Toc4485"/>
      <w:bookmarkStart w:id="48" w:name="_Toc29913900"/>
      <w:bookmarkStart w:id="49" w:name="_Toc20506"/>
      <w:r>
        <w:rPr>
          <w:rFonts w:hint="eastAsia" w:ascii="宋体" w:hAnsi="宋体" w:eastAsia="宋体" w:cs="宋体"/>
          <w:color w:val="auto"/>
          <w:sz w:val="28"/>
          <w:szCs w:val="28"/>
          <w:highlight w:val="none"/>
        </w:rPr>
        <w:t>投标</w:t>
      </w:r>
      <w:bookmarkEnd w:id="46"/>
      <w:bookmarkEnd w:id="47"/>
      <w:bookmarkEnd w:id="48"/>
      <w:bookmarkEnd w:id="49"/>
    </w:p>
    <w:p w14:paraId="555C0435">
      <w:pPr>
        <w:numPr>
          <w:ilvl w:val="255"/>
          <w:numId w:val="0"/>
        </w:numPr>
        <w:rPr>
          <w:rFonts w:hint="eastAsia" w:ascii="宋体" w:hAnsi="宋体" w:eastAsia="宋体" w:cs="宋体"/>
          <w:color w:val="auto"/>
          <w:highlight w:val="none"/>
        </w:rPr>
      </w:pPr>
      <w:bookmarkStart w:id="50" w:name="_Hlt193622730"/>
      <w:bookmarkEnd w:id="50"/>
      <w:bookmarkStart w:id="51" w:name="_Hlt226715444"/>
      <w:bookmarkEnd w:id="51"/>
    </w:p>
    <w:p w14:paraId="4954776D">
      <w:pPr>
        <w:adjustRightInd w:val="0"/>
        <w:snapToGrid w:val="0"/>
        <w:spacing w:before="156" w:beforeLines="50" w:line="360" w:lineRule="auto"/>
        <w:ind w:firstLine="241" w:firstLineChars="100"/>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电子投标文件的加密和提交</w:t>
      </w:r>
    </w:p>
    <w:p w14:paraId="29A75619">
      <w:pPr>
        <w:spacing w:line="36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.1投标人应按照招标文件和交易平台的要求编制数据电文形式的投标文件并通过数字证书进行加密后，</w:t>
      </w:r>
      <w:r>
        <w:rPr>
          <w:rFonts w:hint="eastAsia" w:ascii="宋体" w:hAnsi="宋体" w:eastAsia="宋体" w:cs="宋体"/>
          <w:bCs/>
          <w:color w:val="auto"/>
          <w:szCs w:val="21"/>
          <w:highlight w:val="none"/>
        </w:rPr>
        <w:t>在招标文件【投标须知前附表】规定的开标时间前将电子投标文件上传到交易平台的对应项目。</w:t>
      </w:r>
      <w:r>
        <w:rPr>
          <w:rFonts w:hint="eastAsia" w:ascii="宋体" w:hAnsi="宋体" w:eastAsia="宋体" w:cs="宋体"/>
          <w:color w:val="auto"/>
          <w:szCs w:val="21"/>
          <w:highlight w:val="none"/>
        </w:rPr>
        <w:t>未按要求加密或逾期上传提交的投标文件，交易平台将无法接受, 采购代理机构不予受理。</w:t>
      </w:r>
    </w:p>
    <w:p w14:paraId="5A9F583C">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.2采购代理机构不接受投标截止时间后递交的纸质、电子、传真等所有形式的投标文件。</w:t>
      </w:r>
    </w:p>
    <w:p w14:paraId="18118C0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19</w:t>
      </w:r>
      <w:r>
        <w:rPr>
          <w:rFonts w:hint="eastAsia" w:ascii="宋体" w:hAnsi="宋体" w:eastAsia="宋体" w:cs="宋体"/>
          <w:bCs/>
          <w:color w:val="auto"/>
          <w:szCs w:val="21"/>
          <w:highlight w:val="none"/>
        </w:rPr>
        <w:t>.3</w:t>
      </w:r>
      <w:r>
        <w:rPr>
          <w:rFonts w:hint="eastAsia" w:ascii="宋体" w:hAnsi="宋体" w:eastAsia="宋体" w:cs="宋体"/>
          <w:color w:val="auto"/>
          <w:highlight w:val="none"/>
        </w:rPr>
        <w:t>建议投标人于开标前一个工作日完成投标文件的制作与上传，</w:t>
      </w:r>
      <w:r>
        <w:rPr>
          <w:rFonts w:hint="eastAsia" w:ascii="宋体" w:hAnsi="宋体" w:eastAsia="宋体" w:cs="宋体"/>
          <w:bCs/>
          <w:color w:val="auto"/>
          <w:szCs w:val="21"/>
          <w:highlight w:val="none"/>
        </w:rPr>
        <w:t>系统将显示“上传成功”。如遇系统提示“上传未成功”，投标人应及时重新提交文件或与系统运维机构联系。</w:t>
      </w:r>
      <w:r>
        <w:rPr>
          <w:rFonts w:hint="eastAsia" w:ascii="宋体" w:hAnsi="宋体" w:eastAsia="宋体" w:cs="宋体"/>
          <w:color w:val="auto"/>
          <w:highlight w:val="none"/>
        </w:rPr>
        <w:t>由于投标人对电子投标操作不熟悉或自身电脑、网络等原因导致不能在投标截止时间之前上传提交投标文件的，</w:t>
      </w:r>
      <w:r>
        <w:rPr>
          <w:rFonts w:hint="eastAsia" w:ascii="宋体" w:hAnsi="宋体" w:eastAsia="宋体" w:cs="宋体"/>
          <w:bCs/>
          <w:color w:val="auto"/>
          <w:szCs w:val="21"/>
          <w:highlight w:val="none"/>
        </w:rPr>
        <w:t>由此造成的后果和责任由投标人自行承担。</w:t>
      </w:r>
    </w:p>
    <w:p w14:paraId="07793444">
      <w:pPr>
        <w:adjustRightInd w:val="0"/>
        <w:snapToGrid w:val="0"/>
        <w:spacing w:before="156" w:beforeLines="50"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.电子投标文件的修改和撤回</w:t>
      </w:r>
    </w:p>
    <w:p w14:paraId="3969783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.1投标人在招标文件规定的投标截止时间前，可以撤回已上传的投标文件，也可以撤回并修改后再重新上传。</w:t>
      </w:r>
    </w:p>
    <w:p w14:paraId="770D78E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.2采购人、采购代理机构发布了修改、澄清文件的，投标人应按照修改、澄清后的招标文件要求重新编制投标文件并上传至交易平台。</w:t>
      </w:r>
    </w:p>
    <w:p w14:paraId="594C4BDB">
      <w:pPr>
        <w:adjustRightInd w:val="0"/>
        <w:snapToGrid w:val="0"/>
        <w:spacing w:before="156" w:beforeLines="50"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串通投标行为</w:t>
      </w:r>
    </w:p>
    <w:p w14:paraId="5127F6A9">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w:t>
      </w:r>
      <w:r>
        <w:rPr>
          <w:rFonts w:hint="eastAsia" w:ascii="宋体" w:hAnsi="宋体" w:eastAsia="宋体" w:cs="宋体"/>
          <w:color w:val="auto"/>
          <w:spacing w:val="-6"/>
          <w:szCs w:val="21"/>
          <w:highlight w:val="none"/>
          <w:lang w:val="en-US" w:eastAsia="zh-CN"/>
        </w:rPr>
        <w:t>1</w:t>
      </w:r>
      <w:r>
        <w:rPr>
          <w:rFonts w:hint="eastAsia" w:ascii="宋体" w:hAnsi="宋体" w:eastAsia="宋体" w:cs="宋体"/>
          <w:color w:val="auto"/>
          <w:spacing w:val="-6"/>
          <w:szCs w:val="21"/>
          <w:highlight w:val="none"/>
        </w:rPr>
        <w:t>.1有下列情形之一的，属于恶意串通，对投标人依照政府采购法第七十七条第一款的规定追究法律责任：</w:t>
      </w:r>
    </w:p>
    <w:p w14:paraId="1D40DC71">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（1）投标人直接或者间接从采购人或者采购代理机构处获得其他投标人的相关情况并修改其投标文件；</w:t>
      </w:r>
    </w:p>
    <w:p w14:paraId="5A253038">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（2）投标人按照采购人或者采购代理机构的授意撤换、修改投标文件；</w:t>
      </w:r>
    </w:p>
    <w:p w14:paraId="213628D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（3）投标人之间协商报价、技术方案等投标文件的实质性内容；</w:t>
      </w:r>
    </w:p>
    <w:p w14:paraId="406ED34B">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（4）属于同一集团、协会、商会等组织成员的投标人按照该组织要求协同参加政府采购活动；</w:t>
      </w:r>
    </w:p>
    <w:p w14:paraId="3E5473FF">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（5）投标人之间事先约定由某一特定投标人中标；</w:t>
      </w:r>
    </w:p>
    <w:p w14:paraId="2F19F3D4">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（6）投标人之间商定部分投标人放弃参加政府采购活动或者放弃中标；</w:t>
      </w:r>
    </w:p>
    <w:p w14:paraId="414B908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（7）投标人与采购人或者采购代理机构之间、投标人相互之间，为谋求特定投标人中标或者排斥其他投标人的其他串通行为。</w:t>
      </w:r>
    </w:p>
    <w:p w14:paraId="3EAD264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.2有下列情形之一的，视为投标人串通投标，其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5F24479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2FD384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5F6BCDE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58C1184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2EF75B6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（5）不同投标人的投标文件相互签章；</w:t>
      </w:r>
    </w:p>
    <w:p w14:paraId="12D758D2">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不同投标人的文件制作机器码或文件创建标识码或电脑IP地址一致的；</w:t>
      </w:r>
    </w:p>
    <w:p w14:paraId="59547C8A">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法律、行政法规或规章规定的其他串通行为。</w:t>
      </w:r>
    </w:p>
    <w:p w14:paraId="3F1F8D4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5A00ED3C">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52" w:name="_Toc29913901"/>
      <w:bookmarkStart w:id="53" w:name="_Toc26112"/>
      <w:bookmarkStart w:id="54" w:name="_Toc30757"/>
      <w:bookmarkStart w:id="55" w:name="_Toc5746"/>
      <w:r>
        <w:rPr>
          <w:rFonts w:hint="eastAsia" w:ascii="宋体" w:hAnsi="宋体" w:eastAsia="宋体" w:cs="宋体"/>
          <w:color w:val="auto"/>
          <w:sz w:val="28"/>
          <w:szCs w:val="28"/>
          <w:highlight w:val="none"/>
        </w:rPr>
        <w:t>五、开标，资格审查和评标</w:t>
      </w:r>
      <w:bookmarkEnd w:id="52"/>
      <w:bookmarkEnd w:id="53"/>
      <w:bookmarkEnd w:id="54"/>
      <w:bookmarkEnd w:id="55"/>
    </w:p>
    <w:p w14:paraId="318D6B7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开标</w:t>
      </w:r>
    </w:p>
    <w:p w14:paraId="6183AA8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.1开标时，出现下列情形之一的，采购代理机构不予受理： </w:t>
      </w:r>
    </w:p>
    <w:p w14:paraId="7E22171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（1）经检查数字证书无效的电子投标文件； </w:t>
      </w:r>
    </w:p>
    <w:p w14:paraId="148CFAF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（2）电子投标文件未按照招标文件的要求进行加密的； </w:t>
      </w:r>
    </w:p>
    <w:p w14:paraId="2BAEEFE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（3）电子投标文件未按招标文件要求上传至交易平台的；</w:t>
      </w:r>
    </w:p>
    <w:p w14:paraId="46E83C5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规定的方式及时间解密电子投标文件的；</w:t>
      </w:r>
    </w:p>
    <w:p w14:paraId="222D8EA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（5）其它违反法律、法规的情形。</w:t>
      </w:r>
    </w:p>
    <w:p w14:paraId="077A0FC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.2采购人或者采购代理机构应按招标文件规定的时间、地点在交易平台上组织公开开标，并邀请投标人参加。</w:t>
      </w:r>
    </w:p>
    <w:p w14:paraId="1BCA7D77">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投标人在开标时间前提前登录网上开标系统，</w:t>
      </w:r>
      <w:r>
        <w:rPr>
          <w:rFonts w:hint="eastAsia" w:ascii="宋体" w:hAnsi="宋体" w:eastAsia="宋体" w:cs="宋体"/>
          <w:color w:val="auto"/>
          <w:szCs w:val="21"/>
          <w:highlight w:val="none"/>
        </w:rPr>
        <w:t>通过网上开标系统参加开标会</w:t>
      </w:r>
      <w:r>
        <w:rPr>
          <w:rFonts w:hint="eastAsia" w:ascii="宋体" w:hAnsi="宋体" w:eastAsia="宋体" w:cs="宋体"/>
          <w:color w:val="auto"/>
          <w:highlight w:val="none"/>
        </w:rPr>
        <w:t>。</w:t>
      </w:r>
    </w:p>
    <w:p w14:paraId="7895FB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开标程序。采购代理机构在投标截止时间后，按下列程序进行开标： </w:t>
      </w:r>
    </w:p>
    <w:p w14:paraId="4AD70405">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（1）宣读。投标截止时间，采购代理机构登根据系统显示宣布报名的投标人数量和上传了投标文件的投标人数量。</w:t>
      </w:r>
    </w:p>
    <w:p w14:paraId="5496F4E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（2）解密。采购代理机构在系统发出解密指令。</w:t>
      </w:r>
      <w:r>
        <w:rPr>
          <w:rFonts w:hint="eastAsia" w:ascii="宋体" w:hAnsi="宋体" w:eastAsia="宋体" w:cs="宋体"/>
          <w:color w:val="auto"/>
          <w:highlight w:val="none"/>
        </w:rPr>
        <w:t>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w:t>
      </w:r>
      <w:r>
        <w:rPr>
          <w:rFonts w:hint="eastAsia" w:ascii="宋体" w:hAnsi="宋体" w:eastAsia="宋体" w:cs="宋体"/>
          <w:color w:val="auto"/>
          <w:szCs w:val="21"/>
          <w:highlight w:val="none"/>
        </w:rPr>
        <w:t>解密成功的投标人不足3家时，开标不再继续。</w:t>
      </w:r>
    </w:p>
    <w:p w14:paraId="70A540FE">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（3）唱标。</w:t>
      </w:r>
      <w:r>
        <w:rPr>
          <w:rFonts w:hint="eastAsia" w:ascii="宋体" w:hAnsi="宋体" w:eastAsia="宋体" w:cs="宋体"/>
          <w:color w:val="auto"/>
          <w:highlight w:val="none"/>
        </w:rPr>
        <w:t>以投标人《开标一览表》为准，由系统在线公布投标人名单、开标关键数据情况。电子交易系统在线即时生成《开标记录表》，所有解密成功的投标人可以在线即时查看、下载。</w:t>
      </w:r>
    </w:p>
    <w:p w14:paraId="32D081F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（4）确认。投标人</w:t>
      </w:r>
      <w:r>
        <w:rPr>
          <w:rFonts w:hint="eastAsia" w:ascii="宋体" w:hAnsi="宋体" w:cs="宋体"/>
          <w:color w:val="auto"/>
          <w:szCs w:val="21"/>
          <w:highlight w:val="none"/>
          <w:lang w:eastAsia="zh-CN"/>
        </w:rPr>
        <w:t>法定代表人（单位负责人）或授权代表人</w:t>
      </w:r>
      <w:r>
        <w:rPr>
          <w:rFonts w:hint="eastAsia" w:ascii="宋体" w:hAnsi="宋体" w:eastAsia="宋体" w:cs="宋体"/>
          <w:color w:val="auto"/>
          <w:szCs w:val="21"/>
          <w:highlight w:val="none"/>
        </w:rPr>
        <w:t>应在规定的时间内通过电子交易系统在《开标记录表》上进行确认。投标人未在规定的时间进行确认的，视同认可开标结果</w:t>
      </w:r>
      <w:r>
        <w:rPr>
          <w:rFonts w:hint="eastAsia" w:ascii="宋体" w:hAnsi="宋体" w:eastAsia="宋体" w:cs="宋体"/>
          <w:color w:val="auto"/>
          <w:szCs w:val="21"/>
          <w:highlight w:val="none"/>
          <w:lang w:eastAsia="zh-CN"/>
        </w:rPr>
        <w:t>，显示为“默认确认”</w:t>
      </w:r>
      <w:r>
        <w:rPr>
          <w:rFonts w:hint="eastAsia" w:ascii="宋体" w:hAnsi="宋体" w:eastAsia="宋体" w:cs="宋体"/>
          <w:color w:val="auto"/>
          <w:szCs w:val="21"/>
          <w:highlight w:val="none"/>
        </w:rPr>
        <w:t>。</w:t>
      </w:r>
    </w:p>
    <w:p w14:paraId="731D24D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投标人代表对开标过程和开标记录有疑义，以及认为采购人或者采购代理机构相关工作人员有《政府采购法实施条例》第九条第一款需要回避的情形的，应当场提出询问或者回避申请。</w:t>
      </w:r>
    </w:p>
    <w:p w14:paraId="3D22407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采购人或者采购代理机构对投标人代表当场提出的询问或者回避申请，按《政府采购法实施条例》有关规定及时处理。</w:t>
      </w:r>
    </w:p>
    <w:p w14:paraId="7C48FE4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开标时，出现下列情形之一的，视为投标人撤销其投标。</w:t>
      </w:r>
    </w:p>
    <w:p w14:paraId="729F1D6C">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（1）投标人未按要求配置开标所需的软硬件设备，导致解密失败的；</w:t>
      </w:r>
    </w:p>
    <w:p w14:paraId="7701331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（2）投标人电脑故障或无法上网，导致解密失败的； </w:t>
      </w:r>
    </w:p>
    <w:p w14:paraId="0E27289C">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（3）投标人电子CA证书发生故障、失效、错误等，导致解密失败的；</w:t>
      </w:r>
    </w:p>
    <w:p w14:paraId="3981DBD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（4）解密时间超过规定时限的；</w:t>
      </w:r>
    </w:p>
    <w:p w14:paraId="54DDC803">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（5）其他由于投标人自身原因导致解密失效的情形。</w:t>
      </w:r>
    </w:p>
    <w:p w14:paraId="1C10A005">
      <w:pPr>
        <w:spacing w:line="400" w:lineRule="exact"/>
        <w:ind w:firstLine="720"/>
        <w:rPr>
          <w:rFonts w:hint="eastAsia" w:ascii="宋体" w:hAnsi="宋体" w:eastAsia="宋体" w:cs="宋体"/>
          <w:b/>
          <w:color w:val="auto"/>
          <w:highlight w:val="none"/>
        </w:rPr>
      </w:pPr>
    </w:p>
    <w:p w14:paraId="7FA664E5">
      <w:pPr>
        <w:adjustRightInd w:val="0"/>
        <w:snapToGrid w:val="0"/>
        <w:spacing w:before="156" w:beforeLines="50" w:line="360" w:lineRule="auto"/>
        <w:jc w:val="left"/>
        <w:rPr>
          <w:rFonts w:hint="eastAsia" w:ascii="宋体" w:hAnsi="宋体" w:eastAsia="宋体" w:cs="宋体"/>
          <w:b/>
          <w:color w:val="auto"/>
          <w:sz w:val="24"/>
          <w:highlight w:val="none"/>
        </w:rPr>
      </w:pPr>
      <w:r>
        <w:rPr>
          <w:rStyle w:val="47"/>
          <w:rFonts w:hint="eastAsia" w:ascii="宋体" w:hAnsi="宋体" w:eastAsia="宋体" w:cs="宋体"/>
          <w:color w:val="auto"/>
          <w:sz w:val="24"/>
          <w:highlight w:val="none"/>
        </w:rPr>
        <w:t>2</w:t>
      </w:r>
      <w:r>
        <w:rPr>
          <w:rStyle w:val="47"/>
          <w:rFonts w:hint="eastAsia" w:ascii="宋体" w:hAnsi="宋体" w:eastAsia="宋体" w:cs="宋体"/>
          <w:color w:val="auto"/>
          <w:sz w:val="24"/>
          <w:highlight w:val="none"/>
          <w:lang w:val="en-US" w:eastAsia="zh-CN"/>
        </w:rPr>
        <w:t>3</w:t>
      </w:r>
      <w:r>
        <w:rPr>
          <w:rStyle w:val="47"/>
          <w:rFonts w:hint="eastAsia" w:ascii="宋体" w:hAnsi="宋体" w:eastAsia="宋体" w:cs="宋体"/>
          <w:color w:val="auto"/>
          <w:sz w:val="24"/>
          <w:highlight w:val="none"/>
        </w:rPr>
        <w:t>.</w:t>
      </w:r>
      <w:r>
        <w:rPr>
          <w:rFonts w:hint="eastAsia" w:ascii="宋体" w:hAnsi="宋体" w:eastAsia="宋体" w:cs="宋体"/>
          <w:b/>
          <w:color w:val="auto"/>
          <w:sz w:val="24"/>
          <w:highlight w:val="none"/>
        </w:rPr>
        <w:t xml:space="preserve"> 资格审查</w:t>
      </w:r>
    </w:p>
    <w:p w14:paraId="480D868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.1开标结束后，采购人、采购代理机构依法按照第三章“资格审查”规定组织资格审查。</w:t>
      </w:r>
    </w:p>
    <w:p w14:paraId="2A86B67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.2资格审查结束后，采购人、采购代理机构应将资格审查结果告知评标委员会。资格审查不合格投标人不进入评标；经资格审查合格投标人少于3家的，不得评标。</w:t>
      </w:r>
    </w:p>
    <w:p w14:paraId="1C4BF023">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评标委员会</w:t>
      </w:r>
    </w:p>
    <w:p w14:paraId="457F51A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.1评标由依法组建的评标委员会负责，评标委员会由采购人代表和</w:t>
      </w:r>
      <w:r>
        <w:rPr>
          <w:rFonts w:hint="eastAsia" w:ascii="宋体" w:hAnsi="宋体" w:eastAsia="宋体" w:cs="宋体"/>
          <w:color w:val="auto"/>
          <w:szCs w:val="21"/>
          <w:highlight w:val="none"/>
          <w:lang w:eastAsia="zh-CN"/>
        </w:rPr>
        <w:t>评标专家</w:t>
      </w:r>
      <w:r>
        <w:rPr>
          <w:rFonts w:hint="eastAsia" w:ascii="宋体" w:hAnsi="宋体" w:eastAsia="宋体" w:cs="宋体"/>
          <w:color w:val="auto"/>
          <w:szCs w:val="21"/>
          <w:highlight w:val="none"/>
        </w:rPr>
        <w:t>组成。</w:t>
      </w:r>
    </w:p>
    <w:p w14:paraId="528B70E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.2评标委员会成员有下列情形之一的，应当回避：</w:t>
      </w:r>
    </w:p>
    <w:p w14:paraId="2F8B20C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（1）参加采购活动前三年内,与投标人存在劳动关系,或者担任过投标人的董事、监事,或者是投标人的控股股东或实际控制人；</w:t>
      </w:r>
    </w:p>
    <w:p w14:paraId="69865A2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（2）与投标人的法定代表人或者负责人有夫妻、直系血亲、三代以内旁系血亲或者近姻亲关系；</w:t>
      </w:r>
    </w:p>
    <w:p w14:paraId="14E9EB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（3）与投标人有其他可能影响政府采购活动公平、公正进行的关系。</w:t>
      </w:r>
    </w:p>
    <w:p w14:paraId="5ECEC1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.3评标委员会负责具体评标事务，并独立履行下列职责：</w:t>
      </w:r>
    </w:p>
    <w:p w14:paraId="3DC79B8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（1）审查、评价投标文件是否符合招标文件的商务、技术等实质性要求；</w:t>
      </w:r>
    </w:p>
    <w:p w14:paraId="231EEC6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（2）要求投标人对投标文件有关事项作出澄清或者说明；</w:t>
      </w:r>
    </w:p>
    <w:p w14:paraId="47B4A3E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（3）对投标文件进行比较和评价；</w:t>
      </w:r>
    </w:p>
    <w:p w14:paraId="5FDB30D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（4）确定中标候选人名单，以及根据采购人委托直接确定中标人。</w:t>
      </w:r>
    </w:p>
    <w:p w14:paraId="009BD18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评标</w:t>
      </w:r>
    </w:p>
    <w:p w14:paraId="7BEA892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.1评标委员会按照</w:t>
      </w:r>
      <w:r>
        <w:rPr>
          <w:rFonts w:hint="eastAsia" w:ascii="宋体" w:hAnsi="宋体" w:eastAsia="宋体" w:cs="宋体"/>
          <w:bCs/>
          <w:color w:val="auto"/>
          <w:highlight w:val="none"/>
        </w:rPr>
        <w:t>第四章“评标方法及标准”</w:t>
      </w:r>
      <w:r>
        <w:rPr>
          <w:rFonts w:hint="eastAsia" w:ascii="宋体" w:hAnsi="宋体" w:eastAsia="宋体" w:cs="宋体"/>
          <w:color w:val="auto"/>
          <w:highlight w:val="none"/>
        </w:rPr>
        <w:t>规定的评标方法、评审因素、标准和程序以及有关法律、法规及规章对投标文件进行评审。</w:t>
      </w:r>
    </w:p>
    <w:p w14:paraId="6DF730B9">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56" w:name="_Toc28111"/>
      <w:bookmarkStart w:id="57" w:name="_Toc29913902"/>
      <w:bookmarkStart w:id="58" w:name="_Toc1276"/>
      <w:bookmarkStart w:id="59" w:name="_Toc26254"/>
      <w:r>
        <w:rPr>
          <w:rFonts w:hint="eastAsia" w:ascii="宋体" w:hAnsi="宋体" w:eastAsia="宋体" w:cs="宋体"/>
          <w:color w:val="auto"/>
          <w:sz w:val="28"/>
          <w:szCs w:val="28"/>
          <w:highlight w:val="none"/>
        </w:rPr>
        <w:t>六、中标信息公布</w:t>
      </w:r>
      <w:bookmarkEnd w:id="56"/>
      <w:bookmarkEnd w:id="57"/>
      <w:bookmarkEnd w:id="58"/>
      <w:bookmarkEnd w:id="59"/>
    </w:p>
    <w:p w14:paraId="447D6FA5">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中标通知书与中标信息公布</w:t>
      </w:r>
    </w:p>
    <w:p w14:paraId="05A6F0B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.1采购代理机构应当在评标结束后</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个工作日内将评标报告送采购人。</w:t>
      </w:r>
    </w:p>
    <w:p w14:paraId="0B172D3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.2采购人应当自收到评标报告之日起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个工作日内，在评标报告确定的中标候选人名单中按顺序确定中标人。中标候选人并列的，按照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规定的方式确定中标人；招标文件未规定的，采取随机抽取的方式确定。</w:t>
      </w:r>
    </w:p>
    <w:p w14:paraId="1B1845E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.3采购人、采购代理机构应当自采购人确定</w:t>
      </w:r>
      <w:r>
        <w:rPr>
          <w:rFonts w:hint="eastAsia" w:ascii="宋体" w:hAnsi="宋体" w:eastAsia="宋体" w:cs="宋体"/>
          <w:color w:val="auto"/>
          <w:szCs w:val="21"/>
          <w:highlight w:val="none"/>
          <w:lang w:eastAsia="zh-CN"/>
        </w:rPr>
        <w:t>中标投标人</w:t>
      </w:r>
      <w:r>
        <w:rPr>
          <w:rFonts w:hint="eastAsia" w:ascii="宋体" w:hAnsi="宋体" w:eastAsia="宋体" w:cs="宋体"/>
          <w:color w:val="auto"/>
          <w:szCs w:val="21"/>
          <w:highlight w:val="none"/>
        </w:rPr>
        <w:t>之日起2个工作日内，发出中标通知书，并在招标公告指定媒体上公告中标结果，招标文件随中标结果同时公告，中标结果公告期限为１个工作日。</w:t>
      </w:r>
    </w:p>
    <w:p w14:paraId="4EA9A24F">
      <w:pPr>
        <w:numPr>
          <w:ilvl w:val="0"/>
          <w:numId w:val="6"/>
        </w:num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投标人询问及</w:t>
      </w:r>
      <w:r>
        <w:rPr>
          <w:rFonts w:hint="eastAsia" w:ascii="宋体" w:hAnsi="宋体" w:eastAsia="宋体" w:cs="宋体"/>
          <w:b/>
          <w:bCs/>
          <w:color w:val="auto"/>
          <w:sz w:val="24"/>
          <w:highlight w:val="none"/>
        </w:rPr>
        <w:t>质疑</w:t>
      </w:r>
    </w:p>
    <w:p w14:paraId="6E6687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.1投标人对政府采购活动事项有疑问的，可以向采购人、采购代理机构提出询问。采购人或采购代理机构将在3个工作日内作出答复。</w:t>
      </w:r>
    </w:p>
    <w:p w14:paraId="65D3E44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宋体" w:hAnsi="宋体" w:cs="宋体"/>
          <w:color w:val="auto"/>
          <w:szCs w:val="21"/>
          <w:highlight w:val="none"/>
          <w:lang w:eastAsia="zh-CN"/>
        </w:rPr>
        <w:t>湘财购〔2024〕67 号</w:t>
      </w:r>
      <w:r>
        <w:rPr>
          <w:rFonts w:hint="eastAsia" w:ascii="宋体" w:hAnsi="宋体" w:eastAsia="宋体" w:cs="宋体"/>
          <w:color w:val="auto"/>
          <w:szCs w:val="21"/>
          <w:highlight w:val="none"/>
        </w:rPr>
        <w:t>)规定，</w:t>
      </w:r>
      <w:r>
        <w:rPr>
          <w:rFonts w:hint="eastAsia" w:ascii="宋体" w:hAnsi="宋体" w:eastAsia="宋体" w:cs="宋体"/>
          <w:color w:val="auto"/>
          <w:szCs w:val="21"/>
          <w:highlight w:val="none"/>
          <w:lang w:eastAsia="zh-CN"/>
        </w:rPr>
        <w:t>在法定质疑期内以纸质书面形式一次性向采购人、采购代理机构提出针对同一采购程序环节的质疑。</w:t>
      </w:r>
    </w:p>
    <w:p w14:paraId="11A99A9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投标</w:t>
      </w:r>
      <w:r>
        <w:rPr>
          <w:rFonts w:hint="eastAsia" w:ascii="宋体" w:hAnsi="宋体" w:eastAsia="宋体" w:cs="宋体"/>
          <w:b/>
          <w:color w:val="auto"/>
          <w:szCs w:val="21"/>
          <w:highlight w:val="none"/>
        </w:rPr>
        <w:t>须知前附表】</w:t>
      </w:r>
      <w:r>
        <w:rPr>
          <w:rFonts w:hint="eastAsia" w:ascii="宋体" w:hAnsi="宋体" w:eastAsia="宋体" w:cs="宋体"/>
          <w:color w:val="auto"/>
          <w:szCs w:val="21"/>
          <w:highlight w:val="none"/>
        </w:rPr>
        <w:t xml:space="preserve">。  </w:t>
      </w:r>
    </w:p>
    <w:p w14:paraId="0ACE5CD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.4采购人、采购代理机构按照《湖南省财政厅关于印发＜政府采购质疑答复和投诉处理操作规程＞的通知》规定进行质疑答复。</w:t>
      </w:r>
    </w:p>
    <w:p w14:paraId="428B90BB">
      <w:pPr>
        <w:adjustRightInd w:val="0"/>
        <w:snapToGrid w:val="0"/>
        <w:spacing w:before="156" w:beforeLines="50"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059EDB89">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0" w:name="_Toc1193"/>
      <w:bookmarkStart w:id="61" w:name="_Toc20707"/>
      <w:bookmarkStart w:id="62" w:name="_Toc29913903"/>
      <w:bookmarkStart w:id="63" w:name="_Toc17703"/>
      <w:r>
        <w:rPr>
          <w:rFonts w:hint="eastAsia" w:ascii="宋体" w:hAnsi="宋体" w:eastAsia="宋体" w:cs="宋体"/>
          <w:color w:val="auto"/>
          <w:sz w:val="28"/>
          <w:szCs w:val="28"/>
          <w:highlight w:val="none"/>
        </w:rPr>
        <w:t>七、合同签订</w:t>
      </w:r>
      <w:bookmarkEnd w:id="60"/>
      <w:bookmarkEnd w:id="61"/>
      <w:bookmarkEnd w:id="62"/>
      <w:bookmarkEnd w:id="63"/>
    </w:p>
    <w:p w14:paraId="6C027B5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签订合同</w:t>
      </w:r>
    </w:p>
    <w:p w14:paraId="11A4DA3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.1采购人应自中标通知书发出之日起</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日内，按中标通知书指定的时间、地点与中标人签订政府采购合同。所签订的合同不得对招标文件确定的事项和中标人投标文件作实质性修改。</w:t>
      </w:r>
    </w:p>
    <w:p w14:paraId="0400DDB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.2招标文件、中标人的投标文件均为签订合同的依据。</w:t>
      </w:r>
    </w:p>
    <w:p w14:paraId="4E480554">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.3联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标的</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体各</w:t>
      </w:r>
      <w:r>
        <w:rPr>
          <w:rFonts w:hint="eastAsia" w:ascii="宋体" w:hAnsi="宋体" w:eastAsia="宋体" w:cs="宋体"/>
          <w:color w:val="auto"/>
          <w:spacing w:val="-2"/>
          <w:kern w:val="0"/>
          <w:szCs w:val="21"/>
          <w:highlight w:val="none"/>
        </w:rPr>
        <w:t>方</w:t>
      </w:r>
      <w:r>
        <w:rPr>
          <w:rFonts w:hint="eastAsia" w:ascii="宋体" w:hAnsi="宋体" w:eastAsia="宋体" w:cs="宋体"/>
          <w:color w:val="auto"/>
          <w:kern w:val="0"/>
          <w:szCs w:val="21"/>
          <w:highlight w:val="none"/>
        </w:rPr>
        <w:t>应</w:t>
      </w:r>
      <w:r>
        <w:rPr>
          <w:rFonts w:hint="eastAsia" w:ascii="宋体" w:hAnsi="宋体" w:eastAsia="宋体" w:cs="宋体"/>
          <w:color w:val="auto"/>
          <w:spacing w:val="-2"/>
          <w:kern w:val="0"/>
          <w:szCs w:val="21"/>
          <w:highlight w:val="none"/>
        </w:rPr>
        <w:t>当</w:t>
      </w:r>
      <w:r>
        <w:rPr>
          <w:rFonts w:hint="eastAsia" w:ascii="宋体" w:hAnsi="宋体" w:eastAsia="宋体" w:cs="宋体"/>
          <w:color w:val="auto"/>
          <w:kern w:val="0"/>
          <w:szCs w:val="21"/>
          <w:highlight w:val="none"/>
        </w:rPr>
        <w:t>共</w:t>
      </w:r>
      <w:r>
        <w:rPr>
          <w:rFonts w:hint="eastAsia" w:ascii="宋体" w:hAnsi="宋体" w:eastAsia="宋体" w:cs="宋体"/>
          <w:color w:val="auto"/>
          <w:spacing w:val="-2"/>
          <w:kern w:val="0"/>
          <w:szCs w:val="21"/>
          <w:highlight w:val="none"/>
        </w:rPr>
        <w:t>同</w:t>
      </w:r>
      <w:r>
        <w:rPr>
          <w:rFonts w:hint="eastAsia" w:ascii="宋体" w:hAnsi="宋体" w:eastAsia="宋体" w:cs="宋体"/>
          <w:color w:val="auto"/>
          <w:kern w:val="0"/>
          <w:szCs w:val="21"/>
          <w:highlight w:val="none"/>
        </w:rPr>
        <w:t>与</w:t>
      </w:r>
      <w:r>
        <w:rPr>
          <w:rFonts w:hint="eastAsia" w:ascii="宋体" w:hAnsi="宋体" w:eastAsia="宋体" w:cs="宋体"/>
          <w:color w:val="auto"/>
          <w:spacing w:val="-2"/>
          <w:kern w:val="0"/>
          <w:szCs w:val="21"/>
          <w:highlight w:val="none"/>
        </w:rPr>
        <w:t>采购人</w:t>
      </w:r>
      <w:r>
        <w:rPr>
          <w:rFonts w:hint="eastAsia" w:ascii="宋体" w:hAnsi="宋体" w:eastAsia="宋体" w:cs="宋体"/>
          <w:color w:val="auto"/>
          <w:kern w:val="0"/>
          <w:szCs w:val="21"/>
          <w:highlight w:val="none"/>
        </w:rPr>
        <w:t>签订</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同</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就</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项</w:t>
      </w:r>
      <w:r>
        <w:rPr>
          <w:rFonts w:hint="eastAsia" w:ascii="宋体" w:hAnsi="宋体" w:eastAsia="宋体" w:cs="宋体"/>
          <w:color w:val="auto"/>
          <w:kern w:val="0"/>
          <w:szCs w:val="21"/>
          <w:highlight w:val="none"/>
        </w:rPr>
        <w:t>目</w:t>
      </w:r>
      <w:r>
        <w:rPr>
          <w:rFonts w:hint="eastAsia" w:ascii="宋体" w:hAnsi="宋体" w:eastAsia="宋体" w:cs="宋体"/>
          <w:color w:val="auto"/>
          <w:spacing w:val="-2"/>
          <w:kern w:val="0"/>
          <w:szCs w:val="21"/>
          <w:highlight w:val="none"/>
        </w:rPr>
        <w:t>向</w:t>
      </w:r>
      <w:r>
        <w:rPr>
          <w:rFonts w:hint="eastAsia" w:ascii="宋体" w:hAnsi="宋体" w:eastAsia="宋体" w:cs="宋体"/>
          <w:color w:val="auto"/>
          <w:kern w:val="0"/>
          <w:szCs w:val="21"/>
          <w:highlight w:val="none"/>
        </w:rPr>
        <w:t>采购人承</w:t>
      </w:r>
      <w:r>
        <w:rPr>
          <w:rFonts w:hint="eastAsia" w:ascii="宋体" w:hAnsi="宋体" w:eastAsia="宋体" w:cs="宋体"/>
          <w:color w:val="auto"/>
          <w:spacing w:val="-2"/>
          <w:kern w:val="0"/>
          <w:szCs w:val="21"/>
          <w:highlight w:val="none"/>
        </w:rPr>
        <w:t>担</w:t>
      </w:r>
      <w:r>
        <w:rPr>
          <w:rFonts w:hint="eastAsia" w:ascii="宋体" w:hAnsi="宋体" w:eastAsia="宋体" w:cs="宋体"/>
          <w:color w:val="auto"/>
          <w:kern w:val="0"/>
          <w:szCs w:val="21"/>
          <w:highlight w:val="none"/>
        </w:rPr>
        <w:t>连带责</w:t>
      </w:r>
      <w:r>
        <w:rPr>
          <w:rFonts w:hint="eastAsia" w:ascii="宋体" w:hAnsi="宋体" w:eastAsia="宋体" w:cs="宋体"/>
          <w:color w:val="auto"/>
          <w:spacing w:val="-2"/>
          <w:kern w:val="0"/>
          <w:szCs w:val="21"/>
          <w:highlight w:val="none"/>
        </w:rPr>
        <w:t>任</w:t>
      </w:r>
      <w:r>
        <w:rPr>
          <w:rFonts w:hint="eastAsia" w:ascii="宋体" w:hAnsi="宋体" w:eastAsia="宋体" w:cs="宋体"/>
          <w:color w:val="auto"/>
          <w:kern w:val="0"/>
          <w:szCs w:val="21"/>
          <w:highlight w:val="none"/>
        </w:rPr>
        <w:t>。</w:t>
      </w:r>
    </w:p>
    <w:p w14:paraId="647E4E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.4中标合同将在招标公告指定媒体上公告，但合同中涉及国家秘密、商业秘密的内容除外。</w:t>
      </w:r>
    </w:p>
    <w:p w14:paraId="7664D7F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.5中标人</w:t>
      </w:r>
      <w:r>
        <w:rPr>
          <w:rFonts w:hint="eastAsia" w:ascii="宋体" w:hAnsi="宋体" w:eastAsia="宋体" w:cs="宋体"/>
          <w:bCs/>
          <w:color w:val="auto"/>
          <w:szCs w:val="21"/>
          <w:highlight w:val="none"/>
        </w:rPr>
        <w:t>应当按照合同约定依法履行合同义务。政府采购合同的履行、违约责任和解决争议的方法等适用《</w:t>
      </w:r>
      <w:r>
        <w:rPr>
          <w:rFonts w:hint="eastAsia" w:ascii="宋体" w:hAnsi="宋体" w:eastAsia="宋体" w:cs="宋体"/>
          <w:bCs/>
          <w:color w:val="auto"/>
          <w:szCs w:val="21"/>
          <w:highlight w:val="none"/>
          <w:lang w:eastAsia="zh-CN"/>
        </w:rPr>
        <w:t>中华人民共和国民法典</w:t>
      </w:r>
      <w:r>
        <w:rPr>
          <w:rFonts w:hint="eastAsia" w:ascii="宋体" w:hAnsi="宋体" w:eastAsia="宋体" w:cs="宋体"/>
          <w:bCs/>
          <w:color w:val="auto"/>
          <w:szCs w:val="21"/>
          <w:highlight w:val="none"/>
        </w:rPr>
        <w:t>》。</w:t>
      </w:r>
    </w:p>
    <w:p w14:paraId="2644EDCF">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29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政府采购合同履行中</w:t>
      </w:r>
      <w:r>
        <w:rPr>
          <w:rFonts w:hint="eastAsia" w:ascii="宋体" w:hAnsi="宋体" w:eastAsia="宋体" w:cs="宋体"/>
          <w:b/>
          <w:bCs/>
          <w:color w:val="auto"/>
          <w:sz w:val="24"/>
          <w:highlight w:val="none"/>
        </w:rPr>
        <w:t>数量的变更</w:t>
      </w:r>
    </w:p>
    <w:p w14:paraId="17110F26">
      <w:pPr>
        <w:adjustRightInd w:val="0"/>
        <w:snapToGrid w:val="0"/>
        <w:spacing w:before="156" w:beforeLines="50" w:line="360" w:lineRule="auto"/>
        <w:ind w:firstLine="42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highlight w:val="none"/>
          <w:lang w:val="en-US" w:eastAsia="zh-CN"/>
        </w:rPr>
        <w:t>29</w:t>
      </w:r>
      <w:r>
        <w:rPr>
          <w:rFonts w:hint="eastAsia" w:ascii="宋体" w:hAnsi="宋体" w:eastAsia="宋体" w:cs="宋体"/>
          <w:color w:val="auto"/>
          <w:highlight w:val="none"/>
        </w:rPr>
        <w:t>.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7C045D7A">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4" w:name="_Toc8027"/>
      <w:bookmarkStart w:id="65" w:name="_Toc29913904"/>
      <w:bookmarkStart w:id="66" w:name="_Toc13234"/>
      <w:bookmarkStart w:id="67" w:name="_Toc14155"/>
      <w:r>
        <w:rPr>
          <w:rFonts w:hint="eastAsia" w:ascii="宋体" w:hAnsi="宋体" w:eastAsia="宋体" w:cs="宋体"/>
          <w:color w:val="auto"/>
          <w:sz w:val="28"/>
          <w:szCs w:val="28"/>
          <w:highlight w:val="none"/>
        </w:rPr>
        <w:t>八、政府采购政策</w:t>
      </w:r>
      <w:bookmarkEnd w:id="64"/>
      <w:bookmarkEnd w:id="65"/>
      <w:bookmarkEnd w:id="66"/>
      <w:bookmarkEnd w:id="67"/>
    </w:p>
    <w:p w14:paraId="73B87E69">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政府采购政策</w:t>
      </w:r>
    </w:p>
    <w:p w14:paraId="1A750770">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.1优先采购：</w:t>
      </w:r>
    </w:p>
    <w:p w14:paraId="21AE5E85">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1"/>
          <w:highlight w:val="none"/>
        </w:rPr>
        <w:t>纳入财政部会同国务院有关部门发布的节能产品、环境标志产品政府采购品目清单，实施政府优先采购的，评审时按招标文件第四章第一节有关规定给予一定比例的价格折扣或者加分；</w:t>
      </w:r>
      <w:r>
        <w:rPr>
          <w:rFonts w:hint="eastAsia" w:ascii="宋体" w:hAnsi="宋体" w:eastAsia="宋体" w:cs="宋体"/>
          <w:color w:val="auto"/>
          <w:highlight w:val="none"/>
        </w:rPr>
        <w:t xml:space="preserve"> </w:t>
      </w:r>
    </w:p>
    <w:p w14:paraId="2D18034F">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.2强制采购：</w:t>
      </w:r>
    </w:p>
    <w:p w14:paraId="66B413A0">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（1）纳入财政部会同国务院有关部门发布的节能产品政府采购品目清单，实施政府强制采购的（品目清单标注</w:t>
      </w:r>
      <w:r>
        <w:rPr>
          <w:rFonts w:hint="eastAsia" w:ascii="宋体" w:hAnsi="宋体" w:eastAsia="宋体" w:cs="宋体"/>
          <w:color w:val="auto"/>
          <w:kern w:val="0"/>
          <w:highlight w:val="none"/>
        </w:rPr>
        <w:sym w:font="Wingdings" w:char="F0AB"/>
      </w:r>
      <w:r>
        <w:rPr>
          <w:rFonts w:hint="eastAsia" w:ascii="宋体" w:hAnsi="宋体" w:eastAsia="宋体" w:cs="宋体"/>
          <w:color w:val="auto"/>
          <w:kern w:val="0"/>
          <w:highlight w:val="none"/>
        </w:rPr>
        <w:t>符号产品），投标人投标产品应当取得国家确定的认证机构出具的、处于有效期之内的节能产品认证证书，否则其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highlight w:val="none"/>
        </w:rPr>
        <w:t>。</w:t>
      </w:r>
    </w:p>
    <w:p w14:paraId="396AE12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.3价格评审优惠：</w:t>
      </w:r>
    </w:p>
    <w:p w14:paraId="0CCEC54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74ADF4F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0DA46181">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1EBB69F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（3）符合中小企业划分标准的个体工商户视同中小企业，享受评审中价格扣除等促进中小企业发展的政府采购政策。</w:t>
      </w:r>
    </w:p>
    <w:p w14:paraId="329890DC">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（4）监狱企业、残疾人福利性单位视同小型、微型企业，享受评审中价格扣除等促进中小企业发展的政府采购政策。</w:t>
      </w:r>
    </w:p>
    <w:p w14:paraId="00E78C8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（5）与大企业的负责人为同一人，或者与大企业存在直接控股、管理关系的中小企业，不享受评审中价格扣除等促进中小企业发展的政府采购政策。 </w:t>
      </w:r>
    </w:p>
    <w:p w14:paraId="4DB1937E">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（6）本章第1.2款规定采购项目或者采购包属于“预留采购份额”的，预留部分不再享受本款“价格评审优惠”的小微企业扶持政策。</w:t>
      </w:r>
    </w:p>
    <w:p w14:paraId="0521B62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.4政府采购政策交叉与叠加</w:t>
      </w:r>
    </w:p>
    <w:p w14:paraId="74A95F87">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（1）投标产品取得两个及以上优先采购产品认证的，评审时只有其中一项产品能享受优先采购优惠（投标人自行选择，并在投标文件中并填报相关信息及数据）</w:t>
      </w:r>
    </w:p>
    <w:p w14:paraId="6FD41C62">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（2）投标人同时符合小型、微型企业及监狱企业、残疾人福利性单位要求的，评审时只有一种类型享受价格评审优惠政策；</w:t>
      </w:r>
    </w:p>
    <w:p w14:paraId="1CC29343">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（3）小型和微型企业的价格评审优惠可以与同时属于“节能产品”、“环境标志产品”中的一项优先采购优惠累加计算。</w:t>
      </w:r>
    </w:p>
    <w:p w14:paraId="6C617EF5">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.5在货物采购项目中，供应商提供的货物既有中小企业制造货物，也有大型企业制造货物的，不享受政府采购中小企业扶持政策。</w:t>
      </w:r>
    </w:p>
    <w:p w14:paraId="1CDABE80">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.6投标人符合本章第3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.1款、第3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.2款、第3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.3款规定的，应提供相关证明资料。</w:t>
      </w:r>
    </w:p>
    <w:p w14:paraId="192E39E1">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（1）节能产品、环境标志产品：提供国家确定的认证机构出具的、处于有效期之内的节能产品、环境标志产品认证证书。</w:t>
      </w:r>
    </w:p>
    <w:p w14:paraId="502BB626">
      <w:pPr>
        <w:shd w:val="clear" w:color="auto" w:fill="auto"/>
        <w:adjustRightInd w:val="0"/>
        <w:snapToGrid w:val="0"/>
        <w:spacing w:before="156" w:beforeLines="50" w:line="360" w:lineRule="auto"/>
        <w:ind w:firstLine="420" w:firstLineChars="200"/>
        <w:jc w:val="left"/>
        <w:rPr>
          <w:rFonts w:ascii="宋体" w:hAnsi="宋体"/>
          <w:color w:val="auto"/>
          <w:szCs w:val="21"/>
          <w:highlight w:val="none"/>
          <w:shd w:val="clear" w:color="auto" w:fill="auto"/>
        </w:rPr>
      </w:pPr>
      <w:r>
        <w:rPr>
          <w:rFonts w:hint="eastAsia" w:ascii="宋体" w:hAnsi="宋体"/>
          <w:color w:val="auto"/>
          <w:highlight w:val="none"/>
          <w:shd w:val="clear" w:color="auto" w:fill="auto"/>
        </w:rPr>
        <w:t>（2）中小企业：货物类采购项目，按《关于印发＜政府采购促进中小企业发展办法＞的通知》(财库[2020]46号)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shd w:val="clear" w:color="auto" w:fill="auto"/>
        </w:rPr>
        <w:t>。</w:t>
      </w:r>
    </w:p>
    <w:p w14:paraId="462B9708">
      <w:pPr>
        <w:pStyle w:val="58"/>
        <w:shd w:val="clear" w:color="auto" w:fill="auto"/>
        <w:spacing w:line="360" w:lineRule="auto"/>
        <w:rPr>
          <w:rFonts w:ascii="宋体" w:hAnsi="宋体"/>
          <w:color w:val="auto"/>
          <w:szCs w:val="24"/>
          <w:highlight w:val="none"/>
          <w:shd w:val="clear" w:color="auto" w:fill="auto"/>
        </w:rPr>
      </w:pPr>
      <w:r>
        <w:rPr>
          <w:rFonts w:hint="eastAsia" w:ascii="宋体" w:hAnsi="宋体"/>
          <w:color w:val="auto"/>
          <w:szCs w:val="24"/>
          <w:highlight w:val="none"/>
          <w:shd w:val="clear" w:color="auto" w:fill="auto"/>
        </w:rPr>
        <w:t>（3）监狱企业：按《关于政府采购支持监狱企业发展有关问题的通知》(财库〔2014〕68号)文件规定提供证明文件。</w:t>
      </w:r>
    </w:p>
    <w:p w14:paraId="17EC4457">
      <w:pPr>
        <w:pStyle w:val="58"/>
        <w:shd w:val="clear" w:color="auto" w:fill="auto"/>
        <w:spacing w:line="360" w:lineRule="auto"/>
        <w:rPr>
          <w:rFonts w:ascii="宋体" w:hAnsi="宋体"/>
          <w:color w:val="auto"/>
          <w:szCs w:val="24"/>
          <w:highlight w:val="none"/>
          <w:shd w:val="clear" w:color="auto" w:fill="auto"/>
        </w:rPr>
      </w:pPr>
      <w:r>
        <w:rPr>
          <w:rFonts w:hint="eastAsia" w:ascii="宋体" w:hAnsi="宋体"/>
          <w:color w:val="auto"/>
          <w:szCs w:val="24"/>
          <w:highlight w:val="none"/>
          <w:shd w:val="clear" w:color="auto" w:fill="auto"/>
        </w:rPr>
        <w:t>（4）残疾人福利性单位：按《关于促进残疾人就业政府采购政策的通知》(财库〔2017〕141号)文件规定提供《残疾人福利性单位声明函》（格式）。</w:t>
      </w:r>
    </w:p>
    <w:p w14:paraId="6EA1D4B6">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.7执行中小企业预留采购份额政策的规定：</w:t>
      </w:r>
    </w:p>
    <w:p w14:paraId="18A0FE47">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（1）预留份额的采购项目或者采购包，应明确该项目或相关采购包专门面向中小企业采购，并作为供应商资格条件。</w:t>
      </w:r>
    </w:p>
    <w:p w14:paraId="540D7708">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（2）要求以联合体形式参加或者合同分包的，应明确联合协议或者分包意向协议中中小企业合同金额应当达到的比例，并作为供应商资格条件。</w:t>
      </w:r>
    </w:p>
    <w:p w14:paraId="5DFD638F">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（3）组成联合体或者接受分包合同的中小企业与联合体内其他企业(成员)、分包企业(投标人)之间不得存在直接控股、管理关系。</w:t>
      </w:r>
    </w:p>
    <w:p w14:paraId="14EFA0F3">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.8采购进口产品</w:t>
      </w:r>
    </w:p>
    <w:p w14:paraId="7E59017E">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s="宋体"/>
          <w:color w:val="auto"/>
          <w:kern w:val="0"/>
          <w:szCs w:val="21"/>
          <w:highlight w:val="none"/>
          <w:shd w:val="clear" w:color="auto" w:fill="auto"/>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shd w:val="clear" w:color="auto" w:fill="auto"/>
        </w:rPr>
        <w:t>【投标须知前附表】</w:t>
      </w:r>
      <w:r>
        <w:rPr>
          <w:rFonts w:hint="eastAsia" w:ascii="宋体" w:hAnsi="宋体" w:cs="宋体"/>
          <w:color w:val="auto"/>
          <w:kern w:val="0"/>
          <w:szCs w:val="21"/>
          <w:highlight w:val="none"/>
          <w:shd w:val="clear" w:color="auto" w:fill="auto"/>
        </w:rPr>
        <w:t>另有规定外，采购项目</w:t>
      </w:r>
      <w:r>
        <w:rPr>
          <w:rFonts w:hint="eastAsia" w:ascii="宋体" w:hAnsi="宋体" w:cs="宋体"/>
          <w:b/>
          <w:color w:val="auto"/>
          <w:kern w:val="0"/>
          <w:szCs w:val="21"/>
          <w:highlight w:val="none"/>
          <w:shd w:val="clear" w:color="auto" w:fill="auto"/>
        </w:rPr>
        <w:t>拒绝进口产品参加投标</w:t>
      </w:r>
      <w:r>
        <w:rPr>
          <w:rFonts w:hint="eastAsia" w:ascii="宋体" w:hAnsi="宋体" w:cs="宋体"/>
          <w:color w:val="auto"/>
          <w:kern w:val="0"/>
          <w:szCs w:val="21"/>
          <w:highlight w:val="none"/>
          <w:shd w:val="clear" w:color="auto" w:fill="auto"/>
        </w:rPr>
        <w:t>。本款规定同意购买进口产品的，不限制满足招标文件要求的国内产品参与投标竞争。</w:t>
      </w:r>
    </w:p>
    <w:p w14:paraId="2C254A4E">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.9投标人有融资、担保需求的，可登陆中国湖南政府采购网查询相关银行、担保机构业务。</w:t>
      </w:r>
    </w:p>
    <w:p w14:paraId="1A1FB3E4">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8" w:name="_Toc29913905"/>
      <w:bookmarkStart w:id="69" w:name="_Toc29504"/>
      <w:bookmarkStart w:id="70" w:name="_Toc21705"/>
      <w:bookmarkStart w:id="71" w:name="_Toc4249"/>
      <w:r>
        <w:rPr>
          <w:rFonts w:hint="eastAsia" w:ascii="宋体" w:hAnsi="宋体" w:eastAsia="宋体" w:cs="宋体"/>
          <w:color w:val="auto"/>
          <w:sz w:val="28"/>
          <w:szCs w:val="28"/>
          <w:highlight w:val="none"/>
        </w:rPr>
        <w:t>九、其他规定</w:t>
      </w:r>
      <w:bookmarkEnd w:id="68"/>
      <w:bookmarkEnd w:id="69"/>
      <w:bookmarkEnd w:id="70"/>
      <w:bookmarkEnd w:id="71"/>
    </w:p>
    <w:p w14:paraId="39B50D47">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招标不足三家处理</w:t>
      </w:r>
    </w:p>
    <w:p w14:paraId="6D56ADA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.1公开招标数额标准以上的采购项目，投标截止后投标人不足3家或者通过资格审查或符合性审查的投标人不足3家的，除采购任务取消情形外，按照以下方式处理：</w:t>
      </w:r>
    </w:p>
    <w:p w14:paraId="5B02BE9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（1）招标文件存在不合理条款或者招标程序不符合规定的，采购人、采购代理机构改正后依法重新招标；</w:t>
      </w:r>
    </w:p>
    <w:p w14:paraId="2546F0E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（2）招标文件没有不合理条款、招标程序符合规定，需要采用其他采购方式采购的，采购人应当依法报财政部门批准。</w:t>
      </w:r>
    </w:p>
    <w:p w14:paraId="47EB9B4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.2属上款第（2）项情形的，评标委员会应出具招标文件没有不合理条款的论证意见。</w:t>
      </w:r>
    </w:p>
    <w:p w14:paraId="535A2707">
      <w:pPr>
        <w:adjustRightInd w:val="0"/>
        <w:snapToGrid w:val="0"/>
        <w:spacing w:before="156" w:beforeLines="50" w:line="360" w:lineRule="auto"/>
        <w:jc w:val="left"/>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eastAsia="zh-CN"/>
        </w:rPr>
        <w:t>采购代理服务费</w:t>
      </w:r>
    </w:p>
    <w:p w14:paraId="6F46FC6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采购代理服务费</w:t>
      </w:r>
      <w:r>
        <w:rPr>
          <w:rFonts w:hint="eastAsia" w:ascii="宋体" w:hAnsi="宋体" w:eastAsia="宋体" w:cs="宋体"/>
          <w:color w:val="auto"/>
          <w:szCs w:val="21"/>
          <w:highlight w:val="none"/>
        </w:rPr>
        <w:t>由采购人支付。</w:t>
      </w:r>
    </w:p>
    <w:p w14:paraId="35238566">
      <w:pPr>
        <w:adjustRightInd w:val="0"/>
        <w:snapToGrid w:val="0"/>
        <w:spacing w:before="156" w:beforeLines="50" w:line="360" w:lineRule="auto"/>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需要补充的其他内容</w:t>
      </w:r>
    </w:p>
    <w:p w14:paraId="1C82EFE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.1招标文件需要补充的其他内容见【投标须知前附表】。</w:t>
      </w:r>
    </w:p>
    <w:p w14:paraId="2F40D0E7">
      <w:pPr>
        <w:adjustRightInd w:val="0"/>
        <w:snapToGrid w:val="0"/>
        <w:spacing w:before="156" w:beforeLines="50" w:line="360" w:lineRule="auto"/>
        <w:ind w:firstLine="0"/>
        <w:jc w:val="left"/>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.电子招投标的应急措施</w:t>
      </w:r>
    </w:p>
    <w:p w14:paraId="1D3428F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.1电子开标、评标如出现下列情形，导致系统短时间内无法恢复正常运行，影响到招投标</w:t>
      </w:r>
      <w:r>
        <w:rPr>
          <w:rFonts w:hint="eastAsia" w:ascii="宋体" w:hAnsi="宋体" w:eastAsia="宋体" w:cs="宋体"/>
          <w:bCs/>
          <w:color w:val="auto"/>
          <w:szCs w:val="21"/>
          <w:highlight w:val="none"/>
        </w:rPr>
        <w:t>活动无法继续开展</w:t>
      </w:r>
      <w:r>
        <w:rPr>
          <w:rFonts w:hint="eastAsia" w:ascii="宋体" w:hAnsi="宋体" w:eastAsia="宋体" w:cs="宋体"/>
          <w:color w:val="auto"/>
          <w:szCs w:val="21"/>
          <w:highlight w:val="none"/>
        </w:rPr>
        <w:t xml:space="preserve">时，按交易中心应急预案措施执行： </w:t>
      </w:r>
    </w:p>
    <w:p w14:paraId="6FEB5DF9">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（1）系统服务器发生故障，无法访问或无法使用系统； </w:t>
      </w:r>
    </w:p>
    <w:p w14:paraId="40BBF400">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（2）系统的软件或数据库出现错误，不能进行正常操作； </w:t>
      </w:r>
    </w:p>
    <w:p w14:paraId="1BE9444A">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（3）系统发现有安全漏洞，有潜在的泄密危险； </w:t>
      </w:r>
    </w:p>
    <w:p w14:paraId="44114DF5">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（4）病毒发作或受到外来病毒的攻击；</w:t>
      </w:r>
    </w:p>
    <w:p w14:paraId="6F6B4C80">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（5）网络故障，无法访问或无法使用系统；</w:t>
      </w:r>
    </w:p>
    <w:p w14:paraId="7A08EC35">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（6）电力中断等其他特殊情况。</w:t>
      </w:r>
    </w:p>
    <w:p w14:paraId="03304C4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.2出现上述情况之一时，经交易中心相关部门确认：</w:t>
      </w:r>
      <w:r>
        <w:rPr>
          <w:rFonts w:hint="eastAsia" w:ascii="宋体" w:hAnsi="宋体" w:eastAsia="宋体" w:cs="宋体"/>
          <w:bCs/>
          <w:color w:val="auto"/>
          <w:szCs w:val="21"/>
          <w:highlight w:val="none"/>
        </w:rPr>
        <w:t>采购人或采购代理机构可选择采取如下措施，投标人不得对此持有异议。</w:t>
      </w:r>
    </w:p>
    <w:p w14:paraId="6CCB66F6">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（1）酌情延长投标文件文件解密时间，采取远程解密等，以保障招投标活动的继续实施；</w:t>
      </w:r>
    </w:p>
    <w:p w14:paraId="1BB59A7A">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（2）项目作延期开标处理，待系统恢复后再进行开标活动；</w:t>
      </w:r>
    </w:p>
    <w:p w14:paraId="28F98E0E">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（3）对已在评标的项目，评标委员会酌情延期进行评审，待系统恢复后再进行评审工作。</w:t>
      </w:r>
    </w:p>
    <w:p w14:paraId="24E837EB">
      <w:pPr>
        <w:pStyle w:val="23"/>
        <w:adjustRightInd w:val="0"/>
        <w:snapToGrid w:val="0"/>
        <w:spacing w:line="360" w:lineRule="auto"/>
        <w:ind w:firstLine="0"/>
        <w:jc w:val="center"/>
        <w:outlineLvl w:val="0"/>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bookmarkStart w:id="72" w:name="_Toc29913906"/>
      <w:bookmarkStart w:id="73" w:name="_Toc8014"/>
      <w:bookmarkStart w:id="74" w:name="_Toc19262"/>
      <w:r>
        <w:rPr>
          <w:rFonts w:hint="eastAsia" w:ascii="宋体" w:hAnsi="宋体" w:eastAsia="宋体" w:cs="宋体"/>
          <w:b/>
          <w:color w:val="auto"/>
          <w:sz w:val="32"/>
          <w:szCs w:val="32"/>
          <w:highlight w:val="none"/>
        </w:rPr>
        <w:t>第三章 资格审查</w:t>
      </w:r>
      <w:bookmarkEnd w:id="72"/>
      <w:bookmarkEnd w:id="73"/>
      <w:bookmarkEnd w:id="74"/>
    </w:p>
    <w:p w14:paraId="62133912">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75" w:name="_Toc6313"/>
      <w:bookmarkStart w:id="76" w:name="_Toc15106"/>
      <w:bookmarkStart w:id="77" w:name="_Toc6307"/>
      <w:bookmarkStart w:id="78" w:name="_Toc29913907"/>
      <w:r>
        <w:rPr>
          <w:rFonts w:hint="eastAsia" w:ascii="宋体" w:hAnsi="宋体" w:eastAsia="宋体" w:cs="宋体"/>
          <w:color w:val="auto"/>
          <w:sz w:val="24"/>
          <w:szCs w:val="24"/>
          <w:highlight w:val="none"/>
        </w:rPr>
        <w:t>1．资格审查主体</w:t>
      </w:r>
      <w:bookmarkEnd w:id="75"/>
      <w:bookmarkEnd w:id="76"/>
      <w:bookmarkEnd w:id="77"/>
      <w:bookmarkEnd w:id="78"/>
    </w:p>
    <w:p w14:paraId="4B91E282">
      <w:pPr>
        <w:adjustRightInd w:val="0"/>
        <w:snapToGrid w:val="0"/>
        <w:spacing w:before="156" w:beforeLines="50" w:line="360" w:lineRule="auto"/>
        <w:ind w:firstLine="417" w:firstLineChars="199"/>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1.1资格审查主体：采购人、采购代理机构负责资格审查。</w:t>
      </w:r>
    </w:p>
    <w:p w14:paraId="091522E4">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79" w:name="_Toc6810"/>
      <w:bookmarkStart w:id="80" w:name="_Toc15161"/>
      <w:bookmarkStart w:id="81" w:name="_Toc29312"/>
      <w:bookmarkStart w:id="82" w:name="_Toc29913908"/>
      <w:r>
        <w:rPr>
          <w:rFonts w:hint="eastAsia" w:ascii="宋体" w:hAnsi="宋体" w:eastAsia="宋体" w:cs="宋体"/>
          <w:color w:val="auto"/>
          <w:sz w:val="24"/>
          <w:szCs w:val="24"/>
          <w:highlight w:val="none"/>
        </w:rPr>
        <w:t>2．资格审查</w:t>
      </w:r>
      <w:bookmarkEnd w:id="79"/>
      <w:bookmarkEnd w:id="80"/>
      <w:bookmarkEnd w:id="81"/>
      <w:bookmarkEnd w:id="82"/>
    </w:p>
    <w:p w14:paraId="7C26B72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2.1资格审查依据法律法规和招标文件的规定，对投标文件中的资格证明文件、投标报价等进行审查，以确定投标供应商是否具备投标资格。</w:t>
      </w:r>
    </w:p>
    <w:p w14:paraId="3DFC3CE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2.2在资格审查时，投标人存在下列情况之一的，资格审查不合格，其投标无效：</w:t>
      </w:r>
    </w:p>
    <w:p w14:paraId="14E6431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（1）不具备招标文件中规定的资格要求的，或提交的资格证明文件不符合招标文件要求的；</w:t>
      </w:r>
    </w:p>
    <w:p w14:paraId="3DDD1C4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（2）联合体投标未提交联合体协议书，或未提交联合体各方资格证明文件的；</w:t>
      </w:r>
    </w:p>
    <w:p w14:paraId="2DC2E52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（3）投标文件的资格证明文件未按照招标文件要求进行电子签名、盖章的；</w:t>
      </w:r>
    </w:p>
    <w:p w14:paraId="51022D1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）投标报价超过招标文件中规定的预算金额或者最高限价的；</w:t>
      </w:r>
    </w:p>
    <w:p w14:paraId="7C2D33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）法律、法规和招标文件规定的其他投标无效情形的。</w:t>
      </w:r>
    </w:p>
    <w:p w14:paraId="7EF6A725">
      <w:pPr>
        <w:adjustRightInd w:val="0"/>
        <w:snapToGrid w:val="0"/>
        <w:spacing w:before="156" w:beforeLines="50" w:line="360" w:lineRule="auto"/>
        <w:ind w:firstLine="42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t>2.3信用记录。开标结束后</w:t>
      </w:r>
      <w:r>
        <w:rPr>
          <w:rFonts w:hint="eastAsia" w:ascii="宋体" w:hAnsi="宋体" w:eastAsia="宋体" w:cs="宋体"/>
          <w:color w:val="auto"/>
          <w:szCs w:val="21"/>
          <w:highlight w:val="none"/>
        </w:rPr>
        <w:t>资格审查时，采购人、采购代理机构将对投标人信用记录进行甄别。</w:t>
      </w:r>
    </w:p>
    <w:p w14:paraId="5F0BEAD8">
      <w:pP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bCs/>
          <w:color w:val="auto"/>
          <w:szCs w:val="21"/>
          <w:highlight w:val="none"/>
        </w:rPr>
        <w:t>（1）信用信息查询的查询渠道：</w:t>
      </w:r>
      <w:r>
        <w:rPr>
          <w:rFonts w:hint="eastAsia" w:ascii="宋体" w:hAnsi="宋体"/>
          <w:color w:val="auto"/>
          <w:szCs w:val="21"/>
          <w:highlight w:val="none"/>
        </w:rPr>
        <w:t>信用中国网（www.creditchina.gov.cn）、信用湖南(https:y/creditfgwhunan.gov.en)、信用郴州(http:/xycz.czs.gov.cn/ )、中国政府采购网(www.ccgp.gov.cn )、湖南省政府采购网(htp://www.ccgp-hunan.gov.cn/)；</w:t>
      </w:r>
    </w:p>
    <w:p w14:paraId="14CE775F">
      <w:pP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bCs/>
          <w:color w:val="auto"/>
          <w:szCs w:val="21"/>
          <w:highlight w:val="none"/>
        </w:rPr>
        <w:t>（2）不良信用记录是指：投标人在</w:t>
      </w:r>
      <w:r>
        <w:rPr>
          <w:rFonts w:hint="eastAsia" w:ascii="宋体" w:hAnsi="宋体"/>
          <w:color w:val="auto"/>
          <w:szCs w:val="21"/>
          <w:highlight w:val="none"/>
        </w:rPr>
        <w:t>“信用中国”、“信用湖南”、“信用郴州”网站被列入失信被执行人和重大税收违法案件当事人名单，或在“中国政府采购网”、"湖南省政府采购网”网站被列人政府采购严重违法失信行为记录名单。</w:t>
      </w:r>
      <w:r>
        <w:rPr>
          <w:rFonts w:hint="eastAsia" w:ascii="宋体" w:hAnsi="宋体"/>
          <w:b/>
          <w:bCs/>
          <w:color w:val="auto"/>
          <w:szCs w:val="21"/>
          <w:highlight w:val="none"/>
        </w:rPr>
        <w:t>投标人有上述不良信用记</w:t>
      </w:r>
      <w:r>
        <w:rPr>
          <w:rFonts w:hint="eastAsia" w:ascii="宋体" w:hAnsi="宋体"/>
          <w:b/>
          <w:bCs/>
          <w:color w:val="auto"/>
          <w:szCs w:val="21"/>
          <w:highlight w:val="none"/>
          <w:lang w:val="en-US" w:eastAsia="zh-CN"/>
        </w:rPr>
        <w:t>录投标无效，其中，列人政府采购严重违法失信行为记录名单的，按处罚结果执行。</w:t>
      </w:r>
    </w:p>
    <w:p w14:paraId="5B2130F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（3）联合体形式投标的，联合体成员存在不良信用记录的，视同联合体存在不良信用记录。</w:t>
      </w:r>
    </w:p>
    <w:p w14:paraId="0EC8DE1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（4）信用信息查询记录和证据留存具体方式：</w:t>
      </w:r>
      <w:r>
        <w:rPr>
          <w:rFonts w:hint="eastAsia" w:ascii="宋体" w:hAnsi="宋体" w:eastAsia="宋体" w:cs="宋体"/>
          <w:color w:val="auto"/>
          <w:sz w:val="22"/>
          <w:szCs w:val="22"/>
          <w:highlight w:val="none"/>
        </w:rPr>
        <w:t>由投</w:t>
      </w:r>
      <w:r>
        <w:rPr>
          <w:rFonts w:hint="eastAsia" w:ascii="宋体" w:hAnsi="宋体" w:eastAsia="宋体" w:cs="宋体"/>
          <w:color w:val="auto"/>
          <w:sz w:val="21"/>
          <w:szCs w:val="21"/>
          <w:highlight w:val="none"/>
        </w:rPr>
        <w:t>标人</w:t>
      </w:r>
      <w:r>
        <w:rPr>
          <w:rFonts w:hint="eastAsia" w:ascii="宋体" w:hAnsi="宋体" w:eastAsia="宋体" w:cs="宋体"/>
          <w:bCs/>
          <w:color w:val="auto"/>
          <w:sz w:val="21"/>
          <w:szCs w:val="21"/>
          <w:highlight w:val="none"/>
        </w:rPr>
        <w:t>在本项目招标</w:t>
      </w:r>
      <w:r>
        <w:rPr>
          <w:rFonts w:hint="eastAsia" w:ascii="宋体" w:hAnsi="宋体" w:eastAsia="宋体" w:cs="宋体"/>
          <w:bCs/>
          <w:color w:val="auto"/>
          <w:sz w:val="21"/>
          <w:szCs w:val="21"/>
          <w:highlight w:val="none"/>
          <w:lang w:eastAsia="zh-CN"/>
        </w:rPr>
        <w:t>公告发布时间之后</w:t>
      </w:r>
      <w:r>
        <w:rPr>
          <w:rFonts w:hint="eastAsia" w:ascii="宋体" w:hAnsi="宋体" w:eastAsia="宋体" w:cs="宋体"/>
          <w:bCs/>
          <w:color w:val="auto"/>
          <w:sz w:val="21"/>
          <w:szCs w:val="21"/>
          <w:highlight w:val="none"/>
        </w:rPr>
        <w:t>且</w:t>
      </w:r>
      <w:r>
        <w:rPr>
          <w:rFonts w:hint="eastAsia" w:ascii="宋体" w:hAnsi="宋体" w:eastAsia="宋体" w:cs="宋体"/>
          <w:color w:val="auto"/>
          <w:sz w:val="21"/>
          <w:szCs w:val="21"/>
          <w:highlight w:val="none"/>
        </w:rPr>
        <w:t>在投标截止时间前自行在指定网站查询并提供查询结果截</w:t>
      </w:r>
      <w:r>
        <w:rPr>
          <w:rFonts w:hint="eastAsia" w:ascii="宋体" w:hAnsi="宋体" w:eastAsia="宋体" w:cs="宋体"/>
          <w:color w:val="auto"/>
          <w:sz w:val="22"/>
          <w:szCs w:val="22"/>
          <w:highlight w:val="none"/>
        </w:rPr>
        <w:t>图资料。开标时间之后，本章指定网站信息发生的任何变更均不再作为资格审查依据。</w:t>
      </w:r>
    </w:p>
    <w:p w14:paraId="0DE3EB57">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83" w:name="_Toc30489"/>
      <w:bookmarkStart w:id="84" w:name="_Toc22283"/>
      <w:bookmarkStart w:id="85" w:name="_Toc29913909"/>
      <w:bookmarkStart w:id="86" w:name="_Toc27363"/>
      <w:r>
        <w:rPr>
          <w:rFonts w:hint="eastAsia" w:ascii="宋体" w:hAnsi="宋体" w:eastAsia="宋体" w:cs="宋体"/>
          <w:color w:val="auto"/>
          <w:sz w:val="24"/>
          <w:szCs w:val="24"/>
          <w:highlight w:val="none"/>
        </w:rPr>
        <w:t>3．资格审查结果</w:t>
      </w:r>
      <w:bookmarkEnd w:id="83"/>
      <w:bookmarkEnd w:id="84"/>
      <w:bookmarkEnd w:id="85"/>
      <w:bookmarkEnd w:id="86"/>
    </w:p>
    <w:p w14:paraId="7F493A7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3.1未通过资格审查的投标人，采购人、采购代理机构应当告知其未通过的原因。</w:t>
      </w:r>
    </w:p>
    <w:p w14:paraId="55C5BA3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3.2资格审查结束后，采购人、采购代理机构应将资格审查结果告知评标委员会。</w:t>
      </w:r>
    </w:p>
    <w:p w14:paraId="60251E96">
      <w:pPr>
        <w:adjustRightInd w:val="0"/>
        <w:snapToGrid w:val="0"/>
        <w:spacing w:before="156" w:beforeLines="50"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highlight w:val="none"/>
        </w:rPr>
        <w:br w:type="page"/>
      </w:r>
    </w:p>
    <w:p w14:paraId="11D4E597">
      <w:pPr>
        <w:pStyle w:val="5"/>
        <w:adjustRightInd w:val="0"/>
        <w:snapToGrid w:val="0"/>
        <w:spacing w:before="0" w:after="0" w:line="360" w:lineRule="auto"/>
        <w:rPr>
          <w:rFonts w:hint="eastAsia" w:ascii="宋体" w:hAnsi="宋体" w:eastAsia="宋体" w:cs="宋体"/>
          <w:color w:val="auto"/>
          <w:sz w:val="21"/>
          <w:szCs w:val="21"/>
          <w:highlight w:val="none"/>
        </w:rPr>
      </w:pPr>
      <w:bookmarkStart w:id="87" w:name="_Toc3093"/>
      <w:bookmarkStart w:id="88" w:name="_Toc20651210"/>
      <w:bookmarkStart w:id="89" w:name="_Toc11994"/>
      <w:bookmarkStart w:id="90" w:name="_Toc27072"/>
      <w:bookmarkStart w:id="91" w:name="_Toc29913910"/>
      <w:r>
        <w:rPr>
          <w:rFonts w:hint="eastAsia" w:ascii="宋体" w:hAnsi="宋体" w:eastAsia="宋体" w:cs="宋体"/>
          <w:color w:val="auto"/>
          <w:sz w:val="21"/>
          <w:szCs w:val="21"/>
          <w:highlight w:val="none"/>
        </w:rPr>
        <w:t>附表1资格审查表</w:t>
      </w:r>
      <w:bookmarkEnd w:id="87"/>
      <w:bookmarkEnd w:id="88"/>
      <w:bookmarkEnd w:id="89"/>
      <w:bookmarkEnd w:id="90"/>
    </w:p>
    <w:p w14:paraId="0F612A87">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资格审查表</w:t>
      </w:r>
    </w:p>
    <w:tbl>
      <w:tblPr>
        <w:tblStyle w:val="44"/>
        <w:tblW w:w="883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1"/>
        <w:gridCol w:w="3653"/>
        <w:gridCol w:w="4474"/>
      </w:tblGrid>
      <w:tr w14:paraId="07495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trPr>
        <w:tc>
          <w:tcPr>
            <w:tcW w:w="711" w:type="dxa"/>
            <w:noWrap w:val="0"/>
            <w:vAlign w:val="center"/>
          </w:tcPr>
          <w:p w14:paraId="2AEA6F05">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653" w:type="dxa"/>
            <w:noWrap w:val="0"/>
            <w:vAlign w:val="center"/>
          </w:tcPr>
          <w:p w14:paraId="49B54917">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4474" w:type="dxa"/>
            <w:noWrap w:val="0"/>
            <w:vAlign w:val="center"/>
          </w:tcPr>
          <w:p w14:paraId="510C8E57">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59DF7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6" w:hRule="atLeast"/>
        </w:trPr>
        <w:tc>
          <w:tcPr>
            <w:tcW w:w="711" w:type="dxa"/>
            <w:noWrap w:val="0"/>
            <w:vAlign w:val="center"/>
          </w:tcPr>
          <w:p w14:paraId="267D45EC">
            <w:pPr>
              <w:adjustRightInd w:val="0"/>
              <w:snapToGrid w:val="0"/>
              <w:spacing w:before="156" w:beforeLines="50"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653" w:type="dxa"/>
            <w:noWrap w:val="0"/>
            <w:vAlign w:val="center"/>
          </w:tcPr>
          <w:p w14:paraId="1AA64E26">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基本资格证明资料</w:t>
            </w:r>
          </w:p>
        </w:tc>
        <w:tc>
          <w:tcPr>
            <w:tcW w:w="4474" w:type="dxa"/>
            <w:noWrap w:val="0"/>
            <w:vAlign w:val="top"/>
          </w:tcPr>
          <w:p w14:paraId="5D25973B">
            <w:pPr>
              <w:pStyle w:val="58"/>
              <w:ind w:firstLine="0" w:firstLineChars="0"/>
              <w:rPr>
                <w:rFonts w:hint="eastAsia"/>
                <w:color w:val="auto"/>
                <w:highlight w:val="none"/>
              </w:rPr>
            </w:pPr>
            <w:r>
              <w:rPr>
                <w:rFonts w:hint="eastAsia" w:ascii="宋体" w:hAnsi="宋体" w:cs="宋体"/>
                <w:color w:val="auto"/>
                <w:highlight w:val="none"/>
              </w:rPr>
              <w:t>按照招标文件要求提交：1.1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r>
              <w:rPr>
                <w:rFonts w:hint="eastAsia" w:ascii="宋体" w:hAnsi="宋体" w:cs="宋体"/>
                <w:color w:val="auto"/>
                <w:highlight w:val="none"/>
              </w:rPr>
              <w:t>；</w:t>
            </w:r>
          </w:p>
        </w:tc>
      </w:tr>
      <w:tr w14:paraId="23A0C7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274F1BCD">
            <w:pPr>
              <w:adjustRightInd w:val="0"/>
              <w:snapToGrid w:val="0"/>
              <w:spacing w:before="156"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3653" w:type="dxa"/>
            <w:noWrap w:val="0"/>
            <w:vAlign w:val="center"/>
          </w:tcPr>
          <w:p w14:paraId="27D568AF">
            <w:pPr>
              <w:adjustRightInd w:val="0"/>
              <w:snapToGrid w:val="0"/>
              <w:spacing w:before="156" w:beforeLines="50"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特定资格证明材料</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如有</w:t>
            </w:r>
            <w:r>
              <w:rPr>
                <w:rFonts w:hint="eastAsia" w:ascii="宋体" w:hAnsi="宋体" w:cs="宋体"/>
                <w:color w:val="auto"/>
                <w:kern w:val="0"/>
                <w:szCs w:val="21"/>
                <w:highlight w:val="none"/>
                <w:lang w:eastAsia="zh-CN"/>
              </w:rPr>
              <w:t>）</w:t>
            </w:r>
          </w:p>
        </w:tc>
        <w:tc>
          <w:tcPr>
            <w:tcW w:w="4474" w:type="dxa"/>
            <w:noWrap w:val="0"/>
            <w:vAlign w:val="center"/>
          </w:tcPr>
          <w:p w14:paraId="35EF1C56">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按照招标文件要求提供特定资格证明材料的</w:t>
            </w:r>
          </w:p>
        </w:tc>
      </w:tr>
      <w:tr w14:paraId="4564E2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95" w:hRule="atLeast"/>
        </w:trPr>
        <w:tc>
          <w:tcPr>
            <w:tcW w:w="711" w:type="dxa"/>
            <w:noWrap w:val="0"/>
            <w:vAlign w:val="center"/>
          </w:tcPr>
          <w:p w14:paraId="2CA5229B">
            <w:pPr>
              <w:adjustRightInd w:val="0"/>
              <w:snapToGrid w:val="0"/>
              <w:spacing w:before="156" w:beforeLines="50"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3653" w:type="dxa"/>
            <w:noWrap w:val="0"/>
            <w:vAlign w:val="center"/>
          </w:tcPr>
          <w:p w14:paraId="1BA2F7B8">
            <w:pPr>
              <w:adjustRightInd w:val="0"/>
              <w:snapToGrid w:val="0"/>
              <w:spacing w:before="156" w:beforeLines="50" w:line="360" w:lineRule="auto"/>
              <w:rPr>
                <w:rFonts w:hint="eastAsia" w:ascii="宋体" w:hAnsi="宋体" w:cs="宋体"/>
                <w:color w:val="auto"/>
                <w:kern w:val="0"/>
                <w:szCs w:val="21"/>
                <w:highlight w:val="none"/>
              </w:rPr>
            </w:pPr>
            <w:r>
              <w:rPr>
                <w:rFonts w:hint="eastAsia" w:ascii="宋体" w:hAnsi="宋体" w:eastAsia="宋体" w:cs="宋体"/>
                <w:color w:val="auto"/>
                <w:kern w:val="0"/>
                <w:szCs w:val="21"/>
                <w:highlight w:val="none"/>
                <w:lang w:bidi="ar"/>
              </w:rPr>
              <w:t>按湘财购[2022]17号文件规定：符合法定条件的</w:t>
            </w:r>
            <w:r>
              <w:rPr>
                <w:rFonts w:hint="eastAsia" w:ascii="宋体" w:hAnsi="宋体" w:eastAsia="宋体" w:cs="宋体"/>
                <w:color w:val="auto"/>
                <w:kern w:val="0"/>
                <w:szCs w:val="21"/>
                <w:highlight w:val="none"/>
                <w:lang w:eastAsia="zh-CN" w:bidi="ar"/>
              </w:rPr>
              <w:t>投标人</w:t>
            </w:r>
            <w:r>
              <w:rPr>
                <w:rFonts w:hint="eastAsia" w:ascii="宋体" w:hAnsi="宋体" w:eastAsia="宋体" w:cs="宋体"/>
                <w:color w:val="auto"/>
                <w:kern w:val="0"/>
                <w:szCs w:val="21"/>
                <w:highlight w:val="none"/>
                <w:lang w:bidi="ar"/>
              </w:rPr>
              <w:t>凭《湖南省政府采购供应商资格承诺函》参与政府采购活动，也可通过在金融机构办理电子增信取得对应信用星级参与政府采购活动和电子卖场交易，无需提供财务状况、缴纳税收和社会保障资金等资格证明材料。</w:t>
            </w:r>
            <w:r>
              <w:rPr>
                <w:rFonts w:hint="eastAsia" w:ascii="宋体" w:hAnsi="宋体" w:eastAsia="宋体" w:cs="宋体"/>
                <w:color w:val="auto"/>
                <w:szCs w:val="21"/>
                <w:highlight w:val="none"/>
              </w:rPr>
              <w:t>湖南省政府采购供应商资格承诺函</w:t>
            </w:r>
            <w:r>
              <w:rPr>
                <w:rFonts w:hint="eastAsia" w:ascii="宋体" w:hAnsi="宋体" w:eastAsia="宋体" w:cs="宋体"/>
                <w:color w:val="auto"/>
                <w:szCs w:val="21"/>
                <w:highlight w:val="none"/>
                <w:lang w:eastAsia="zh-CN"/>
              </w:rPr>
              <w:t>。</w:t>
            </w:r>
          </w:p>
        </w:tc>
        <w:tc>
          <w:tcPr>
            <w:tcW w:w="4474" w:type="dxa"/>
            <w:noWrap w:val="0"/>
            <w:vAlign w:val="center"/>
          </w:tcPr>
          <w:p w14:paraId="5D4FA2B3">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供应商提交《湖南省政府采购供应商资格承诺函》</w:t>
            </w:r>
            <w:r>
              <w:rPr>
                <w:rFonts w:hint="eastAsia" w:ascii="宋体" w:hAnsi="宋体" w:eastAsia="宋体" w:cs="宋体"/>
                <w:color w:val="auto"/>
                <w:szCs w:val="21"/>
                <w:highlight w:val="none"/>
              </w:rPr>
              <w:t>，内容填写完整，签字盖章齐全。</w:t>
            </w:r>
          </w:p>
        </w:tc>
      </w:tr>
      <w:tr w14:paraId="52422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38367DA5">
            <w:pPr>
              <w:adjustRightInd w:val="0"/>
              <w:snapToGrid w:val="0"/>
              <w:spacing w:before="156" w:beforeLines="50"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3653" w:type="dxa"/>
            <w:noWrap w:val="0"/>
            <w:vAlign w:val="center"/>
          </w:tcPr>
          <w:p w14:paraId="467EF73E">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单位负责人为同一人或者存在直接控股、管理关系的书面说明</w:t>
            </w:r>
          </w:p>
        </w:tc>
        <w:tc>
          <w:tcPr>
            <w:tcW w:w="4474" w:type="dxa"/>
            <w:noWrap w:val="0"/>
            <w:vAlign w:val="center"/>
          </w:tcPr>
          <w:p w14:paraId="4DD3A9BD">
            <w:pPr>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供应商提交《投标人资格声明》，内容填写完整，签字盖章齐全。</w:t>
            </w:r>
          </w:p>
        </w:tc>
      </w:tr>
      <w:tr w14:paraId="5714EA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1FEE324D">
            <w:pPr>
              <w:adjustRightInd w:val="0"/>
              <w:snapToGrid w:val="0"/>
              <w:spacing w:before="156" w:beforeLines="50"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3653" w:type="dxa"/>
            <w:noWrap w:val="0"/>
            <w:vAlign w:val="top"/>
          </w:tcPr>
          <w:p w14:paraId="4A9EBC21">
            <w:pPr>
              <w:adjustRightInd w:val="0"/>
              <w:snapToGrid w:val="0"/>
              <w:spacing w:before="156" w:beforeLines="5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为本采购项目提供整体设计、规范编制或者项目管理、监理、检测等服务的，不得再参加此项目的其他招标采购活动</w:t>
            </w:r>
          </w:p>
        </w:tc>
        <w:tc>
          <w:tcPr>
            <w:tcW w:w="4474" w:type="dxa"/>
            <w:noWrap w:val="0"/>
            <w:vAlign w:val="center"/>
          </w:tcPr>
          <w:p w14:paraId="3680099E">
            <w:pPr>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供应商提交《投标人资格声明》，内容填写完整，签字盖章齐全。</w:t>
            </w:r>
          </w:p>
        </w:tc>
      </w:tr>
      <w:tr w14:paraId="4DC240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3" w:hRule="atLeast"/>
        </w:trPr>
        <w:tc>
          <w:tcPr>
            <w:tcW w:w="711" w:type="dxa"/>
            <w:noWrap w:val="0"/>
            <w:vAlign w:val="center"/>
          </w:tcPr>
          <w:p w14:paraId="508A1F69">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3653" w:type="dxa"/>
            <w:noWrap w:val="0"/>
            <w:vAlign w:val="center"/>
          </w:tcPr>
          <w:p w14:paraId="407EC25E">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法定代表人身份证明或者授权委托书</w:t>
            </w:r>
          </w:p>
        </w:tc>
        <w:tc>
          <w:tcPr>
            <w:tcW w:w="4474" w:type="dxa"/>
            <w:noWrap w:val="0"/>
            <w:vAlign w:val="center"/>
          </w:tcPr>
          <w:p w14:paraId="07965894">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法人提交法定代表人身份证明原件扫描件或者法定代表人授权委托书原件扫描件，自然人提交身份证原件扫描件;</w:t>
            </w:r>
          </w:p>
        </w:tc>
      </w:tr>
      <w:tr w14:paraId="2B6A09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62309C9D">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3653" w:type="dxa"/>
            <w:noWrap w:val="0"/>
            <w:vAlign w:val="center"/>
          </w:tcPr>
          <w:p w14:paraId="794901D7">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签署、盖章</w:t>
            </w:r>
          </w:p>
        </w:tc>
        <w:tc>
          <w:tcPr>
            <w:tcW w:w="4474" w:type="dxa"/>
            <w:noWrap w:val="0"/>
            <w:vAlign w:val="center"/>
          </w:tcPr>
          <w:p w14:paraId="4E75EAD1">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资格证明文件是否按照招标文件规定签署、盖章的</w:t>
            </w:r>
          </w:p>
        </w:tc>
      </w:tr>
      <w:tr w14:paraId="0CF049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0B33F535">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3653" w:type="dxa"/>
            <w:noWrap w:val="0"/>
            <w:vAlign w:val="center"/>
          </w:tcPr>
          <w:p w14:paraId="3BB63D45">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信用记录</w:t>
            </w:r>
          </w:p>
        </w:tc>
        <w:tc>
          <w:tcPr>
            <w:tcW w:w="4474" w:type="dxa"/>
            <w:noWrap w:val="0"/>
            <w:vAlign w:val="center"/>
          </w:tcPr>
          <w:p w14:paraId="31212384">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信用记录符合要求的 </w:t>
            </w:r>
          </w:p>
        </w:tc>
      </w:tr>
      <w:tr w14:paraId="4F1BBC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7E9781C9">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9</w:t>
            </w:r>
          </w:p>
        </w:tc>
        <w:tc>
          <w:tcPr>
            <w:tcW w:w="3653" w:type="dxa"/>
            <w:noWrap w:val="0"/>
            <w:vAlign w:val="center"/>
          </w:tcPr>
          <w:p w14:paraId="40D963F9">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其他</w:t>
            </w:r>
          </w:p>
        </w:tc>
        <w:tc>
          <w:tcPr>
            <w:tcW w:w="4474" w:type="dxa"/>
            <w:noWrap w:val="0"/>
            <w:vAlign w:val="center"/>
          </w:tcPr>
          <w:p w14:paraId="508AC4E4">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不存在法律、法规和招标文件规定的其他投标无效情形</w:t>
            </w:r>
          </w:p>
        </w:tc>
      </w:tr>
      <w:tr w14:paraId="2D630C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trPr>
        <w:tc>
          <w:tcPr>
            <w:tcW w:w="711" w:type="dxa"/>
            <w:noWrap w:val="0"/>
            <w:vAlign w:val="center"/>
          </w:tcPr>
          <w:p w14:paraId="1C2A0F35">
            <w:pPr>
              <w:adjustRightInd w:val="0"/>
              <w:snapToGrid w:val="0"/>
              <w:spacing w:before="156" w:beforeLines="50"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3653" w:type="dxa"/>
            <w:noWrap w:val="0"/>
            <w:vAlign w:val="top"/>
          </w:tcPr>
          <w:p w14:paraId="76F57260">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474" w:type="dxa"/>
            <w:noWrap w:val="0"/>
            <w:vAlign w:val="center"/>
          </w:tcPr>
          <w:p w14:paraId="28F0464B">
            <w:pPr>
              <w:adjustRightInd w:val="0"/>
              <w:snapToGrid w:val="0"/>
              <w:spacing w:before="156" w:beforeLines="50" w:line="360" w:lineRule="auto"/>
              <w:jc w:val="center"/>
              <w:rPr>
                <w:rFonts w:ascii="宋体" w:hAnsi="宋体" w:cs="宋体"/>
                <w:color w:val="auto"/>
                <w:kern w:val="0"/>
                <w:szCs w:val="21"/>
                <w:highlight w:val="none"/>
              </w:rPr>
            </w:pPr>
          </w:p>
        </w:tc>
      </w:tr>
      <w:tr w14:paraId="3FF05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711" w:type="dxa"/>
            <w:noWrap w:val="0"/>
            <w:vAlign w:val="center"/>
          </w:tcPr>
          <w:p w14:paraId="7CF54B88">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s="宋体"/>
                <w:color w:val="auto"/>
                <w:kern w:val="0"/>
                <w:szCs w:val="21"/>
                <w:highlight w:val="none"/>
              </w:rPr>
              <w:t>结论</w:t>
            </w:r>
          </w:p>
        </w:tc>
        <w:tc>
          <w:tcPr>
            <w:tcW w:w="8127" w:type="dxa"/>
            <w:gridSpan w:val="2"/>
            <w:noWrap w:val="0"/>
            <w:vAlign w:val="center"/>
          </w:tcPr>
          <w:p w14:paraId="65E57352">
            <w:pPr>
              <w:adjustRightInd w:val="0"/>
              <w:snapToGrid w:val="0"/>
              <w:spacing w:before="156" w:beforeLines="50" w:line="360" w:lineRule="auto"/>
              <w:jc w:val="center"/>
              <w:rPr>
                <w:rFonts w:ascii="宋体" w:hAnsi="宋体" w:cs="宋体"/>
                <w:color w:val="auto"/>
                <w:kern w:val="0"/>
                <w:szCs w:val="21"/>
                <w:highlight w:val="none"/>
              </w:rPr>
            </w:pPr>
          </w:p>
        </w:tc>
      </w:tr>
    </w:tbl>
    <w:p w14:paraId="23284091">
      <w:pPr>
        <w:widowControl/>
        <w:jc w:val="left"/>
        <w:rPr>
          <w:rFonts w:hint="eastAsia" w:ascii="宋体" w:hAnsi="宋体" w:eastAsia="宋体" w:cs="宋体"/>
          <w:bCs/>
          <w:color w:val="auto"/>
          <w:szCs w:val="21"/>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6E10664F">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92" w:name="_Toc17460"/>
      <w:bookmarkStart w:id="93" w:name="_Toc29855"/>
      <w:bookmarkStart w:id="94" w:name="_Toc14940"/>
    </w:p>
    <w:p w14:paraId="6BC138B8">
      <w:pPr>
        <w:pStyle w:val="5"/>
        <w:adjustRightInd w:val="0"/>
        <w:snapToGrid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附表2 资格审查结果一览表</w:t>
      </w:r>
      <w:bookmarkEnd w:id="92"/>
      <w:bookmarkEnd w:id="93"/>
      <w:bookmarkEnd w:id="94"/>
    </w:p>
    <w:p w14:paraId="2A823AFD">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资格审查结果一览表</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CD38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0EF8A456">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227B3E01">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31CC6EF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2F65E58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1F560D7E">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4B8887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04D8CA7">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140CC5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38E555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DF48B2E">
            <w:pPr>
              <w:adjustRightInd w:val="0"/>
              <w:snapToGrid w:val="0"/>
              <w:spacing w:line="360" w:lineRule="auto"/>
              <w:rPr>
                <w:rFonts w:hint="eastAsia" w:ascii="宋体" w:hAnsi="宋体" w:eastAsia="宋体" w:cs="宋体"/>
                <w:color w:val="auto"/>
                <w:kern w:val="0"/>
                <w:sz w:val="24"/>
                <w:highlight w:val="none"/>
              </w:rPr>
            </w:pPr>
          </w:p>
        </w:tc>
      </w:tr>
      <w:tr w14:paraId="34975C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78FF1C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2693261">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ACB07F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F53E84F">
            <w:pPr>
              <w:adjustRightInd w:val="0"/>
              <w:snapToGrid w:val="0"/>
              <w:spacing w:line="360" w:lineRule="auto"/>
              <w:rPr>
                <w:rFonts w:hint="eastAsia" w:ascii="宋体" w:hAnsi="宋体" w:eastAsia="宋体" w:cs="宋体"/>
                <w:color w:val="auto"/>
                <w:kern w:val="0"/>
                <w:sz w:val="24"/>
                <w:highlight w:val="none"/>
              </w:rPr>
            </w:pPr>
          </w:p>
        </w:tc>
      </w:tr>
      <w:tr w14:paraId="1CB6E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C7E16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17693E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6F1336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3DDB5D9">
            <w:pPr>
              <w:adjustRightInd w:val="0"/>
              <w:snapToGrid w:val="0"/>
              <w:spacing w:line="360" w:lineRule="auto"/>
              <w:rPr>
                <w:rFonts w:hint="eastAsia" w:ascii="宋体" w:hAnsi="宋体" w:eastAsia="宋体" w:cs="宋体"/>
                <w:color w:val="auto"/>
                <w:kern w:val="0"/>
                <w:sz w:val="24"/>
                <w:highlight w:val="none"/>
              </w:rPr>
            </w:pPr>
          </w:p>
        </w:tc>
      </w:tr>
      <w:tr w14:paraId="38E23E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53A02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01E9B4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C08492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F92A8A3">
            <w:pPr>
              <w:adjustRightInd w:val="0"/>
              <w:snapToGrid w:val="0"/>
              <w:spacing w:line="360" w:lineRule="auto"/>
              <w:rPr>
                <w:rFonts w:hint="eastAsia" w:ascii="宋体" w:hAnsi="宋体" w:eastAsia="宋体" w:cs="宋体"/>
                <w:color w:val="auto"/>
                <w:kern w:val="0"/>
                <w:sz w:val="24"/>
                <w:highlight w:val="none"/>
              </w:rPr>
            </w:pPr>
          </w:p>
        </w:tc>
      </w:tr>
      <w:tr w14:paraId="48B860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79F115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579F251">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0E4621A">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93C205D">
            <w:pPr>
              <w:adjustRightInd w:val="0"/>
              <w:snapToGrid w:val="0"/>
              <w:spacing w:line="360" w:lineRule="auto"/>
              <w:rPr>
                <w:rFonts w:hint="eastAsia" w:ascii="宋体" w:hAnsi="宋体" w:eastAsia="宋体" w:cs="宋体"/>
                <w:color w:val="auto"/>
                <w:kern w:val="0"/>
                <w:sz w:val="24"/>
                <w:highlight w:val="none"/>
              </w:rPr>
            </w:pPr>
          </w:p>
        </w:tc>
      </w:tr>
      <w:tr w14:paraId="40B9CA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9992A02">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6CA2A82">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A8E298D">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125D8AE">
            <w:pPr>
              <w:adjustRightInd w:val="0"/>
              <w:snapToGrid w:val="0"/>
              <w:spacing w:line="360" w:lineRule="auto"/>
              <w:rPr>
                <w:rFonts w:hint="eastAsia" w:ascii="宋体" w:hAnsi="宋体" w:eastAsia="宋体" w:cs="宋体"/>
                <w:color w:val="auto"/>
                <w:kern w:val="0"/>
                <w:sz w:val="24"/>
                <w:highlight w:val="none"/>
              </w:rPr>
            </w:pPr>
          </w:p>
        </w:tc>
      </w:tr>
      <w:tr w14:paraId="0AC032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784C371">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A2D426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178F4E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4430A93">
            <w:pPr>
              <w:adjustRightInd w:val="0"/>
              <w:snapToGrid w:val="0"/>
              <w:spacing w:line="360" w:lineRule="auto"/>
              <w:rPr>
                <w:rFonts w:hint="eastAsia" w:ascii="宋体" w:hAnsi="宋体" w:eastAsia="宋体" w:cs="宋体"/>
                <w:color w:val="auto"/>
                <w:kern w:val="0"/>
                <w:sz w:val="24"/>
                <w:highlight w:val="none"/>
              </w:rPr>
            </w:pPr>
          </w:p>
        </w:tc>
      </w:tr>
    </w:tbl>
    <w:p w14:paraId="3264BE27">
      <w:pPr>
        <w:widowControl/>
        <w:jc w:val="left"/>
        <w:rPr>
          <w:rFonts w:hint="eastAsia" w:ascii="宋体" w:hAnsi="宋体" w:eastAsia="宋体" w:cs="宋体"/>
          <w:color w:val="auto"/>
          <w:sz w:val="24"/>
          <w:highlight w:val="none"/>
        </w:rPr>
      </w:pPr>
    </w:p>
    <w:p w14:paraId="0FB723B0">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95" w:name="_Toc6157"/>
      <w:bookmarkStart w:id="96" w:name="_Toc141"/>
      <w:bookmarkStart w:id="97" w:name="_Toc8517"/>
    </w:p>
    <w:p w14:paraId="5DED422B">
      <w:pPr>
        <w:rPr>
          <w:rFonts w:hint="eastAsia" w:ascii="宋体" w:hAnsi="宋体" w:eastAsia="宋体" w:cs="宋体"/>
          <w:b w:val="0"/>
          <w:color w:val="auto"/>
          <w:sz w:val="21"/>
          <w:szCs w:val="21"/>
          <w:highlight w:val="none"/>
        </w:rPr>
      </w:pPr>
    </w:p>
    <w:p w14:paraId="11E88FB5">
      <w:pPr>
        <w:rPr>
          <w:rFonts w:hint="eastAsia" w:ascii="宋体" w:hAnsi="宋体" w:eastAsia="宋体" w:cs="宋体"/>
          <w:b w:val="0"/>
          <w:color w:val="auto"/>
          <w:sz w:val="21"/>
          <w:szCs w:val="21"/>
          <w:highlight w:val="none"/>
        </w:rPr>
      </w:pPr>
    </w:p>
    <w:p w14:paraId="3ABF3026">
      <w:pPr>
        <w:rPr>
          <w:rFonts w:hint="eastAsia" w:ascii="宋体" w:hAnsi="宋体" w:eastAsia="宋体" w:cs="宋体"/>
          <w:b w:val="0"/>
          <w:color w:val="auto"/>
          <w:sz w:val="21"/>
          <w:szCs w:val="21"/>
          <w:highlight w:val="none"/>
        </w:rPr>
      </w:pPr>
    </w:p>
    <w:p w14:paraId="48D741C7">
      <w:pPr>
        <w:rPr>
          <w:rFonts w:hint="eastAsia" w:ascii="宋体" w:hAnsi="宋体" w:eastAsia="宋体" w:cs="宋体"/>
          <w:b w:val="0"/>
          <w:color w:val="auto"/>
          <w:sz w:val="21"/>
          <w:szCs w:val="21"/>
          <w:highlight w:val="none"/>
        </w:rPr>
      </w:pPr>
    </w:p>
    <w:p w14:paraId="5FF078C8">
      <w:pPr>
        <w:rPr>
          <w:rFonts w:hint="eastAsia" w:ascii="宋体" w:hAnsi="宋体" w:eastAsia="宋体" w:cs="宋体"/>
          <w:b w:val="0"/>
          <w:color w:val="auto"/>
          <w:sz w:val="21"/>
          <w:szCs w:val="21"/>
          <w:highlight w:val="none"/>
        </w:rPr>
      </w:pPr>
    </w:p>
    <w:p w14:paraId="54129E79">
      <w:pPr>
        <w:pStyle w:val="5"/>
        <w:adjustRightInd w:val="0"/>
        <w:snapToGrid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附表3 资格审查合格投标人名单</w:t>
      </w:r>
      <w:bookmarkEnd w:id="95"/>
      <w:bookmarkEnd w:id="96"/>
      <w:bookmarkEnd w:id="97"/>
    </w:p>
    <w:p w14:paraId="7D0D97B2">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资格审查合格投标人名单</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5852AD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6BA9301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06FFDFB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3972D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F094AA">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6A2463B7">
            <w:pPr>
              <w:adjustRightInd w:val="0"/>
              <w:snapToGrid w:val="0"/>
              <w:spacing w:line="360" w:lineRule="auto"/>
              <w:rPr>
                <w:rFonts w:hint="eastAsia" w:ascii="宋体" w:hAnsi="宋体" w:eastAsia="宋体" w:cs="宋体"/>
                <w:color w:val="auto"/>
                <w:kern w:val="0"/>
                <w:szCs w:val="21"/>
                <w:highlight w:val="none"/>
              </w:rPr>
            </w:pPr>
          </w:p>
        </w:tc>
      </w:tr>
      <w:tr w14:paraId="5861F4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0A17365">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74F1B83">
            <w:pPr>
              <w:adjustRightInd w:val="0"/>
              <w:snapToGrid w:val="0"/>
              <w:spacing w:line="360" w:lineRule="auto"/>
              <w:rPr>
                <w:rFonts w:hint="eastAsia" w:ascii="宋体" w:hAnsi="宋体" w:eastAsia="宋体" w:cs="宋体"/>
                <w:color w:val="auto"/>
                <w:kern w:val="0"/>
                <w:sz w:val="24"/>
                <w:highlight w:val="none"/>
              </w:rPr>
            </w:pPr>
          </w:p>
        </w:tc>
      </w:tr>
      <w:tr w14:paraId="7312F5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3131510">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B4132AC">
            <w:pPr>
              <w:adjustRightInd w:val="0"/>
              <w:snapToGrid w:val="0"/>
              <w:spacing w:line="360" w:lineRule="auto"/>
              <w:rPr>
                <w:rFonts w:hint="eastAsia" w:ascii="宋体" w:hAnsi="宋体" w:eastAsia="宋体" w:cs="宋体"/>
                <w:color w:val="auto"/>
                <w:kern w:val="0"/>
                <w:sz w:val="24"/>
                <w:highlight w:val="none"/>
              </w:rPr>
            </w:pPr>
          </w:p>
        </w:tc>
      </w:tr>
      <w:tr w14:paraId="62D1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B08D896">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6C1893C">
            <w:pPr>
              <w:adjustRightInd w:val="0"/>
              <w:snapToGrid w:val="0"/>
              <w:spacing w:line="360" w:lineRule="auto"/>
              <w:rPr>
                <w:rFonts w:hint="eastAsia" w:ascii="宋体" w:hAnsi="宋体" w:eastAsia="宋体" w:cs="宋体"/>
                <w:color w:val="auto"/>
                <w:kern w:val="0"/>
                <w:sz w:val="24"/>
                <w:highlight w:val="none"/>
              </w:rPr>
            </w:pPr>
          </w:p>
        </w:tc>
      </w:tr>
      <w:tr w14:paraId="55B842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1BF3F4">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5C73793">
            <w:pPr>
              <w:adjustRightInd w:val="0"/>
              <w:snapToGrid w:val="0"/>
              <w:spacing w:line="360" w:lineRule="auto"/>
              <w:rPr>
                <w:rFonts w:hint="eastAsia" w:ascii="宋体" w:hAnsi="宋体" w:eastAsia="宋体" w:cs="宋体"/>
                <w:color w:val="auto"/>
                <w:kern w:val="0"/>
                <w:sz w:val="24"/>
                <w:highlight w:val="none"/>
              </w:rPr>
            </w:pPr>
          </w:p>
        </w:tc>
      </w:tr>
      <w:tr w14:paraId="671DA2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7481EF0">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EE1FC9C">
            <w:pPr>
              <w:adjustRightInd w:val="0"/>
              <w:snapToGrid w:val="0"/>
              <w:spacing w:line="360" w:lineRule="auto"/>
              <w:rPr>
                <w:rFonts w:hint="eastAsia" w:ascii="宋体" w:hAnsi="宋体" w:eastAsia="宋体" w:cs="宋体"/>
                <w:color w:val="auto"/>
                <w:kern w:val="0"/>
                <w:sz w:val="24"/>
                <w:highlight w:val="none"/>
              </w:rPr>
            </w:pPr>
          </w:p>
        </w:tc>
      </w:tr>
    </w:tbl>
    <w:p w14:paraId="7513A0C3">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6A4AC0DD">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代表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6BB08CE">
      <w:pPr>
        <w:pStyle w:val="23"/>
        <w:adjustRightInd w:val="0"/>
        <w:snapToGrid w:val="0"/>
        <w:spacing w:line="360" w:lineRule="auto"/>
        <w:jc w:val="center"/>
        <w:outlineLvl w:val="0"/>
        <w:rPr>
          <w:rFonts w:hint="eastAsia" w:ascii="宋体" w:hAnsi="宋体" w:eastAsia="宋体" w:cs="宋体"/>
          <w:b/>
          <w:color w:val="auto"/>
          <w:sz w:val="28"/>
          <w:szCs w:val="28"/>
          <w:highlight w:val="none"/>
        </w:rPr>
      </w:pPr>
      <w:bookmarkStart w:id="98" w:name="_Toc20049"/>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highlight w:val="none"/>
        </w:rPr>
        <w:br w:type="page"/>
      </w:r>
      <w:bookmarkStart w:id="99" w:name="_Toc15313"/>
      <w:r>
        <w:rPr>
          <w:rFonts w:hint="eastAsia" w:ascii="宋体" w:hAnsi="宋体" w:eastAsia="宋体" w:cs="宋体"/>
          <w:b/>
          <w:color w:val="auto"/>
          <w:sz w:val="32"/>
          <w:szCs w:val="32"/>
          <w:highlight w:val="none"/>
        </w:rPr>
        <w:t>第四章 评标方法及标准（综合评分法）</w:t>
      </w:r>
      <w:bookmarkEnd w:id="91"/>
      <w:bookmarkEnd w:id="98"/>
      <w:bookmarkEnd w:id="99"/>
    </w:p>
    <w:p w14:paraId="04F1077F">
      <w:pPr>
        <w:pStyle w:val="3"/>
        <w:adjustRightInd w:val="0"/>
        <w:snapToGrid w:val="0"/>
        <w:jc w:val="center"/>
        <w:rPr>
          <w:rFonts w:hint="eastAsia" w:ascii="宋体" w:hAnsi="宋体" w:eastAsia="宋体" w:cs="宋体"/>
          <w:color w:val="auto"/>
          <w:sz w:val="28"/>
          <w:szCs w:val="28"/>
          <w:highlight w:val="none"/>
        </w:rPr>
      </w:pPr>
      <w:bookmarkStart w:id="100" w:name="_Toc2502"/>
      <w:bookmarkStart w:id="101" w:name="_Toc6248"/>
      <w:bookmarkStart w:id="102" w:name="_Toc29913911"/>
      <w:bookmarkStart w:id="103" w:name="_Toc27055"/>
      <w:r>
        <w:rPr>
          <w:rFonts w:hint="eastAsia" w:ascii="宋体" w:hAnsi="宋体" w:eastAsia="宋体" w:cs="宋体"/>
          <w:color w:val="auto"/>
          <w:sz w:val="28"/>
          <w:szCs w:val="28"/>
          <w:highlight w:val="none"/>
        </w:rPr>
        <w:t>第一节 评标方法及标准前附表</w:t>
      </w:r>
      <w:bookmarkEnd w:id="100"/>
      <w:bookmarkEnd w:id="101"/>
      <w:bookmarkEnd w:id="102"/>
      <w:bookmarkEnd w:id="103"/>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1EA8B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67AEDEA7">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2271" w:type="dxa"/>
            <w:tcBorders>
              <w:top w:val="double" w:color="auto" w:sz="4" w:space="0"/>
              <w:bottom w:val="single" w:color="auto" w:sz="6" w:space="0"/>
            </w:tcBorders>
          </w:tcPr>
          <w:p w14:paraId="1A549F51">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条款名称</w:t>
            </w:r>
          </w:p>
        </w:tc>
        <w:tc>
          <w:tcPr>
            <w:tcW w:w="4818" w:type="dxa"/>
            <w:tcBorders>
              <w:top w:val="double" w:color="auto" w:sz="4" w:space="0"/>
              <w:bottom w:val="single" w:color="auto" w:sz="6" w:space="0"/>
            </w:tcBorders>
          </w:tcPr>
          <w:p w14:paraId="0F20848F">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编列内容规定</w:t>
            </w:r>
          </w:p>
        </w:tc>
      </w:tr>
      <w:tr w14:paraId="34234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28818AF">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2F42B664">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tc>
        <w:tc>
          <w:tcPr>
            <w:tcW w:w="4818" w:type="dxa"/>
            <w:tcBorders>
              <w:top w:val="single" w:color="auto" w:sz="6" w:space="0"/>
              <w:bottom w:val="single" w:color="auto" w:sz="6" w:space="0"/>
            </w:tcBorders>
            <w:vAlign w:val="center"/>
          </w:tcPr>
          <w:p w14:paraId="2A6061A8">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r>
      <w:tr w14:paraId="6BD10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3B7A79B8">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6516BD31">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服务中配套货物非单一产品采购项目的核心产品</w:t>
            </w: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03412FBA">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核心产品为：</w:t>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t>__</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_</w:t>
            </w:r>
            <w:r>
              <w:rPr>
                <w:rFonts w:hint="eastAsia" w:ascii="宋体" w:hAnsi="宋体" w:eastAsia="宋体" w:cs="宋体"/>
                <w:color w:val="auto"/>
                <w:highlight w:val="none"/>
              </w:rPr>
              <w:t>。</w:t>
            </w:r>
            <w:r>
              <w:rPr>
                <w:rFonts w:hint="eastAsia" w:ascii="宋体" w:hAnsi="宋体" w:eastAsia="宋体" w:cs="宋体"/>
                <w:color w:val="auto"/>
                <w:kern w:val="0"/>
                <w:highlight w:val="none"/>
              </w:rPr>
              <w:t>（提示：根据采购项目技术构成、产品价格比重等合理确定具体产品为核心产品）</w:t>
            </w:r>
          </w:p>
        </w:tc>
      </w:tr>
      <w:tr w14:paraId="77082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4D44676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1EDB2F9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4818" w:type="dxa"/>
            <w:tcBorders>
              <w:top w:val="single" w:color="auto" w:sz="6" w:space="0"/>
              <w:bottom w:val="single" w:color="auto" w:sz="6" w:space="0"/>
            </w:tcBorders>
            <w:vAlign w:val="center"/>
          </w:tcPr>
          <w:p w14:paraId="53150FDF">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详见第4.2款</w:t>
            </w:r>
          </w:p>
        </w:tc>
      </w:tr>
      <w:tr w14:paraId="33D3AE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2A0B4CE7">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项</w:t>
            </w:r>
          </w:p>
        </w:tc>
        <w:tc>
          <w:tcPr>
            <w:tcW w:w="2271" w:type="dxa"/>
            <w:tcBorders>
              <w:top w:val="single" w:color="auto" w:sz="6" w:space="0"/>
              <w:bottom w:val="single" w:color="auto" w:sz="6" w:space="0"/>
            </w:tcBorders>
            <w:vAlign w:val="center"/>
          </w:tcPr>
          <w:p w14:paraId="775C2BF5">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相同品牌产品</w:t>
            </w:r>
          </w:p>
          <w:p w14:paraId="573D7032">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评审得分相同的规定</w:t>
            </w: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78FAD3E2">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得分相同的，按投标报价由低到高顺序排列。得分且投标报价相同的，按技术指标优劣顺序排列。（提示：也可另行规定）  </w:t>
            </w:r>
          </w:p>
          <w:p w14:paraId="2AF443EB">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 随机抽取方式确定。</w:t>
            </w:r>
          </w:p>
        </w:tc>
      </w:tr>
      <w:tr w14:paraId="639576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5D33C175">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项</w:t>
            </w:r>
          </w:p>
        </w:tc>
        <w:tc>
          <w:tcPr>
            <w:tcW w:w="2271" w:type="dxa"/>
            <w:tcBorders>
              <w:top w:val="single" w:color="auto" w:sz="6" w:space="0"/>
            </w:tcBorders>
            <w:vAlign w:val="center"/>
          </w:tcPr>
          <w:p w14:paraId="020FAA6F">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价格评审优惠</w:t>
            </w:r>
          </w:p>
          <w:p w14:paraId="424F4F50">
            <w:pPr>
              <w:pStyle w:val="58"/>
              <w:spacing w:line="240" w:lineRule="auto"/>
              <w:rPr>
                <w:rFonts w:hint="eastAsia" w:ascii="宋体" w:hAnsi="宋体" w:eastAsia="宋体" w:cs="宋体"/>
                <w:color w:val="auto"/>
                <w:highlight w:val="none"/>
              </w:rPr>
            </w:pPr>
          </w:p>
        </w:tc>
        <w:tc>
          <w:tcPr>
            <w:tcW w:w="4818" w:type="dxa"/>
            <w:tcBorders>
              <w:top w:val="single" w:color="auto" w:sz="6" w:space="0"/>
              <w:bottom w:val="single" w:color="auto" w:sz="4" w:space="0"/>
            </w:tcBorders>
            <w:vAlign w:val="center"/>
          </w:tcPr>
          <w:p w14:paraId="7F1E76AD">
            <w:pPr>
              <w:spacing w:line="24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color w:val="auto"/>
                <w:szCs w:val="21"/>
                <w:highlight w:val="none"/>
              </w:rPr>
              <w:t>1.非专门面向中小企业采购：给予小型和微型企业产品的价格给予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0%的扣除，用扣除后的价格参与评审，本项目具体扣除比例为</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 xml:space="preserve">10 </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62807693">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2.监狱企业、残疾人福利性单位视同小型、微型企业，享受评审中价格扣除等促进中小企业发展的政府采购政策。</w:t>
            </w:r>
          </w:p>
          <w:p w14:paraId="29FDB583">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3.投标人同时符合小型、微型企业及监狱企业、残疾人福利性单位要求的，评审时只有一种类型享受价格评审优惠政策；</w:t>
            </w:r>
          </w:p>
          <w:p w14:paraId="1F9AB93D">
            <w:pPr>
              <w:snapToGrid w:val="0"/>
              <w:spacing w:line="24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Cs w:val="21"/>
                <w:highlight w:val="none"/>
              </w:rPr>
              <w:t>4.小型和微型企业的价格评审优惠可以与同时属于“节能产品”、“环境标志产品”中的一项优先采购优惠累加计算。</w:t>
            </w:r>
          </w:p>
        </w:tc>
      </w:tr>
      <w:tr w14:paraId="08352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4" w:hRule="atLeast"/>
        </w:trPr>
        <w:tc>
          <w:tcPr>
            <w:tcW w:w="1700" w:type="dxa"/>
            <w:tcBorders>
              <w:top w:val="single" w:color="auto" w:sz="6" w:space="0"/>
              <w:bottom w:val="single" w:color="auto" w:sz="6" w:space="0"/>
              <w:right w:val="single" w:color="auto" w:sz="6" w:space="0"/>
            </w:tcBorders>
            <w:vAlign w:val="center"/>
          </w:tcPr>
          <w:p w14:paraId="1CF82709">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项</w:t>
            </w:r>
          </w:p>
        </w:tc>
        <w:tc>
          <w:tcPr>
            <w:tcW w:w="2271" w:type="dxa"/>
            <w:tcBorders>
              <w:top w:val="single" w:color="auto" w:sz="6" w:space="0"/>
              <w:left w:val="single" w:color="auto" w:sz="6" w:space="0"/>
              <w:right w:val="single" w:color="auto" w:sz="6" w:space="0"/>
            </w:tcBorders>
            <w:vAlign w:val="center"/>
          </w:tcPr>
          <w:p w14:paraId="241122C6">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w:t>
            </w:r>
          </w:p>
          <w:p w14:paraId="3C53F9D1">
            <w:pPr>
              <w:adjustRightInd w:val="0"/>
              <w:snapToGrid w:val="0"/>
              <w:spacing w:before="156" w:beforeLines="50"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（本项目不适用）</w:t>
            </w:r>
          </w:p>
        </w:tc>
        <w:tc>
          <w:tcPr>
            <w:tcW w:w="4818" w:type="dxa"/>
            <w:tcBorders>
              <w:top w:val="single" w:color="auto" w:sz="6" w:space="0"/>
              <w:left w:val="single" w:color="auto" w:sz="6" w:space="0"/>
              <w:bottom w:val="single" w:color="auto" w:sz="6" w:space="0"/>
            </w:tcBorders>
            <w:vAlign w:val="center"/>
          </w:tcPr>
          <w:p w14:paraId="05E3D800">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①非强制采购节能产品: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p>
          <w:p w14:paraId="49D9F3E3">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②环境标志产品: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注：以上</w:t>
            </w:r>
            <w:r>
              <w:rPr>
                <w:rFonts w:hint="eastAsia" w:ascii="宋体" w:hAnsi="宋体" w:eastAsia="宋体" w:cs="宋体"/>
                <w:color w:val="auto"/>
                <w:kern w:val="0"/>
                <w:szCs w:val="21"/>
                <w:highlight w:val="none"/>
                <w:lang w:eastAsia="zh-CN"/>
              </w:rPr>
              <w:t>二</w:t>
            </w:r>
            <w:r>
              <w:rPr>
                <w:rFonts w:hint="eastAsia" w:ascii="宋体" w:hAnsi="宋体" w:eastAsia="宋体" w:cs="宋体"/>
                <w:color w:val="auto"/>
                <w:kern w:val="0"/>
                <w:szCs w:val="21"/>
                <w:highlight w:val="none"/>
              </w:rPr>
              <w:t>项优先采购产品中，</w:t>
            </w:r>
            <w:r>
              <w:rPr>
                <w:rFonts w:hint="eastAsia" w:ascii="宋体" w:hAnsi="宋体" w:eastAsia="宋体" w:cs="宋体"/>
                <w:color w:val="auto"/>
                <w:highlight w:val="none"/>
              </w:rPr>
              <w:t>投标产品取得两项及以上优先采购产品认证的，评审时只有其中一项产品能享受优先采购优惠。</w:t>
            </w:r>
          </w:p>
        </w:tc>
      </w:tr>
      <w:tr w14:paraId="7CBCC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473395F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double" w:color="auto" w:sz="4" w:space="0"/>
              <w:right w:val="single" w:color="auto" w:sz="6" w:space="0"/>
            </w:tcBorders>
            <w:vAlign w:val="center"/>
          </w:tcPr>
          <w:p w14:paraId="125805E6">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12364BD1">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bl>
    <w:p w14:paraId="27BA835D">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color w:val="auto"/>
          <w:highlight w:val="none"/>
        </w:rPr>
        <w:br w:type="page"/>
      </w:r>
      <w:bookmarkStart w:id="104" w:name="_Toc12691"/>
      <w:bookmarkStart w:id="105" w:name="_Toc5866"/>
      <w:bookmarkStart w:id="106" w:name="_Toc15572"/>
      <w:bookmarkStart w:id="107" w:name="_Toc29913912"/>
      <w:r>
        <w:rPr>
          <w:rFonts w:hint="eastAsia" w:ascii="宋体" w:hAnsi="宋体" w:eastAsia="宋体" w:cs="宋体"/>
          <w:color w:val="auto"/>
          <w:sz w:val="28"/>
          <w:szCs w:val="28"/>
          <w:highlight w:val="none"/>
        </w:rPr>
        <w:t>第二节 评标方法及标准</w:t>
      </w:r>
      <w:bookmarkEnd w:id="104"/>
      <w:bookmarkEnd w:id="105"/>
      <w:bookmarkEnd w:id="106"/>
      <w:bookmarkEnd w:id="107"/>
    </w:p>
    <w:p w14:paraId="21958F9D">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08" w:name="_Toc13213"/>
      <w:bookmarkStart w:id="109" w:name="_Toc723"/>
      <w:bookmarkStart w:id="110" w:name="_Toc29913913"/>
      <w:bookmarkStart w:id="111" w:name="_Toc14423"/>
      <w:r>
        <w:rPr>
          <w:rFonts w:hint="eastAsia" w:ascii="宋体" w:hAnsi="宋体" w:eastAsia="宋体" w:cs="宋体"/>
          <w:color w:val="auto"/>
          <w:sz w:val="24"/>
          <w:szCs w:val="24"/>
          <w:highlight w:val="none"/>
        </w:rPr>
        <w:t>1．评标方法</w:t>
      </w:r>
      <w:bookmarkEnd w:id="108"/>
      <w:bookmarkEnd w:id="109"/>
      <w:bookmarkEnd w:id="110"/>
      <w:bookmarkEnd w:id="111"/>
    </w:p>
    <w:p w14:paraId="5ADB13F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1.1综合评分法，指投标文件满足招标文件全部实质性要求，且按照评审因素的量化指标评审得分最高的投标人为中标候选人的评标方法。</w:t>
      </w:r>
    </w:p>
    <w:p w14:paraId="1E489A6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1.2本采购项目评标方法见本章第一节“评标规范前附表”（以下简称</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w:t>
      </w:r>
    </w:p>
    <w:p w14:paraId="6265B9E6">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12" w:name="_Toc30974"/>
      <w:bookmarkStart w:id="113" w:name="_Toc29913914"/>
      <w:bookmarkStart w:id="114" w:name="_Toc30157"/>
      <w:bookmarkStart w:id="115" w:name="_Toc3899"/>
      <w:r>
        <w:rPr>
          <w:rFonts w:hint="eastAsia" w:ascii="宋体" w:hAnsi="宋体" w:eastAsia="宋体" w:cs="宋体"/>
          <w:bCs w:val="0"/>
          <w:color w:val="auto"/>
          <w:sz w:val="24"/>
          <w:szCs w:val="24"/>
          <w:highlight w:val="none"/>
        </w:rPr>
        <w:t>2．评标程序</w:t>
      </w:r>
      <w:bookmarkEnd w:id="112"/>
      <w:bookmarkEnd w:id="113"/>
      <w:bookmarkEnd w:id="114"/>
      <w:bookmarkEnd w:id="115"/>
    </w:p>
    <w:p w14:paraId="16CB253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2.1评标程序分为投标文件符合性审查、澄清有关问题、比较和评价、推荐中标候选人。</w:t>
      </w:r>
    </w:p>
    <w:p w14:paraId="4CDCBD94">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16" w:name="_Toc9800"/>
      <w:bookmarkStart w:id="117" w:name="_Toc29913915"/>
      <w:bookmarkStart w:id="118" w:name="_Toc5640"/>
      <w:bookmarkStart w:id="119" w:name="_Toc2535"/>
      <w:r>
        <w:rPr>
          <w:rFonts w:hint="eastAsia" w:ascii="宋体" w:hAnsi="宋体" w:eastAsia="宋体" w:cs="宋体"/>
          <w:bCs w:val="0"/>
          <w:color w:val="auto"/>
          <w:sz w:val="24"/>
          <w:szCs w:val="24"/>
          <w:highlight w:val="none"/>
        </w:rPr>
        <w:t>3．投标文件的符合性审查</w:t>
      </w:r>
      <w:bookmarkEnd w:id="116"/>
      <w:bookmarkEnd w:id="117"/>
      <w:bookmarkEnd w:id="118"/>
      <w:bookmarkEnd w:id="119"/>
    </w:p>
    <w:p w14:paraId="239718A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3.1资格审查结束后，评标委员会依法按照本章第三节“投标文件的符合性审查”规定进行投标文件符合性。</w:t>
      </w:r>
    </w:p>
    <w:p w14:paraId="7659CAE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3.2符合性审查合格投标人少于3家的，应予废标。</w:t>
      </w:r>
    </w:p>
    <w:p w14:paraId="58838EE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3.3单一产品采购项目：提供相同品牌产品的不同投标人参加同一合同项下投标的，按一家投标人计算。提供不同品牌产品的投标人不足三家的，应予废标。</w:t>
      </w:r>
    </w:p>
    <w:p w14:paraId="2040E58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3.4非单一产品采购项目：采购人或者采购代理机构将在</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中载明核心产品。多家投标人提供的核心产品品牌相同的，视为相同品牌，按本章本节第3.3款规定处理。</w:t>
      </w:r>
    </w:p>
    <w:p w14:paraId="7A8EA0E7">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20" w:name="_Toc22848"/>
      <w:bookmarkStart w:id="121" w:name="_Toc29913916"/>
      <w:bookmarkStart w:id="122" w:name="_Toc483"/>
      <w:bookmarkStart w:id="123" w:name="_Toc26178"/>
      <w:r>
        <w:rPr>
          <w:rFonts w:hint="eastAsia" w:ascii="宋体" w:hAnsi="宋体" w:eastAsia="宋体" w:cs="宋体"/>
          <w:bCs w:val="0"/>
          <w:color w:val="auto"/>
          <w:sz w:val="24"/>
          <w:szCs w:val="24"/>
          <w:highlight w:val="none"/>
        </w:rPr>
        <w:t>4．投标文件的澄清</w:t>
      </w:r>
      <w:bookmarkEnd w:id="120"/>
      <w:bookmarkEnd w:id="121"/>
      <w:bookmarkEnd w:id="122"/>
      <w:bookmarkEnd w:id="123"/>
    </w:p>
    <w:p w14:paraId="06B830A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4.1对于投标文件中含义不明确、同类问题表述不一致或者有明显文字和计算错误的内容，评标委员会应当以数据电文形式要求投标人作出必要的澄清、说明或者补正。</w:t>
      </w:r>
    </w:p>
    <w:p w14:paraId="483256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4.2投标文件的投标报价出现前后不一致的，除</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另有规定外，按照下列规定修正：</w:t>
      </w:r>
    </w:p>
    <w:p w14:paraId="300D06B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（1）投标文件中开标一览表内容与投标文件中相应内容不一致的，以开标一览表为准；</w:t>
      </w:r>
    </w:p>
    <w:p w14:paraId="670BE72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3A1338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4F78CB0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FEE7E4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4.3投标文件报价同时出现两种以上不一致的，按照前款规定的顺序修正。修正后的报价由投标人代表电子签名或者加盖单位电子章确认后产生约束力，投标人不确认的，其投标无效。</w:t>
      </w:r>
    </w:p>
    <w:p w14:paraId="1746529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4082FB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4.5有效的澄清材料，是投标文件的补充材料，成为投标文件的组成部分。</w:t>
      </w:r>
    </w:p>
    <w:p w14:paraId="281A34D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26563C2D">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24" w:name="_Toc13546"/>
      <w:bookmarkStart w:id="125" w:name="_Toc29913917"/>
      <w:bookmarkStart w:id="126" w:name="_Toc5596"/>
      <w:r>
        <w:rPr>
          <w:rFonts w:hint="eastAsia" w:ascii="宋体" w:hAnsi="宋体" w:eastAsia="宋体" w:cs="宋体"/>
          <w:bCs w:val="0"/>
          <w:color w:val="auto"/>
          <w:sz w:val="24"/>
          <w:szCs w:val="24"/>
          <w:highlight w:val="none"/>
        </w:rPr>
        <w:t>5．投标文件的比较与评价</w:t>
      </w:r>
      <w:bookmarkEnd w:id="124"/>
      <w:bookmarkEnd w:id="125"/>
      <w:bookmarkEnd w:id="126"/>
    </w:p>
    <w:p w14:paraId="3DF10415">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5.1评标委员会依法按照本章第三节“投标文件的比较与评价”规定，对资格性检查和符合性检查合格的投标文件进行比较和评价。</w:t>
      </w:r>
    </w:p>
    <w:p w14:paraId="470A54F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5.2单一产品采购项目：</w:t>
      </w:r>
    </w:p>
    <w:p w14:paraId="2444FF0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cs="宋体"/>
          <w:b/>
          <w:color w:val="auto"/>
          <w:szCs w:val="21"/>
          <w:highlight w:val="none"/>
        </w:rPr>
        <w:t>不作为中标候选人</w:t>
      </w:r>
      <w:r>
        <w:rPr>
          <w:rFonts w:hint="eastAsia" w:ascii="宋体" w:hAnsi="宋体" w:eastAsia="宋体" w:cs="宋体"/>
          <w:color w:val="auto"/>
          <w:szCs w:val="21"/>
          <w:highlight w:val="none"/>
        </w:rPr>
        <w:t>。</w:t>
      </w:r>
    </w:p>
    <w:p w14:paraId="7443EA05">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5.3非单一产品采购项目：多家投标人提供的核心产品品牌相同的，视为相同品牌，按本章本节第 5.2 款规定处理。</w:t>
      </w:r>
    </w:p>
    <w:p w14:paraId="01916CD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政府采购政策：</w:t>
      </w:r>
    </w:p>
    <w:p w14:paraId="62E57F9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价格评审优惠：</w:t>
      </w:r>
      <w:r>
        <w:rPr>
          <w:rFonts w:hint="eastAsia" w:ascii="宋体" w:hAnsi="宋体" w:eastAsia="宋体" w:cs="宋体"/>
          <w:color w:val="auto"/>
          <w:szCs w:val="21"/>
          <w:highlight w:val="none"/>
        </w:rPr>
        <w:t>按</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及第二章“投标须知”的相关规定给予一定的价格折扣。</w:t>
      </w:r>
    </w:p>
    <w:p w14:paraId="2654D1B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（2）优先采购：</w:t>
      </w:r>
      <w:r>
        <w:rPr>
          <w:rFonts w:hint="eastAsia" w:ascii="宋体" w:hAnsi="宋体" w:eastAsia="宋体" w:cs="宋体"/>
          <w:bCs/>
          <w:color w:val="auto"/>
          <w:szCs w:val="21"/>
          <w:highlight w:val="none"/>
        </w:rPr>
        <w:t>评审时按</w:t>
      </w:r>
      <w:r>
        <w:rPr>
          <w:rFonts w:hint="eastAsia" w:ascii="宋体" w:hAnsi="宋体" w:eastAsia="宋体" w:cs="宋体"/>
          <w:b/>
          <w:color w:val="auto"/>
          <w:szCs w:val="21"/>
          <w:highlight w:val="none"/>
        </w:rPr>
        <w:t>【评标方法及标准前附表】</w:t>
      </w:r>
      <w:r>
        <w:rPr>
          <w:rFonts w:hint="eastAsia" w:ascii="宋体" w:hAnsi="宋体" w:eastAsia="宋体" w:cs="宋体"/>
          <w:bCs/>
          <w:color w:val="auto"/>
          <w:szCs w:val="21"/>
          <w:highlight w:val="none"/>
        </w:rPr>
        <w:t>及第二章</w:t>
      </w:r>
      <w:r>
        <w:rPr>
          <w:rFonts w:hint="eastAsia" w:ascii="宋体" w:hAnsi="宋体" w:eastAsia="宋体" w:cs="宋体"/>
          <w:color w:val="auto"/>
          <w:szCs w:val="21"/>
          <w:highlight w:val="none"/>
        </w:rPr>
        <w:t>“投标须知”</w:t>
      </w:r>
      <w:r>
        <w:rPr>
          <w:rFonts w:hint="eastAsia" w:ascii="宋体" w:hAnsi="宋体" w:eastAsia="宋体" w:cs="宋体"/>
          <w:bCs/>
          <w:color w:val="auto"/>
          <w:szCs w:val="21"/>
          <w:highlight w:val="none"/>
        </w:rPr>
        <w:t>的相关规定给予价格折扣或者加分。</w:t>
      </w:r>
    </w:p>
    <w:p w14:paraId="1F741D33">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27" w:name="_Toc29913918"/>
      <w:bookmarkStart w:id="128" w:name="_Toc23499"/>
      <w:bookmarkStart w:id="129" w:name="_Toc5370"/>
      <w:r>
        <w:rPr>
          <w:rFonts w:hint="eastAsia" w:ascii="宋体" w:hAnsi="宋体" w:eastAsia="宋体" w:cs="宋体"/>
          <w:bCs w:val="0"/>
          <w:color w:val="auto"/>
          <w:sz w:val="24"/>
          <w:szCs w:val="24"/>
          <w:highlight w:val="none"/>
        </w:rPr>
        <w:t>6．</w:t>
      </w:r>
      <w:r>
        <w:rPr>
          <w:rFonts w:hint="eastAsia" w:ascii="宋体" w:hAnsi="宋体" w:eastAsia="宋体" w:cs="宋体"/>
          <w:color w:val="auto"/>
          <w:sz w:val="24"/>
          <w:szCs w:val="24"/>
          <w:highlight w:val="none"/>
        </w:rPr>
        <w:t>推荐中标候选人</w:t>
      </w:r>
      <w:bookmarkEnd w:id="127"/>
      <w:bookmarkEnd w:id="128"/>
      <w:bookmarkEnd w:id="129"/>
    </w:p>
    <w:p w14:paraId="44C4F006">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综合评分法：评标结果按评审后得分由高到低顺序排列。得分相同的，按投标报价由低到高顺序排列。得分且投标报价相同的并列，按</w:t>
      </w:r>
      <w:r>
        <w:rPr>
          <w:rFonts w:hint="eastAsia" w:ascii="宋体" w:hAnsi="宋体" w:eastAsia="宋体" w:cs="宋体"/>
          <w:b/>
          <w:bCs/>
          <w:color w:val="auto"/>
          <w:szCs w:val="21"/>
          <w:highlight w:val="none"/>
        </w:rPr>
        <w:t>【评标方法及标准前附表】</w:t>
      </w:r>
      <w:r>
        <w:rPr>
          <w:rFonts w:hint="eastAsia" w:ascii="宋体" w:hAnsi="宋体" w:eastAsia="宋体" w:cs="宋体"/>
          <w:bCs/>
          <w:color w:val="auto"/>
          <w:szCs w:val="21"/>
          <w:highlight w:val="none"/>
        </w:rPr>
        <w:t>规定的方式确定中标人；招标文件未规定的，采取随机抽取的方式确定。</w:t>
      </w:r>
    </w:p>
    <w:p w14:paraId="3A171340">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30" w:name="_Toc11040"/>
      <w:bookmarkStart w:id="131" w:name="_Toc27411"/>
      <w:bookmarkStart w:id="132" w:name="_Toc29913919"/>
      <w:r>
        <w:rPr>
          <w:rFonts w:hint="eastAsia" w:ascii="宋体" w:hAnsi="宋体" w:eastAsia="宋体" w:cs="宋体"/>
          <w:bCs w:val="0"/>
          <w:color w:val="auto"/>
          <w:sz w:val="24"/>
          <w:szCs w:val="24"/>
          <w:highlight w:val="none"/>
        </w:rPr>
        <w:t>7．</w:t>
      </w:r>
      <w:r>
        <w:rPr>
          <w:rFonts w:hint="eastAsia" w:ascii="宋体" w:hAnsi="宋体" w:eastAsia="宋体" w:cs="宋体"/>
          <w:color w:val="auto"/>
          <w:sz w:val="24"/>
          <w:szCs w:val="24"/>
          <w:highlight w:val="none"/>
        </w:rPr>
        <w:t>编写评标报告</w:t>
      </w:r>
      <w:bookmarkEnd w:id="130"/>
      <w:bookmarkEnd w:id="131"/>
      <w:bookmarkEnd w:id="132"/>
    </w:p>
    <w:p w14:paraId="602804A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7.1评标</w:t>
      </w:r>
      <w:r>
        <w:rPr>
          <w:rFonts w:hint="eastAsia" w:ascii="宋体" w:hAnsi="宋体" w:eastAsia="宋体" w:cs="宋体"/>
          <w:bCs/>
          <w:color w:val="auto"/>
          <w:szCs w:val="21"/>
          <w:highlight w:val="none"/>
        </w:rPr>
        <w:t>委员会</w:t>
      </w:r>
      <w:r>
        <w:rPr>
          <w:rFonts w:hint="eastAsia" w:ascii="宋体" w:hAnsi="宋体" w:eastAsia="宋体" w:cs="宋体"/>
          <w:color w:val="auto"/>
          <w:szCs w:val="21"/>
          <w:highlight w:val="none"/>
        </w:rPr>
        <w:t>根据全体评标成员电子签名的原始评标记录和评标结果编写评标报告。</w:t>
      </w:r>
    </w:p>
    <w:p w14:paraId="3A9624FE">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7.2</w:t>
      </w:r>
      <w:r>
        <w:rPr>
          <w:rFonts w:hint="eastAsia" w:ascii="宋体" w:hAnsi="宋体" w:eastAsia="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7505F75">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33" w:name="_Toc9642"/>
      <w:bookmarkStart w:id="134" w:name="_Toc29913920"/>
      <w:bookmarkStart w:id="135" w:name="_Toc22429"/>
      <w:r>
        <w:rPr>
          <w:rFonts w:hint="eastAsia" w:ascii="宋体" w:hAnsi="宋体" w:eastAsia="宋体" w:cs="宋体"/>
          <w:bCs w:val="0"/>
          <w:color w:val="auto"/>
          <w:sz w:val="24"/>
          <w:szCs w:val="24"/>
          <w:highlight w:val="none"/>
        </w:rPr>
        <w:t>8．</w:t>
      </w:r>
      <w:r>
        <w:rPr>
          <w:rFonts w:hint="eastAsia" w:ascii="宋体" w:hAnsi="宋体" w:eastAsia="宋体" w:cs="宋体"/>
          <w:color w:val="auto"/>
          <w:sz w:val="24"/>
          <w:szCs w:val="24"/>
          <w:highlight w:val="none"/>
        </w:rPr>
        <w:t>评标报告</w:t>
      </w:r>
      <w:r>
        <w:rPr>
          <w:rFonts w:hint="eastAsia" w:ascii="宋体" w:hAnsi="宋体" w:eastAsia="宋体" w:cs="宋体"/>
          <w:bCs w:val="0"/>
          <w:color w:val="auto"/>
          <w:sz w:val="24"/>
          <w:szCs w:val="24"/>
          <w:highlight w:val="none"/>
        </w:rPr>
        <w:t>复核</w:t>
      </w:r>
      <w:bookmarkEnd w:id="133"/>
      <w:bookmarkEnd w:id="134"/>
      <w:bookmarkEnd w:id="135"/>
    </w:p>
    <w:p w14:paraId="718C73D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8.1汇总结束后，评标委员会应当进行复核，特别要对拟推荐为中标候选供应商的、报价最低的、投标文件被认定为无效的进行重点复核。</w:t>
      </w:r>
    </w:p>
    <w:p w14:paraId="1A1024F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8.2汇总完成后，除下列情形外，任何人不得修改评标结果：</w:t>
      </w:r>
    </w:p>
    <w:p w14:paraId="54416A22">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60F30242">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3AAF5ABC">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5D7B4FF7">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4C240D60">
      <w:pPr>
        <w:adjustRightInd w:val="0"/>
        <w:snapToGrid w:val="0"/>
        <w:spacing w:before="156" w:beforeLines="50" w:line="360" w:lineRule="auto"/>
        <w:ind w:firstLine="420" w:firstLineChars="200"/>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9208DC0">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36" w:name="_Toc29913921"/>
      <w:bookmarkStart w:id="137" w:name="_Toc22688"/>
      <w:bookmarkStart w:id="138" w:name="_Toc4206"/>
      <w:r>
        <w:rPr>
          <w:rFonts w:hint="eastAsia" w:ascii="宋体" w:hAnsi="宋体" w:eastAsia="宋体" w:cs="宋体"/>
          <w:color w:val="auto"/>
          <w:sz w:val="24"/>
          <w:szCs w:val="24"/>
          <w:highlight w:val="none"/>
        </w:rPr>
        <w:t>9．</w:t>
      </w:r>
      <w:r>
        <w:rPr>
          <w:rFonts w:hint="eastAsia" w:ascii="宋体" w:hAnsi="宋体" w:eastAsia="宋体" w:cs="宋体"/>
          <w:bCs w:val="0"/>
          <w:color w:val="auto"/>
          <w:sz w:val="24"/>
          <w:szCs w:val="24"/>
          <w:highlight w:val="none"/>
        </w:rPr>
        <w:t>停止评标</w:t>
      </w:r>
      <w:bookmarkEnd w:id="136"/>
      <w:bookmarkEnd w:id="137"/>
      <w:bookmarkEnd w:id="138"/>
    </w:p>
    <w:p w14:paraId="7F8A37F4">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436C57BF">
      <w:pPr>
        <w:pStyle w:val="4"/>
        <w:bidi w:val="0"/>
        <w:rPr>
          <w:rFonts w:hint="eastAsia" w:ascii="宋体" w:hAnsi="宋体" w:eastAsia="宋体" w:cs="宋体"/>
          <w:color w:val="auto"/>
          <w:sz w:val="28"/>
          <w:szCs w:val="28"/>
          <w:highlight w:val="none"/>
        </w:rPr>
      </w:pPr>
      <w:bookmarkStart w:id="139" w:name="_Toc18913"/>
      <w:r>
        <w:rPr>
          <w:rFonts w:hint="eastAsia" w:ascii="宋体" w:hAnsi="宋体" w:eastAsia="宋体" w:cs="宋体"/>
          <w:color w:val="auto"/>
          <w:sz w:val="28"/>
          <w:szCs w:val="28"/>
          <w:highlight w:val="none"/>
        </w:rPr>
        <w:t>10.废标</w:t>
      </w:r>
      <w:bookmarkEnd w:id="139"/>
    </w:p>
    <w:p w14:paraId="6A169E7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根据有关法律法规和招标文件的有关规定，如出现下列情况之一的，应予以废标：</w:t>
      </w:r>
    </w:p>
    <w:p w14:paraId="6373B2D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（1）符合专业条件的投标人或者对招标文件作实质响应的投标人不足三家的；</w:t>
      </w:r>
    </w:p>
    <w:p w14:paraId="1A901FF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5B47798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（3）投标人的报价均超过</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项目采购预算，</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不能支付的；</w:t>
      </w:r>
    </w:p>
    <w:p w14:paraId="4DFE933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2DA5649F">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40" w:name="_Toc5188"/>
      <w:bookmarkStart w:id="141" w:name="_Toc29913922"/>
      <w:bookmarkStart w:id="142" w:name="_Toc881"/>
      <w:r>
        <w:rPr>
          <w:rFonts w:hint="eastAsia" w:ascii="宋体" w:hAnsi="宋体" w:eastAsia="宋体" w:cs="宋体"/>
          <w:color w:val="auto"/>
          <w:kern w:val="0"/>
          <w:sz w:val="24"/>
          <w:szCs w:val="24"/>
          <w:highlight w:val="none"/>
        </w:rPr>
        <w:t>11．重新组建评标委员会进行评标</w:t>
      </w:r>
      <w:bookmarkEnd w:id="140"/>
      <w:bookmarkEnd w:id="141"/>
      <w:bookmarkEnd w:id="142"/>
    </w:p>
    <w:p w14:paraId="13BCFD5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2F487F1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（1）评标委员会组成不符合《政府采购货物和服务招标投标管理办法》规定的；</w:t>
      </w:r>
    </w:p>
    <w:p w14:paraId="249B836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（2）有《政府采购货物和服务招标投标管理办法》第六十二条第一至五项情形的；</w:t>
      </w:r>
    </w:p>
    <w:p w14:paraId="183A97D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（3）评标委员会及其成员独立评标受到非法干预的；</w:t>
      </w:r>
    </w:p>
    <w:p w14:paraId="068ECEB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（4）有政府采购法实施条例第七十五条规定的违法行为的。</w:t>
      </w:r>
    </w:p>
    <w:p w14:paraId="388CDA2B">
      <w:pPr>
        <w:adjustRightInd w:val="0"/>
        <w:snapToGrid w:val="0"/>
        <w:spacing w:before="156" w:beforeLines="50" w:line="360" w:lineRule="auto"/>
        <w:ind w:firstLine="42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t>11.2有违法违规行为的原评标委员会成员不得参加重新组建的评标委员会。</w:t>
      </w:r>
      <w:r>
        <w:rPr>
          <w:rFonts w:hint="eastAsia" w:ascii="宋体" w:hAnsi="宋体" w:eastAsia="宋体" w:cs="宋体"/>
          <w:b/>
          <w:color w:val="auto"/>
          <w:sz w:val="32"/>
          <w:szCs w:val="32"/>
          <w:highlight w:val="none"/>
        </w:rPr>
        <w:br w:type="page"/>
      </w:r>
    </w:p>
    <w:p w14:paraId="691A4BBE">
      <w:pPr>
        <w:pStyle w:val="3"/>
        <w:adjustRightInd w:val="0"/>
        <w:snapToGrid w:val="0"/>
        <w:jc w:val="center"/>
        <w:rPr>
          <w:rFonts w:hint="eastAsia" w:ascii="宋体" w:hAnsi="宋体" w:eastAsia="宋体" w:cs="宋体"/>
          <w:color w:val="auto"/>
          <w:sz w:val="28"/>
          <w:szCs w:val="28"/>
          <w:highlight w:val="none"/>
        </w:rPr>
      </w:pPr>
      <w:bookmarkStart w:id="143" w:name="_Toc10641"/>
      <w:bookmarkStart w:id="144" w:name="_Toc29913923"/>
      <w:bookmarkStart w:id="145" w:name="_Toc30098"/>
      <w:r>
        <w:rPr>
          <w:rFonts w:hint="eastAsia" w:ascii="宋体" w:hAnsi="宋体" w:eastAsia="宋体" w:cs="宋体"/>
          <w:color w:val="auto"/>
          <w:sz w:val="28"/>
          <w:szCs w:val="28"/>
          <w:highlight w:val="none"/>
        </w:rPr>
        <w:t>第三节 投标文件的符合性审查</w:t>
      </w:r>
      <w:bookmarkEnd w:id="143"/>
      <w:bookmarkEnd w:id="144"/>
      <w:bookmarkEnd w:id="145"/>
    </w:p>
    <w:p w14:paraId="28075957">
      <w:pPr>
        <w:adjustRightInd w:val="0"/>
        <w:snapToGrid w:val="0"/>
        <w:spacing w:before="156" w:beforeLines="5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1.符合性审查</w:t>
      </w:r>
    </w:p>
    <w:p w14:paraId="34D913DD">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1"/>
          <w:highlight w:val="none"/>
        </w:rPr>
        <w:t>评标委员会应</w:t>
      </w:r>
      <w:r>
        <w:rPr>
          <w:rFonts w:hint="eastAsia" w:ascii="宋体" w:hAnsi="宋体" w:eastAsia="宋体" w:cs="宋体"/>
          <w:color w:val="auto"/>
          <w:highlight w:val="none"/>
        </w:rPr>
        <w:t>对符合资格条件的投标人的投标文件进行符合性审查，以确定其是否满足招标文件的实质性要求。</w:t>
      </w:r>
    </w:p>
    <w:p w14:paraId="0DB0E6F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4CA62C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（2）投标人不得通过修正或撤销不合要求的偏离从而使其投标成为实质上响应的投标。</w:t>
      </w:r>
    </w:p>
    <w:p w14:paraId="4C54ED7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highlight w:val="none"/>
        </w:rPr>
        <w:t>未通过符合性审查的投标人，其投标将被认定为投标无效，不能进入下一阶段评审。通过符合性审查的投标人数量不足 3 家的，不得作进一步的比较和评价。</w:t>
      </w:r>
    </w:p>
    <w:p w14:paraId="64B3435F">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2.投标无效</w:t>
      </w:r>
    </w:p>
    <w:p w14:paraId="2267AC6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2.1投标人存在下列情况之一的，符合性审查不合格，投标无效：</w:t>
      </w:r>
    </w:p>
    <w:p w14:paraId="65DE350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w:t>
      </w:r>
      <w:r>
        <w:rPr>
          <w:rFonts w:hint="eastAsia" w:ascii="宋体" w:hAnsi="宋体" w:eastAsia="宋体" w:cs="宋体"/>
          <w:color w:val="auto"/>
          <w:szCs w:val="21"/>
          <w:highlight w:val="none"/>
          <w:lang w:eastAsia="zh-CN"/>
        </w:rPr>
        <w:t>商务和技术文件</w:t>
      </w:r>
      <w:r>
        <w:rPr>
          <w:rFonts w:hint="eastAsia" w:ascii="宋体" w:hAnsi="宋体" w:eastAsia="宋体" w:cs="宋体"/>
          <w:color w:val="auto"/>
          <w:szCs w:val="21"/>
          <w:highlight w:val="none"/>
        </w:rPr>
        <w:t>未按照招标文件规定要求签署、盖章的；</w:t>
      </w:r>
    </w:p>
    <w:p w14:paraId="753BC79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（2）投标文件没有对招标文件的实质性要求和条件作出响应，或者对招标文件的偏离超出招标文件规定的偏离</w:t>
      </w:r>
      <w:r>
        <w:rPr>
          <w:rFonts w:hint="eastAsia" w:ascii="宋体" w:hAnsi="宋体" w:eastAsia="宋体" w:cs="宋体"/>
          <w:color w:val="auto"/>
          <w:highlight w:val="none"/>
        </w:rPr>
        <w:t>范围和幅度</w:t>
      </w:r>
      <w:r>
        <w:rPr>
          <w:rFonts w:hint="eastAsia" w:ascii="宋体" w:hAnsi="宋体" w:eastAsia="宋体" w:cs="宋体"/>
          <w:color w:val="auto"/>
          <w:szCs w:val="21"/>
          <w:highlight w:val="none"/>
        </w:rPr>
        <w:t>；</w:t>
      </w:r>
    </w:p>
    <w:p w14:paraId="4480290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（3）投标有效期不足的；</w:t>
      </w:r>
    </w:p>
    <w:p w14:paraId="15B9D6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（4）投标文件含有采购人不能接受的附加条件的；</w:t>
      </w:r>
    </w:p>
    <w:p w14:paraId="72E6FC3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（5）不符合本节第1.1款规定符合性审查标准的；</w:t>
      </w:r>
    </w:p>
    <w:p w14:paraId="19A0812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（6）法律、法规和招标文件规定的其他投标无效情形的。</w:t>
      </w:r>
    </w:p>
    <w:p w14:paraId="450D573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szCs w:val="21"/>
          <w:highlight w:val="none"/>
        </w:rPr>
        <w:t>，并书面报告本级财政部门。</w:t>
      </w:r>
    </w:p>
    <w:p w14:paraId="02CE373D">
      <w:pPr>
        <w:rPr>
          <w:rFonts w:hint="eastAsia" w:ascii="宋体" w:hAnsi="宋体" w:eastAsia="宋体" w:cs="宋体"/>
          <w:color w:val="auto"/>
          <w:highlight w:val="none"/>
        </w:rPr>
      </w:pPr>
    </w:p>
    <w:p w14:paraId="324BA452">
      <w:pPr>
        <w:rPr>
          <w:rFonts w:hint="eastAsia" w:ascii="宋体" w:hAnsi="宋体" w:eastAsia="宋体" w:cs="宋体"/>
          <w:color w:val="auto"/>
          <w:highlight w:val="none"/>
        </w:rPr>
      </w:pPr>
    </w:p>
    <w:p w14:paraId="346E2E3E">
      <w:pPr>
        <w:widowControl/>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7EE45784">
      <w:pPr>
        <w:pStyle w:val="4"/>
        <w:adjustRightInd w:val="0"/>
        <w:snapToGrid w:val="0"/>
        <w:spacing w:before="156" w:beforeLines="50" w:after="0" w:line="360" w:lineRule="auto"/>
        <w:rPr>
          <w:rFonts w:hint="eastAsia" w:ascii="宋体" w:hAnsi="宋体" w:eastAsia="宋体" w:cs="宋体"/>
          <w:color w:val="auto"/>
          <w:sz w:val="21"/>
          <w:szCs w:val="21"/>
          <w:highlight w:val="none"/>
        </w:rPr>
      </w:pPr>
      <w:bookmarkStart w:id="146" w:name="_Toc16957"/>
      <w:bookmarkStart w:id="147" w:name="_Toc20651227"/>
      <w:bookmarkStart w:id="148" w:name="_Toc20064"/>
      <w:bookmarkStart w:id="149" w:name="_Toc29913924"/>
      <w:r>
        <w:rPr>
          <w:rFonts w:hint="eastAsia" w:ascii="宋体" w:hAnsi="宋体" w:eastAsia="宋体" w:cs="宋体"/>
          <w:color w:val="auto"/>
          <w:sz w:val="21"/>
          <w:szCs w:val="21"/>
          <w:highlight w:val="none"/>
        </w:rPr>
        <w:t>附表1 符合性审查表</w:t>
      </w:r>
      <w:bookmarkEnd w:id="146"/>
      <w:bookmarkEnd w:id="147"/>
      <w:bookmarkEnd w:id="148"/>
    </w:p>
    <w:p w14:paraId="1D72E07A">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p w14:paraId="6673CC76">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26F94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1DDC2784">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686" w:type="dxa"/>
            <w:noWrap w:val="0"/>
            <w:vAlign w:val="center"/>
          </w:tcPr>
          <w:p w14:paraId="5966F6C4">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691" w:type="dxa"/>
            <w:noWrap w:val="0"/>
            <w:vAlign w:val="center"/>
          </w:tcPr>
          <w:p w14:paraId="391B5A88">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108C0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5B28D83">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686" w:type="dxa"/>
            <w:noWrap w:val="0"/>
            <w:vAlign w:val="center"/>
          </w:tcPr>
          <w:p w14:paraId="2ECA5E93">
            <w:pPr>
              <w:adjustRightInd w:val="0"/>
              <w:snapToGrid w:val="0"/>
              <w:spacing w:before="156" w:beforeLines="5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合同履行期限</w:t>
            </w:r>
          </w:p>
        </w:tc>
        <w:tc>
          <w:tcPr>
            <w:tcW w:w="5691" w:type="dxa"/>
            <w:noWrap w:val="0"/>
            <w:vAlign w:val="center"/>
          </w:tcPr>
          <w:p w14:paraId="3AD38920">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是否响应招标文件</w:t>
            </w:r>
          </w:p>
        </w:tc>
      </w:tr>
      <w:tr w14:paraId="2B9DF9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A3E0B2C">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686" w:type="dxa"/>
            <w:noWrap w:val="0"/>
            <w:vAlign w:val="center"/>
          </w:tcPr>
          <w:p w14:paraId="0AFDE933">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投标有效期</w:t>
            </w:r>
          </w:p>
        </w:tc>
        <w:tc>
          <w:tcPr>
            <w:tcW w:w="5691" w:type="dxa"/>
            <w:noWrap w:val="0"/>
            <w:vAlign w:val="center"/>
          </w:tcPr>
          <w:p w14:paraId="660DBC7C">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1D0B2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CDD614D">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686" w:type="dxa"/>
            <w:noWrap w:val="0"/>
            <w:vAlign w:val="center"/>
          </w:tcPr>
          <w:p w14:paraId="52740B1F">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投标文件中商务和技术文件的签署、盖章</w:t>
            </w:r>
          </w:p>
        </w:tc>
        <w:tc>
          <w:tcPr>
            <w:tcW w:w="5691" w:type="dxa"/>
            <w:noWrap w:val="0"/>
            <w:vAlign w:val="center"/>
          </w:tcPr>
          <w:p w14:paraId="4358FE89">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0E5F4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58DB07F">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2686" w:type="dxa"/>
            <w:noWrap w:val="0"/>
            <w:vAlign w:val="center"/>
          </w:tcPr>
          <w:p w14:paraId="3B7E444C">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投标人对采购项目内容只允许有一个投标报价，否则其投标无效。</w:t>
            </w:r>
          </w:p>
        </w:tc>
        <w:tc>
          <w:tcPr>
            <w:tcW w:w="5691" w:type="dxa"/>
            <w:noWrap w:val="0"/>
            <w:vAlign w:val="center"/>
          </w:tcPr>
          <w:p w14:paraId="299A24C8">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136BB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C38BD2F">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2686" w:type="dxa"/>
            <w:noWrap w:val="0"/>
            <w:vAlign w:val="center"/>
          </w:tcPr>
          <w:p w14:paraId="1C63A8DD">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w:t>
            </w:r>
          </w:p>
        </w:tc>
        <w:tc>
          <w:tcPr>
            <w:tcW w:w="5691" w:type="dxa"/>
            <w:noWrap w:val="0"/>
            <w:vAlign w:val="center"/>
          </w:tcPr>
          <w:p w14:paraId="21ADDCE2">
            <w:pPr>
              <w:adjustRightInd w:val="0"/>
              <w:snapToGrid w:val="0"/>
              <w:spacing w:before="156" w:beforeLines="50"/>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lang w:eastAsia="zh-CN"/>
              </w:rPr>
              <w:t>投标报价不得超过采购项目预算或最高限价</w:t>
            </w:r>
          </w:p>
        </w:tc>
      </w:tr>
      <w:tr w14:paraId="7761F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2BECFC4">
            <w:pPr>
              <w:adjustRightInd w:val="0"/>
              <w:snapToGrid w:val="0"/>
              <w:spacing w:before="156" w:beforeLines="50"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2686" w:type="dxa"/>
            <w:shd w:val="clear" w:color="auto" w:fill="auto"/>
            <w:noWrap w:val="0"/>
            <w:vAlign w:val="center"/>
          </w:tcPr>
          <w:p w14:paraId="0C3F52B9">
            <w:pPr>
              <w:adjustRightInd w:val="0"/>
              <w:snapToGrid w:val="0"/>
              <w:spacing w:before="156" w:beforeLines="5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投标文件载明的投标范围符合招标文件规定的招标范围</w:t>
            </w:r>
          </w:p>
        </w:tc>
        <w:tc>
          <w:tcPr>
            <w:tcW w:w="5691" w:type="dxa"/>
            <w:shd w:val="clear" w:color="auto" w:fill="auto"/>
            <w:noWrap w:val="0"/>
            <w:vAlign w:val="center"/>
          </w:tcPr>
          <w:p w14:paraId="35A78569">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没有缺漏招标文件所要求的内容</w:t>
            </w:r>
          </w:p>
        </w:tc>
      </w:tr>
      <w:tr w14:paraId="0313DF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B64F099">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2686" w:type="dxa"/>
            <w:shd w:val="clear" w:color="auto" w:fill="auto"/>
            <w:noWrap w:val="0"/>
            <w:vAlign w:val="center"/>
          </w:tcPr>
          <w:p w14:paraId="0B249446">
            <w:pPr>
              <w:adjustRightInd w:val="0"/>
              <w:snapToGrid w:val="0"/>
              <w:spacing w:before="156" w:beforeLines="5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投标文件对招标文件的偏离没有超出招标文件规定的偏离范围和幅度</w:t>
            </w:r>
          </w:p>
        </w:tc>
        <w:tc>
          <w:tcPr>
            <w:tcW w:w="5691" w:type="dxa"/>
            <w:shd w:val="clear" w:color="auto" w:fill="auto"/>
            <w:noWrap w:val="0"/>
            <w:vAlign w:val="center"/>
          </w:tcPr>
          <w:p w14:paraId="6C1C0E37">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是否符合招标文件的规定</w:t>
            </w:r>
          </w:p>
        </w:tc>
      </w:tr>
      <w:tr w14:paraId="3791EC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3E6E15A">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2686" w:type="dxa"/>
            <w:shd w:val="clear" w:color="auto" w:fill="auto"/>
            <w:noWrap w:val="0"/>
            <w:vAlign w:val="center"/>
          </w:tcPr>
          <w:p w14:paraId="439AD417">
            <w:pPr>
              <w:adjustRightInd w:val="0"/>
              <w:snapToGrid w:val="0"/>
              <w:spacing w:before="156" w:beforeLines="5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投标文件没有采购人不能接受的附加条件</w:t>
            </w:r>
          </w:p>
        </w:tc>
        <w:tc>
          <w:tcPr>
            <w:tcW w:w="5691" w:type="dxa"/>
            <w:shd w:val="clear" w:color="auto" w:fill="auto"/>
            <w:noWrap w:val="0"/>
            <w:vAlign w:val="center"/>
          </w:tcPr>
          <w:p w14:paraId="6F623A85">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是否符合招标文件的规定</w:t>
            </w:r>
          </w:p>
        </w:tc>
      </w:tr>
      <w:tr w14:paraId="6E5CBC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5D6CF19">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9</w:t>
            </w:r>
          </w:p>
        </w:tc>
        <w:tc>
          <w:tcPr>
            <w:tcW w:w="2686" w:type="dxa"/>
            <w:shd w:val="clear" w:color="auto" w:fill="auto"/>
            <w:noWrap w:val="0"/>
            <w:vAlign w:val="center"/>
          </w:tcPr>
          <w:p w14:paraId="3A93AE5B">
            <w:pPr>
              <w:adjustRightInd w:val="0"/>
              <w:snapToGrid w:val="0"/>
              <w:spacing w:before="156" w:beforeLines="5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符合法律、法规和招标文件中用“拒绝”“不接受”“无效”“不得”等文字规定的实质性条款</w:t>
            </w:r>
          </w:p>
        </w:tc>
        <w:tc>
          <w:tcPr>
            <w:tcW w:w="5691" w:type="dxa"/>
            <w:shd w:val="clear" w:color="auto" w:fill="auto"/>
            <w:noWrap w:val="0"/>
            <w:vAlign w:val="center"/>
          </w:tcPr>
          <w:p w14:paraId="6BD5F843">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是否符合招标文件的规定</w:t>
            </w:r>
          </w:p>
        </w:tc>
      </w:tr>
      <w:tr w14:paraId="0F338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99F2959">
            <w:pPr>
              <w:adjustRightInd w:val="0"/>
              <w:snapToGrid w:val="0"/>
              <w:spacing w:before="156" w:beforeLines="50"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2686" w:type="dxa"/>
            <w:shd w:val="clear" w:color="auto" w:fill="auto"/>
            <w:noWrap w:val="0"/>
            <w:vAlign w:val="center"/>
          </w:tcPr>
          <w:p w14:paraId="4E72A7EB">
            <w:pPr>
              <w:adjustRightInd w:val="0"/>
              <w:snapToGrid w:val="0"/>
              <w:spacing w:before="156" w:beforeLines="5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投标报价的其他要求</w:t>
            </w:r>
          </w:p>
        </w:tc>
        <w:tc>
          <w:tcPr>
            <w:tcW w:w="5691" w:type="dxa"/>
            <w:shd w:val="clear" w:color="auto" w:fill="auto"/>
            <w:noWrap w:val="0"/>
            <w:vAlign w:val="center"/>
          </w:tcPr>
          <w:p w14:paraId="0F869744">
            <w:pPr>
              <w:adjustRightInd w:val="0"/>
              <w:snapToGrid w:val="0"/>
              <w:spacing w:before="156" w:beforeLines="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eastAsia="zh-CN"/>
              </w:rPr>
              <w:t>投标报价</w:t>
            </w:r>
            <w:r>
              <w:rPr>
                <w:rFonts w:hint="eastAsia" w:ascii="宋体" w:hAnsi="宋体" w:eastAsia="宋体" w:cs="宋体"/>
                <w:color w:val="auto"/>
                <w:highlight w:val="none"/>
              </w:rPr>
              <w:t>是否符合</w:t>
            </w:r>
            <w:r>
              <w:rPr>
                <w:rFonts w:hint="eastAsia" w:ascii="宋体" w:hAnsi="宋体" w:eastAsia="宋体" w:cs="宋体"/>
                <w:color w:val="auto"/>
                <w:szCs w:val="21"/>
                <w:highlight w:val="none"/>
              </w:rPr>
              <w:t>投标报价的其他要求</w:t>
            </w:r>
          </w:p>
        </w:tc>
      </w:tr>
      <w:tr w14:paraId="1D98B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F32F0A3">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noWrap w:val="0"/>
            <w:vAlign w:val="center"/>
          </w:tcPr>
          <w:p w14:paraId="444C02E2">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bl>
    <w:p w14:paraId="2BBB413B">
      <w:pPr>
        <w:rPr>
          <w:rFonts w:hint="eastAsia" w:ascii="宋体" w:hAnsi="宋体" w:eastAsia="宋体" w:cs="宋体"/>
          <w:color w:val="auto"/>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1517CAC7">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B3C7D1">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bookmarkStart w:id="150" w:name="_Toc12497"/>
      <w:bookmarkStart w:id="151" w:name="_Toc3251"/>
      <w:r>
        <w:rPr>
          <w:rFonts w:hint="eastAsia" w:ascii="宋体" w:hAnsi="宋体" w:eastAsia="宋体" w:cs="宋体"/>
          <w:b w:val="0"/>
          <w:bCs w:val="0"/>
          <w:color w:val="auto"/>
          <w:sz w:val="21"/>
          <w:szCs w:val="21"/>
          <w:highlight w:val="none"/>
        </w:rPr>
        <w:t>附表2 符合性审查结果一览表</w:t>
      </w:r>
      <w:bookmarkEnd w:id="150"/>
      <w:bookmarkEnd w:id="151"/>
    </w:p>
    <w:p w14:paraId="4B338DBD">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p w14:paraId="022B381A">
      <w:pPr>
        <w:adjustRightInd w:val="0"/>
        <w:snapToGrid w:val="0"/>
        <w:spacing w:before="156" w:beforeLines="50" w:line="360" w:lineRule="auto"/>
        <w:rPr>
          <w:rFonts w:hint="eastAsia" w:ascii="宋体" w:hAnsi="宋体" w:eastAsia="宋体" w:cs="宋体"/>
          <w:color w:val="auto"/>
          <w:szCs w:val="21"/>
          <w:highlight w:val="none"/>
        </w:rPr>
      </w:pP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05E0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6D7AFE5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4B96552A">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36F8CCF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6D7D6EA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2E642143">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25C089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2825F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4823C7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446225A">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27B199B">
            <w:pPr>
              <w:adjustRightInd w:val="0"/>
              <w:snapToGrid w:val="0"/>
              <w:spacing w:line="360" w:lineRule="auto"/>
              <w:rPr>
                <w:rFonts w:hint="eastAsia" w:ascii="宋体" w:hAnsi="宋体" w:eastAsia="宋体" w:cs="宋体"/>
                <w:color w:val="auto"/>
                <w:kern w:val="0"/>
                <w:sz w:val="24"/>
                <w:highlight w:val="none"/>
              </w:rPr>
            </w:pPr>
          </w:p>
        </w:tc>
      </w:tr>
      <w:tr w14:paraId="760A61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E5EEF5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82D98A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EBF6A5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50A4552">
            <w:pPr>
              <w:adjustRightInd w:val="0"/>
              <w:snapToGrid w:val="0"/>
              <w:spacing w:line="360" w:lineRule="auto"/>
              <w:rPr>
                <w:rFonts w:hint="eastAsia" w:ascii="宋体" w:hAnsi="宋体" w:eastAsia="宋体" w:cs="宋体"/>
                <w:color w:val="auto"/>
                <w:kern w:val="0"/>
                <w:sz w:val="24"/>
                <w:highlight w:val="none"/>
              </w:rPr>
            </w:pPr>
          </w:p>
        </w:tc>
      </w:tr>
      <w:tr w14:paraId="16487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51E9B60">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857983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F768A92">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72A6E0B">
            <w:pPr>
              <w:adjustRightInd w:val="0"/>
              <w:snapToGrid w:val="0"/>
              <w:spacing w:line="360" w:lineRule="auto"/>
              <w:rPr>
                <w:rFonts w:hint="eastAsia" w:ascii="宋体" w:hAnsi="宋体" w:eastAsia="宋体" w:cs="宋体"/>
                <w:color w:val="auto"/>
                <w:kern w:val="0"/>
                <w:sz w:val="24"/>
                <w:highlight w:val="none"/>
              </w:rPr>
            </w:pPr>
          </w:p>
        </w:tc>
      </w:tr>
      <w:tr w14:paraId="5D921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25FE206">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21136F8">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3E833D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D50A79F">
            <w:pPr>
              <w:adjustRightInd w:val="0"/>
              <w:snapToGrid w:val="0"/>
              <w:spacing w:line="360" w:lineRule="auto"/>
              <w:rPr>
                <w:rFonts w:hint="eastAsia" w:ascii="宋体" w:hAnsi="宋体" w:eastAsia="宋体" w:cs="宋体"/>
                <w:color w:val="auto"/>
                <w:kern w:val="0"/>
                <w:sz w:val="24"/>
                <w:highlight w:val="none"/>
              </w:rPr>
            </w:pPr>
          </w:p>
        </w:tc>
      </w:tr>
      <w:tr w14:paraId="0C384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BC5356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004C75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981070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5B87A3A">
            <w:pPr>
              <w:adjustRightInd w:val="0"/>
              <w:snapToGrid w:val="0"/>
              <w:spacing w:line="360" w:lineRule="auto"/>
              <w:rPr>
                <w:rFonts w:hint="eastAsia" w:ascii="宋体" w:hAnsi="宋体" w:eastAsia="宋体" w:cs="宋体"/>
                <w:color w:val="auto"/>
                <w:kern w:val="0"/>
                <w:sz w:val="24"/>
                <w:highlight w:val="none"/>
              </w:rPr>
            </w:pPr>
          </w:p>
        </w:tc>
      </w:tr>
      <w:tr w14:paraId="02658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680CD9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F3F1CA3">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F4FADB4">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69BB8D1">
            <w:pPr>
              <w:adjustRightInd w:val="0"/>
              <w:snapToGrid w:val="0"/>
              <w:spacing w:line="360" w:lineRule="auto"/>
              <w:rPr>
                <w:rFonts w:hint="eastAsia" w:ascii="宋体" w:hAnsi="宋体" w:eastAsia="宋体" w:cs="宋体"/>
                <w:color w:val="auto"/>
                <w:kern w:val="0"/>
                <w:sz w:val="24"/>
                <w:highlight w:val="none"/>
              </w:rPr>
            </w:pPr>
          </w:p>
        </w:tc>
      </w:tr>
    </w:tbl>
    <w:p w14:paraId="0BBD8AE5">
      <w:pPr>
        <w:widowControl/>
        <w:jc w:val="left"/>
        <w:rPr>
          <w:rFonts w:hint="eastAsia" w:ascii="宋体" w:hAnsi="宋体" w:eastAsia="宋体" w:cs="宋体"/>
          <w:bCs/>
          <w:color w:val="auto"/>
          <w:szCs w:val="21"/>
          <w:highlight w:val="none"/>
        </w:rPr>
      </w:pPr>
    </w:p>
    <w:p w14:paraId="6E2D98A5">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bookmarkStart w:id="152" w:name="_Toc25337"/>
      <w:bookmarkStart w:id="153" w:name="_Toc21842"/>
      <w:r>
        <w:rPr>
          <w:rFonts w:hint="eastAsia" w:ascii="宋体" w:hAnsi="宋体" w:eastAsia="宋体" w:cs="宋体"/>
          <w:b w:val="0"/>
          <w:bCs w:val="0"/>
          <w:color w:val="auto"/>
          <w:sz w:val="21"/>
          <w:szCs w:val="21"/>
          <w:highlight w:val="none"/>
        </w:rPr>
        <w:t>附表3 符合性审查合格投标人名单</w:t>
      </w:r>
      <w:bookmarkEnd w:id="152"/>
      <w:bookmarkEnd w:id="153"/>
    </w:p>
    <w:p w14:paraId="298BDD62">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符合性审查合格投标人名单</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68DCD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40C9335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2A4E6DF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2FD431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65294E7">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29A4D18E">
            <w:pPr>
              <w:adjustRightInd w:val="0"/>
              <w:snapToGrid w:val="0"/>
              <w:spacing w:line="360" w:lineRule="auto"/>
              <w:rPr>
                <w:rFonts w:hint="eastAsia" w:ascii="宋体" w:hAnsi="宋体" w:eastAsia="宋体" w:cs="宋体"/>
                <w:color w:val="auto"/>
                <w:kern w:val="0"/>
                <w:szCs w:val="21"/>
                <w:highlight w:val="none"/>
              </w:rPr>
            </w:pPr>
          </w:p>
        </w:tc>
      </w:tr>
      <w:tr w14:paraId="5FCBE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B2D16F9">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28532BD2">
            <w:pPr>
              <w:adjustRightInd w:val="0"/>
              <w:snapToGrid w:val="0"/>
              <w:spacing w:line="360" w:lineRule="auto"/>
              <w:rPr>
                <w:rFonts w:hint="eastAsia" w:ascii="宋体" w:hAnsi="宋体" w:eastAsia="宋体" w:cs="宋体"/>
                <w:color w:val="auto"/>
                <w:kern w:val="0"/>
                <w:sz w:val="24"/>
                <w:highlight w:val="none"/>
              </w:rPr>
            </w:pPr>
          </w:p>
        </w:tc>
      </w:tr>
      <w:tr w14:paraId="1776E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358E7E">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B438FEF">
            <w:pPr>
              <w:adjustRightInd w:val="0"/>
              <w:snapToGrid w:val="0"/>
              <w:spacing w:line="360" w:lineRule="auto"/>
              <w:rPr>
                <w:rFonts w:hint="eastAsia" w:ascii="宋体" w:hAnsi="宋体" w:eastAsia="宋体" w:cs="宋体"/>
                <w:color w:val="auto"/>
                <w:kern w:val="0"/>
                <w:sz w:val="24"/>
                <w:highlight w:val="none"/>
              </w:rPr>
            </w:pPr>
          </w:p>
        </w:tc>
      </w:tr>
      <w:tr w14:paraId="15309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A971A7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D679461">
            <w:pPr>
              <w:adjustRightInd w:val="0"/>
              <w:snapToGrid w:val="0"/>
              <w:spacing w:line="360" w:lineRule="auto"/>
              <w:rPr>
                <w:rFonts w:hint="eastAsia" w:ascii="宋体" w:hAnsi="宋体" w:eastAsia="宋体" w:cs="宋体"/>
                <w:color w:val="auto"/>
                <w:kern w:val="0"/>
                <w:sz w:val="24"/>
                <w:highlight w:val="none"/>
              </w:rPr>
            </w:pPr>
          </w:p>
        </w:tc>
      </w:tr>
      <w:tr w14:paraId="655214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FE9C7B2">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F32C090">
            <w:pPr>
              <w:adjustRightInd w:val="0"/>
              <w:snapToGrid w:val="0"/>
              <w:spacing w:line="360" w:lineRule="auto"/>
              <w:rPr>
                <w:rFonts w:hint="eastAsia" w:ascii="宋体" w:hAnsi="宋体" w:eastAsia="宋体" w:cs="宋体"/>
                <w:color w:val="auto"/>
                <w:kern w:val="0"/>
                <w:sz w:val="24"/>
                <w:highlight w:val="none"/>
              </w:rPr>
            </w:pPr>
          </w:p>
        </w:tc>
      </w:tr>
      <w:tr w14:paraId="648516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715717D">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0889B718">
            <w:pPr>
              <w:adjustRightInd w:val="0"/>
              <w:snapToGrid w:val="0"/>
              <w:spacing w:line="360" w:lineRule="auto"/>
              <w:rPr>
                <w:rFonts w:hint="eastAsia" w:ascii="宋体" w:hAnsi="宋体" w:eastAsia="宋体" w:cs="宋体"/>
                <w:color w:val="auto"/>
                <w:kern w:val="0"/>
                <w:sz w:val="24"/>
                <w:highlight w:val="none"/>
              </w:rPr>
            </w:pPr>
          </w:p>
        </w:tc>
      </w:tr>
    </w:tbl>
    <w:p w14:paraId="4229A5A7">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29E891E4">
      <w:pPr>
        <w:adjustRightInd w:val="0"/>
        <w:snapToGrid w:val="0"/>
        <w:spacing w:line="360" w:lineRule="auto"/>
        <w:rPr>
          <w:rFonts w:hint="eastAsia" w:ascii="宋体" w:hAnsi="宋体" w:eastAsia="宋体" w:cs="宋体"/>
          <w:color w:val="auto"/>
          <w:szCs w:val="21"/>
          <w:highlight w:val="none"/>
        </w:rPr>
      </w:pPr>
    </w:p>
    <w:p w14:paraId="0AF287D5">
      <w:pPr>
        <w:rPr>
          <w:rFonts w:hint="eastAsia" w:ascii="宋体" w:hAnsi="宋体" w:eastAsia="宋体" w:cs="宋体"/>
          <w:color w:val="auto"/>
          <w:w w:val="90"/>
          <w:highlight w:val="none"/>
        </w:rPr>
      </w:pPr>
      <w:r>
        <w:rPr>
          <w:rFonts w:hint="eastAsia" w:ascii="宋体" w:hAnsi="宋体" w:eastAsia="宋体" w:cs="宋体"/>
          <w:color w:val="auto"/>
          <w:szCs w:val="21"/>
          <w:highlight w:val="none"/>
        </w:rPr>
        <w:t>评标委员会全体成员（</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                                    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w:t>
      </w:r>
    </w:p>
    <w:p w14:paraId="2B89574E">
      <w:pPr>
        <w:rPr>
          <w:rFonts w:hint="eastAsia" w:ascii="宋体" w:hAnsi="宋体" w:eastAsia="宋体" w:cs="宋体"/>
          <w:b/>
          <w:color w:val="auto"/>
          <w:sz w:val="32"/>
          <w:szCs w:val="32"/>
          <w:highlight w:val="none"/>
        </w:rPr>
      </w:pPr>
    </w:p>
    <w:p w14:paraId="03409EE5">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b w:val="0"/>
          <w:color w:val="auto"/>
          <w:sz w:val="32"/>
          <w:highlight w:val="none"/>
        </w:rPr>
        <w:br w:type="page"/>
      </w:r>
      <w:bookmarkStart w:id="154" w:name="_Toc4901"/>
      <w:bookmarkStart w:id="155" w:name="_Toc23932"/>
      <w:r>
        <w:rPr>
          <w:rFonts w:hint="eastAsia" w:ascii="宋体" w:hAnsi="宋体" w:eastAsia="宋体" w:cs="宋体"/>
          <w:color w:val="auto"/>
          <w:sz w:val="28"/>
          <w:szCs w:val="28"/>
          <w:highlight w:val="none"/>
        </w:rPr>
        <w:t>第四节 投标文件的比较与评价</w:t>
      </w:r>
      <w:bookmarkEnd w:id="149"/>
      <w:bookmarkEnd w:id="154"/>
      <w:bookmarkEnd w:id="155"/>
    </w:p>
    <w:p w14:paraId="1891771E">
      <w:pPr>
        <w:widowControl/>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b/>
          <w:color w:val="auto"/>
          <w:sz w:val="24"/>
          <w:highlight w:val="none"/>
        </w:rPr>
        <w:t>综合评分法</w:t>
      </w:r>
    </w:p>
    <w:p w14:paraId="42A568A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1.1综合评分法，指投标文件满足招标文件全部实质性要求，且按照评审因素的量化指标评审得分最高的投标人为中标候选人的评标方法。</w:t>
      </w:r>
    </w:p>
    <w:p w14:paraId="78BB7AE3">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11686DD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1.3未通过符合性审查的投标文件不得进入比较与评价。</w:t>
      </w:r>
    </w:p>
    <w:p w14:paraId="138E625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投标报价的算术修正及政府采购政策调整</w:t>
      </w:r>
    </w:p>
    <w:p w14:paraId="3433A8B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2.1如果有算术错误，投标报价将按本章第二节第4.2款、第4.3款规定进行算术修正。</w:t>
      </w:r>
    </w:p>
    <w:p w14:paraId="2A31BC3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2.2需落实政府采购政策（价格评审优惠）的，按第二章“投标须知”及本章第二节第5.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（1）项的相关规定进行价格调整。</w:t>
      </w:r>
    </w:p>
    <w:p w14:paraId="175E3D2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2.3按本章本节第2.1款、第2.2款规定，以修正或调整后的价格确定投标人的投标报价和评标基准价，用于投标报价评价。</w:t>
      </w:r>
    </w:p>
    <w:p w14:paraId="0BBBB0F5">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投标报价评价</w:t>
      </w:r>
    </w:p>
    <w:p w14:paraId="27DDDBC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110BD8B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投标报价得分=（评标基准价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 × 报价权重分</w:t>
      </w:r>
    </w:p>
    <w:p w14:paraId="054B8A6E">
      <w:pPr>
        <w:adjustRightInd w:val="0"/>
        <w:snapToGrid w:val="0"/>
        <w:spacing w:before="156" w:beforeLines="50"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4.</w:t>
      </w:r>
      <w:r>
        <w:rPr>
          <w:rFonts w:hint="eastAsia" w:ascii="宋体" w:hAnsi="宋体" w:eastAsia="宋体" w:cs="宋体"/>
          <w:color w:val="auto"/>
          <w:sz w:val="24"/>
          <w:highlight w:val="none"/>
        </w:rPr>
        <w:t>技术、商务等评分项响应评价及政府采购政策加分</w:t>
      </w:r>
    </w:p>
    <w:p w14:paraId="5DFA20F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4.1技术、商务等评分项响应评分。按</w:t>
      </w:r>
      <w:r>
        <w:rPr>
          <w:rFonts w:hint="eastAsia" w:ascii="宋体" w:hAnsi="宋体" w:eastAsia="宋体" w:cs="宋体"/>
          <w:bCs/>
          <w:color w:val="auto"/>
          <w:szCs w:val="21"/>
          <w:highlight w:val="none"/>
        </w:rPr>
        <w:t>本章</w:t>
      </w:r>
      <w:r>
        <w:rPr>
          <w:rFonts w:hint="eastAsia" w:ascii="宋体" w:hAnsi="宋体" w:eastAsia="宋体" w:cs="宋体"/>
          <w:color w:val="auto"/>
          <w:szCs w:val="21"/>
          <w:highlight w:val="none"/>
        </w:rPr>
        <w:t>本节附页1“评标方法及标准表”规定的评标因素和标准，对技术、商务等评分项计算得分。</w:t>
      </w:r>
    </w:p>
    <w:p w14:paraId="0A6073A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4.2需落实政府采购政策（优先采购）的，按第二章、本章第二节第5.3（2）项以及本节附页1“评标方法及标准表”的相关规定进行技术、价格、商务项得分(加分)计算。</w:t>
      </w:r>
    </w:p>
    <w:p w14:paraId="44C71F5D">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5.评标总得分</w:t>
      </w:r>
    </w:p>
    <w:p w14:paraId="67A78C3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5.1评标总得分为投标报价、技术、商务等评分项得分(含优先采购政策加分)之和。</w:t>
      </w:r>
    </w:p>
    <w:p w14:paraId="416A954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评标总得分＝A</w:t>
      </w:r>
      <w:r>
        <w:rPr>
          <w:rFonts w:hint="eastAsia" w:ascii="宋体" w:hAnsi="宋体" w:eastAsia="宋体" w:cs="宋体"/>
          <w:color w:val="auto"/>
          <w:szCs w:val="21"/>
          <w:highlight w:val="none"/>
          <w:vertAlign w:val="subscript"/>
        </w:rPr>
        <w:t>投标报价得分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技术项得分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商务项得分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优先采购加分</w:t>
      </w:r>
    </w:p>
    <w:p w14:paraId="1845BD5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5.2评分分值计算保留小数点后两位，小数点后第三位“四舍五入”。</w:t>
      </w:r>
    </w:p>
    <w:p w14:paraId="0BFCAC4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s="宋体"/>
          <w:color w:val="auto"/>
          <w:szCs w:val="21"/>
          <w:highlight w:val="none"/>
        </w:rPr>
        <w:t>评标时，评标委员会成员应当独立对满足招标文件全部实质性要求投标人的</w:t>
      </w:r>
      <w:r>
        <w:rPr>
          <w:rFonts w:hint="eastAsia" w:ascii="宋体" w:hAnsi="宋体" w:eastAsia="宋体" w:cs="宋体"/>
          <w:bCs/>
          <w:color w:val="auto"/>
          <w:szCs w:val="21"/>
          <w:highlight w:val="none"/>
        </w:rPr>
        <w:t>投标文件</w:t>
      </w:r>
      <w:r>
        <w:rPr>
          <w:rFonts w:hint="eastAsia" w:ascii="宋体" w:hAnsi="宋体" w:eastAsia="宋体" w:cs="宋体"/>
          <w:color w:val="auto"/>
          <w:szCs w:val="21"/>
          <w:highlight w:val="none"/>
        </w:rPr>
        <w:t>进行评价、评分，然后汇总每个投标人每项评分因素的得分。每个投标人的最终得分为所有评标委员会成员评分的算术平均值。</w:t>
      </w:r>
    </w:p>
    <w:p w14:paraId="1E51A952">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6.中标候选人的推荐方法</w:t>
      </w:r>
    </w:p>
    <w:p w14:paraId="0E1843AE">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928014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6.2得分且投标报价相同的并列，按本章第二节规定确定中标候选人。</w:t>
      </w:r>
    </w:p>
    <w:p w14:paraId="05BFC35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p>
    <w:p w14:paraId="4DB1C90B">
      <w:pPr>
        <w:widowControl/>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2B259976">
      <w:pPr>
        <w:pStyle w:val="4"/>
        <w:adjustRightInd w:val="0"/>
        <w:snapToGrid w:val="0"/>
        <w:spacing w:before="156" w:beforeLines="50" w:after="0" w:line="360" w:lineRule="auto"/>
        <w:rPr>
          <w:rFonts w:hint="eastAsia" w:ascii="宋体" w:hAnsi="宋体" w:eastAsia="宋体" w:cs="宋体"/>
          <w:color w:val="auto"/>
          <w:sz w:val="21"/>
          <w:szCs w:val="21"/>
          <w:highlight w:val="none"/>
        </w:rPr>
      </w:pPr>
      <w:bookmarkStart w:id="156" w:name="_Toc29913925"/>
      <w:bookmarkStart w:id="157" w:name="_Toc9218"/>
      <w:bookmarkStart w:id="158" w:name="_Toc9101"/>
      <w:r>
        <w:rPr>
          <w:rFonts w:hint="eastAsia" w:ascii="宋体" w:hAnsi="宋体" w:eastAsia="宋体" w:cs="宋体"/>
          <w:color w:val="auto"/>
          <w:sz w:val="21"/>
          <w:szCs w:val="21"/>
          <w:highlight w:val="none"/>
        </w:rPr>
        <w:t>附页1 评标方法及标准表</w:t>
      </w:r>
      <w:bookmarkEnd w:id="156"/>
      <w:bookmarkEnd w:id="157"/>
      <w:bookmarkEnd w:id="158"/>
    </w:p>
    <w:p w14:paraId="2241476E">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评标方法及标准</w:t>
      </w:r>
    </w:p>
    <w:tbl>
      <w:tblPr>
        <w:tblStyle w:val="44"/>
        <w:tblW w:w="8860" w:type="dxa"/>
        <w:jc w:val="center"/>
        <w:tblLayout w:type="fixed"/>
        <w:tblCellMar>
          <w:top w:w="0" w:type="dxa"/>
          <w:left w:w="0" w:type="dxa"/>
          <w:bottom w:w="0" w:type="dxa"/>
          <w:right w:w="0" w:type="dxa"/>
        </w:tblCellMar>
      </w:tblPr>
      <w:tblGrid>
        <w:gridCol w:w="5442"/>
        <w:gridCol w:w="3418"/>
      </w:tblGrid>
      <w:tr w14:paraId="38F5380A">
        <w:tblPrEx>
          <w:tblCellMar>
            <w:top w:w="0" w:type="dxa"/>
            <w:left w:w="0" w:type="dxa"/>
            <w:bottom w:w="0" w:type="dxa"/>
            <w:right w:w="0" w:type="dxa"/>
          </w:tblCellMar>
        </w:tblPrEx>
        <w:trPr>
          <w:jc w:val="center"/>
        </w:trPr>
        <w:tc>
          <w:tcPr>
            <w:tcW w:w="8860" w:type="dxa"/>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D8749E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评审因素及权值</w:t>
            </w:r>
          </w:p>
        </w:tc>
      </w:tr>
      <w:tr w14:paraId="2D01DD4A">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0C6F8D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c>
          <w:tcPr>
            <w:tcW w:w="3418"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A551CF8">
            <w:pPr>
              <w:widowControl/>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权值</w:t>
            </w:r>
            <w:r>
              <w:rPr>
                <w:rFonts w:hint="eastAsia" w:ascii="宋体" w:hAnsi="宋体" w:eastAsia="宋体" w:cs="宋体"/>
                <w:color w:val="auto"/>
                <w:kern w:val="0"/>
                <w:szCs w:val="21"/>
                <w:highlight w:val="none"/>
                <w:lang w:eastAsia="zh-CN"/>
              </w:rPr>
              <w:t>的取值</w:t>
            </w:r>
          </w:p>
        </w:tc>
      </w:tr>
      <w:tr w14:paraId="7B829D14">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ABD2A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C08853D">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60</w:t>
            </w:r>
            <w:r>
              <w:rPr>
                <w:rFonts w:hint="eastAsia" w:ascii="宋体" w:hAnsi="宋体" w:eastAsia="宋体" w:cs="Times New Roman"/>
                <w:color w:val="auto"/>
                <w:kern w:val="0"/>
                <w:szCs w:val="21"/>
                <w:highlight w:val="none"/>
              </w:rPr>
              <w:t>%</w:t>
            </w:r>
          </w:p>
        </w:tc>
      </w:tr>
      <w:tr w14:paraId="6B80423E">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161B07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商务部分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4A6B781">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30</w:t>
            </w:r>
            <w:r>
              <w:rPr>
                <w:rFonts w:hint="eastAsia" w:ascii="宋体" w:hAnsi="宋体" w:eastAsia="宋体" w:cs="Times New Roman"/>
                <w:color w:val="auto"/>
                <w:kern w:val="0"/>
                <w:szCs w:val="21"/>
                <w:highlight w:val="none"/>
              </w:rPr>
              <w:t>%</w:t>
            </w:r>
          </w:p>
        </w:tc>
      </w:tr>
      <w:tr w14:paraId="2B0C0275">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5F01B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B9D0D8C">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10</w:t>
            </w:r>
            <w:r>
              <w:rPr>
                <w:rFonts w:hint="eastAsia" w:ascii="宋体" w:hAnsi="宋体" w:eastAsia="宋体" w:cs="Times New Roman"/>
                <w:color w:val="auto"/>
                <w:kern w:val="0"/>
                <w:szCs w:val="21"/>
                <w:highlight w:val="none"/>
              </w:rPr>
              <w:t>%</w:t>
            </w:r>
          </w:p>
        </w:tc>
      </w:tr>
    </w:tbl>
    <w:p w14:paraId="60B40B16">
      <w:pPr>
        <w:widowControl/>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 xml:space="preserve">  </w:t>
      </w:r>
    </w:p>
    <w:tbl>
      <w:tblPr>
        <w:tblStyle w:val="44"/>
        <w:tblW w:w="9200" w:type="dxa"/>
        <w:tblInd w:w="-27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0"/>
        <w:gridCol w:w="1164"/>
        <w:gridCol w:w="6156"/>
        <w:gridCol w:w="940"/>
      </w:tblGrid>
      <w:tr w14:paraId="03698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40" w:hRule="atLeast"/>
        </w:trPr>
        <w:tc>
          <w:tcPr>
            <w:tcW w:w="9200" w:type="dxa"/>
            <w:gridSpan w:val="4"/>
            <w:noWrap w:val="0"/>
            <w:vAlign w:val="center"/>
          </w:tcPr>
          <w:p w14:paraId="406688D1">
            <w:pPr>
              <w:jc w:val="center"/>
              <w:rPr>
                <w:rFonts w:hint="eastAsia" w:ascii="宋体" w:hAnsi="宋体" w:eastAsia="宋体" w:cs="宋体"/>
                <w:color w:val="auto"/>
                <w:highlight w:val="none"/>
                <w:lang w:val="en-US" w:eastAsia="zh-Hans"/>
              </w:rPr>
            </w:pPr>
            <w:r>
              <w:rPr>
                <w:rFonts w:hint="eastAsia" w:ascii="Calibri" w:hAnsi="Calibri" w:eastAsia="宋体" w:cs="Times New Roman"/>
                <w:color w:val="auto"/>
                <w:kern w:val="0"/>
                <w:sz w:val="24"/>
                <w:highlight w:val="none"/>
                <w:lang w:val="en-US" w:eastAsia="zh-Hans"/>
              </w:rPr>
              <w:t>综合评分表</w:t>
            </w:r>
          </w:p>
        </w:tc>
      </w:tr>
      <w:tr w14:paraId="05848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noWrap w:val="0"/>
            <w:vAlign w:val="center"/>
          </w:tcPr>
          <w:p w14:paraId="59CB7614">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评审因素分类</w:t>
            </w:r>
          </w:p>
        </w:tc>
        <w:tc>
          <w:tcPr>
            <w:tcW w:w="1164" w:type="dxa"/>
            <w:noWrap w:val="0"/>
            <w:vAlign w:val="center"/>
          </w:tcPr>
          <w:p w14:paraId="53163FAF">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评审项</w:t>
            </w:r>
          </w:p>
        </w:tc>
        <w:tc>
          <w:tcPr>
            <w:tcW w:w="6156" w:type="dxa"/>
            <w:noWrap w:val="0"/>
            <w:vAlign w:val="center"/>
          </w:tcPr>
          <w:p w14:paraId="5327BA48">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详细描述</w:t>
            </w:r>
          </w:p>
        </w:tc>
        <w:tc>
          <w:tcPr>
            <w:tcW w:w="940" w:type="dxa"/>
            <w:noWrap w:val="0"/>
            <w:vAlign w:val="center"/>
          </w:tcPr>
          <w:p w14:paraId="2FCD5D3A">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分值</w:t>
            </w:r>
          </w:p>
        </w:tc>
      </w:tr>
      <w:tr w14:paraId="145FC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restart"/>
            <w:noWrap w:val="0"/>
            <w:vAlign w:val="center"/>
          </w:tcPr>
          <w:p w14:paraId="32987B3B">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技术评审</w:t>
            </w:r>
          </w:p>
        </w:tc>
        <w:tc>
          <w:tcPr>
            <w:tcW w:w="1164" w:type="dxa"/>
            <w:noWrap w:val="0"/>
            <w:vAlign w:val="center"/>
          </w:tcPr>
          <w:p w14:paraId="066E86F6">
            <w:pPr>
              <w:jc w:val="center"/>
              <w:rPr>
                <w:rFonts w:hint="eastAsia" w:ascii="宋体" w:hAnsi="宋体" w:eastAsia="宋体" w:cs="宋体"/>
                <w:color w:val="auto"/>
                <w:highlight w:val="none"/>
                <w:lang w:val="en-US" w:eastAsia="zh-Hans"/>
              </w:rPr>
            </w:pPr>
            <w:r>
              <w:rPr>
                <w:color w:val="auto"/>
                <w:highlight w:val="none"/>
              </w:rPr>
              <w:t>卫生管理控制方案</w:t>
            </w:r>
          </w:p>
        </w:tc>
        <w:tc>
          <w:tcPr>
            <w:tcW w:w="6156" w:type="dxa"/>
            <w:noWrap w:val="0"/>
            <w:vAlign w:val="center"/>
          </w:tcPr>
          <w:p w14:paraId="6BB0C1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b w:val="0"/>
                <w:bCs w:val="0"/>
                <w:color w:val="auto"/>
                <w:highlight w:val="none"/>
                <w:lang w:val="en-US" w:eastAsia="zh-Hans"/>
              </w:rPr>
              <w:t>根据本项目的采购需求</w:t>
            </w:r>
            <w:r>
              <w:rPr>
                <w:color w:val="auto"/>
                <w:highlight w:val="none"/>
              </w:rPr>
              <w:t>卫生管理控制方案</w:t>
            </w:r>
            <w:r>
              <w:rPr>
                <w:rFonts w:hint="eastAsia"/>
                <w:color w:val="auto"/>
                <w:highlight w:val="none"/>
                <w:lang w:eastAsia="zh-CN"/>
              </w:rPr>
              <w:t>，</w:t>
            </w:r>
            <w:r>
              <w:rPr>
                <w:rFonts w:hint="eastAsia" w:ascii="宋体" w:hAnsi="宋体" w:eastAsia="宋体" w:cs="宋体"/>
                <w:snapToGrid/>
                <w:color w:val="auto"/>
                <w:kern w:val="2"/>
                <w:szCs w:val="21"/>
                <w:highlight w:val="none"/>
                <w:lang w:eastAsia="zh-CN"/>
              </w:rPr>
              <w:t>内容包括但不限于：</w:t>
            </w:r>
            <w:r>
              <w:rPr>
                <w:rFonts w:hint="eastAsia" w:ascii="宋体" w:hAnsi="宋体" w:cs="宋体"/>
                <w:b w:val="0"/>
                <w:bCs w:val="0"/>
                <w:color w:val="auto"/>
                <w:highlight w:val="none"/>
                <w:lang w:val="en-US" w:eastAsia="zh-CN"/>
              </w:rPr>
              <w:t>1.</w:t>
            </w:r>
            <w:r>
              <w:rPr>
                <w:rFonts w:hint="eastAsia" w:ascii="宋体" w:hAnsi="宋体" w:eastAsia="宋体" w:cs="宋体"/>
                <w:b w:val="0"/>
                <w:bCs w:val="0"/>
                <w:color w:val="auto"/>
                <w:highlight w:val="none"/>
                <w:lang w:val="en-US" w:eastAsia="zh-Hans"/>
              </w:rPr>
              <w:t>食品卫生控制方案；2.</w:t>
            </w:r>
            <w:r>
              <w:rPr>
                <w:color w:val="auto"/>
                <w:spacing w:val="-3"/>
                <w:highlight w:val="none"/>
              </w:rPr>
              <w:t>人员卫生控制方案</w:t>
            </w:r>
            <w:r>
              <w:rPr>
                <w:rFonts w:hint="eastAsia" w:ascii="宋体" w:hAnsi="宋体" w:eastAsia="宋体" w:cs="宋体"/>
                <w:b w:val="0"/>
                <w:bCs w:val="0"/>
                <w:color w:val="auto"/>
                <w:highlight w:val="none"/>
                <w:lang w:val="en-US" w:eastAsia="zh-Hans"/>
              </w:rPr>
              <w:t>；3.</w:t>
            </w:r>
            <w:r>
              <w:rPr>
                <w:color w:val="auto"/>
                <w:spacing w:val="-3"/>
                <w:highlight w:val="none"/>
              </w:rPr>
              <w:t>环境卫</w:t>
            </w:r>
            <w:r>
              <w:rPr>
                <w:color w:val="auto"/>
                <w:spacing w:val="-4"/>
                <w:highlight w:val="none"/>
              </w:rPr>
              <w:t>生控制方案</w:t>
            </w:r>
            <w:r>
              <w:rPr>
                <w:rFonts w:hint="eastAsia" w:ascii="宋体" w:hAnsi="宋体" w:eastAsia="宋体" w:cs="宋体"/>
                <w:b w:val="0"/>
                <w:bCs w:val="0"/>
                <w:color w:val="auto"/>
                <w:highlight w:val="none"/>
                <w:lang w:val="en-US" w:eastAsia="zh-Hans"/>
              </w:rPr>
              <w:t>；4.</w:t>
            </w:r>
            <w:r>
              <w:rPr>
                <w:color w:val="auto"/>
                <w:spacing w:val="-3"/>
                <w:highlight w:val="none"/>
              </w:rPr>
              <w:t>垃圾分类处理控制方案等</w:t>
            </w:r>
            <w:r>
              <w:rPr>
                <w:rFonts w:hint="eastAsia" w:ascii="宋体" w:hAnsi="宋体" w:eastAsia="宋体" w:cs="宋体"/>
                <w:b w:val="0"/>
                <w:bCs w:val="0"/>
                <w:color w:val="auto"/>
                <w:highlight w:val="none"/>
                <w:lang w:val="en-US" w:eastAsia="zh-Hans"/>
              </w:rPr>
              <w:t>，上述小项方案具有针对性和可行性，内容完整合理满足采购需求要求的每项得</w:t>
            </w:r>
            <w:r>
              <w:rPr>
                <w:rFonts w:hint="eastAsia" w:ascii="宋体" w:hAnsi="宋体" w:cs="宋体"/>
                <w:b w:val="0"/>
                <w:bCs w:val="0"/>
                <w:color w:val="auto"/>
                <w:highlight w:val="none"/>
                <w:lang w:val="en-US" w:eastAsia="zh-CN"/>
              </w:rPr>
              <w:t>10</w:t>
            </w:r>
            <w:r>
              <w:rPr>
                <w:rFonts w:hint="eastAsia" w:ascii="宋体" w:hAnsi="宋体" w:eastAsia="宋体" w:cs="宋体"/>
                <w:b w:val="0"/>
                <w:bCs w:val="0"/>
                <w:color w:val="auto"/>
                <w:highlight w:val="none"/>
                <w:lang w:val="en-US" w:eastAsia="zh-Hans"/>
              </w:rPr>
              <w:t>分。存在一般缺陷的小项方案得</w:t>
            </w:r>
            <w:r>
              <w:rPr>
                <w:rFonts w:hint="eastAsia" w:ascii="宋体" w:hAnsi="宋体" w:cs="宋体"/>
                <w:b w:val="0"/>
                <w:bCs w:val="0"/>
                <w:color w:val="auto"/>
                <w:highlight w:val="none"/>
                <w:lang w:val="en-US" w:eastAsia="zh-CN"/>
              </w:rPr>
              <w:t>5</w:t>
            </w:r>
            <w:r>
              <w:rPr>
                <w:rFonts w:hint="eastAsia" w:ascii="宋体" w:hAnsi="宋体" w:eastAsia="宋体" w:cs="宋体"/>
                <w:b w:val="0"/>
                <w:bCs w:val="0"/>
                <w:color w:val="auto"/>
                <w:highlight w:val="none"/>
                <w:lang w:val="en-US" w:eastAsia="zh-Hans"/>
              </w:rPr>
              <w:t>分（一般缺陷是指方案内容前后不一致</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前后逻辑错误</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内容有缺失</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不影响项目的实施）。未提供或存在重大缺陷的小项方案不得分（重大缺陷是指方案凭空编造、与采购项目和采购需求无关，无法指导项目实施）</w:t>
            </w:r>
          </w:p>
        </w:tc>
        <w:tc>
          <w:tcPr>
            <w:tcW w:w="940" w:type="dxa"/>
            <w:noWrap w:val="0"/>
            <w:vAlign w:val="center"/>
          </w:tcPr>
          <w:p w14:paraId="6491D0B0">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eastAsia="zh-CN"/>
              </w:rPr>
              <w:t>0-</w:t>
            </w:r>
            <w:r>
              <w:rPr>
                <w:rFonts w:hint="eastAsia" w:ascii="宋体" w:hAnsi="宋体" w:eastAsia="宋体" w:cs="宋体"/>
                <w:bCs/>
                <w:snapToGrid/>
                <w:color w:val="auto"/>
                <w:kern w:val="0"/>
                <w:sz w:val="22"/>
                <w:szCs w:val="22"/>
                <w:highlight w:val="none"/>
                <w:lang w:val="en-US" w:eastAsia="zh-CN"/>
              </w:rPr>
              <w:t>40</w:t>
            </w:r>
          </w:p>
        </w:tc>
      </w:tr>
      <w:tr w14:paraId="3E39F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20" w:hRule="atLeast"/>
        </w:trPr>
        <w:tc>
          <w:tcPr>
            <w:tcW w:w="940" w:type="dxa"/>
            <w:vMerge w:val="continue"/>
            <w:noWrap w:val="0"/>
            <w:vAlign w:val="center"/>
          </w:tcPr>
          <w:p w14:paraId="54A47F53">
            <w:pPr>
              <w:jc w:val="center"/>
              <w:rPr>
                <w:rFonts w:hint="eastAsia" w:ascii="宋体" w:hAnsi="宋体" w:eastAsia="宋体" w:cs="宋体"/>
                <w:color w:val="auto"/>
                <w:highlight w:val="none"/>
              </w:rPr>
            </w:pPr>
          </w:p>
        </w:tc>
        <w:tc>
          <w:tcPr>
            <w:tcW w:w="1164" w:type="dxa"/>
            <w:noWrap w:val="0"/>
            <w:vAlign w:val="center"/>
          </w:tcPr>
          <w:p w14:paraId="7A72349D">
            <w:pPr>
              <w:widowControl/>
              <w:kinsoku/>
              <w:autoSpaceDE/>
              <w:autoSpaceDN/>
              <w:adjustRightInd w:val="0"/>
              <w:snapToGrid w:val="0"/>
              <w:spacing w:line="240" w:lineRule="auto"/>
              <w:jc w:val="center"/>
              <w:textAlignment w:val="center"/>
              <w:rPr>
                <w:rFonts w:hint="eastAsia" w:ascii="宋体" w:hAnsi="宋体" w:eastAsia="宋体" w:cs="宋体"/>
                <w:color w:val="auto"/>
                <w:highlight w:val="none"/>
                <w:lang w:val="en-US" w:eastAsia="zh-CN"/>
              </w:rPr>
            </w:pPr>
            <w:r>
              <w:rPr>
                <w:color w:val="auto"/>
                <w:highlight w:val="none"/>
              </w:rPr>
              <w:t>操作规程控制管理方案</w:t>
            </w:r>
          </w:p>
        </w:tc>
        <w:tc>
          <w:tcPr>
            <w:tcW w:w="6156" w:type="dxa"/>
            <w:noWrap w:val="0"/>
            <w:vAlign w:val="center"/>
          </w:tcPr>
          <w:p w14:paraId="7D1B757E">
            <w:pPr>
              <w:widowControl w:val="0"/>
              <w:kinsoku/>
              <w:autoSpaceDE/>
              <w:autoSpaceDN/>
              <w:adjustRightInd/>
              <w:snapToGrid/>
              <w:spacing w:line="276" w:lineRule="auto"/>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b w:val="0"/>
                <w:bCs w:val="0"/>
                <w:color w:val="auto"/>
                <w:highlight w:val="none"/>
                <w:lang w:val="en-US" w:eastAsia="zh-Hans"/>
              </w:rPr>
              <w:t>根据本项目的采购需求</w:t>
            </w:r>
            <w:r>
              <w:rPr>
                <w:color w:val="auto"/>
                <w:highlight w:val="none"/>
              </w:rPr>
              <w:t>操作规程控制管理方案</w:t>
            </w:r>
            <w:r>
              <w:rPr>
                <w:rFonts w:hint="eastAsia" w:eastAsia="宋体"/>
                <w:color w:val="auto"/>
                <w:highlight w:val="none"/>
                <w:lang w:eastAsia="zh-CN"/>
              </w:rPr>
              <w:t>，</w:t>
            </w:r>
            <w:r>
              <w:rPr>
                <w:rFonts w:hint="eastAsia" w:ascii="宋体" w:hAnsi="宋体" w:eastAsia="宋体" w:cs="宋体"/>
                <w:snapToGrid/>
                <w:color w:val="auto"/>
                <w:kern w:val="2"/>
                <w:szCs w:val="21"/>
                <w:highlight w:val="none"/>
                <w:lang w:eastAsia="zh-CN"/>
              </w:rPr>
              <w:t>内容包括但不限于：</w:t>
            </w:r>
            <w:r>
              <w:rPr>
                <w:rFonts w:hint="eastAsia" w:ascii="宋体" w:hAnsi="宋体" w:cs="宋体"/>
                <w:b w:val="0"/>
                <w:bCs w:val="0"/>
                <w:color w:val="auto"/>
                <w:highlight w:val="none"/>
                <w:lang w:val="en-US" w:eastAsia="zh-CN"/>
              </w:rPr>
              <w:t>1.</w:t>
            </w:r>
            <w:r>
              <w:rPr>
                <w:color w:val="auto"/>
                <w:spacing w:val="-1"/>
                <w:highlight w:val="none"/>
              </w:rPr>
              <w:t>厨房规范化操作程序</w:t>
            </w:r>
            <w:r>
              <w:rPr>
                <w:rFonts w:hint="eastAsia" w:ascii="宋体" w:hAnsi="宋体" w:eastAsia="宋体" w:cs="宋体"/>
                <w:b w:val="0"/>
                <w:bCs w:val="0"/>
                <w:color w:val="auto"/>
                <w:highlight w:val="none"/>
                <w:lang w:val="en-US" w:eastAsia="zh-Hans"/>
              </w:rPr>
              <w:t>；2.</w:t>
            </w:r>
            <w:r>
              <w:rPr>
                <w:color w:val="auto"/>
                <w:spacing w:val="-1"/>
                <w:highlight w:val="none"/>
              </w:rPr>
              <w:t>备餐间规范化操作程序</w:t>
            </w:r>
            <w:r>
              <w:rPr>
                <w:rFonts w:hint="eastAsia" w:ascii="宋体" w:hAnsi="宋体" w:eastAsia="宋体" w:cs="宋体"/>
                <w:b w:val="0"/>
                <w:bCs w:val="0"/>
                <w:color w:val="auto"/>
                <w:highlight w:val="none"/>
                <w:lang w:val="en-US" w:eastAsia="zh-Hans"/>
              </w:rPr>
              <w:t>；3.</w:t>
            </w:r>
            <w:r>
              <w:rPr>
                <w:color w:val="auto"/>
                <w:spacing w:val="-1"/>
                <w:highlight w:val="none"/>
              </w:rPr>
              <w:t>食堂场所/设施/设备及工具清洁规范化操作程序</w:t>
            </w:r>
            <w:r>
              <w:rPr>
                <w:rFonts w:hint="eastAsia" w:ascii="宋体" w:hAnsi="宋体" w:eastAsia="宋体" w:cs="宋体"/>
                <w:b w:val="0"/>
                <w:bCs w:val="0"/>
                <w:color w:val="auto"/>
                <w:highlight w:val="none"/>
                <w:lang w:val="en-US" w:eastAsia="zh-Hans"/>
              </w:rPr>
              <w:t>；4.</w:t>
            </w:r>
            <w:r>
              <w:rPr>
                <w:color w:val="auto"/>
                <w:spacing w:val="-1"/>
                <w:highlight w:val="none"/>
              </w:rPr>
              <w:t>餐</w:t>
            </w:r>
            <w:r>
              <w:rPr>
                <w:color w:val="auto"/>
                <w:spacing w:val="-2"/>
                <w:highlight w:val="none"/>
              </w:rPr>
              <w:t>具用具清洗消毒规范化操作程序</w:t>
            </w:r>
            <w:r>
              <w:rPr>
                <w:color w:val="auto"/>
                <w:spacing w:val="-3"/>
                <w:highlight w:val="none"/>
              </w:rPr>
              <w:t>等</w:t>
            </w:r>
            <w:r>
              <w:rPr>
                <w:rFonts w:hint="eastAsia" w:ascii="宋体" w:hAnsi="宋体" w:eastAsia="宋体" w:cs="宋体"/>
                <w:b w:val="0"/>
                <w:bCs w:val="0"/>
                <w:color w:val="auto"/>
                <w:highlight w:val="none"/>
                <w:lang w:val="en-US" w:eastAsia="zh-Hans"/>
              </w:rPr>
              <w:t>，上述小项方案具有针对性和可行性，内容完整合理满足采购需求要求的每项得</w:t>
            </w:r>
            <w:r>
              <w:rPr>
                <w:rFonts w:hint="eastAsia" w:ascii="宋体" w:hAnsi="宋体" w:cs="宋体"/>
                <w:b w:val="0"/>
                <w:bCs w:val="0"/>
                <w:color w:val="auto"/>
                <w:highlight w:val="none"/>
                <w:lang w:val="en-US" w:eastAsia="zh-CN"/>
              </w:rPr>
              <w:t>10</w:t>
            </w:r>
            <w:r>
              <w:rPr>
                <w:rFonts w:hint="eastAsia" w:ascii="宋体" w:hAnsi="宋体" w:eastAsia="宋体" w:cs="宋体"/>
                <w:b w:val="0"/>
                <w:bCs w:val="0"/>
                <w:color w:val="auto"/>
                <w:highlight w:val="none"/>
                <w:lang w:val="en-US" w:eastAsia="zh-Hans"/>
              </w:rPr>
              <w:t>分。存在一般缺陷的小项方案得</w:t>
            </w:r>
            <w:r>
              <w:rPr>
                <w:rFonts w:hint="eastAsia" w:ascii="宋体" w:hAnsi="宋体" w:cs="宋体"/>
                <w:b w:val="0"/>
                <w:bCs w:val="0"/>
                <w:color w:val="auto"/>
                <w:highlight w:val="none"/>
                <w:lang w:val="en-US" w:eastAsia="zh-CN"/>
              </w:rPr>
              <w:t>5</w:t>
            </w:r>
            <w:r>
              <w:rPr>
                <w:rFonts w:hint="eastAsia" w:ascii="宋体" w:hAnsi="宋体" w:eastAsia="宋体" w:cs="宋体"/>
                <w:b w:val="0"/>
                <w:bCs w:val="0"/>
                <w:color w:val="auto"/>
                <w:highlight w:val="none"/>
                <w:lang w:val="en-US" w:eastAsia="zh-Hans"/>
              </w:rPr>
              <w:t>分（一般缺陷是指方案内容前后不一致</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前后逻辑错误</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内容有缺失</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不影响项目的实施）。未提供或存在重大缺陷的小项方案不得分（重大缺陷是指方案凭空编造、与采购项目和采购需求无关，无法指导项目实施）</w:t>
            </w:r>
          </w:p>
        </w:tc>
        <w:tc>
          <w:tcPr>
            <w:tcW w:w="940" w:type="dxa"/>
            <w:noWrap w:val="0"/>
            <w:vAlign w:val="center"/>
          </w:tcPr>
          <w:p w14:paraId="49C6FF5D">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eastAsia="zh-CN"/>
              </w:rPr>
              <w:t>0-</w:t>
            </w:r>
            <w:r>
              <w:rPr>
                <w:rFonts w:hint="eastAsia" w:ascii="宋体" w:hAnsi="宋体" w:eastAsia="宋体" w:cs="宋体"/>
                <w:bCs/>
                <w:snapToGrid/>
                <w:color w:val="auto"/>
                <w:kern w:val="0"/>
                <w:sz w:val="22"/>
                <w:szCs w:val="22"/>
                <w:highlight w:val="none"/>
                <w:lang w:val="en-US" w:eastAsia="zh-CN"/>
              </w:rPr>
              <w:t>40</w:t>
            </w:r>
          </w:p>
        </w:tc>
      </w:tr>
      <w:tr w14:paraId="1E8B7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4" w:hRule="atLeast"/>
        </w:trPr>
        <w:tc>
          <w:tcPr>
            <w:tcW w:w="940" w:type="dxa"/>
            <w:vMerge w:val="continue"/>
            <w:noWrap w:val="0"/>
            <w:vAlign w:val="center"/>
          </w:tcPr>
          <w:p w14:paraId="4743A489">
            <w:pPr>
              <w:jc w:val="center"/>
              <w:rPr>
                <w:rFonts w:hint="eastAsia" w:ascii="宋体" w:hAnsi="宋体" w:eastAsia="宋体" w:cs="宋体"/>
                <w:color w:val="auto"/>
                <w:highlight w:val="none"/>
              </w:rPr>
            </w:pPr>
          </w:p>
        </w:tc>
        <w:tc>
          <w:tcPr>
            <w:tcW w:w="1164" w:type="dxa"/>
            <w:noWrap w:val="0"/>
            <w:vAlign w:val="top"/>
          </w:tcPr>
          <w:p w14:paraId="53B5D315">
            <w:pPr>
              <w:bidi w:val="0"/>
              <w:rPr>
                <w:color w:val="auto"/>
                <w:highlight w:val="none"/>
              </w:rPr>
            </w:pPr>
          </w:p>
          <w:p w14:paraId="68B75A1C">
            <w:pPr>
              <w:bidi w:val="0"/>
              <w:rPr>
                <w:color w:val="auto"/>
                <w:highlight w:val="none"/>
              </w:rPr>
            </w:pPr>
          </w:p>
          <w:p w14:paraId="2088779F">
            <w:pPr>
              <w:bidi w:val="0"/>
              <w:rPr>
                <w:color w:val="auto"/>
                <w:highlight w:val="none"/>
              </w:rPr>
            </w:pPr>
          </w:p>
          <w:p w14:paraId="5D227BEF">
            <w:pPr>
              <w:bidi w:val="0"/>
              <w:rPr>
                <w:color w:val="auto"/>
                <w:highlight w:val="none"/>
              </w:rPr>
            </w:pPr>
          </w:p>
          <w:p w14:paraId="792E54E4">
            <w:pPr>
              <w:bidi w:val="0"/>
              <w:rPr>
                <w:rFonts w:hint="eastAsia" w:ascii="宋体" w:hAnsi="宋体" w:eastAsia="宋体" w:cs="宋体"/>
                <w:color w:val="auto"/>
                <w:highlight w:val="none"/>
                <w:lang w:val="en-US" w:eastAsia="zh-CN"/>
              </w:rPr>
            </w:pPr>
            <w:r>
              <w:rPr>
                <w:color w:val="auto"/>
                <w:highlight w:val="none"/>
              </w:rPr>
              <w:t>紧急事件处理方案</w:t>
            </w:r>
          </w:p>
        </w:tc>
        <w:tc>
          <w:tcPr>
            <w:tcW w:w="6156" w:type="dxa"/>
            <w:noWrap w:val="0"/>
            <w:vAlign w:val="center"/>
          </w:tcPr>
          <w:p w14:paraId="776C5984">
            <w:pPr>
              <w:widowControl w:val="0"/>
              <w:ind w:firstLine="420" w:firstLineChars="200"/>
              <w:jc w:val="both"/>
              <w:rPr>
                <w:rFonts w:hint="eastAsia" w:ascii="宋体" w:hAnsi="宋体" w:eastAsia="宋体" w:cs="宋体"/>
                <w:color w:val="auto"/>
                <w:highlight w:val="none"/>
                <w:lang w:val="en-US" w:eastAsia="zh-Hans"/>
              </w:rPr>
            </w:pPr>
            <w:r>
              <w:rPr>
                <w:rFonts w:hint="eastAsia" w:ascii="宋体" w:hAnsi="宋体" w:eastAsia="宋体" w:cs="宋体"/>
                <w:b w:val="0"/>
                <w:bCs w:val="0"/>
                <w:color w:val="auto"/>
                <w:highlight w:val="none"/>
                <w:lang w:val="en-US" w:eastAsia="zh-Hans"/>
              </w:rPr>
              <w:t>根据本项目的采购需求</w:t>
            </w:r>
            <w:r>
              <w:rPr>
                <w:color w:val="auto"/>
                <w:highlight w:val="none"/>
              </w:rPr>
              <w:t>紧急事件处理方案</w:t>
            </w:r>
            <w:r>
              <w:rPr>
                <w:rFonts w:hint="eastAsia" w:eastAsia="宋体"/>
                <w:color w:val="auto"/>
                <w:highlight w:val="none"/>
                <w:lang w:eastAsia="zh-CN"/>
              </w:rPr>
              <w:t>，</w:t>
            </w:r>
            <w:r>
              <w:rPr>
                <w:rFonts w:hint="eastAsia" w:ascii="宋体" w:hAnsi="宋体" w:eastAsia="宋体" w:cs="宋体"/>
                <w:snapToGrid/>
                <w:color w:val="auto"/>
                <w:kern w:val="2"/>
                <w:szCs w:val="21"/>
                <w:highlight w:val="none"/>
                <w:lang w:eastAsia="zh-CN"/>
              </w:rPr>
              <w:t>内容包括但不限于：</w:t>
            </w:r>
            <w:r>
              <w:rPr>
                <w:rFonts w:hint="eastAsia" w:ascii="宋体" w:hAnsi="宋体" w:cs="宋体"/>
                <w:b w:val="0"/>
                <w:bCs w:val="0"/>
                <w:color w:val="auto"/>
                <w:highlight w:val="none"/>
                <w:lang w:val="en-US" w:eastAsia="zh-CN"/>
              </w:rPr>
              <w:t>1.</w:t>
            </w:r>
            <w:r>
              <w:rPr>
                <w:color w:val="auto"/>
                <w:spacing w:val="-1"/>
                <w:highlight w:val="none"/>
              </w:rPr>
              <w:t>应</w:t>
            </w:r>
            <w:r>
              <w:rPr>
                <w:color w:val="auto"/>
                <w:spacing w:val="-3"/>
                <w:highlight w:val="none"/>
              </w:rPr>
              <w:t>急小组配备及人员职责、权限划分</w:t>
            </w:r>
            <w:r>
              <w:rPr>
                <w:rFonts w:hint="eastAsia" w:ascii="宋体" w:hAnsi="宋体" w:eastAsia="宋体" w:cs="宋体"/>
                <w:b w:val="0"/>
                <w:bCs w:val="0"/>
                <w:color w:val="auto"/>
                <w:highlight w:val="none"/>
                <w:lang w:val="en-US" w:eastAsia="zh-Hans"/>
              </w:rPr>
              <w:t>；2.</w:t>
            </w:r>
            <w:r>
              <w:rPr>
                <w:color w:val="auto"/>
                <w:spacing w:val="-3"/>
                <w:highlight w:val="none"/>
              </w:rPr>
              <w:t>响应时间、火灾事</w:t>
            </w:r>
            <w:r>
              <w:rPr>
                <w:color w:val="auto"/>
                <w:spacing w:val="-4"/>
                <w:highlight w:val="none"/>
              </w:rPr>
              <w:t>故</w:t>
            </w:r>
            <w:r>
              <w:rPr>
                <w:color w:val="auto"/>
                <w:spacing w:val="-1"/>
                <w:highlight w:val="none"/>
              </w:rPr>
              <w:t>、食物中毒事故、意外伤害事故、停水停电、哄</w:t>
            </w:r>
            <w:r>
              <w:rPr>
                <w:color w:val="auto"/>
                <w:spacing w:val="-2"/>
                <w:highlight w:val="none"/>
              </w:rPr>
              <w:t>抢及扰乱供餐秩序处置程序</w:t>
            </w:r>
            <w:r>
              <w:rPr>
                <w:color w:val="auto"/>
                <w:spacing w:val="-3"/>
                <w:highlight w:val="none"/>
              </w:rPr>
              <w:t>等</w:t>
            </w:r>
            <w:r>
              <w:rPr>
                <w:rFonts w:hint="eastAsia" w:ascii="宋体" w:hAnsi="宋体" w:eastAsia="宋体" w:cs="宋体"/>
                <w:b w:val="0"/>
                <w:bCs w:val="0"/>
                <w:color w:val="auto"/>
                <w:highlight w:val="none"/>
                <w:lang w:val="en-US" w:eastAsia="zh-Hans"/>
              </w:rPr>
              <w:t>，上述小项方案具有针对性和可行性，内容完整合理满足采购需求要求的每项得</w:t>
            </w:r>
            <w:r>
              <w:rPr>
                <w:rFonts w:hint="eastAsia" w:ascii="宋体" w:hAnsi="宋体" w:cs="宋体"/>
                <w:b w:val="0"/>
                <w:bCs w:val="0"/>
                <w:color w:val="auto"/>
                <w:highlight w:val="none"/>
                <w:lang w:val="en-US" w:eastAsia="zh-CN"/>
              </w:rPr>
              <w:t>5</w:t>
            </w:r>
            <w:r>
              <w:rPr>
                <w:rFonts w:hint="eastAsia" w:ascii="宋体" w:hAnsi="宋体" w:eastAsia="宋体" w:cs="宋体"/>
                <w:b w:val="0"/>
                <w:bCs w:val="0"/>
                <w:color w:val="auto"/>
                <w:highlight w:val="none"/>
                <w:lang w:val="en-US" w:eastAsia="zh-Hans"/>
              </w:rPr>
              <w:t>分。存在一般缺陷的小项方案得</w:t>
            </w:r>
            <w:r>
              <w:rPr>
                <w:rFonts w:hint="eastAsia" w:ascii="宋体" w:hAnsi="宋体" w:cs="宋体"/>
                <w:b w:val="0"/>
                <w:bCs w:val="0"/>
                <w:color w:val="auto"/>
                <w:highlight w:val="none"/>
                <w:lang w:val="en-US" w:eastAsia="zh-CN"/>
              </w:rPr>
              <w:t>2</w:t>
            </w:r>
            <w:r>
              <w:rPr>
                <w:rFonts w:hint="eastAsia" w:ascii="宋体" w:hAnsi="宋体" w:eastAsia="宋体" w:cs="宋体"/>
                <w:b w:val="0"/>
                <w:bCs w:val="0"/>
                <w:color w:val="auto"/>
                <w:highlight w:val="none"/>
                <w:lang w:val="en-US" w:eastAsia="zh-Hans"/>
              </w:rPr>
              <w:t>分（一般缺陷是指方案内容前后不一致</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前后逻辑错误</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内容有缺失</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不影响项目的实施）。未提供或存在重大缺陷的小项方案不得分（重大缺陷是指方案凭空编造、与采购项目和采购需求无关，无法指导项目实施）</w:t>
            </w:r>
          </w:p>
        </w:tc>
        <w:tc>
          <w:tcPr>
            <w:tcW w:w="940" w:type="dxa"/>
            <w:noWrap w:val="0"/>
            <w:vAlign w:val="center"/>
          </w:tcPr>
          <w:p w14:paraId="016C238F">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Hans"/>
              </w:rPr>
            </w:pPr>
            <w:r>
              <w:rPr>
                <w:rFonts w:hint="eastAsia" w:ascii="宋体" w:hAnsi="宋体" w:eastAsia="宋体" w:cs="宋体"/>
                <w:bCs/>
                <w:snapToGrid/>
                <w:color w:val="auto"/>
                <w:kern w:val="0"/>
                <w:sz w:val="22"/>
                <w:szCs w:val="22"/>
                <w:highlight w:val="none"/>
                <w:lang w:eastAsia="zh-CN"/>
              </w:rPr>
              <w:t>0-</w:t>
            </w:r>
            <w:r>
              <w:rPr>
                <w:rFonts w:hint="eastAsia" w:ascii="宋体" w:hAnsi="宋体" w:eastAsia="宋体" w:cs="宋体"/>
                <w:bCs/>
                <w:snapToGrid/>
                <w:color w:val="auto"/>
                <w:kern w:val="0"/>
                <w:sz w:val="22"/>
                <w:szCs w:val="22"/>
                <w:highlight w:val="none"/>
                <w:lang w:val="en-US" w:eastAsia="zh-CN"/>
              </w:rPr>
              <w:t>10</w:t>
            </w:r>
          </w:p>
        </w:tc>
      </w:tr>
      <w:tr w14:paraId="7FCA2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4" w:hRule="atLeast"/>
        </w:trPr>
        <w:tc>
          <w:tcPr>
            <w:tcW w:w="940" w:type="dxa"/>
            <w:noWrap w:val="0"/>
            <w:vAlign w:val="center"/>
          </w:tcPr>
          <w:p w14:paraId="379C2775">
            <w:pPr>
              <w:jc w:val="center"/>
              <w:rPr>
                <w:rFonts w:hint="eastAsia" w:ascii="宋体" w:hAnsi="宋体" w:eastAsia="宋体" w:cs="宋体"/>
                <w:color w:val="auto"/>
                <w:highlight w:val="none"/>
              </w:rPr>
            </w:pPr>
          </w:p>
        </w:tc>
        <w:tc>
          <w:tcPr>
            <w:tcW w:w="1164" w:type="dxa"/>
            <w:noWrap w:val="0"/>
            <w:vAlign w:val="top"/>
          </w:tcPr>
          <w:p w14:paraId="279EB680">
            <w:pPr>
              <w:bidi w:val="0"/>
              <w:rPr>
                <w:color w:val="auto"/>
                <w:highlight w:val="none"/>
              </w:rPr>
            </w:pPr>
          </w:p>
          <w:p w14:paraId="0390F7F1">
            <w:pPr>
              <w:bidi w:val="0"/>
              <w:rPr>
                <w:color w:val="auto"/>
                <w:highlight w:val="none"/>
              </w:rPr>
            </w:pPr>
          </w:p>
          <w:p w14:paraId="23248149">
            <w:pPr>
              <w:bidi w:val="0"/>
              <w:rPr>
                <w:color w:val="auto"/>
                <w:highlight w:val="none"/>
              </w:rPr>
            </w:pPr>
          </w:p>
          <w:p w14:paraId="3F37FEFE">
            <w:pPr>
              <w:bidi w:val="0"/>
              <w:rPr>
                <w:rFonts w:hint="eastAsia" w:ascii="宋体" w:hAnsi="宋体" w:eastAsia="宋体" w:cs="宋体"/>
                <w:snapToGrid/>
                <w:color w:val="auto"/>
                <w:kern w:val="2"/>
                <w:szCs w:val="21"/>
                <w:highlight w:val="none"/>
                <w:lang w:eastAsia="zh-CN"/>
              </w:rPr>
            </w:pPr>
            <w:r>
              <w:rPr>
                <w:color w:val="auto"/>
                <w:highlight w:val="none"/>
              </w:rPr>
              <w:t>投诉处理方案</w:t>
            </w:r>
          </w:p>
        </w:tc>
        <w:tc>
          <w:tcPr>
            <w:tcW w:w="6156" w:type="dxa"/>
            <w:noWrap w:val="0"/>
            <w:vAlign w:val="center"/>
          </w:tcPr>
          <w:p w14:paraId="7A55D0CC">
            <w:pPr>
              <w:widowControl w:val="0"/>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highlight w:val="none"/>
                <w:lang w:val="en-US" w:eastAsia="zh-Hans"/>
              </w:rPr>
              <w:t>根据本项目的采购需求</w:t>
            </w:r>
            <w:r>
              <w:rPr>
                <w:color w:val="auto"/>
                <w:highlight w:val="none"/>
              </w:rPr>
              <w:t>投诉处理方案</w:t>
            </w:r>
            <w:r>
              <w:rPr>
                <w:rFonts w:hint="eastAsia" w:eastAsia="宋体"/>
                <w:color w:val="auto"/>
                <w:highlight w:val="none"/>
                <w:lang w:eastAsia="zh-CN"/>
              </w:rPr>
              <w:t>，</w:t>
            </w:r>
            <w:r>
              <w:rPr>
                <w:rFonts w:hint="eastAsia" w:ascii="宋体" w:hAnsi="宋体" w:eastAsia="宋体" w:cs="宋体"/>
                <w:snapToGrid/>
                <w:color w:val="auto"/>
                <w:kern w:val="2"/>
                <w:szCs w:val="21"/>
                <w:highlight w:val="none"/>
                <w:lang w:eastAsia="zh-CN"/>
              </w:rPr>
              <w:t>内容包括但不限于：</w:t>
            </w:r>
            <w:r>
              <w:rPr>
                <w:rFonts w:hint="eastAsia" w:ascii="宋体" w:hAnsi="宋体" w:cs="宋体"/>
                <w:b w:val="0"/>
                <w:bCs w:val="0"/>
                <w:color w:val="auto"/>
                <w:highlight w:val="none"/>
                <w:lang w:val="en-US" w:eastAsia="zh-CN"/>
              </w:rPr>
              <w:t>1.</w:t>
            </w:r>
            <w:r>
              <w:rPr>
                <w:color w:val="auto"/>
                <w:spacing w:val="-1"/>
                <w:highlight w:val="none"/>
              </w:rPr>
              <w:t>投诉流程</w:t>
            </w:r>
            <w:r>
              <w:rPr>
                <w:rFonts w:hint="eastAsia" w:ascii="宋体" w:hAnsi="宋体" w:eastAsia="宋体" w:cs="宋体"/>
                <w:b w:val="0"/>
                <w:bCs w:val="0"/>
                <w:color w:val="auto"/>
                <w:highlight w:val="none"/>
                <w:lang w:val="en-US" w:eastAsia="zh-Hans"/>
              </w:rPr>
              <w:t>；2.</w:t>
            </w:r>
            <w:r>
              <w:rPr>
                <w:color w:val="auto"/>
                <w:spacing w:val="-1"/>
                <w:highlight w:val="none"/>
              </w:rPr>
              <w:t>投诉处理措施</w:t>
            </w:r>
            <w:r>
              <w:rPr>
                <w:rFonts w:hint="eastAsia"/>
                <w:color w:val="auto"/>
                <w:spacing w:val="-1"/>
                <w:highlight w:val="none"/>
                <w:lang w:eastAsia="zh-CN"/>
              </w:rPr>
              <w:t>、</w:t>
            </w:r>
            <w:r>
              <w:rPr>
                <w:color w:val="auto"/>
                <w:spacing w:val="-1"/>
                <w:highlight w:val="none"/>
              </w:rPr>
              <w:t>处理对策</w:t>
            </w:r>
            <w:r>
              <w:rPr>
                <w:color w:val="auto"/>
                <w:spacing w:val="-3"/>
                <w:highlight w:val="none"/>
              </w:rPr>
              <w:t>等</w:t>
            </w:r>
            <w:r>
              <w:rPr>
                <w:rFonts w:hint="eastAsia" w:ascii="宋体" w:hAnsi="宋体" w:eastAsia="宋体" w:cs="宋体"/>
                <w:b w:val="0"/>
                <w:bCs w:val="0"/>
                <w:color w:val="auto"/>
                <w:highlight w:val="none"/>
                <w:lang w:val="en-US" w:eastAsia="zh-Hans"/>
              </w:rPr>
              <w:t>，上述小项方案具有针对性和可行性，内容完整合理满足采购需求要求的每项得</w:t>
            </w:r>
            <w:r>
              <w:rPr>
                <w:rFonts w:hint="eastAsia" w:ascii="宋体" w:hAnsi="宋体" w:cs="宋体"/>
                <w:b w:val="0"/>
                <w:bCs w:val="0"/>
                <w:color w:val="auto"/>
                <w:highlight w:val="none"/>
                <w:lang w:val="en-US" w:eastAsia="zh-CN"/>
              </w:rPr>
              <w:t>5</w:t>
            </w:r>
            <w:r>
              <w:rPr>
                <w:rFonts w:hint="eastAsia" w:ascii="宋体" w:hAnsi="宋体" w:eastAsia="宋体" w:cs="宋体"/>
                <w:b w:val="0"/>
                <w:bCs w:val="0"/>
                <w:color w:val="auto"/>
                <w:highlight w:val="none"/>
                <w:lang w:val="en-US" w:eastAsia="zh-Hans"/>
              </w:rPr>
              <w:t>分。存在一般缺陷的小项方案得</w:t>
            </w:r>
            <w:r>
              <w:rPr>
                <w:rFonts w:hint="eastAsia" w:ascii="宋体" w:hAnsi="宋体" w:cs="宋体"/>
                <w:b w:val="0"/>
                <w:bCs w:val="0"/>
                <w:color w:val="auto"/>
                <w:highlight w:val="none"/>
                <w:lang w:val="en-US" w:eastAsia="zh-CN"/>
              </w:rPr>
              <w:t>2</w:t>
            </w:r>
            <w:r>
              <w:rPr>
                <w:rFonts w:hint="eastAsia" w:ascii="宋体" w:hAnsi="宋体" w:eastAsia="宋体" w:cs="宋体"/>
                <w:b w:val="0"/>
                <w:bCs w:val="0"/>
                <w:color w:val="auto"/>
                <w:highlight w:val="none"/>
                <w:lang w:val="en-US" w:eastAsia="zh-Hans"/>
              </w:rPr>
              <w:t>分（一般缺陷是指方案内容前后不一致</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前后逻辑错误</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内容有缺失</w:t>
            </w:r>
            <w:r>
              <w:rPr>
                <w:rFonts w:hint="eastAsia" w:ascii="宋体" w:hAnsi="宋体" w:cs="宋体"/>
                <w:b w:val="0"/>
                <w:bCs w:val="0"/>
                <w:color w:val="auto"/>
                <w:highlight w:val="none"/>
                <w:lang w:val="en-US" w:eastAsia="zh-CN"/>
              </w:rPr>
              <w:t>或</w:t>
            </w:r>
            <w:r>
              <w:rPr>
                <w:rFonts w:hint="eastAsia" w:ascii="宋体" w:hAnsi="宋体" w:eastAsia="宋体" w:cs="宋体"/>
                <w:b w:val="0"/>
                <w:bCs w:val="0"/>
                <w:color w:val="auto"/>
                <w:highlight w:val="none"/>
                <w:lang w:val="en-US" w:eastAsia="zh-Hans"/>
              </w:rPr>
              <w:t>不影响项目的实施）。未提供或存在重大缺陷的小项方案不得分（重大缺陷是指方案凭空编造、与采购项目和采购需求无关，无法指导项目实施）</w:t>
            </w:r>
          </w:p>
        </w:tc>
        <w:tc>
          <w:tcPr>
            <w:tcW w:w="940" w:type="dxa"/>
            <w:noWrap w:val="0"/>
            <w:vAlign w:val="center"/>
          </w:tcPr>
          <w:p w14:paraId="214048F3">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eastAsia="zh-CN"/>
              </w:rPr>
              <w:t>0-</w:t>
            </w:r>
            <w:r>
              <w:rPr>
                <w:rFonts w:hint="eastAsia" w:ascii="宋体" w:hAnsi="宋体" w:eastAsia="宋体" w:cs="宋体"/>
                <w:bCs/>
                <w:snapToGrid/>
                <w:color w:val="auto"/>
                <w:kern w:val="0"/>
                <w:sz w:val="22"/>
                <w:szCs w:val="22"/>
                <w:highlight w:val="none"/>
                <w:lang w:val="en-US" w:eastAsia="zh-CN"/>
              </w:rPr>
              <w:t>10</w:t>
            </w:r>
          </w:p>
        </w:tc>
      </w:tr>
      <w:tr w14:paraId="5CE84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restart"/>
            <w:noWrap w:val="0"/>
            <w:vAlign w:val="center"/>
          </w:tcPr>
          <w:p w14:paraId="58BF2C75">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商务评审</w:t>
            </w:r>
          </w:p>
        </w:tc>
        <w:tc>
          <w:tcPr>
            <w:tcW w:w="1164" w:type="dxa"/>
            <w:noWrap w:val="0"/>
            <w:vAlign w:val="center"/>
          </w:tcPr>
          <w:p w14:paraId="5F7A891C">
            <w:pPr>
              <w:widowControl w:val="0"/>
              <w:kinsoku/>
              <w:autoSpaceDE/>
              <w:autoSpaceDN/>
              <w:adjustRightInd/>
              <w:snapToGrid/>
              <w:spacing w:line="276" w:lineRule="auto"/>
              <w:jc w:val="center"/>
              <w:textAlignment w:val="auto"/>
              <w:rPr>
                <w:rFonts w:hint="eastAsia" w:ascii="宋体" w:hAnsi="宋体" w:eastAsia="宋体" w:cs="宋体"/>
                <w:color w:val="auto"/>
                <w:highlight w:val="none"/>
                <w:lang w:val="en-US" w:eastAsia="zh-Hans"/>
              </w:rPr>
            </w:pPr>
            <w:r>
              <w:rPr>
                <w:rFonts w:hint="eastAsia" w:ascii="宋体" w:hAnsi="宋体" w:eastAsia="宋体" w:cs="Times New Roman"/>
                <w:snapToGrid/>
                <w:color w:val="auto"/>
                <w:kern w:val="2"/>
                <w:szCs w:val="21"/>
                <w:highlight w:val="none"/>
                <w:lang w:eastAsia="zh-CN"/>
              </w:rPr>
              <w:t>类似业绩</w:t>
            </w:r>
          </w:p>
        </w:tc>
        <w:tc>
          <w:tcPr>
            <w:tcW w:w="6156" w:type="dxa"/>
            <w:noWrap w:val="0"/>
            <w:vAlign w:val="center"/>
          </w:tcPr>
          <w:p w14:paraId="7F37464B">
            <w:pPr>
              <w:widowControl w:val="0"/>
              <w:kinsoku/>
              <w:autoSpaceDE/>
              <w:autoSpaceDN/>
              <w:adjustRightInd/>
              <w:snapToGrid/>
              <w:spacing w:line="276" w:lineRule="auto"/>
              <w:jc w:val="both"/>
              <w:textAlignment w:val="auto"/>
              <w:rPr>
                <w:rFonts w:hint="eastAsia" w:ascii="宋体" w:hAnsi="宋体" w:eastAsia="宋体" w:cs="宋体"/>
                <w:snapToGrid/>
                <w:color w:val="auto"/>
                <w:kern w:val="2"/>
                <w:szCs w:val="21"/>
                <w:highlight w:val="none"/>
                <w:lang w:eastAsia="zh-CN"/>
              </w:rPr>
            </w:pPr>
            <w:r>
              <w:rPr>
                <w:rFonts w:hint="eastAsia" w:ascii="宋体" w:hAnsi="宋体" w:eastAsia="宋体" w:cs="宋体"/>
                <w:snapToGrid/>
                <w:color w:val="auto"/>
                <w:kern w:val="2"/>
                <w:szCs w:val="21"/>
                <w:highlight w:val="none"/>
                <w:lang w:eastAsia="zh-CN"/>
              </w:rPr>
              <w:t>投标人提供近三年（202</w:t>
            </w:r>
            <w:r>
              <w:rPr>
                <w:rFonts w:hint="eastAsia" w:ascii="宋体" w:hAnsi="宋体" w:eastAsia="宋体" w:cs="宋体"/>
                <w:snapToGrid/>
                <w:color w:val="auto"/>
                <w:kern w:val="2"/>
                <w:szCs w:val="21"/>
                <w:highlight w:val="none"/>
                <w:lang w:val="en-US" w:eastAsia="zh-CN"/>
              </w:rPr>
              <w:t>3</w:t>
            </w:r>
            <w:r>
              <w:rPr>
                <w:rFonts w:hint="eastAsia" w:ascii="宋体" w:hAnsi="宋体" w:eastAsia="宋体" w:cs="宋体"/>
                <w:snapToGrid/>
                <w:color w:val="auto"/>
                <w:kern w:val="2"/>
                <w:szCs w:val="21"/>
                <w:highlight w:val="none"/>
                <w:lang w:eastAsia="zh-CN"/>
              </w:rPr>
              <w:t>年</w:t>
            </w:r>
            <w:r>
              <w:rPr>
                <w:rFonts w:hint="eastAsia" w:ascii="宋体" w:hAnsi="宋体" w:cs="宋体"/>
                <w:snapToGrid/>
                <w:color w:val="auto"/>
                <w:kern w:val="2"/>
                <w:szCs w:val="21"/>
                <w:highlight w:val="none"/>
                <w:lang w:val="en-US" w:eastAsia="zh-CN"/>
              </w:rPr>
              <w:t>7</w:t>
            </w:r>
            <w:r>
              <w:rPr>
                <w:rFonts w:hint="eastAsia" w:ascii="宋体" w:hAnsi="宋体" w:eastAsia="宋体" w:cs="宋体"/>
                <w:snapToGrid/>
                <w:color w:val="auto"/>
                <w:kern w:val="2"/>
                <w:szCs w:val="21"/>
                <w:highlight w:val="none"/>
                <w:lang w:eastAsia="zh-CN"/>
              </w:rPr>
              <w:t>月-投标截止日）类似业绩的，每提供一个业绩计</w:t>
            </w:r>
            <w:r>
              <w:rPr>
                <w:rFonts w:hint="eastAsia" w:ascii="宋体" w:hAnsi="宋体" w:eastAsia="宋体" w:cs="宋体"/>
                <w:snapToGrid/>
                <w:color w:val="auto"/>
                <w:kern w:val="2"/>
                <w:szCs w:val="21"/>
                <w:highlight w:val="none"/>
                <w:lang w:val="en-US" w:eastAsia="zh-CN"/>
              </w:rPr>
              <w:t>20</w:t>
            </w:r>
            <w:r>
              <w:rPr>
                <w:rFonts w:hint="eastAsia" w:ascii="宋体" w:hAnsi="宋体" w:eastAsia="宋体" w:cs="宋体"/>
                <w:snapToGrid/>
                <w:color w:val="auto"/>
                <w:kern w:val="2"/>
                <w:szCs w:val="21"/>
                <w:highlight w:val="none"/>
                <w:lang w:eastAsia="zh-CN"/>
              </w:rPr>
              <w:t>分，满分</w:t>
            </w:r>
            <w:r>
              <w:rPr>
                <w:rFonts w:hint="eastAsia" w:ascii="宋体" w:hAnsi="宋体" w:eastAsia="宋体" w:cs="宋体"/>
                <w:snapToGrid/>
                <w:color w:val="auto"/>
                <w:kern w:val="2"/>
                <w:szCs w:val="21"/>
                <w:highlight w:val="none"/>
                <w:lang w:val="en-US" w:eastAsia="zh-CN"/>
              </w:rPr>
              <w:t>60</w:t>
            </w:r>
            <w:r>
              <w:rPr>
                <w:rFonts w:hint="eastAsia" w:ascii="宋体" w:hAnsi="宋体" w:eastAsia="宋体" w:cs="宋体"/>
                <w:snapToGrid/>
                <w:color w:val="auto"/>
                <w:kern w:val="2"/>
                <w:szCs w:val="21"/>
                <w:highlight w:val="none"/>
                <w:lang w:eastAsia="zh-CN"/>
              </w:rPr>
              <w:t>分，续签合同不重复计分。</w:t>
            </w:r>
          </w:p>
          <w:p w14:paraId="4E9611AE">
            <w:pPr>
              <w:widowControl w:val="0"/>
              <w:kinsoku/>
              <w:autoSpaceDE/>
              <w:autoSpaceDN/>
              <w:adjustRightInd/>
              <w:snapToGrid/>
              <w:spacing w:line="276"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snapToGrid/>
                <w:color w:val="auto"/>
                <w:kern w:val="2"/>
                <w:szCs w:val="21"/>
                <w:highlight w:val="none"/>
                <w:lang w:eastAsia="zh-CN"/>
              </w:rPr>
              <w:t>注：</w:t>
            </w:r>
            <w:r>
              <w:rPr>
                <w:rFonts w:hint="eastAsia" w:ascii="宋体" w:hAnsi="宋体" w:eastAsia="宋体" w:cs="Times New Roman"/>
                <w:b/>
                <w:snapToGrid/>
                <w:color w:val="auto"/>
                <w:kern w:val="2"/>
                <w:szCs w:val="21"/>
                <w:highlight w:val="none"/>
                <w:lang w:eastAsia="zh-CN"/>
              </w:rPr>
              <w:t>类似业绩是指食堂经营服务项目，时间以合同签定时间为准，须提供合同关键页影印件加盖投标单位公章，并同时提供客户单位的联系电话，否则不计分。</w:t>
            </w:r>
          </w:p>
        </w:tc>
        <w:tc>
          <w:tcPr>
            <w:tcW w:w="940" w:type="dxa"/>
            <w:noWrap w:val="0"/>
            <w:vAlign w:val="center"/>
          </w:tcPr>
          <w:p w14:paraId="7A54D87C">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val="en-US" w:eastAsia="zh-CN"/>
              </w:rPr>
              <w:t>0-6</w:t>
            </w:r>
            <w:r>
              <w:rPr>
                <w:rFonts w:hint="eastAsia" w:ascii="宋体" w:hAnsi="宋体" w:eastAsia="宋体" w:cs="宋体"/>
                <w:bCs/>
                <w:snapToGrid/>
                <w:color w:val="auto"/>
                <w:kern w:val="0"/>
                <w:sz w:val="22"/>
                <w:szCs w:val="22"/>
                <w:highlight w:val="none"/>
                <w:lang w:eastAsia="zh-CN"/>
              </w:rPr>
              <w:t>0</w:t>
            </w:r>
          </w:p>
        </w:tc>
      </w:tr>
      <w:tr w14:paraId="5E21B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continue"/>
            <w:noWrap w:val="0"/>
            <w:vAlign w:val="center"/>
          </w:tcPr>
          <w:p w14:paraId="09531A6B">
            <w:pPr>
              <w:jc w:val="center"/>
              <w:rPr>
                <w:rFonts w:hint="eastAsia" w:ascii="宋体" w:hAnsi="宋体" w:eastAsia="宋体" w:cs="宋体"/>
                <w:color w:val="auto"/>
                <w:highlight w:val="none"/>
                <w:lang w:val="en-US" w:eastAsia="zh-Hans"/>
              </w:rPr>
            </w:pPr>
          </w:p>
        </w:tc>
        <w:tc>
          <w:tcPr>
            <w:tcW w:w="1164" w:type="dxa"/>
            <w:noWrap w:val="0"/>
            <w:vAlign w:val="center"/>
          </w:tcPr>
          <w:p w14:paraId="376CC448">
            <w:pPr>
              <w:widowControl w:val="0"/>
              <w:kinsoku/>
              <w:autoSpaceDE/>
              <w:autoSpaceDN/>
              <w:adjustRightInd/>
              <w:snapToGrid/>
              <w:spacing w:line="276" w:lineRule="auto"/>
              <w:jc w:val="center"/>
              <w:textAlignment w:val="auto"/>
              <w:rPr>
                <w:rFonts w:hint="default" w:ascii="宋体" w:hAnsi="宋体" w:eastAsia="宋体" w:cs="Times New Roman"/>
                <w:snapToGrid/>
                <w:color w:val="auto"/>
                <w:kern w:val="2"/>
                <w:szCs w:val="21"/>
                <w:highlight w:val="none"/>
                <w:lang w:val="en-US" w:eastAsia="zh-CN"/>
              </w:rPr>
            </w:pPr>
            <w:r>
              <w:rPr>
                <w:rFonts w:hint="eastAsia" w:ascii="宋体" w:hAnsi="宋体" w:cs="Times New Roman"/>
                <w:snapToGrid/>
                <w:color w:val="auto"/>
                <w:kern w:val="2"/>
                <w:szCs w:val="21"/>
                <w:highlight w:val="none"/>
                <w:lang w:val="en-US" w:eastAsia="zh-CN"/>
              </w:rPr>
              <w:t>团队人员配备要求</w:t>
            </w:r>
          </w:p>
        </w:tc>
        <w:tc>
          <w:tcPr>
            <w:tcW w:w="6156" w:type="dxa"/>
            <w:noWrap w:val="0"/>
            <w:vAlign w:val="center"/>
          </w:tcPr>
          <w:p w14:paraId="23662A01">
            <w:pPr>
              <w:pStyle w:val="128"/>
              <w:jc w:val="both"/>
              <w:rPr>
                <w:rFonts w:hint="eastAsia" w:ascii="宋体" w:hAnsi="宋体" w:eastAsia="宋体" w:cs="宋体"/>
                <w:color w:val="auto"/>
                <w:sz w:val="21"/>
                <w:szCs w:val="21"/>
                <w:highlight w:val="none"/>
              </w:rPr>
            </w:pPr>
            <w:r>
              <w:rPr>
                <w:rStyle w:val="46"/>
                <w:rFonts w:hint="eastAsia" w:ascii="宋体" w:hAnsi="宋体" w:eastAsia="宋体" w:cs="宋体"/>
                <w:b w:val="0"/>
                <w:color w:val="auto"/>
                <w:sz w:val="21"/>
                <w:szCs w:val="24"/>
                <w:highlight w:val="none"/>
                <w:lang w:val="en-US" w:eastAsia="zh-CN"/>
              </w:rPr>
              <w:t>一、</w:t>
            </w:r>
            <w:r>
              <w:rPr>
                <w:rStyle w:val="46"/>
                <w:rFonts w:hint="eastAsia" w:ascii="宋体" w:hAnsi="宋体" w:eastAsia="宋体" w:cs="宋体"/>
                <w:b w:val="0"/>
                <w:color w:val="auto"/>
                <w:sz w:val="21"/>
                <w:szCs w:val="24"/>
                <w:highlight w:val="none"/>
              </w:rPr>
              <w:t>项目团队配备食品安全管理人员（可由项目经理兼任）</w:t>
            </w:r>
            <w:r>
              <w:rPr>
                <w:rStyle w:val="46"/>
                <w:rFonts w:ascii="宋体" w:hAnsi="宋体" w:eastAsia="宋体" w:cs="宋体"/>
                <w:b w:val="0"/>
                <w:color w:val="auto"/>
                <w:sz w:val="21"/>
                <w:szCs w:val="24"/>
                <w:highlight w:val="none"/>
              </w:rPr>
              <w:t>，</w:t>
            </w:r>
            <w:r>
              <w:rPr>
                <w:rStyle w:val="46"/>
                <w:rFonts w:hint="eastAsia" w:ascii="宋体" w:hAnsi="宋体" w:eastAsia="宋体" w:cs="宋体"/>
                <w:b w:val="0"/>
                <w:color w:val="auto"/>
                <w:sz w:val="21"/>
                <w:szCs w:val="24"/>
                <w:highlight w:val="none"/>
                <w:lang w:val="en-US" w:eastAsia="zh-CN"/>
              </w:rPr>
              <w:t>每个计10分，</w:t>
            </w:r>
            <w:r>
              <w:rPr>
                <w:rStyle w:val="46"/>
                <w:rFonts w:ascii="宋体" w:hAnsi="宋体" w:eastAsia="宋体" w:cs="宋体"/>
                <w:b w:val="0"/>
                <w:color w:val="auto"/>
                <w:sz w:val="21"/>
                <w:szCs w:val="24"/>
                <w:highlight w:val="none"/>
              </w:rPr>
              <w:t>最高计</w:t>
            </w:r>
            <w:r>
              <w:rPr>
                <w:rStyle w:val="46"/>
                <w:rFonts w:hint="eastAsia" w:ascii="宋体" w:hAnsi="宋体" w:eastAsia="宋体" w:cs="宋体"/>
                <w:b w:val="0"/>
                <w:color w:val="auto"/>
                <w:sz w:val="21"/>
                <w:szCs w:val="24"/>
                <w:highlight w:val="none"/>
                <w:lang w:val="en-US" w:eastAsia="zh-CN"/>
              </w:rPr>
              <w:t>10</w:t>
            </w:r>
            <w:r>
              <w:rPr>
                <w:rStyle w:val="46"/>
                <w:rFonts w:ascii="宋体" w:hAnsi="宋体" w:eastAsia="宋体" w:cs="宋体"/>
                <w:b w:val="0"/>
                <w:color w:val="auto"/>
                <w:sz w:val="21"/>
                <w:szCs w:val="24"/>
                <w:highlight w:val="none"/>
              </w:rPr>
              <w:t>分：</w:t>
            </w:r>
            <w:r>
              <w:rPr>
                <w:rFonts w:hint="eastAsia" w:ascii="宋体" w:hAnsi="宋体" w:eastAsia="宋体" w:cs="宋体"/>
                <w:color w:val="auto"/>
                <w:sz w:val="21"/>
                <w:szCs w:val="21"/>
                <w:highlight w:val="none"/>
              </w:rPr>
              <w:t>拟配备食品安全管理人员，提供以下任一有效证件：</w:t>
            </w:r>
          </w:p>
          <w:p w14:paraId="40214FFD">
            <w:pPr>
              <w:pStyle w:val="1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人社</w:t>
            </w:r>
            <w:r>
              <w:rPr>
                <w:rFonts w:hint="eastAsia" w:ascii="宋体" w:hAnsi="宋体" w:eastAsia="宋体" w:cs="宋体"/>
                <w:color w:val="auto"/>
                <w:sz w:val="21"/>
                <w:szCs w:val="21"/>
                <w:highlight w:val="none"/>
                <w:lang w:val="en-US" w:eastAsia="zh-CN"/>
              </w:rPr>
              <w:t>部门</w:t>
            </w:r>
            <w:r>
              <w:rPr>
                <w:rFonts w:hint="eastAsia" w:ascii="宋体" w:hAnsi="宋体" w:eastAsia="宋体" w:cs="宋体"/>
                <w:color w:val="auto"/>
                <w:sz w:val="21"/>
                <w:szCs w:val="21"/>
                <w:highlight w:val="none"/>
              </w:rPr>
              <w:t>备案第三方评价机构核发食品安全管理师职业技能等级证书（五级/四级/三级，可在技能人才评价证书全国联网查询系统核验）；</w:t>
            </w:r>
          </w:p>
          <w:p w14:paraId="34F7FFEC">
            <w:pPr>
              <w:pStyle w:val="1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市场监督管理部门认可的培训机构出具食品安全员培训考核合格证明；须提供证书完整扫描件</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官方平台查询截图影印件。</w:t>
            </w:r>
          </w:p>
          <w:p w14:paraId="7C4B3DA4">
            <w:pPr>
              <w:pStyle w:val="128"/>
              <w:jc w:val="both"/>
              <w:rPr>
                <w:rStyle w:val="46"/>
                <w:rFonts w:ascii="宋体" w:hAnsi="宋体" w:eastAsia="宋体" w:cs="宋体"/>
                <w:b w:val="0"/>
                <w:color w:val="auto"/>
                <w:sz w:val="21"/>
                <w:szCs w:val="24"/>
                <w:highlight w:val="none"/>
              </w:rPr>
            </w:pPr>
            <w:r>
              <w:rPr>
                <w:rFonts w:hint="eastAsia" w:ascii="宋体" w:hAnsi="宋体" w:eastAsia="宋体" w:cs="宋体"/>
                <w:color w:val="auto"/>
                <w:sz w:val="21"/>
                <w:szCs w:val="21"/>
                <w:highlight w:val="none"/>
                <w:lang w:val="en-US" w:eastAsia="zh-CN"/>
              </w:rPr>
              <w:t>二、</w:t>
            </w:r>
            <w:r>
              <w:rPr>
                <w:rStyle w:val="46"/>
                <w:rFonts w:ascii="宋体" w:hAnsi="宋体" w:eastAsia="宋体" w:cs="宋体"/>
                <w:b w:val="0"/>
                <w:color w:val="auto"/>
                <w:sz w:val="21"/>
                <w:szCs w:val="24"/>
                <w:highlight w:val="none"/>
              </w:rPr>
              <w:t>团队成员，最高计</w:t>
            </w:r>
            <w:r>
              <w:rPr>
                <w:rStyle w:val="46"/>
                <w:rFonts w:hint="eastAsia" w:ascii="宋体" w:hAnsi="宋体" w:eastAsia="宋体" w:cs="宋体"/>
                <w:b w:val="0"/>
                <w:color w:val="auto"/>
                <w:sz w:val="21"/>
                <w:szCs w:val="24"/>
                <w:highlight w:val="none"/>
                <w:lang w:val="en-US" w:eastAsia="zh-CN"/>
              </w:rPr>
              <w:t>3</w:t>
            </w:r>
            <w:r>
              <w:rPr>
                <w:rStyle w:val="46"/>
                <w:rFonts w:ascii="宋体" w:hAnsi="宋体" w:eastAsia="宋体" w:cs="宋体"/>
                <w:b w:val="0"/>
                <w:color w:val="auto"/>
                <w:sz w:val="21"/>
                <w:szCs w:val="24"/>
                <w:highlight w:val="none"/>
              </w:rPr>
              <w:t>0分。根据拟派的除项目经理外的其他团队成员进行评审：</w:t>
            </w:r>
          </w:p>
          <w:p w14:paraId="1DADFB69">
            <w:pPr>
              <w:pStyle w:val="128"/>
              <w:jc w:val="both"/>
              <w:rPr>
                <w:rStyle w:val="46"/>
                <w:rFonts w:ascii="宋体" w:hAnsi="宋体" w:eastAsia="宋体" w:cs="宋体"/>
                <w:b w:val="0"/>
                <w:color w:val="auto"/>
                <w:sz w:val="21"/>
                <w:szCs w:val="24"/>
                <w:highlight w:val="none"/>
              </w:rPr>
            </w:pPr>
            <w:r>
              <w:rPr>
                <w:rStyle w:val="46"/>
                <w:rFonts w:ascii="宋体" w:hAnsi="宋体" w:eastAsia="宋体" w:cs="宋体"/>
                <w:b w:val="0"/>
                <w:color w:val="auto"/>
                <w:sz w:val="21"/>
                <w:szCs w:val="24"/>
                <w:highlight w:val="none"/>
              </w:rPr>
              <w:t>（1）拟派人员具有中式烹调师三级/高级工（含）及以上职业资格证书(技能等级证书)，每个计</w:t>
            </w:r>
            <w:r>
              <w:rPr>
                <w:rStyle w:val="46"/>
                <w:rFonts w:hint="eastAsia" w:ascii="宋体" w:hAnsi="宋体" w:eastAsia="宋体" w:cs="宋体"/>
                <w:b w:val="0"/>
                <w:color w:val="auto"/>
                <w:sz w:val="21"/>
                <w:szCs w:val="24"/>
                <w:highlight w:val="none"/>
                <w:lang w:val="en-US" w:eastAsia="zh-CN"/>
              </w:rPr>
              <w:t>10</w:t>
            </w:r>
            <w:r>
              <w:rPr>
                <w:rStyle w:val="46"/>
                <w:rFonts w:ascii="宋体" w:hAnsi="宋体" w:eastAsia="宋体" w:cs="宋体"/>
                <w:b w:val="0"/>
                <w:color w:val="auto"/>
                <w:sz w:val="21"/>
                <w:szCs w:val="24"/>
                <w:highlight w:val="none"/>
              </w:rPr>
              <w:t>分，最多计</w:t>
            </w:r>
            <w:r>
              <w:rPr>
                <w:rStyle w:val="46"/>
                <w:rFonts w:hint="eastAsia" w:ascii="宋体" w:hAnsi="宋体" w:eastAsia="宋体" w:cs="宋体"/>
                <w:b w:val="0"/>
                <w:color w:val="auto"/>
                <w:sz w:val="21"/>
                <w:szCs w:val="24"/>
                <w:highlight w:val="none"/>
                <w:lang w:val="en-US" w:eastAsia="zh-CN"/>
              </w:rPr>
              <w:t>20</w:t>
            </w:r>
            <w:r>
              <w:rPr>
                <w:rStyle w:val="46"/>
                <w:rFonts w:ascii="宋体" w:hAnsi="宋体" w:eastAsia="宋体" w:cs="宋体"/>
                <w:b w:val="0"/>
                <w:color w:val="auto"/>
                <w:sz w:val="21"/>
                <w:szCs w:val="24"/>
                <w:highlight w:val="none"/>
              </w:rPr>
              <w:t>分。</w:t>
            </w:r>
          </w:p>
          <w:p w14:paraId="4CD989BA">
            <w:pPr>
              <w:pStyle w:val="128"/>
              <w:jc w:val="both"/>
              <w:rPr>
                <w:rStyle w:val="46"/>
                <w:rFonts w:ascii="宋体" w:hAnsi="宋体" w:eastAsia="宋体" w:cs="宋体"/>
                <w:b w:val="0"/>
                <w:color w:val="auto"/>
                <w:sz w:val="21"/>
                <w:szCs w:val="24"/>
                <w:highlight w:val="none"/>
              </w:rPr>
            </w:pPr>
            <w:r>
              <w:rPr>
                <w:rStyle w:val="46"/>
                <w:rFonts w:ascii="宋体" w:hAnsi="宋体" w:eastAsia="宋体" w:cs="宋体"/>
                <w:b w:val="0"/>
                <w:color w:val="auto"/>
                <w:sz w:val="21"/>
                <w:szCs w:val="24"/>
                <w:highlight w:val="none"/>
              </w:rPr>
              <w:t>（</w:t>
            </w:r>
            <w:r>
              <w:rPr>
                <w:rStyle w:val="46"/>
                <w:rFonts w:hint="eastAsia" w:ascii="宋体" w:hAnsi="宋体" w:eastAsia="宋体" w:cs="宋体"/>
                <w:b w:val="0"/>
                <w:color w:val="auto"/>
                <w:sz w:val="21"/>
                <w:szCs w:val="24"/>
                <w:highlight w:val="none"/>
                <w:lang w:val="en-US" w:eastAsia="zh-CN"/>
              </w:rPr>
              <w:t>2</w:t>
            </w:r>
            <w:r>
              <w:rPr>
                <w:rStyle w:val="46"/>
                <w:rFonts w:ascii="宋体" w:hAnsi="宋体" w:eastAsia="宋体" w:cs="宋体"/>
                <w:b w:val="0"/>
                <w:color w:val="auto"/>
                <w:sz w:val="21"/>
                <w:szCs w:val="24"/>
                <w:highlight w:val="none"/>
              </w:rPr>
              <w:t>）拟派人员具有公共营养师</w:t>
            </w:r>
            <w:r>
              <w:rPr>
                <w:rStyle w:val="46"/>
                <w:rFonts w:hint="eastAsia" w:ascii="宋体" w:hAnsi="宋体" w:eastAsia="宋体" w:cs="宋体"/>
                <w:b w:val="0"/>
                <w:color w:val="auto"/>
                <w:sz w:val="21"/>
                <w:szCs w:val="24"/>
                <w:highlight w:val="none"/>
                <w:lang w:val="en-US" w:eastAsia="zh-CN"/>
              </w:rPr>
              <w:t>或</w:t>
            </w:r>
            <w:r>
              <w:rPr>
                <w:rStyle w:val="46"/>
                <w:rFonts w:ascii="宋体" w:hAnsi="宋体" w:eastAsia="宋体" w:cs="宋体"/>
                <w:b w:val="0"/>
                <w:color w:val="auto"/>
                <w:sz w:val="21"/>
                <w:szCs w:val="24"/>
                <w:highlight w:val="none"/>
              </w:rPr>
              <w:t>营养配餐员</w:t>
            </w:r>
            <w:r>
              <w:rPr>
                <w:rStyle w:val="46"/>
                <w:rFonts w:hint="eastAsia" w:ascii="宋体" w:hAnsi="宋体" w:eastAsia="宋体" w:cs="宋体"/>
                <w:b w:val="0"/>
                <w:color w:val="auto"/>
                <w:sz w:val="21"/>
                <w:szCs w:val="24"/>
                <w:highlight w:val="none"/>
                <w:lang w:val="en-US" w:eastAsia="zh-CN"/>
              </w:rPr>
              <w:t>或</w:t>
            </w:r>
            <w:r>
              <w:rPr>
                <w:rStyle w:val="46"/>
                <w:rFonts w:ascii="宋体" w:hAnsi="宋体" w:eastAsia="宋体" w:cs="宋体"/>
                <w:b w:val="0"/>
                <w:color w:val="auto"/>
                <w:sz w:val="21"/>
                <w:szCs w:val="24"/>
                <w:highlight w:val="none"/>
              </w:rPr>
              <w:t>健康管理师证书的，每个计</w:t>
            </w:r>
            <w:r>
              <w:rPr>
                <w:rStyle w:val="46"/>
                <w:rFonts w:hint="eastAsia" w:ascii="宋体" w:hAnsi="宋体" w:eastAsia="宋体" w:cs="宋体"/>
                <w:b w:val="0"/>
                <w:color w:val="auto"/>
                <w:sz w:val="21"/>
                <w:szCs w:val="24"/>
                <w:highlight w:val="none"/>
                <w:lang w:val="en-US" w:eastAsia="zh-CN"/>
              </w:rPr>
              <w:t>10</w:t>
            </w:r>
            <w:r>
              <w:rPr>
                <w:rStyle w:val="46"/>
                <w:rFonts w:ascii="宋体" w:hAnsi="宋体" w:eastAsia="宋体" w:cs="宋体"/>
                <w:b w:val="0"/>
                <w:color w:val="auto"/>
                <w:sz w:val="21"/>
                <w:szCs w:val="24"/>
                <w:highlight w:val="none"/>
              </w:rPr>
              <w:t>分，最多计</w:t>
            </w:r>
            <w:r>
              <w:rPr>
                <w:rStyle w:val="46"/>
                <w:rFonts w:hint="eastAsia" w:ascii="宋体" w:hAnsi="宋体" w:eastAsia="宋体" w:cs="宋体"/>
                <w:b w:val="0"/>
                <w:color w:val="auto"/>
                <w:sz w:val="21"/>
                <w:szCs w:val="24"/>
                <w:highlight w:val="none"/>
                <w:lang w:val="en-US" w:eastAsia="zh-CN"/>
              </w:rPr>
              <w:t>10</w:t>
            </w:r>
            <w:r>
              <w:rPr>
                <w:rStyle w:val="46"/>
                <w:rFonts w:ascii="宋体" w:hAnsi="宋体" w:eastAsia="宋体" w:cs="宋体"/>
                <w:b w:val="0"/>
                <w:color w:val="auto"/>
                <w:sz w:val="21"/>
                <w:szCs w:val="24"/>
                <w:highlight w:val="none"/>
              </w:rPr>
              <w:t>分。</w:t>
            </w:r>
          </w:p>
          <w:p w14:paraId="2A23A8FE">
            <w:pPr>
              <w:widowControl w:val="0"/>
              <w:kinsoku/>
              <w:autoSpaceDE/>
              <w:autoSpaceDN/>
              <w:adjustRightInd/>
              <w:snapToGrid/>
              <w:spacing w:line="276" w:lineRule="auto"/>
              <w:jc w:val="both"/>
              <w:textAlignment w:val="auto"/>
              <w:rPr>
                <w:rFonts w:hint="eastAsia" w:ascii="宋体" w:hAnsi="宋体" w:eastAsia="宋体" w:cs="Times New Roman"/>
                <w:b/>
                <w:snapToGrid/>
                <w:color w:val="auto"/>
                <w:kern w:val="2"/>
                <w:szCs w:val="21"/>
                <w:highlight w:val="none"/>
                <w:lang w:eastAsia="zh-CN"/>
              </w:rPr>
            </w:pPr>
            <w:r>
              <w:rPr>
                <w:rFonts w:hint="eastAsia" w:ascii="宋体" w:hAnsi="宋体" w:eastAsia="宋体" w:cs="Times New Roman"/>
                <w:b/>
                <w:snapToGrid/>
                <w:color w:val="auto"/>
                <w:kern w:val="2"/>
                <w:szCs w:val="21"/>
                <w:highlight w:val="none"/>
                <w:lang w:eastAsia="zh-CN"/>
              </w:rPr>
              <w:t>注：</w:t>
            </w:r>
          </w:p>
          <w:p w14:paraId="34613743">
            <w:pPr>
              <w:widowControl w:val="0"/>
              <w:kinsoku/>
              <w:autoSpaceDE/>
              <w:autoSpaceDN/>
              <w:adjustRightInd/>
              <w:snapToGrid/>
              <w:spacing w:line="276" w:lineRule="auto"/>
              <w:jc w:val="both"/>
              <w:textAlignment w:val="auto"/>
              <w:rPr>
                <w:rFonts w:hint="eastAsia" w:ascii="宋体" w:hAnsi="宋体" w:eastAsia="宋体" w:cs="Times New Roman"/>
                <w:b/>
                <w:snapToGrid/>
                <w:color w:val="auto"/>
                <w:kern w:val="2"/>
                <w:szCs w:val="21"/>
                <w:highlight w:val="none"/>
                <w:lang w:eastAsia="zh-CN"/>
              </w:rPr>
            </w:pPr>
            <w:r>
              <w:rPr>
                <w:rFonts w:hint="eastAsia" w:ascii="宋体" w:hAnsi="宋体" w:eastAsia="宋体" w:cs="Times New Roman"/>
                <w:b/>
                <w:snapToGrid/>
                <w:color w:val="auto"/>
                <w:kern w:val="2"/>
                <w:szCs w:val="21"/>
                <w:highlight w:val="none"/>
                <w:lang w:eastAsia="zh-CN"/>
              </w:rPr>
              <w:t>1.评审需同步提交</w:t>
            </w:r>
            <w:r>
              <w:rPr>
                <w:rFonts w:hint="eastAsia" w:ascii="宋体" w:hAnsi="宋体" w:eastAsia="宋体" w:cs="Times New Roman"/>
                <w:b/>
                <w:snapToGrid/>
                <w:color w:val="auto"/>
                <w:kern w:val="2"/>
                <w:szCs w:val="21"/>
                <w:highlight w:val="none"/>
                <w:lang w:val="en-US" w:eastAsia="zh-CN"/>
              </w:rPr>
              <w:t>相关</w:t>
            </w:r>
            <w:r>
              <w:rPr>
                <w:rFonts w:hint="eastAsia" w:ascii="宋体" w:hAnsi="宋体" w:eastAsia="宋体" w:cs="Times New Roman"/>
                <w:b/>
                <w:snapToGrid/>
                <w:color w:val="auto"/>
                <w:kern w:val="2"/>
                <w:szCs w:val="21"/>
                <w:highlight w:val="none"/>
                <w:lang w:eastAsia="zh-CN"/>
              </w:rPr>
              <w:t>人员证书复印件、完整团队人员清单，所有资料须加盖投标人单位公章；</w:t>
            </w:r>
          </w:p>
          <w:p w14:paraId="28526E32">
            <w:pPr>
              <w:widowControl w:val="0"/>
              <w:kinsoku/>
              <w:autoSpaceDE/>
              <w:autoSpaceDN/>
              <w:adjustRightInd/>
              <w:snapToGrid/>
              <w:spacing w:line="276" w:lineRule="auto"/>
              <w:jc w:val="both"/>
              <w:textAlignment w:val="auto"/>
              <w:rPr>
                <w:rFonts w:hint="eastAsia" w:ascii="宋体" w:hAnsi="宋体" w:eastAsia="宋体" w:cs="Times New Roman"/>
                <w:b/>
                <w:snapToGrid/>
                <w:color w:val="auto"/>
                <w:kern w:val="2"/>
                <w:szCs w:val="21"/>
                <w:highlight w:val="none"/>
                <w:lang w:eastAsia="zh-CN"/>
              </w:rPr>
            </w:pPr>
            <w:r>
              <w:rPr>
                <w:rFonts w:hint="eastAsia" w:ascii="宋体" w:hAnsi="宋体" w:eastAsia="宋体" w:cs="Times New Roman"/>
                <w:b/>
                <w:snapToGrid/>
                <w:color w:val="auto"/>
                <w:kern w:val="2"/>
                <w:szCs w:val="21"/>
                <w:highlight w:val="none"/>
                <w:lang w:eastAsia="zh-CN"/>
              </w:rPr>
              <w:t>2.一人持有多类证书不得重复累加得分；</w:t>
            </w:r>
          </w:p>
          <w:p w14:paraId="0130E758">
            <w:pPr>
              <w:widowControl w:val="0"/>
              <w:kinsoku/>
              <w:autoSpaceDE/>
              <w:autoSpaceDN/>
              <w:adjustRightInd/>
              <w:snapToGrid/>
              <w:spacing w:line="276" w:lineRule="auto"/>
              <w:jc w:val="both"/>
              <w:textAlignment w:val="auto"/>
              <w:rPr>
                <w:rFonts w:hint="eastAsia" w:ascii="宋体" w:hAnsi="宋体" w:eastAsia="宋体" w:cs="Times New Roman"/>
                <w:b/>
                <w:snapToGrid/>
                <w:color w:val="auto"/>
                <w:kern w:val="2"/>
                <w:szCs w:val="21"/>
                <w:highlight w:val="none"/>
                <w:lang w:eastAsia="zh-CN"/>
              </w:rPr>
            </w:pPr>
            <w:r>
              <w:rPr>
                <w:rFonts w:hint="eastAsia" w:ascii="宋体" w:hAnsi="宋体" w:eastAsia="宋体" w:cs="Times New Roman"/>
                <w:b/>
                <w:snapToGrid/>
                <w:color w:val="auto"/>
                <w:kern w:val="2"/>
                <w:szCs w:val="21"/>
                <w:highlight w:val="none"/>
                <w:lang w:eastAsia="zh-CN"/>
              </w:rPr>
              <w:t>3.对应人员</w:t>
            </w:r>
            <w:r>
              <w:rPr>
                <w:rFonts w:hint="eastAsia" w:ascii="宋体" w:hAnsi="宋体" w:eastAsia="宋体" w:cs="Times New Roman"/>
                <w:b/>
                <w:snapToGrid/>
                <w:color w:val="auto"/>
                <w:kern w:val="2"/>
                <w:szCs w:val="21"/>
                <w:highlight w:val="none"/>
                <w:lang w:val="en-US" w:eastAsia="zh-CN"/>
              </w:rPr>
              <w:t>需</w:t>
            </w:r>
            <w:r>
              <w:rPr>
                <w:rFonts w:hint="eastAsia" w:ascii="宋体" w:hAnsi="宋体" w:eastAsia="宋体" w:cs="Times New Roman"/>
                <w:b/>
                <w:snapToGrid/>
                <w:color w:val="auto"/>
                <w:kern w:val="2"/>
                <w:szCs w:val="21"/>
                <w:highlight w:val="none"/>
                <w:lang w:eastAsia="zh-CN"/>
              </w:rPr>
              <w:t>提供投标截止日前连续3个月内任意一月本单位社保缴纳证明并加盖公章；</w:t>
            </w:r>
          </w:p>
          <w:p w14:paraId="62380678">
            <w:pPr>
              <w:widowControl w:val="0"/>
              <w:kinsoku/>
              <w:autoSpaceDE/>
              <w:autoSpaceDN/>
              <w:adjustRightInd/>
              <w:snapToGrid/>
              <w:spacing w:line="276" w:lineRule="auto"/>
              <w:jc w:val="both"/>
              <w:textAlignment w:val="auto"/>
              <w:rPr>
                <w:rFonts w:hint="eastAsia" w:ascii="宋体" w:hAnsi="宋体" w:eastAsia="宋体" w:cs="宋体"/>
                <w:b/>
                <w:snapToGrid/>
                <w:color w:val="auto"/>
                <w:kern w:val="2"/>
                <w:szCs w:val="21"/>
                <w:highlight w:val="none"/>
                <w:lang w:eastAsia="zh-CN"/>
              </w:rPr>
            </w:pPr>
            <w:r>
              <w:rPr>
                <w:rFonts w:hint="eastAsia" w:ascii="宋体" w:hAnsi="宋体" w:eastAsia="宋体" w:cs="Times New Roman"/>
                <w:b/>
                <w:snapToGrid/>
                <w:color w:val="auto"/>
                <w:kern w:val="2"/>
                <w:szCs w:val="21"/>
                <w:highlight w:val="none"/>
                <w:lang w:eastAsia="zh-CN"/>
              </w:rPr>
              <w:t>4.上述任一材料缺失、未加盖公章或材料不符合要求的，本项对应分值不予计取。</w:t>
            </w:r>
          </w:p>
        </w:tc>
        <w:tc>
          <w:tcPr>
            <w:tcW w:w="940" w:type="dxa"/>
            <w:noWrap w:val="0"/>
            <w:vAlign w:val="center"/>
          </w:tcPr>
          <w:p w14:paraId="7289239A">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val="en-US" w:eastAsia="zh-CN"/>
              </w:rPr>
              <w:t>0-40</w:t>
            </w:r>
          </w:p>
        </w:tc>
      </w:tr>
      <w:tr w14:paraId="50600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noWrap w:val="0"/>
            <w:vAlign w:val="center"/>
          </w:tcPr>
          <w:p w14:paraId="56CC95EE">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价格分</w:t>
            </w:r>
          </w:p>
        </w:tc>
        <w:tc>
          <w:tcPr>
            <w:tcW w:w="1164" w:type="dxa"/>
            <w:noWrap w:val="0"/>
            <w:vAlign w:val="center"/>
          </w:tcPr>
          <w:p w14:paraId="6C0E5065">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投标价格得分</w:t>
            </w:r>
          </w:p>
        </w:tc>
        <w:tc>
          <w:tcPr>
            <w:tcW w:w="6156" w:type="dxa"/>
            <w:noWrap w:val="0"/>
            <w:vAlign w:val="center"/>
          </w:tcPr>
          <w:p w14:paraId="7855158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以经评委会</w:t>
            </w:r>
            <w:r>
              <w:rPr>
                <w:rFonts w:hint="eastAsia" w:ascii="宋体" w:hAnsi="宋体" w:cs="宋体"/>
                <w:color w:val="auto"/>
                <w:highlight w:val="none"/>
                <w:lang w:val="en-US" w:eastAsia="zh-CN"/>
              </w:rPr>
              <w:t>一</w:t>
            </w:r>
            <w:r>
              <w:rPr>
                <w:rFonts w:hint="eastAsia" w:ascii="宋体" w:hAnsi="宋体" w:eastAsia="宋体" w:cs="宋体"/>
                <w:color w:val="auto"/>
                <w:highlight w:val="none"/>
                <w:lang w:val="en-US" w:eastAsia="zh-Hans"/>
              </w:rPr>
              <w:t>致认定满足招标文件要求且投标价格最低的投标报价为评标基准价,其价格得分计满分。其他投标人的价格得分统一按公式</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投标报价得分=（评标基准价/投标报价）×价格权值×100</w:t>
            </w:r>
          </w:p>
          <w:p w14:paraId="39D5E85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注：政府采购评审中出现下列情形之一的，评审委员会应当启动异常低价投标（响应）审查程序：</w:t>
            </w:r>
          </w:p>
          <w:p w14:paraId="09E1AE6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1.投标（响应）报价低于全部通过符合性审查供应商投标（响应）报价平均值50%的（</w:t>
            </w:r>
            <w:r>
              <w:rPr>
                <w:rFonts w:hint="eastAsia" w:ascii="宋体" w:hAnsi="宋体" w:eastAsia="宋体" w:cs="宋体"/>
                <w:color w:val="auto"/>
                <w:highlight w:val="none"/>
                <w:lang w:val="en-US" w:eastAsia="zh-Hans"/>
              </w:rPr>
              <w:t>不得超过65%），即投标（响应）报价＜全部通过符合性审查供应商投标（响应）报价平均值×50%；</w:t>
            </w:r>
          </w:p>
          <w:p w14:paraId="787999D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2.投标（响应）报价低于通过符合性审查的次低报价供应商投标（响应）报价50%的（不得超过65%），即投标（响应）报价＜通过符合性审查的次低报价供应商投标（响应）报价×50%；</w:t>
            </w:r>
          </w:p>
          <w:p w14:paraId="029BD65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3.投标（响应）报价低于采购项目最高限价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%的（不得超过65%），即投标（响应）报价＜采购项目最高限价×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w:t>
            </w:r>
          </w:p>
          <w:p w14:paraId="13D7A3A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4.评审委员会基于专业判断，认为供应商报价过低，有可能影响产品质量或者不能诚信履约的其他情形。</w:t>
            </w:r>
          </w:p>
          <w:p w14:paraId="6A1EC4B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相关法律法规对供应商报价有规定的，从其规定。</w:t>
            </w:r>
          </w:p>
          <w:p w14:paraId="79DA77D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评审委员会启动异常低价投标（响应）审查后，属</w:t>
            </w:r>
            <w:r>
              <w:rPr>
                <w:rFonts w:hint="eastAsia" w:ascii="宋体" w:hAnsi="宋体" w:eastAsia="宋体" w:cs="宋体"/>
                <w:color w:val="auto"/>
                <w:highlight w:val="none"/>
                <w:lang w:val="en-US" w:eastAsia="zh-Hans"/>
              </w:rPr>
              <w:t>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940" w:type="dxa"/>
            <w:noWrap w:val="0"/>
            <w:vAlign w:val="center"/>
          </w:tcPr>
          <w:p w14:paraId="12BBFED2">
            <w:pPr>
              <w:widowControl/>
              <w:kinsoku/>
              <w:autoSpaceDE/>
              <w:autoSpaceDN/>
              <w:adjustRightInd/>
              <w:snapToGrid/>
              <w:spacing w:line="240" w:lineRule="auto"/>
              <w:jc w:val="center"/>
              <w:textAlignment w:val="center"/>
              <w:rPr>
                <w:rFonts w:hint="default" w:ascii="宋体" w:hAnsi="宋体" w:eastAsia="宋体" w:cs="宋体"/>
                <w:bCs/>
                <w:snapToGrid/>
                <w:color w:val="auto"/>
                <w:kern w:val="0"/>
                <w:sz w:val="22"/>
                <w:szCs w:val="22"/>
                <w:highlight w:val="none"/>
                <w:lang w:val="en-US" w:eastAsia="zh-CN"/>
              </w:rPr>
            </w:pPr>
            <w:r>
              <w:rPr>
                <w:rFonts w:hint="eastAsia" w:ascii="宋体" w:hAnsi="宋体" w:eastAsia="宋体" w:cs="宋体"/>
                <w:bCs/>
                <w:snapToGrid/>
                <w:color w:val="auto"/>
                <w:kern w:val="0"/>
                <w:sz w:val="22"/>
                <w:szCs w:val="22"/>
                <w:highlight w:val="none"/>
                <w:lang w:val="en-US" w:eastAsia="zh-CN"/>
              </w:rPr>
              <w:t>100</w:t>
            </w:r>
          </w:p>
        </w:tc>
      </w:tr>
    </w:tbl>
    <w:p w14:paraId="17D27936">
      <w:pPr>
        <w:widowControl/>
        <w:jc w:val="left"/>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rPr>
        <w:br w:type="page"/>
      </w:r>
    </w:p>
    <w:p w14:paraId="095F58AA">
      <w:pPr>
        <w:pStyle w:val="2"/>
        <w:keepNext w:val="0"/>
        <w:adjustRightInd w:val="0"/>
        <w:snapToGrid w:val="0"/>
        <w:spacing w:before="156" w:beforeLines="50" w:line="360" w:lineRule="auto"/>
        <w:rPr>
          <w:rFonts w:hint="eastAsia" w:ascii="宋体" w:hAnsi="宋体" w:eastAsia="宋体" w:cs="宋体"/>
          <w:color w:val="auto"/>
          <w:sz w:val="32"/>
          <w:szCs w:val="32"/>
          <w:highlight w:val="none"/>
        </w:rPr>
      </w:pPr>
      <w:bookmarkStart w:id="159" w:name="_Toc8671"/>
      <w:bookmarkStart w:id="160" w:name="_Toc22482"/>
      <w:bookmarkStart w:id="161" w:name="_Toc29913941"/>
      <w:r>
        <w:rPr>
          <w:rFonts w:hint="eastAsia" w:ascii="宋体" w:hAnsi="宋体" w:eastAsia="宋体" w:cs="宋体"/>
          <w:color w:val="auto"/>
          <w:sz w:val="32"/>
          <w:szCs w:val="32"/>
          <w:highlight w:val="none"/>
        </w:rPr>
        <w:t>第五章 采购需求</w:t>
      </w:r>
      <w:bookmarkEnd w:id="159"/>
      <w:bookmarkEnd w:id="160"/>
      <w:bookmarkEnd w:id="161"/>
    </w:p>
    <w:p w14:paraId="72CE6AE6">
      <w:pPr>
        <w:spacing w:line="360" w:lineRule="auto"/>
        <w:rPr>
          <w:rFonts w:hint="eastAsia" w:ascii="宋体" w:hAnsi="宋体" w:eastAsia="宋体" w:cs="宋体"/>
          <w:color w:val="auto"/>
          <w:kern w:val="0"/>
          <w:sz w:val="22"/>
          <w:szCs w:val="22"/>
          <w:highlight w:val="none"/>
          <w:lang w:bidi="ar"/>
        </w:rPr>
      </w:pPr>
      <w:bookmarkStart w:id="162" w:name="_Toc12981"/>
      <w:bookmarkStart w:id="163" w:name="_Toc29913944"/>
      <w:bookmarkStart w:id="164" w:name="_Toc10064"/>
    </w:p>
    <w:p w14:paraId="03B76E63">
      <w:pPr>
        <w:widowControl w:val="0"/>
        <w:kinsoku/>
        <w:autoSpaceDE w:val="0"/>
        <w:autoSpaceDN w:val="0"/>
        <w:adjustRightInd w:val="0"/>
        <w:snapToGrid/>
        <w:spacing w:line="460" w:lineRule="exact"/>
        <w:ind w:firstLine="482"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eastAsia="zh-CN"/>
        </w:rPr>
        <w:t>一、项目名称：</w:t>
      </w:r>
      <w:r>
        <w:rPr>
          <w:rFonts w:hint="eastAsia" w:ascii="宋体" w:hAnsi="宋体" w:eastAsia="宋体" w:cs="宋体"/>
          <w:snapToGrid/>
          <w:color w:val="auto"/>
          <w:kern w:val="2"/>
          <w:sz w:val="24"/>
          <w:szCs w:val="24"/>
          <w:highlight w:val="none"/>
          <w:lang w:eastAsia="zh-CN"/>
        </w:rPr>
        <w:t>市委、市政府机关食堂服务团队采购项目</w:t>
      </w:r>
    </w:p>
    <w:p w14:paraId="2B0D6A4F">
      <w:pPr>
        <w:widowControl w:val="0"/>
        <w:kinsoku/>
        <w:autoSpaceDE w:val="0"/>
        <w:autoSpaceDN w:val="0"/>
        <w:adjustRightInd w:val="0"/>
        <w:snapToGrid/>
        <w:spacing w:line="460" w:lineRule="exact"/>
        <w:ind w:firstLine="482"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val="en-US" w:eastAsia="zh-CN"/>
        </w:rPr>
        <w:t>二、</w:t>
      </w:r>
      <w:r>
        <w:rPr>
          <w:rFonts w:hint="eastAsia" w:ascii="宋体" w:hAnsi="宋体" w:eastAsia="宋体" w:cs="宋体"/>
          <w:b/>
          <w:bCs/>
          <w:snapToGrid/>
          <w:color w:val="auto"/>
          <w:kern w:val="2"/>
          <w:sz w:val="24"/>
          <w:szCs w:val="24"/>
          <w:highlight w:val="none"/>
          <w:lang w:eastAsia="zh-CN"/>
        </w:rPr>
        <w:t>采购金额：</w:t>
      </w:r>
      <w:r>
        <w:rPr>
          <w:rFonts w:hint="eastAsia" w:ascii="宋体" w:hAnsi="宋体" w:eastAsia="宋体" w:cs="宋体"/>
          <w:snapToGrid/>
          <w:color w:val="auto"/>
          <w:kern w:val="2"/>
          <w:sz w:val="24"/>
          <w:szCs w:val="24"/>
          <w:highlight w:val="none"/>
          <w:lang w:eastAsia="zh-CN"/>
        </w:rPr>
        <w:t>本轮采购周期为三年，年度采购金额约218万元，三年共计约654万元（不含食材采购成本）。</w:t>
      </w:r>
    </w:p>
    <w:p w14:paraId="3CBB17CF">
      <w:pPr>
        <w:widowControl w:val="0"/>
        <w:kinsoku/>
        <w:autoSpaceDE w:val="0"/>
        <w:autoSpaceDN w:val="0"/>
        <w:adjustRightInd w:val="0"/>
        <w:snapToGrid/>
        <w:spacing w:line="460" w:lineRule="exact"/>
        <w:ind w:firstLine="482" w:firstLineChars="200"/>
        <w:jc w:val="both"/>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eastAsia="zh-CN"/>
        </w:rPr>
        <w:t>二、项目基本情况</w:t>
      </w:r>
    </w:p>
    <w:p w14:paraId="69A89BA6">
      <w:pPr>
        <w:widowControl w:val="0"/>
        <w:kinsoku/>
        <w:autoSpaceDE w:val="0"/>
        <w:autoSpaceDN w:val="0"/>
        <w:adjustRightInd w:val="0"/>
        <w:snapToGrid/>
        <w:spacing w:line="460" w:lineRule="exact"/>
        <w:ind w:firstLine="480"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为进一步提升市委、市政府机关食堂日常供餐保障的品质与效率，确保食堂运行安全、平稳、有序，根据《中华人民共和国食品安全法》《集中用餐单位落实食品安全主体责任监督管理规定》及《湖南省党政机关和事业单位内部食堂管理办法》等相关法规政策，结合工作实际，制定</w:t>
      </w:r>
      <w:r>
        <w:rPr>
          <w:rFonts w:hint="eastAsia" w:ascii="宋体" w:hAnsi="宋体" w:eastAsia="宋体" w:cs="宋体"/>
          <w:snapToGrid/>
          <w:color w:val="auto"/>
          <w:kern w:val="2"/>
          <w:sz w:val="24"/>
          <w:szCs w:val="24"/>
          <w:highlight w:val="none"/>
          <w:lang w:val="en-US" w:eastAsia="zh-CN"/>
        </w:rPr>
        <w:t>采购需求</w:t>
      </w:r>
      <w:r>
        <w:rPr>
          <w:rFonts w:hint="eastAsia" w:ascii="宋体" w:hAnsi="宋体" w:eastAsia="宋体" w:cs="宋体"/>
          <w:snapToGrid/>
          <w:color w:val="auto"/>
          <w:kern w:val="2"/>
          <w:sz w:val="24"/>
          <w:szCs w:val="24"/>
          <w:highlight w:val="none"/>
          <w:lang w:eastAsia="zh-CN"/>
        </w:rPr>
        <w:t>。</w:t>
      </w:r>
    </w:p>
    <w:p w14:paraId="3853E034">
      <w:pPr>
        <w:widowControl w:val="0"/>
        <w:kinsoku/>
        <w:autoSpaceDE w:val="0"/>
        <w:autoSpaceDN w:val="0"/>
        <w:adjustRightInd w:val="0"/>
        <w:snapToGrid/>
        <w:spacing w:line="4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w:t>
      </w:r>
      <w:r>
        <w:rPr>
          <w:rFonts w:hint="eastAsia" w:ascii="宋体" w:hAnsi="宋体" w:eastAsia="宋体" w:cs="宋体"/>
          <w:snapToGrid/>
          <w:color w:val="auto"/>
          <w:kern w:val="2"/>
          <w:sz w:val="24"/>
          <w:szCs w:val="24"/>
          <w:highlight w:val="none"/>
          <w:lang w:eastAsia="zh-CN"/>
        </w:rPr>
        <w:t>通过公开招标方式，择优选定专业餐饮服务团队，承担市委、市政府机关食堂（含市委小食堂）的日常供餐服务，实现食堂管理规范化、服务标准化、保障精细化，切实满足干部职工用餐需求，确保食品安全零事故、服务质量零投诉（可控范围内）</w:t>
      </w:r>
    </w:p>
    <w:p w14:paraId="096F13EF">
      <w:pPr>
        <w:widowControl w:val="0"/>
        <w:kinsoku/>
        <w:autoSpaceDE w:val="0"/>
        <w:autoSpaceDN w:val="0"/>
        <w:adjustRightInd w:val="0"/>
        <w:snapToGrid/>
        <w:spacing w:line="460" w:lineRule="exact"/>
        <w:ind w:firstLine="480" w:firstLineChars="20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3.</w:t>
      </w:r>
      <w:r>
        <w:rPr>
          <w:rFonts w:hint="eastAsia" w:ascii="宋体" w:hAnsi="宋体" w:eastAsia="宋体" w:cs="宋体"/>
          <w:snapToGrid/>
          <w:color w:val="auto"/>
          <w:kern w:val="2"/>
          <w:sz w:val="24"/>
          <w:szCs w:val="24"/>
          <w:highlight w:val="none"/>
          <w:lang w:eastAsia="zh-CN"/>
        </w:rPr>
        <w:t>郴州市委机关食堂面积约600㎡，位于市委大院内，日均用餐人数约300人（具体以实际用餐人数为准）；郴州市政府机关食堂面积约768.07㎡，位于郴州市中天房地产开发有限公司林邑财富中心办公大楼二楼， 日均用餐人数约400人（具体以实际用餐人数为准）；市委周转房食堂面积约100㎡，位于市委大院内，日均用餐人数约15人（具体以实际用餐人数为准）,三个食堂需为机关干部职工约700人提供就餐保障服务, 需保障每日三餐规定时间内职工正常用餐,同时需保障公务接待用餐和小型会议用餐，配合机关做好扶贫采购等事宜。采购人将机关食堂劳务服务业务委托给中标人。</w:t>
      </w:r>
    </w:p>
    <w:p w14:paraId="3F23893F">
      <w:pPr>
        <w:bidi w:val="0"/>
        <w:jc w:val="center"/>
        <w:rPr>
          <w:b/>
          <w:bCs/>
          <w:color w:val="auto"/>
          <w:sz w:val="30"/>
          <w:szCs w:val="30"/>
          <w:highlight w:val="none"/>
        </w:rPr>
      </w:pPr>
    </w:p>
    <w:p w14:paraId="6CFD32CF">
      <w:pPr>
        <w:rPr>
          <w:b/>
          <w:bCs/>
          <w:color w:val="auto"/>
          <w:sz w:val="30"/>
          <w:szCs w:val="30"/>
          <w:highlight w:val="none"/>
        </w:rPr>
      </w:pPr>
      <w:r>
        <w:rPr>
          <w:b/>
          <w:bCs/>
          <w:color w:val="auto"/>
          <w:sz w:val="30"/>
          <w:szCs w:val="30"/>
          <w:highlight w:val="none"/>
        </w:rPr>
        <w:br w:type="page"/>
      </w:r>
    </w:p>
    <w:p w14:paraId="51DDB328">
      <w:pPr>
        <w:bidi w:val="0"/>
        <w:jc w:val="center"/>
        <w:rPr>
          <w:b/>
          <w:bCs/>
          <w:color w:val="auto"/>
          <w:sz w:val="30"/>
          <w:szCs w:val="30"/>
          <w:highlight w:val="none"/>
        </w:rPr>
      </w:pPr>
      <w:r>
        <w:rPr>
          <w:b/>
          <w:bCs/>
          <w:color w:val="auto"/>
          <w:sz w:val="30"/>
          <w:szCs w:val="30"/>
          <w:highlight w:val="none"/>
        </w:rPr>
        <w:t>第一节 技术要求</w:t>
      </w:r>
    </w:p>
    <w:p w14:paraId="6BFAAF67">
      <w:pPr>
        <w:bidi w:val="0"/>
        <w:jc w:val="center"/>
        <w:rPr>
          <w:b/>
          <w:bCs/>
          <w:color w:val="auto"/>
          <w:sz w:val="30"/>
          <w:szCs w:val="30"/>
          <w:highlight w:val="none"/>
        </w:rPr>
      </w:pPr>
      <w:r>
        <w:rPr>
          <w:b/>
          <w:bCs/>
          <w:color w:val="auto"/>
          <w:sz w:val="30"/>
          <w:szCs w:val="30"/>
          <w:highlight w:val="none"/>
        </w:rPr>
        <w:t>（服务、人员、食品安全、现场管理、考核标准）</w:t>
      </w:r>
    </w:p>
    <w:p w14:paraId="2D52C654">
      <w:pPr>
        <w:spacing w:line="218" w:lineRule="auto"/>
        <w:ind w:left="523"/>
        <w:rPr>
          <w:rFonts w:hint="eastAsia" w:ascii="黑体" w:hAnsi="黑体" w:eastAsia="黑体" w:cs="黑体"/>
          <w:color w:val="auto"/>
          <w:spacing w:val="-2"/>
          <w:sz w:val="24"/>
          <w:szCs w:val="24"/>
          <w:highlight w:val="none"/>
        </w:rPr>
      </w:pPr>
    </w:p>
    <w:p w14:paraId="0654F264">
      <w:pPr>
        <w:spacing w:line="360" w:lineRule="auto"/>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b/>
          <w:bCs/>
          <w:color w:val="auto"/>
          <w:spacing w:val="-2"/>
          <w:sz w:val="24"/>
          <w:szCs w:val="24"/>
          <w:highlight w:val="none"/>
        </w:rPr>
        <w:t>一、整体服务范围与供餐标准</w:t>
      </w:r>
    </w:p>
    <w:p w14:paraId="1327F9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（一）服务内容</w:t>
      </w:r>
    </w:p>
    <w:p w14:paraId="75C56E40">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1.</w:t>
      </w:r>
      <w:r>
        <w:rPr>
          <w:rFonts w:hint="eastAsia" w:asciiTheme="minorEastAsia" w:hAnsiTheme="minorEastAsia" w:eastAsiaTheme="minorEastAsia" w:cstheme="minorEastAsia"/>
          <w:color w:val="auto"/>
          <w:spacing w:val="-7"/>
          <w:sz w:val="24"/>
          <w:szCs w:val="24"/>
          <w:highlight w:val="none"/>
        </w:rPr>
        <w:t>全时段保障早、中、晚职工日常就餐；按需 24 小时响应公务包厢接待、各类小型会议用餐、加班临时供餐；</w:t>
      </w:r>
    </w:p>
    <w:p w14:paraId="713A7F08">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2.</w:t>
      </w:r>
      <w:r>
        <w:rPr>
          <w:rFonts w:hint="eastAsia" w:asciiTheme="minorEastAsia" w:hAnsiTheme="minorEastAsia" w:eastAsiaTheme="minorEastAsia" w:cstheme="minorEastAsia"/>
          <w:color w:val="auto"/>
          <w:spacing w:val="-7"/>
          <w:sz w:val="24"/>
          <w:szCs w:val="24"/>
          <w:highlight w:val="none"/>
        </w:rPr>
        <w:t>负责菜品研发、每周菜谱制定公示、膳食营养搭配；</w:t>
      </w:r>
    </w:p>
    <w:p w14:paraId="28A61603">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3.</w:t>
      </w:r>
      <w:r>
        <w:rPr>
          <w:rFonts w:hint="eastAsia" w:asciiTheme="minorEastAsia" w:hAnsiTheme="minorEastAsia" w:eastAsiaTheme="minorEastAsia" w:cstheme="minorEastAsia"/>
          <w:color w:val="auto"/>
          <w:spacing w:val="-7"/>
          <w:sz w:val="24"/>
          <w:szCs w:val="24"/>
          <w:highlight w:val="none"/>
        </w:rPr>
        <w:t>食堂全域清洁、厨具清洗消毒、仓储管理、食材加工烹饪、窗口打餐、包厢接待服；</w:t>
      </w:r>
    </w:p>
    <w:p w14:paraId="2E8D8FFB">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4.</w:t>
      </w:r>
      <w:r>
        <w:rPr>
          <w:rFonts w:hint="eastAsia" w:asciiTheme="minorEastAsia" w:hAnsiTheme="minorEastAsia" w:eastAsiaTheme="minorEastAsia" w:cstheme="minorEastAsia"/>
          <w:color w:val="auto"/>
          <w:spacing w:val="-7"/>
          <w:sz w:val="24"/>
          <w:szCs w:val="24"/>
          <w:highlight w:val="none"/>
        </w:rPr>
        <w:t>建立全套食品安全台账、日常巡查、留样、出入库、消毒、培训记录；</w:t>
      </w:r>
    </w:p>
    <w:p w14:paraId="7D4D4C9B">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5.</w:t>
      </w:r>
      <w:r>
        <w:rPr>
          <w:rFonts w:hint="eastAsia" w:asciiTheme="minorEastAsia" w:hAnsiTheme="minorEastAsia" w:eastAsiaTheme="minorEastAsia" w:cstheme="minorEastAsia"/>
          <w:color w:val="auto"/>
          <w:spacing w:val="-7"/>
          <w:sz w:val="24"/>
          <w:szCs w:val="24"/>
          <w:highlight w:val="none"/>
        </w:rPr>
        <w:t>落实反食品浪费、扶贫农产品采购等甲方专项工作。</w:t>
      </w:r>
    </w:p>
    <w:p w14:paraId="5C82EE3A">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rPr>
        <w:t>（二）固定供餐时间</w:t>
      </w:r>
    </w:p>
    <w:p w14:paraId="354A52AF">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1.</w:t>
      </w:r>
      <w:r>
        <w:rPr>
          <w:rFonts w:hint="eastAsia" w:asciiTheme="minorEastAsia" w:hAnsiTheme="minorEastAsia" w:eastAsiaTheme="minorEastAsia" w:cstheme="minorEastAsia"/>
          <w:color w:val="auto"/>
          <w:spacing w:val="-7"/>
          <w:sz w:val="24"/>
          <w:szCs w:val="24"/>
          <w:highlight w:val="none"/>
        </w:rPr>
        <w:t>早餐：7:00—9:00</w:t>
      </w:r>
    </w:p>
    <w:p w14:paraId="4AB7131B">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2.</w:t>
      </w:r>
      <w:r>
        <w:rPr>
          <w:rFonts w:hint="eastAsia" w:asciiTheme="minorEastAsia" w:hAnsiTheme="minorEastAsia" w:eastAsiaTheme="minorEastAsia" w:cstheme="minorEastAsia"/>
          <w:color w:val="auto"/>
          <w:spacing w:val="-7"/>
          <w:sz w:val="24"/>
          <w:szCs w:val="24"/>
          <w:highlight w:val="none"/>
        </w:rPr>
        <w:t>中餐：11:40—13:00（自助餐模式）</w:t>
      </w:r>
    </w:p>
    <w:p w14:paraId="39140C7B">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3.</w:t>
      </w:r>
      <w:r>
        <w:rPr>
          <w:rFonts w:hint="eastAsia" w:asciiTheme="minorEastAsia" w:hAnsiTheme="minorEastAsia" w:eastAsiaTheme="minorEastAsia" w:cstheme="minorEastAsia"/>
          <w:color w:val="auto"/>
          <w:spacing w:val="-7"/>
          <w:sz w:val="24"/>
          <w:szCs w:val="24"/>
          <w:highlight w:val="none"/>
        </w:rPr>
        <w:t>晚餐：</w:t>
      </w:r>
    </w:p>
    <w:p w14:paraId="4B615126">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冬季 10 月 - 次年 4 月：17:30—18:30</w:t>
      </w:r>
    </w:p>
    <w:p w14:paraId="623DB8AA">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夏季 5 月 - 9 月：18:00—19:00（基础打菜 + 小炒点菜）</w:t>
      </w:r>
    </w:p>
    <w:p w14:paraId="675892B5">
      <w:pPr>
        <w:pStyle w:val="17"/>
        <w:spacing w:before="177" w:line="360" w:lineRule="auto"/>
        <w:ind w:left="42" w:right="66" w:firstLine="494"/>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en-US"/>
        </w:rPr>
        <w:t>4.</w:t>
      </w:r>
      <w:r>
        <w:rPr>
          <w:rFonts w:hint="eastAsia" w:asciiTheme="minorEastAsia" w:hAnsiTheme="minorEastAsia" w:eastAsiaTheme="minorEastAsia" w:cstheme="minorEastAsia"/>
          <w:color w:val="auto"/>
          <w:spacing w:val="-7"/>
          <w:sz w:val="24"/>
          <w:szCs w:val="24"/>
          <w:highlight w:val="none"/>
        </w:rPr>
        <w:t>公务接待、加班用餐无固定时限，随叫随保障。</w:t>
      </w:r>
    </w:p>
    <w:p w14:paraId="74B914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（三）餐品配置标准</w:t>
      </w:r>
    </w:p>
    <w:p w14:paraId="3F186C9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en-US"/>
        </w:rPr>
        <w:t>1.</w:t>
      </w:r>
      <w:r>
        <w:rPr>
          <w:rFonts w:hint="eastAsia" w:asciiTheme="minorEastAsia" w:hAnsiTheme="minorEastAsia" w:eastAsiaTheme="minorEastAsia" w:cstheme="minorEastAsia"/>
          <w:color w:val="auto"/>
          <w:spacing w:val="-6"/>
          <w:sz w:val="24"/>
          <w:szCs w:val="24"/>
          <w:highlight w:val="none"/>
        </w:rPr>
        <w:t>早餐：面点、粉面、鸡蛋、豆浆、杂粮等≥10 个品类；</w:t>
      </w:r>
    </w:p>
    <w:p w14:paraId="0A70B88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en-US"/>
        </w:rPr>
        <w:t>2.</w:t>
      </w:r>
      <w:r>
        <w:rPr>
          <w:rFonts w:hint="eastAsia" w:asciiTheme="minorEastAsia" w:hAnsiTheme="minorEastAsia" w:eastAsiaTheme="minorEastAsia" w:cstheme="minorEastAsia"/>
          <w:color w:val="auto"/>
          <w:spacing w:val="-6"/>
          <w:sz w:val="24"/>
          <w:szCs w:val="24"/>
          <w:highlight w:val="none"/>
        </w:rPr>
        <w:t>中餐自助：荤素热菜、汤品、水果配套供应；</w:t>
      </w:r>
    </w:p>
    <w:p w14:paraId="3F2C64A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en-US"/>
        </w:rPr>
        <w:t>3.</w:t>
      </w:r>
      <w:r>
        <w:rPr>
          <w:rFonts w:hint="eastAsia" w:asciiTheme="minorEastAsia" w:hAnsiTheme="minorEastAsia" w:eastAsiaTheme="minorEastAsia" w:cstheme="minorEastAsia"/>
          <w:color w:val="auto"/>
          <w:spacing w:val="-6"/>
          <w:sz w:val="24"/>
          <w:szCs w:val="24"/>
          <w:highlight w:val="none"/>
        </w:rPr>
        <w:t>晚餐：基础套餐 + 单点小炒；</w:t>
      </w:r>
    </w:p>
    <w:p w14:paraId="209CBDEA">
      <w:pPr>
        <w:pStyle w:val="17"/>
        <w:spacing w:before="1" w:line="360" w:lineRule="auto"/>
        <w:ind w:left="42" w:right="65" w:firstLine="478"/>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en-US"/>
        </w:rPr>
        <w:t>4.</w:t>
      </w:r>
      <w:r>
        <w:rPr>
          <w:rFonts w:hint="eastAsia" w:asciiTheme="minorEastAsia" w:hAnsiTheme="minorEastAsia" w:eastAsiaTheme="minorEastAsia" w:cstheme="minorEastAsia"/>
          <w:color w:val="auto"/>
          <w:spacing w:val="-6"/>
          <w:sz w:val="24"/>
          <w:szCs w:val="24"/>
          <w:highlight w:val="none"/>
        </w:rPr>
        <w:t>每周更新菜谱，定期推出创新菜品，由营养指导员搭配健康膳食。</w:t>
      </w:r>
    </w:p>
    <w:p w14:paraId="6CD5DD3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二、人员配置与管理技术标准</w:t>
      </w:r>
    </w:p>
    <w:p w14:paraId="2946CA67">
      <w:pPr>
        <w:spacing w:line="360" w:lineRule="auto"/>
        <w:rPr>
          <w:rFonts w:hint="eastAsia" w:asciiTheme="minorEastAsia" w:hAnsiTheme="minorEastAsia" w:eastAsiaTheme="minorEastAsia" w:cstheme="minorEastAsia"/>
          <w:b/>
          <w:bCs/>
          <w:snapToGrid w:val="0"/>
          <w:color w:val="auto"/>
          <w:kern w:val="0"/>
          <w:sz w:val="24"/>
          <w:szCs w:val="24"/>
          <w:highlight w:val="none"/>
          <w:lang w:val="en-US" w:eastAsia="zh-CN" w:bidi="ar"/>
        </w:rPr>
      </w:pPr>
      <w:r>
        <w:rPr>
          <w:rFonts w:hint="eastAsia" w:asciiTheme="minorEastAsia" w:hAnsiTheme="minorEastAsia" w:eastAsiaTheme="minorEastAsia" w:cstheme="minorEastAsia"/>
          <w:b/>
          <w:bCs/>
          <w:snapToGrid w:val="0"/>
          <w:color w:val="auto"/>
          <w:kern w:val="0"/>
          <w:sz w:val="24"/>
          <w:szCs w:val="24"/>
          <w:highlight w:val="none"/>
          <w:lang w:val="en-US" w:eastAsia="zh-CN" w:bidi="ar"/>
        </w:rPr>
        <w:t>（一）岗位配置硬性要求</w:t>
      </w:r>
    </w:p>
    <w:p w14:paraId="42EAB640">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1.项目经理：2名（市委1名、市政府1名），负责项目点全面管理，制定经营计划，主持日常会议，协调内外部事务，与甲方保持沟通，定期回访；负责食品安全、消防安全及应急处置方案制定与培训、组织开展菜品研发等工作。</w:t>
      </w:r>
    </w:p>
    <w:p w14:paraId="79D038E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2.项目助理/仓管：1名（驻市政府食堂），协助项目主理工作，负责仓库出入库管理，营业数据统计，月底盘点等。</w:t>
      </w:r>
    </w:p>
    <w:p w14:paraId="3BA4480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3.行政总厨：1名（驻市委食堂），负责厨房人员管理及业务统筹，制定菜单并把关菜品质量，掌握原料库存及市场价格，定期推出新菜，负责厨房卫生及食品安全管理。</w:t>
      </w:r>
    </w:p>
    <w:p w14:paraId="02ED09D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4.厨师长：2名（市委食堂1名、市政府1名），协助行政总厨完成主、副食加工制作，研发新菜品，配合餐厅完成日常供餐工作，</w:t>
      </w:r>
      <w:r>
        <w:rPr>
          <w:rFonts w:hint="eastAsia" w:asciiTheme="minorEastAsia" w:hAnsiTheme="minorEastAsia" w:eastAsiaTheme="minorEastAsia" w:cstheme="minorEastAsia"/>
          <w:color w:val="auto"/>
          <w:sz w:val="24"/>
          <w:szCs w:val="24"/>
          <w:highlight w:val="none"/>
        </w:rPr>
        <w:t>分别负责市委食堂、市政府食堂主厨</w:t>
      </w:r>
      <w:r>
        <w:rPr>
          <w:rFonts w:hint="eastAsia" w:asciiTheme="minorEastAsia" w:hAnsiTheme="minorEastAsia" w:eastAsiaTheme="minorEastAsia" w:cstheme="minorEastAsia"/>
          <w:color w:val="auto"/>
          <w:spacing w:val="-6"/>
          <w:sz w:val="24"/>
          <w:szCs w:val="24"/>
          <w:highlight w:val="none"/>
          <w:lang w:val="en-US" w:eastAsia="zh-CN"/>
        </w:rPr>
        <w:t>。</w:t>
      </w:r>
    </w:p>
    <w:p w14:paraId="73250BB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5.厨师：4名（市委食堂2名、市政府2名），协助厨师长完成主、副食加工制作，研发新菜品，配合餐厅完成日常供餐工作。</w:t>
      </w:r>
    </w:p>
    <w:p w14:paraId="7E79337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6.白案师傅：5名（市委食堂2名、市委小食堂1名、市政府2名），负责面点、糕点制作，丰富早餐品种，配合完成日常供餐工作。</w:t>
      </w:r>
    </w:p>
    <w:p w14:paraId="610093B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7.服务员：10名（市委食堂3名、市委小食堂2名、住房2名、市政府3名），负责食堂包厢及公务接待用餐服务，保管包厢物品；负责食堂超市商品出入库、销售及每日数据上报。</w:t>
      </w:r>
    </w:p>
    <w:p w14:paraId="2F86B1F7">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8.勤杂工：10名（市委5 名、市政府5名），协助厨师工作，配合供餐，负责餐后厨具回收清洗及消毒工作。</w:t>
      </w:r>
    </w:p>
    <w:p w14:paraId="2096D2B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9.切配员：4 名（市委 2 名、市政府2名），按菜谱完成切配任务，确保刀工质量，落实卫生要求，配合供餐工作。</w:t>
      </w:r>
    </w:p>
    <w:p w14:paraId="0213B94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10. 食品安全员 1 名（可兼职，不计入服务总人数），全面负责食堂食品安全日常管控工作，严格落实食品安全 “日管控、周排查、月调度” 管理制度。</w:t>
      </w:r>
    </w:p>
    <w:p w14:paraId="20E9EADC">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11.营养指导员 1名（可兼职，不计总人数），负责膳食营养搭配指导，定期制定健康食谱。</w:t>
      </w:r>
    </w:p>
    <w:p w14:paraId="31702800">
      <w:pPr>
        <w:pStyle w:val="17"/>
        <w:spacing w:before="1" w:line="360" w:lineRule="auto"/>
        <w:ind w:left="42" w:right="65" w:firstLine="478"/>
        <w:rPr>
          <w:rFonts w:hint="eastAsia" w:asciiTheme="minorEastAsia" w:hAnsiTheme="minorEastAsia" w:eastAsiaTheme="minorEastAsia" w:cstheme="minorEastAsia"/>
          <w:b/>
          <w:bCs/>
          <w:snapToGrid w:val="0"/>
          <w:color w:val="auto"/>
          <w:kern w:val="0"/>
          <w:sz w:val="24"/>
          <w:szCs w:val="24"/>
          <w:highlight w:val="none"/>
          <w:lang w:val="en-US" w:eastAsia="zh-CN" w:bidi="ar"/>
        </w:rPr>
      </w:pPr>
      <w:r>
        <w:rPr>
          <w:rFonts w:hint="eastAsia" w:asciiTheme="minorEastAsia" w:hAnsiTheme="minorEastAsia" w:eastAsiaTheme="minorEastAsia" w:cstheme="minorEastAsia"/>
          <w:color w:val="auto"/>
          <w:spacing w:val="-6"/>
          <w:sz w:val="24"/>
          <w:szCs w:val="24"/>
          <w:highlight w:val="none"/>
          <w:lang w:val="en-US" w:eastAsia="zh-CN"/>
        </w:rPr>
        <w:t>12.总人数配置合计≥39人，在充分确保供餐保障服务质量的前提下，工作具体岗位可根据工作安排合理优化（需经采购方同意）。</w:t>
      </w:r>
    </w:p>
    <w:p w14:paraId="170ABDA2">
      <w:pPr>
        <w:spacing w:line="360" w:lineRule="auto"/>
        <w:rPr>
          <w:rFonts w:hint="eastAsia" w:asciiTheme="minorEastAsia" w:hAnsiTheme="minorEastAsia" w:eastAsiaTheme="minorEastAsia" w:cstheme="minorEastAsia"/>
          <w:b/>
          <w:bCs/>
          <w:snapToGrid w:val="0"/>
          <w:color w:val="auto"/>
          <w:kern w:val="0"/>
          <w:sz w:val="24"/>
          <w:szCs w:val="24"/>
          <w:highlight w:val="none"/>
          <w:lang w:val="en-US" w:eastAsia="zh-CN" w:bidi="ar"/>
        </w:rPr>
      </w:pPr>
      <w:r>
        <w:rPr>
          <w:rFonts w:hint="eastAsia" w:asciiTheme="minorEastAsia" w:hAnsiTheme="minorEastAsia" w:eastAsiaTheme="minorEastAsia" w:cstheme="minorEastAsia"/>
          <w:b/>
          <w:bCs/>
          <w:snapToGrid w:val="0"/>
          <w:color w:val="auto"/>
          <w:kern w:val="0"/>
          <w:sz w:val="24"/>
          <w:szCs w:val="24"/>
          <w:highlight w:val="none"/>
          <w:lang w:val="en-US" w:eastAsia="zh-CN" w:bidi="ar"/>
        </w:rPr>
        <w:t>（二）人员准入硬性规范</w:t>
      </w:r>
    </w:p>
    <w:p w14:paraId="2B13446F">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1.</w:t>
      </w:r>
      <w:r>
        <w:rPr>
          <w:rFonts w:hint="eastAsia" w:asciiTheme="minorEastAsia" w:hAnsiTheme="minorEastAsia" w:eastAsiaTheme="minorEastAsia" w:cstheme="minorEastAsia"/>
          <w:color w:val="auto"/>
          <w:spacing w:val="-6"/>
          <w:sz w:val="24"/>
          <w:szCs w:val="24"/>
          <w:highlight w:val="none"/>
          <w:lang w:val="en-US" w:eastAsia="zh-CN"/>
        </w:rPr>
        <w:t>所有上岗人员必须持有有效健康证；</w:t>
      </w:r>
    </w:p>
    <w:p w14:paraId="7CE70B8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2.</w:t>
      </w:r>
      <w:r>
        <w:rPr>
          <w:rFonts w:hint="eastAsia" w:asciiTheme="minorEastAsia" w:hAnsiTheme="minorEastAsia" w:eastAsiaTheme="minorEastAsia" w:cstheme="minorEastAsia"/>
          <w:color w:val="auto"/>
          <w:spacing w:val="-6"/>
          <w:sz w:val="24"/>
          <w:szCs w:val="24"/>
          <w:highlight w:val="none"/>
          <w:lang w:val="en-US" w:eastAsia="zh-CN"/>
        </w:rPr>
        <w:t>中标人中标后所有人员上岗前须持有效健康证，关键岗位（项目经理、厨师长、行政总厨、厨师）须提供社保缴纳证明通过政治安全审查（含心理健康评估、毒品毛发检测等），费用由中标人承担；</w:t>
      </w:r>
    </w:p>
    <w:p w14:paraId="428CDC22">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3</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患有传染性疾病人员严禁从事食品操作岗位；</w:t>
      </w:r>
    </w:p>
    <w:p w14:paraId="40E68FC4">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4</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从业人员统一落实 “三白四勤”，不得佩戴戒指、耳环、手链，不留长指甲；</w:t>
      </w:r>
    </w:p>
    <w:p w14:paraId="4222C19B">
      <w:pPr>
        <w:pStyle w:val="17"/>
        <w:spacing w:before="1" w:line="360" w:lineRule="auto"/>
        <w:ind w:left="42" w:right="65" w:firstLine="478"/>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5</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中标人须依法与全体员工签订劳动合同，严格遵守《劳动合同法》，自行承担员工社保、工装、年度体检、岗位培训、人身意外伤害保险、福利待遇、伤病相关等全部人力相关费用；所有工作人员相关责任、用工纠纷、人身伤亡事宜均由中标人独立承担，与采购人不存在任何法律关系，食堂场所范围内产生的全部法律责任均由中标人自行承担。</w:t>
      </w:r>
    </w:p>
    <w:p w14:paraId="2AD39985">
      <w:pPr>
        <w:spacing w:line="360" w:lineRule="auto"/>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三、食品安全硬性技术规范</w:t>
      </w:r>
    </w:p>
    <w:p w14:paraId="63F2765A">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w:t>
      </w:r>
      <w:r>
        <w:rPr>
          <w:rFonts w:hint="eastAsia" w:asciiTheme="minorEastAsia" w:hAnsiTheme="minorEastAsia" w:eastAsiaTheme="minorEastAsia" w:cstheme="minorEastAsia"/>
          <w:color w:val="auto"/>
          <w:spacing w:val="-6"/>
          <w:sz w:val="24"/>
          <w:szCs w:val="24"/>
          <w:highlight w:val="none"/>
          <w:lang w:val="en-US" w:eastAsia="zh-CN"/>
        </w:rPr>
        <w:t>供应</w:t>
      </w:r>
      <w:r>
        <w:rPr>
          <w:rFonts w:hint="eastAsia" w:asciiTheme="minorEastAsia" w:hAnsiTheme="minorEastAsia" w:eastAsiaTheme="minorEastAsia" w:cstheme="minorEastAsia"/>
          <w:color w:val="auto"/>
          <w:spacing w:val="-6"/>
          <w:sz w:val="24"/>
          <w:szCs w:val="24"/>
          <w:highlight w:val="none"/>
          <w:lang w:val="en-US" w:eastAsia="zh-CN"/>
        </w:rPr>
        <w:t>商要求</w:t>
      </w:r>
      <w:r>
        <w:rPr>
          <w:rFonts w:hint="eastAsia" w:asciiTheme="minorEastAsia" w:hAnsiTheme="minorEastAsia" w:eastAsiaTheme="minorEastAsia" w:cstheme="minorEastAsia"/>
          <w:color w:val="auto"/>
          <w:spacing w:val="-6"/>
          <w:sz w:val="24"/>
          <w:szCs w:val="24"/>
          <w:highlight w:val="none"/>
          <w:lang w:val="en-US" w:eastAsia="en-US"/>
        </w:rPr>
        <w:t>：合同签订 30 个工作日内、正式开餐前完成《食品经营许可证》办理，足额投保食品安全责任险；全程遵守《食品安全法》《餐饮服务食品安全操作规范》《湖南省党政机</w:t>
      </w:r>
      <w:r>
        <w:rPr>
          <w:rFonts w:hint="eastAsia" w:asciiTheme="minorEastAsia" w:hAnsiTheme="minorEastAsia" w:eastAsiaTheme="minorEastAsia" w:cstheme="minorEastAsia"/>
          <w:color w:val="auto"/>
          <w:spacing w:val="-6"/>
          <w:sz w:val="24"/>
          <w:szCs w:val="24"/>
          <w:highlight w:val="none"/>
          <w:lang w:val="en-US" w:eastAsia="en-US"/>
        </w:rPr>
        <w:t>关和事业单位内部食堂管理办法》。</w:t>
      </w:r>
    </w:p>
    <w:p w14:paraId="19E53B99">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2.管控机制：设立食品安全管理专人，严格执行日管控、周排查、月调度，所有检查台账定期报送甲方备案。</w:t>
      </w:r>
    </w:p>
    <w:p w14:paraId="7CF6B559">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3.食材加工储存标准</w:t>
      </w:r>
    </w:p>
    <w:p w14:paraId="1A8E8AF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（1）</w:t>
      </w:r>
      <w:r>
        <w:rPr>
          <w:rFonts w:hint="eastAsia" w:asciiTheme="minorEastAsia" w:hAnsiTheme="minorEastAsia" w:eastAsiaTheme="minorEastAsia" w:cstheme="minorEastAsia"/>
          <w:color w:val="auto"/>
          <w:spacing w:val="-6"/>
          <w:sz w:val="24"/>
          <w:szCs w:val="24"/>
          <w:highlight w:val="none"/>
          <w:lang w:val="en-US" w:eastAsia="en-US"/>
        </w:rPr>
        <w:t>食材分区存放，米面油隔墙隔地存放，配备防虫防鼠消杀措施；</w:t>
      </w:r>
    </w:p>
    <w:p w14:paraId="05911F01">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（2）</w:t>
      </w:r>
      <w:r>
        <w:rPr>
          <w:rFonts w:hint="eastAsia" w:asciiTheme="minorEastAsia" w:hAnsiTheme="minorEastAsia" w:eastAsiaTheme="minorEastAsia" w:cstheme="minorEastAsia"/>
          <w:color w:val="auto"/>
          <w:spacing w:val="-6"/>
          <w:sz w:val="24"/>
          <w:szCs w:val="24"/>
          <w:highlight w:val="none"/>
          <w:lang w:val="en-US" w:eastAsia="en-US"/>
        </w:rPr>
        <w:t>荤素食材分池清洗、生熟刀具 / 砧板 / 冰箱分区标识，器具严格分开；</w:t>
      </w:r>
    </w:p>
    <w:p w14:paraId="6501E45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（3）</w:t>
      </w:r>
      <w:r>
        <w:rPr>
          <w:rFonts w:hint="eastAsia" w:asciiTheme="minorEastAsia" w:hAnsiTheme="minorEastAsia" w:eastAsiaTheme="minorEastAsia" w:cstheme="minorEastAsia"/>
          <w:color w:val="auto"/>
          <w:spacing w:val="-6"/>
          <w:sz w:val="24"/>
          <w:szCs w:val="24"/>
          <w:highlight w:val="none"/>
          <w:lang w:val="en-US" w:eastAsia="en-US"/>
        </w:rPr>
        <w:t>所有食品烧熟煮透，每餐成品留样 100-200g，留样保存 48 小时并完整登记台账；</w:t>
      </w:r>
    </w:p>
    <w:p w14:paraId="0FEF9C31">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（4）</w:t>
      </w:r>
      <w:r>
        <w:rPr>
          <w:rFonts w:hint="eastAsia" w:asciiTheme="minorEastAsia" w:hAnsiTheme="minorEastAsia" w:eastAsiaTheme="minorEastAsia" w:cstheme="minorEastAsia"/>
          <w:color w:val="auto"/>
          <w:spacing w:val="-6"/>
          <w:sz w:val="24"/>
          <w:szCs w:val="24"/>
          <w:highlight w:val="none"/>
          <w:lang w:val="en-US" w:eastAsia="en-US"/>
        </w:rPr>
        <w:t>所有原材料、调味品在保质期内使用，供应商进货验收台账完整留存；</w:t>
      </w:r>
    </w:p>
    <w:p w14:paraId="559F03F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4</w:t>
      </w:r>
      <w:r>
        <w:rPr>
          <w:rFonts w:hint="eastAsia" w:asciiTheme="minorEastAsia" w:hAnsiTheme="minorEastAsia" w:eastAsiaTheme="minorEastAsia" w:cstheme="minorEastAsia"/>
          <w:color w:val="auto"/>
          <w:spacing w:val="-6"/>
          <w:sz w:val="24"/>
          <w:szCs w:val="24"/>
          <w:highlight w:val="none"/>
          <w:lang w:val="en-US" w:eastAsia="en-US"/>
        </w:rPr>
        <w:t>.消毒管控：餐具、熟食容器标准化消毒，环境、器具采样合格率＞90%；</w:t>
      </w:r>
    </w:p>
    <w:p w14:paraId="1FE8869A">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5</w:t>
      </w:r>
      <w:r>
        <w:rPr>
          <w:rFonts w:hint="eastAsia" w:asciiTheme="minorEastAsia" w:hAnsiTheme="minorEastAsia" w:eastAsiaTheme="minorEastAsia" w:cstheme="minorEastAsia"/>
          <w:color w:val="auto"/>
          <w:spacing w:val="-6"/>
          <w:sz w:val="24"/>
          <w:szCs w:val="24"/>
          <w:highlight w:val="none"/>
          <w:lang w:val="en-US" w:eastAsia="en-US"/>
        </w:rPr>
        <w:t>.事故管控：严禁发生群体性食物中毒；一旦出现食品安全事故，采购人有权一票否决终止合同，中标人承担全部赔偿、法律责任；不得瞒报、迟报、销毁事故证据，第一时间停供、救治人员、保护现场、上报监管部门。</w:t>
      </w:r>
    </w:p>
    <w:p w14:paraId="0BAFC0EF">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6</w:t>
      </w:r>
      <w:r>
        <w:rPr>
          <w:rFonts w:hint="eastAsia" w:asciiTheme="minorEastAsia" w:hAnsiTheme="minorEastAsia" w:eastAsiaTheme="minorEastAsia" w:cstheme="minorEastAsia"/>
          <w:color w:val="auto"/>
          <w:spacing w:val="-6"/>
          <w:sz w:val="24"/>
          <w:szCs w:val="24"/>
          <w:highlight w:val="none"/>
          <w:lang w:val="en-US" w:eastAsia="en-US"/>
        </w:rPr>
        <w:t>.日常巡查：按《食堂卫生安全巡查表》每日全覆盖检查，含许可证、供应商资质、仓库台账、后厨环境卫生、消毒留样、从业人员健康、临期变质食材、生熟分区等，发现问题限期整改并留存整改记录。</w:t>
      </w:r>
    </w:p>
    <w:p w14:paraId="7259A597">
      <w:pPr>
        <w:spacing w:line="360" w:lineRule="auto"/>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rPr>
        <w:t>四、环境卫生、设备、安全生产技术要求</w:t>
      </w:r>
    </w:p>
    <w:p w14:paraId="272A2660">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1</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全域保洁：专人负责厨房、餐厅、包厢、仓库、食堂外围区域日常清洁，环境卫生达到国家、湖南省食堂卫生标准；餐后餐桌及时清理，垃圾、潲水完整登记台账。</w:t>
      </w:r>
    </w:p>
    <w:p w14:paraId="3B195E9A">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2</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设备管理：甲方移交前完成清产核资，按清单交付厨房设备、餐具；中标人负责日常维护保养，合同到期完好归还（正常损耗除外）；违规操作造成设备损毁由中标人全额赔偿。</w:t>
      </w:r>
    </w:p>
    <w:p w14:paraId="4C231DED">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3</w:t>
      </w:r>
      <w:r>
        <w:rPr>
          <w:rFonts w:hint="eastAsia" w:asciiTheme="minorEastAsia" w:hAnsiTheme="minorEastAsia" w:eastAsiaTheme="minorEastAsia" w:cstheme="minorEastAsia"/>
          <w:color w:val="auto"/>
          <w:spacing w:val="-6"/>
          <w:sz w:val="24"/>
          <w:szCs w:val="24"/>
          <w:highlight w:val="none"/>
          <w:lang w:val="en-US" w:eastAsia="en-US"/>
        </w:rPr>
        <w:t>.</w:t>
      </w:r>
      <w:r>
        <w:rPr>
          <w:rFonts w:hint="eastAsia" w:asciiTheme="minorEastAsia" w:hAnsiTheme="minorEastAsia" w:eastAsiaTheme="minorEastAsia" w:cstheme="minorEastAsia"/>
          <w:color w:val="auto"/>
          <w:spacing w:val="-6"/>
          <w:sz w:val="24"/>
          <w:szCs w:val="24"/>
          <w:highlight w:val="none"/>
          <w:lang w:val="en-US" w:eastAsia="zh-CN"/>
        </w:rPr>
        <w:t>安全生产管理</w:t>
      </w:r>
    </w:p>
    <w:p w14:paraId="510B5AD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（1）制定防火、防盗、水电燃气、食品机械安全操作规程，专人负责安全管理；</w:t>
      </w:r>
    </w:p>
    <w:p w14:paraId="296527C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zh-CN"/>
        </w:rPr>
        <w:t>（2）建立食物中毒、火灾等突发事件专项应急预案，定期组织培训演练；</w:t>
      </w:r>
    </w:p>
    <w:p w14:paraId="1FDC548A">
      <w:pPr>
        <w:pStyle w:val="17"/>
        <w:spacing w:before="1" w:line="360" w:lineRule="auto"/>
        <w:ind w:left="42" w:right="65" w:firstLine="478"/>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（3）因中标人操作不当引发火灾、人员受伤、就餐人员中毒等所有安全事故，全部损失、赔偿、法律责任由中标人承担。</w:t>
      </w:r>
    </w:p>
    <w:p w14:paraId="74219CA9">
      <w:pPr>
        <w:spacing w:line="360" w:lineRule="auto"/>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五、内部管理制度建设要求（全套制度报甲方备案）</w:t>
      </w:r>
    </w:p>
    <w:p w14:paraId="7C024D7A">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1.</w:t>
      </w:r>
      <w:r>
        <w:rPr>
          <w:rFonts w:hint="eastAsia" w:asciiTheme="minorEastAsia" w:hAnsiTheme="minorEastAsia" w:eastAsiaTheme="minorEastAsia" w:cstheme="minorEastAsia"/>
          <w:color w:val="auto"/>
          <w:spacing w:val="-6"/>
          <w:sz w:val="24"/>
          <w:szCs w:val="24"/>
          <w:highlight w:val="none"/>
          <w:lang w:val="en-US" w:eastAsia="zh-CN"/>
        </w:rPr>
        <w:t>人事用工、岗位培训管理制度；</w:t>
      </w:r>
    </w:p>
    <w:p w14:paraId="53705E82">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2.</w:t>
      </w:r>
      <w:r>
        <w:rPr>
          <w:rFonts w:hint="eastAsia" w:asciiTheme="minorEastAsia" w:hAnsiTheme="minorEastAsia" w:eastAsiaTheme="minorEastAsia" w:cstheme="minorEastAsia"/>
          <w:color w:val="auto"/>
          <w:spacing w:val="-6"/>
          <w:sz w:val="24"/>
          <w:szCs w:val="24"/>
          <w:highlight w:val="none"/>
          <w:lang w:val="en-US" w:eastAsia="zh-CN"/>
        </w:rPr>
        <w:t>全岗位标准化操作规范；</w:t>
      </w:r>
    </w:p>
    <w:p w14:paraId="7F8BD71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3.</w:t>
      </w:r>
      <w:r>
        <w:rPr>
          <w:rFonts w:hint="eastAsia" w:asciiTheme="minorEastAsia" w:hAnsiTheme="minorEastAsia" w:eastAsiaTheme="minorEastAsia" w:cstheme="minorEastAsia"/>
          <w:color w:val="auto"/>
          <w:spacing w:val="-6"/>
          <w:sz w:val="24"/>
          <w:szCs w:val="24"/>
          <w:highlight w:val="none"/>
          <w:lang w:val="en-US" w:eastAsia="zh-CN"/>
        </w:rPr>
        <w:t>食材采购、入库储存、加工管控制度；</w:t>
      </w:r>
    </w:p>
    <w:p w14:paraId="51FF35B5">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4.</w:t>
      </w:r>
      <w:r>
        <w:rPr>
          <w:rFonts w:hint="eastAsia" w:asciiTheme="minorEastAsia" w:hAnsiTheme="minorEastAsia" w:eastAsiaTheme="minorEastAsia" w:cstheme="minorEastAsia"/>
          <w:color w:val="auto"/>
          <w:spacing w:val="-6"/>
          <w:sz w:val="24"/>
          <w:szCs w:val="24"/>
          <w:highlight w:val="none"/>
          <w:lang w:val="en-US" w:eastAsia="zh-CN"/>
        </w:rPr>
        <w:t>环境卫生、餐具消毒管理制度；</w:t>
      </w:r>
    </w:p>
    <w:p w14:paraId="4A3009F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5.</w:t>
      </w:r>
      <w:r>
        <w:rPr>
          <w:rFonts w:hint="eastAsia" w:asciiTheme="minorEastAsia" w:hAnsiTheme="minorEastAsia" w:eastAsiaTheme="minorEastAsia" w:cstheme="minorEastAsia"/>
          <w:color w:val="auto"/>
          <w:spacing w:val="-6"/>
          <w:sz w:val="24"/>
          <w:szCs w:val="24"/>
          <w:highlight w:val="none"/>
          <w:lang w:val="en-US" w:eastAsia="zh-CN"/>
        </w:rPr>
        <w:t>食品安全突发事件应急处置预案、消防安全管理制度；</w:t>
      </w:r>
    </w:p>
    <w:p w14:paraId="09844BA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6.</w:t>
      </w:r>
      <w:r>
        <w:rPr>
          <w:rFonts w:hint="eastAsia" w:asciiTheme="minorEastAsia" w:hAnsiTheme="minorEastAsia" w:eastAsiaTheme="minorEastAsia" w:cstheme="minorEastAsia"/>
          <w:color w:val="auto"/>
          <w:spacing w:val="-6"/>
          <w:sz w:val="24"/>
          <w:szCs w:val="24"/>
          <w:highlight w:val="none"/>
          <w:lang w:val="en-US" w:eastAsia="zh-CN"/>
        </w:rPr>
        <w:t>文明服务规范、民主意见收集管理制度；</w:t>
      </w:r>
    </w:p>
    <w:p w14:paraId="1B771A8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zh-CN"/>
        </w:rPr>
      </w:pPr>
      <w:r>
        <w:rPr>
          <w:rFonts w:hint="eastAsia" w:asciiTheme="minorEastAsia" w:hAnsiTheme="minorEastAsia" w:eastAsiaTheme="minorEastAsia" w:cstheme="minorEastAsia"/>
          <w:color w:val="auto"/>
          <w:spacing w:val="-6"/>
          <w:sz w:val="24"/>
          <w:szCs w:val="24"/>
          <w:highlight w:val="none"/>
          <w:lang w:val="en-US" w:eastAsia="en-US"/>
        </w:rPr>
        <w:t>7.</w:t>
      </w:r>
      <w:r>
        <w:rPr>
          <w:rFonts w:hint="eastAsia" w:asciiTheme="minorEastAsia" w:hAnsiTheme="minorEastAsia" w:eastAsiaTheme="minorEastAsia" w:cstheme="minorEastAsia"/>
          <w:color w:val="auto"/>
          <w:spacing w:val="-6"/>
          <w:sz w:val="24"/>
          <w:szCs w:val="24"/>
          <w:highlight w:val="none"/>
          <w:lang w:val="en-US" w:eastAsia="zh-CN"/>
        </w:rPr>
        <w:t>岗位责任追究制度。</w:t>
      </w:r>
    </w:p>
    <w:p w14:paraId="144082DB">
      <w:pPr>
        <w:pStyle w:val="17"/>
        <w:spacing w:before="1" w:line="360" w:lineRule="auto"/>
        <w:ind w:right="65"/>
        <w:rPr>
          <w:rFonts w:hint="eastAsia" w:asciiTheme="minorEastAsia" w:hAnsiTheme="minorEastAsia" w:eastAsiaTheme="minorEastAsia" w:cstheme="minorEastAsia"/>
          <w:snapToGrid w:val="0"/>
          <w:color w:val="auto"/>
          <w:spacing w:val="-2"/>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2"/>
          <w:kern w:val="0"/>
          <w:sz w:val="24"/>
          <w:szCs w:val="24"/>
          <w:highlight w:val="none"/>
          <w:lang w:val="en-US" w:eastAsia="en-US" w:bidi="ar-SA"/>
        </w:rPr>
        <w:t>六、服务质量管控标准</w:t>
      </w:r>
    </w:p>
    <w:p w14:paraId="70AD0505">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1.菜品分批制作，持续保障热菜热汤足量供应；节假日、临时加班安排专人值班供餐；</w:t>
      </w:r>
    </w:p>
    <w:p w14:paraId="09186B2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2.建立意见快速响应机制，职工投诉及时处置反馈；</w:t>
      </w:r>
    </w:p>
    <w:p w14:paraId="51075849">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3.每月开展职工不记名满意度测评，测评维度包含环境卫生、菜品质量、服务态度、综合管理四大板块；</w:t>
      </w:r>
    </w:p>
    <w:p w14:paraId="7DD40BF4">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4.厉行节约管控：以食堂收支持平为基准，月度核算节约 / 浪费比例，按约定标准奖惩。</w:t>
      </w:r>
    </w:p>
    <w:p w14:paraId="1C1C32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b w:val="0"/>
          <w:bCs w:val="0"/>
          <w:snapToGrid w:val="0"/>
          <w:color w:val="auto"/>
          <w:spacing w:val="-2"/>
          <w:kern w:val="0"/>
          <w:sz w:val="24"/>
          <w:szCs w:val="24"/>
          <w:highlight w:val="none"/>
          <w:lang w:val="en-US" w:eastAsia="en-US" w:bidi="ar-SA"/>
        </w:rPr>
      </w:pPr>
      <w:r>
        <w:rPr>
          <w:rFonts w:hint="eastAsia" w:asciiTheme="minorEastAsia" w:hAnsiTheme="minorEastAsia" w:eastAsiaTheme="minorEastAsia" w:cstheme="minorEastAsia"/>
          <w:b w:val="0"/>
          <w:bCs w:val="0"/>
          <w:snapToGrid w:val="0"/>
          <w:color w:val="auto"/>
          <w:spacing w:val="-2"/>
          <w:kern w:val="0"/>
          <w:sz w:val="24"/>
          <w:szCs w:val="24"/>
          <w:highlight w:val="none"/>
          <w:lang w:val="en-US" w:eastAsia="zh-CN" w:bidi="ar-SA"/>
        </w:rPr>
        <w:t>七</w:t>
      </w:r>
      <w:r>
        <w:rPr>
          <w:rFonts w:hint="eastAsia" w:asciiTheme="minorEastAsia" w:hAnsiTheme="minorEastAsia" w:eastAsiaTheme="minorEastAsia" w:cstheme="minorEastAsia"/>
          <w:b w:val="0"/>
          <w:bCs w:val="0"/>
          <w:snapToGrid w:val="0"/>
          <w:color w:val="auto"/>
          <w:spacing w:val="-2"/>
          <w:kern w:val="0"/>
          <w:sz w:val="24"/>
          <w:szCs w:val="24"/>
          <w:highlight w:val="none"/>
          <w:lang w:val="en-US" w:eastAsia="en-US" w:bidi="ar-SA"/>
        </w:rPr>
        <w:t>、禁止性技术条款</w:t>
      </w:r>
    </w:p>
    <w:p w14:paraId="4077528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★1.严禁将食堂场地、劳务服务转包、分包、挂靠第三方，一经查实甲方立即终止合同；</w:t>
      </w:r>
    </w:p>
    <w:p w14:paraId="5987BF06">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★2.不得擅自缩减人员编制、降低岗位资质标准，所有人员调整、新进团队服务人员均须经采购人书面审核同意后方可上岗。</w:t>
      </w:r>
    </w:p>
    <w:p w14:paraId="2C0B292A">
      <w:pPr>
        <w:spacing w:line="360" w:lineRule="auto"/>
        <w:rPr>
          <w:rFonts w:hint="eastAsia" w:asciiTheme="minorEastAsia" w:hAnsiTheme="minorEastAsia" w:eastAsiaTheme="minorEastAsia" w:cstheme="minorEastAsia"/>
          <w:snapToGrid w:val="0"/>
          <w:color w:val="auto"/>
          <w:spacing w:val="-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sz w:val="24"/>
          <w:szCs w:val="24"/>
          <w:highlight w:val="none"/>
          <w:lang w:val="en-US" w:eastAsia="zh-CN" w:bidi="ar-SA"/>
        </w:rPr>
        <w:t>八</w:t>
      </w:r>
      <w:r>
        <w:rPr>
          <w:rFonts w:hint="eastAsia" w:asciiTheme="minorEastAsia" w:hAnsiTheme="minorEastAsia" w:eastAsiaTheme="minorEastAsia" w:cstheme="minorEastAsia"/>
          <w:snapToGrid w:val="0"/>
          <w:color w:val="auto"/>
          <w:spacing w:val="-2"/>
          <w:kern w:val="0"/>
          <w:sz w:val="24"/>
          <w:szCs w:val="24"/>
          <w:highlight w:val="none"/>
          <w:lang w:val="en-US" w:eastAsia="en-US" w:bidi="ar-SA"/>
        </w:rPr>
        <w:t>、履约考核细则</w:t>
      </w:r>
    </w:p>
    <w:p w14:paraId="19638EB2">
      <w:pPr>
        <w:kinsoku w:val="0"/>
        <w:autoSpaceDE w:val="0"/>
        <w:autoSpaceDN w:val="0"/>
        <w:adjustRightInd w:val="0"/>
        <w:snapToGrid w:val="0"/>
        <w:spacing w:before="122" w:line="360" w:lineRule="auto"/>
        <w:jc w:val="left"/>
        <w:textAlignment w:val="baseline"/>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b/>
          <w:bCs/>
          <w:snapToGrid w:val="0"/>
          <w:color w:val="auto"/>
          <w:spacing w:val="-14"/>
          <w:kern w:val="0"/>
          <w:sz w:val="24"/>
          <w:szCs w:val="24"/>
          <w:highlight w:val="none"/>
          <w:lang w:val="en-US" w:eastAsia="en-US" w:bidi="ar-SA"/>
        </w:rPr>
        <w:t>分值分级标准：</w:t>
      </w:r>
    </w:p>
    <w:p w14:paraId="09037274">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w:t>
      </w:r>
      <w:r>
        <w:rPr>
          <w:rFonts w:hint="eastAsia" w:asciiTheme="minorEastAsia" w:hAnsiTheme="minorEastAsia" w:eastAsiaTheme="minorEastAsia" w:cstheme="minorEastAsia"/>
          <w:color w:val="auto"/>
          <w:spacing w:val="-6"/>
          <w:sz w:val="24"/>
          <w:szCs w:val="24"/>
          <w:highlight w:val="none"/>
          <w:lang w:val="en-US" w:eastAsia="zh-CN"/>
        </w:rPr>
        <w:t>.</w:t>
      </w:r>
      <w:r>
        <w:rPr>
          <w:rFonts w:hint="eastAsia" w:asciiTheme="minorEastAsia" w:hAnsiTheme="minorEastAsia" w:eastAsiaTheme="minorEastAsia" w:cstheme="minorEastAsia"/>
          <w:color w:val="auto"/>
          <w:spacing w:val="-6"/>
          <w:sz w:val="24"/>
          <w:szCs w:val="24"/>
          <w:highlight w:val="none"/>
          <w:lang w:val="en-US" w:eastAsia="en-US"/>
        </w:rPr>
        <w:t xml:space="preserve"> 食堂开支收入以持平为基数，以月度为单位，每节约或浪费 1%，即按节约或浪费部分的 10%奖励或处罚；每节约或浪费&gt;1%≤3%，即按节约或浪费部分的20%奖励或处罚；浪费&gt;3%按实际浪费金额处罚，奖罚资金按月度考核，按季度结算。</w:t>
      </w:r>
    </w:p>
    <w:p w14:paraId="693A53B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2.</w:t>
      </w:r>
      <w:r>
        <w:rPr>
          <w:rFonts w:hint="eastAsia" w:asciiTheme="minorEastAsia" w:hAnsiTheme="minorEastAsia" w:eastAsiaTheme="minorEastAsia" w:cstheme="minorEastAsia"/>
          <w:color w:val="auto"/>
          <w:spacing w:val="-6"/>
          <w:sz w:val="24"/>
          <w:szCs w:val="24"/>
          <w:highlight w:val="none"/>
          <w:lang w:val="en-US" w:eastAsia="en-US"/>
        </w:rPr>
        <w:t>基本酬劳与绩效考核挂钩，按月考核，按月支付：如乙方达到优秀等级，甲方应向乙方支付合同价的 100%，良好等级为 98%，合格等级 96%，不合格 90%（连续 2个月考核不合格，即 90 分以下，甲方有权立即解除合同,乙方需在投标文件里对该项作出承诺）。98 分以上为优秀，95 分以上（含 95 分）为良好，90 分以上(含 90 分)为合格，90 分以下为不合格。考核分别由市委机关服务中心及市政府机关服务中心负责，其他单位代表参加。</w:t>
      </w:r>
    </w:p>
    <w:p w14:paraId="13455F52">
      <w:pPr>
        <w:spacing w:line="360" w:lineRule="auto"/>
        <w:rPr>
          <w:rFonts w:ascii="Arial"/>
          <w:color w:val="auto"/>
          <w:sz w:val="21"/>
          <w:highlight w:val="none"/>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3</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.考核表：参照下表</w:t>
      </w:r>
      <w:r>
        <w:rPr>
          <w:rFonts w:hint="eastAsia" w:asciiTheme="minorEastAsia" w:hAnsiTheme="minorEastAsia" w:eastAsiaTheme="minorEastAsia" w:cstheme="minorEastAsia"/>
          <w:snapToGrid w:val="0"/>
          <w:color w:val="auto"/>
          <w:kern w:val="0"/>
          <w:sz w:val="24"/>
          <w:szCs w:val="24"/>
          <w:highlight w:val="none"/>
          <w:lang w:val="en-US" w:eastAsia="en-US" w:bidi="ar-SA"/>
        </w:rPr>
        <w:t>（具体考核评分细则由甲乙双方在正式服务合同中另行约定）</w:t>
      </w:r>
    </w:p>
    <w:p w14:paraId="15A77562">
      <w:pPr>
        <w:spacing w:before="167" w:line="197" w:lineRule="auto"/>
        <w:ind w:left="2456"/>
        <w:rPr>
          <w:rFonts w:ascii="微软雅黑" w:hAnsi="微软雅黑" w:eastAsia="微软雅黑" w:cs="微软雅黑"/>
          <w:color w:val="auto"/>
          <w:sz w:val="39"/>
          <w:szCs w:val="39"/>
          <w:highlight w:val="none"/>
        </w:rPr>
      </w:pPr>
      <w:r>
        <w:rPr>
          <w:rFonts w:ascii="微软雅黑" w:hAnsi="微软雅黑" w:eastAsia="微软雅黑" w:cs="微软雅黑"/>
          <w:color w:val="auto"/>
          <w:spacing w:val="8"/>
          <w:sz w:val="39"/>
          <w:szCs w:val="39"/>
          <w:highlight w:val="none"/>
        </w:rPr>
        <w:t>职工食堂满意度评分表</w:t>
      </w:r>
    </w:p>
    <w:p w14:paraId="4458898C">
      <w:pPr>
        <w:kinsoku w:val="0"/>
        <w:autoSpaceDE w:val="0"/>
        <w:autoSpaceDN w:val="0"/>
        <w:adjustRightInd w:val="0"/>
        <w:snapToGrid w:val="0"/>
        <w:spacing w:before="91" w:line="202" w:lineRule="auto"/>
        <w:jc w:val="righ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（实施过程中可能对此表作相应调整）          年  月</w:t>
      </w:r>
      <w:r>
        <w:rPr>
          <w:rFonts w:ascii="宋体" w:hAnsi="宋体" w:eastAsia="宋体" w:cs="宋体"/>
          <w:snapToGrid w:val="0"/>
          <w:color w:val="auto"/>
          <w:spacing w:val="26"/>
          <w:kern w:val="0"/>
          <w:sz w:val="21"/>
          <w:szCs w:val="21"/>
          <w:highlight w:val="none"/>
          <w:lang w:val="en-US" w:eastAsia="en-US" w:bidi="ar-SA"/>
        </w:rPr>
        <w:t xml:space="preserve">  </w:t>
      </w:r>
      <w:r>
        <w:rPr>
          <w:rFonts w:ascii="宋体" w:hAnsi="宋体" w:eastAsia="宋体" w:cs="宋体"/>
          <w:snapToGrid w:val="0"/>
          <w:color w:val="auto"/>
          <w:spacing w:val="-2"/>
          <w:kern w:val="0"/>
          <w:sz w:val="21"/>
          <w:szCs w:val="21"/>
          <w:highlight w:val="none"/>
          <w:lang w:val="en-US" w:eastAsia="en-US" w:bidi="ar-SA"/>
        </w:rPr>
        <w:t>日</w:t>
      </w:r>
    </w:p>
    <w:tbl>
      <w:tblPr>
        <w:tblStyle w:val="127"/>
        <w:tblW w:w="868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1"/>
        <w:gridCol w:w="4223"/>
        <w:gridCol w:w="440"/>
        <w:gridCol w:w="517"/>
        <w:gridCol w:w="502"/>
        <w:gridCol w:w="470"/>
        <w:gridCol w:w="536"/>
        <w:gridCol w:w="1556"/>
      </w:tblGrid>
      <w:tr w14:paraId="285D3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8685" w:type="dxa"/>
            <w:gridSpan w:val="8"/>
            <w:tcBorders>
              <w:top w:val="single" w:color="000000" w:sz="10" w:space="0"/>
              <w:left w:val="single" w:color="000000" w:sz="10" w:space="0"/>
              <w:right w:val="single" w:color="000000" w:sz="10" w:space="0"/>
            </w:tcBorders>
            <w:vAlign w:val="top"/>
          </w:tcPr>
          <w:p w14:paraId="332406E0">
            <w:pPr>
              <w:kinsoku w:val="0"/>
              <w:autoSpaceDE w:val="0"/>
              <w:autoSpaceDN w:val="0"/>
              <w:adjustRightInd w:val="0"/>
              <w:snapToGrid w:val="0"/>
              <w:spacing w:before="163" w:line="211" w:lineRule="auto"/>
              <w:ind w:left="10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5"/>
                <w:kern w:val="0"/>
                <w:sz w:val="21"/>
                <w:szCs w:val="21"/>
                <w:highlight w:val="none"/>
                <w:lang w:val="en-US" w:eastAsia="en-US" w:bidi="ar-SA"/>
              </w:rPr>
              <w:t>各位干部职工：</w:t>
            </w:r>
          </w:p>
          <w:p w14:paraId="7A3D7102">
            <w:pPr>
              <w:kinsoku w:val="0"/>
              <w:autoSpaceDE w:val="0"/>
              <w:autoSpaceDN w:val="0"/>
              <w:adjustRightInd w:val="0"/>
              <w:snapToGrid w:val="0"/>
              <w:spacing w:before="1" w:line="215" w:lineRule="auto"/>
              <w:ind w:left="103" w:right="20" w:firstLine="45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您好！为了完善食堂管理，持续提高服务质量，让大家更加精神</w:t>
            </w:r>
            <w:r>
              <w:rPr>
                <w:rFonts w:ascii="宋体" w:hAnsi="宋体" w:eastAsia="宋体" w:cs="宋体"/>
                <w:snapToGrid w:val="0"/>
                <w:color w:val="auto"/>
                <w:spacing w:val="-1"/>
                <w:kern w:val="0"/>
                <w:sz w:val="21"/>
                <w:szCs w:val="21"/>
                <w:highlight w:val="none"/>
                <w:lang w:val="en-US" w:eastAsia="en-US" w:bidi="ar-SA"/>
              </w:rPr>
              <w:t>饱满地做好工作，特发</w:t>
            </w:r>
            <w:r>
              <w:rPr>
                <w:rFonts w:ascii="宋体" w:hAnsi="宋体" w:eastAsia="宋体" w:cs="宋体"/>
                <w:snapToGrid w:val="0"/>
                <w:color w:val="auto"/>
                <w:spacing w:val="-2"/>
                <w:kern w:val="0"/>
                <w:sz w:val="21"/>
                <w:szCs w:val="21"/>
                <w:highlight w:val="none"/>
                <w:lang w:val="en-US" w:eastAsia="en-US" w:bidi="ar-SA"/>
              </w:rPr>
              <w:t>放此表，此表为不记名打分表，希望大家从实际出发，积极配合，认真、详实的填写，谢谢！</w:t>
            </w:r>
          </w:p>
        </w:tc>
      </w:tr>
      <w:tr w14:paraId="3C282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441" w:type="dxa"/>
            <w:vMerge w:val="restart"/>
            <w:tcBorders>
              <w:left w:val="single" w:color="000000" w:sz="10" w:space="0"/>
              <w:bottom w:val="nil"/>
            </w:tcBorders>
            <w:textDirection w:val="tbRlV"/>
            <w:vAlign w:val="top"/>
          </w:tcPr>
          <w:p w14:paraId="58EF3D10">
            <w:pPr>
              <w:kinsoku w:val="0"/>
              <w:autoSpaceDE w:val="0"/>
              <w:autoSpaceDN w:val="0"/>
              <w:adjustRightInd w:val="0"/>
              <w:snapToGrid w:val="0"/>
              <w:spacing w:before="119" w:line="202" w:lineRule="auto"/>
              <w:ind w:left="26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2"/>
                <w:kern w:val="0"/>
                <w:sz w:val="21"/>
                <w:szCs w:val="21"/>
                <w:highlight w:val="none"/>
                <w:lang w:val="en-US" w:eastAsia="en-US" w:bidi="ar-SA"/>
              </w:rPr>
              <w:t>评分项</w:t>
            </w:r>
            <w:r>
              <w:rPr>
                <w:rFonts w:ascii="宋体" w:hAnsi="宋体" w:eastAsia="宋体" w:cs="宋体"/>
                <w:snapToGrid w:val="0"/>
                <w:color w:val="auto"/>
                <w:spacing w:val="22"/>
                <w:kern w:val="0"/>
                <w:position w:val="1"/>
                <w:sz w:val="21"/>
                <w:szCs w:val="21"/>
                <w:highlight w:val="none"/>
                <w:lang w:val="en-US" w:eastAsia="en-US" w:bidi="ar-SA"/>
              </w:rPr>
              <w:t>目</w:t>
            </w:r>
          </w:p>
        </w:tc>
        <w:tc>
          <w:tcPr>
            <w:tcW w:w="4223" w:type="dxa"/>
            <w:vAlign w:val="top"/>
          </w:tcPr>
          <w:p w14:paraId="375E3EE2">
            <w:pPr>
              <w:spacing w:line="257" w:lineRule="auto"/>
              <w:rPr>
                <w:rFonts w:ascii="Arial"/>
                <w:color w:val="auto"/>
                <w:sz w:val="21"/>
                <w:highlight w:val="none"/>
              </w:rPr>
            </w:pPr>
          </w:p>
          <w:p w14:paraId="39E93EF7">
            <w:pPr>
              <w:kinsoku w:val="0"/>
              <w:autoSpaceDE w:val="0"/>
              <w:autoSpaceDN w:val="0"/>
              <w:adjustRightInd w:val="0"/>
              <w:snapToGrid w:val="0"/>
              <w:spacing w:before="90" w:line="197" w:lineRule="auto"/>
              <w:ind w:left="799"/>
              <w:jc w:val="left"/>
              <w:textAlignment w:val="baseline"/>
              <w:rPr>
                <w:rFonts w:ascii="微软雅黑" w:hAnsi="微软雅黑" w:eastAsia="微软雅黑" w:cs="微软雅黑"/>
                <w:snapToGrid w:val="0"/>
                <w:color w:val="auto"/>
                <w:kern w:val="0"/>
                <w:sz w:val="21"/>
                <w:szCs w:val="21"/>
                <w:highlight w:val="none"/>
                <w:lang w:val="en-US" w:eastAsia="en-US" w:bidi="ar-SA"/>
              </w:rPr>
            </w:pPr>
            <w:r>
              <w:rPr>
                <w:rFonts w:ascii="宋体" w:hAnsi="宋体" w:eastAsia="宋体" w:cs="宋体"/>
                <w:snapToGrid w:val="0"/>
                <w:color w:val="auto"/>
                <w:spacing w:val="-11"/>
                <w:kern w:val="0"/>
                <w:sz w:val="21"/>
                <w:szCs w:val="21"/>
                <w:highlight w:val="none"/>
                <w:lang w:val="en-US" w:eastAsia="en-US" w:bidi="ar-SA"/>
              </w:rPr>
              <w:t>对下述问题，请在框内打</w:t>
            </w:r>
            <w:r>
              <w:rPr>
                <w:rFonts w:ascii="微软雅黑" w:hAnsi="微软雅黑" w:eastAsia="微软雅黑" w:cs="微软雅黑"/>
                <w:snapToGrid w:val="0"/>
                <w:color w:val="auto"/>
                <w:spacing w:val="-11"/>
                <w:kern w:val="0"/>
                <w:sz w:val="21"/>
                <w:szCs w:val="21"/>
                <w:highlight w:val="none"/>
                <w:lang w:val="en-US" w:eastAsia="en-US" w:bidi="ar-SA"/>
              </w:rPr>
              <w:t>“√力</w:t>
            </w:r>
          </w:p>
        </w:tc>
        <w:tc>
          <w:tcPr>
            <w:tcW w:w="440" w:type="dxa"/>
            <w:vAlign w:val="top"/>
          </w:tcPr>
          <w:p w14:paraId="1A67CFAD">
            <w:pPr>
              <w:kinsoku w:val="0"/>
              <w:autoSpaceDE w:val="0"/>
              <w:autoSpaceDN w:val="0"/>
              <w:adjustRightInd w:val="0"/>
              <w:snapToGrid w:val="0"/>
              <w:spacing w:before="242" w:line="220" w:lineRule="auto"/>
              <w:ind w:left="121" w:right="115" w:hanging="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8"/>
                <w:kern w:val="0"/>
                <w:sz w:val="21"/>
                <w:szCs w:val="21"/>
                <w:highlight w:val="none"/>
                <w:lang w:val="en-US" w:eastAsia="en-US" w:bidi="ar-SA"/>
              </w:rPr>
              <w:t>满</w:t>
            </w:r>
            <w:r>
              <w:rPr>
                <w:rFonts w:ascii="宋体" w:hAnsi="宋体" w:eastAsia="宋体" w:cs="宋体"/>
                <w:snapToGrid w:val="0"/>
                <w:color w:val="auto"/>
                <w:spacing w:val="-13"/>
                <w:kern w:val="0"/>
                <w:sz w:val="21"/>
                <w:szCs w:val="21"/>
                <w:highlight w:val="none"/>
                <w:lang w:val="en-US" w:eastAsia="en-US" w:bidi="ar-SA"/>
              </w:rPr>
              <w:t>意</w:t>
            </w:r>
          </w:p>
        </w:tc>
        <w:tc>
          <w:tcPr>
            <w:tcW w:w="517" w:type="dxa"/>
            <w:textDirection w:val="tbRlV"/>
            <w:vAlign w:val="top"/>
          </w:tcPr>
          <w:p w14:paraId="35AEC403">
            <w:pPr>
              <w:kinsoku w:val="0"/>
              <w:autoSpaceDE w:val="0"/>
              <w:autoSpaceDN w:val="0"/>
              <w:adjustRightInd w:val="0"/>
              <w:snapToGrid w:val="0"/>
              <w:spacing w:before="147" w:line="209" w:lineRule="auto"/>
              <w:ind w:left="12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0"/>
                <w:kern w:val="0"/>
                <w:sz w:val="21"/>
                <w:szCs w:val="21"/>
                <w:highlight w:val="none"/>
                <w:lang w:val="en-US" w:eastAsia="en-US" w:bidi="ar-SA"/>
              </w:rPr>
              <w:t>较满意</w:t>
            </w:r>
          </w:p>
        </w:tc>
        <w:tc>
          <w:tcPr>
            <w:tcW w:w="502" w:type="dxa"/>
            <w:vAlign w:val="top"/>
          </w:tcPr>
          <w:p w14:paraId="56778B6B">
            <w:pPr>
              <w:spacing w:line="252" w:lineRule="auto"/>
              <w:rPr>
                <w:rFonts w:ascii="Arial"/>
                <w:color w:val="auto"/>
                <w:sz w:val="21"/>
                <w:highlight w:val="none"/>
              </w:rPr>
            </w:pPr>
          </w:p>
          <w:p w14:paraId="3E2EA9CE">
            <w:pPr>
              <w:kinsoku w:val="0"/>
              <w:autoSpaceDE w:val="0"/>
              <w:autoSpaceDN w:val="0"/>
              <w:adjustRightInd w:val="0"/>
              <w:snapToGrid w:val="0"/>
              <w:spacing w:before="68" w:line="269" w:lineRule="auto"/>
              <w:ind w:left="152" w:right="140" w:firstLine="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1"/>
                <w:kern w:val="0"/>
                <w:sz w:val="21"/>
                <w:szCs w:val="21"/>
                <w:highlight w:val="none"/>
                <w:lang w:val="en-US" w:eastAsia="en-US" w:bidi="ar-SA"/>
              </w:rPr>
              <w:t>一</w:t>
            </w:r>
            <w:r>
              <w:rPr>
                <w:rFonts w:ascii="宋体" w:hAnsi="宋体" w:eastAsia="宋体" w:cs="宋体"/>
                <w:snapToGrid w:val="0"/>
                <w:color w:val="auto"/>
                <w:spacing w:val="-7"/>
                <w:kern w:val="0"/>
                <w:sz w:val="21"/>
                <w:szCs w:val="21"/>
                <w:highlight w:val="none"/>
                <w:lang w:val="en-US" w:eastAsia="en-US" w:bidi="ar-SA"/>
              </w:rPr>
              <w:t>般</w:t>
            </w:r>
          </w:p>
        </w:tc>
        <w:tc>
          <w:tcPr>
            <w:tcW w:w="470" w:type="dxa"/>
            <w:vAlign w:val="top"/>
          </w:tcPr>
          <w:p w14:paraId="2F2A2C53">
            <w:pPr>
              <w:kinsoku w:val="0"/>
              <w:autoSpaceDE w:val="0"/>
              <w:autoSpaceDN w:val="0"/>
              <w:adjustRightInd w:val="0"/>
              <w:snapToGrid w:val="0"/>
              <w:spacing w:before="242" w:line="216" w:lineRule="auto"/>
              <w:ind w:left="136" w:right="125" w:firstLine="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1"/>
                <w:kern w:val="0"/>
                <w:sz w:val="21"/>
                <w:szCs w:val="21"/>
                <w:highlight w:val="none"/>
                <w:lang w:val="en-US" w:eastAsia="en-US" w:bidi="ar-SA"/>
              </w:rPr>
              <w:t>不</w:t>
            </w:r>
            <w:r>
              <w:rPr>
                <w:rFonts w:ascii="宋体" w:hAnsi="宋体" w:eastAsia="宋体" w:cs="宋体"/>
                <w:snapToGrid w:val="0"/>
                <w:color w:val="auto"/>
                <w:spacing w:val="-8"/>
                <w:kern w:val="0"/>
                <w:sz w:val="21"/>
                <w:szCs w:val="21"/>
                <w:highlight w:val="none"/>
                <w:lang w:val="en-US" w:eastAsia="en-US" w:bidi="ar-SA"/>
              </w:rPr>
              <w:t>好</w:t>
            </w:r>
          </w:p>
        </w:tc>
        <w:tc>
          <w:tcPr>
            <w:tcW w:w="536" w:type="dxa"/>
            <w:vAlign w:val="top"/>
          </w:tcPr>
          <w:p w14:paraId="3FB43C86">
            <w:pPr>
              <w:kinsoku w:val="0"/>
              <w:autoSpaceDE w:val="0"/>
              <w:autoSpaceDN w:val="0"/>
              <w:adjustRightInd w:val="0"/>
              <w:snapToGrid w:val="0"/>
              <w:spacing w:before="244" w:line="219" w:lineRule="auto"/>
              <w:ind w:left="172" w:right="156"/>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9"/>
                <w:kern w:val="0"/>
                <w:sz w:val="21"/>
                <w:szCs w:val="21"/>
                <w:highlight w:val="none"/>
                <w:lang w:val="en-US" w:eastAsia="en-US" w:bidi="ar-SA"/>
              </w:rPr>
              <w:t>很</w:t>
            </w:r>
            <w:r>
              <w:rPr>
                <w:rFonts w:ascii="宋体" w:hAnsi="宋体" w:eastAsia="宋体" w:cs="宋体"/>
                <w:snapToGrid w:val="0"/>
                <w:color w:val="auto"/>
                <w:spacing w:val="-10"/>
                <w:kern w:val="0"/>
                <w:sz w:val="21"/>
                <w:szCs w:val="21"/>
                <w:highlight w:val="none"/>
                <w:lang w:val="en-US" w:eastAsia="en-US" w:bidi="ar-SA"/>
              </w:rPr>
              <w:t>差</w:t>
            </w:r>
          </w:p>
        </w:tc>
        <w:tc>
          <w:tcPr>
            <w:tcW w:w="1556" w:type="dxa"/>
            <w:vMerge w:val="restart"/>
            <w:tcBorders>
              <w:bottom w:val="nil"/>
              <w:right w:val="single" w:color="000000" w:sz="10" w:space="0"/>
            </w:tcBorders>
            <w:vAlign w:val="top"/>
          </w:tcPr>
          <w:p w14:paraId="7E48A77C">
            <w:pPr>
              <w:spacing w:line="278" w:lineRule="auto"/>
              <w:rPr>
                <w:rFonts w:ascii="Arial"/>
                <w:color w:val="auto"/>
                <w:sz w:val="21"/>
                <w:highlight w:val="none"/>
              </w:rPr>
            </w:pPr>
          </w:p>
          <w:p w14:paraId="2AF58AD9">
            <w:pPr>
              <w:spacing w:line="278" w:lineRule="auto"/>
              <w:rPr>
                <w:rFonts w:ascii="Arial"/>
                <w:color w:val="auto"/>
                <w:sz w:val="21"/>
                <w:highlight w:val="none"/>
              </w:rPr>
            </w:pPr>
          </w:p>
          <w:p w14:paraId="580C1095">
            <w:pPr>
              <w:kinsoku w:val="0"/>
              <w:autoSpaceDE w:val="0"/>
              <w:autoSpaceDN w:val="0"/>
              <w:adjustRightInd w:val="0"/>
              <w:snapToGrid w:val="0"/>
              <w:spacing w:before="68" w:line="220" w:lineRule="auto"/>
              <w:ind w:left="15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对应问题简诉</w:t>
            </w:r>
          </w:p>
        </w:tc>
      </w:tr>
      <w:tr w14:paraId="70C46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441" w:type="dxa"/>
            <w:vMerge w:val="continue"/>
            <w:tcBorders>
              <w:top w:val="nil"/>
              <w:left w:val="single" w:color="000000" w:sz="10" w:space="0"/>
            </w:tcBorders>
            <w:textDirection w:val="tbRlV"/>
            <w:vAlign w:val="top"/>
          </w:tcPr>
          <w:p w14:paraId="2C26738F">
            <w:pPr>
              <w:rPr>
                <w:rFonts w:ascii="Arial"/>
                <w:color w:val="auto"/>
                <w:sz w:val="21"/>
                <w:highlight w:val="none"/>
              </w:rPr>
            </w:pPr>
          </w:p>
        </w:tc>
        <w:tc>
          <w:tcPr>
            <w:tcW w:w="4223" w:type="dxa"/>
            <w:vAlign w:val="top"/>
          </w:tcPr>
          <w:p w14:paraId="2F25AC4D">
            <w:pPr>
              <w:kinsoku w:val="0"/>
              <w:autoSpaceDE w:val="0"/>
              <w:autoSpaceDN w:val="0"/>
              <w:adjustRightInd w:val="0"/>
              <w:snapToGrid w:val="0"/>
              <w:spacing w:before="153"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对应每一项的分数</w:t>
            </w:r>
          </w:p>
        </w:tc>
        <w:tc>
          <w:tcPr>
            <w:tcW w:w="440" w:type="dxa"/>
            <w:vAlign w:val="top"/>
          </w:tcPr>
          <w:p w14:paraId="0ECC9754">
            <w:pPr>
              <w:kinsoku w:val="0"/>
              <w:autoSpaceDE w:val="0"/>
              <w:autoSpaceDN w:val="0"/>
              <w:adjustRightInd w:val="0"/>
              <w:snapToGrid w:val="0"/>
              <w:spacing w:before="154" w:line="221" w:lineRule="auto"/>
              <w:ind w:left="11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17" w:type="dxa"/>
            <w:vAlign w:val="top"/>
          </w:tcPr>
          <w:p w14:paraId="6EE5B527">
            <w:pPr>
              <w:kinsoku w:val="0"/>
              <w:autoSpaceDE w:val="0"/>
              <w:autoSpaceDN w:val="0"/>
              <w:adjustRightInd w:val="0"/>
              <w:snapToGrid w:val="0"/>
              <w:spacing w:before="154" w:line="221" w:lineRule="auto"/>
              <w:ind w:left="16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02" w:type="dxa"/>
            <w:vAlign w:val="top"/>
          </w:tcPr>
          <w:p w14:paraId="24054FF6">
            <w:pPr>
              <w:kinsoku w:val="0"/>
              <w:autoSpaceDE w:val="0"/>
              <w:autoSpaceDN w:val="0"/>
              <w:adjustRightInd w:val="0"/>
              <w:snapToGrid w:val="0"/>
              <w:spacing w:before="154" w:line="221" w:lineRule="auto"/>
              <w:ind w:left="156"/>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470" w:type="dxa"/>
            <w:vAlign w:val="top"/>
          </w:tcPr>
          <w:p w14:paraId="721194EC">
            <w:pPr>
              <w:kinsoku w:val="0"/>
              <w:autoSpaceDE w:val="0"/>
              <w:autoSpaceDN w:val="0"/>
              <w:adjustRightInd w:val="0"/>
              <w:snapToGrid w:val="0"/>
              <w:spacing w:before="154" w:line="221" w:lineRule="auto"/>
              <w:ind w:left="13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36" w:type="dxa"/>
            <w:vAlign w:val="top"/>
          </w:tcPr>
          <w:p w14:paraId="1C8C2202">
            <w:pPr>
              <w:kinsoku w:val="0"/>
              <w:autoSpaceDE w:val="0"/>
              <w:autoSpaceDN w:val="0"/>
              <w:adjustRightInd w:val="0"/>
              <w:snapToGrid w:val="0"/>
              <w:spacing w:before="154" w:line="221" w:lineRule="auto"/>
              <w:ind w:left="17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1556" w:type="dxa"/>
            <w:vMerge w:val="continue"/>
            <w:tcBorders>
              <w:top w:val="nil"/>
              <w:right w:val="single" w:color="000000" w:sz="10" w:space="0"/>
            </w:tcBorders>
            <w:vAlign w:val="top"/>
          </w:tcPr>
          <w:p w14:paraId="04E34079">
            <w:pPr>
              <w:rPr>
                <w:rFonts w:ascii="Arial"/>
                <w:color w:val="auto"/>
                <w:sz w:val="21"/>
                <w:highlight w:val="none"/>
              </w:rPr>
            </w:pPr>
          </w:p>
        </w:tc>
      </w:tr>
      <w:tr w14:paraId="4A94C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441" w:type="dxa"/>
            <w:vMerge w:val="restart"/>
            <w:tcBorders>
              <w:left w:val="single" w:color="000000" w:sz="10" w:space="0"/>
              <w:bottom w:val="nil"/>
            </w:tcBorders>
            <w:textDirection w:val="tbRlV"/>
            <w:vAlign w:val="top"/>
          </w:tcPr>
          <w:p w14:paraId="145D11F0">
            <w:pPr>
              <w:kinsoku w:val="0"/>
              <w:autoSpaceDE w:val="0"/>
              <w:autoSpaceDN w:val="0"/>
              <w:adjustRightInd w:val="0"/>
              <w:snapToGrid w:val="0"/>
              <w:spacing w:before="119" w:line="209" w:lineRule="auto"/>
              <w:ind w:left="26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2"/>
                <w:kern w:val="0"/>
                <w:sz w:val="21"/>
                <w:szCs w:val="21"/>
                <w:highlight w:val="none"/>
                <w:lang w:val="en-US" w:eastAsia="en-US" w:bidi="ar-SA"/>
              </w:rPr>
              <w:t>卫生状况</w:t>
            </w:r>
          </w:p>
        </w:tc>
        <w:tc>
          <w:tcPr>
            <w:tcW w:w="4223" w:type="dxa"/>
            <w:vAlign w:val="top"/>
          </w:tcPr>
          <w:p w14:paraId="154DDC4E">
            <w:pPr>
              <w:kinsoku w:val="0"/>
              <w:autoSpaceDE w:val="0"/>
              <w:autoSpaceDN w:val="0"/>
              <w:adjustRightInd w:val="0"/>
              <w:snapToGrid w:val="0"/>
              <w:spacing w:before="125"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服务人员个人卫生</w:t>
            </w:r>
          </w:p>
        </w:tc>
        <w:tc>
          <w:tcPr>
            <w:tcW w:w="440" w:type="dxa"/>
            <w:vAlign w:val="top"/>
          </w:tcPr>
          <w:p w14:paraId="203714EA">
            <w:pPr>
              <w:rPr>
                <w:rFonts w:ascii="Arial"/>
                <w:color w:val="auto"/>
                <w:sz w:val="21"/>
                <w:highlight w:val="none"/>
              </w:rPr>
            </w:pPr>
          </w:p>
        </w:tc>
        <w:tc>
          <w:tcPr>
            <w:tcW w:w="517" w:type="dxa"/>
            <w:vAlign w:val="top"/>
          </w:tcPr>
          <w:p w14:paraId="714EA913">
            <w:pPr>
              <w:rPr>
                <w:rFonts w:ascii="Arial"/>
                <w:color w:val="auto"/>
                <w:sz w:val="21"/>
                <w:highlight w:val="none"/>
              </w:rPr>
            </w:pPr>
          </w:p>
        </w:tc>
        <w:tc>
          <w:tcPr>
            <w:tcW w:w="502" w:type="dxa"/>
            <w:vAlign w:val="top"/>
          </w:tcPr>
          <w:p w14:paraId="7B3E12EA">
            <w:pPr>
              <w:rPr>
                <w:rFonts w:ascii="Arial"/>
                <w:color w:val="auto"/>
                <w:sz w:val="21"/>
                <w:highlight w:val="none"/>
              </w:rPr>
            </w:pPr>
          </w:p>
        </w:tc>
        <w:tc>
          <w:tcPr>
            <w:tcW w:w="470" w:type="dxa"/>
            <w:vAlign w:val="top"/>
          </w:tcPr>
          <w:p w14:paraId="387DAA72">
            <w:pPr>
              <w:rPr>
                <w:rFonts w:ascii="Arial"/>
                <w:color w:val="auto"/>
                <w:sz w:val="21"/>
                <w:highlight w:val="none"/>
              </w:rPr>
            </w:pPr>
          </w:p>
        </w:tc>
        <w:tc>
          <w:tcPr>
            <w:tcW w:w="536" w:type="dxa"/>
            <w:vAlign w:val="top"/>
          </w:tcPr>
          <w:p w14:paraId="6AC8295C">
            <w:pPr>
              <w:rPr>
                <w:rFonts w:ascii="Arial"/>
                <w:color w:val="auto"/>
                <w:sz w:val="21"/>
                <w:highlight w:val="none"/>
              </w:rPr>
            </w:pPr>
          </w:p>
        </w:tc>
        <w:tc>
          <w:tcPr>
            <w:tcW w:w="1556" w:type="dxa"/>
            <w:tcBorders>
              <w:right w:val="single" w:color="000000" w:sz="10" w:space="0"/>
            </w:tcBorders>
            <w:vAlign w:val="top"/>
          </w:tcPr>
          <w:p w14:paraId="0F4F4BB8">
            <w:pPr>
              <w:rPr>
                <w:rFonts w:ascii="Arial"/>
                <w:color w:val="auto"/>
                <w:sz w:val="21"/>
                <w:highlight w:val="none"/>
              </w:rPr>
            </w:pPr>
          </w:p>
        </w:tc>
      </w:tr>
      <w:tr w14:paraId="1009B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bottom w:val="nil"/>
            </w:tcBorders>
            <w:textDirection w:val="tbRlV"/>
            <w:vAlign w:val="top"/>
          </w:tcPr>
          <w:p w14:paraId="34EBCC3E">
            <w:pPr>
              <w:rPr>
                <w:rFonts w:ascii="Arial"/>
                <w:color w:val="auto"/>
                <w:sz w:val="21"/>
                <w:highlight w:val="none"/>
              </w:rPr>
            </w:pPr>
          </w:p>
        </w:tc>
        <w:tc>
          <w:tcPr>
            <w:tcW w:w="4223" w:type="dxa"/>
            <w:vAlign w:val="top"/>
          </w:tcPr>
          <w:p w14:paraId="19CF615C">
            <w:pPr>
              <w:kinsoku w:val="0"/>
              <w:autoSpaceDE w:val="0"/>
              <w:autoSpaceDN w:val="0"/>
              <w:adjustRightInd w:val="0"/>
              <w:snapToGrid w:val="0"/>
              <w:spacing w:before="50"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饭菜卫生</w:t>
            </w:r>
          </w:p>
        </w:tc>
        <w:tc>
          <w:tcPr>
            <w:tcW w:w="440" w:type="dxa"/>
            <w:vAlign w:val="top"/>
          </w:tcPr>
          <w:p w14:paraId="40738B6B">
            <w:pPr>
              <w:rPr>
                <w:rFonts w:ascii="Arial"/>
                <w:color w:val="auto"/>
                <w:sz w:val="21"/>
                <w:highlight w:val="none"/>
              </w:rPr>
            </w:pPr>
          </w:p>
        </w:tc>
        <w:tc>
          <w:tcPr>
            <w:tcW w:w="517" w:type="dxa"/>
            <w:vAlign w:val="top"/>
          </w:tcPr>
          <w:p w14:paraId="32E45B8B">
            <w:pPr>
              <w:rPr>
                <w:rFonts w:ascii="Arial"/>
                <w:color w:val="auto"/>
                <w:sz w:val="21"/>
                <w:highlight w:val="none"/>
              </w:rPr>
            </w:pPr>
          </w:p>
        </w:tc>
        <w:tc>
          <w:tcPr>
            <w:tcW w:w="502" w:type="dxa"/>
            <w:vAlign w:val="top"/>
          </w:tcPr>
          <w:p w14:paraId="715B60BF">
            <w:pPr>
              <w:rPr>
                <w:rFonts w:ascii="Arial"/>
                <w:color w:val="auto"/>
                <w:sz w:val="21"/>
                <w:highlight w:val="none"/>
              </w:rPr>
            </w:pPr>
          </w:p>
        </w:tc>
        <w:tc>
          <w:tcPr>
            <w:tcW w:w="470" w:type="dxa"/>
            <w:vAlign w:val="top"/>
          </w:tcPr>
          <w:p w14:paraId="435CBC67">
            <w:pPr>
              <w:rPr>
                <w:rFonts w:ascii="Arial"/>
                <w:color w:val="auto"/>
                <w:sz w:val="21"/>
                <w:highlight w:val="none"/>
              </w:rPr>
            </w:pPr>
          </w:p>
        </w:tc>
        <w:tc>
          <w:tcPr>
            <w:tcW w:w="536" w:type="dxa"/>
            <w:vAlign w:val="top"/>
          </w:tcPr>
          <w:p w14:paraId="182BA452">
            <w:pPr>
              <w:rPr>
                <w:rFonts w:ascii="Arial"/>
                <w:color w:val="auto"/>
                <w:sz w:val="21"/>
                <w:highlight w:val="none"/>
              </w:rPr>
            </w:pPr>
          </w:p>
        </w:tc>
        <w:tc>
          <w:tcPr>
            <w:tcW w:w="1556" w:type="dxa"/>
            <w:tcBorders>
              <w:right w:val="single" w:color="000000" w:sz="10" w:space="0"/>
            </w:tcBorders>
            <w:vAlign w:val="top"/>
          </w:tcPr>
          <w:p w14:paraId="1F1FD0CA">
            <w:pPr>
              <w:rPr>
                <w:rFonts w:ascii="Arial"/>
                <w:color w:val="auto"/>
                <w:sz w:val="21"/>
                <w:highlight w:val="none"/>
              </w:rPr>
            </w:pPr>
          </w:p>
        </w:tc>
      </w:tr>
      <w:tr w14:paraId="66105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1" w:type="dxa"/>
            <w:vMerge w:val="continue"/>
            <w:tcBorders>
              <w:top w:val="nil"/>
              <w:left w:val="single" w:color="000000" w:sz="10" w:space="0"/>
              <w:bottom w:val="nil"/>
            </w:tcBorders>
            <w:textDirection w:val="tbRlV"/>
            <w:vAlign w:val="top"/>
          </w:tcPr>
          <w:p w14:paraId="696F0F69">
            <w:pPr>
              <w:rPr>
                <w:rFonts w:ascii="Arial"/>
                <w:color w:val="auto"/>
                <w:sz w:val="21"/>
                <w:highlight w:val="none"/>
              </w:rPr>
            </w:pPr>
          </w:p>
        </w:tc>
        <w:tc>
          <w:tcPr>
            <w:tcW w:w="4223" w:type="dxa"/>
            <w:vAlign w:val="top"/>
          </w:tcPr>
          <w:p w14:paraId="3C4E63C1">
            <w:pPr>
              <w:kinsoku w:val="0"/>
              <w:autoSpaceDE w:val="0"/>
              <w:autoSpaceDN w:val="0"/>
              <w:adjustRightInd w:val="0"/>
              <w:snapToGrid w:val="0"/>
              <w:spacing w:before="50" w:line="221" w:lineRule="auto"/>
              <w:ind w:left="101"/>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餐具卫生</w:t>
            </w:r>
          </w:p>
        </w:tc>
        <w:tc>
          <w:tcPr>
            <w:tcW w:w="440" w:type="dxa"/>
            <w:vAlign w:val="top"/>
          </w:tcPr>
          <w:p w14:paraId="25E3A591">
            <w:pPr>
              <w:rPr>
                <w:rFonts w:ascii="Arial"/>
                <w:color w:val="auto"/>
                <w:sz w:val="21"/>
                <w:highlight w:val="none"/>
              </w:rPr>
            </w:pPr>
          </w:p>
        </w:tc>
        <w:tc>
          <w:tcPr>
            <w:tcW w:w="517" w:type="dxa"/>
            <w:vAlign w:val="top"/>
          </w:tcPr>
          <w:p w14:paraId="1A1DBD0E">
            <w:pPr>
              <w:rPr>
                <w:rFonts w:ascii="Arial"/>
                <w:color w:val="auto"/>
                <w:sz w:val="21"/>
                <w:highlight w:val="none"/>
              </w:rPr>
            </w:pPr>
          </w:p>
        </w:tc>
        <w:tc>
          <w:tcPr>
            <w:tcW w:w="502" w:type="dxa"/>
            <w:vAlign w:val="top"/>
          </w:tcPr>
          <w:p w14:paraId="1E5FD246">
            <w:pPr>
              <w:rPr>
                <w:rFonts w:ascii="Arial"/>
                <w:color w:val="auto"/>
                <w:sz w:val="21"/>
                <w:highlight w:val="none"/>
              </w:rPr>
            </w:pPr>
          </w:p>
        </w:tc>
        <w:tc>
          <w:tcPr>
            <w:tcW w:w="470" w:type="dxa"/>
            <w:vAlign w:val="top"/>
          </w:tcPr>
          <w:p w14:paraId="106E91ED">
            <w:pPr>
              <w:rPr>
                <w:rFonts w:ascii="Arial"/>
                <w:color w:val="auto"/>
                <w:sz w:val="21"/>
                <w:highlight w:val="none"/>
              </w:rPr>
            </w:pPr>
          </w:p>
        </w:tc>
        <w:tc>
          <w:tcPr>
            <w:tcW w:w="536" w:type="dxa"/>
            <w:vAlign w:val="top"/>
          </w:tcPr>
          <w:p w14:paraId="5177C52C">
            <w:pPr>
              <w:rPr>
                <w:rFonts w:ascii="Arial"/>
                <w:color w:val="auto"/>
                <w:sz w:val="21"/>
                <w:highlight w:val="none"/>
              </w:rPr>
            </w:pPr>
          </w:p>
        </w:tc>
        <w:tc>
          <w:tcPr>
            <w:tcW w:w="1556" w:type="dxa"/>
            <w:tcBorders>
              <w:right w:val="single" w:color="000000" w:sz="10" w:space="0"/>
            </w:tcBorders>
            <w:vAlign w:val="top"/>
          </w:tcPr>
          <w:p w14:paraId="5221BF33">
            <w:pPr>
              <w:rPr>
                <w:rFonts w:ascii="Arial"/>
                <w:color w:val="auto"/>
                <w:sz w:val="21"/>
                <w:highlight w:val="none"/>
              </w:rPr>
            </w:pPr>
          </w:p>
        </w:tc>
      </w:tr>
      <w:tr w14:paraId="197E1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41" w:type="dxa"/>
            <w:vMerge w:val="continue"/>
            <w:tcBorders>
              <w:top w:val="nil"/>
              <w:left w:val="single" w:color="000000" w:sz="10" w:space="0"/>
            </w:tcBorders>
            <w:textDirection w:val="tbRlV"/>
            <w:vAlign w:val="top"/>
          </w:tcPr>
          <w:p w14:paraId="30C9C022">
            <w:pPr>
              <w:rPr>
                <w:rFonts w:ascii="Arial"/>
                <w:color w:val="auto"/>
                <w:sz w:val="21"/>
                <w:highlight w:val="none"/>
              </w:rPr>
            </w:pPr>
          </w:p>
        </w:tc>
        <w:tc>
          <w:tcPr>
            <w:tcW w:w="4223" w:type="dxa"/>
            <w:vAlign w:val="top"/>
          </w:tcPr>
          <w:p w14:paraId="0EDE467E">
            <w:pPr>
              <w:kinsoku w:val="0"/>
              <w:autoSpaceDE w:val="0"/>
              <w:autoSpaceDN w:val="0"/>
              <w:adjustRightInd w:val="0"/>
              <w:snapToGrid w:val="0"/>
              <w:spacing w:before="71"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食堂卫生</w:t>
            </w:r>
          </w:p>
        </w:tc>
        <w:tc>
          <w:tcPr>
            <w:tcW w:w="440" w:type="dxa"/>
            <w:vAlign w:val="top"/>
          </w:tcPr>
          <w:p w14:paraId="6FD6530F">
            <w:pPr>
              <w:rPr>
                <w:rFonts w:ascii="Arial"/>
                <w:color w:val="auto"/>
                <w:sz w:val="21"/>
                <w:highlight w:val="none"/>
              </w:rPr>
            </w:pPr>
          </w:p>
        </w:tc>
        <w:tc>
          <w:tcPr>
            <w:tcW w:w="517" w:type="dxa"/>
            <w:vAlign w:val="top"/>
          </w:tcPr>
          <w:p w14:paraId="1927AAB0">
            <w:pPr>
              <w:rPr>
                <w:rFonts w:ascii="Arial"/>
                <w:color w:val="auto"/>
                <w:sz w:val="21"/>
                <w:highlight w:val="none"/>
              </w:rPr>
            </w:pPr>
          </w:p>
        </w:tc>
        <w:tc>
          <w:tcPr>
            <w:tcW w:w="502" w:type="dxa"/>
            <w:vAlign w:val="top"/>
          </w:tcPr>
          <w:p w14:paraId="42D47EC8">
            <w:pPr>
              <w:rPr>
                <w:rFonts w:ascii="Arial"/>
                <w:color w:val="auto"/>
                <w:sz w:val="21"/>
                <w:highlight w:val="none"/>
              </w:rPr>
            </w:pPr>
          </w:p>
        </w:tc>
        <w:tc>
          <w:tcPr>
            <w:tcW w:w="470" w:type="dxa"/>
            <w:vAlign w:val="top"/>
          </w:tcPr>
          <w:p w14:paraId="33B09007">
            <w:pPr>
              <w:rPr>
                <w:rFonts w:ascii="Arial"/>
                <w:color w:val="auto"/>
                <w:sz w:val="21"/>
                <w:highlight w:val="none"/>
              </w:rPr>
            </w:pPr>
          </w:p>
        </w:tc>
        <w:tc>
          <w:tcPr>
            <w:tcW w:w="536" w:type="dxa"/>
            <w:vAlign w:val="top"/>
          </w:tcPr>
          <w:p w14:paraId="088261C9">
            <w:pPr>
              <w:rPr>
                <w:rFonts w:ascii="Arial"/>
                <w:color w:val="auto"/>
                <w:sz w:val="21"/>
                <w:highlight w:val="none"/>
              </w:rPr>
            </w:pPr>
          </w:p>
        </w:tc>
        <w:tc>
          <w:tcPr>
            <w:tcW w:w="1556" w:type="dxa"/>
            <w:tcBorders>
              <w:right w:val="single" w:color="000000" w:sz="10" w:space="0"/>
            </w:tcBorders>
            <w:vAlign w:val="top"/>
          </w:tcPr>
          <w:p w14:paraId="1E23EE75">
            <w:pPr>
              <w:rPr>
                <w:rFonts w:ascii="Arial"/>
                <w:color w:val="auto"/>
                <w:sz w:val="21"/>
                <w:highlight w:val="none"/>
              </w:rPr>
            </w:pPr>
          </w:p>
        </w:tc>
      </w:tr>
      <w:tr w14:paraId="42391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441" w:type="dxa"/>
            <w:vMerge w:val="restart"/>
            <w:tcBorders>
              <w:left w:val="single" w:color="000000" w:sz="10" w:space="0"/>
              <w:bottom w:val="nil"/>
            </w:tcBorders>
            <w:textDirection w:val="tbRlV"/>
            <w:vAlign w:val="top"/>
          </w:tcPr>
          <w:p w14:paraId="537869E2">
            <w:pPr>
              <w:kinsoku w:val="0"/>
              <w:autoSpaceDE w:val="0"/>
              <w:autoSpaceDN w:val="0"/>
              <w:adjustRightInd w:val="0"/>
              <w:snapToGrid w:val="0"/>
              <w:spacing w:before="119" w:line="209" w:lineRule="auto"/>
              <w:ind w:left="48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2"/>
                <w:kern w:val="0"/>
                <w:sz w:val="21"/>
                <w:szCs w:val="21"/>
                <w:highlight w:val="none"/>
                <w:lang w:val="en-US" w:eastAsia="en-US" w:bidi="ar-SA"/>
              </w:rPr>
              <w:t>饭菜质量</w:t>
            </w:r>
          </w:p>
        </w:tc>
        <w:tc>
          <w:tcPr>
            <w:tcW w:w="4223" w:type="dxa"/>
            <w:vAlign w:val="top"/>
          </w:tcPr>
          <w:p w14:paraId="4CE85E27">
            <w:pPr>
              <w:kinsoku w:val="0"/>
              <w:autoSpaceDE w:val="0"/>
              <w:autoSpaceDN w:val="0"/>
              <w:adjustRightInd w:val="0"/>
              <w:snapToGrid w:val="0"/>
              <w:spacing w:before="148"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菜品</w:t>
            </w:r>
          </w:p>
        </w:tc>
        <w:tc>
          <w:tcPr>
            <w:tcW w:w="440" w:type="dxa"/>
            <w:vAlign w:val="top"/>
          </w:tcPr>
          <w:p w14:paraId="41A28636">
            <w:pPr>
              <w:rPr>
                <w:rFonts w:ascii="Arial"/>
                <w:color w:val="auto"/>
                <w:sz w:val="21"/>
                <w:highlight w:val="none"/>
              </w:rPr>
            </w:pPr>
          </w:p>
        </w:tc>
        <w:tc>
          <w:tcPr>
            <w:tcW w:w="517" w:type="dxa"/>
            <w:vAlign w:val="top"/>
          </w:tcPr>
          <w:p w14:paraId="5AE77614">
            <w:pPr>
              <w:rPr>
                <w:rFonts w:ascii="Arial"/>
                <w:color w:val="auto"/>
                <w:sz w:val="21"/>
                <w:highlight w:val="none"/>
              </w:rPr>
            </w:pPr>
          </w:p>
        </w:tc>
        <w:tc>
          <w:tcPr>
            <w:tcW w:w="502" w:type="dxa"/>
            <w:vAlign w:val="top"/>
          </w:tcPr>
          <w:p w14:paraId="7C38806A">
            <w:pPr>
              <w:rPr>
                <w:rFonts w:ascii="Arial"/>
                <w:color w:val="auto"/>
                <w:sz w:val="21"/>
                <w:highlight w:val="none"/>
              </w:rPr>
            </w:pPr>
          </w:p>
        </w:tc>
        <w:tc>
          <w:tcPr>
            <w:tcW w:w="470" w:type="dxa"/>
            <w:vAlign w:val="top"/>
          </w:tcPr>
          <w:p w14:paraId="7F29C498">
            <w:pPr>
              <w:rPr>
                <w:rFonts w:ascii="Arial"/>
                <w:color w:val="auto"/>
                <w:sz w:val="21"/>
                <w:highlight w:val="none"/>
              </w:rPr>
            </w:pPr>
          </w:p>
        </w:tc>
        <w:tc>
          <w:tcPr>
            <w:tcW w:w="536" w:type="dxa"/>
            <w:vAlign w:val="top"/>
          </w:tcPr>
          <w:p w14:paraId="17C9EA7A">
            <w:pPr>
              <w:rPr>
                <w:rFonts w:ascii="Arial"/>
                <w:color w:val="auto"/>
                <w:sz w:val="21"/>
                <w:highlight w:val="none"/>
              </w:rPr>
            </w:pPr>
          </w:p>
        </w:tc>
        <w:tc>
          <w:tcPr>
            <w:tcW w:w="1556" w:type="dxa"/>
            <w:tcBorders>
              <w:right w:val="single" w:color="000000" w:sz="10" w:space="0"/>
            </w:tcBorders>
            <w:vAlign w:val="top"/>
          </w:tcPr>
          <w:p w14:paraId="4460E7B7">
            <w:pPr>
              <w:rPr>
                <w:rFonts w:ascii="Arial"/>
                <w:color w:val="auto"/>
                <w:sz w:val="21"/>
                <w:highlight w:val="none"/>
              </w:rPr>
            </w:pPr>
          </w:p>
        </w:tc>
      </w:tr>
      <w:tr w14:paraId="1670B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1" w:hRule="atLeast"/>
        </w:trPr>
        <w:tc>
          <w:tcPr>
            <w:tcW w:w="441" w:type="dxa"/>
            <w:vMerge w:val="continue"/>
            <w:tcBorders>
              <w:top w:val="nil"/>
              <w:left w:val="single" w:color="000000" w:sz="10" w:space="0"/>
              <w:bottom w:val="nil"/>
            </w:tcBorders>
            <w:textDirection w:val="tbRlV"/>
            <w:vAlign w:val="top"/>
          </w:tcPr>
          <w:p w14:paraId="37A367D4">
            <w:pPr>
              <w:rPr>
                <w:rFonts w:ascii="Arial"/>
                <w:color w:val="auto"/>
                <w:sz w:val="21"/>
                <w:highlight w:val="none"/>
              </w:rPr>
            </w:pPr>
          </w:p>
        </w:tc>
        <w:tc>
          <w:tcPr>
            <w:tcW w:w="4223" w:type="dxa"/>
            <w:vAlign w:val="top"/>
          </w:tcPr>
          <w:p w14:paraId="118B841A">
            <w:pPr>
              <w:kinsoku w:val="0"/>
              <w:autoSpaceDE w:val="0"/>
              <w:autoSpaceDN w:val="0"/>
              <w:adjustRightInd w:val="0"/>
              <w:snapToGrid w:val="0"/>
              <w:spacing w:before="54" w:line="217" w:lineRule="auto"/>
              <w:ind w:left="101"/>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荤素搭配</w:t>
            </w:r>
          </w:p>
        </w:tc>
        <w:tc>
          <w:tcPr>
            <w:tcW w:w="440" w:type="dxa"/>
            <w:vAlign w:val="top"/>
          </w:tcPr>
          <w:p w14:paraId="240321F5">
            <w:pPr>
              <w:rPr>
                <w:rFonts w:ascii="Arial"/>
                <w:color w:val="auto"/>
                <w:sz w:val="21"/>
                <w:highlight w:val="none"/>
              </w:rPr>
            </w:pPr>
          </w:p>
        </w:tc>
        <w:tc>
          <w:tcPr>
            <w:tcW w:w="517" w:type="dxa"/>
            <w:vAlign w:val="top"/>
          </w:tcPr>
          <w:p w14:paraId="4C01FB96">
            <w:pPr>
              <w:rPr>
                <w:rFonts w:ascii="Arial"/>
                <w:color w:val="auto"/>
                <w:sz w:val="21"/>
                <w:highlight w:val="none"/>
              </w:rPr>
            </w:pPr>
          </w:p>
        </w:tc>
        <w:tc>
          <w:tcPr>
            <w:tcW w:w="502" w:type="dxa"/>
            <w:vAlign w:val="top"/>
          </w:tcPr>
          <w:p w14:paraId="32CF1FF1">
            <w:pPr>
              <w:rPr>
                <w:rFonts w:ascii="Arial"/>
                <w:color w:val="auto"/>
                <w:sz w:val="21"/>
                <w:highlight w:val="none"/>
              </w:rPr>
            </w:pPr>
          </w:p>
        </w:tc>
        <w:tc>
          <w:tcPr>
            <w:tcW w:w="470" w:type="dxa"/>
            <w:vAlign w:val="top"/>
          </w:tcPr>
          <w:p w14:paraId="1BB27B0E">
            <w:pPr>
              <w:rPr>
                <w:rFonts w:ascii="Arial"/>
                <w:color w:val="auto"/>
                <w:sz w:val="21"/>
                <w:highlight w:val="none"/>
              </w:rPr>
            </w:pPr>
          </w:p>
        </w:tc>
        <w:tc>
          <w:tcPr>
            <w:tcW w:w="536" w:type="dxa"/>
            <w:vAlign w:val="top"/>
          </w:tcPr>
          <w:p w14:paraId="18FA38DD">
            <w:pPr>
              <w:rPr>
                <w:rFonts w:ascii="Arial"/>
                <w:color w:val="auto"/>
                <w:sz w:val="21"/>
                <w:highlight w:val="none"/>
              </w:rPr>
            </w:pPr>
          </w:p>
        </w:tc>
        <w:tc>
          <w:tcPr>
            <w:tcW w:w="1556" w:type="dxa"/>
            <w:tcBorders>
              <w:right w:val="single" w:color="000000" w:sz="10" w:space="0"/>
            </w:tcBorders>
            <w:vAlign w:val="top"/>
          </w:tcPr>
          <w:p w14:paraId="07F08886">
            <w:pPr>
              <w:rPr>
                <w:rFonts w:ascii="Arial"/>
                <w:color w:val="auto"/>
                <w:sz w:val="21"/>
                <w:highlight w:val="none"/>
              </w:rPr>
            </w:pPr>
          </w:p>
        </w:tc>
      </w:tr>
      <w:tr w14:paraId="56101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bottom w:val="nil"/>
            </w:tcBorders>
            <w:textDirection w:val="tbRlV"/>
            <w:vAlign w:val="top"/>
          </w:tcPr>
          <w:p w14:paraId="7544E2E2">
            <w:pPr>
              <w:rPr>
                <w:rFonts w:ascii="Arial"/>
                <w:color w:val="auto"/>
                <w:sz w:val="21"/>
                <w:highlight w:val="none"/>
              </w:rPr>
            </w:pPr>
          </w:p>
        </w:tc>
        <w:tc>
          <w:tcPr>
            <w:tcW w:w="4223" w:type="dxa"/>
            <w:vAlign w:val="top"/>
          </w:tcPr>
          <w:p w14:paraId="1F5E6D9F">
            <w:pPr>
              <w:kinsoku w:val="0"/>
              <w:autoSpaceDE w:val="0"/>
              <w:autoSpaceDN w:val="0"/>
              <w:adjustRightInd w:val="0"/>
              <w:snapToGrid w:val="0"/>
              <w:spacing w:before="59" w:line="217"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饭菜口味</w:t>
            </w:r>
          </w:p>
        </w:tc>
        <w:tc>
          <w:tcPr>
            <w:tcW w:w="440" w:type="dxa"/>
            <w:vAlign w:val="top"/>
          </w:tcPr>
          <w:p w14:paraId="6B03AF44">
            <w:pPr>
              <w:rPr>
                <w:rFonts w:ascii="Arial"/>
                <w:color w:val="auto"/>
                <w:sz w:val="21"/>
                <w:highlight w:val="none"/>
              </w:rPr>
            </w:pPr>
          </w:p>
        </w:tc>
        <w:tc>
          <w:tcPr>
            <w:tcW w:w="517" w:type="dxa"/>
            <w:vAlign w:val="top"/>
          </w:tcPr>
          <w:p w14:paraId="549ED7E1">
            <w:pPr>
              <w:rPr>
                <w:rFonts w:ascii="Arial"/>
                <w:color w:val="auto"/>
                <w:sz w:val="21"/>
                <w:highlight w:val="none"/>
              </w:rPr>
            </w:pPr>
          </w:p>
        </w:tc>
        <w:tc>
          <w:tcPr>
            <w:tcW w:w="502" w:type="dxa"/>
            <w:vAlign w:val="top"/>
          </w:tcPr>
          <w:p w14:paraId="0FFAEB1E">
            <w:pPr>
              <w:rPr>
                <w:rFonts w:ascii="Arial"/>
                <w:color w:val="auto"/>
                <w:sz w:val="21"/>
                <w:highlight w:val="none"/>
              </w:rPr>
            </w:pPr>
          </w:p>
        </w:tc>
        <w:tc>
          <w:tcPr>
            <w:tcW w:w="470" w:type="dxa"/>
            <w:vAlign w:val="top"/>
          </w:tcPr>
          <w:p w14:paraId="146046F8">
            <w:pPr>
              <w:rPr>
                <w:rFonts w:ascii="Arial"/>
                <w:color w:val="auto"/>
                <w:sz w:val="21"/>
                <w:highlight w:val="none"/>
              </w:rPr>
            </w:pPr>
          </w:p>
        </w:tc>
        <w:tc>
          <w:tcPr>
            <w:tcW w:w="536" w:type="dxa"/>
            <w:vAlign w:val="top"/>
          </w:tcPr>
          <w:p w14:paraId="4DC87C77">
            <w:pPr>
              <w:rPr>
                <w:rFonts w:ascii="Arial"/>
                <w:color w:val="auto"/>
                <w:sz w:val="21"/>
                <w:highlight w:val="none"/>
              </w:rPr>
            </w:pPr>
          </w:p>
        </w:tc>
        <w:tc>
          <w:tcPr>
            <w:tcW w:w="1556" w:type="dxa"/>
            <w:tcBorders>
              <w:right w:val="single" w:color="000000" w:sz="10" w:space="0"/>
            </w:tcBorders>
            <w:vAlign w:val="top"/>
          </w:tcPr>
          <w:p w14:paraId="5F954B79">
            <w:pPr>
              <w:rPr>
                <w:rFonts w:ascii="Arial"/>
                <w:color w:val="auto"/>
                <w:sz w:val="21"/>
                <w:highlight w:val="none"/>
              </w:rPr>
            </w:pPr>
          </w:p>
        </w:tc>
      </w:tr>
      <w:tr w14:paraId="6C6D2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bottom w:val="nil"/>
            </w:tcBorders>
            <w:textDirection w:val="tbRlV"/>
            <w:vAlign w:val="top"/>
          </w:tcPr>
          <w:p w14:paraId="2BDC3D29">
            <w:pPr>
              <w:rPr>
                <w:rFonts w:ascii="Arial"/>
                <w:color w:val="auto"/>
                <w:sz w:val="21"/>
                <w:highlight w:val="none"/>
              </w:rPr>
            </w:pPr>
          </w:p>
        </w:tc>
        <w:tc>
          <w:tcPr>
            <w:tcW w:w="4223" w:type="dxa"/>
            <w:vAlign w:val="top"/>
          </w:tcPr>
          <w:p w14:paraId="2D23B0F3">
            <w:pPr>
              <w:kinsoku w:val="0"/>
              <w:autoSpaceDE w:val="0"/>
              <w:autoSpaceDN w:val="0"/>
              <w:adjustRightInd w:val="0"/>
              <w:snapToGrid w:val="0"/>
              <w:spacing w:before="60" w:line="216"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饭菜新鲜程度</w:t>
            </w:r>
          </w:p>
        </w:tc>
        <w:tc>
          <w:tcPr>
            <w:tcW w:w="440" w:type="dxa"/>
            <w:vAlign w:val="top"/>
          </w:tcPr>
          <w:p w14:paraId="38B6BBB1">
            <w:pPr>
              <w:rPr>
                <w:rFonts w:ascii="Arial"/>
                <w:color w:val="auto"/>
                <w:sz w:val="21"/>
                <w:highlight w:val="none"/>
              </w:rPr>
            </w:pPr>
          </w:p>
        </w:tc>
        <w:tc>
          <w:tcPr>
            <w:tcW w:w="517" w:type="dxa"/>
            <w:vAlign w:val="top"/>
          </w:tcPr>
          <w:p w14:paraId="75552853">
            <w:pPr>
              <w:rPr>
                <w:rFonts w:ascii="Arial"/>
                <w:color w:val="auto"/>
                <w:sz w:val="21"/>
                <w:highlight w:val="none"/>
              </w:rPr>
            </w:pPr>
          </w:p>
        </w:tc>
        <w:tc>
          <w:tcPr>
            <w:tcW w:w="502" w:type="dxa"/>
            <w:vAlign w:val="top"/>
          </w:tcPr>
          <w:p w14:paraId="21C5E717">
            <w:pPr>
              <w:rPr>
                <w:rFonts w:ascii="Arial"/>
                <w:color w:val="auto"/>
                <w:sz w:val="21"/>
                <w:highlight w:val="none"/>
              </w:rPr>
            </w:pPr>
          </w:p>
        </w:tc>
        <w:tc>
          <w:tcPr>
            <w:tcW w:w="470" w:type="dxa"/>
            <w:vAlign w:val="top"/>
          </w:tcPr>
          <w:p w14:paraId="53CE1675">
            <w:pPr>
              <w:rPr>
                <w:rFonts w:ascii="Arial"/>
                <w:color w:val="auto"/>
                <w:sz w:val="21"/>
                <w:highlight w:val="none"/>
              </w:rPr>
            </w:pPr>
          </w:p>
        </w:tc>
        <w:tc>
          <w:tcPr>
            <w:tcW w:w="536" w:type="dxa"/>
            <w:vAlign w:val="top"/>
          </w:tcPr>
          <w:p w14:paraId="5DBA6EA9">
            <w:pPr>
              <w:rPr>
                <w:rFonts w:ascii="Arial"/>
                <w:color w:val="auto"/>
                <w:sz w:val="21"/>
                <w:highlight w:val="none"/>
              </w:rPr>
            </w:pPr>
          </w:p>
        </w:tc>
        <w:tc>
          <w:tcPr>
            <w:tcW w:w="1556" w:type="dxa"/>
            <w:tcBorders>
              <w:right w:val="single" w:color="000000" w:sz="10" w:space="0"/>
            </w:tcBorders>
            <w:vAlign w:val="top"/>
          </w:tcPr>
          <w:p w14:paraId="54A246D9">
            <w:pPr>
              <w:rPr>
                <w:rFonts w:ascii="Arial"/>
                <w:color w:val="auto"/>
                <w:sz w:val="21"/>
                <w:highlight w:val="none"/>
              </w:rPr>
            </w:pPr>
          </w:p>
        </w:tc>
      </w:tr>
      <w:tr w14:paraId="42893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41" w:type="dxa"/>
            <w:vMerge w:val="continue"/>
            <w:tcBorders>
              <w:top w:val="nil"/>
              <w:left w:val="single" w:color="000000" w:sz="10" w:space="0"/>
            </w:tcBorders>
            <w:textDirection w:val="tbRlV"/>
            <w:vAlign w:val="top"/>
          </w:tcPr>
          <w:p w14:paraId="36F35D88">
            <w:pPr>
              <w:rPr>
                <w:rFonts w:ascii="Arial"/>
                <w:color w:val="auto"/>
                <w:sz w:val="21"/>
                <w:highlight w:val="none"/>
              </w:rPr>
            </w:pPr>
          </w:p>
        </w:tc>
        <w:tc>
          <w:tcPr>
            <w:tcW w:w="4223" w:type="dxa"/>
            <w:vAlign w:val="top"/>
          </w:tcPr>
          <w:p w14:paraId="758F632D">
            <w:pPr>
              <w:kinsoku w:val="0"/>
              <w:autoSpaceDE w:val="0"/>
              <w:autoSpaceDN w:val="0"/>
              <w:adjustRightInd w:val="0"/>
              <w:snapToGrid w:val="0"/>
              <w:spacing w:before="103"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饭菜有无异物出现</w:t>
            </w:r>
          </w:p>
        </w:tc>
        <w:tc>
          <w:tcPr>
            <w:tcW w:w="440" w:type="dxa"/>
            <w:vAlign w:val="top"/>
          </w:tcPr>
          <w:p w14:paraId="24C5E43F">
            <w:pPr>
              <w:rPr>
                <w:rFonts w:ascii="Arial"/>
                <w:color w:val="auto"/>
                <w:sz w:val="21"/>
                <w:highlight w:val="none"/>
              </w:rPr>
            </w:pPr>
          </w:p>
        </w:tc>
        <w:tc>
          <w:tcPr>
            <w:tcW w:w="517" w:type="dxa"/>
            <w:vAlign w:val="top"/>
          </w:tcPr>
          <w:p w14:paraId="1DF8EB23">
            <w:pPr>
              <w:rPr>
                <w:rFonts w:ascii="Arial"/>
                <w:color w:val="auto"/>
                <w:sz w:val="21"/>
                <w:highlight w:val="none"/>
              </w:rPr>
            </w:pPr>
          </w:p>
        </w:tc>
        <w:tc>
          <w:tcPr>
            <w:tcW w:w="502" w:type="dxa"/>
            <w:vAlign w:val="top"/>
          </w:tcPr>
          <w:p w14:paraId="431AEC59">
            <w:pPr>
              <w:rPr>
                <w:rFonts w:ascii="Arial"/>
                <w:color w:val="auto"/>
                <w:sz w:val="21"/>
                <w:highlight w:val="none"/>
              </w:rPr>
            </w:pPr>
          </w:p>
        </w:tc>
        <w:tc>
          <w:tcPr>
            <w:tcW w:w="470" w:type="dxa"/>
            <w:vAlign w:val="top"/>
          </w:tcPr>
          <w:p w14:paraId="1F714F87">
            <w:pPr>
              <w:rPr>
                <w:rFonts w:ascii="Arial"/>
                <w:color w:val="auto"/>
                <w:sz w:val="21"/>
                <w:highlight w:val="none"/>
              </w:rPr>
            </w:pPr>
          </w:p>
        </w:tc>
        <w:tc>
          <w:tcPr>
            <w:tcW w:w="536" w:type="dxa"/>
            <w:vAlign w:val="top"/>
          </w:tcPr>
          <w:p w14:paraId="05DB71F7">
            <w:pPr>
              <w:rPr>
                <w:rFonts w:ascii="Arial"/>
                <w:color w:val="auto"/>
                <w:sz w:val="21"/>
                <w:highlight w:val="none"/>
              </w:rPr>
            </w:pPr>
          </w:p>
        </w:tc>
        <w:tc>
          <w:tcPr>
            <w:tcW w:w="1556" w:type="dxa"/>
            <w:tcBorders>
              <w:right w:val="single" w:color="000000" w:sz="10" w:space="0"/>
            </w:tcBorders>
            <w:vAlign w:val="top"/>
          </w:tcPr>
          <w:p w14:paraId="4D4EB8B3">
            <w:pPr>
              <w:rPr>
                <w:rFonts w:ascii="Arial"/>
                <w:color w:val="auto"/>
                <w:sz w:val="21"/>
                <w:highlight w:val="none"/>
              </w:rPr>
            </w:pPr>
          </w:p>
        </w:tc>
      </w:tr>
      <w:tr w14:paraId="62E80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restart"/>
            <w:tcBorders>
              <w:left w:val="single" w:color="000000" w:sz="10" w:space="0"/>
              <w:bottom w:val="nil"/>
            </w:tcBorders>
            <w:textDirection w:val="tbRlV"/>
            <w:vAlign w:val="top"/>
          </w:tcPr>
          <w:p w14:paraId="1423DDC5">
            <w:pPr>
              <w:kinsoku w:val="0"/>
              <w:autoSpaceDE w:val="0"/>
              <w:autoSpaceDN w:val="0"/>
              <w:adjustRightInd w:val="0"/>
              <w:snapToGrid w:val="0"/>
              <w:spacing w:before="119" w:line="210" w:lineRule="auto"/>
              <w:ind w:left="392"/>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2"/>
                <w:kern w:val="0"/>
                <w:sz w:val="21"/>
                <w:szCs w:val="21"/>
                <w:highlight w:val="none"/>
                <w:lang w:val="en-US" w:eastAsia="en-US" w:bidi="ar-SA"/>
              </w:rPr>
              <w:t>服务态度</w:t>
            </w:r>
          </w:p>
        </w:tc>
        <w:tc>
          <w:tcPr>
            <w:tcW w:w="4223" w:type="dxa"/>
            <w:vAlign w:val="top"/>
          </w:tcPr>
          <w:p w14:paraId="5662FD3C">
            <w:pPr>
              <w:kinsoku w:val="0"/>
              <w:autoSpaceDE w:val="0"/>
              <w:autoSpaceDN w:val="0"/>
              <w:adjustRightInd w:val="0"/>
              <w:snapToGrid w:val="0"/>
              <w:spacing w:before="56" w:line="219" w:lineRule="auto"/>
              <w:ind w:left="102"/>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工作人员服务态度</w:t>
            </w:r>
          </w:p>
        </w:tc>
        <w:tc>
          <w:tcPr>
            <w:tcW w:w="440" w:type="dxa"/>
            <w:vAlign w:val="top"/>
          </w:tcPr>
          <w:p w14:paraId="73EB72D5">
            <w:pPr>
              <w:rPr>
                <w:rFonts w:ascii="Arial"/>
                <w:color w:val="auto"/>
                <w:sz w:val="21"/>
                <w:highlight w:val="none"/>
              </w:rPr>
            </w:pPr>
          </w:p>
        </w:tc>
        <w:tc>
          <w:tcPr>
            <w:tcW w:w="517" w:type="dxa"/>
            <w:vAlign w:val="top"/>
          </w:tcPr>
          <w:p w14:paraId="3C374532">
            <w:pPr>
              <w:rPr>
                <w:rFonts w:ascii="Arial"/>
                <w:color w:val="auto"/>
                <w:sz w:val="21"/>
                <w:highlight w:val="none"/>
              </w:rPr>
            </w:pPr>
          </w:p>
        </w:tc>
        <w:tc>
          <w:tcPr>
            <w:tcW w:w="502" w:type="dxa"/>
            <w:vAlign w:val="top"/>
          </w:tcPr>
          <w:p w14:paraId="255CDDB7">
            <w:pPr>
              <w:rPr>
                <w:rFonts w:ascii="Arial"/>
                <w:color w:val="auto"/>
                <w:sz w:val="21"/>
                <w:highlight w:val="none"/>
              </w:rPr>
            </w:pPr>
          </w:p>
        </w:tc>
        <w:tc>
          <w:tcPr>
            <w:tcW w:w="470" w:type="dxa"/>
            <w:vAlign w:val="top"/>
          </w:tcPr>
          <w:p w14:paraId="7ABB8531">
            <w:pPr>
              <w:rPr>
                <w:rFonts w:ascii="Arial"/>
                <w:color w:val="auto"/>
                <w:sz w:val="21"/>
                <w:highlight w:val="none"/>
              </w:rPr>
            </w:pPr>
          </w:p>
        </w:tc>
        <w:tc>
          <w:tcPr>
            <w:tcW w:w="536" w:type="dxa"/>
            <w:vAlign w:val="top"/>
          </w:tcPr>
          <w:p w14:paraId="0D2D6632">
            <w:pPr>
              <w:rPr>
                <w:rFonts w:ascii="Arial"/>
                <w:color w:val="auto"/>
                <w:sz w:val="21"/>
                <w:highlight w:val="none"/>
              </w:rPr>
            </w:pPr>
          </w:p>
        </w:tc>
        <w:tc>
          <w:tcPr>
            <w:tcW w:w="1556" w:type="dxa"/>
            <w:tcBorders>
              <w:right w:val="single" w:color="000000" w:sz="10" w:space="0"/>
            </w:tcBorders>
            <w:vAlign w:val="top"/>
          </w:tcPr>
          <w:p w14:paraId="3D120F55">
            <w:pPr>
              <w:rPr>
                <w:rFonts w:ascii="Arial"/>
                <w:color w:val="auto"/>
                <w:sz w:val="21"/>
                <w:highlight w:val="none"/>
              </w:rPr>
            </w:pPr>
          </w:p>
        </w:tc>
      </w:tr>
      <w:tr w14:paraId="11D44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41" w:type="dxa"/>
            <w:vMerge w:val="continue"/>
            <w:tcBorders>
              <w:top w:val="nil"/>
              <w:left w:val="single" w:color="000000" w:sz="10" w:space="0"/>
              <w:bottom w:val="nil"/>
            </w:tcBorders>
            <w:textDirection w:val="tbRlV"/>
            <w:vAlign w:val="top"/>
          </w:tcPr>
          <w:p w14:paraId="772C1769">
            <w:pPr>
              <w:rPr>
                <w:rFonts w:ascii="Arial"/>
                <w:color w:val="auto"/>
                <w:sz w:val="21"/>
                <w:highlight w:val="none"/>
              </w:rPr>
            </w:pPr>
          </w:p>
        </w:tc>
        <w:tc>
          <w:tcPr>
            <w:tcW w:w="4223" w:type="dxa"/>
            <w:vAlign w:val="top"/>
          </w:tcPr>
          <w:p w14:paraId="29438E73">
            <w:pPr>
              <w:kinsoku w:val="0"/>
              <w:autoSpaceDE w:val="0"/>
              <w:autoSpaceDN w:val="0"/>
              <w:adjustRightInd w:val="0"/>
              <w:snapToGrid w:val="0"/>
              <w:spacing w:before="57" w:line="214" w:lineRule="auto"/>
              <w:ind w:left="102"/>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工作人员责任心</w:t>
            </w:r>
          </w:p>
        </w:tc>
        <w:tc>
          <w:tcPr>
            <w:tcW w:w="440" w:type="dxa"/>
            <w:vAlign w:val="top"/>
          </w:tcPr>
          <w:p w14:paraId="66151543">
            <w:pPr>
              <w:rPr>
                <w:rFonts w:ascii="Arial"/>
                <w:color w:val="auto"/>
                <w:sz w:val="21"/>
                <w:highlight w:val="none"/>
              </w:rPr>
            </w:pPr>
          </w:p>
        </w:tc>
        <w:tc>
          <w:tcPr>
            <w:tcW w:w="517" w:type="dxa"/>
            <w:vAlign w:val="top"/>
          </w:tcPr>
          <w:p w14:paraId="60689043">
            <w:pPr>
              <w:rPr>
                <w:rFonts w:ascii="Arial"/>
                <w:color w:val="auto"/>
                <w:sz w:val="21"/>
                <w:highlight w:val="none"/>
              </w:rPr>
            </w:pPr>
          </w:p>
        </w:tc>
        <w:tc>
          <w:tcPr>
            <w:tcW w:w="502" w:type="dxa"/>
            <w:vAlign w:val="top"/>
          </w:tcPr>
          <w:p w14:paraId="6A7E6BCD">
            <w:pPr>
              <w:rPr>
                <w:rFonts w:ascii="Arial"/>
                <w:color w:val="auto"/>
                <w:sz w:val="21"/>
                <w:highlight w:val="none"/>
              </w:rPr>
            </w:pPr>
          </w:p>
        </w:tc>
        <w:tc>
          <w:tcPr>
            <w:tcW w:w="470" w:type="dxa"/>
            <w:vAlign w:val="top"/>
          </w:tcPr>
          <w:p w14:paraId="6AD4DACA">
            <w:pPr>
              <w:rPr>
                <w:rFonts w:ascii="Arial"/>
                <w:color w:val="auto"/>
                <w:sz w:val="21"/>
                <w:highlight w:val="none"/>
              </w:rPr>
            </w:pPr>
          </w:p>
        </w:tc>
        <w:tc>
          <w:tcPr>
            <w:tcW w:w="536" w:type="dxa"/>
            <w:vAlign w:val="top"/>
          </w:tcPr>
          <w:p w14:paraId="2959D2C5">
            <w:pPr>
              <w:rPr>
                <w:rFonts w:ascii="Arial"/>
                <w:color w:val="auto"/>
                <w:sz w:val="21"/>
                <w:highlight w:val="none"/>
              </w:rPr>
            </w:pPr>
          </w:p>
        </w:tc>
        <w:tc>
          <w:tcPr>
            <w:tcW w:w="1556" w:type="dxa"/>
            <w:tcBorders>
              <w:right w:val="single" w:color="000000" w:sz="10" w:space="0"/>
            </w:tcBorders>
            <w:vAlign w:val="top"/>
          </w:tcPr>
          <w:p w14:paraId="7B619A88">
            <w:pPr>
              <w:rPr>
                <w:rFonts w:ascii="Arial"/>
                <w:color w:val="auto"/>
                <w:sz w:val="21"/>
                <w:highlight w:val="none"/>
              </w:rPr>
            </w:pPr>
          </w:p>
        </w:tc>
      </w:tr>
      <w:tr w14:paraId="7DF9F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bottom w:val="nil"/>
            </w:tcBorders>
            <w:textDirection w:val="tbRlV"/>
            <w:vAlign w:val="top"/>
          </w:tcPr>
          <w:p w14:paraId="3B801129">
            <w:pPr>
              <w:rPr>
                <w:rFonts w:ascii="Arial"/>
                <w:color w:val="auto"/>
                <w:sz w:val="21"/>
                <w:highlight w:val="none"/>
              </w:rPr>
            </w:pPr>
          </w:p>
        </w:tc>
        <w:tc>
          <w:tcPr>
            <w:tcW w:w="4223" w:type="dxa"/>
            <w:vAlign w:val="top"/>
          </w:tcPr>
          <w:p w14:paraId="171B5D6C">
            <w:pPr>
              <w:kinsoku w:val="0"/>
              <w:autoSpaceDE w:val="0"/>
              <w:autoSpaceDN w:val="0"/>
              <w:adjustRightInd w:val="0"/>
              <w:snapToGrid w:val="0"/>
              <w:spacing w:before="62" w:line="214"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饭菜是否供应充足</w:t>
            </w:r>
          </w:p>
        </w:tc>
        <w:tc>
          <w:tcPr>
            <w:tcW w:w="440" w:type="dxa"/>
            <w:vAlign w:val="top"/>
          </w:tcPr>
          <w:p w14:paraId="3F3A8631">
            <w:pPr>
              <w:rPr>
                <w:rFonts w:ascii="Arial"/>
                <w:color w:val="auto"/>
                <w:sz w:val="21"/>
                <w:highlight w:val="none"/>
              </w:rPr>
            </w:pPr>
          </w:p>
        </w:tc>
        <w:tc>
          <w:tcPr>
            <w:tcW w:w="517" w:type="dxa"/>
            <w:vAlign w:val="top"/>
          </w:tcPr>
          <w:p w14:paraId="4E3AA9CF">
            <w:pPr>
              <w:rPr>
                <w:rFonts w:ascii="Arial"/>
                <w:color w:val="auto"/>
                <w:sz w:val="21"/>
                <w:highlight w:val="none"/>
              </w:rPr>
            </w:pPr>
          </w:p>
        </w:tc>
        <w:tc>
          <w:tcPr>
            <w:tcW w:w="502" w:type="dxa"/>
            <w:vAlign w:val="top"/>
          </w:tcPr>
          <w:p w14:paraId="25800606">
            <w:pPr>
              <w:rPr>
                <w:rFonts w:ascii="Arial"/>
                <w:color w:val="auto"/>
                <w:sz w:val="21"/>
                <w:highlight w:val="none"/>
              </w:rPr>
            </w:pPr>
          </w:p>
        </w:tc>
        <w:tc>
          <w:tcPr>
            <w:tcW w:w="470" w:type="dxa"/>
            <w:vAlign w:val="top"/>
          </w:tcPr>
          <w:p w14:paraId="6F264027">
            <w:pPr>
              <w:rPr>
                <w:rFonts w:ascii="Arial"/>
                <w:color w:val="auto"/>
                <w:sz w:val="21"/>
                <w:highlight w:val="none"/>
              </w:rPr>
            </w:pPr>
          </w:p>
        </w:tc>
        <w:tc>
          <w:tcPr>
            <w:tcW w:w="536" w:type="dxa"/>
            <w:vAlign w:val="top"/>
          </w:tcPr>
          <w:p w14:paraId="6C130596">
            <w:pPr>
              <w:rPr>
                <w:rFonts w:ascii="Arial"/>
                <w:color w:val="auto"/>
                <w:sz w:val="21"/>
                <w:highlight w:val="none"/>
              </w:rPr>
            </w:pPr>
          </w:p>
        </w:tc>
        <w:tc>
          <w:tcPr>
            <w:tcW w:w="1556" w:type="dxa"/>
            <w:tcBorders>
              <w:right w:val="single" w:color="000000" w:sz="10" w:space="0"/>
            </w:tcBorders>
            <w:vAlign w:val="top"/>
          </w:tcPr>
          <w:p w14:paraId="62F9FCD3">
            <w:pPr>
              <w:rPr>
                <w:rFonts w:ascii="Arial"/>
                <w:color w:val="auto"/>
                <w:sz w:val="21"/>
                <w:highlight w:val="none"/>
              </w:rPr>
            </w:pPr>
          </w:p>
        </w:tc>
      </w:tr>
      <w:tr w14:paraId="616EA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441" w:type="dxa"/>
            <w:vMerge w:val="continue"/>
            <w:tcBorders>
              <w:top w:val="nil"/>
              <w:left w:val="single" w:color="000000" w:sz="10" w:space="0"/>
              <w:bottom w:val="nil"/>
            </w:tcBorders>
            <w:textDirection w:val="tbRlV"/>
            <w:vAlign w:val="top"/>
          </w:tcPr>
          <w:p w14:paraId="54A85D8E">
            <w:pPr>
              <w:rPr>
                <w:rFonts w:ascii="Arial"/>
                <w:color w:val="auto"/>
                <w:sz w:val="21"/>
                <w:highlight w:val="none"/>
              </w:rPr>
            </w:pPr>
          </w:p>
        </w:tc>
        <w:tc>
          <w:tcPr>
            <w:tcW w:w="4223" w:type="dxa"/>
            <w:vAlign w:val="top"/>
          </w:tcPr>
          <w:p w14:paraId="598B8820">
            <w:pPr>
              <w:kinsoku w:val="0"/>
              <w:autoSpaceDE w:val="0"/>
              <w:autoSpaceDN w:val="0"/>
              <w:adjustRightInd w:val="0"/>
              <w:snapToGrid w:val="0"/>
              <w:spacing w:before="115" w:line="221" w:lineRule="auto"/>
              <w:ind w:left="101"/>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餐桌收拾及时度</w:t>
            </w:r>
          </w:p>
        </w:tc>
        <w:tc>
          <w:tcPr>
            <w:tcW w:w="440" w:type="dxa"/>
            <w:vAlign w:val="top"/>
          </w:tcPr>
          <w:p w14:paraId="4B2689F9">
            <w:pPr>
              <w:rPr>
                <w:rFonts w:ascii="Arial"/>
                <w:color w:val="auto"/>
                <w:sz w:val="21"/>
                <w:highlight w:val="none"/>
              </w:rPr>
            </w:pPr>
          </w:p>
        </w:tc>
        <w:tc>
          <w:tcPr>
            <w:tcW w:w="517" w:type="dxa"/>
            <w:vAlign w:val="top"/>
          </w:tcPr>
          <w:p w14:paraId="7276101E">
            <w:pPr>
              <w:rPr>
                <w:rFonts w:ascii="Arial"/>
                <w:color w:val="auto"/>
                <w:sz w:val="21"/>
                <w:highlight w:val="none"/>
              </w:rPr>
            </w:pPr>
          </w:p>
        </w:tc>
        <w:tc>
          <w:tcPr>
            <w:tcW w:w="502" w:type="dxa"/>
            <w:vAlign w:val="top"/>
          </w:tcPr>
          <w:p w14:paraId="595CEF27">
            <w:pPr>
              <w:rPr>
                <w:rFonts w:ascii="Arial"/>
                <w:color w:val="auto"/>
                <w:sz w:val="21"/>
                <w:highlight w:val="none"/>
              </w:rPr>
            </w:pPr>
          </w:p>
        </w:tc>
        <w:tc>
          <w:tcPr>
            <w:tcW w:w="470" w:type="dxa"/>
            <w:vAlign w:val="top"/>
          </w:tcPr>
          <w:p w14:paraId="2389496B">
            <w:pPr>
              <w:rPr>
                <w:rFonts w:ascii="Arial"/>
                <w:color w:val="auto"/>
                <w:sz w:val="21"/>
                <w:highlight w:val="none"/>
              </w:rPr>
            </w:pPr>
          </w:p>
        </w:tc>
        <w:tc>
          <w:tcPr>
            <w:tcW w:w="536" w:type="dxa"/>
            <w:vAlign w:val="top"/>
          </w:tcPr>
          <w:p w14:paraId="48A1BDFE">
            <w:pPr>
              <w:rPr>
                <w:rFonts w:ascii="Arial"/>
                <w:color w:val="auto"/>
                <w:sz w:val="21"/>
                <w:highlight w:val="none"/>
              </w:rPr>
            </w:pPr>
          </w:p>
        </w:tc>
        <w:tc>
          <w:tcPr>
            <w:tcW w:w="1556" w:type="dxa"/>
            <w:tcBorders>
              <w:right w:val="single" w:color="000000" w:sz="10" w:space="0"/>
            </w:tcBorders>
            <w:vAlign w:val="top"/>
          </w:tcPr>
          <w:p w14:paraId="3D52F294">
            <w:pPr>
              <w:rPr>
                <w:rFonts w:ascii="Arial"/>
                <w:color w:val="auto"/>
                <w:sz w:val="21"/>
                <w:highlight w:val="none"/>
              </w:rPr>
            </w:pPr>
          </w:p>
        </w:tc>
      </w:tr>
      <w:tr w14:paraId="3B9D7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tcBorders>
            <w:textDirection w:val="tbRlV"/>
            <w:vAlign w:val="top"/>
          </w:tcPr>
          <w:p w14:paraId="5A5ADCEA">
            <w:pPr>
              <w:rPr>
                <w:rFonts w:ascii="Arial"/>
                <w:color w:val="auto"/>
                <w:sz w:val="21"/>
                <w:highlight w:val="none"/>
              </w:rPr>
            </w:pPr>
          </w:p>
        </w:tc>
        <w:tc>
          <w:tcPr>
            <w:tcW w:w="4223" w:type="dxa"/>
            <w:vAlign w:val="top"/>
          </w:tcPr>
          <w:p w14:paraId="07037C81">
            <w:pPr>
              <w:kinsoku w:val="0"/>
              <w:autoSpaceDE w:val="0"/>
              <w:autoSpaceDN w:val="0"/>
              <w:adjustRightInd w:val="0"/>
              <w:snapToGrid w:val="0"/>
              <w:spacing w:before="60" w:line="216" w:lineRule="auto"/>
              <w:ind w:left="111"/>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听取意见和建议情况</w:t>
            </w:r>
          </w:p>
        </w:tc>
        <w:tc>
          <w:tcPr>
            <w:tcW w:w="440" w:type="dxa"/>
            <w:vAlign w:val="top"/>
          </w:tcPr>
          <w:p w14:paraId="7772DC7F">
            <w:pPr>
              <w:rPr>
                <w:rFonts w:ascii="Arial"/>
                <w:color w:val="auto"/>
                <w:sz w:val="21"/>
                <w:highlight w:val="none"/>
              </w:rPr>
            </w:pPr>
          </w:p>
        </w:tc>
        <w:tc>
          <w:tcPr>
            <w:tcW w:w="517" w:type="dxa"/>
            <w:vAlign w:val="top"/>
          </w:tcPr>
          <w:p w14:paraId="3A2A2569">
            <w:pPr>
              <w:rPr>
                <w:rFonts w:ascii="Arial"/>
                <w:color w:val="auto"/>
                <w:sz w:val="21"/>
                <w:highlight w:val="none"/>
              </w:rPr>
            </w:pPr>
          </w:p>
        </w:tc>
        <w:tc>
          <w:tcPr>
            <w:tcW w:w="502" w:type="dxa"/>
            <w:vAlign w:val="top"/>
          </w:tcPr>
          <w:p w14:paraId="7D87769E">
            <w:pPr>
              <w:rPr>
                <w:rFonts w:ascii="Arial"/>
                <w:color w:val="auto"/>
                <w:sz w:val="21"/>
                <w:highlight w:val="none"/>
              </w:rPr>
            </w:pPr>
          </w:p>
        </w:tc>
        <w:tc>
          <w:tcPr>
            <w:tcW w:w="470" w:type="dxa"/>
            <w:vAlign w:val="top"/>
          </w:tcPr>
          <w:p w14:paraId="732878AF">
            <w:pPr>
              <w:rPr>
                <w:rFonts w:ascii="Arial"/>
                <w:color w:val="auto"/>
                <w:sz w:val="21"/>
                <w:highlight w:val="none"/>
              </w:rPr>
            </w:pPr>
          </w:p>
        </w:tc>
        <w:tc>
          <w:tcPr>
            <w:tcW w:w="536" w:type="dxa"/>
            <w:vAlign w:val="top"/>
          </w:tcPr>
          <w:p w14:paraId="5951863E">
            <w:pPr>
              <w:rPr>
                <w:rFonts w:ascii="Arial"/>
                <w:color w:val="auto"/>
                <w:sz w:val="21"/>
                <w:highlight w:val="none"/>
              </w:rPr>
            </w:pPr>
          </w:p>
        </w:tc>
        <w:tc>
          <w:tcPr>
            <w:tcW w:w="1556" w:type="dxa"/>
            <w:tcBorders>
              <w:right w:val="single" w:color="000000" w:sz="10" w:space="0"/>
            </w:tcBorders>
            <w:vAlign w:val="top"/>
          </w:tcPr>
          <w:p w14:paraId="629B2A55">
            <w:pPr>
              <w:rPr>
                <w:rFonts w:ascii="Arial"/>
                <w:color w:val="auto"/>
                <w:sz w:val="21"/>
                <w:highlight w:val="none"/>
              </w:rPr>
            </w:pPr>
          </w:p>
        </w:tc>
      </w:tr>
      <w:tr w14:paraId="38B4E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441" w:type="dxa"/>
            <w:vMerge w:val="restart"/>
            <w:tcBorders>
              <w:left w:val="single" w:color="000000" w:sz="10" w:space="0"/>
              <w:bottom w:val="nil"/>
            </w:tcBorders>
            <w:textDirection w:val="tbRlV"/>
            <w:vAlign w:val="top"/>
          </w:tcPr>
          <w:p w14:paraId="016C6D37">
            <w:pPr>
              <w:kinsoku w:val="0"/>
              <w:autoSpaceDE w:val="0"/>
              <w:autoSpaceDN w:val="0"/>
              <w:adjustRightInd w:val="0"/>
              <w:snapToGrid w:val="0"/>
              <w:spacing w:before="119" w:line="209" w:lineRule="auto"/>
              <w:ind w:left="50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2"/>
                <w:kern w:val="0"/>
                <w:sz w:val="21"/>
                <w:szCs w:val="21"/>
                <w:highlight w:val="none"/>
                <w:lang w:val="en-US" w:eastAsia="en-US" w:bidi="ar-SA"/>
              </w:rPr>
              <w:t>食堂管理</w:t>
            </w:r>
          </w:p>
        </w:tc>
        <w:tc>
          <w:tcPr>
            <w:tcW w:w="4223" w:type="dxa"/>
            <w:vMerge w:val="restart"/>
            <w:tcBorders>
              <w:bottom w:val="nil"/>
            </w:tcBorders>
            <w:vAlign w:val="top"/>
          </w:tcPr>
          <w:p w14:paraId="1439AC28">
            <w:pPr>
              <w:spacing w:line="264" w:lineRule="auto"/>
              <w:rPr>
                <w:rFonts w:ascii="Arial"/>
                <w:color w:val="auto"/>
                <w:sz w:val="21"/>
                <w:highlight w:val="none"/>
              </w:rPr>
            </w:pPr>
          </w:p>
          <w:p w14:paraId="0173D87B">
            <w:pPr>
              <w:spacing w:line="264" w:lineRule="auto"/>
              <w:rPr>
                <w:rFonts w:ascii="Arial"/>
                <w:color w:val="auto"/>
                <w:sz w:val="21"/>
                <w:highlight w:val="none"/>
              </w:rPr>
            </w:pPr>
          </w:p>
          <w:p w14:paraId="346D939B">
            <w:pPr>
              <w:spacing w:line="265" w:lineRule="auto"/>
              <w:rPr>
                <w:rFonts w:ascii="Arial"/>
                <w:color w:val="auto"/>
                <w:sz w:val="21"/>
                <w:highlight w:val="none"/>
              </w:rPr>
            </w:pPr>
          </w:p>
          <w:p w14:paraId="7BA6A1D2">
            <w:pPr>
              <w:kinsoku w:val="0"/>
              <w:autoSpaceDE w:val="0"/>
              <w:autoSpaceDN w:val="0"/>
              <w:adjustRightInd w:val="0"/>
              <w:snapToGrid w:val="0"/>
              <w:spacing w:before="68" w:line="221" w:lineRule="auto"/>
              <w:ind w:left="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食堂综合管理</w:t>
            </w:r>
          </w:p>
        </w:tc>
        <w:tc>
          <w:tcPr>
            <w:tcW w:w="440" w:type="dxa"/>
            <w:vAlign w:val="top"/>
          </w:tcPr>
          <w:p w14:paraId="515096F4">
            <w:pPr>
              <w:kinsoku w:val="0"/>
              <w:autoSpaceDE w:val="0"/>
              <w:autoSpaceDN w:val="0"/>
              <w:adjustRightInd w:val="0"/>
              <w:snapToGrid w:val="0"/>
              <w:spacing w:before="242" w:line="220" w:lineRule="auto"/>
              <w:ind w:left="121" w:right="115" w:hanging="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8"/>
                <w:kern w:val="0"/>
                <w:sz w:val="21"/>
                <w:szCs w:val="21"/>
                <w:highlight w:val="none"/>
                <w:lang w:val="en-US" w:eastAsia="en-US" w:bidi="ar-SA"/>
              </w:rPr>
              <w:t>满</w:t>
            </w:r>
            <w:r>
              <w:rPr>
                <w:rFonts w:ascii="宋体" w:hAnsi="宋体" w:eastAsia="宋体" w:cs="宋体"/>
                <w:snapToGrid w:val="0"/>
                <w:color w:val="auto"/>
                <w:spacing w:val="-13"/>
                <w:kern w:val="0"/>
                <w:sz w:val="21"/>
                <w:szCs w:val="21"/>
                <w:highlight w:val="none"/>
                <w:lang w:val="en-US" w:eastAsia="en-US" w:bidi="ar-SA"/>
              </w:rPr>
              <w:t>意</w:t>
            </w:r>
          </w:p>
        </w:tc>
        <w:tc>
          <w:tcPr>
            <w:tcW w:w="517" w:type="dxa"/>
            <w:textDirection w:val="tbRlV"/>
            <w:vAlign w:val="top"/>
          </w:tcPr>
          <w:p w14:paraId="3421089D">
            <w:pPr>
              <w:kinsoku w:val="0"/>
              <w:autoSpaceDE w:val="0"/>
              <w:autoSpaceDN w:val="0"/>
              <w:adjustRightInd w:val="0"/>
              <w:snapToGrid w:val="0"/>
              <w:spacing w:before="147" w:line="209" w:lineRule="auto"/>
              <w:ind w:left="12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0"/>
                <w:kern w:val="0"/>
                <w:sz w:val="21"/>
                <w:szCs w:val="21"/>
                <w:highlight w:val="none"/>
                <w:lang w:val="en-US" w:eastAsia="en-US" w:bidi="ar-SA"/>
              </w:rPr>
              <w:t>较满意</w:t>
            </w:r>
          </w:p>
        </w:tc>
        <w:tc>
          <w:tcPr>
            <w:tcW w:w="502" w:type="dxa"/>
            <w:vAlign w:val="top"/>
          </w:tcPr>
          <w:p w14:paraId="53F576C8">
            <w:pPr>
              <w:spacing w:line="252" w:lineRule="auto"/>
              <w:rPr>
                <w:rFonts w:ascii="Arial"/>
                <w:color w:val="auto"/>
                <w:sz w:val="21"/>
                <w:highlight w:val="none"/>
              </w:rPr>
            </w:pPr>
          </w:p>
          <w:p w14:paraId="057A5573">
            <w:pPr>
              <w:kinsoku w:val="0"/>
              <w:autoSpaceDE w:val="0"/>
              <w:autoSpaceDN w:val="0"/>
              <w:adjustRightInd w:val="0"/>
              <w:snapToGrid w:val="0"/>
              <w:spacing w:before="68" w:line="254" w:lineRule="auto"/>
              <w:ind w:left="152" w:right="140" w:firstLine="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1"/>
                <w:kern w:val="0"/>
                <w:sz w:val="21"/>
                <w:szCs w:val="21"/>
                <w:highlight w:val="none"/>
                <w:lang w:val="en-US" w:eastAsia="en-US" w:bidi="ar-SA"/>
              </w:rPr>
              <w:t>一</w:t>
            </w:r>
            <w:r>
              <w:rPr>
                <w:rFonts w:ascii="宋体" w:hAnsi="宋体" w:eastAsia="宋体" w:cs="宋体"/>
                <w:snapToGrid w:val="0"/>
                <w:color w:val="auto"/>
                <w:spacing w:val="-7"/>
                <w:kern w:val="0"/>
                <w:sz w:val="21"/>
                <w:szCs w:val="21"/>
                <w:highlight w:val="none"/>
                <w:lang w:val="en-US" w:eastAsia="en-US" w:bidi="ar-SA"/>
              </w:rPr>
              <w:t>般</w:t>
            </w:r>
          </w:p>
        </w:tc>
        <w:tc>
          <w:tcPr>
            <w:tcW w:w="470" w:type="dxa"/>
            <w:vAlign w:val="top"/>
          </w:tcPr>
          <w:p w14:paraId="24FB147B">
            <w:pPr>
              <w:kinsoku w:val="0"/>
              <w:autoSpaceDE w:val="0"/>
              <w:autoSpaceDN w:val="0"/>
              <w:adjustRightInd w:val="0"/>
              <w:snapToGrid w:val="0"/>
              <w:spacing w:before="242" w:line="216" w:lineRule="auto"/>
              <w:ind w:left="136" w:right="125" w:firstLine="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1"/>
                <w:kern w:val="0"/>
                <w:sz w:val="21"/>
                <w:szCs w:val="21"/>
                <w:highlight w:val="none"/>
                <w:lang w:val="en-US" w:eastAsia="en-US" w:bidi="ar-SA"/>
              </w:rPr>
              <w:t>不</w:t>
            </w:r>
            <w:r>
              <w:rPr>
                <w:rFonts w:ascii="宋体" w:hAnsi="宋体" w:eastAsia="宋体" w:cs="宋体"/>
                <w:snapToGrid w:val="0"/>
                <w:color w:val="auto"/>
                <w:spacing w:val="-8"/>
                <w:kern w:val="0"/>
                <w:sz w:val="21"/>
                <w:szCs w:val="21"/>
                <w:highlight w:val="none"/>
                <w:lang w:val="en-US" w:eastAsia="en-US" w:bidi="ar-SA"/>
              </w:rPr>
              <w:t>好</w:t>
            </w:r>
          </w:p>
        </w:tc>
        <w:tc>
          <w:tcPr>
            <w:tcW w:w="536" w:type="dxa"/>
            <w:vAlign w:val="top"/>
          </w:tcPr>
          <w:p w14:paraId="7D096CFC">
            <w:pPr>
              <w:kinsoku w:val="0"/>
              <w:autoSpaceDE w:val="0"/>
              <w:autoSpaceDN w:val="0"/>
              <w:adjustRightInd w:val="0"/>
              <w:snapToGrid w:val="0"/>
              <w:spacing w:before="243" w:line="219" w:lineRule="auto"/>
              <w:ind w:left="172" w:right="156"/>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9"/>
                <w:kern w:val="0"/>
                <w:sz w:val="21"/>
                <w:szCs w:val="21"/>
                <w:highlight w:val="none"/>
                <w:lang w:val="en-US" w:eastAsia="en-US" w:bidi="ar-SA"/>
              </w:rPr>
              <w:t>很</w:t>
            </w:r>
            <w:r>
              <w:rPr>
                <w:rFonts w:ascii="宋体" w:hAnsi="宋体" w:eastAsia="宋体" w:cs="宋体"/>
                <w:snapToGrid w:val="0"/>
                <w:color w:val="auto"/>
                <w:spacing w:val="-10"/>
                <w:kern w:val="0"/>
                <w:sz w:val="21"/>
                <w:szCs w:val="21"/>
                <w:highlight w:val="none"/>
                <w:lang w:val="en-US" w:eastAsia="en-US" w:bidi="ar-SA"/>
              </w:rPr>
              <w:t>差</w:t>
            </w:r>
          </w:p>
        </w:tc>
        <w:tc>
          <w:tcPr>
            <w:tcW w:w="1556" w:type="dxa"/>
            <w:vMerge w:val="restart"/>
            <w:tcBorders>
              <w:bottom w:val="nil"/>
              <w:right w:val="single" w:color="000000" w:sz="10" w:space="0"/>
            </w:tcBorders>
            <w:vAlign w:val="top"/>
          </w:tcPr>
          <w:p w14:paraId="1F222DA7">
            <w:pPr>
              <w:spacing w:line="450" w:lineRule="auto"/>
              <w:rPr>
                <w:rFonts w:ascii="Arial"/>
                <w:color w:val="auto"/>
                <w:sz w:val="21"/>
                <w:highlight w:val="none"/>
              </w:rPr>
            </w:pPr>
          </w:p>
          <w:p w14:paraId="5EBF8081">
            <w:pPr>
              <w:kinsoku w:val="0"/>
              <w:autoSpaceDE w:val="0"/>
              <w:autoSpaceDN w:val="0"/>
              <w:adjustRightInd w:val="0"/>
              <w:snapToGrid w:val="0"/>
              <w:spacing w:before="68" w:line="220" w:lineRule="auto"/>
              <w:ind w:left="15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对应问题简述</w:t>
            </w:r>
          </w:p>
        </w:tc>
      </w:tr>
      <w:tr w14:paraId="69124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41" w:type="dxa"/>
            <w:vMerge w:val="continue"/>
            <w:tcBorders>
              <w:top w:val="nil"/>
              <w:left w:val="single" w:color="000000" w:sz="10" w:space="0"/>
              <w:bottom w:val="nil"/>
            </w:tcBorders>
            <w:textDirection w:val="tbRlV"/>
            <w:vAlign w:val="top"/>
          </w:tcPr>
          <w:p w14:paraId="64B504EB">
            <w:pPr>
              <w:rPr>
                <w:rFonts w:ascii="Arial"/>
                <w:color w:val="auto"/>
                <w:sz w:val="21"/>
                <w:highlight w:val="none"/>
              </w:rPr>
            </w:pPr>
          </w:p>
        </w:tc>
        <w:tc>
          <w:tcPr>
            <w:tcW w:w="4223" w:type="dxa"/>
            <w:vMerge w:val="continue"/>
            <w:tcBorders>
              <w:top w:val="nil"/>
              <w:bottom w:val="nil"/>
            </w:tcBorders>
            <w:vAlign w:val="top"/>
          </w:tcPr>
          <w:p w14:paraId="170C3EC0">
            <w:pPr>
              <w:rPr>
                <w:rFonts w:ascii="Arial"/>
                <w:color w:val="auto"/>
                <w:sz w:val="21"/>
                <w:highlight w:val="none"/>
              </w:rPr>
            </w:pPr>
          </w:p>
        </w:tc>
        <w:tc>
          <w:tcPr>
            <w:tcW w:w="440" w:type="dxa"/>
            <w:vAlign w:val="top"/>
          </w:tcPr>
          <w:p w14:paraId="07603FC9">
            <w:pPr>
              <w:kinsoku w:val="0"/>
              <w:autoSpaceDE w:val="0"/>
              <w:autoSpaceDN w:val="0"/>
              <w:adjustRightInd w:val="0"/>
              <w:snapToGrid w:val="0"/>
              <w:spacing w:before="67" w:line="210" w:lineRule="auto"/>
              <w:ind w:left="11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17" w:type="dxa"/>
            <w:vAlign w:val="top"/>
          </w:tcPr>
          <w:p w14:paraId="5DC10239">
            <w:pPr>
              <w:kinsoku w:val="0"/>
              <w:autoSpaceDE w:val="0"/>
              <w:autoSpaceDN w:val="0"/>
              <w:adjustRightInd w:val="0"/>
              <w:snapToGrid w:val="0"/>
              <w:spacing w:before="67" w:line="210" w:lineRule="auto"/>
              <w:ind w:left="16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02" w:type="dxa"/>
            <w:vAlign w:val="top"/>
          </w:tcPr>
          <w:p w14:paraId="4F883BB5">
            <w:pPr>
              <w:kinsoku w:val="0"/>
              <w:autoSpaceDE w:val="0"/>
              <w:autoSpaceDN w:val="0"/>
              <w:adjustRightInd w:val="0"/>
              <w:snapToGrid w:val="0"/>
              <w:spacing w:before="67" w:line="210" w:lineRule="auto"/>
              <w:ind w:left="156"/>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470" w:type="dxa"/>
            <w:vAlign w:val="top"/>
          </w:tcPr>
          <w:p w14:paraId="56DF5CC2">
            <w:pPr>
              <w:kinsoku w:val="0"/>
              <w:autoSpaceDE w:val="0"/>
              <w:autoSpaceDN w:val="0"/>
              <w:adjustRightInd w:val="0"/>
              <w:snapToGrid w:val="0"/>
              <w:spacing w:before="67" w:line="210" w:lineRule="auto"/>
              <w:ind w:left="13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536" w:type="dxa"/>
            <w:vAlign w:val="top"/>
          </w:tcPr>
          <w:p w14:paraId="33EA04EA">
            <w:pPr>
              <w:kinsoku w:val="0"/>
              <w:autoSpaceDE w:val="0"/>
              <w:autoSpaceDN w:val="0"/>
              <w:adjustRightInd w:val="0"/>
              <w:snapToGrid w:val="0"/>
              <w:spacing w:before="67" w:line="210" w:lineRule="auto"/>
              <w:ind w:left="17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kern w:val="0"/>
                <w:sz w:val="21"/>
                <w:szCs w:val="21"/>
                <w:highlight w:val="none"/>
                <w:lang w:val="en-US" w:eastAsia="en-US" w:bidi="ar-SA"/>
              </w:rPr>
              <w:t>分</w:t>
            </w:r>
          </w:p>
        </w:tc>
        <w:tc>
          <w:tcPr>
            <w:tcW w:w="1556" w:type="dxa"/>
            <w:vMerge w:val="continue"/>
            <w:tcBorders>
              <w:top w:val="nil"/>
              <w:right w:val="single" w:color="000000" w:sz="10" w:space="0"/>
            </w:tcBorders>
            <w:vAlign w:val="top"/>
          </w:tcPr>
          <w:p w14:paraId="0717D569">
            <w:pPr>
              <w:rPr>
                <w:rFonts w:ascii="Arial"/>
                <w:color w:val="auto"/>
                <w:sz w:val="21"/>
                <w:highlight w:val="none"/>
              </w:rPr>
            </w:pPr>
          </w:p>
        </w:tc>
      </w:tr>
      <w:tr w14:paraId="7C98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441" w:type="dxa"/>
            <w:vMerge w:val="continue"/>
            <w:tcBorders>
              <w:top w:val="nil"/>
              <w:left w:val="single" w:color="000000" w:sz="10" w:space="0"/>
            </w:tcBorders>
            <w:textDirection w:val="tbRlV"/>
            <w:vAlign w:val="top"/>
          </w:tcPr>
          <w:p w14:paraId="491568B7">
            <w:pPr>
              <w:rPr>
                <w:rFonts w:ascii="Arial"/>
                <w:color w:val="auto"/>
                <w:sz w:val="21"/>
                <w:highlight w:val="none"/>
              </w:rPr>
            </w:pPr>
          </w:p>
        </w:tc>
        <w:tc>
          <w:tcPr>
            <w:tcW w:w="4223" w:type="dxa"/>
            <w:vMerge w:val="continue"/>
            <w:tcBorders>
              <w:top w:val="nil"/>
            </w:tcBorders>
            <w:vAlign w:val="top"/>
          </w:tcPr>
          <w:p w14:paraId="064D46C1">
            <w:pPr>
              <w:rPr>
                <w:rFonts w:ascii="Arial"/>
                <w:color w:val="auto"/>
                <w:sz w:val="21"/>
                <w:highlight w:val="none"/>
              </w:rPr>
            </w:pPr>
          </w:p>
        </w:tc>
        <w:tc>
          <w:tcPr>
            <w:tcW w:w="440" w:type="dxa"/>
            <w:vAlign w:val="top"/>
          </w:tcPr>
          <w:p w14:paraId="58C9F0EE">
            <w:pPr>
              <w:rPr>
                <w:rFonts w:ascii="Arial"/>
                <w:color w:val="auto"/>
                <w:sz w:val="21"/>
                <w:highlight w:val="none"/>
              </w:rPr>
            </w:pPr>
          </w:p>
        </w:tc>
        <w:tc>
          <w:tcPr>
            <w:tcW w:w="517" w:type="dxa"/>
            <w:vAlign w:val="top"/>
          </w:tcPr>
          <w:p w14:paraId="435F3081">
            <w:pPr>
              <w:rPr>
                <w:rFonts w:ascii="Arial"/>
                <w:color w:val="auto"/>
                <w:sz w:val="21"/>
                <w:highlight w:val="none"/>
              </w:rPr>
            </w:pPr>
          </w:p>
        </w:tc>
        <w:tc>
          <w:tcPr>
            <w:tcW w:w="502" w:type="dxa"/>
            <w:vAlign w:val="top"/>
          </w:tcPr>
          <w:p w14:paraId="5D7B44C7">
            <w:pPr>
              <w:rPr>
                <w:rFonts w:ascii="Arial"/>
                <w:color w:val="auto"/>
                <w:sz w:val="21"/>
                <w:highlight w:val="none"/>
              </w:rPr>
            </w:pPr>
          </w:p>
        </w:tc>
        <w:tc>
          <w:tcPr>
            <w:tcW w:w="470" w:type="dxa"/>
            <w:vAlign w:val="top"/>
          </w:tcPr>
          <w:p w14:paraId="771CC703">
            <w:pPr>
              <w:rPr>
                <w:rFonts w:ascii="Arial"/>
                <w:color w:val="auto"/>
                <w:sz w:val="21"/>
                <w:highlight w:val="none"/>
              </w:rPr>
            </w:pPr>
          </w:p>
        </w:tc>
        <w:tc>
          <w:tcPr>
            <w:tcW w:w="536" w:type="dxa"/>
            <w:vAlign w:val="top"/>
          </w:tcPr>
          <w:p w14:paraId="66FA01B5">
            <w:pPr>
              <w:rPr>
                <w:rFonts w:ascii="Arial"/>
                <w:color w:val="auto"/>
                <w:sz w:val="21"/>
                <w:highlight w:val="none"/>
              </w:rPr>
            </w:pPr>
          </w:p>
        </w:tc>
        <w:tc>
          <w:tcPr>
            <w:tcW w:w="1556" w:type="dxa"/>
            <w:tcBorders>
              <w:right w:val="single" w:color="000000" w:sz="10" w:space="0"/>
            </w:tcBorders>
            <w:vAlign w:val="top"/>
          </w:tcPr>
          <w:p w14:paraId="06A6381F">
            <w:pPr>
              <w:rPr>
                <w:rFonts w:ascii="Arial"/>
                <w:color w:val="auto"/>
                <w:sz w:val="21"/>
                <w:highlight w:val="none"/>
              </w:rPr>
            </w:pPr>
          </w:p>
        </w:tc>
      </w:tr>
      <w:tr w14:paraId="591A3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4664" w:type="dxa"/>
            <w:gridSpan w:val="2"/>
            <w:tcBorders>
              <w:left w:val="single" w:color="000000" w:sz="10" w:space="0"/>
            </w:tcBorders>
            <w:vAlign w:val="top"/>
          </w:tcPr>
          <w:p w14:paraId="33ADE1E8">
            <w:pPr>
              <w:kinsoku w:val="0"/>
              <w:autoSpaceDE w:val="0"/>
              <w:autoSpaceDN w:val="0"/>
              <w:adjustRightInd w:val="0"/>
              <w:snapToGrid w:val="0"/>
              <w:spacing w:before="270" w:line="221" w:lineRule="auto"/>
              <w:ind w:left="201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3"/>
                <w:kern w:val="0"/>
                <w:sz w:val="21"/>
                <w:szCs w:val="21"/>
                <w:highlight w:val="none"/>
                <w:lang w:val="en-US" w:eastAsia="en-US" w:bidi="ar-SA"/>
              </w:rPr>
              <w:t>总得分</w:t>
            </w:r>
          </w:p>
        </w:tc>
        <w:tc>
          <w:tcPr>
            <w:tcW w:w="2465" w:type="dxa"/>
            <w:gridSpan w:val="5"/>
            <w:vAlign w:val="top"/>
          </w:tcPr>
          <w:p w14:paraId="6F99E712">
            <w:pPr>
              <w:rPr>
                <w:rFonts w:ascii="Arial"/>
                <w:color w:val="auto"/>
                <w:sz w:val="21"/>
                <w:highlight w:val="none"/>
              </w:rPr>
            </w:pPr>
          </w:p>
        </w:tc>
        <w:tc>
          <w:tcPr>
            <w:tcW w:w="1556" w:type="dxa"/>
            <w:tcBorders>
              <w:right w:val="single" w:color="000000" w:sz="10" w:space="0"/>
            </w:tcBorders>
            <w:vAlign w:val="top"/>
          </w:tcPr>
          <w:p w14:paraId="09554E5C">
            <w:pPr>
              <w:rPr>
                <w:rFonts w:ascii="Arial"/>
                <w:color w:val="auto"/>
                <w:sz w:val="21"/>
                <w:highlight w:val="none"/>
              </w:rPr>
            </w:pPr>
          </w:p>
        </w:tc>
      </w:tr>
      <w:tr w14:paraId="386A5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8685" w:type="dxa"/>
            <w:gridSpan w:val="8"/>
            <w:tcBorders>
              <w:left w:val="single" w:color="000000" w:sz="10" w:space="0"/>
              <w:bottom w:val="single" w:color="000000" w:sz="10" w:space="0"/>
              <w:right w:val="single" w:color="000000" w:sz="10" w:space="0"/>
            </w:tcBorders>
            <w:vAlign w:val="top"/>
          </w:tcPr>
          <w:p w14:paraId="44C07772">
            <w:pPr>
              <w:kinsoku w:val="0"/>
              <w:autoSpaceDE w:val="0"/>
              <w:autoSpaceDN w:val="0"/>
              <w:adjustRightInd w:val="0"/>
              <w:snapToGrid w:val="0"/>
              <w:spacing w:before="186" w:line="221" w:lineRule="auto"/>
              <w:ind w:left="11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除此之外，您还有什么意见和建议</w:t>
            </w:r>
            <w:r>
              <w:rPr>
                <w:rFonts w:ascii="宋体" w:hAnsi="宋体" w:eastAsia="宋体" w:cs="宋体"/>
                <w:b/>
                <w:bCs/>
                <w:snapToGrid w:val="0"/>
                <w:color w:val="auto"/>
                <w:spacing w:val="-2"/>
                <w:kern w:val="0"/>
                <w:sz w:val="21"/>
                <w:szCs w:val="21"/>
                <w:highlight w:val="none"/>
                <w:lang w:val="en-US" w:eastAsia="en-US" w:bidi="ar-SA"/>
              </w:rPr>
              <w:t>：</w:t>
            </w:r>
          </w:p>
        </w:tc>
      </w:tr>
    </w:tbl>
    <w:p w14:paraId="505F341D">
      <w:pPr>
        <w:rPr>
          <w:rFonts w:ascii="Arial"/>
          <w:color w:val="auto"/>
          <w:sz w:val="21"/>
          <w:highlight w:val="none"/>
        </w:rPr>
      </w:pPr>
    </w:p>
    <w:p w14:paraId="75B4A0D2">
      <w:pPr>
        <w:spacing w:line="257" w:lineRule="auto"/>
        <w:rPr>
          <w:rFonts w:ascii="Arial"/>
          <w:color w:val="auto"/>
          <w:sz w:val="21"/>
          <w:highlight w:val="none"/>
        </w:rPr>
      </w:pPr>
    </w:p>
    <w:p w14:paraId="66720E23">
      <w:pPr>
        <w:spacing w:before="167" w:line="197" w:lineRule="auto"/>
        <w:ind w:left="2656"/>
        <w:rPr>
          <w:rFonts w:ascii="微软雅黑" w:hAnsi="微软雅黑" w:eastAsia="微软雅黑" w:cs="微软雅黑"/>
          <w:color w:val="auto"/>
          <w:sz w:val="39"/>
          <w:szCs w:val="39"/>
          <w:highlight w:val="none"/>
        </w:rPr>
      </w:pPr>
      <w:r>
        <w:rPr>
          <w:rFonts w:ascii="微软雅黑" w:hAnsi="微软雅黑" w:eastAsia="微软雅黑" w:cs="微软雅黑"/>
          <w:color w:val="auto"/>
          <w:spacing w:val="8"/>
          <w:sz w:val="39"/>
          <w:szCs w:val="39"/>
          <w:highlight w:val="none"/>
        </w:rPr>
        <w:t>食堂卫生安全巡查表</w:t>
      </w:r>
    </w:p>
    <w:p w14:paraId="44C6ECE6">
      <w:pPr>
        <w:spacing w:line="372" w:lineRule="auto"/>
        <w:rPr>
          <w:rFonts w:ascii="Arial"/>
          <w:color w:val="auto"/>
          <w:sz w:val="21"/>
          <w:highlight w:val="none"/>
        </w:rPr>
      </w:pPr>
    </w:p>
    <w:p w14:paraId="3BD71D5F">
      <w:pPr>
        <w:kinsoku w:val="0"/>
        <w:autoSpaceDE w:val="0"/>
        <w:autoSpaceDN w:val="0"/>
        <w:adjustRightInd w:val="0"/>
        <w:snapToGrid w:val="0"/>
        <w:spacing w:before="68" w:line="222" w:lineRule="auto"/>
        <w:ind w:left="24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 xml:space="preserve">巡查人员：                  </w:t>
      </w:r>
      <w:r>
        <w:rPr>
          <w:rFonts w:ascii="宋体" w:hAnsi="宋体" w:eastAsia="宋体" w:cs="宋体"/>
          <w:snapToGrid w:val="0"/>
          <w:color w:val="auto"/>
          <w:spacing w:val="-3"/>
          <w:kern w:val="0"/>
          <w:sz w:val="21"/>
          <w:szCs w:val="21"/>
          <w:highlight w:val="none"/>
          <w:lang w:val="en-US" w:eastAsia="en-US" w:bidi="ar-SA"/>
        </w:rPr>
        <w:t xml:space="preserve">                          时</w:t>
      </w:r>
      <w:r>
        <w:rPr>
          <w:rFonts w:ascii="宋体" w:hAnsi="宋体" w:eastAsia="宋体" w:cs="宋体"/>
          <w:snapToGrid w:val="0"/>
          <w:color w:val="auto"/>
          <w:spacing w:val="11"/>
          <w:kern w:val="0"/>
          <w:sz w:val="21"/>
          <w:szCs w:val="21"/>
          <w:highlight w:val="none"/>
          <w:lang w:val="en-US" w:eastAsia="en-US" w:bidi="ar-SA"/>
        </w:rPr>
        <w:t xml:space="preserve">  </w:t>
      </w:r>
      <w:r>
        <w:rPr>
          <w:rFonts w:ascii="宋体" w:hAnsi="宋体" w:eastAsia="宋体" w:cs="宋体"/>
          <w:snapToGrid w:val="0"/>
          <w:color w:val="auto"/>
          <w:spacing w:val="-3"/>
          <w:kern w:val="0"/>
          <w:sz w:val="21"/>
          <w:szCs w:val="21"/>
          <w:highlight w:val="none"/>
          <w:lang w:val="en-US" w:eastAsia="en-US" w:bidi="ar-SA"/>
        </w:rPr>
        <w:t>间：</w:t>
      </w:r>
    </w:p>
    <w:p w14:paraId="05CA9A3A">
      <w:pPr>
        <w:spacing w:line="109" w:lineRule="auto"/>
        <w:rPr>
          <w:rFonts w:ascii="Arial"/>
          <w:color w:val="auto"/>
          <w:sz w:val="2"/>
          <w:highlight w:val="none"/>
        </w:rPr>
      </w:pPr>
    </w:p>
    <w:tbl>
      <w:tblPr>
        <w:tblStyle w:val="127"/>
        <w:tblW w:w="8843"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71"/>
        <w:gridCol w:w="6272"/>
      </w:tblGrid>
      <w:tr w14:paraId="356AD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571" w:type="dxa"/>
            <w:tcBorders>
              <w:top w:val="single" w:color="000000" w:sz="10" w:space="0"/>
              <w:left w:val="single" w:color="000000" w:sz="10" w:space="0"/>
            </w:tcBorders>
            <w:vAlign w:val="top"/>
          </w:tcPr>
          <w:p w14:paraId="4F239004">
            <w:pPr>
              <w:kinsoku w:val="0"/>
              <w:autoSpaceDE w:val="0"/>
              <w:autoSpaceDN w:val="0"/>
              <w:adjustRightInd w:val="0"/>
              <w:snapToGrid w:val="0"/>
              <w:spacing w:before="172" w:line="221" w:lineRule="auto"/>
              <w:ind w:left="6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3"/>
                <w:kern w:val="0"/>
                <w:sz w:val="21"/>
                <w:szCs w:val="21"/>
                <w:highlight w:val="none"/>
                <w:lang w:val="en-US" w:eastAsia="en-US" w:bidi="ar-SA"/>
              </w:rPr>
              <w:t>巡</w:t>
            </w:r>
            <w:r>
              <w:rPr>
                <w:rFonts w:ascii="宋体" w:hAnsi="宋体" w:eastAsia="宋体" w:cs="宋体"/>
                <w:snapToGrid w:val="0"/>
                <w:color w:val="auto"/>
                <w:spacing w:val="12"/>
                <w:kern w:val="0"/>
                <w:sz w:val="21"/>
                <w:szCs w:val="21"/>
                <w:highlight w:val="none"/>
                <w:lang w:val="en-US" w:eastAsia="en-US" w:bidi="ar-SA"/>
              </w:rPr>
              <w:t xml:space="preserve"> </w:t>
            </w:r>
            <w:r>
              <w:rPr>
                <w:rFonts w:ascii="宋体" w:hAnsi="宋体" w:eastAsia="宋体" w:cs="宋体"/>
                <w:snapToGrid w:val="0"/>
                <w:color w:val="auto"/>
                <w:spacing w:val="-13"/>
                <w:kern w:val="0"/>
                <w:sz w:val="21"/>
                <w:szCs w:val="21"/>
                <w:highlight w:val="none"/>
                <w:lang w:val="en-US" w:eastAsia="en-US" w:bidi="ar-SA"/>
              </w:rPr>
              <w:t>查</w:t>
            </w:r>
            <w:r>
              <w:rPr>
                <w:rFonts w:ascii="宋体" w:hAnsi="宋体" w:eastAsia="宋体" w:cs="宋体"/>
                <w:snapToGrid w:val="0"/>
                <w:color w:val="auto"/>
                <w:spacing w:val="34"/>
                <w:kern w:val="0"/>
                <w:sz w:val="21"/>
                <w:szCs w:val="21"/>
                <w:highlight w:val="none"/>
                <w:lang w:val="en-US" w:eastAsia="en-US" w:bidi="ar-SA"/>
              </w:rPr>
              <w:t xml:space="preserve"> </w:t>
            </w:r>
            <w:r>
              <w:rPr>
                <w:rFonts w:ascii="宋体" w:hAnsi="宋体" w:eastAsia="宋体" w:cs="宋体"/>
                <w:snapToGrid w:val="0"/>
                <w:color w:val="auto"/>
                <w:spacing w:val="-13"/>
                <w:kern w:val="0"/>
                <w:sz w:val="21"/>
                <w:szCs w:val="21"/>
                <w:highlight w:val="none"/>
                <w:lang w:val="en-US" w:eastAsia="en-US" w:bidi="ar-SA"/>
              </w:rPr>
              <w:t>内</w:t>
            </w:r>
            <w:r>
              <w:rPr>
                <w:rFonts w:ascii="宋体" w:hAnsi="宋体" w:eastAsia="宋体" w:cs="宋体"/>
                <w:snapToGrid w:val="0"/>
                <w:color w:val="auto"/>
                <w:spacing w:val="12"/>
                <w:kern w:val="0"/>
                <w:sz w:val="21"/>
                <w:szCs w:val="21"/>
                <w:highlight w:val="none"/>
                <w:lang w:val="en-US" w:eastAsia="en-US" w:bidi="ar-SA"/>
              </w:rPr>
              <w:t xml:space="preserve"> </w:t>
            </w:r>
            <w:r>
              <w:rPr>
                <w:rFonts w:ascii="宋体" w:hAnsi="宋体" w:eastAsia="宋体" w:cs="宋体"/>
                <w:snapToGrid w:val="0"/>
                <w:color w:val="auto"/>
                <w:spacing w:val="-13"/>
                <w:kern w:val="0"/>
                <w:sz w:val="21"/>
                <w:szCs w:val="21"/>
                <w:highlight w:val="none"/>
                <w:lang w:val="en-US" w:eastAsia="en-US" w:bidi="ar-SA"/>
              </w:rPr>
              <w:t>容</w:t>
            </w:r>
          </w:p>
        </w:tc>
        <w:tc>
          <w:tcPr>
            <w:tcW w:w="6272" w:type="dxa"/>
            <w:tcBorders>
              <w:top w:val="single" w:color="000000" w:sz="10" w:space="0"/>
              <w:right w:val="single" w:color="000000" w:sz="10" w:space="0"/>
            </w:tcBorders>
            <w:vAlign w:val="top"/>
          </w:tcPr>
          <w:p w14:paraId="3F28717B">
            <w:pPr>
              <w:kinsoku w:val="0"/>
              <w:autoSpaceDE w:val="0"/>
              <w:autoSpaceDN w:val="0"/>
              <w:adjustRightInd w:val="0"/>
              <w:snapToGrid w:val="0"/>
              <w:spacing w:before="173" w:line="221" w:lineRule="auto"/>
              <w:ind w:left="2402"/>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7"/>
                <w:kern w:val="0"/>
                <w:sz w:val="21"/>
                <w:szCs w:val="21"/>
                <w:highlight w:val="none"/>
                <w:lang w:val="en-US" w:eastAsia="en-US" w:bidi="ar-SA"/>
              </w:rPr>
              <w:t>巡</w:t>
            </w:r>
            <w:r>
              <w:rPr>
                <w:rFonts w:ascii="宋体" w:hAnsi="宋体" w:eastAsia="宋体" w:cs="宋体"/>
                <w:snapToGrid w:val="0"/>
                <w:color w:val="auto"/>
                <w:spacing w:val="7"/>
                <w:kern w:val="0"/>
                <w:sz w:val="21"/>
                <w:szCs w:val="21"/>
                <w:highlight w:val="none"/>
                <w:lang w:val="en-US" w:eastAsia="en-US" w:bidi="ar-SA"/>
              </w:rPr>
              <w:t xml:space="preserve">  </w:t>
            </w:r>
            <w:r>
              <w:rPr>
                <w:rFonts w:ascii="宋体" w:hAnsi="宋体" w:eastAsia="宋体" w:cs="宋体"/>
                <w:snapToGrid w:val="0"/>
                <w:color w:val="auto"/>
                <w:spacing w:val="-7"/>
                <w:kern w:val="0"/>
                <w:sz w:val="21"/>
                <w:szCs w:val="21"/>
                <w:highlight w:val="none"/>
                <w:lang w:val="en-US" w:eastAsia="en-US" w:bidi="ar-SA"/>
              </w:rPr>
              <w:t>查</w:t>
            </w:r>
            <w:r>
              <w:rPr>
                <w:rFonts w:ascii="宋体" w:hAnsi="宋体" w:eastAsia="宋体" w:cs="宋体"/>
                <w:snapToGrid w:val="0"/>
                <w:color w:val="auto"/>
                <w:spacing w:val="5"/>
                <w:kern w:val="0"/>
                <w:sz w:val="21"/>
                <w:szCs w:val="21"/>
                <w:highlight w:val="none"/>
                <w:lang w:val="en-US" w:eastAsia="en-US" w:bidi="ar-SA"/>
              </w:rPr>
              <w:t xml:space="preserve">  </w:t>
            </w:r>
            <w:r>
              <w:rPr>
                <w:rFonts w:ascii="宋体" w:hAnsi="宋体" w:eastAsia="宋体" w:cs="宋体"/>
                <w:snapToGrid w:val="0"/>
                <w:color w:val="auto"/>
                <w:spacing w:val="-7"/>
                <w:kern w:val="0"/>
                <w:sz w:val="21"/>
                <w:szCs w:val="21"/>
                <w:highlight w:val="none"/>
                <w:lang w:val="en-US" w:eastAsia="en-US" w:bidi="ar-SA"/>
              </w:rPr>
              <w:t>情</w:t>
            </w:r>
            <w:r>
              <w:rPr>
                <w:rFonts w:ascii="宋体" w:hAnsi="宋体" w:eastAsia="宋体" w:cs="宋体"/>
                <w:snapToGrid w:val="0"/>
                <w:color w:val="auto"/>
                <w:spacing w:val="3"/>
                <w:kern w:val="0"/>
                <w:sz w:val="21"/>
                <w:szCs w:val="21"/>
                <w:highlight w:val="none"/>
                <w:lang w:val="en-US" w:eastAsia="en-US" w:bidi="ar-SA"/>
              </w:rPr>
              <w:t xml:space="preserve">  </w:t>
            </w:r>
            <w:r>
              <w:rPr>
                <w:rFonts w:ascii="宋体" w:hAnsi="宋体" w:eastAsia="宋体" w:cs="宋体"/>
                <w:snapToGrid w:val="0"/>
                <w:color w:val="auto"/>
                <w:spacing w:val="-7"/>
                <w:kern w:val="0"/>
                <w:sz w:val="21"/>
                <w:szCs w:val="21"/>
                <w:highlight w:val="none"/>
                <w:lang w:val="en-US" w:eastAsia="en-US" w:bidi="ar-SA"/>
              </w:rPr>
              <w:t>况</w:t>
            </w:r>
          </w:p>
        </w:tc>
      </w:tr>
      <w:tr w14:paraId="73E01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571" w:type="dxa"/>
            <w:tcBorders>
              <w:left w:val="single" w:color="000000" w:sz="10" w:space="0"/>
            </w:tcBorders>
            <w:vAlign w:val="top"/>
          </w:tcPr>
          <w:p w14:paraId="2F600F53">
            <w:pPr>
              <w:kinsoku w:val="0"/>
              <w:autoSpaceDE w:val="0"/>
              <w:autoSpaceDN w:val="0"/>
              <w:adjustRightInd w:val="0"/>
              <w:snapToGrid w:val="0"/>
              <w:spacing w:before="198" w:line="221" w:lineRule="auto"/>
              <w:ind w:left="43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持有效经营许可证</w:t>
            </w:r>
          </w:p>
        </w:tc>
        <w:tc>
          <w:tcPr>
            <w:tcW w:w="6272" w:type="dxa"/>
            <w:tcBorders>
              <w:right w:val="single" w:color="000000" w:sz="10" w:space="0"/>
            </w:tcBorders>
            <w:vAlign w:val="top"/>
          </w:tcPr>
          <w:p w14:paraId="766DABB9">
            <w:pPr>
              <w:rPr>
                <w:rFonts w:ascii="Arial"/>
                <w:color w:val="auto"/>
                <w:sz w:val="21"/>
                <w:highlight w:val="none"/>
              </w:rPr>
            </w:pPr>
          </w:p>
        </w:tc>
      </w:tr>
      <w:tr w14:paraId="14268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571" w:type="dxa"/>
            <w:tcBorders>
              <w:left w:val="single" w:color="000000" w:sz="10" w:space="0"/>
            </w:tcBorders>
            <w:vAlign w:val="top"/>
          </w:tcPr>
          <w:p w14:paraId="71AE8624">
            <w:pPr>
              <w:kinsoku w:val="0"/>
              <w:autoSpaceDE w:val="0"/>
              <w:autoSpaceDN w:val="0"/>
              <w:adjustRightInd w:val="0"/>
              <w:snapToGrid w:val="0"/>
              <w:spacing w:before="190" w:line="220" w:lineRule="auto"/>
              <w:ind w:left="54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物品供应商执照</w:t>
            </w:r>
          </w:p>
        </w:tc>
        <w:tc>
          <w:tcPr>
            <w:tcW w:w="6272" w:type="dxa"/>
            <w:tcBorders>
              <w:right w:val="single" w:color="000000" w:sz="10" w:space="0"/>
            </w:tcBorders>
            <w:vAlign w:val="top"/>
          </w:tcPr>
          <w:p w14:paraId="01548CD2">
            <w:pPr>
              <w:rPr>
                <w:rFonts w:ascii="Arial"/>
                <w:color w:val="auto"/>
                <w:sz w:val="21"/>
                <w:highlight w:val="none"/>
              </w:rPr>
            </w:pPr>
          </w:p>
        </w:tc>
      </w:tr>
      <w:tr w14:paraId="6FB8B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52F06AE3">
            <w:pPr>
              <w:kinsoku w:val="0"/>
              <w:autoSpaceDE w:val="0"/>
              <w:autoSpaceDN w:val="0"/>
              <w:adjustRightInd w:val="0"/>
              <w:snapToGrid w:val="0"/>
              <w:spacing w:before="162" w:line="221" w:lineRule="auto"/>
              <w:ind w:left="228"/>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食堂仓库物品出入台账</w:t>
            </w:r>
          </w:p>
        </w:tc>
        <w:tc>
          <w:tcPr>
            <w:tcW w:w="6272" w:type="dxa"/>
            <w:tcBorders>
              <w:right w:val="single" w:color="000000" w:sz="10" w:space="0"/>
            </w:tcBorders>
            <w:vAlign w:val="top"/>
          </w:tcPr>
          <w:p w14:paraId="5DB16F5C">
            <w:pPr>
              <w:rPr>
                <w:rFonts w:ascii="Arial"/>
                <w:color w:val="auto"/>
                <w:sz w:val="21"/>
                <w:highlight w:val="none"/>
              </w:rPr>
            </w:pPr>
          </w:p>
        </w:tc>
      </w:tr>
      <w:tr w14:paraId="32283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571" w:type="dxa"/>
            <w:tcBorders>
              <w:left w:val="single" w:color="000000" w:sz="10" w:space="0"/>
            </w:tcBorders>
            <w:vAlign w:val="top"/>
          </w:tcPr>
          <w:p w14:paraId="761EA9C3">
            <w:pPr>
              <w:kinsoku w:val="0"/>
              <w:autoSpaceDE w:val="0"/>
              <w:autoSpaceDN w:val="0"/>
              <w:adjustRightInd w:val="0"/>
              <w:snapToGrid w:val="0"/>
              <w:spacing w:before="165" w:line="221" w:lineRule="auto"/>
              <w:ind w:left="65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2"/>
                <w:kern w:val="0"/>
                <w:sz w:val="21"/>
                <w:szCs w:val="21"/>
                <w:highlight w:val="none"/>
                <w:lang w:val="en-US" w:eastAsia="en-US" w:bidi="ar-SA"/>
              </w:rPr>
              <w:t>厨房整体卫生</w:t>
            </w:r>
          </w:p>
        </w:tc>
        <w:tc>
          <w:tcPr>
            <w:tcW w:w="6272" w:type="dxa"/>
            <w:tcBorders>
              <w:right w:val="single" w:color="000000" w:sz="10" w:space="0"/>
            </w:tcBorders>
            <w:vAlign w:val="top"/>
          </w:tcPr>
          <w:p w14:paraId="73833BB5">
            <w:pPr>
              <w:rPr>
                <w:rFonts w:ascii="Arial"/>
                <w:color w:val="auto"/>
                <w:sz w:val="21"/>
                <w:highlight w:val="none"/>
              </w:rPr>
            </w:pPr>
          </w:p>
        </w:tc>
      </w:tr>
      <w:tr w14:paraId="41514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547F1310">
            <w:pPr>
              <w:kinsoku w:val="0"/>
              <w:autoSpaceDE w:val="0"/>
              <w:autoSpaceDN w:val="0"/>
              <w:adjustRightInd w:val="0"/>
              <w:snapToGrid w:val="0"/>
              <w:spacing w:before="165" w:line="221" w:lineRule="auto"/>
              <w:ind w:left="64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仓库整体卫生</w:t>
            </w:r>
          </w:p>
        </w:tc>
        <w:tc>
          <w:tcPr>
            <w:tcW w:w="6272" w:type="dxa"/>
            <w:tcBorders>
              <w:right w:val="single" w:color="000000" w:sz="10" w:space="0"/>
            </w:tcBorders>
            <w:vAlign w:val="top"/>
          </w:tcPr>
          <w:p w14:paraId="373F6196">
            <w:pPr>
              <w:rPr>
                <w:rFonts w:ascii="Arial"/>
                <w:color w:val="auto"/>
                <w:sz w:val="21"/>
                <w:highlight w:val="none"/>
              </w:rPr>
            </w:pPr>
          </w:p>
        </w:tc>
      </w:tr>
      <w:tr w14:paraId="67A1C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2571" w:type="dxa"/>
            <w:tcBorders>
              <w:left w:val="single" w:color="000000" w:sz="10" w:space="0"/>
            </w:tcBorders>
            <w:vAlign w:val="top"/>
          </w:tcPr>
          <w:p w14:paraId="501AF79F">
            <w:pPr>
              <w:kinsoku w:val="0"/>
              <w:autoSpaceDE w:val="0"/>
              <w:autoSpaceDN w:val="0"/>
              <w:adjustRightInd w:val="0"/>
              <w:snapToGrid w:val="0"/>
              <w:spacing w:before="167" w:line="221" w:lineRule="auto"/>
              <w:ind w:left="435"/>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职工就餐大局卫生</w:t>
            </w:r>
          </w:p>
        </w:tc>
        <w:tc>
          <w:tcPr>
            <w:tcW w:w="6272" w:type="dxa"/>
            <w:tcBorders>
              <w:right w:val="single" w:color="000000" w:sz="10" w:space="0"/>
            </w:tcBorders>
            <w:vAlign w:val="top"/>
          </w:tcPr>
          <w:p w14:paraId="483E0E4B">
            <w:pPr>
              <w:rPr>
                <w:rFonts w:ascii="Arial"/>
                <w:color w:val="auto"/>
                <w:sz w:val="21"/>
                <w:highlight w:val="none"/>
              </w:rPr>
            </w:pPr>
          </w:p>
        </w:tc>
      </w:tr>
      <w:tr w14:paraId="31DB9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4FE6EA1D">
            <w:pPr>
              <w:kinsoku w:val="0"/>
              <w:autoSpaceDE w:val="0"/>
              <w:autoSpaceDN w:val="0"/>
              <w:adjustRightInd w:val="0"/>
              <w:snapToGrid w:val="0"/>
              <w:spacing w:before="168" w:line="221" w:lineRule="auto"/>
              <w:ind w:left="43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碗筷消毒登记记录</w:t>
            </w:r>
          </w:p>
        </w:tc>
        <w:tc>
          <w:tcPr>
            <w:tcW w:w="6272" w:type="dxa"/>
            <w:tcBorders>
              <w:right w:val="single" w:color="000000" w:sz="10" w:space="0"/>
            </w:tcBorders>
            <w:vAlign w:val="top"/>
          </w:tcPr>
          <w:p w14:paraId="0FA12985">
            <w:pPr>
              <w:rPr>
                <w:rFonts w:ascii="Arial"/>
                <w:color w:val="auto"/>
                <w:sz w:val="21"/>
                <w:highlight w:val="none"/>
              </w:rPr>
            </w:pPr>
          </w:p>
        </w:tc>
      </w:tr>
      <w:tr w14:paraId="7C20D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571" w:type="dxa"/>
            <w:tcBorders>
              <w:left w:val="single" w:color="000000" w:sz="10" w:space="0"/>
            </w:tcBorders>
            <w:vAlign w:val="top"/>
          </w:tcPr>
          <w:p w14:paraId="222FECF2">
            <w:pPr>
              <w:kinsoku w:val="0"/>
              <w:autoSpaceDE w:val="0"/>
              <w:autoSpaceDN w:val="0"/>
              <w:adjustRightInd w:val="0"/>
              <w:snapToGrid w:val="0"/>
              <w:spacing w:before="169" w:line="221" w:lineRule="auto"/>
              <w:ind w:left="43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食品留样登记记录</w:t>
            </w:r>
          </w:p>
        </w:tc>
        <w:tc>
          <w:tcPr>
            <w:tcW w:w="6272" w:type="dxa"/>
            <w:tcBorders>
              <w:right w:val="single" w:color="000000" w:sz="10" w:space="0"/>
            </w:tcBorders>
            <w:vAlign w:val="top"/>
          </w:tcPr>
          <w:p w14:paraId="4ABD1671">
            <w:pPr>
              <w:rPr>
                <w:rFonts w:ascii="Arial"/>
                <w:color w:val="auto"/>
                <w:sz w:val="21"/>
                <w:highlight w:val="none"/>
              </w:rPr>
            </w:pPr>
          </w:p>
        </w:tc>
      </w:tr>
      <w:tr w14:paraId="554DF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41F3EA75">
            <w:pPr>
              <w:kinsoku w:val="0"/>
              <w:autoSpaceDE w:val="0"/>
              <w:autoSpaceDN w:val="0"/>
              <w:adjustRightInd w:val="0"/>
              <w:snapToGrid w:val="0"/>
              <w:spacing w:before="171" w:line="221" w:lineRule="auto"/>
              <w:ind w:left="646"/>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潲水登记记录</w:t>
            </w:r>
          </w:p>
        </w:tc>
        <w:tc>
          <w:tcPr>
            <w:tcW w:w="6272" w:type="dxa"/>
            <w:tcBorders>
              <w:right w:val="single" w:color="000000" w:sz="10" w:space="0"/>
            </w:tcBorders>
            <w:vAlign w:val="top"/>
          </w:tcPr>
          <w:p w14:paraId="2B77409D">
            <w:pPr>
              <w:rPr>
                <w:rFonts w:ascii="Arial"/>
                <w:color w:val="auto"/>
                <w:sz w:val="21"/>
                <w:highlight w:val="none"/>
              </w:rPr>
            </w:pPr>
          </w:p>
        </w:tc>
      </w:tr>
      <w:tr w14:paraId="0862D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2571" w:type="dxa"/>
            <w:tcBorders>
              <w:left w:val="single" w:color="000000" w:sz="10" w:space="0"/>
            </w:tcBorders>
            <w:vAlign w:val="top"/>
          </w:tcPr>
          <w:p w14:paraId="26A70D73">
            <w:pPr>
              <w:kinsoku w:val="0"/>
              <w:autoSpaceDE w:val="0"/>
              <w:autoSpaceDN w:val="0"/>
              <w:adjustRightInd w:val="0"/>
              <w:snapToGrid w:val="0"/>
              <w:spacing w:before="172" w:line="221" w:lineRule="auto"/>
              <w:ind w:left="54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从业人员健康证</w:t>
            </w:r>
          </w:p>
        </w:tc>
        <w:tc>
          <w:tcPr>
            <w:tcW w:w="6272" w:type="dxa"/>
            <w:tcBorders>
              <w:right w:val="single" w:color="000000" w:sz="10" w:space="0"/>
            </w:tcBorders>
            <w:vAlign w:val="top"/>
          </w:tcPr>
          <w:p w14:paraId="6AAE1148">
            <w:pPr>
              <w:rPr>
                <w:rFonts w:ascii="Arial"/>
                <w:color w:val="auto"/>
                <w:sz w:val="21"/>
                <w:highlight w:val="none"/>
              </w:rPr>
            </w:pPr>
          </w:p>
        </w:tc>
      </w:tr>
      <w:tr w14:paraId="3D2A3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2571" w:type="dxa"/>
            <w:tcBorders>
              <w:left w:val="single" w:color="000000" w:sz="10" w:space="0"/>
            </w:tcBorders>
            <w:vAlign w:val="top"/>
          </w:tcPr>
          <w:p w14:paraId="63E4350A">
            <w:pPr>
              <w:kinsoku w:val="0"/>
              <w:autoSpaceDE w:val="0"/>
              <w:autoSpaceDN w:val="0"/>
              <w:adjustRightInd w:val="0"/>
              <w:snapToGrid w:val="0"/>
              <w:spacing w:before="173" w:line="221" w:lineRule="auto"/>
              <w:ind w:left="437"/>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从业人员卫生状况</w:t>
            </w:r>
          </w:p>
        </w:tc>
        <w:tc>
          <w:tcPr>
            <w:tcW w:w="6272" w:type="dxa"/>
            <w:tcBorders>
              <w:right w:val="single" w:color="000000" w:sz="10" w:space="0"/>
            </w:tcBorders>
            <w:vAlign w:val="top"/>
          </w:tcPr>
          <w:p w14:paraId="487CF1EA">
            <w:pPr>
              <w:rPr>
                <w:rFonts w:ascii="Arial"/>
                <w:color w:val="auto"/>
                <w:sz w:val="21"/>
                <w:highlight w:val="none"/>
              </w:rPr>
            </w:pPr>
          </w:p>
        </w:tc>
      </w:tr>
      <w:tr w14:paraId="5BAB3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571" w:type="dxa"/>
            <w:tcBorders>
              <w:left w:val="single" w:color="000000" w:sz="10" w:space="0"/>
            </w:tcBorders>
            <w:vAlign w:val="top"/>
          </w:tcPr>
          <w:p w14:paraId="458F92A8">
            <w:pPr>
              <w:kinsoku w:val="0"/>
              <w:autoSpaceDE w:val="0"/>
              <w:autoSpaceDN w:val="0"/>
              <w:adjustRightInd w:val="0"/>
              <w:snapToGrid w:val="0"/>
              <w:spacing w:before="174" w:line="221" w:lineRule="auto"/>
              <w:ind w:left="46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4"/>
                <w:kern w:val="0"/>
                <w:sz w:val="21"/>
                <w:szCs w:val="21"/>
                <w:highlight w:val="none"/>
                <w:lang w:val="en-US" w:eastAsia="en-US" w:bidi="ar-SA"/>
              </w:rPr>
              <w:t>内部人员培训记录</w:t>
            </w:r>
          </w:p>
        </w:tc>
        <w:tc>
          <w:tcPr>
            <w:tcW w:w="6272" w:type="dxa"/>
            <w:tcBorders>
              <w:right w:val="single" w:color="000000" w:sz="10" w:space="0"/>
            </w:tcBorders>
            <w:vAlign w:val="top"/>
          </w:tcPr>
          <w:p w14:paraId="3C5F9D15">
            <w:pPr>
              <w:rPr>
                <w:rFonts w:ascii="Arial"/>
                <w:color w:val="auto"/>
                <w:sz w:val="21"/>
                <w:highlight w:val="none"/>
              </w:rPr>
            </w:pPr>
          </w:p>
        </w:tc>
      </w:tr>
      <w:tr w14:paraId="037FD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4EED3EAE">
            <w:pPr>
              <w:kinsoku w:val="0"/>
              <w:autoSpaceDE w:val="0"/>
              <w:autoSpaceDN w:val="0"/>
              <w:adjustRightInd w:val="0"/>
              <w:snapToGrid w:val="0"/>
              <w:spacing w:before="175" w:line="219" w:lineRule="auto"/>
              <w:ind w:left="330"/>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有无过期、变质食品</w:t>
            </w:r>
          </w:p>
        </w:tc>
        <w:tc>
          <w:tcPr>
            <w:tcW w:w="6272" w:type="dxa"/>
            <w:tcBorders>
              <w:right w:val="single" w:color="000000" w:sz="10" w:space="0"/>
            </w:tcBorders>
            <w:vAlign w:val="top"/>
          </w:tcPr>
          <w:p w14:paraId="6AB500AF">
            <w:pPr>
              <w:rPr>
                <w:rFonts w:ascii="Arial"/>
                <w:color w:val="auto"/>
                <w:sz w:val="21"/>
                <w:highlight w:val="none"/>
              </w:rPr>
            </w:pPr>
          </w:p>
        </w:tc>
      </w:tr>
      <w:tr w14:paraId="67B86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2571" w:type="dxa"/>
            <w:tcBorders>
              <w:left w:val="single" w:color="000000" w:sz="10" w:space="0"/>
            </w:tcBorders>
            <w:vAlign w:val="top"/>
          </w:tcPr>
          <w:p w14:paraId="55FA7472">
            <w:pPr>
              <w:kinsoku w:val="0"/>
              <w:autoSpaceDE w:val="0"/>
              <w:autoSpaceDN w:val="0"/>
              <w:adjustRightInd w:val="0"/>
              <w:snapToGrid w:val="0"/>
              <w:spacing w:before="177" w:line="221" w:lineRule="auto"/>
              <w:ind w:left="122"/>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冰箱内生、熟食是否分开</w:t>
            </w:r>
          </w:p>
        </w:tc>
        <w:tc>
          <w:tcPr>
            <w:tcW w:w="6272" w:type="dxa"/>
            <w:tcBorders>
              <w:right w:val="single" w:color="000000" w:sz="10" w:space="0"/>
            </w:tcBorders>
            <w:vAlign w:val="top"/>
          </w:tcPr>
          <w:p w14:paraId="48F44F67">
            <w:pPr>
              <w:rPr>
                <w:rFonts w:ascii="Arial"/>
                <w:color w:val="auto"/>
                <w:sz w:val="21"/>
                <w:highlight w:val="none"/>
              </w:rPr>
            </w:pPr>
          </w:p>
        </w:tc>
      </w:tr>
      <w:tr w14:paraId="3C901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2571" w:type="dxa"/>
            <w:tcBorders>
              <w:left w:val="single" w:color="000000" w:sz="10" w:space="0"/>
            </w:tcBorders>
            <w:vAlign w:val="top"/>
          </w:tcPr>
          <w:p w14:paraId="16C07194">
            <w:pPr>
              <w:kinsoku w:val="0"/>
              <w:autoSpaceDE w:val="0"/>
              <w:autoSpaceDN w:val="0"/>
              <w:adjustRightInd w:val="0"/>
              <w:snapToGrid w:val="0"/>
              <w:spacing w:before="178" w:line="217" w:lineRule="auto"/>
              <w:ind w:left="963"/>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4"/>
                <w:kern w:val="0"/>
                <w:sz w:val="21"/>
                <w:szCs w:val="21"/>
                <w:highlight w:val="none"/>
                <w:lang w:val="en-US" w:eastAsia="en-US" w:bidi="ar-SA"/>
              </w:rPr>
              <w:t>其</w:t>
            </w:r>
            <w:r>
              <w:rPr>
                <w:rFonts w:ascii="宋体" w:hAnsi="宋体" w:eastAsia="宋体" w:cs="宋体"/>
                <w:snapToGrid w:val="0"/>
                <w:color w:val="auto"/>
                <w:spacing w:val="6"/>
                <w:kern w:val="0"/>
                <w:sz w:val="21"/>
                <w:szCs w:val="21"/>
                <w:highlight w:val="none"/>
                <w:lang w:val="en-US" w:eastAsia="en-US" w:bidi="ar-SA"/>
              </w:rPr>
              <w:t xml:space="preserve">  </w:t>
            </w:r>
            <w:r>
              <w:rPr>
                <w:rFonts w:ascii="宋体" w:hAnsi="宋体" w:eastAsia="宋体" w:cs="宋体"/>
                <w:snapToGrid w:val="0"/>
                <w:color w:val="auto"/>
                <w:spacing w:val="-4"/>
                <w:kern w:val="0"/>
                <w:sz w:val="21"/>
                <w:szCs w:val="21"/>
                <w:highlight w:val="none"/>
                <w:lang w:val="en-US" w:eastAsia="en-US" w:bidi="ar-SA"/>
              </w:rPr>
              <w:t>它</w:t>
            </w:r>
          </w:p>
        </w:tc>
        <w:tc>
          <w:tcPr>
            <w:tcW w:w="6272" w:type="dxa"/>
            <w:tcBorders>
              <w:right w:val="single" w:color="000000" w:sz="10" w:space="0"/>
            </w:tcBorders>
            <w:vAlign w:val="top"/>
          </w:tcPr>
          <w:p w14:paraId="00327D0D">
            <w:pPr>
              <w:rPr>
                <w:rFonts w:ascii="Arial"/>
                <w:color w:val="auto"/>
                <w:sz w:val="21"/>
                <w:highlight w:val="none"/>
              </w:rPr>
            </w:pPr>
          </w:p>
        </w:tc>
      </w:tr>
      <w:tr w14:paraId="572B6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571" w:type="dxa"/>
            <w:tcBorders>
              <w:left w:val="single" w:color="000000" w:sz="10" w:space="0"/>
            </w:tcBorders>
            <w:vAlign w:val="top"/>
          </w:tcPr>
          <w:p w14:paraId="347E301D">
            <w:pPr>
              <w:kinsoku w:val="0"/>
              <w:autoSpaceDE w:val="0"/>
              <w:autoSpaceDN w:val="0"/>
              <w:adjustRightInd w:val="0"/>
              <w:snapToGrid w:val="0"/>
              <w:spacing w:before="179" w:line="220" w:lineRule="auto"/>
              <w:ind w:left="434"/>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1"/>
                <w:kern w:val="0"/>
                <w:sz w:val="21"/>
                <w:szCs w:val="21"/>
                <w:highlight w:val="none"/>
                <w:lang w:val="en-US" w:eastAsia="en-US" w:bidi="ar-SA"/>
              </w:rPr>
              <w:t>食堂限期整改时间</w:t>
            </w:r>
          </w:p>
        </w:tc>
        <w:tc>
          <w:tcPr>
            <w:tcW w:w="6272" w:type="dxa"/>
            <w:tcBorders>
              <w:right w:val="single" w:color="000000" w:sz="10" w:space="0"/>
            </w:tcBorders>
            <w:vAlign w:val="top"/>
          </w:tcPr>
          <w:p w14:paraId="6B444EFB">
            <w:pPr>
              <w:rPr>
                <w:rFonts w:ascii="Arial"/>
                <w:color w:val="auto"/>
                <w:sz w:val="21"/>
                <w:highlight w:val="none"/>
              </w:rPr>
            </w:pPr>
          </w:p>
        </w:tc>
      </w:tr>
      <w:tr w14:paraId="6FA66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2571" w:type="dxa"/>
            <w:tcBorders>
              <w:left w:val="single" w:color="000000" w:sz="10" w:space="0"/>
              <w:bottom w:val="single" w:color="000000" w:sz="10" w:space="0"/>
            </w:tcBorders>
            <w:vAlign w:val="top"/>
          </w:tcPr>
          <w:p w14:paraId="5F33DA04">
            <w:pPr>
              <w:spacing w:line="450" w:lineRule="auto"/>
              <w:rPr>
                <w:rFonts w:ascii="Arial"/>
                <w:color w:val="auto"/>
                <w:sz w:val="21"/>
                <w:highlight w:val="none"/>
              </w:rPr>
            </w:pPr>
          </w:p>
          <w:p w14:paraId="6EE607C6">
            <w:pPr>
              <w:kinsoku w:val="0"/>
              <w:autoSpaceDE w:val="0"/>
              <w:autoSpaceDN w:val="0"/>
              <w:adjustRightInd w:val="0"/>
              <w:snapToGrid w:val="0"/>
              <w:spacing w:before="69" w:line="221" w:lineRule="auto"/>
              <w:ind w:left="699"/>
              <w:jc w:val="left"/>
              <w:textAlignment w:val="baseline"/>
              <w:rPr>
                <w:rFonts w:ascii="宋体" w:hAnsi="宋体" w:eastAsia="宋体" w:cs="宋体"/>
                <w:snapToGrid w:val="0"/>
                <w:color w:val="auto"/>
                <w:kern w:val="0"/>
                <w:sz w:val="21"/>
                <w:szCs w:val="21"/>
                <w:highlight w:val="none"/>
                <w:lang w:val="en-US" w:eastAsia="en-US" w:bidi="ar-SA"/>
              </w:rPr>
            </w:pPr>
            <w:r>
              <w:rPr>
                <w:rFonts w:ascii="宋体" w:hAnsi="宋体" w:eastAsia="宋体" w:cs="宋体"/>
                <w:snapToGrid w:val="0"/>
                <w:color w:val="auto"/>
                <w:spacing w:val="-8"/>
                <w:kern w:val="0"/>
                <w:sz w:val="21"/>
                <w:szCs w:val="21"/>
                <w:highlight w:val="none"/>
                <w:lang w:val="en-US" w:eastAsia="en-US" w:bidi="ar-SA"/>
              </w:rPr>
              <w:t>整</w:t>
            </w:r>
            <w:r>
              <w:rPr>
                <w:rFonts w:ascii="宋体" w:hAnsi="宋体" w:eastAsia="宋体" w:cs="宋体"/>
                <w:snapToGrid w:val="0"/>
                <w:color w:val="auto"/>
                <w:spacing w:val="17"/>
                <w:kern w:val="0"/>
                <w:sz w:val="21"/>
                <w:szCs w:val="21"/>
                <w:highlight w:val="none"/>
                <w:lang w:val="en-US" w:eastAsia="en-US" w:bidi="ar-SA"/>
              </w:rPr>
              <w:t xml:space="preserve"> </w:t>
            </w:r>
            <w:r>
              <w:rPr>
                <w:rFonts w:ascii="宋体" w:hAnsi="宋体" w:eastAsia="宋体" w:cs="宋体"/>
                <w:snapToGrid w:val="0"/>
                <w:color w:val="auto"/>
                <w:spacing w:val="-8"/>
                <w:kern w:val="0"/>
                <w:sz w:val="21"/>
                <w:szCs w:val="21"/>
                <w:highlight w:val="none"/>
                <w:lang w:val="en-US" w:eastAsia="en-US" w:bidi="ar-SA"/>
              </w:rPr>
              <w:t>改</w:t>
            </w:r>
            <w:r>
              <w:rPr>
                <w:rFonts w:ascii="宋体" w:hAnsi="宋体" w:eastAsia="宋体" w:cs="宋体"/>
                <w:snapToGrid w:val="0"/>
                <w:color w:val="auto"/>
                <w:spacing w:val="9"/>
                <w:kern w:val="0"/>
                <w:sz w:val="21"/>
                <w:szCs w:val="21"/>
                <w:highlight w:val="none"/>
                <w:lang w:val="en-US" w:eastAsia="en-US" w:bidi="ar-SA"/>
              </w:rPr>
              <w:t xml:space="preserve"> </w:t>
            </w:r>
            <w:r>
              <w:rPr>
                <w:rFonts w:ascii="宋体" w:hAnsi="宋体" w:eastAsia="宋体" w:cs="宋体"/>
                <w:snapToGrid w:val="0"/>
                <w:color w:val="auto"/>
                <w:spacing w:val="-8"/>
                <w:kern w:val="0"/>
                <w:sz w:val="21"/>
                <w:szCs w:val="21"/>
                <w:highlight w:val="none"/>
                <w:lang w:val="en-US" w:eastAsia="en-US" w:bidi="ar-SA"/>
              </w:rPr>
              <w:t>情</w:t>
            </w:r>
            <w:r>
              <w:rPr>
                <w:rFonts w:ascii="宋体" w:hAnsi="宋体" w:eastAsia="宋体" w:cs="宋体"/>
                <w:snapToGrid w:val="0"/>
                <w:color w:val="auto"/>
                <w:spacing w:val="11"/>
                <w:kern w:val="0"/>
                <w:sz w:val="21"/>
                <w:szCs w:val="21"/>
                <w:highlight w:val="none"/>
                <w:lang w:val="en-US" w:eastAsia="en-US" w:bidi="ar-SA"/>
              </w:rPr>
              <w:t xml:space="preserve"> </w:t>
            </w:r>
            <w:r>
              <w:rPr>
                <w:rFonts w:ascii="宋体" w:hAnsi="宋体" w:eastAsia="宋体" w:cs="宋体"/>
                <w:snapToGrid w:val="0"/>
                <w:color w:val="auto"/>
                <w:spacing w:val="-8"/>
                <w:kern w:val="0"/>
                <w:sz w:val="21"/>
                <w:szCs w:val="21"/>
                <w:highlight w:val="none"/>
                <w:lang w:val="en-US" w:eastAsia="en-US" w:bidi="ar-SA"/>
              </w:rPr>
              <w:t>况</w:t>
            </w:r>
          </w:p>
        </w:tc>
        <w:tc>
          <w:tcPr>
            <w:tcW w:w="6272" w:type="dxa"/>
            <w:tcBorders>
              <w:bottom w:val="single" w:color="000000" w:sz="10" w:space="0"/>
              <w:right w:val="single" w:color="000000" w:sz="10" w:space="0"/>
            </w:tcBorders>
            <w:vAlign w:val="top"/>
          </w:tcPr>
          <w:p w14:paraId="259DB5DE">
            <w:pPr>
              <w:rPr>
                <w:rFonts w:ascii="Arial"/>
                <w:color w:val="auto"/>
                <w:sz w:val="21"/>
                <w:highlight w:val="none"/>
              </w:rPr>
            </w:pPr>
          </w:p>
        </w:tc>
      </w:tr>
    </w:tbl>
    <w:p w14:paraId="40CCF465">
      <w:pPr>
        <w:rPr>
          <w:rFonts w:ascii="黑体" w:hAnsi="黑体" w:eastAsia="黑体" w:cs="黑体"/>
          <w:color w:val="auto"/>
          <w:spacing w:val="-2"/>
          <w:sz w:val="24"/>
          <w:szCs w:val="24"/>
          <w:highlight w:val="none"/>
        </w:rPr>
      </w:pPr>
      <w:r>
        <w:rPr>
          <w:rFonts w:ascii="黑体" w:hAnsi="黑体" w:eastAsia="黑体" w:cs="黑体"/>
          <w:color w:val="auto"/>
          <w:spacing w:val="-2"/>
          <w:sz w:val="24"/>
          <w:szCs w:val="24"/>
          <w:highlight w:val="none"/>
        </w:rPr>
        <w:br w:type="page"/>
      </w:r>
    </w:p>
    <w:p w14:paraId="385C89A8">
      <w:pPr>
        <w:numPr>
          <w:ilvl w:val="0"/>
          <w:numId w:val="7"/>
        </w:numPr>
        <w:spacing w:line="360" w:lineRule="auto"/>
        <w:jc w:val="center"/>
        <w:rPr>
          <w:b/>
          <w:bCs/>
          <w:color w:val="auto"/>
          <w:sz w:val="30"/>
          <w:szCs w:val="30"/>
          <w:highlight w:val="none"/>
        </w:rPr>
      </w:pPr>
      <w:r>
        <w:rPr>
          <w:b/>
          <w:bCs/>
          <w:color w:val="auto"/>
          <w:sz w:val="30"/>
          <w:szCs w:val="30"/>
          <w:highlight w:val="none"/>
        </w:rPr>
        <w:t>商务要求</w:t>
      </w:r>
    </w:p>
    <w:p w14:paraId="3CF989FF">
      <w:pPr>
        <w:numPr>
          <w:ilvl w:val="0"/>
          <w:numId w:val="0"/>
        </w:numPr>
        <w:spacing w:line="360" w:lineRule="auto"/>
        <w:jc w:val="center"/>
        <w:rPr>
          <w:b/>
          <w:bCs/>
          <w:color w:val="auto"/>
          <w:sz w:val="30"/>
          <w:szCs w:val="30"/>
          <w:highlight w:val="none"/>
        </w:rPr>
      </w:pPr>
      <w:r>
        <w:rPr>
          <w:b/>
          <w:bCs/>
          <w:color w:val="auto"/>
          <w:sz w:val="30"/>
          <w:szCs w:val="30"/>
          <w:highlight w:val="none"/>
        </w:rPr>
        <w:t>（项目周期、费用、权责、履约、合同终止、投标、其他）</w:t>
      </w:r>
    </w:p>
    <w:p w14:paraId="014CCD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一、项目基础信息</w:t>
      </w:r>
    </w:p>
    <w:p w14:paraId="40EF3BA3">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1.服务周期：3 年；</w:t>
      </w:r>
    </w:p>
    <w:p w14:paraId="598F0AB6">
      <w:pPr>
        <w:pStyle w:val="17"/>
        <w:spacing w:before="1" w:line="352"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2.服务地点：郴州市委大院食堂、林邑财富中心市政府二楼食堂、市委周转房食堂；</w:t>
      </w:r>
    </w:p>
    <w:p w14:paraId="684788C5">
      <w:pPr>
        <w:pStyle w:val="17"/>
        <w:spacing w:before="1" w:line="352"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3</w:t>
      </w:r>
      <w:r>
        <w:rPr>
          <w:rFonts w:hint="eastAsia" w:asciiTheme="minorEastAsia" w:hAnsiTheme="minorEastAsia" w:eastAsiaTheme="minorEastAsia" w:cstheme="minorEastAsia"/>
          <w:color w:val="auto"/>
          <w:spacing w:val="-6"/>
          <w:sz w:val="24"/>
          <w:szCs w:val="24"/>
          <w:highlight w:val="none"/>
          <w:lang w:val="en-US" w:eastAsia="en-US"/>
        </w:rPr>
        <w:t>.费用承担划分</w:t>
      </w:r>
    </w:p>
    <w:p w14:paraId="21C4AD56">
      <w:pPr>
        <w:pStyle w:val="17"/>
        <w:spacing w:before="1" w:line="352" w:lineRule="auto"/>
        <w:ind w:right="65"/>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 xml:space="preserve">  （1）</w:t>
      </w:r>
      <w:r>
        <w:rPr>
          <w:rFonts w:hint="eastAsia" w:asciiTheme="minorEastAsia" w:hAnsiTheme="minorEastAsia" w:eastAsiaTheme="minorEastAsia" w:cstheme="minorEastAsia"/>
          <w:color w:val="auto"/>
          <w:spacing w:val="-6"/>
          <w:sz w:val="24"/>
          <w:szCs w:val="24"/>
          <w:highlight w:val="none"/>
          <w:lang w:val="en-US" w:eastAsia="en-US"/>
        </w:rPr>
        <w:t>甲方承担：食堂场地、厨房设备、餐具、水费、电费、燃气费、食材采购；</w:t>
      </w:r>
    </w:p>
    <w:p w14:paraId="4DD3574F">
      <w:pPr>
        <w:pStyle w:val="17"/>
        <w:spacing w:before="1" w:line="352" w:lineRule="auto"/>
        <w:ind w:right="65" w:firstLine="228" w:firstLineChars="100"/>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（2）</w:t>
      </w:r>
      <w:r>
        <w:rPr>
          <w:rFonts w:hint="eastAsia" w:asciiTheme="minorEastAsia" w:hAnsiTheme="minorEastAsia" w:eastAsiaTheme="minorEastAsia" w:cstheme="minorEastAsia"/>
          <w:color w:val="auto"/>
          <w:spacing w:val="-6"/>
          <w:sz w:val="24"/>
          <w:szCs w:val="24"/>
          <w:highlight w:val="none"/>
          <w:lang w:val="en-US" w:eastAsia="en-US"/>
        </w:rPr>
        <w:t>本项目采用费用总包干模式，包干范围内所有成本均由中标人自行承担，包含全体人员工资、社会保险、工装、体检、资质考证、岗位培训、食品安全责任险、员工人身意外伤害保险、消杀耗材、清洁耗材、人员检测政审、各类证照办理、设备维修耗材</w:t>
      </w:r>
      <w:r>
        <w:rPr>
          <w:rFonts w:hint="eastAsia" w:asciiTheme="minorEastAsia" w:hAnsiTheme="minorEastAsia" w:eastAsiaTheme="minorEastAsia" w:cstheme="minorEastAsia"/>
          <w:color w:val="auto"/>
          <w:spacing w:val="-6"/>
          <w:sz w:val="24"/>
          <w:szCs w:val="24"/>
          <w:highlight w:val="none"/>
          <w:lang w:val="en-US" w:eastAsia="zh-CN"/>
        </w:rPr>
        <w:t>、税费</w:t>
      </w:r>
      <w:r>
        <w:rPr>
          <w:rFonts w:hint="eastAsia" w:asciiTheme="minorEastAsia" w:hAnsiTheme="minorEastAsia" w:eastAsiaTheme="minorEastAsia" w:cstheme="minorEastAsia"/>
          <w:color w:val="auto"/>
          <w:spacing w:val="-6"/>
          <w:sz w:val="24"/>
          <w:szCs w:val="24"/>
          <w:highlight w:val="none"/>
          <w:lang w:val="en-US" w:eastAsia="en-US"/>
        </w:rPr>
        <w:t>等全部运营劳务相关支出。</w:t>
      </w:r>
    </w:p>
    <w:p w14:paraId="4FB7F8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二、投标相关商务要求</w:t>
      </w:r>
    </w:p>
    <w:p w14:paraId="046026F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1.现场踏勘：投标人可自行踏勘现场，踏勘产生交通、人身意外等全部费用、风险由投标人自行承担；</w:t>
      </w:r>
    </w:p>
    <w:p w14:paraId="6EB306B9">
      <w:pPr>
        <w:pStyle w:val="17"/>
        <w:spacing w:before="1" w:line="352"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2.投标响应：投标人须针对本采购需求全部条款逐条响应，提供书面承诺文件；</w:t>
      </w:r>
    </w:p>
    <w:p w14:paraId="33BD071F">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3.关键承诺：投标文件中必须单独承诺 “连续两月考核不合格甲方可单方解除合同” 条款。</w:t>
      </w:r>
    </w:p>
    <w:p w14:paraId="006E62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三、双方权责商务约定</w:t>
      </w:r>
    </w:p>
    <w:p w14:paraId="3ED721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（一）甲方权责</w:t>
      </w:r>
    </w:p>
    <w:p w14:paraId="095371E2">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1.移交食堂场地、设备、水电气，组织清产核资出具设备清单；</w:t>
      </w:r>
    </w:p>
    <w:p w14:paraId="1C12169E">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2.每季度、每月开展服务考核、职工满意度调查，依据考核结果结算服务费；</w:t>
      </w:r>
    </w:p>
    <w:p w14:paraId="76C43BAF">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3.监督中标人食品安全、人员、卫生、安全全流程管理，下发整改通知并限期整改；</w:t>
      </w:r>
    </w:p>
    <w:p w14:paraId="54AB563B">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4.发生食品安全、重大服务问题时，启动应急接管预案，保障机关不间断供餐。</w:t>
      </w:r>
    </w:p>
    <w:p w14:paraId="0C2D49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（二）中标人商务责任</w:t>
      </w:r>
    </w:p>
    <w:p w14:paraId="62FB6206">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1.独立承担食堂经营范围内全部民事、行政、刑事责任，用工、食品安全、安全事故所有纠纷与甲方无涉；</w:t>
      </w:r>
    </w:p>
    <w:p w14:paraId="588212D2">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2.妥善保管甲方移交设备，到期按清单归还，人为损坏照价赔偿；</w:t>
      </w:r>
    </w:p>
    <w:p w14:paraId="6AB37B5A">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3.无条件配合甲方扶贫采购、节约宣传、各类会议接待、临时突击供餐任务；</w:t>
      </w:r>
    </w:p>
    <w:p w14:paraId="5391AB6C">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4.完整留存全部台账、巡查记录、人员档案、留样记录，随时接受甲方及市场监管部门检查。</w:t>
      </w:r>
    </w:p>
    <w:p w14:paraId="6DD124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四、合同终止与退出机制</w:t>
      </w:r>
    </w:p>
    <w:p w14:paraId="447C85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（一）甲方可单方解除合同情形</w:t>
      </w:r>
    </w:p>
    <w:p w14:paraId="653E1624">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1.发生群体性食物中毒、重大食品安全事故；</w:t>
      </w:r>
    </w:p>
    <w:p w14:paraId="16E64208">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2.食品安全问题被监管部门处罚且逾期未整改到位；</w:t>
      </w:r>
    </w:p>
    <w:p w14:paraId="62285886">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3.存在转包、分包、挂靠行为；</w:t>
      </w:r>
    </w:p>
    <w:p w14:paraId="7804E605">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4.连续两个月月度考核不合格；</w:t>
      </w:r>
    </w:p>
    <w:p w14:paraId="0FD0C8EC">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5.严重违反甲方管理制度，造成重大负面舆情或不良影响。</w:t>
      </w:r>
    </w:p>
    <w:p w14:paraId="19FE66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（二）退出商务要求</w:t>
      </w:r>
    </w:p>
    <w:p w14:paraId="2CB6B667">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zh-CN"/>
        </w:rPr>
        <w:t>合同解除后，中标人须在甲方规定时限内全部人员、物资撤离；甲方同步启动应急供餐，中标人不得阻挠、干扰正常就餐保障。</w:t>
      </w:r>
    </w:p>
    <w:p w14:paraId="572307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五、不可抗力约定</w:t>
      </w:r>
    </w:p>
    <w:p w14:paraId="458B5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56" w:firstLineChars="200"/>
        <w:jc w:val="left"/>
        <w:rPr>
          <w:rFonts w:hint="eastAsia" w:asciiTheme="minorEastAsia" w:hAnsiTheme="minorEastAsia" w:eastAsiaTheme="minorEastAsia" w:cstheme="minorEastAsia"/>
          <w:snapToGrid w:val="0"/>
          <w:color w:val="auto"/>
          <w:spacing w:val="-6"/>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6"/>
          <w:kern w:val="0"/>
          <w:sz w:val="24"/>
          <w:szCs w:val="24"/>
          <w:highlight w:val="none"/>
          <w:lang w:val="en-US" w:eastAsia="zh-CN" w:bidi="ar-SA"/>
        </w:rPr>
        <w:t>因自然灾害、战争、政府征收管控等不可抗力导致无法正常提供服务，合同可自动解除，甲乙双方互不承担违约责任。</w:t>
      </w:r>
    </w:p>
    <w:p w14:paraId="161CF1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z w:val="24"/>
          <w:szCs w:val="24"/>
          <w:highlight w:val="none"/>
        </w:rPr>
        <w:t>六、其他商务补充</w:t>
      </w:r>
    </w:p>
    <w:p w14:paraId="7AB3D4A3">
      <w:pPr>
        <w:pStyle w:val="17"/>
        <w:spacing w:before="1" w:line="360" w:lineRule="auto"/>
        <w:ind w:left="42" w:right="65" w:firstLine="478"/>
        <w:rPr>
          <w:rFonts w:hint="eastAsia" w:asciiTheme="minorEastAsia" w:hAnsiTheme="minorEastAsia" w:eastAsiaTheme="minorEastAsia" w:cstheme="minorEastAsia"/>
          <w:color w:val="auto"/>
          <w:spacing w:val="-6"/>
          <w:sz w:val="24"/>
          <w:szCs w:val="24"/>
          <w:highlight w:val="none"/>
          <w:lang w:val="en-US" w:eastAsia="en-US"/>
        </w:rPr>
      </w:pPr>
      <w:r>
        <w:rPr>
          <w:rFonts w:hint="eastAsia" w:asciiTheme="minorEastAsia" w:hAnsiTheme="minorEastAsia" w:eastAsiaTheme="minorEastAsia" w:cstheme="minorEastAsia"/>
          <w:color w:val="auto"/>
          <w:spacing w:val="-6"/>
          <w:sz w:val="24"/>
          <w:szCs w:val="24"/>
          <w:highlight w:val="none"/>
          <w:lang w:val="en-US" w:eastAsia="en-US"/>
        </w:rPr>
        <w:t>其他未说明事项或者需要补充的部分，采购人与</w:t>
      </w:r>
      <w:r>
        <w:rPr>
          <w:rFonts w:hint="eastAsia" w:asciiTheme="minorEastAsia" w:hAnsiTheme="minorEastAsia" w:eastAsiaTheme="minorEastAsia" w:cstheme="minorEastAsia"/>
          <w:color w:val="auto"/>
          <w:spacing w:val="-6"/>
          <w:sz w:val="24"/>
          <w:szCs w:val="24"/>
          <w:highlight w:val="none"/>
          <w:lang w:val="en-US" w:eastAsia="zh-CN"/>
        </w:rPr>
        <w:t>中标人</w:t>
      </w:r>
      <w:r>
        <w:rPr>
          <w:rFonts w:hint="eastAsia" w:asciiTheme="minorEastAsia" w:hAnsiTheme="minorEastAsia" w:eastAsiaTheme="minorEastAsia" w:cstheme="minorEastAsia"/>
          <w:color w:val="auto"/>
          <w:spacing w:val="-6"/>
          <w:sz w:val="24"/>
          <w:szCs w:val="24"/>
          <w:highlight w:val="none"/>
          <w:lang w:val="en-US" w:eastAsia="en-US"/>
        </w:rPr>
        <w:t>双方在签订合同时自行约定。</w:t>
      </w:r>
    </w:p>
    <w:p w14:paraId="7D0462BB">
      <w:pPr>
        <w:pStyle w:val="17"/>
        <w:spacing w:before="1" w:line="360" w:lineRule="auto"/>
        <w:ind w:left="42" w:right="65" w:firstLine="478"/>
        <w:rPr>
          <w:rFonts w:hint="eastAsia" w:asciiTheme="minorEastAsia" w:hAnsiTheme="minorEastAsia" w:eastAsiaTheme="minorEastAsia" w:cstheme="minorEastAsia"/>
          <w:b/>
          <w:bCs/>
          <w:color w:val="auto"/>
          <w:spacing w:val="-6"/>
          <w:sz w:val="24"/>
          <w:szCs w:val="24"/>
          <w:highlight w:val="none"/>
          <w:lang w:val="en-US" w:eastAsia="en-US"/>
        </w:rPr>
      </w:pPr>
    </w:p>
    <w:p w14:paraId="104C2BC9">
      <w:pPr>
        <w:pStyle w:val="17"/>
        <w:spacing w:before="1" w:line="360" w:lineRule="auto"/>
        <w:ind w:left="42" w:right="65" w:firstLine="478"/>
        <w:rPr>
          <w:rFonts w:hint="eastAsia" w:asciiTheme="minorEastAsia" w:hAnsiTheme="minorEastAsia" w:eastAsiaTheme="minorEastAsia" w:cstheme="minorEastAsia"/>
          <w:b/>
          <w:bCs/>
          <w:color w:val="auto"/>
          <w:spacing w:val="-6"/>
          <w:sz w:val="24"/>
          <w:szCs w:val="24"/>
          <w:highlight w:val="none"/>
          <w:lang w:val="en-US" w:eastAsia="en-US"/>
        </w:rPr>
      </w:pPr>
      <w:r>
        <w:rPr>
          <w:rFonts w:hint="eastAsia" w:asciiTheme="minorEastAsia" w:hAnsiTheme="minorEastAsia" w:eastAsiaTheme="minorEastAsia" w:cstheme="minorEastAsia"/>
          <w:b/>
          <w:bCs/>
          <w:color w:val="auto"/>
          <w:spacing w:val="-6"/>
          <w:sz w:val="24"/>
          <w:szCs w:val="24"/>
          <w:highlight w:val="none"/>
          <w:lang w:val="en-US" w:eastAsia="en-US"/>
        </w:rPr>
        <w:t>对于上述项目要求，投标人应在投标文件中进行回应，作出承诺及说明。</w:t>
      </w:r>
    </w:p>
    <w:p w14:paraId="63F46041">
      <w:pPr>
        <w:adjustRightInd w:val="0"/>
        <w:snapToGrid w:val="0"/>
        <w:spacing w:line="430" w:lineRule="exact"/>
        <w:rPr>
          <w:rFonts w:hint="eastAsia" w:ascii="宋体" w:hAnsi="宋体" w:eastAsia="宋体" w:cs="Times New Roman"/>
          <w:color w:val="auto"/>
          <w:szCs w:val="21"/>
          <w:highlight w:val="none"/>
          <w:lang w:eastAsia="zh-CN"/>
        </w:rPr>
      </w:pPr>
    </w:p>
    <w:p w14:paraId="6A5500A7">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52DE7D7">
      <w:pPr>
        <w:pStyle w:val="23"/>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第六章 政府采购合同</w:t>
      </w:r>
      <w:bookmarkEnd w:id="162"/>
      <w:bookmarkEnd w:id="163"/>
      <w:bookmarkEnd w:id="164"/>
    </w:p>
    <w:p w14:paraId="6CBE3C6E">
      <w:pPr>
        <w:widowControl/>
        <w:jc w:val="left"/>
        <w:rPr>
          <w:color w:val="auto"/>
          <w:highlight w:val="none"/>
        </w:rPr>
      </w:pPr>
      <w:bookmarkStart w:id="165" w:name="_Toc1441"/>
      <w:bookmarkStart w:id="166" w:name="_Toc27385"/>
      <w:bookmarkStart w:id="167" w:name="_Toc29913945"/>
      <w:r>
        <w:rPr>
          <w:rFonts w:ascii="仿宋" w:hAnsi="仿宋" w:eastAsia="仿宋" w:cs="仿宋"/>
          <w:color w:val="auto"/>
          <w:kern w:val="0"/>
          <w:sz w:val="24"/>
          <w:highlight w:val="none"/>
        </w:rPr>
        <w:t>（请按照《中华人民共和国民法典》及本采购项目特点自行拟定特定文本确定合同格</w:t>
      </w:r>
      <w:r>
        <w:rPr>
          <w:rFonts w:hint="eastAsia" w:ascii="仿宋" w:hAnsi="仿宋" w:eastAsia="仿宋" w:cs="仿宋"/>
          <w:color w:val="auto"/>
          <w:kern w:val="0"/>
          <w:sz w:val="24"/>
          <w:highlight w:val="none"/>
        </w:rPr>
        <w:t>式，本协议书仅供参考，不作限制）</w:t>
      </w:r>
    </w:p>
    <w:p w14:paraId="0C483045">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第一节 政府采购合同协议书</w:t>
      </w:r>
      <w:bookmarkEnd w:id="165"/>
      <w:bookmarkEnd w:id="166"/>
      <w:bookmarkEnd w:id="167"/>
    </w:p>
    <w:p w14:paraId="2F3FF17A">
      <w:pPr>
        <w:adjustRightInd w:val="0"/>
        <w:snapToGrid w:val="0"/>
        <w:spacing w:before="156" w:beforeLines="50" w:line="360" w:lineRule="auto"/>
        <w:ind w:firstLine="5460" w:firstLineChars="2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采购合同编号：</w:t>
      </w:r>
      <w:r>
        <w:rPr>
          <w:rFonts w:hint="eastAsia" w:ascii="宋体" w:hAnsi="宋体" w:eastAsia="宋体" w:cs="宋体"/>
          <w:color w:val="auto"/>
          <w:szCs w:val="21"/>
          <w:highlight w:val="none"/>
          <w:u w:val="single"/>
        </w:rPr>
        <w:t xml:space="preserve">                 </w:t>
      </w:r>
    </w:p>
    <w:p w14:paraId="444FB695">
      <w:pPr>
        <w:adjustRightInd w:val="0"/>
        <w:snapToGrid w:val="0"/>
        <w:spacing w:before="156" w:beforeLines="50" w:line="360" w:lineRule="auto"/>
        <w:jc w:val="center"/>
        <w:rPr>
          <w:rFonts w:hint="eastAsia" w:ascii="宋体" w:hAnsi="宋体" w:eastAsia="宋体" w:cs="宋体"/>
          <w:b/>
          <w:color w:val="auto"/>
          <w:szCs w:val="21"/>
          <w:highlight w:val="none"/>
        </w:rPr>
      </w:pPr>
    </w:p>
    <w:p w14:paraId="034B69DE">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20E19D26">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69D11D49">
      <w:pPr>
        <w:pStyle w:val="18"/>
        <w:adjustRightInd w:val="0"/>
        <w:snapToGrid w:val="0"/>
        <w:spacing w:before="156" w:beforeLines="50" w:after="0" w:line="360" w:lineRule="auto"/>
        <w:rPr>
          <w:rFonts w:hint="eastAsia" w:ascii="宋体" w:hAnsi="宋体" w:eastAsia="宋体" w:cs="宋体"/>
          <w:color w:val="auto"/>
          <w:szCs w:val="21"/>
          <w:highlight w:val="none"/>
        </w:rPr>
      </w:pPr>
    </w:p>
    <w:p w14:paraId="170CB97E">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为了保护甲、乙双方合法权益，根据《中华人民共和国民法典》、《中华人民共和国政府采购法》及其他有关法律、法规、规章，双方签订本合同协议书。</w:t>
      </w:r>
    </w:p>
    <w:p w14:paraId="14B25375">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1.项目信息</w:t>
      </w:r>
    </w:p>
    <w:p w14:paraId="628ED138">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（1）采购项目名称：</w:t>
      </w:r>
      <w:r>
        <w:rPr>
          <w:rFonts w:hint="eastAsia" w:ascii="宋体" w:hAnsi="宋体" w:eastAsia="宋体" w:cs="宋体"/>
          <w:color w:val="auto"/>
          <w:szCs w:val="21"/>
          <w:highlight w:val="none"/>
          <w:u w:val="single"/>
        </w:rPr>
        <w:t xml:space="preserve">                                          </w:t>
      </w:r>
    </w:p>
    <w:p w14:paraId="5A10381C">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2364839">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r>
        <w:rPr>
          <w:rFonts w:hint="eastAsia" w:ascii="宋体" w:hAnsi="宋体" w:eastAsia="宋体" w:cs="宋体"/>
          <w:color w:val="auto"/>
          <w:szCs w:val="21"/>
          <w:highlight w:val="none"/>
          <w:u w:val="single"/>
        </w:rPr>
        <w:t xml:space="preserve">                             </w:t>
      </w:r>
    </w:p>
    <w:p w14:paraId="7A213A7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（4）是否分包：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8F33FB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A4308A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（6）联系电话：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70FE2AE">
      <w:pPr>
        <w:adjustRightInd w:val="0"/>
        <w:snapToGrid w:val="0"/>
        <w:spacing w:before="156" w:beforeLines="50"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2.合同金额</w:t>
      </w:r>
    </w:p>
    <w:p w14:paraId="7E0647F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p>
    <w:p w14:paraId="6FD27E0F">
      <w:pPr>
        <w:adjustRightInd w:val="0"/>
        <w:snapToGrid w:val="0"/>
        <w:spacing w:before="156" w:beforeLines="50" w:line="360" w:lineRule="auto"/>
        <w:ind w:firstLine="1260" w:firstLineChars="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p w14:paraId="55FC64D9">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（2）具体标的见附件。</w:t>
      </w:r>
    </w:p>
    <w:p w14:paraId="5DE408C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（3）合同定价方式：</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固定单价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p>
    <w:p w14:paraId="4E3939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（4）付款方式（按项目实际勾选填写）：</w:t>
      </w:r>
    </w:p>
    <w:p w14:paraId="7730BE96">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（应一次性支付全部合同款项）                    </w:t>
      </w:r>
    </w:p>
    <w:p w14:paraId="6FCC3E01">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u w:val="single"/>
        </w:rPr>
        <w:t xml:space="preserve">    （应明确预付款的支付比例和支付条件）               </w:t>
      </w:r>
    </w:p>
    <w:p w14:paraId="7C199EDE">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（应按照季度分期支付合同款项）                   </w:t>
      </w:r>
    </w:p>
    <w:p w14:paraId="2A7722A8">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（应明确按照成本补偿方式的支付方式和支付条件）   </w:t>
      </w:r>
    </w:p>
    <w:p w14:paraId="285F6689">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（应明确按照绩效激励方式的支付方式和支付条件）   </w:t>
      </w:r>
    </w:p>
    <w:p w14:paraId="1F63B8C4">
      <w:pPr>
        <w:adjustRightInd w:val="0"/>
        <w:snapToGrid w:val="0"/>
        <w:spacing w:before="156" w:beforeLines="50"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3.合同履行</w:t>
      </w:r>
    </w:p>
    <w:p w14:paraId="51338916">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日。总日历天数：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w:t>
      </w:r>
    </w:p>
    <w:p w14:paraId="0DF55882">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u w:val="single"/>
        </w:rPr>
        <w:t xml:space="preserve">                             </w:t>
      </w:r>
    </w:p>
    <w:p w14:paraId="1CF3A4EB">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（3）方式：</w:t>
      </w:r>
      <w:r>
        <w:rPr>
          <w:rFonts w:hint="eastAsia" w:ascii="宋体" w:hAnsi="宋体" w:eastAsia="宋体" w:cs="宋体"/>
          <w:color w:val="auto"/>
          <w:szCs w:val="21"/>
          <w:highlight w:val="none"/>
          <w:u w:val="single"/>
        </w:rPr>
        <w:t xml:space="preserve">                             </w:t>
      </w:r>
    </w:p>
    <w:p w14:paraId="17562FF9">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（3）质量保证金：</w:t>
      </w:r>
      <w:r>
        <w:rPr>
          <w:rFonts w:hint="eastAsia" w:ascii="宋体" w:hAnsi="宋体" w:eastAsia="宋体" w:cs="宋体"/>
          <w:bCs/>
          <w:color w:val="auto"/>
          <w:szCs w:val="21"/>
          <w:highlight w:val="none"/>
          <w:u w:val="single"/>
        </w:rPr>
        <w:t>质量保证金的金额、形式和期限要求</w:t>
      </w:r>
      <w:r>
        <w:rPr>
          <w:rFonts w:hint="eastAsia" w:ascii="宋体" w:hAnsi="宋体" w:eastAsia="宋体" w:cs="宋体"/>
          <w:bCs/>
          <w:color w:val="auto"/>
          <w:szCs w:val="21"/>
          <w:highlight w:val="none"/>
        </w:rPr>
        <w:t>。</w:t>
      </w:r>
    </w:p>
    <w:p w14:paraId="3D27C4EB">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4.合同验收</w:t>
      </w:r>
    </w:p>
    <w:p w14:paraId="2B35F68F">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（1）验收主体：</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43D6D184">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（2）验收方式：</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0A595559">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（3）验收标准：</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092C48B6">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5.组成合同的文件</w:t>
      </w:r>
    </w:p>
    <w:p w14:paraId="4301D281">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71110B1B">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（1）在采购或合同履行过程中乙方作出的承诺以及双方协商达成的变更或补充协议</w:t>
      </w:r>
      <w:r>
        <w:rPr>
          <w:rFonts w:hint="eastAsia" w:ascii="宋体" w:hAnsi="宋体" w:eastAsia="宋体" w:cs="宋体"/>
          <w:color w:val="auto"/>
          <w:szCs w:val="21"/>
          <w:highlight w:val="none"/>
          <w:lang w:eastAsia="zh-CN"/>
        </w:rPr>
        <w:t>；</w:t>
      </w:r>
    </w:p>
    <w:p w14:paraId="0DE690B0">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（2）本合同协议书</w:t>
      </w:r>
      <w:r>
        <w:rPr>
          <w:rFonts w:hint="eastAsia" w:ascii="宋体" w:hAnsi="宋体" w:eastAsia="宋体" w:cs="宋体"/>
          <w:color w:val="auto"/>
          <w:szCs w:val="21"/>
          <w:highlight w:val="none"/>
          <w:lang w:eastAsia="zh-CN"/>
        </w:rPr>
        <w:t>；</w:t>
      </w:r>
    </w:p>
    <w:p w14:paraId="3FC1314B">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p>
    <w:p w14:paraId="4269616E">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eastAsia="zh-CN"/>
        </w:rPr>
        <w:t>；</w:t>
      </w:r>
    </w:p>
    <w:p w14:paraId="3F0E85DF">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（5）政府采购合同专用条款</w:t>
      </w:r>
      <w:r>
        <w:rPr>
          <w:rFonts w:hint="eastAsia" w:ascii="宋体" w:hAnsi="宋体" w:eastAsia="宋体" w:cs="宋体"/>
          <w:color w:val="auto"/>
          <w:szCs w:val="21"/>
          <w:highlight w:val="none"/>
          <w:lang w:eastAsia="zh-CN"/>
        </w:rPr>
        <w:t>；</w:t>
      </w:r>
    </w:p>
    <w:p w14:paraId="50E04E33">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（6）政府采购合同通用条款</w:t>
      </w:r>
      <w:r>
        <w:rPr>
          <w:rFonts w:hint="eastAsia" w:ascii="宋体" w:hAnsi="宋体" w:eastAsia="宋体" w:cs="宋体"/>
          <w:color w:val="auto"/>
          <w:szCs w:val="21"/>
          <w:highlight w:val="none"/>
          <w:lang w:eastAsia="zh-CN"/>
        </w:rPr>
        <w:t>；</w:t>
      </w:r>
    </w:p>
    <w:p w14:paraId="37F9EA54">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（7）标准、规范及有关技术文件，图纸</w:t>
      </w:r>
      <w:r>
        <w:rPr>
          <w:rFonts w:hint="eastAsia" w:ascii="宋体" w:hAnsi="宋体" w:eastAsia="宋体" w:cs="宋体"/>
          <w:color w:val="auto"/>
          <w:szCs w:val="21"/>
          <w:highlight w:val="none"/>
          <w:lang w:eastAsia="zh-CN"/>
        </w:rPr>
        <w:t>；</w:t>
      </w:r>
    </w:p>
    <w:p w14:paraId="009C54C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55FF0B6D">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6.合同生效</w:t>
      </w:r>
    </w:p>
    <w:p w14:paraId="62DAF3CD">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723479C8">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7.合同份数</w:t>
      </w:r>
    </w:p>
    <w:p w14:paraId="35C08F23">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份，采购人执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供应</w:t>
      </w:r>
      <w:r>
        <w:rPr>
          <w:rFonts w:hint="eastAsia" w:ascii="宋体" w:hAnsi="宋体" w:eastAsia="宋体" w:cs="宋体"/>
          <w:color w:val="auto"/>
          <w:szCs w:val="21"/>
          <w:highlight w:val="none"/>
        </w:rPr>
        <w:t>商执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33919346">
      <w:pPr>
        <w:adjustRightInd w:val="0"/>
        <w:snapToGrid w:val="0"/>
        <w:spacing w:before="156" w:beforeLines="50" w:line="360" w:lineRule="auto"/>
        <w:rPr>
          <w:rFonts w:hint="eastAsia" w:ascii="宋体" w:hAnsi="宋体" w:eastAsia="宋体" w:cs="宋体"/>
          <w:color w:val="auto"/>
          <w:szCs w:val="21"/>
          <w:highlight w:val="none"/>
        </w:rPr>
      </w:pPr>
    </w:p>
    <w:p w14:paraId="0E486A1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年  月  日</w:t>
      </w:r>
    </w:p>
    <w:p w14:paraId="66A67C19">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5A9C36B7">
      <w:pPr>
        <w:adjustRightInd w:val="0"/>
        <w:snapToGrid w:val="0"/>
        <w:spacing w:before="156" w:beforeLines="50"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附件：具体标的明细、分包合同等。</w:t>
      </w:r>
    </w:p>
    <w:p w14:paraId="378C8AC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495675B">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52E99951">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7B4BACCC">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82A189A">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54461F0B">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123C99F2">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r>
        <w:rPr>
          <w:rFonts w:hint="eastAsia" w:ascii="宋体" w:hAnsi="宋体" w:eastAsia="宋体" w:cs="宋体"/>
          <w:color w:val="auto"/>
          <w:szCs w:val="21"/>
          <w:highlight w:val="none"/>
          <w:u w:val="single"/>
        </w:rPr>
        <w:t xml:space="preserve">                   </w:t>
      </w:r>
    </w:p>
    <w:p w14:paraId="53EC1416">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 xml:space="preserve">       号：</w:t>
      </w:r>
      <w:r>
        <w:rPr>
          <w:rFonts w:hint="eastAsia" w:ascii="宋体" w:hAnsi="宋体" w:eastAsia="宋体" w:cs="宋体"/>
          <w:color w:val="auto"/>
          <w:szCs w:val="21"/>
          <w:highlight w:val="none"/>
          <w:u w:val="single"/>
        </w:rPr>
        <w:t xml:space="preserve">                 </w:t>
      </w:r>
    </w:p>
    <w:p w14:paraId="3161BE6F">
      <w:pPr>
        <w:autoSpaceDE w:val="0"/>
        <w:autoSpaceDN w:val="0"/>
        <w:adjustRightInd w:val="0"/>
        <w:snapToGrid w:val="0"/>
        <w:spacing w:before="50"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szCs w:val="21"/>
          <w:highlight w:val="none"/>
          <w:u w:val="single"/>
        </w:rPr>
        <w:br w:type="page"/>
      </w:r>
    </w:p>
    <w:p w14:paraId="3C435E13">
      <w:pPr>
        <w:pStyle w:val="3"/>
        <w:adjustRightInd w:val="0"/>
        <w:snapToGrid w:val="0"/>
        <w:spacing w:before="156" w:beforeLines="50"/>
        <w:jc w:val="center"/>
        <w:rPr>
          <w:rFonts w:hint="eastAsia" w:ascii="宋体" w:hAnsi="宋体" w:eastAsia="宋体" w:cs="宋体"/>
          <w:color w:val="auto"/>
          <w:sz w:val="44"/>
          <w:szCs w:val="44"/>
          <w:highlight w:val="none"/>
        </w:rPr>
      </w:pPr>
      <w:bookmarkStart w:id="168" w:name="_Toc18102"/>
      <w:bookmarkStart w:id="169" w:name="_Toc29332"/>
      <w:bookmarkStart w:id="170" w:name="_Toc29913947"/>
      <w:r>
        <w:rPr>
          <w:rFonts w:hint="eastAsia" w:ascii="宋体" w:hAnsi="宋体" w:eastAsia="宋体" w:cs="宋体"/>
          <w:color w:val="auto"/>
          <w:sz w:val="28"/>
          <w:szCs w:val="28"/>
          <w:highlight w:val="none"/>
        </w:rPr>
        <w:t>第二节 政府采购合同通用条款</w:t>
      </w:r>
      <w:bookmarkEnd w:id="168"/>
      <w:bookmarkEnd w:id="169"/>
    </w:p>
    <w:p w14:paraId="73A9101B">
      <w:pPr>
        <w:tabs>
          <w:tab w:val="left" w:pos="8820"/>
          <w:tab w:val="left" w:pos="9345"/>
          <w:tab w:val="left" w:pos="9765"/>
        </w:tabs>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bCs/>
          <w:color w:val="auto"/>
          <w:sz w:val="24"/>
          <w:highlight w:val="none"/>
        </w:rPr>
        <w:t>定义</w:t>
      </w:r>
    </w:p>
    <w:p w14:paraId="1A8F92A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4525569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43BFF188">
      <w:pPr>
        <w:autoSpaceDE w:val="0"/>
        <w:autoSpaceDN w:val="0"/>
        <w:adjustRightInd w:val="0"/>
        <w:snapToGrid w:val="0"/>
        <w:spacing w:before="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（2）供应商（以下称乙方）是指参加政府采购活动而取得中标结果，并向采购人提供货物、服务的法人、其他组织或者自然人。</w:t>
      </w:r>
    </w:p>
    <w:p w14:paraId="32B08911">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166283A6">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（1）“合同”系指甲乙双方签署的、政府采购合同协议书中载明的甲乙双方所达成的协议，包括所有的附件、附录和上述文件所提到的构成合同的所有文件。</w:t>
      </w:r>
    </w:p>
    <w:p w14:paraId="49EFD956">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3D7D74D8">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34AE472D">
      <w:pPr>
        <w:tabs>
          <w:tab w:val="left" w:pos="570"/>
          <w:tab w:val="left" w:pos="888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17F31EB9">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50C3C922">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51CB8238">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2.合同的适用范围</w:t>
      </w:r>
    </w:p>
    <w:p w14:paraId="29049C8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3C0A431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1B171AFB">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color w:val="auto"/>
          <w:sz w:val="24"/>
          <w:highlight w:val="none"/>
        </w:rPr>
        <w:t>合同标的及金额</w:t>
      </w:r>
    </w:p>
    <w:p w14:paraId="4FF8AEE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697BDFF1">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color w:val="auto"/>
          <w:sz w:val="24"/>
          <w:highlight w:val="none"/>
        </w:rPr>
        <w:t>合同价款</w:t>
      </w:r>
    </w:p>
    <w:p w14:paraId="6E7C0466">
      <w:pPr>
        <w:adjustRightInd w:val="0"/>
        <w:snapToGrid w:val="0"/>
        <w:spacing w:before="50"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60044AD4">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5.履行合同的时间、地点和方式</w:t>
      </w:r>
    </w:p>
    <w:p w14:paraId="7729776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乙方应当在甲方确定的时间、指定的地点履行合同，具体的服务时间、地点和方式见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4DE41B8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3A26C7D5">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6.服务</w:t>
      </w:r>
      <w:r>
        <w:rPr>
          <w:rFonts w:hint="eastAsia" w:ascii="宋体" w:hAnsi="宋体" w:eastAsia="宋体" w:cs="宋体"/>
          <w:b/>
          <w:color w:val="auto"/>
          <w:sz w:val="24"/>
          <w:highlight w:val="none"/>
        </w:rPr>
        <w:t>的验收</w:t>
      </w:r>
    </w:p>
    <w:p w14:paraId="46C804B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6.1乙方提供的服务由甲方或者甲方的最终用户负责验收。</w:t>
      </w:r>
    </w:p>
    <w:p w14:paraId="3EA5013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6.2甲方或者甲方的最终用户应当按照采购合同规定的技术、服务等要求组织对乙方履约的验收，并出具验收书。验收书应当包括每一项技术、服务等要求的履约情况。</w:t>
      </w:r>
    </w:p>
    <w:p w14:paraId="2F0FBA5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在验收过程中发现数量不足或有质量、安全、技术等问题，乙方应负责按照甲方的要求采取补足、更换等处理措施，并承担由此发生的一切费用和损失。</w:t>
      </w:r>
    </w:p>
    <w:p w14:paraId="218A8DA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甲方在乙方按合同规定提交服务或安装、调试后，无正当理由而拖延接收、验收或拒绝接收、验收的，应承担因此给乙方造成的直接损失。</w:t>
      </w:r>
    </w:p>
    <w:p w14:paraId="614B084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6.5大型或者复杂的项目，应当邀请国家认可的质量检测机构参加验收，并由其出具验收报告单。</w:t>
      </w:r>
    </w:p>
    <w:p w14:paraId="4337748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6.6政府向社会公众提供的公共服务项目，验收时应当邀请服务对象参与并出具意见，验收结果应当向社会公告。</w:t>
      </w:r>
    </w:p>
    <w:p w14:paraId="1B4403F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乙方提供的进口产品，乙方应出示中华人民共和国进出口商品检验部门出具的检验证书（招标文件第五章采购需求另有约定的除外）。</w:t>
      </w:r>
    </w:p>
    <w:p w14:paraId="22254689">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7.货物包装要求</w:t>
      </w:r>
    </w:p>
    <w:p w14:paraId="7B7272C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DC8F24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04A1B2EB">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8.运输和保险</w:t>
      </w:r>
    </w:p>
    <w:p w14:paraId="670C3B0D">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48725C96">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1EA3EC0C">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9.质量标准和保证</w:t>
      </w:r>
    </w:p>
    <w:p w14:paraId="089DE44E">
      <w:pPr>
        <w:pStyle w:val="23"/>
        <w:adjustRightInd w:val="0"/>
        <w:snapToGrid w:val="0"/>
        <w:spacing w:before="50"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rPr>
        <w:t>9.1 质量标准</w:t>
      </w:r>
    </w:p>
    <w:p w14:paraId="59333FD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（1）本合同下交付的服务应符合招标文件第四章“技术规格、参数与要求”所述的标准。如果没有提及适用标准，则应符合中华人民共和国有关机构发布的最新版本的标准。</w:t>
      </w:r>
    </w:p>
    <w:p w14:paraId="3F62D13B">
      <w:pPr>
        <w:pStyle w:val="23"/>
        <w:adjustRightInd w:val="0"/>
        <w:snapToGrid w:val="0"/>
        <w:spacing w:before="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2D5B649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（3）乙方所提供的服务还应符合国家有关安全、环保、卫生等规定。</w:t>
      </w:r>
    </w:p>
    <w:p w14:paraId="6CE27DD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3A57FBE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1421B4A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6FDA41D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0A8F433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1DE8F93F">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30A04491">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10.权利瑕疵担保</w:t>
      </w:r>
    </w:p>
    <w:p w14:paraId="1F0AFFF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乙方保证对其出售的服务享有合法的权利。</w:t>
      </w:r>
    </w:p>
    <w:p w14:paraId="50E4C47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乙方保证在其出售的服务上不存在任何未曾向甲方透露的担保物权，如抵押权、质押权、留置权等。</w:t>
      </w:r>
    </w:p>
    <w:p w14:paraId="4875AF8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如甲方使用该服务构成上述侵权的，则由乙方承担全部责任。</w:t>
      </w:r>
    </w:p>
    <w:p w14:paraId="080730D2">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11.知识产权保护</w:t>
      </w:r>
    </w:p>
    <w:p w14:paraId="1D063B8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乙方对其所提供的服务应当享有知识产权或经权利人合法授权，保证没有侵犯任何第三人的知识产权和商业秘密等权利。</w:t>
      </w:r>
    </w:p>
    <w:p w14:paraId="6BFBABF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甲方使用乙方提供的服务对第三人构成侵权的，应当由乙方承担全部法律责任，给甲方造成损害的，乙方应当承担赔偿责任。</w:t>
      </w:r>
    </w:p>
    <w:p w14:paraId="182A13D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1623B286">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12.保密义务</w:t>
      </w:r>
    </w:p>
    <w:p w14:paraId="55D8F49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0EF728F5">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13.合同价款支付</w:t>
      </w:r>
    </w:p>
    <w:p w14:paraId="7BAEDCED">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10B9CD4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0048045C">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w:t>
      </w:r>
      <w:r>
        <w:rPr>
          <w:rFonts w:hint="eastAsia" w:ascii="宋体" w:hAnsi="宋体" w:cs="宋体"/>
          <w:color w:val="auto"/>
          <w:szCs w:val="21"/>
          <w:highlight w:val="none"/>
          <w:lang w:val="en-US" w:eastAsia="zh-CN"/>
        </w:rPr>
        <w:t>日</w:t>
      </w:r>
      <w:r>
        <w:rPr>
          <w:rFonts w:hint="eastAsia" w:ascii="宋体" w:hAnsi="宋体" w:eastAsia="宋体" w:cs="宋体"/>
          <w:color w:val="auto"/>
          <w:szCs w:val="21"/>
          <w:highlight w:val="none"/>
        </w:rPr>
        <w:t>内支付。</w:t>
      </w:r>
    </w:p>
    <w:p w14:paraId="6AB39DC5">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129AD7A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30FD9730">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b/>
          <w:color w:val="auto"/>
          <w:sz w:val="24"/>
          <w:highlight w:val="none"/>
        </w:rPr>
        <w:t>乙方应提供的服务</w:t>
      </w:r>
    </w:p>
    <w:p w14:paraId="6836EA2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6FD4EA0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229FB3C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206722B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6F6CBF2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2FFC909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3FB84FE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2A15BF5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乙方提供的服务的费用应包含在合同价款中，甲方不再另行支付。</w:t>
      </w:r>
    </w:p>
    <w:p w14:paraId="42EC7DDE">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15.违约责任</w:t>
      </w:r>
    </w:p>
    <w:p w14:paraId="48BB75EE">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350A719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BD8532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334A88A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062E4C3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B82F60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02F3D6BE">
      <w:pPr>
        <w:autoSpaceDE w:val="0"/>
        <w:autoSpaceDN w:val="0"/>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迟延交付服务的违约责任</w:t>
      </w:r>
    </w:p>
    <w:p w14:paraId="5B7CF9F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96B834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2BC687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CE2A5CB">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16.合同的变更</w:t>
      </w:r>
    </w:p>
    <w:p w14:paraId="68E079A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259B6D2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36C6003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2CB3619E">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17.合同中止与终止</w:t>
      </w:r>
    </w:p>
    <w:p w14:paraId="2E223EF3">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081B842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28ACE27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（2）合同履行过程中因供应商就采购过程或结果提起投诉的，甲方认为有必要或财政部门责令中止的，应当中止合同的履行。</w:t>
      </w:r>
    </w:p>
    <w:p w14:paraId="78A1B5B8">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24AF764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5E29612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2071006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11DE878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077C340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02CEE900">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18.合同转让和分包</w:t>
      </w:r>
    </w:p>
    <w:p w14:paraId="7D807C8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226F5A5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03DF1B03">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19.不可抗力</w:t>
      </w:r>
    </w:p>
    <w:p w14:paraId="1714203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7F1C124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47F64A7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D54E852">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20.解决争议的方法</w:t>
      </w:r>
    </w:p>
    <w:p w14:paraId="0FE8E42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7947689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71E5FD1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323BE58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67EC9D6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58AEF190">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21.法律适用</w:t>
      </w:r>
    </w:p>
    <w:p w14:paraId="53486EA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7F9F30CC">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22.</w:t>
      </w:r>
      <w:r>
        <w:rPr>
          <w:rFonts w:hint="eastAsia" w:ascii="宋体" w:hAnsi="宋体" w:eastAsia="宋体" w:cs="宋体"/>
          <w:b/>
          <w:color w:val="auto"/>
          <w:sz w:val="24"/>
          <w:highlight w:val="none"/>
        </w:rPr>
        <w:t>通知</w:t>
      </w:r>
    </w:p>
    <w:p w14:paraId="502370A4">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28E8FE7A">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1CB52F53">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合同未尽事项</w:t>
      </w:r>
    </w:p>
    <w:p w14:paraId="21B5134D">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7CF35788">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24.合同生效</w:t>
      </w:r>
    </w:p>
    <w:p w14:paraId="66FC3277">
      <w:pPr>
        <w:rPr>
          <w:rFonts w:hint="eastAsia" w:ascii="宋体" w:hAnsi="宋体" w:eastAsia="宋体" w:cs="宋体"/>
          <w:color w:val="auto"/>
          <w:highlight w:val="none"/>
        </w:rPr>
      </w:pPr>
      <w:bookmarkStart w:id="171" w:name="_Toc18579"/>
      <w:r>
        <w:rPr>
          <w:rFonts w:hint="eastAsia" w:ascii="宋体" w:hAnsi="宋体" w:eastAsia="宋体" w:cs="宋体"/>
          <w:color w:val="auto"/>
          <w:highlight w:val="none"/>
        </w:rPr>
        <w:t>24.1 本合同在合同双方签字盖章后生效。</w:t>
      </w:r>
      <w:bookmarkEnd w:id="171"/>
    </w:p>
    <w:p w14:paraId="5300659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5603455">
      <w:pPr>
        <w:pStyle w:val="3"/>
        <w:bidi w:val="0"/>
        <w:jc w:val="center"/>
        <w:rPr>
          <w:rFonts w:hint="eastAsia" w:ascii="宋体" w:hAnsi="宋体" w:eastAsia="宋体" w:cs="宋体"/>
          <w:color w:val="auto"/>
          <w:sz w:val="28"/>
          <w:szCs w:val="28"/>
          <w:highlight w:val="none"/>
        </w:rPr>
      </w:pPr>
      <w:bookmarkStart w:id="172" w:name="_Toc8629"/>
      <w:r>
        <w:rPr>
          <w:rFonts w:hint="eastAsia" w:ascii="宋体" w:hAnsi="宋体" w:eastAsia="宋体" w:cs="宋体"/>
          <w:color w:val="auto"/>
          <w:sz w:val="28"/>
          <w:szCs w:val="28"/>
          <w:highlight w:val="none"/>
        </w:rPr>
        <w:t>第三节 政府采购合同专用条款</w:t>
      </w:r>
      <w:bookmarkEnd w:id="172"/>
    </w:p>
    <w:tbl>
      <w:tblPr>
        <w:tblStyle w:val="44"/>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54B3E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3FCAA91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E6FBF1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noWrap w:val="0"/>
            <w:vAlign w:val="center"/>
          </w:tcPr>
          <w:p w14:paraId="1A8F72CC">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noWrap w:val="0"/>
            <w:vAlign w:val="center"/>
          </w:tcPr>
          <w:p w14:paraId="2C1C65BA">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名称：</w:t>
            </w:r>
            <w:r>
              <w:rPr>
                <w:rFonts w:hint="eastAsia" w:cs="Times New Roman"/>
                <w:b w:val="0"/>
                <w:color w:val="auto"/>
                <w:kern w:val="2"/>
                <w:sz w:val="21"/>
                <w:szCs w:val="24"/>
                <w:highlight w:val="none"/>
                <w:lang w:val="en-US" w:eastAsia="zh-CN" w:bidi="ar-SA"/>
              </w:rPr>
              <w:t>市委、市政府机关食堂服务团队采购项目</w:t>
            </w:r>
          </w:p>
          <w:p w14:paraId="21B5E950">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地址：采购人指定地点</w:t>
            </w:r>
          </w:p>
        </w:tc>
      </w:tr>
      <w:tr w14:paraId="1DDB7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9C0FA1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9FEF31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noWrap w:val="0"/>
            <w:vAlign w:val="center"/>
          </w:tcPr>
          <w:p w14:paraId="41282994">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noWrap w:val="0"/>
            <w:vAlign w:val="center"/>
          </w:tcPr>
          <w:p w14:paraId="6FE4BFE1">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采购人指定地点</w:t>
            </w:r>
          </w:p>
        </w:tc>
      </w:tr>
      <w:tr w14:paraId="2531D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0BF17A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FD15861">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noWrap w:val="0"/>
            <w:vAlign w:val="center"/>
          </w:tcPr>
          <w:p w14:paraId="43202F5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noWrap w:val="0"/>
            <w:vAlign w:val="center"/>
          </w:tcPr>
          <w:p w14:paraId="39E1AF28">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履行合同的时间：详见第五章采购需求</w:t>
            </w:r>
          </w:p>
          <w:p w14:paraId="1439CBCE">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地点及方式：详见第五章采购需求</w:t>
            </w:r>
          </w:p>
        </w:tc>
      </w:tr>
      <w:tr w14:paraId="25B553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261AD8C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D2DEFA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noWrap w:val="0"/>
            <w:vAlign w:val="center"/>
          </w:tcPr>
          <w:p w14:paraId="6AAD090C">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noWrap w:val="0"/>
            <w:vAlign w:val="center"/>
          </w:tcPr>
          <w:p w14:paraId="7EAB9C64">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6FD28B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09F552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4B3648E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noWrap w:val="0"/>
            <w:vAlign w:val="center"/>
          </w:tcPr>
          <w:p w14:paraId="6B71DD6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noWrap w:val="0"/>
            <w:vAlign w:val="center"/>
          </w:tcPr>
          <w:p w14:paraId="7B10B176">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62074D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655CDA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6CC790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noWrap w:val="0"/>
            <w:vAlign w:val="center"/>
          </w:tcPr>
          <w:p w14:paraId="6584EE80">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noWrap w:val="0"/>
            <w:vAlign w:val="center"/>
          </w:tcPr>
          <w:p w14:paraId="08AAC53E">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30393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322BB7B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5B276C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noWrap w:val="0"/>
            <w:vAlign w:val="center"/>
          </w:tcPr>
          <w:p w14:paraId="6801207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noWrap w:val="0"/>
            <w:vAlign w:val="center"/>
          </w:tcPr>
          <w:p w14:paraId="208EA8B1">
            <w:pPr>
              <w:adjustRightInd w:val="0"/>
              <w:snapToGrid w:val="0"/>
              <w:spacing w:line="360" w:lineRule="auto"/>
              <w:jc w:val="left"/>
              <w:rPr>
                <w:rFonts w:hint="default"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r>
              <w:rPr>
                <w:rFonts w:hint="eastAsia" w:cs="Times New Roman"/>
                <w:b w:val="0"/>
                <w:color w:val="auto"/>
                <w:kern w:val="2"/>
                <w:sz w:val="21"/>
                <w:szCs w:val="24"/>
                <w:highlight w:val="none"/>
                <w:lang w:val="en-US" w:eastAsia="zh-CN" w:bidi="ar-SA"/>
              </w:rPr>
              <w:t>，具体的</w:t>
            </w:r>
            <w:r>
              <w:rPr>
                <w:rFonts w:hint="eastAsia" w:ascii="Times New Roman" w:hAnsi="Times New Roman" w:eastAsia="宋体" w:cs="Times New Roman"/>
                <w:b w:val="0"/>
                <w:color w:val="auto"/>
                <w:kern w:val="2"/>
                <w:sz w:val="21"/>
                <w:szCs w:val="24"/>
                <w:highlight w:val="none"/>
                <w:lang w:val="en-US" w:eastAsia="zh-CN" w:bidi="ar-SA"/>
              </w:rPr>
              <w:t>合同中约定</w:t>
            </w:r>
            <w:r>
              <w:rPr>
                <w:rFonts w:hint="eastAsia" w:cs="Times New Roman"/>
                <w:b w:val="0"/>
                <w:color w:val="auto"/>
                <w:kern w:val="2"/>
                <w:sz w:val="21"/>
                <w:szCs w:val="24"/>
                <w:highlight w:val="none"/>
                <w:lang w:val="en-US" w:eastAsia="zh-CN" w:bidi="ar-SA"/>
              </w:rPr>
              <w:t>。</w:t>
            </w:r>
          </w:p>
        </w:tc>
      </w:tr>
      <w:tr w14:paraId="260F66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0112D2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5EEF95D">
            <w:pP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noWrap w:val="0"/>
            <w:vAlign w:val="center"/>
          </w:tcPr>
          <w:p w14:paraId="408FFD91">
            <w:pP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noWrap w:val="0"/>
            <w:vAlign w:val="center"/>
          </w:tcPr>
          <w:p w14:paraId="61B40161">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cs="Times New Roman"/>
                <w:b w:val="0"/>
                <w:color w:val="auto"/>
                <w:kern w:val="2"/>
                <w:sz w:val="21"/>
                <w:szCs w:val="24"/>
                <w:highlight w:val="none"/>
                <w:lang w:val="en-US" w:eastAsia="zh-CN" w:bidi="ar-SA"/>
              </w:rPr>
              <w:t>具体的</w:t>
            </w:r>
            <w:r>
              <w:rPr>
                <w:rFonts w:hint="eastAsia" w:ascii="Times New Roman" w:hAnsi="Times New Roman" w:eastAsia="宋体" w:cs="Times New Roman"/>
                <w:b w:val="0"/>
                <w:color w:val="auto"/>
                <w:kern w:val="2"/>
                <w:sz w:val="21"/>
                <w:szCs w:val="24"/>
                <w:highlight w:val="none"/>
                <w:lang w:val="en-US" w:eastAsia="zh-CN" w:bidi="ar-SA"/>
              </w:rPr>
              <w:t>合同中约定</w:t>
            </w:r>
            <w:r>
              <w:rPr>
                <w:rFonts w:hint="eastAsia" w:cs="Times New Roman"/>
                <w:b w:val="0"/>
                <w:color w:val="auto"/>
                <w:kern w:val="2"/>
                <w:sz w:val="21"/>
                <w:szCs w:val="24"/>
                <w:highlight w:val="none"/>
                <w:lang w:val="en-US" w:eastAsia="zh-CN" w:bidi="ar-SA"/>
              </w:rPr>
              <w:t>。</w:t>
            </w:r>
          </w:p>
        </w:tc>
      </w:tr>
      <w:tr w14:paraId="3BFE4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54AAE8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CC42A3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noWrap w:val="0"/>
            <w:vAlign w:val="center"/>
          </w:tcPr>
          <w:p w14:paraId="38FDCFB3">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noWrap w:val="0"/>
            <w:vAlign w:val="center"/>
          </w:tcPr>
          <w:p w14:paraId="594371C0">
            <w:pPr>
              <w:pStyle w:val="43"/>
              <w:ind w:left="0" w:leftChars="0" w:firstLine="0" w:firstLineChars="0"/>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合同中约定</w:t>
            </w:r>
          </w:p>
        </w:tc>
      </w:tr>
    </w:tbl>
    <w:p w14:paraId="19CEC251">
      <w:pPr>
        <w:rPr>
          <w:color w:val="auto"/>
          <w:highlight w:val="none"/>
        </w:rPr>
      </w:pPr>
      <w:r>
        <w:rPr>
          <w:rFonts w:hint="eastAsia"/>
          <w:color w:val="auto"/>
          <w:highlight w:val="none"/>
        </w:rPr>
        <w:t>本节内容详见第五章采购需求</w:t>
      </w:r>
    </w:p>
    <w:p w14:paraId="032A722C">
      <w:pPr>
        <w:jc w:val="center"/>
        <w:rPr>
          <w:rFonts w:hint="eastAsia" w:ascii="宋体" w:hAnsi="宋体" w:eastAsia="宋体" w:cs="宋体"/>
          <w:b/>
          <w:bCs/>
          <w:color w:val="auto"/>
          <w:sz w:val="52"/>
          <w:szCs w:val="30"/>
          <w:highlight w:val="none"/>
        </w:rPr>
      </w:pPr>
      <w:r>
        <w:rPr>
          <w:rFonts w:hint="eastAsia" w:ascii="宋体" w:hAnsi="宋体" w:eastAsia="宋体" w:cs="宋体"/>
          <w:b/>
          <w:bCs/>
          <w:color w:val="auto"/>
          <w:sz w:val="28"/>
          <w:szCs w:val="28"/>
          <w:highlight w:val="none"/>
        </w:rPr>
        <w:br w:type="page"/>
      </w:r>
      <w:bookmarkEnd w:id="170"/>
    </w:p>
    <w:p w14:paraId="2C3F1DBA">
      <w:pPr>
        <w:rPr>
          <w:rFonts w:hint="eastAsia" w:ascii="宋体" w:hAnsi="宋体" w:eastAsia="宋体" w:cs="宋体"/>
          <w:color w:val="auto"/>
          <w:highlight w:val="none"/>
        </w:rPr>
      </w:pPr>
    </w:p>
    <w:p w14:paraId="7AC29D5B">
      <w:pPr>
        <w:pStyle w:val="23"/>
        <w:adjustRightInd w:val="0"/>
        <w:snapToGrid w:val="0"/>
        <w:spacing w:line="360" w:lineRule="auto"/>
        <w:jc w:val="center"/>
        <w:outlineLvl w:val="0"/>
        <w:rPr>
          <w:rFonts w:hint="eastAsia" w:ascii="宋体" w:hAnsi="宋体" w:eastAsia="宋体" w:cs="宋体"/>
          <w:b/>
          <w:color w:val="auto"/>
          <w:sz w:val="32"/>
          <w:szCs w:val="32"/>
          <w:highlight w:val="none"/>
        </w:rPr>
      </w:pPr>
      <w:bookmarkStart w:id="173" w:name="_Toc18776"/>
      <w:bookmarkStart w:id="174" w:name="_Toc23469"/>
      <w:bookmarkStart w:id="175" w:name="_Toc29913948"/>
      <w:r>
        <w:rPr>
          <w:rFonts w:hint="eastAsia" w:ascii="宋体" w:hAnsi="宋体" w:eastAsia="宋体" w:cs="宋体"/>
          <w:b/>
          <w:color w:val="auto"/>
          <w:sz w:val="32"/>
          <w:szCs w:val="32"/>
          <w:highlight w:val="none"/>
        </w:rPr>
        <w:t>第七章 投标文件的组成</w:t>
      </w:r>
      <w:bookmarkEnd w:id="173"/>
      <w:bookmarkEnd w:id="174"/>
      <w:bookmarkEnd w:id="175"/>
    </w:p>
    <w:p w14:paraId="5207E764">
      <w:pPr>
        <w:adjustRightInd w:val="0"/>
        <w:snapToGrid w:val="0"/>
        <w:spacing w:line="360" w:lineRule="auto"/>
        <w:ind w:left="-88" w:leftChars="-42"/>
        <w:jc w:val="center"/>
        <w:rPr>
          <w:rFonts w:hint="eastAsia" w:ascii="宋体" w:hAnsi="宋体" w:eastAsia="宋体" w:cs="宋体"/>
          <w:b/>
          <w:bCs/>
          <w:color w:val="auto"/>
          <w:sz w:val="32"/>
          <w:highlight w:val="none"/>
        </w:rPr>
      </w:pPr>
    </w:p>
    <w:p w14:paraId="7EEF2E01">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166BC47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119536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w:t>
      </w:r>
    </w:p>
    <w:p w14:paraId="3D96741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授权委托书</w:t>
      </w:r>
    </w:p>
    <w:p w14:paraId="64A2782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、投标人提供的资格证明文件</w:t>
      </w:r>
    </w:p>
    <w:p w14:paraId="652C290F">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1E72311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、投标函</w:t>
      </w:r>
    </w:p>
    <w:p w14:paraId="07FF03A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、分项报价</w:t>
      </w:r>
    </w:p>
    <w:p w14:paraId="21717A1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采购需求响应</w:t>
      </w:r>
    </w:p>
    <w:p w14:paraId="045A722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06A5621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69E9444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、享受政府采购政策优惠的证明资料和清单表</w:t>
      </w:r>
    </w:p>
    <w:p w14:paraId="1D9FEA7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投标服务（含配套货物）符合招标文件规定的证明文件</w:t>
      </w:r>
    </w:p>
    <w:p w14:paraId="2AD0A2D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45A3B393">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注：1、投标人应按照电子招标文件格式及投标工具编制资格证明文件，不得将其编制到商务和技术文件中。否则，由于编制失误所产生的后果，由投标人自行承担。</w:t>
      </w:r>
    </w:p>
    <w:p w14:paraId="00F2E8B6">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2、投标人应按照电子招标文件格式及投标工具编制商务和技术及综合评分表相关资料。否则，由于编制失误所产生的后果，由投标人自行承担。</w:t>
      </w:r>
    </w:p>
    <w:p w14:paraId="38300F61">
      <w:pPr>
        <w:adjustRightInd w:val="0"/>
        <w:snapToGrid w:val="0"/>
        <w:spacing w:before="156" w:beforeLines="50" w:line="360" w:lineRule="auto"/>
        <w:ind w:firstLine="422" w:firstLineChars="200"/>
        <w:jc w:val="left"/>
        <w:rPr>
          <w:rFonts w:hint="default"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3.如系统里的投标文件格式与招标文件中格式不一致处以招标文件为准。</w:t>
      </w:r>
    </w:p>
    <w:p w14:paraId="3871FC7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12312F2D">
      <w:pPr>
        <w:adjustRightInd w:val="0"/>
        <w:snapToGrid w:val="0"/>
        <w:spacing w:line="360" w:lineRule="auto"/>
        <w:jc w:val="center"/>
        <w:rPr>
          <w:rFonts w:hint="eastAsia" w:ascii="宋体" w:hAnsi="宋体" w:eastAsia="宋体" w:cs="宋体"/>
          <w:color w:val="auto"/>
          <w:szCs w:val="21"/>
          <w:highlight w:val="none"/>
        </w:rPr>
      </w:pPr>
    </w:p>
    <w:p w14:paraId="31D94B80">
      <w:pPr>
        <w:adjustRightInd w:val="0"/>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p>
    <w:p w14:paraId="415CEB54">
      <w:pPr>
        <w:adjustRightInd w:val="0"/>
        <w:snapToGrid w:val="0"/>
        <w:spacing w:line="360" w:lineRule="auto"/>
        <w:jc w:val="center"/>
        <w:rPr>
          <w:rFonts w:hint="eastAsia" w:ascii="宋体" w:hAnsi="宋体" w:eastAsia="宋体" w:cs="宋体"/>
          <w:color w:val="auto"/>
          <w:sz w:val="32"/>
          <w:szCs w:val="32"/>
          <w:highlight w:val="none"/>
        </w:rPr>
      </w:pPr>
    </w:p>
    <w:p w14:paraId="0A3833E0">
      <w:pPr>
        <w:adjustRightInd w:val="0"/>
        <w:snapToGrid w:val="0"/>
        <w:spacing w:line="360" w:lineRule="auto"/>
        <w:jc w:val="center"/>
        <w:rPr>
          <w:rFonts w:hint="eastAsia" w:ascii="宋体" w:hAnsi="宋体" w:eastAsia="宋体" w:cs="宋体"/>
          <w:color w:val="auto"/>
          <w:sz w:val="32"/>
          <w:szCs w:val="32"/>
          <w:highlight w:val="none"/>
        </w:rPr>
      </w:pPr>
    </w:p>
    <w:p w14:paraId="626E3426">
      <w:pPr>
        <w:adjustRightInd w:val="0"/>
        <w:snapToGrid w:val="0"/>
        <w:spacing w:line="360" w:lineRule="auto"/>
        <w:jc w:val="center"/>
        <w:rPr>
          <w:rFonts w:hint="eastAsia" w:ascii="宋体" w:hAnsi="宋体" w:eastAsia="宋体" w:cs="宋体"/>
          <w:color w:val="auto"/>
          <w:sz w:val="32"/>
          <w:szCs w:val="32"/>
          <w:highlight w:val="none"/>
        </w:rPr>
      </w:pPr>
    </w:p>
    <w:p w14:paraId="6C3F1339">
      <w:pPr>
        <w:pStyle w:val="23"/>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政府采购</w:t>
      </w:r>
      <w:r>
        <w:rPr>
          <w:rFonts w:hint="eastAsia" w:ascii="宋体" w:hAnsi="宋体" w:eastAsia="宋体" w:cs="宋体"/>
          <w:bCs/>
          <w:color w:val="auto"/>
          <w:sz w:val="72"/>
          <w:szCs w:val="72"/>
          <w:highlight w:val="none"/>
          <w:lang w:eastAsia="zh-CN"/>
        </w:rPr>
        <w:t>【郴州电子标】</w:t>
      </w:r>
    </w:p>
    <w:p w14:paraId="41D16C09">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3B574CB3">
      <w:pPr>
        <w:pStyle w:val="3"/>
        <w:adjustRightInd w:val="0"/>
        <w:snapToGrid w:val="0"/>
        <w:jc w:val="center"/>
        <w:rPr>
          <w:rFonts w:hint="eastAsia" w:ascii="宋体" w:hAnsi="宋体" w:eastAsia="宋体" w:cs="宋体"/>
          <w:color w:val="auto"/>
          <w:sz w:val="44"/>
          <w:szCs w:val="44"/>
          <w:highlight w:val="none"/>
        </w:rPr>
      </w:pPr>
      <w:bookmarkStart w:id="176" w:name="_Toc29913949"/>
      <w:bookmarkStart w:id="177" w:name="_Toc11918"/>
      <w:bookmarkStart w:id="178" w:name="_Toc4223"/>
      <w:r>
        <w:rPr>
          <w:rFonts w:hint="eastAsia" w:ascii="宋体" w:hAnsi="宋体" w:eastAsia="宋体" w:cs="宋体"/>
          <w:color w:val="auto"/>
          <w:sz w:val="44"/>
          <w:szCs w:val="44"/>
          <w:highlight w:val="none"/>
        </w:rPr>
        <w:t>第一部分 资格证明文件</w:t>
      </w:r>
      <w:bookmarkEnd w:id="176"/>
      <w:bookmarkEnd w:id="177"/>
      <w:bookmarkEnd w:id="178"/>
    </w:p>
    <w:p w14:paraId="0870CDA3">
      <w:pPr>
        <w:adjustRightInd w:val="0"/>
        <w:snapToGrid w:val="0"/>
        <w:spacing w:line="360" w:lineRule="auto"/>
        <w:rPr>
          <w:rFonts w:hint="eastAsia" w:ascii="宋体" w:hAnsi="宋体" w:eastAsia="宋体" w:cs="宋体"/>
          <w:b/>
          <w:color w:val="auto"/>
          <w:sz w:val="32"/>
          <w:szCs w:val="32"/>
          <w:highlight w:val="none"/>
        </w:rPr>
      </w:pPr>
    </w:p>
    <w:p w14:paraId="05620E49">
      <w:pPr>
        <w:adjustRightInd w:val="0"/>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 xml:space="preserve">                     </w:t>
      </w:r>
    </w:p>
    <w:p w14:paraId="02BC6D7B">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lang w:eastAsia="zh-CN"/>
        </w:rPr>
        <w:t>采购项目名称</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32072671">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   购   人：</w:t>
      </w:r>
      <w:r>
        <w:rPr>
          <w:rFonts w:hint="eastAsia" w:ascii="宋体" w:hAnsi="宋体" w:eastAsia="宋体" w:cs="宋体"/>
          <w:b/>
          <w:bCs/>
          <w:color w:val="auto"/>
          <w:sz w:val="30"/>
          <w:szCs w:val="30"/>
          <w:highlight w:val="none"/>
          <w:u w:val="single"/>
        </w:rPr>
        <w:t xml:space="preserve">                       </w:t>
      </w:r>
    </w:p>
    <w:p w14:paraId="3BDEB75A">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hAnsi="宋体" w:cs="宋体"/>
          <w:b/>
          <w:bCs/>
          <w:color w:val="auto"/>
          <w:sz w:val="30"/>
          <w:szCs w:val="30"/>
          <w:highlight w:val="none"/>
          <w:lang w:eastAsia="zh-CN"/>
        </w:rPr>
        <w:t>政府采购计划编号</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13719C76">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u w:val="single"/>
        </w:rPr>
        <w:t xml:space="preserve">                      </w:t>
      </w:r>
    </w:p>
    <w:p w14:paraId="6F9FCCB1">
      <w:pPr>
        <w:adjustRightInd w:val="0"/>
        <w:snapToGrid w:val="0"/>
        <w:spacing w:line="360" w:lineRule="auto"/>
        <w:rPr>
          <w:rFonts w:hint="eastAsia" w:ascii="宋体" w:hAnsi="宋体" w:eastAsia="宋体" w:cs="宋体"/>
          <w:color w:val="auto"/>
          <w:sz w:val="30"/>
          <w:szCs w:val="30"/>
          <w:highlight w:val="none"/>
        </w:rPr>
      </w:pPr>
    </w:p>
    <w:p w14:paraId="20002C89">
      <w:pPr>
        <w:adjustRightInd w:val="0"/>
        <w:snapToGrid w:val="0"/>
        <w:rPr>
          <w:rFonts w:hint="eastAsia" w:ascii="宋体" w:hAnsi="宋体" w:eastAsia="宋体" w:cs="宋体"/>
          <w:color w:val="auto"/>
          <w:sz w:val="30"/>
          <w:szCs w:val="30"/>
          <w:highlight w:val="none"/>
        </w:rPr>
      </w:pPr>
    </w:p>
    <w:p w14:paraId="45857971">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69F56BC7">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联系人姓名、联系电话：</w:t>
      </w:r>
    </w:p>
    <w:p w14:paraId="50673527">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32"/>
          <w:szCs w:val="32"/>
          <w:highlight w:val="none"/>
        </w:rPr>
        <w:t>年  月  日</w:t>
      </w:r>
      <w:r>
        <w:rPr>
          <w:rFonts w:hint="eastAsia" w:ascii="宋体" w:hAnsi="宋体" w:eastAsia="宋体" w:cs="宋体"/>
          <w:color w:val="auto"/>
          <w:sz w:val="32"/>
          <w:szCs w:val="32"/>
          <w:highlight w:val="none"/>
          <w:lang w:eastAsia="zh-CN"/>
        </w:rPr>
        <w:t>（应与投标截止日期一致）</w:t>
      </w:r>
      <w:r>
        <w:rPr>
          <w:rFonts w:hint="eastAsia" w:ascii="宋体" w:hAnsi="宋体" w:eastAsia="宋体" w:cs="宋体"/>
          <w:color w:val="auto"/>
          <w:sz w:val="28"/>
          <w:szCs w:val="28"/>
          <w:highlight w:val="none"/>
        </w:rPr>
        <w:br w:type="page"/>
      </w:r>
    </w:p>
    <w:p w14:paraId="63F45C71">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79" w:name="_Toc29913950"/>
      <w:bookmarkStart w:id="180" w:name="_Toc14585"/>
      <w:bookmarkStart w:id="181" w:name="_Toc16153"/>
      <w:r>
        <w:rPr>
          <w:rFonts w:hint="eastAsia" w:ascii="宋体" w:hAnsi="宋体" w:eastAsia="宋体" w:cs="宋体"/>
          <w:color w:val="auto"/>
          <w:sz w:val="28"/>
          <w:szCs w:val="28"/>
          <w:highlight w:val="none"/>
        </w:rPr>
        <w:t>一、开标一览表</w:t>
      </w:r>
      <w:bookmarkEnd w:id="179"/>
      <w:bookmarkEnd w:id="180"/>
      <w:bookmarkEnd w:id="181"/>
    </w:p>
    <w:p w14:paraId="3D4E7CFE">
      <w:pPr>
        <w:adjustRightInd w:val="0"/>
        <w:snapToGrid w:val="0"/>
        <w:spacing w:line="360" w:lineRule="auto"/>
        <w:ind w:left="-88" w:leftChars="-42"/>
        <w:jc w:val="center"/>
        <w:rPr>
          <w:rFonts w:hint="eastAsia" w:ascii="宋体" w:hAnsi="宋体" w:eastAsia="宋体" w:cs="宋体"/>
          <w:color w:val="auto"/>
          <w:sz w:val="24"/>
          <w:highlight w:val="none"/>
        </w:rPr>
      </w:pPr>
    </w:p>
    <w:p w14:paraId="6EE192FA">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w:t>
      </w:r>
    </w:p>
    <w:p w14:paraId="5C98647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1DCB5891">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    ________</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A4F6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E70412F">
            <w:pPr>
              <w:adjustRightInd w:val="0"/>
              <w:snapToGrid w:val="0"/>
              <w:spacing w:line="360" w:lineRule="auto"/>
              <w:jc w:val="center"/>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Cs w:val="21"/>
                <w:highlight w:val="none"/>
              </w:rPr>
              <w:t>投标报价</w:t>
            </w:r>
          </w:p>
        </w:tc>
        <w:tc>
          <w:tcPr>
            <w:tcW w:w="3119" w:type="dxa"/>
            <w:vAlign w:val="center"/>
          </w:tcPr>
          <w:p w14:paraId="00FBBB90">
            <w:pPr>
              <w:adjustRightInd w:val="0"/>
              <w:snapToGri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其他内容</w:t>
            </w:r>
          </w:p>
        </w:tc>
      </w:tr>
      <w:tr w14:paraId="4AB89D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119577A">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小写金额：</w:t>
            </w:r>
            <w:r>
              <w:rPr>
                <w:rFonts w:hint="eastAsia" w:ascii="宋体" w:hAnsi="宋体" w:eastAsia="宋体" w:cs="宋体"/>
                <w:color w:val="auto"/>
                <w:kern w:val="0"/>
                <w:szCs w:val="21"/>
                <w:highlight w:val="none"/>
                <w:u w:val="single"/>
              </w:rPr>
              <w:t>__    _______</w:t>
            </w:r>
            <w:r>
              <w:rPr>
                <w:rFonts w:hint="eastAsia" w:ascii="宋体" w:hAnsi="宋体" w:eastAsia="宋体" w:cs="宋体"/>
                <w:color w:val="auto"/>
                <w:kern w:val="0"/>
                <w:szCs w:val="21"/>
                <w:highlight w:val="none"/>
              </w:rPr>
              <w:t>（</w:t>
            </w:r>
            <w:r>
              <w:rPr>
                <w:rFonts w:hint="eastAsia" w:ascii="宋体" w:hAnsi="宋体" w:eastAsia="宋体" w:cs="宋体"/>
                <w:color w:val="auto"/>
                <w:kern w:val="0"/>
                <w:sz w:val="20"/>
                <w:szCs w:val="21"/>
                <w:highlight w:val="none"/>
              </w:rPr>
              <w:t>人民币元</w:t>
            </w:r>
            <w:r>
              <w:rPr>
                <w:rFonts w:hint="eastAsia" w:ascii="宋体" w:hAnsi="宋体" w:eastAsia="宋体" w:cs="宋体"/>
                <w:color w:val="auto"/>
                <w:kern w:val="0"/>
                <w:szCs w:val="21"/>
                <w:highlight w:val="none"/>
              </w:rPr>
              <w:t>）</w:t>
            </w:r>
          </w:p>
          <w:p w14:paraId="7BF1D7DF">
            <w:pPr>
              <w:adjustRightInd w:val="0"/>
              <w:snapToGrid w:val="0"/>
              <w:spacing w:line="360" w:lineRule="auto"/>
              <w:jc w:val="center"/>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大写金额：</w:t>
            </w:r>
            <w:r>
              <w:rPr>
                <w:rFonts w:hint="eastAsia" w:ascii="宋体" w:hAnsi="宋体" w:eastAsia="宋体" w:cs="宋体"/>
                <w:color w:val="auto"/>
                <w:kern w:val="0"/>
                <w:szCs w:val="21"/>
                <w:highlight w:val="none"/>
                <w:u w:val="single"/>
              </w:rPr>
              <w:t>__    _______</w:t>
            </w:r>
            <w:r>
              <w:rPr>
                <w:rFonts w:hint="eastAsia" w:ascii="宋体" w:hAnsi="宋体" w:eastAsia="宋体" w:cs="宋体"/>
                <w:color w:val="auto"/>
                <w:kern w:val="0"/>
                <w:szCs w:val="21"/>
                <w:highlight w:val="none"/>
              </w:rPr>
              <w:t>（</w:t>
            </w:r>
            <w:r>
              <w:rPr>
                <w:rFonts w:hint="eastAsia" w:ascii="宋体" w:hAnsi="宋体" w:eastAsia="宋体" w:cs="宋体"/>
                <w:color w:val="auto"/>
                <w:kern w:val="0"/>
                <w:sz w:val="20"/>
                <w:szCs w:val="21"/>
                <w:highlight w:val="none"/>
              </w:rPr>
              <w:t>人民币元</w:t>
            </w:r>
            <w:r>
              <w:rPr>
                <w:rFonts w:hint="eastAsia" w:ascii="宋体" w:hAnsi="宋体" w:eastAsia="宋体" w:cs="宋体"/>
                <w:color w:val="auto"/>
                <w:kern w:val="0"/>
                <w:szCs w:val="21"/>
                <w:highlight w:val="none"/>
              </w:rPr>
              <w:t>）</w:t>
            </w:r>
          </w:p>
          <w:p w14:paraId="3FBFD46D">
            <w:pPr>
              <w:adjustRightInd w:val="0"/>
              <w:snapToGrid w:val="0"/>
              <w:spacing w:line="360"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 w:val="24"/>
                <w:highlight w:val="none"/>
              </w:rPr>
              <w:t>大写金额与小写金额不一致时，以大写金额为准</w:t>
            </w:r>
            <w:r>
              <w:rPr>
                <w:rFonts w:hint="eastAsia" w:ascii="宋体" w:hAnsi="宋体" w:eastAsia="宋体" w:cs="宋体"/>
                <w:color w:val="auto"/>
                <w:kern w:val="0"/>
                <w:szCs w:val="21"/>
                <w:highlight w:val="none"/>
              </w:rPr>
              <w:t>）</w:t>
            </w:r>
          </w:p>
        </w:tc>
        <w:tc>
          <w:tcPr>
            <w:tcW w:w="3119" w:type="dxa"/>
            <w:vAlign w:val="center"/>
          </w:tcPr>
          <w:p w14:paraId="626B43BD">
            <w:pPr>
              <w:adjustRightInd w:val="0"/>
              <w:snapToGrid w:val="0"/>
              <w:spacing w:line="360" w:lineRule="auto"/>
              <w:jc w:val="both"/>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合同履行期限：</w:t>
            </w:r>
          </w:p>
        </w:tc>
      </w:tr>
    </w:tbl>
    <w:p w14:paraId="1D55F0F6">
      <w:pPr>
        <w:adjustRightInd w:val="0"/>
        <w:snapToGrid w:val="0"/>
        <w:spacing w:line="360" w:lineRule="auto"/>
        <w:rPr>
          <w:rFonts w:hint="eastAsia" w:ascii="宋体" w:hAnsi="宋体" w:eastAsia="宋体" w:cs="宋体"/>
          <w:b/>
          <w:color w:val="auto"/>
          <w:szCs w:val="21"/>
          <w:highlight w:val="none"/>
        </w:rPr>
      </w:pPr>
    </w:p>
    <w:p w14:paraId="380FE44F">
      <w:pPr>
        <w:adjustRightInd w:val="0"/>
        <w:snapToGrid w:val="0"/>
        <w:spacing w:line="360" w:lineRule="auto"/>
        <w:rPr>
          <w:rFonts w:hint="eastAsia" w:ascii="宋体" w:hAnsi="宋体" w:eastAsia="宋体" w:cs="宋体"/>
          <w:b/>
          <w:color w:val="auto"/>
          <w:szCs w:val="21"/>
          <w:highlight w:val="none"/>
        </w:rPr>
      </w:pPr>
    </w:p>
    <w:p w14:paraId="634DAB7E">
      <w:pPr>
        <w:adjustRightInd w:val="0"/>
        <w:snapToGrid w:val="0"/>
        <w:spacing w:line="360" w:lineRule="auto"/>
        <w:rPr>
          <w:rFonts w:hint="eastAsia" w:ascii="宋体" w:hAnsi="宋体" w:eastAsia="宋体" w:cs="宋体"/>
          <w:b/>
          <w:color w:val="auto"/>
          <w:szCs w:val="21"/>
          <w:highlight w:val="none"/>
        </w:rPr>
      </w:pPr>
    </w:p>
    <w:p w14:paraId="30450998">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备注：1、本“开标一览表”所填报价应与交易平台上所填电子“开标一览表”报价一致，否则，以交易平台上所填电子“开标一览表”报价为准。</w:t>
      </w:r>
    </w:p>
    <w:p w14:paraId="57FBE8B6">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2、本表须按包填写，一个“包号”一份。</w:t>
      </w:r>
    </w:p>
    <w:p w14:paraId="478F7D17">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3、投标人提交两份及以上投标报价不同的“开标一览表”，且未书面说明哪个有效或以哪个为准的，其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0D21BDD6">
      <w:pPr>
        <w:adjustRightInd w:val="0"/>
        <w:snapToGrid w:val="0"/>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7FE911D7">
      <w:pPr>
        <w:adjustRightInd w:val="0"/>
        <w:snapToGrid w:val="0"/>
        <w:spacing w:line="360" w:lineRule="auto"/>
        <w:ind w:firstLine="420" w:firstLineChars="200"/>
        <w:rPr>
          <w:rFonts w:hint="eastAsia" w:ascii="宋体" w:hAnsi="宋体" w:eastAsia="宋体" w:cs="宋体"/>
          <w:color w:val="auto"/>
          <w:szCs w:val="21"/>
          <w:highlight w:val="none"/>
        </w:rPr>
      </w:pPr>
    </w:p>
    <w:p w14:paraId="56246933">
      <w:pPr>
        <w:adjustRightInd w:val="0"/>
        <w:snapToGrid w:val="0"/>
        <w:spacing w:line="360" w:lineRule="auto"/>
        <w:ind w:firstLine="420" w:firstLineChars="200"/>
        <w:rPr>
          <w:rFonts w:hint="eastAsia" w:ascii="宋体" w:hAnsi="宋体" w:eastAsia="宋体" w:cs="宋体"/>
          <w:color w:val="auto"/>
          <w:szCs w:val="21"/>
          <w:highlight w:val="none"/>
        </w:rPr>
      </w:pPr>
    </w:p>
    <w:p w14:paraId="2A29859C">
      <w:pPr>
        <w:adjustRightInd w:val="0"/>
        <w:snapToGrid w:val="0"/>
        <w:spacing w:line="360" w:lineRule="auto"/>
        <w:rPr>
          <w:rFonts w:hint="eastAsia" w:ascii="宋体" w:hAnsi="宋体" w:eastAsia="宋体" w:cs="宋体"/>
          <w:color w:val="auto"/>
          <w:szCs w:val="21"/>
          <w:highlight w:val="none"/>
        </w:rPr>
      </w:pPr>
    </w:p>
    <w:p w14:paraId="4FFB959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714D9416">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77101A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E42232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bookmarkStart w:id="182" w:name="_Toc29913951"/>
    </w:p>
    <w:bookmarkEnd w:id="182"/>
    <w:p w14:paraId="277788B0">
      <w:pPr>
        <w:pStyle w:val="4"/>
        <w:bidi w:val="0"/>
        <w:jc w:val="center"/>
        <w:rPr>
          <w:rFonts w:hint="eastAsia" w:ascii="宋体" w:hAnsi="宋体" w:eastAsia="宋体" w:cs="宋体"/>
          <w:color w:val="auto"/>
          <w:sz w:val="28"/>
          <w:szCs w:val="28"/>
          <w:highlight w:val="none"/>
        </w:rPr>
      </w:pPr>
      <w:bookmarkStart w:id="183" w:name="_Toc16450"/>
      <w:bookmarkStart w:id="184" w:name="_Toc29913953"/>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法定代表人</w:t>
      </w:r>
      <w:r>
        <w:rPr>
          <w:rFonts w:hint="eastAsia" w:ascii="宋体" w:hAnsi="宋体" w:cs="宋体"/>
          <w:color w:val="auto"/>
          <w:sz w:val="28"/>
          <w:szCs w:val="28"/>
          <w:highlight w:val="none"/>
          <w:lang w:eastAsia="zh-CN"/>
        </w:rPr>
        <w:t>（单位负责人）</w:t>
      </w:r>
      <w:r>
        <w:rPr>
          <w:rFonts w:hint="eastAsia" w:ascii="宋体" w:hAnsi="宋体" w:eastAsia="宋体" w:cs="宋体"/>
          <w:color w:val="auto"/>
          <w:sz w:val="28"/>
          <w:szCs w:val="28"/>
          <w:highlight w:val="none"/>
        </w:rPr>
        <w:t>身份证明</w:t>
      </w:r>
      <w:bookmarkEnd w:id="183"/>
      <w:bookmarkEnd w:id="184"/>
    </w:p>
    <w:p w14:paraId="0B553313">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position w:val="-4"/>
          <w:szCs w:val="21"/>
          <w:highlight w:val="none"/>
        </w:rPr>
      </w:pPr>
    </w:p>
    <w:p w14:paraId="61774722">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4"/>
          <w:szCs w:val="21"/>
          <w:highlight w:val="none"/>
        </w:rPr>
        <w:t>投标</w:t>
      </w:r>
      <w:r>
        <w:rPr>
          <w:rFonts w:hint="eastAsia" w:ascii="宋体" w:hAnsi="宋体" w:eastAsia="宋体" w:cs="宋体"/>
          <w:color w:val="auto"/>
          <w:spacing w:val="-2"/>
          <w:kern w:val="0"/>
          <w:position w:val="-4"/>
          <w:szCs w:val="21"/>
          <w:highlight w:val="none"/>
        </w:rPr>
        <w:t>人</w:t>
      </w:r>
      <w:r>
        <w:rPr>
          <w:rFonts w:hint="eastAsia" w:ascii="宋体" w:hAnsi="宋体" w:eastAsia="宋体" w:cs="宋体"/>
          <w:color w:val="auto"/>
          <w:kern w:val="0"/>
          <w:position w:val="-4"/>
          <w:szCs w:val="21"/>
          <w:highlight w:val="none"/>
        </w:rPr>
        <w:t>名</w:t>
      </w:r>
      <w:r>
        <w:rPr>
          <w:rFonts w:hint="eastAsia" w:ascii="宋体" w:hAnsi="宋体" w:eastAsia="宋体" w:cs="宋体"/>
          <w:color w:val="auto"/>
          <w:spacing w:val="-2"/>
          <w:kern w:val="0"/>
          <w:position w:val="-4"/>
          <w:szCs w:val="21"/>
          <w:highlight w:val="none"/>
        </w:rPr>
        <w:t>称</w:t>
      </w:r>
      <w:r>
        <w:rPr>
          <w:rFonts w:hint="eastAsia" w:ascii="宋体" w:hAnsi="宋体" w:eastAsia="宋体" w:cs="宋体"/>
          <w:color w:val="auto"/>
          <w:kern w:val="0"/>
          <w:position w:val="-4"/>
          <w:szCs w:val="21"/>
          <w:highlight w:val="none"/>
        </w:rPr>
        <w:t>：</w:t>
      </w:r>
      <w:r>
        <w:rPr>
          <w:rFonts w:hint="eastAsia" w:ascii="宋体" w:hAnsi="宋体" w:eastAsia="宋体" w:cs="宋体"/>
          <w:color w:val="auto"/>
          <w:szCs w:val="21"/>
          <w:highlight w:val="none"/>
          <w:u w:val="single"/>
        </w:rPr>
        <w:t xml:space="preserve">                 </w:t>
      </w:r>
    </w:p>
    <w:p w14:paraId="5D7B7407">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统一社会信用代码：</w:t>
      </w:r>
      <w:r>
        <w:rPr>
          <w:rFonts w:hint="eastAsia" w:ascii="宋体" w:hAnsi="宋体" w:eastAsia="宋体" w:cs="宋体"/>
          <w:color w:val="auto"/>
          <w:szCs w:val="21"/>
          <w:highlight w:val="none"/>
          <w:u w:val="single"/>
        </w:rPr>
        <w:t xml:space="preserve">                 </w:t>
      </w:r>
    </w:p>
    <w:p w14:paraId="3C06F1E6">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注册地址：</w:t>
      </w:r>
      <w:r>
        <w:rPr>
          <w:rFonts w:hint="eastAsia" w:ascii="宋体" w:hAnsi="宋体" w:eastAsia="宋体" w:cs="宋体"/>
          <w:color w:val="auto"/>
          <w:szCs w:val="21"/>
          <w:highlight w:val="none"/>
          <w:u w:val="single"/>
        </w:rPr>
        <w:t xml:space="preserve">                 </w:t>
      </w:r>
    </w:p>
    <w:p w14:paraId="27A306AD">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姓名</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性别</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年</w:t>
      </w:r>
      <w:r>
        <w:rPr>
          <w:rFonts w:hint="eastAsia" w:ascii="宋体" w:hAnsi="宋体" w:eastAsia="宋体" w:cs="宋体"/>
          <w:color w:val="auto"/>
          <w:spacing w:val="-2"/>
          <w:kern w:val="0"/>
          <w:position w:val="-2"/>
          <w:szCs w:val="21"/>
          <w:highlight w:val="none"/>
        </w:rPr>
        <w:t>龄</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职</w:t>
      </w:r>
      <w:r>
        <w:rPr>
          <w:rFonts w:hint="eastAsia" w:ascii="宋体" w:hAnsi="宋体" w:eastAsia="宋体" w:cs="宋体"/>
          <w:color w:val="auto"/>
          <w:spacing w:val="-2"/>
          <w:kern w:val="0"/>
          <w:position w:val="-2"/>
          <w:szCs w:val="21"/>
          <w:highlight w:val="none"/>
        </w:rPr>
        <w:t>务</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投</w:t>
      </w:r>
      <w:r>
        <w:rPr>
          <w:rFonts w:hint="eastAsia" w:ascii="宋体" w:hAnsi="宋体" w:eastAsia="宋体" w:cs="宋体"/>
          <w:color w:val="auto"/>
          <w:spacing w:val="-2"/>
          <w:kern w:val="0"/>
          <w:position w:val="-2"/>
          <w:szCs w:val="21"/>
          <w:highlight w:val="none"/>
        </w:rPr>
        <w:t>标</w:t>
      </w:r>
      <w:r>
        <w:rPr>
          <w:rFonts w:hint="eastAsia" w:ascii="宋体" w:hAnsi="宋体" w:eastAsia="宋体" w:cs="宋体"/>
          <w:color w:val="auto"/>
          <w:kern w:val="0"/>
          <w:position w:val="-2"/>
          <w:szCs w:val="21"/>
          <w:highlight w:val="none"/>
        </w:rPr>
        <w:t>人</w:t>
      </w:r>
      <w:r>
        <w:rPr>
          <w:rFonts w:hint="eastAsia" w:ascii="宋体" w:hAnsi="宋体" w:eastAsia="宋体" w:cs="宋体"/>
          <w:color w:val="auto"/>
          <w:spacing w:val="-2"/>
          <w:kern w:val="0"/>
          <w:position w:val="-2"/>
          <w:szCs w:val="21"/>
          <w:highlight w:val="none"/>
        </w:rPr>
        <w:t>名</w:t>
      </w:r>
      <w:r>
        <w:rPr>
          <w:rFonts w:hint="eastAsia" w:ascii="宋体" w:hAnsi="宋体" w:eastAsia="宋体" w:cs="宋体"/>
          <w:color w:val="auto"/>
          <w:kern w:val="0"/>
          <w:position w:val="-2"/>
          <w:szCs w:val="21"/>
          <w:highlight w:val="none"/>
        </w:rPr>
        <w:t>称</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的</w:t>
      </w:r>
      <w:r>
        <w:rPr>
          <w:rFonts w:hint="eastAsia" w:ascii="宋体" w:hAnsi="宋体" w:eastAsia="宋体" w:cs="宋体"/>
          <w:color w:val="auto"/>
          <w:spacing w:val="-2"/>
          <w:kern w:val="0"/>
          <w:position w:val="-2"/>
          <w:szCs w:val="21"/>
          <w:highlight w:val="none"/>
          <w:lang w:eastAsia="zh-CN"/>
        </w:rPr>
        <w:t>法定代表人</w:t>
      </w:r>
      <w:r>
        <w:rPr>
          <w:rFonts w:hint="eastAsia" w:ascii="宋体" w:hAnsi="宋体" w:cs="宋体"/>
          <w:color w:val="auto"/>
          <w:spacing w:val="-2"/>
          <w:kern w:val="0"/>
          <w:position w:val="-2"/>
          <w:szCs w:val="21"/>
          <w:highlight w:val="none"/>
          <w:lang w:eastAsia="zh-CN"/>
        </w:rPr>
        <w:t>（单位负责人）</w:t>
      </w:r>
      <w:r>
        <w:rPr>
          <w:rFonts w:hint="eastAsia" w:ascii="宋体" w:hAnsi="宋体" w:eastAsia="宋体" w:cs="宋体"/>
          <w:color w:val="auto"/>
          <w:kern w:val="0"/>
          <w:position w:val="-2"/>
          <w:szCs w:val="21"/>
          <w:highlight w:val="none"/>
        </w:rPr>
        <w:t>。</w:t>
      </w:r>
    </w:p>
    <w:p w14:paraId="0129C717">
      <w:pPr>
        <w:autoSpaceDE w:val="0"/>
        <w:autoSpaceDN w:val="0"/>
        <w:adjustRightInd w:val="0"/>
        <w:snapToGrid w:val="0"/>
        <w:spacing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rPr>
        <w:t>明。</w:t>
      </w:r>
    </w:p>
    <w:p w14:paraId="3CA45BB2">
      <w:pPr>
        <w:autoSpaceDE w:val="0"/>
        <w:autoSpaceDN w:val="0"/>
        <w:adjustRightInd w:val="0"/>
        <w:snapToGrid w:val="0"/>
        <w:spacing w:line="360" w:lineRule="auto"/>
        <w:ind w:left="100" w:right="42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w:t>
      </w:r>
      <w:r>
        <w:rPr>
          <w:rFonts w:hint="eastAsia" w:ascii="宋体" w:hAnsi="宋体" w:eastAsia="宋体" w:cs="宋体"/>
          <w:color w:val="auto"/>
          <w:spacing w:val="-2"/>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7F1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67BA6AD">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0504B9D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56F802DB">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47E98AB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6D135E22">
      <w:pPr>
        <w:adjustRightInd w:val="0"/>
        <w:snapToGrid w:val="0"/>
        <w:spacing w:line="360" w:lineRule="auto"/>
        <w:rPr>
          <w:rFonts w:hint="eastAsia" w:ascii="宋体" w:hAnsi="宋体" w:eastAsia="宋体" w:cs="宋体"/>
          <w:color w:val="auto"/>
          <w:szCs w:val="21"/>
          <w:highlight w:val="none"/>
        </w:rPr>
      </w:pPr>
    </w:p>
    <w:p w14:paraId="7484F00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注：投标人代表为</w:t>
      </w:r>
      <w:r>
        <w:rPr>
          <w:rFonts w:hint="eastAsia" w:ascii="宋体" w:hAnsi="宋体" w:eastAsia="宋体" w:cs="宋体"/>
          <w:color w:val="auto"/>
          <w:szCs w:val="21"/>
          <w:highlight w:val="none"/>
          <w:lang w:eastAsia="zh-CN"/>
        </w:rPr>
        <w:t>法定代表人</w:t>
      </w:r>
      <w:r>
        <w:rPr>
          <w:rFonts w:hint="eastAsia" w:ascii="宋体" w:hAnsi="宋体" w:cs="宋体"/>
          <w:color w:val="auto"/>
          <w:spacing w:val="-2"/>
          <w:kern w:val="0"/>
          <w:position w:val="-2"/>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7C647AEF">
      <w:pPr>
        <w:adjustRightInd w:val="0"/>
        <w:snapToGrid w:val="0"/>
        <w:spacing w:line="360" w:lineRule="auto"/>
        <w:rPr>
          <w:rFonts w:hint="eastAsia" w:ascii="宋体" w:hAnsi="宋体" w:eastAsia="宋体" w:cs="宋体"/>
          <w:color w:val="auto"/>
          <w:szCs w:val="21"/>
          <w:highlight w:val="none"/>
        </w:rPr>
      </w:pPr>
    </w:p>
    <w:p w14:paraId="733733B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（盖单位电子章）</w:t>
      </w:r>
    </w:p>
    <w:p w14:paraId="2E9A52ED">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9BAAF89">
      <w:pPr>
        <w:adjustRightInd w:val="0"/>
        <w:snapToGrid w:val="0"/>
        <w:spacing w:line="360" w:lineRule="auto"/>
        <w:rPr>
          <w:rFonts w:hint="eastAsia" w:ascii="宋体" w:hAnsi="宋体" w:eastAsia="宋体" w:cs="宋体"/>
          <w:color w:val="auto"/>
          <w:highlight w:val="none"/>
        </w:rPr>
      </w:pPr>
    </w:p>
    <w:p w14:paraId="293AA2BE">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B2EBF8">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85" w:name="_Toc7677"/>
      <w:bookmarkStart w:id="186" w:name="_Toc29913954"/>
      <w:bookmarkStart w:id="187" w:name="_Toc30911"/>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、授权委托书</w:t>
      </w:r>
      <w:bookmarkEnd w:id="185"/>
      <w:bookmarkEnd w:id="186"/>
      <w:bookmarkEnd w:id="187"/>
    </w:p>
    <w:p w14:paraId="10CBD08B">
      <w:pPr>
        <w:autoSpaceDE w:val="0"/>
        <w:autoSpaceDN w:val="0"/>
        <w:adjustRightInd w:val="0"/>
        <w:snapToGrid w:val="0"/>
        <w:spacing w:line="360" w:lineRule="auto"/>
        <w:ind w:firstLine="446" w:firstLineChars="200"/>
        <w:jc w:val="left"/>
        <w:rPr>
          <w:rFonts w:hint="eastAsia" w:ascii="宋体" w:hAnsi="宋体" w:eastAsia="宋体" w:cs="宋体"/>
          <w:b/>
          <w:color w:val="auto"/>
          <w:spacing w:val="6"/>
          <w:szCs w:val="21"/>
          <w:highlight w:val="none"/>
        </w:rPr>
      </w:pPr>
    </w:p>
    <w:p w14:paraId="6B99099D">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p>
    <w:p w14:paraId="48235BC0">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投标人</w:t>
      </w:r>
      <w:r>
        <w:rPr>
          <w:rFonts w:hint="eastAsia" w:ascii="宋体" w:hAnsi="宋体" w:eastAsia="宋体" w:cs="宋体"/>
          <w:color w:val="auto"/>
          <w:kern w:val="0"/>
          <w:szCs w:val="21"/>
          <w:highlight w:val="none"/>
        </w:rPr>
        <w:t>名称）的</w:t>
      </w:r>
      <w:r>
        <w:rPr>
          <w:rFonts w:hint="eastAsia" w:ascii="宋体" w:hAnsi="宋体" w:eastAsia="宋体" w:cs="宋体"/>
          <w:color w:val="auto"/>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kern w:val="0"/>
          <w:szCs w:val="21"/>
          <w:highlight w:val="none"/>
        </w:rPr>
        <w:t>，现授权</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（姓名、职务）为我方代理人。代理人根据授权，以我方名义签署、澄清、说明、补正、递交、撤回、修改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采购项目名称</w:t>
      </w:r>
      <w:r>
        <w:rPr>
          <w:rFonts w:hint="eastAsia" w:ascii="宋体" w:hAnsi="宋体" w:eastAsia="宋体" w:cs="宋体"/>
          <w:color w:val="auto"/>
          <w:kern w:val="0"/>
          <w:szCs w:val="21"/>
          <w:highlight w:val="none"/>
        </w:rPr>
        <w:t>）（</w:t>
      </w:r>
      <w:r>
        <w:rPr>
          <w:rFonts w:hint="eastAsia" w:ascii="宋体" w:hAnsi="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kern w:val="0"/>
          <w:szCs w:val="21"/>
          <w:highlight w:val="none"/>
        </w:rPr>
        <w:t>）投标文件、签订合同和处理有关事宜，其法律后果由我方承担。</w:t>
      </w:r>
    </w:p>
    <w:p w14:paraId="6084BB35">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自授权书签署之日至投标有效期期满</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23B450B4">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17B0A13B">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681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2472AE2">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66ED14D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500F936C">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6EB5FA6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r w14:paraId="7CA8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43DD7254">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6002BFA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2D217ED5">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39C0CCD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24D4E938">
      <w:pPr>
        <w:adjustRightInd w:val="0"/>
        <w:snapToGrid w:val="0"/>
        <w:spacing w:line="360" w:lineRule="auto"/>
        <w:ind w:firstLine="420" w:firstLineChars="200"/>
        <w:rPr>
          <w:rFonts w:hint="eastAsia" w:ascii="宋体" w:hAnsi="宋体" w:eastAsia="宋体" w:cs="宋体"/>
          <w:color w:val="auto"/>
          <w:szCs w:val="21"/>
          <w:highlight w:val="none"/>
        </w:rPr>
      </w:pPr>
    </w:p>
    <w:p w14:paraId="0F0D69AC">
      <w:pPr>
        <w:adjustRightInd w:val="0"/>
        <w:snapToGrid w:val="0"/>
        <w:spacing w:line="360" w:lineRule="auto"/>
        <w:ind w:firstLine="420" w:firstLineChars="200"/>
        <w:rPr>
          <w:rFonts w:hint="eastAsia" w:ascii="宋体" w:hAnsi="宋体" w:eastAsia="宋体" w:cs="宋体"/>
          <w:color w:val="auto"/>
          <w:szCs w:val="21"/>
          <w:highlight w:val="none"/>
        </w:rPr>
      </w:pPr>
    </w:p>
    <w:p w14:paraId="323F3F0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注：投标人代表不是投标人的</w:t>
      </w:r>
      <w:r>
        <w:rPr>
          <w:rFonts w:hint="eastAsia" w:ascii="宋体" w:hAnsi="宋体" w:eastAsia="宋体" w:cs="宋体"/>
          <w:color w:val="auto"/>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58FF044E">
      <w:pPr>
        <w:adjustRightInd w:val="0"/>
        <w:snapToGrid w:val="0"/>
        <w:spacing w:line="360" w:lineRule="auto"/>
        <w:ind w:firstLine="420" w:firstLineChars="200"/>
        <w:rPr>
          <w:rFonts w:hint="eastAsia" w:ascii="宋体" w:hAnsi="宋体" w:eastAsia="宋体" w:cs="宋体"/>
          <w:color w:val="auto"/>
          <w:szCs w:val="21"/>
          <w:highlight w:val="none"/>
        </w:rPr>
      </w:pPr>
    </w:p>
    <w:p w14:paraId="5B347781">
      <w:pPr>
        <w:adjustRightInd w:val="0"/>
        <w:snapToGrid w:val="0"/>
        <w:spacing w:line="360" w:lineRule="auto"/>
        <w:ind w:firstLine="420" w:firstLineChars="200"/>
        <w:rPr>
          <w:rFonts w:hint="eastAsia" w:ascii="宋体" w:hAnsi="宋体" w:eastAsia="宋体" w:cs="宋体"/>
          <w:color w:val="auto"/>
          <w:szCs w:val="21"/>
          <w:highlight w:val="none"/>
        </w:rPr>
      </w:pPr>
    </w:p>
    <w:p w14:paraId="2303CAA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5AA4FB19">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26D209DC">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0B875A03">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AE8D458">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6C652575">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88" w:name="_Toc29913955"/>
      <w:bookmarkStart w:id="189" w:name="_Toc8345"/>
      <w:bookmarkStart w:id="190" w:name="_Toc24174"/>
      <w:r>
        <w:rPr>
          <w:rFonts w:hint="eastAsia" w:ascii="宋体" w:hAnsi="宋体" w:cs="宋体"/>
          <w:color w:val="auto"/>
          <w:sz w:val="28"/>
          <w:szCs w:val="28"/>
          <w:highlight w:val="none"/>
          <w:lang w:val="en-US" w:eastAsia="zh-CN"/>
        </w:rPr>
        <w:t>四</w:t>
      </w:r>
      <w:r>
        <w:rPr>
          <w:rFonts w:hint="eastAsia" w:ascii="宋体" w:hAnsi="宋体" w:eastAsia="宋体" w:cs="宋体"/>
          <w:color w:val="auto"/>
          <w:sz w:val="28"/>
          <w:szCs w:val="28"/>
          <w:highlight w:val="none"/>
        </w:rPr>
        <w:t>、投标人提供的资格证明文件</w:t>
      </w:r>
      <w:bookmarkEnd w:id="188"/>
      <w:bookmarkEnd w:id="189"/>
      <w:bookmarkEnd w:id="190"/>
    </w:p>
    <w:p w14:paraId="6F3D977F">
      <w:pPr>
        <w:pStyle w:val="23"/>
        <w:adjustRightInd w:val="0"/>
        <w:snapToGrid w:val="0"/>
        <w:spacing w:line="360" w:lineRule="auto"/>
        <w:jc w:val="center"/>
        <w:rPr>
          <w:rFonts w:hint="eastAsia" w:ascii="宋体" w:hAnsi="宋体" w:eastAsia="宋体" w:cs="宋体"/>
          <w:b/>
          <w:bCs/>
          <w:color w:val="auto"/>
          <w:sz w:val="24"/>
          <w:szCs w:val="24"/>
          <w:highlight w:val="none"/>
        </w:rPr>
      </w:pPr>
    </w:p>
    <w:p w14:paraId="6D5870B6">
      <w:pPr>
        <w:pStyle w:val="23"/>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须  知</w:t>
      </w:r>
    </w:p>
    <w:p w14:paraId="16F1A96D">
      <w:pPr>
        <w:tabs>
          <w:tab w:val="left" w:pos="4725"/>
        </w:tabs>
        <w:adjustRightInd w:val="0"/>
        <w:snapToGrid w:val="0"/>
        <w:spacing w:before="156" w:beforeLines="5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1、投标人</w:t>
      </w:r>
      <w:r>
        <w:rPr>
          <w:rFonts w:hint="eastAsia" w:ascii="宋体" w:hAnsi="宋体" w:eastAsia="宋体" w:cs="宋体"/>
          <w:b/>
          <w:bCs/>
          <w:color w:val="auto"/>
          <w:szCs w:val="21"/>
          <w:highlight w:val="none"/>
        </w:rPr>
        <w:t>应按第二章第15.1款要求提供下列的证明材料</w:t>
      </w:r>
    </w:p>
    <w:p w14:paraId="4D5A8357">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-1 法人或者其他组织的营业执照等主体资格证明文件，自然人的身份证明</w:t>
      </w:r>
    </w:p>
    <w:p w14:paraId="46913790">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投标人资格声明(格式)</w:t>
      </w:r>
    </w:p>
    <w:p w14:paraId="526AEA85">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湖南省政府采购供应商资格承诺函(格式)</w:t>
      </w:r>
    </w:p>
    <w:p w14:paraId="6E46E771">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-3 符合特定资格条件证明材料复印件或者情况说明</w:t>
      </w:r>
    </w:p>
    <w:p w14:paraId="3CCB78F2">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-4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联合体协议书（格式）（联合体形式投标的提供）</w:t>
      </w:r>
    </w:p>
    <w:p w14:paraId="70C3E874">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提供“非联合体投标”书面声明</w:t>
      </w:r>
    </w:p>
    <w:p w14:paraId="0C9613E9">
      <w:pPr>
        <w:tabs>
          <w:tab w:val="left" w:pos="4725"/>
        </w:tabs>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2、投标人以联合体形式投标的，除应提交联合协议书(本节附</w:t>
      </w:r>
      <w:r>
        <w:rPr>
          <w:rFonts w:hint="eastAsia" w:ascii="宋体" w:hAnsi="宋体" w:eastAsia="宋体" w:cs="宋体"/>
          <w:color w:val="auto"/>
          <w:szCs w:val="21"/>
          <w:highlight w:val="none"/>
          <w:lang w:eastAsia="zh-CN"/>
        </w:rPr>
        <w:t>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-4)外，参加联合体的各方均应提交上款资格证明材料。</w:t>
      </w:r>
    </w:p>
    <w:p w14:paraId="3D8993D3">
      <w:pPr>
        <w:tabs>
          <w:tab w:val="left" w:pos="4725"/>
        </w:tabs>
        <w:adjustRightInd w:val="0"/>
        <w:snapToGrid w:val="0"/>
        <w:spacing w:line="360" w:lineRule="auto"/>
        <w:rPr>
          <w:rFonts w:hint="eastAsia" w:ascii="宋体" w:hAnsi="宋体" w:eastAsia="宋体" w:cs="宋体"/>
          <w:color w:val="auto"/>
          <w:szCs w:val="21"/>
          <w:highlight w:val="none"/>
        </w:rPr>
      </w:pPr>
    </w:p>
    <w:p w14:paraId="3F7DC9E9">
      <w:pPr>
        <w:widowControl/>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5598987">
      <w:pPr>
        <w:pStyle w:val="5"/>
        <w:rPr>
          <w:rFonts w:hint="eastAsia" w:ascii="宋体" w:hAnsi="宋体" w:eastAsia="宋体" w:cs="宋体"/>
          <w:b w:val="0"/>
          <w:color w:val="auto"/>
          <w:sz w:val="21"/>
          <w:szCs w:val="21"/>
          <w:highlight w:val="none"/>
        </w:rPr>
      </w:pPr>
      <w:bookmarkStart w:id="191" w:name="_Toc29913956"/>
      <w:bookmarkStart w:id="192" w:name="_Toc20833"/>
      <w:bookmarkStart w:id="193" w:name="_Toc18063"/>
      <w:r>
        <w:rPr>
          <w:rFonts w:hint="eastAsia" w:ascii="宋体" w:hAnsi="宋体" w:eastAsia="宋体" w:cs="宋体"/>
          <w:b w:val="0"/>
          <w:color w:val="auto"/>
          <w:sz w:val="21"/>
          <w:szCs w:val="21"/>
          <w:highlight w:val="none"/>
          <w:lang w:eastAsia="zh-CN"/>
        </w:rPr>
        <w:t>附件3</w:t>
      </w:r>
      <w:r>
        <w:rPr>
          <w:rFonts w:hint="eastAsia" w:ascii="宋体" w:hAnsi="宋体" w:eastAsia="宋体" w:cs="宋体"/>
          <w:b w:val="0"/>
          <w:color w:val="auto"/>
          <w:sz w:val="21"/>
          <w:szCs w:val="21"/>
          <w:highlight w:val="none"/>
        </w:rPr>
        <w:t>-1 法人或者其他组织的营业执照等主体资格证明文件，自然人的身份证明</w:t>
      </w:r>
      <w:bookmarkEnd w:id="191"/>
      <w:bookmarkEnd w:id="192"/>
      <w:bookmarkEnd w:id="193"/>
    </w:p>
    <w:p w14:paraId="3631E353">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法人或者其他组织的营业执照等主体资格证明文件，自然人的身份证明</w:t>
      </w:r>
    </w:p>
    <w:p w14:paraId="6F1C8CBF">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150862C8">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注：按第二章第14.1（2）项要求提供。</w:t>
      </w:r>
    </w:p>
    <w:p w14:paraId="1756C488">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投标人为法人的，应提交营业执照或法人登记证书的复印件；</w:t>
      </w:r>
    </w:p>
    <w:p w14:paraId="4D9E1FE6">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投标人为非法人组织的，应提交依法登记证书复印件；</w:t>
      </w:r>
    </w:p>
    <w:p w14:paraId="58AF418E">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投标人为个体工商户的，应提交个体工商户营业执照复印件；</w:t>
      </w:r>
    </w:p>
    <w:p w14:paraId="574AC38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投标人为自然人的，应提交自然人的身份证明复印件。</w:t>
      </w:r>
    </w:p>
    <w:p w14:paraId="3571B851">
      <w:pPr>
        <w:adjustRightInd w:val="0"/>
        <w:snapToGrid w:val="0"/>
        <w:spacing w:before="156" w:beforeLines="50" w:line="360" w:lineRule="auto"/>
        <w:ind w:firstLine="420" w:firstLineChars="200"/>
        <w:rPr>
          <w:rFonts w:hint="eastAsia" w:ascii="宋体" w:hAnsi="宋体" w:eastAsia="宋体" w:cs="宋体"/>
          <w:color w:val="auto"/>
          <w:highlight w:val="none"/>
        </w:rPr>
      </w:pPr>
    </w:p>
    <w:p w14:paraId="2694E720">
      <w:pPr>
        <w:widowControl/>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73FB80DD">
      <w:pPr>
        <w:pStyle w:val="5"/>
        <w:adjustRightInd w:val="0"/>
        <w:snapToGrid w:val="0"/>
        <w:spacing w:before="156" w:beforeLines="50" w:after="0" w:line="360" w:lineRule="auto"/>
        <w:rPr>
          <w:rFonts w:hint="eastAsia" w:ascii="宋体" w:hAnsi="宋体" w:eastAsia="宋体" w:cs="宋体"/>
          <w:b w:val="0"/>
          <w:color w:val="auto"/>
          <w:sz w:val="21"/>
          <w:szCs w:val="21"/>
          <w:highlight w:val="none"/>
        </w:rPr>
      </w:pPr>
      <w:bookmarkStart w:id="194" w:name="_Toc22586"/>
      <w:bookmarkStart w:id="195" w:name="_Toc20857"/>
      <w:bookmarkStart w:id="196" w:name="_Toc29913957"/>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 xml:space="preserve">-2 </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1</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投标人资格声明(格式)</w:t>
      </w:r>
      <w:bookmarkEnd w:id="194"/>
      <w:bookmarkEnd w:id="195"/>
      <w:bookmarkEnd w:id="196"/>
    </w:p>
    <w:p w14:paraId="7FB681FE">
      <w:pPr>
        <w:widowControl/>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投标人资格声明(格式)</w:t>
      </w:r>
    </w:p>
    <w:p w14:paraId="22D918FF">
      <w:pPr>
        <w:widowControl/>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08D66C9B">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按照《中华人民共和国政府采购法》第二十二条和招标文件的规定，我单位郑重声明如下：</w:t>
      </w:r>
    </w:p>
    <w:p w14:paraId="45DBDCD4">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一、我单位是按照中华人民共和国法律规定登记注册的，注册地点为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法定代表人（姓名）</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3D9BA835">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二、我单位未被“国家企业信用信息系统”列入经营异常名录或者严重违法企业名单。</w:t>
      </w:r>
    </w:p>
    <w:p w14:paraId="3E686630">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w:t>
      </w:r>
      <w:r>
        <w:rPr>
          <w:rFonts w:hint="eastAsia" w:ascii="宋体" w:hAnsi="宋体" w:eastAsia="宋体" w:cs="宋体"/>
          <w:color w:val="auto"/>
          <w:szCs w:val="21"/>
          <w:highlight w:val="none"/>
        </w:rPr>
        <w:t>我单位具有良好的商业信誉和健全的财务会计制度。</w:t>
      </w:r>
    </w:p>
    <w:p w14:paraId="5CB92C98">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四、我</w:t>
      </w:r>
      <w:r>
        <w:rPr>
          <w:rFonts w:hint="eastAsia" w:ascii="宋体" w:hAnsi="宋体" w:eastAsia="宋体" w:cs="宋体"/>
          <w:color w:val="auto"/>
          <w:szCs w:val="21"/>
          <w:highlight w:val="none"/>
        </w:rPr>
        <w:t>单位</w:t>
      </w:r>
      <w:r>
        <w:rPr>
          <w:rFonts w:hint="eastAsia" w:ascii="宋体" w:hAnsi="宋体" w:eastAsia="宋体" w:cs="宋体"/>
          <w:color w:val="auto"/>
          <w:kern w:val="0"/>
          <w:szCs w:val="21"/>
          <w:highlight w:val="none"/>
        </w:rPr>
        <w:t>依法进行纳税和社会保险申报并实际履行了义务。</w:t>
      </w:r>
    </w:p>
    <w:p w14:paraId="0802B906">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五、我单位具有履行本项目采购合同所必需的设备和专业技术能力，并具有履行合同的良好记录。</w:t>
      </w:r>
    </w:p>
    <w:p w14:paraId="080BD21C">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3AFF576">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供应商在参加政府采购活动前3年内因违法经营被禁止在一定期限内参加政府采购活动，期限届满的，可以参加政府采购活动。</w:t>
      </w:r>
    </w:p>
    <w:p w14:paraId="59205E58">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七、我单位具备法律、行政法规规定的其他条件。</w:t>
      </w:r>
    </w:p>
    <w:p w14:paraId="0DF5A1CC">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八、</w:t>
      </w:r>
      <w:r>
        <w:rPr>
          <w:rFonts w:hint="eastAsia" w:ascii="宋体" w:hAnsi="宋体" w:eastAsia="宋体" w:cs="宋体"/>
          <w:color w:val="auto"/>
          <w:szCs w:val="21"/>
          <w:highlight w:val="none"/>
        </w:rPr>
        <w:t>与我单位存在“单位负责人为同一人或者存在直接控股、管理关系”的其他单位信息如下（如无，填写“无”）：</w:t>
      </w:r>
    </w:p>
    <w:p w14:paraId="2713D702">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1、与我单位的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为同一人的其他单位如下：</w:t>
      </w:r>
      <w:r>
        <w:rPr>
          <w:rFonts w:hint="eastAsia" w:ascii="宋体" w:hAnsi="宋体" w:eastAsia="宋体" w:cs="宋体"/>
          <w:color w:val="auto"/>
          <w:szCs w:val="21"/>
          <w:highlight w:val="none"/>
          <w:u w:val="single"/>
        </w:rPr>
        <w:t xml:space="preserve">               </w:t>
      </w:r>
    </w:p>
    <w:p w14:paraId="23877DA7">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2、我单位直接控股的其他单位如下：</w:t>
      </w:r>
      <w:r>
        <w:rPr>
          <w:rFonts w:hint="eastAsia" w:ascii="宋体" w:hAnsi="宋体" w:eastAsia="宋体" w:cs="宋体"/>
          <w:color w:val="auto"/>
          <w:szCs w:val="21"/>
          <w:highlight w:val="none"/>
          <w:u w:val="single"/>
        </w:rPr>
        <w:t xml:space="preserve">               </w:t>
      </w:r>
    </w:p>
    <w:p w14:paraId="2C0396D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3、与我单位存在管理关系的其他单位如下：</w:t>
      </w:r>
      <w:r>
        <w:rPr>
          <w:rFonts w:hint="eastAsia" w:ascii="宋体" w:hAnsi="宋体" w:eastAsia="宋体" w:cs="宋体"/>
          <w:color w:val="auto"/>
          <w:szCs w:val="21"/>
          <w:highlight w:val="none"/>
          <w:u w:val="single"/>
        </w:rPr>
        <w:t xml:space="preserve">               </w:t>
      </w:r>
    </w:p>
    <w:p w14:paraId="23051647">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九、我单位不属于为本项目提供整体设计、规范编制或者项目管理、监理、检测等服务的投标人。</w:t>
      </w:r>
    </w:p>
    <w:p w14:paraId="11C78F76">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十、我单位无以下不良信用记录情形：</w:t>
      </w:r>
    </w:p>
    <w:p w14:paraId="73171ED5">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1、在“信用中国”、“信用湖南”、“信用郴州”网站被列入失信被执行人和重大税收违法案件当事人名单；</w:t>
      </w:r>
    </w:p>
    <w:p w14:paraId="6538F0C5">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2、在“中国政府采购网”、“湖南省政府采购网”网站被列入政府采购严重违法失信行为记录名单；</w:t>
      </w:r>
    </w:p>
    <w:p w14:paraId="431925AB">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3、不符合《政府采购法》第二十二条规定的条件。</w:t>
      </w:r>
    </w:p>
    <w:p w14:paraId="693AE03F">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696EA6CF">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18EC4CC3">
      <w:pPr>
        <w:widowControl/>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注：第三条“良好的商业信誉”是指投标人经营状况良好，无本资格声明第十条情形。</w:t>
      </w:r>
    </w:p>
    <w:p w14:paraId="159BE97D">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7C6E2B7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FD49C2F">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49ACE11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4107D55">
      <w:pPr>
        <w:widowControl/>
        <w:adjustRightInd w:val="0"/>
        <w:snapToGrid w:val="0"/>
        <w:spacing w:line="360" w:lineRule="auto"/>
        <w:jc w:val="left"/>
        <w:rPr>
          <w:rFonts w:hint="eastAsia" w:ascii="宋体" w:hAnsi="宋体" w:eastAsia="宋体" w:cs="宋体"/>
          <w:color w:val="auto"/>
          <w:szCs w:val="21"/>
          <w:highlight w:val="none"/>
        </w:rPr>
      </w:pPr>
    </w:p>
    <w:p w14:paraId="6778BF45">
      <w:pPr>
        <w:rPr>
          <w:rFonts w:hint="eastAsia"/>
          <w:color w:val="auto"/>
          <w:highlight w:val="none"/>
          <w:lang w:eastAsia="zh-CN"/>
        </w:rPr>
      </w:pPr>
      <w:r>
        <w:rPr>
          <w:rFonts w:hint="eastAsia" w:ascii="宋体" w:hAnsi="宋体" w:eastAsia="宋体" w:cs="宋体"/>
          <w:b/>
          <w:color w:val="auto"/>
          <w:szCs w:val="21"/>
          <w:highlight w:val="none"/>
        </w:rPr>
        <w:br w:type="page"/>
      </w:r>
    </w:p>
    <w:p w14:paraId="66925A29">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pPr>
    </w:p>
    <w:p w14:paraId="6B42F3A7">
      <w:pPr>
        <w:pStyle w:val="5"/>
        <w:adjustRightInd w:val="0"/>
        <w:snapToGrid w:val="0"/>
        <w:spacing w:before="156" w:beforeLines="5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w:t>
      </w:r>
      <w:r>
        <w:rPr>
          <w:rFonts w:hint="eastAsia" w:ascii="宋体" w:hAnsi="宋体" w:eastAsia="宋体" w:cs="宋体"/>
          <w:b w:val="0"/>
          <w:color w:val="auto"/>
          <w:sz w:val="21"/>
          <w:szCs w:val="21"/>
          <w:highlight w:val="none"/>
          <w:lang w:val="en-US" w:eastAsia="zh-CN"/>
        </w:rPr>
        <w:t>2（2）</w:t>
      </w:r>
      <w:r>
        <w:rPr>
          <w:rFonts w:hint="eastAsia" w:ascii="宋体" w:hAnsi="宋体" w:eastAsia="宋体" w:cs="宋体"/>
          <w:b w:val="0"/>
          <w:color w:val="auto"/>
          <w:sz w:val="21"/>
          <w:szCs w:val="21"/>
          <w:highlight w:val="none"/>
        </w:rPr>
        <w:t xml:space="preserve"> 湖南省政府采购</w:t>
      </w:r>
      <w:r>
        <w:rPr>
          <w:rFonts w:hint="eastAsia" w:ascii="宋体" w:hAnsi="宋体" w:eastAsia="宋体" w:cs="宋体"/>
          <w:b w:val="0"/>
          <w:color w:val="auto"/>
          <w:sz w:val="21"/>
          <w:szCs w:val="21"/>
          <w:highlight w:val="none"/>
          <w:lang w:eastAsia="zh-CN"/>
        </w:rPr>
        <w:t>供应商资格承诺函</w:t>
      </w:r>
      <w:r>
        <w:rPr>
          <w:rFonts w:hint="eastAsia" w:ascii="宋体" w:hAnsi="宋体" w:eastAsia="宋体" w:cs="宋体"/>
          <w:b w:val="0"/>
          <w:color w:val="auto"/>
          <w:sz w:val="21"/>
          <w:szCs w:val="21"/>
          <w:highlight w:val="none"/>
        </w:rPr>
        <w:t>(格式)</w:t>
      </w:r>
    </w:p>
    <w:p w14:paraId="4923C2F0">
      <w:pPr>
        <w:widowControl/>
        <w:adjustRightInd w:val="0"/>
        <w:snapToGrid w:val="0"/>
        <w:spacing w:beforeLines="150" w:line="360" w:lineRule="auto"/>
        <w:jc w:val="center"/>
        <w:rPr>
          <w:rFonts w:ascii="宋体" w:hAnsi="宋体" w:cs="宋体"/>
          <w:color w:val="auto"/>
          <w:szCs w:val="21"/>
          <w:highlight w:val="none"/>
        </w:rPr>
      </w:pPr>
      <w:r>
        <w:rPr>
          <w:rFonts w:hint="eastAsia" w:ascii="宋体" w:hAnsi="宋体" w:cs="宋体"/>
          <w:b/>
          <w:color w:val="auto"/>
          <w:sz w:val="28"/>
          <w:szCs w:val="28"/>
          <w:highlight w:val="none"/>
        </w:rPr>
        <w:t>湖南省政府采购供应商资格承诺函(格式)</w:t>
      </w:r>
    </w:p>
    <w:p w14:paraId="4407F99D">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单位）独立承担民事责任、具有良好的商业信誉和健全的财务会计制度、依法缴纳税收和社会保障资金，在前三年的经营活动中无重大违法记录，未列入严重失信行为名单，符合政府采购供应商的基本资格要求。</w:t>
      </w:r>
    </w:p>
    <w:p w14:paraId="6CF75C0B">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按照《政府采购促进中小企业发展管理办法》(财库〔2020〕46号)，本公司（单位）企业规模为：大型□中型□小型□微型□。</w:t>
      </w:r>
    </w:p>
    <w:p w14:paraId="47EFA3C9">
      <w:pPr>
        <w:widowControl/>
        <w:spacing w:beforeLines="50"/>
        <w:ind w:firstLine="420" w:firstLineChars="200"/>
        <w:jc w:val="left"/>
        <w:rPr>
          <w:rFonts w:hint="eastAsia" w:ascii="宋体" w:hAnsi="宋体" w:cs="宋体"/>
          <w:color w:val="auto"/>
          <w:szCs w:val="21"/>
          <w:highlight w:val="none"/>
        </w:rPr>
      </w:pPr>
    </w:p>
    <w:p w14:paraId="6E454822">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公司(单位)名称：（盖单位电子章）</w:t>
      </w:r>
    </w:p>
    <w:p w14:paraId="30C7AB48">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w:t>
      </w:r>
    </w:p>
    <w:p w14:paraId="00D3CDA7">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注册登记机构：</w:t>
      </w:r>
    </w:p>
    <w:p w14:paraId="52FA5BBB">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日期：</w:t>
      </w:r>
    </w:p>
    <w:p w14:paraId="056F1C76">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有效期：</w:t>
      </w:r>
    </w:p>
    <w:p w14:paraId="4B92FE4A">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注册资本：</w:t>
      </w:r>
    </w:p>
    <w:p w14:paraId="30BA5A74">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 址：</w:t>
      </w:r>
    </w:p>
    <w:p w14:paraId="671613B6">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经济行业：</w:t>
      </w:r>
      <w:r>
        <w:rPr>
          <w:rFonts w:hint="eastAsia" w:ascii="宋体" w:hAnsi="宋体" w:cs="宋体"/>
          <w:color w:val="auto"/>
          <w:szCs w:val="21"/>
          <w:highlight w:val="none"/>
          <w:u w:val="single"/>
        </w:rPr>
        <w:t>（注：根据第一章投标邀请的第一条</w:t>
      </w:r>
      <w:r>
        <w:rPr>
          <w:rFonts w:hint="eastAsia" w:ascii="宋体" w:hAnsi="宋体" w:cs="宋体"/>
          <w:color w:val="auto"/>
          <w:szCs w:val="21"/>
          <w:highlight w:val="none"/>
          <w:u w:val="single"/>
          <w:lang w:val="en-US" w:eastAsia="zh-CN"/>
        </w:rPr>
        <w:t>的“本项目对应的中小企业划分标准所属行业”</w:t>
      </w:r>
      <w:r>
        <w:rPr>
          <w:rFonts w:hint="eastAsia" w:ascii="宋体" w:hAnsi="宋体" w:cs="宋体"/>
          <w:color w:val="auto"/>
          <w:szCs w:val="21"/>
          <w:highlight w:val="none"/>
          <w:u w:val="single"/>
        </w:rPr>
        <w:t>内容填写）</w:t>
      </w:r>
    </w:p>
    <w:p w14:paraId="379DBDD4">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经济性质：</w:t>
      </w:r>
      <w:r>
        <w:rPr>
          <w:rFonts w:hint="eastAsia" w:ascii="宋体" w:hAnsi="宋体" w:cs="宋体"/>
          <w:color w:val="auto"/>
          <w:szCs w:val="21"/>
          <w:highlight w:val="none"/>
          <w:u w:val="single"/>
        </w:rPr>
        <w:t>（注：填写营业执照的“类型”；如果是事业单位的则填写“事业单位”）</w:t>
      </w:r>
      <w:r>
        <w:rPr>
          <w:rFonts w:hint="eastAsia" w:ascii="宋体" w:hAnsi="宋体" w:cs="宋体"/>
          <w:color w:val="auto"/>
          <w:szCs w:val="21"/>
          <w:highlight w:val="none"/>
        </w:rPr>
        <w:t>。</w:t>
      </w:r>
    </w:p>
    <w:p w14:paraId="77928BF0">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法定代表人(负责人)姓名（电子签章）、身份证号、手机号：</w:t>
      </w:r>
    </w:p>
    <w:p w14:paraId="401AEEBB">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授权代表人姓名（电子签章）、身份证号、手机号：</w:t>
      </w:r>
    </w:p>
    <w:p w14:paraId="4A0A8B79">
      <w:pPr>
        <w:widowControl/>
        <w:jc w:val="left"/>
        <w:rPr>
          <w:rFonts w:hint="eastAsia" w:ascii="宋体" w:hAnsi="宋体" w:eastAsia="宋体" w:cs="宋体"/>
          <w:bCs/>
          <w:color w:val="auto"/>
          <w:szCs w:val="21"/>
          <w:highlight w:val="none"/>
        </w:rPr>
      </w:pPr>
      <w:r>
        <w:rPr>
          <w:rFonts w:hint="eastAsia" w:ascii="宋体" w:hAnsi="宋体" w:cs="宋体"/>
          <w:color w:val="auto"/>
          <w:szCs w:val="21"/>
          <w:highlight w:val="none"/>
        </w:rPr>
        <w:t xml:space="preserve">                                          年     月    日</w:t>
      </w:r>
    </w:p>
    <w:p w14:paraId="5EE0CC4D">
      <w:pPr>
        <w:rPr>
          <w:rFonts w:hint="eastAsia" w:ascii="宋体" w:hAnsi="宋体" w:eastAsia="宋体" w:cs="宋体"/>
          <w:b w:val="0"/>
          <w:color w:val="auto"/>
          <w:sz w:val="21"/>
          <w:szCs w:val="21"/>
          <w:highlight w:val="none"/>
          <w:lang w:eastAsia="zh-CN"/>
        </w:rPr>
      </w:pPr>
      <w:bookmarkStart w:id="197" w:name="_Toc26565"/>
      <w:bookmarkStart w:id="198" w:name="_Toc29913958"/>
      <w:bookmarkStart w:id="199" w:name="_Toc390"/>
      <w:r>
        <w:rPr>
          <w:rFonts w:hint="eastAsia" w:ascii="宋体" w:hAnsi="宋体" w:eastAsia="宋体" w:cs="宋体"/>
          <w:b w:val="0"/>
          <w:color w:val="auto"/>
          <w:sz w:val="21"/>
          <w:szCs w:val="21"/>
          <w:highlight w:val="none"/>
          <w:lang w:eastAsia="zh-CN"/>
        </w:rPr>
        <w:br w:type="page"/>
      </w:r>
    </w:p>
    <w:p w14:paraId="41B0AFFC">
      <w:pPr>
        <w:pStyle w:val="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-3 符合特定资格条件证明材料复印件或者情况说明</w:t>
      </w:r>
      <w:bookmarkEnd w:id="197"/>
      <w:bookmarkEnd w:id="198"/>
      <w:bookmarkEnd w:id="199"/>
    </w:p>
    <w:p w14:paraId="01D6228B">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符合特定资格条件证明材料复印件或者情况说明</w:t>
      </w:r>
    </w:p>
    <w:p w14:paraId="1813D38F">
      <w:pPr>
        <w:widowControl/>
        <w:adjustRightInd w:val="0"/>
        <w:snapToGrid w:val="0"/>
        <w:spacing w:line="360" w:lineRule="auto"/>
        <w:ind w:firstLine="560" w:firstLineChars="200"/>
        <w:jc w:val="left"/>
        <w:rPr>
          <w:rFonts w:hint="eastAsia" w:ascii="宋体" w:hAnsi="宋体" w:eastAsia="宋体" w:cs="宋体"/>
          <w:color w:val="auto"/>
          <w:sz w:val="28"/>
          <w:szCs w:val="28"/>
          <w:highlight w:val="none"/>
        </w:rPr>
      </w:pPr>
    </w:p>
    <w:p w14:paraId="1FE493C9">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注：按第二章第14.1（3）项要求提供。</w:t>
      </w:r>
    </w:p>
    <w:p w14:paraId="76C33EA3">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B91FBA9">
      <w:pPr>
        <w:pStyle w:val="5"/>
        <w:rPr>
          <w:rFonts w:hint="eastAsia" w:ascii="宋体" w:hAnsi="宋体" w:eastAsia="宋体" w:cs="宋体"/>
          <w:b w:val="0"/>
          <w:color w:val="auto"/>
          <w:kern w:val="0"/>
          <w:sz w:val="21"/>
          <w:szCs w:val="21"/>
          <w:highlight w:val="none"/>
        </w:rPr>
      </w:pPr>
      <w:bookmarkStart w:id="200" w:name="_Toc29913959"/>
      <w:bookmarkStart w:id="201" w:name="_Toc30025"/>
      <w:bookmarkStart w:id="202" w:name="_Toc14195"/>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 xml:space="preserve">-4 </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1</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联合体协议书（格式）</w:t>
      </w:r>
      <w:bookmarkEnd w:id="200"/>
      <w:bookmarkEnd w:id="201"/>
      <w:bookmarkEnd w:id="202"/>
    </w:p>
    <w:p w14:paraId="70828599">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28"/>
          <w:szCs w:val="28"/>
          <w:highlight w:val="none"/>
        </w:rPr>
        <w:t>联合体协议书（格式）</w:t>
      </w:r>
    </w:p>
    <w:p w14:paraId="23755378">
      <w:pPr>
        <w:adjustRightInd w:val="0"/>
        <w:snapToGrid w:val="0"/>
        <w:spacing w:line="360" w:lineRule="auto"/>
        <w:rPr>
          <w:rFonts w:hint="eastAsia" w:ascii="宋体" w:hAnsi="宋体" w:eastAsia="宋体" w:cs="宋体"/>
          <w:color w:val="auto"/>
          <w:szCs w:val="21"/>
          <w:highlight w:val="none"/>
        </w:rPr>
      </w:pPr>
    </w:p>
    <w:p w14:paraId="04E3466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7558294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经研究，我们决定自愿组成联合体共同参加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）项目的投标。现就联合体投标事宜订立如下协议：</w:t>
      </w:r>
    </w:p>
    <w:p w14:paraId="05DC964B">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一、联合体基本信息：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（各方公司名称、地址、注册资金、营业执照、</w:t>
      </w:r>
      <w:r>
        <w:rPr>
          <w:rFonts w:hint="eastAsia" w:ascii="宋体" w:hAnsi="宋体" w:eastAsia="宋体" w:cs="宋体"/>
          <w:color w:val="auto"/>
          <w:spacing w:val="-2"/>
          <w:kern w:val="0"/>
          <w:szCs w:val="21"/>
          <w:highlight w:val="none"/>
          <w:lang w:eastAsia="zh-CN"/>
        </w:rPr>
        <w:t>法定代表人</w:t>
      </w:r>
      <w:r>
        <w:rPr>
          <w:rFonts w:hint="eastAsia" w:ascii="宋体" w:hAnsi="宋体" w:eastAsia="宋体" w:cs="宋体"/>
          <w:color w:val="auto"/>
          <w:szCs w:val="21"/>
          <w:highlight w:val="none"/>
        </w:rPr>
        <w:t>姓名）</w:t>
      </w:r>
    </w:p>
    <w:p w14:paraId="1AFF2DE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376FD79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69FA574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四．联合体将严格按照招标文件的各项要求，递交投标文件，参加投标，履行中标义务和中标后的合同，并向采购人承担连带责任。</w:t>
      </w:r>
    </w:p>
    <w:p w14:paraId="5DC76FCF">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五、联合体各成员单位内部的职责分工如下：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。按照本条上述分工，联合体各成员的协议合同金额占联合体协议合同总金额比例如下：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EE1201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六、本协议书自签署之日起生效，合同履行完毕后自动失效。</w:t>
      </w:r>
    </w:p>
    <w:p w14:paraId="09CFC6A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份，联合体成员和采购人各执一份。</w:t>
      </w:r>
    </w:p>
    <w:p w14:paraId="6CAAFE4F">
      <w:pPr>
        <w:adjustRightInd w:val="0"/>
        <w:snapToGrid w:val="0"/>
        <w:spacing w:line="360" w:lineRule="auto"/>
        <w:rPr>
          <w:rFonts w:hint="eastAsia" w:ascii="宋体" w:hAnsi="宋体" w:eastAsia="宋体" w:cs="宋体"/>
          <w:color w:val="auto"/>
          <w:szCs w:val="21"/>
          <w:highlight w:val="none"/>
        </w:rPr>
      </w:pPr>
    </w:p>
    <w:p w14:paraId="3E02B2A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牵头人名称（盖单位电子章）：</w:t>
      </w:r>
    </w:p>
    <w:p w14:paraId="192C506E">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5661716">
      <w:pPr>
        <w:adjustRightInd w:val="0"/>
        <w:snapToGrid w:val="0"/>
        <w:spacing w:line="360" w:lineRule="auto"/>
        <w:rPr>
          <w:rFonts w:hint="eastAsia" w:ascii="宋体" w:hAnsi="宋体" w:eastAsia="宋体" w:cs="宋体"/>
          <w:color w:val="auto"/>
          <w:szCs w:val="21"/>
          <w:highlight w:val="none"/>
        </w:rPr>
      </w:pPr>
    </w:p>
    <w:p w14:paraId="3D7AE01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成员1名称（盖单位电子章）：</w:t>
      </w:r>
    </w:p>
    <w:p w14:paraId="1A7D28A8">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0580F2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成员2名称（盖单位电子章）：</w:t>
      </w:r>
    </w:p>
    <w:p w14:paraId="7C2653CE">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0C2EC7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p w14:paraId="7F34A7D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31190EC1">
      <w:pPr>
        <w:widowControl/>
        <w:adjustRightInd w:val="0"/>
        <w:snapToGrid w:val="0"/>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w:t>
      </w:r>
      <w:r>
        <w:rPr>
          <w:rFonts w:hint="eastAsia" w:ascii="宋体" w:hAnsi="宋体" w:eastAsia="宋体" w:cs="宋体"/>
          <w:color w:val="auto"/>
          <w:szCs w:val="21"/>
          <w:highlight w:val="none"/>
        </w:rPr>
        <w:t>：1、本协议书由</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签字的，应附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授权委托书。</w:t>
      </w:r>
    </w:p>
    <w:p w14:paraId="45D4B7E3">
      <w:pPr>
        <w:widowControl/>
        <w:numPr>
          <w:ilvl w:val="0"/>
          <w:numId w:val="8"/>
        </w:num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投标人在提交投标文件的截止时间前修改“开标一览表”中的投标报价，影响本协议书第五条的，应同时修改本协议书第五条。否则，评审时价格评审优惠不予以考虑。</w:t>
      </w:r>
    </w:p>
    <w:p w14:paraId="17C15308">
      <w:pPr>
        <w:widowControl/>
        <w:numPr>
          <w:ilvl w:val="0"/>
          <w:numId w:val="0"/>
        </w:numPr>
        <w:adjustRightInd w:val="0"/>
        <w:snapToGrid w:val="0"/>
        <w:spacing w:line="360" w:lineRule="auto"/>
        <w:jc w:val="left"/>
        <w:rPr>
          <w:rFonts w:hint="eastAsia" w:ascii="宋体" w:hAnsi="宋体" w:eastAsia="宋体" w:cs="宋体"/>
          <w:color w:val="auto"/>
          <w:sz w:val="32"/>
          <w:szCs w:val="32"/>
          <w:highlight w:val="none"/>
        </w:rPr>
      </w:pPr>
    </w:p>
    <w:p w14:paraId="5117D878">
      <w:pPr>
        <w:pStyle w:val="58"/>
        <w:rPr>
          <w:rFonts w:hint="eastAsia" w:ascii="宋体" w:hAnsi="宋体" w:eastAsia="宋体" w:cs="宋体"/>
          <w:color w:val="auto"/>
          <w:highlight w:val="none"/>
        </w:rPr>
      </w:pPr>
    </w:p>
    <w:p w14:paraId="04B35CE0">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bookmarkStart w:id="203" w:name="_Toc27988"/>
      <w:bookmarkStart w:id="204" w:name="_Toc3964"/>
      <w:r>
        <w:rPr>
          <w:rFonts w:hint="eastAsia" w:ascii="宋体" w:hAnsi="宋体" w:eastAsia="宋体" w:cs="宋体"/>
          <w:color w:val="auto"/>
          <w:kern w:val="0"/>
          <w:szCs w:val="21"/>
          <w:highlight w:val="none"/>
        </w:rPr>
        <w:t>附件</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4（2）</w:t>
      </w:r>
      <w:r>
        <w:rPr>
          <w:rFonts w:hint="eastAsia" w:ascii="宋体" w:hAnsi="宋体" w:eastAsia="宋体" w:cs="宋体"/>
          <w:color w:val="auto"/>
          <w:kern w:val="0"/>
          <w:szCs w:val="21"/>
          <w:highlight w:val="none"/>
        </w:rPr>
        <w:t>提供“非联合体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”书面声明</w:t>
      </w:r>
    </w:p>
    <w:p w14:paraId="4720D4CA">
      <w:pPr>
        <w:pStyle w:val="58"/>
        <w:ind w:firstLine="840" w:firstLineChars="400"/>
        <w:rPr>
          <w:rFonts w:hint="eastAsia" w:ascii="宋体" w:hAnsi="宋体" w:eastAsia="宋体" w:cs="宋体"/>
          <w:color w:val="auto"/>
          <w:kern w:val="0"/>
          <w:highlight w:val="none"/>
        </w:rPr>
      </w:pPr>
    </w:p>
    <w:p w14:paraId="0AE7A68D">
      <w:pPr>
        <w:pStyle w:val="95"/>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t>“非联合体</w:t>
      </w:r>
      <w:r>
        <w:rPr>
          <w:rFonts w:hint="eastAsia" w:ascii="宋体" w:hAnsi="宋体" w:eastAsia="宋体" w:cs="宋体"/>
          <w:color w:val="auto"/>
          <w:sz w:val="28"/>
          <w:szCs w:val="28"/>
          <w:highlight w:val="none"/>
          <w:lang w:eastAsia="zh-CN"/>
        </w:rPr>
        <w:t>投标</w:t>
      </w:r>
      <w:r>
        <w:rPr>
          <w:rFonts w:hint="eastAsia" w:ascii="宋体" w:hAnsi="宋体" w:eastAsia="宋体" w:cs="宋体"/>
          <w:color w:val="auto"/>
          <w:sz w:val="28"/>
          <w:szCs w:val="28"/>
          <w:highlight w:val="none"/>
        </w:rPr>
        <w:t>”书面声明</w:t>
      </w:r>
    </w:p>
    <w:p w14:paraId="1CCF405D">
      <w:pPr>
        <w:rPr>
          <w:rFonts w:hint="eastAsia" w:ascii="宋体" w:hAnsi="宋体" w:eastAsia="宋体" w:cs="宋体"/>
          <w:color w:val="auto"/>
          <w:kern w:val="0"/>
          <w:szCs w:val="21"/>
          <w:highlight w:val="none"/>
        </w:rPr>
      </w:pPr>
    </w:p>
    <w:p w14:paraId="778C1497">
      <w:pPr>
        <w:pStyle w:val="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（采购人、采购代理机构）</w:t>
      </w:r>
    </w:p>
    <w:p w14:paraId="03CF4DE3">
      <w:pPr>
        <w:pStyle w:val="95"/>
        <w:rPr>
          <w:rFonts w:hint="eastAsia" w:ascii="宋体" w:hAnsi="宋体" w:eastAsia="宋体" w:cs="宋体"/>
          <w:color w:val="auto"/>
          <w:szCs w:val="21"/>
          <w:highlight w:val="none"/>
        </w:rPr>
      </w:pPr>
    </w:p>
    <w:p w14:paraId="235C2176">
      <w:pPr>
        <w:spacing w:line="360" w:lineRule="auto"/>
        <w:ind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经研究，我单位确认参加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（采购项目名称、</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）项目的采购活动</w:t>
      </w:r>
      <w:r>
        <w:rPr>
          <w:rFonts w:hint="eastAsia" w:ascii="宋体" w:hAnsi="宋体" w:eastAsia="宋体" w:cs="宋体"/>
          <w:color w:val="auto"/>
          <w:kern w:val="0"/>
          <w:szCs w:val="21"/>
          <w:highlight w:val="none"/>
        </w:rPr>
        <w:t>，在此书面声明：我单位系独立</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，具有独立承担民事责任的能力，非联合体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w:t>
      </w:r>
    </w:p>
    <w:p w14:paraId="33ABD4BE">
      <w:pPr>
        <w:pStyle w:val="13"/>
        <w:ind w:firstLine="420"/>
        <w:rPr>
          <w:rFonts w:hint="eastAsia" w:ascii="宋体" w:hAnsi="宋体" w:eastAsia="宋体" w:cs="宋体"/>
          <w:color w:val="auto"/>
          <w:highlight w:val="none"/>
        </w:rPr>
      </w:pPr>
    </w:p>
    <w:p w14:paraId="1378EA61">
      <w:pPr>
        <w:pStyle w:val="95"/>
        <w:ind w:left="0"/>
        <w:rPr>
          <w:rFonts w:hint="eastAsia" w:ascii="宋体" w:hAnsi="宋体" w:eastAsia="宋体" w:cs="宋体"/>
          <w:color w:val="auto"/>
          <w:highlight w:val="none"/>
        </w:rPr>
      </w:pPr>
      <w:r>
        <w:rPr>
          <w:rFonts w:hint="eastAsia" w:ascii="宋体" w:hAnsi="宋体" w:eastAsia="宋体" w:cs="宋体"/>
          <w:color w:val="auto"/>
          <w:highlight w:val="none"/>
        </w:rPr>
        <w:t xml:space="preserve">    特此声明！</w:t>
      </w:r>
    </w:p>
    <w:p w14:paraId="3D7B9B9B">
      <w:pPr>
        <w:pStyle w:val="95"/>
        <w:spacing w:line="360" w:lineRule="auto"/>
        <w:rPr>
          <w:rFonts w:hint="eastAsia" w:ascii="宋体" w:hAnsi="宋体" w:eastAsia="宋体" w:cs="宋体"/>
          <w:color w:val="auto"/>
          <w:sz w:val="21"/>
          <w:szCs w:val="21"/>
          <w:highlight w:val="none"/>
        </w:rPr>
      </w:pPr>
    </w:p>
    <w:p w14:paraId="5D3DE7D9">
      <w:pPr>
        <w:spacing w:line="360" w:lineRule="auto"/>
        <w:rPr>
          <w:rFonts w:hint="eastAsia" w:ascii="宋体" w:hAnsi="宋体" w:eastAsia="宋体" w:cs="宋体"/>
          <w:color w:val="auto"/>
          <w:sz w:val="21"/>
          <w:szCs w:val="21"/>
          <w:highlight w:val="none"/>
        </w:rPr>
      </w:pPr>
    </w:p>
    <w:p w14:paraId="71E6BBDA">
      <w:pPr>
        <w:widowControl/>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w:t>
      </w:r>
      <w:r>
        <w:rPr>
          <w:rFonts w:hint="eastAsia" w:ascii="宋体" w:hAnsi="宋体" w:eastAsia="宋体" w:cs="宋体"/>
          <w:color w:val="auto"/>
          <w:sz w:val="21"/>
          <w:szCs w:val="21"/>
          <w:highlight w:val="none"/>
          <w:lang w:eastAsia="zh-CN"/>
        </w:rPr>
        <w:t>单位电子</w:t>
      </w:r>
      <w:r>
        <w:rPr>
          <w:rFonts w:hint="eastAsia" w:ascii="宋体" w:hAnsi="宋体" w:eastAsia="宋体" w:cs="宋体"/>
          <w:color w:val="auto"/>
          <w:sz w:val="21"/>
          <w:szCs w:val="21"/>
          <w:highlight w:val="none"/>
        </w:rPr>
        <w:t>章）</w:t>
      </w:r>
    </w:p>
    <w:p w14:paraId="296A224C">
      <w:pPr>
        <w:widowControl/>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pacing w:val="-2"/>
          <w:kern w:val="0"/>
          <w:sz w:val="21"/>
          <w:szCs w:val="21"/>
          <w:highlight w:val="none"/>
          <w:lang w:eastAsia="zh-CN"/>
        </w:rPr>
        <w:t>法定代表人（单位负责人）或授权代表人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（签字或印章）</w:t>
      </w:r>
    </w:p>
    <w:p w14:paraId="68364EEE">
      <w:pPr>
        <w:pStyle w:val="5"/>
        <w:adjustRightInd w:val="0"/>
        <w:snapToGrid w:val="0"/>
        <w:spacing w:before="156" w:beforeLines="50" w:after="0"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日期：  年  月  日</w:t>
      </w:r>
    </w:p>
    <w:p w14:paraId="3EEFC956">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pPr>
    </w:p>
    <w:p w14:paraId="7C14D957">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sectPr>
          <w:pgSz w:w="11906" w:h="16838"/>
          <w:pgMar w:top="1474" w:right="1474" w:bottom="1474" w:left="1588" w:header="851" w:footer="992" w:gutter="0"/>
          <w:pgNumType w:fmt="decimal"/>
          <w:cols w:space="720" w:num="1"/>
          <w:docGrid w:type="lines" w:linePitch="312" w:charSpace="0"/>
        </w:sectPr>
      </w:pPr>
    </w:p>
    <w:bookmarkEnd w:id="203"/>
    <w:bookmarkEnd w:id="204"/>
    <w:p w14:paraId="1FD1D438">
      <w:pPr>
        <w:adjustRightInd w:val="0"/>
        <w:snapToGrid w:val="0"/>
        <w:spacing w:line="360" w:lineRule="auto"/>
        <w:jc w:val="center"/>
        <w:rPr>
          <w:rFonts w:hint="eastAsia" w:ascii="宋体" w:hAnsi="宋体" w:eastAsia="宋体" w:cs="宋体"/>
          <w:color w:val="auto"/>
          <w:sz w:val="32"/>
          <w:szCs w:val="32"/>
          <w:highlight w:val="none"/>
        </w:rPr>
      </w:pPr>
    </w:p>
    <w:p w14:paraId="473D0314">
      <w:pPr>
        <w:adjustRightInd w:val="0"/>
        <w:snapToGrid w:val="0"/>
        <w:spacing w:line="360" w:lineRule="auto"/>
        <w:jc w:val="center"/>
        <w:rPr>
          <w:rFonts w:hint="eastAsia" w:ascii="宋体" w:hAnsi="宋体" w:eastAsia="宋体" w:cs="宋体"/>
          <w:color w:val="auto"/>
          <w:sz w:val="32"/>
          <w:szCs w:val="32"/>
          <w:highlight w:val="none"/>
        </w:rPr>
      </w:pPr>
    </w:p>
    <w:p w14:paraId="068CC2F8">
      <w:pPr>
        <w:adjustRightInd w:val="0"/>
        <w:snapToGrid w:val="0"/>
        <w:spacing w:line="360" w:lineRule="auto"/>
        <w:jc w:val="center"/>
        <w:rPr>
          <w:rFonts w:hint="eastAsia" w:ascii="宋体" w:hAnsi="宋体" w:eastAsia="宋体" w:cs="宋体"/>
          <w:bCs/>
          <w:color w:val="auto"/>
          <w:sz w:val="72"/>
          <w:szCs w:val="72"/>
          <w:highlight w:val="none"/>
          <w:lang w:eastAsia="zh-CN"/>
        </w:rPr>
      </w:pPr>
      <w:r>
        <w:rPr>
          <w:rFonts w:hint="eastAsia" w:ascii="宋体" w:hAnsi="宋体" w:eastAsia="宋体" w:cs="宋体"/>
          <w:bCs/>
          <w:color w:val="auto"/>
          <w:sz w:val="72"/>
          <w:szCs w:val="72"/>
          <w:highlight w:val="none"/>
          <w:lang w:eastAsia="zh-CN"/>
        </w:rPr>
        <w:t>政府采购【郴州电子标】</w:t>
      </w:r>
    </w:p>
    <w:p w14:paraId="7FF9EF49">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2D682E8F">
      <w:pPr>
        <w:pStyle w:val="3"/>
        <w:adjustRightInd w:val="0"/>
        <w:snapToGrid w:val="0"/>
        <w:jc w:val="center"/>
        <w:rPr>
          <w:rFonts w:hint="eastAsia" w:ascii="宋体" w:hAnsi="宋体" w:eastAsia="宋体" w:cs="宋体"/>
          <w:color w:val="auto"/>
          <w:sz w:val="44"/>
          <w:szCs w:val="44"/>
          <w:highlight w:val="none"/>
          <w:lang w:eastAsia="zh-CN"/>
        </w:rPr>
      </w:pPr>
      <w:bookmarkStart w:id="205" w:name="_Toc10663"/>
      <w:bookmarkStart w:id="206" w:name="_Toc29913960"/>
      <w:bookmarkStart w:id="207" w:name="_Toc31429"/>
      <w:r>
        <w:rPr>
          <w:rFonts w:hint="eastAsia" w:ascii="宋体" w:hAnsi="宋体" w:eastAsia="宋体" w:cs="宋体"/>
          <w:color w:val="auto"/>
          <w:sz w:val="44"/>
          <w:szCs w:val="44"/>
          <w:highlight w:val="none"/>
        </w:rPr>
        <w:t xml:space="preserve">第二部分 </w:t>
      </w:r>
      <w:bookmarkEnd w:id="205"/>
      <w:bookmarkEnd w:id="206"/>
      <w:r>
        <w:rPr>
          <w:rFonts w:hint="eastAsia" w:ascii="宋体" w:hAnsi="宋体" w:eastAsia="宋体" w:cs="宋体"/>
          <w:color w:val="auto"/>
          <w:sz w:val="44"/>
          <w:szCs w:val="44"/>
          <w:highlight w:val="none"/>
          <w:lang w:eastAsia="zh-CN"/>
        </w:rPr>
        <w:t>商务和技术文件</w:t>
      </w:r>
      <w:bookmarkEnd w:id="207"/>
    </w:p>
    <w:p w14:paraId="04E2CD71">
      <w:pPr>
        <w:adjustRightInd w:val="0"/>
        <w:snapToGrid w:val="0"/>
        <w:spacing w:line="360" w:lineRule="auto"/>
        <w:rPr>
          <w:rFonts w:hint="eastAsia" w:ascii="宋体" w:hAnsi="宋体" w:eastAsia="宋体" w:cs="宋体"/>
          <w:color w:val="auto"/>
          <w:sz w:val="32"/>
          <w:szCs w:val="32"/>
          <w:highlight w:val="none"/>
        </w:rPr>
      </w:pPr>
    </w:p>
    <w:p w14:paraId="3B288B25">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lang w:eastAsia="zh-CN"/>
        </w:rPr>
        <w:t>采购项目名称</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0AFBC49D">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   购   人：</w:t>
      </w:r>
      <w:r>
        <w:rPr>
          <w:rFonts w:hint="eastAsia" w:ascii="宋体" w:hAnsi="宋体" w:eastAsia="宋体" w:cs="宋体"/>
          <w:b/>
          <w:bCs/>
          <w:color w:val="auto"/>
          <w:sz w:val="30"/>
          <w:szCs w:val="30"/>
          <w:highlight w:val="none"/>
          <w:u w:val="single"/>
        </w:rPr>
        <w:t xml:space="preserve">                       </w:t>
      </w:r>
    </w:p>
    <w:p w14:paraId="5BA8E194">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hAnsi="宋体" w:cs="宋体"/>
          <w:b/>
          <w:bCs/>
          <w:color w:val="auto"/>
          <w:sz w:val="30"/>
          <w:szCs w:val="30"/>
          <w:highlight w:val="none"/>
          <w:lang w:eastAsia="zh-CN"/>
        </w:rPr>
        <w:t>政府采购计划编号</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0F7296F2">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u w:val="single"/>
        </w:rPr>
        <w:t xml:space="preserve">                     </w:t>
      </w:r>
    </w:p>
    <w:p w14:paraId="5F51B87B">
      <w:pPr>
        <w:adjustRightInd w:val="0"/>
        <w:snapToGrid w:val="0"/>
        <w:spacing w:line="360" w:lineRule="auto"/>
        <w:rPr>
          <w:rFonts w:hint="eastAsia" w:ascii="宋体" w:hAnsi="宋体" w:eastAsia="宋体" w:cs="宋体"/>
          <w:color w:val="auto"/>
          <w:sz w:val="30"/>
          <w:szCs w:val="30"/>
          <w:highlight w:val="none"/>
        </w:rPr>
      </w:pPr>
    </w:p>
    <w:p w14:paraId="1C4ED4FF">
      <w:pPr>
        <w:adjustRightInd w:val="0"/>
        <w:snapToGrid w:val="0"/>
        <w:spacing w:line="360" w:lineRule="auto"/>
        <w:rPr>
          <w:rFonts w:hint="eastAsia" w:ascii="宋体" w:hAnsi="宋体" w:eastAsia="宋体" w:cs="宋体"/>
          <w:color w:val="auto"/>
          <w:sz w:val="30"/>
          <w:szCs w:val="30"/>
          <w:highlight w:val="none"/>
        </w:rPr>
      </w:pPr>
    </w:p>
    <w:p w14:paraId="31292FE2">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bookmarkStart w:id="208" w:name="_Toc9352"/>
      <w:bookmarkStart w:id="209" w:name="_Toc29913961"/>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24D8F382">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联系人姓名、联系电话：</w:t>
      </w:r>
    </w:p>
    <w:p w14:paraId="362BCCC6">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0" w:name="_Toc305"/>
      <w:r>
        <w:rPr>
          <w:rFonts w:hint="eastAsia" w:ascii="宋体" w:hAnsi="宋体" w:eastAsia="宋体" w:cs="宋体"/>
          <w:color w:val="auto"/>
          <w:sz w:val="32"/>
          <w:szCs w:val="32"/>
          <w:highlight w:val="none"/>
        </w:rPr>
        <w:t>年  月  日</w:t>
      </w:r>
      <w:r>
        <w:rPr>
          <w:rFonts w:hint="eastAsia" w:ascii="宋体" w:hAnsi="宋体" w:eastAsia="宋体" w:cs="宋体"/>
          <w:color w:val="auto"/>
          <w:sz w:val="32"/>
          <w:szCs w:val="32"/>
          <w:highlight w:val="none"/>
          <w:lang w:eastAsia="zh-CN"/>
        </w:rPr>
        <w:t>（应与投标截止日期一致）</w:t>
      </w:r>
      <w:bookmarkEnd w:id="210"/>
    </w:p>
    <w:p w14:paraId="0A0D73FF">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19C9D1E9">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77D3B53B">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32412004">
      <w:pPr>
        <w:rPr>
          <w:rFonts w:hint="eastAsia" w:ascii="宋体" w:hAnsi="宋体" w:eastAsia="宋体" w:cs="宋体"/>
          <w:color w:val="auto"/>
          <w:sz w:val="28"/>
          <w:szCs w:val="28"/>
          <w:highlight w:val="none"/>
        </w:rPr>
      </w:pPr>
    </w:p>
    <w:p w14:paraId="596743BC">
      <w:pPr>
        <w:pStyle w:val="58"/>
        <w:rPr>
          <w:rFonts w:hint="eastAsia" w:ascii="宋体" w:hAnsi="宋体" w:eastAsia="宋体" w:cs="宋体"/>
          <w:color w:val="auto"/>
          <w:highlight w:val="none"/>
        </w:rPr>
      </w:pPr>
    </w:p>
    <w:p w14:paraId="41E55253">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1" w:name="_Toc22727"/>
      <w:r>
        <w:rPr>
          <w:rFonts w:hint="eastAsia" w:ascii="宋体" w:hAnsi="宋体" w:cs="宋体"/>
          <w:color w:val="auto"/>
          <w:sz w:val="28"/>
          <w:szCs w:val="28"/>
          <w:highlight w:val="none"/>
          <w:lang w:val="en-US" w:eastAsia="zh-CN"/>
        </w:rPr>
        <w:t>五</w:t>
      </w:r>
      <w:r>
        <w:rPr>
          <w:rFonts w:hint="eastAsia" w:ascii="宋体" w:hAnsi="宋体" w:eastAsia="宋体" w:cs="宋体"/>
          <w:color w:val="auto"/>
          <w:sz w:val="28"/>
          <w:szCs w:val="28"/>
          <w:highlight w:val="none"/>
        </w:rPr>
        <w:t>、投标函</w:t>
      </w:r>
      <w:bookmarkEnd w:id="208"/>
      <w:bookmarkEnd w:id="209"/>
      <w:bookmarkEnd w:id="211"/>
    </w:p>
    <w:p w14:paraId="77F39C88">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395D8E58">
      <w:pPr>
        <w:adjustRightInd w:val="0"/>
        <w:snapToGrid w:val="0"/>
        <w:spacing w:before="156" w:beforeLines="50"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）的投标邀请（</w:t>
      </w:r>
      <w:r>
        <w:rPr>
          <w:rFonts w:hint="eastAsia" w:ascii="宋体" w:hAnsi="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（投标人名称）提交包含下述内容的电子投标文件一份至</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公共资源交易中心政府采购电子交易系统，参加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包投标，并在此声明，所递交的投标文件内容合法、完整、真实。</w:t>
      </w:r>
    </w:p>
    <w:p w14:paraId="4E4002D1">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578AF11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6594A2D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w:t>
      </w:r>
    </w:p>
    <w:p w14:paraId="6AF8501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授权委托书</w:t>
      </w:r>
    </w:p>
    <w:p w14:paraId="4CBA1E3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、投标人提供的资格证明文件</w:t>
      </w:r>
    </w:p>
    <w:p w14:paraId="5DDFD340">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04066E5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、投标函</w:t>
      </w:r>
    </w:p>
    <w:p w14:paraId="3AA3AA0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、分项报价</w:t>
      </w:r>
    </w:p>
    <w:p w14:paraId="7C06DAC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采购需求响应</w:t>
      </w:r>
    </w:p>
    <w:p w14:paraId="4B37AFE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5CC4D29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6162365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、享受政府采购政策优惠的证明资料和清单表</w:t>
      </w:r>
    </w:p>
    <w:p w14:paraId="46C9F5B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投标服务（含配套货物）符合招标文件规定的证明文件</w:t>
      </w:r>
    </w:p>
    <w:p w14:paraId="3F457F4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4DA7DD38">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在此，签字代表宣布同意如下：</w:t>
      </w:r>
    </w:p>
    <w:p w14:paraId="353F5739">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1、投标人严格按照招标文件的规定报价，见《开标一览表》</w:t>
      </w:r>
      <w:r>
        <w:rPr>
          <w:rFonts w:hint="eastAsia" w:ascii="宋体" w:hAnsi="宋体" w:eastAsia="宋体" w:cs="宋体"/>
          <w:color w:val="auto"/>
          <w:szCs w:val="21"/>
          <w:highlight w:val="none"/>
          <w:lang w:eastAsia="zh-CN"/>
        </w:rPr>
        <w:t>和《分项报价》</w:t>
      </w:r>
      <w:r>
        <w:rPr>
          <w:rFonts w:hint="eastAsia" w:ascii="宋体" w:hAnsi="宋体" w:eastAsia="宋体" w:cs="宋体"/>
          <w:color w:val="auto"/>
          <w:szCs w:val="21"/>
          <w:highlight w:val="none"/>
        </w:rPr>
        <w:t>。</w:t>
      </w:r>
    </w:p>
    <w:p w14:paraId="030BDE7D">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2、投标人将按招标文件的规定履行合同责任和义务。</w:t>
      </w:r>
    </w:p>
    <w:p w14:paraId="4E98EE6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3、投标人已详细审查招标文件。我们完全理解并同意放弃对这方面有不明及误解的权力。</w:t>
      </w:r>
    </w:p>
    <w:p w14:paraId="6562ACE7">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4、本投标有效期为自招标文件规定的提交投标文件截止之日起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个日历日。在投标有效期内，</w:t>
      </w:r>
      <w:r>
        <w:rPr>
          <w:rFonts w:hint="eastAsia" w:ascii="宋体" w:hAnsi="宋体" w:eastAsia="宋体" w:cs="宋体"/>
          <w:color w:val="auto"/>
          <w:highlight w:val="none"/>
        </w:rPr>
        <w:t>投标人同意遵守本</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文件中的承诺且在此期限期满之前</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w:t>
      </w:r>
      <w:r>
        <w:rPr>
          <w:rFonts w:hint="eastAsia" w:ascii="宋体" w:hAnsi="宋体" w:eastAsia="宋体" w:cs="宋体"/>
          <w:color w:val="auto"/>
          <w:szCs w:val="21"/>
          <w:highlight w:val="none"/>
        </w:rPr>
        <w:t>对我方具有法律约束力</w:t>
      </w:r>
      <w:r>
        <w:rPr>
          <w:rFonts w:hint="eastAsia" w:ascii="宋体" w:hAnsi="宋体" w:eastAsia="宋体" w:cs="宋体"/>
          <w:color w:val="auto"/>
          <w:highlight w:val="none"/>
        </w:rPr>
        <w:t>。</w:t>
      </w:r>
    </w:p>
    <w:p w14:paraId="195191EB">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zCs w:val="21"/>
          <w:highlight w:val="none"/>
        </w:rPr>
        <w:t>同意提供贵方可能要求的与其投标有关的一切数据或资料。</w:t>
      </w:r>
    </w:p>
    <w:p w14:paraId="1DC1091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w:t>
      </w:r>
    </w:p>
    <w:p w14:paraId="6645E121">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FB4E78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p>
    <w:p w14:paraId="3FBDDFF4">
      <w:pPr>
        <w:pStyle w:val="23"/>
        <w:adjustRightInd w:val="0"/>
        <w:snapToGrid w:val="0"/>
        <w:spacing w:before="156" w:beforeLines="50" w:line="360" w:lineRule="auto"/>
        <w:rPr>
          <w:rFonts w:hint="eastAsia" w:ascii="宋体" w:hAnsi="宋体" w:eastAsia="宋体" w:cs="宋体"/>
          <w:color w:val="auto"/>
          <w:highlight w:val="none"/>
        </w:rPr>
      </w:pPr>
    </w:p>
    <w:p w14:paraId="20C7702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38224295">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00F151B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CD9C450">
      <w:pPr>
        <w:adjustRightInd w:val="0"/>
        <w:snapToGrid w:val="0"/>
        <w:spacing w:before="156" w:beforeLines="5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761A59DC">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2" w:name="_Toc29913962"/>
      <w:bookmarkStart w:id="213" w:name="_Toc8157"/>
      <w:bookmarkStart w:id="214" w:name="_Toc29793"/>
      <w:r>
        <w:rPr>
          <w:rFonts w:hint="eastAsia" w:ascii="宋体" w:hAnsi="宋体" w:cs="宋体"/>
          <w:color w:val="auto"/>
          <w:sz w:val="28"/>
          <w:szCs w:val="28"/>
          <w:highlight w:val="none"/>
          <w:lang w:val="en-US" w:eastAsia="zh-CN"/>
        </w:rPr>
        <w:t>六</w:t>
      </w:r>
      <w:r>
        <w:rPr>
          <w:rFonts w:hint="eastAsia" w:ascii="宋体" w:hAnsi="宋体" w:eastAsia="宋体" w:cs="宋体"/>
          <w:color w:val="auto"/>
          <w:sz w:val="28"/>
          <w:szCs w:val="28"/>
          <w:highlight w:val="none"/>
        </w:rPr>
        <w:t>、分项报价</w:t>
      </w:r>
      <w:bookmarkEnd w:id="212"/>
      <w:bookmarkEnd w:id="213"/>
      <w:bookmarkEnd w:id="214"/>
    </w:p>
    <w:p w14:paraId="690C0BCB">
      <w:pPr>
        <w:pStyle w:val="5"/>
        <w:jc w:val="left"/>
        <w:rPr>
          <w:rFonts w:hint="eastAsia" w:ascii="宋体" w:hAnsi="宋体" w:eastAsia="宋体" w:cs="宋体"/>
          <w:b w:val="0"/>
          <w:color w:val="auto"/>
          <w:kern w:val="0"/>
          <w:sz w:val="21"/>
          <w:szCs w:val="21"/>
          <w:highlight w:val="none"/>
        </w:rPr>
      </w:pPr>
      <w:bookmarkStart w:id="215" w:name="_Toc20911"/>
      <w:bookmarkStart w:id="216" w:name="_Toc29913963"/>
      <w:bookmarkStart w:id="217" w:name="_Toc2213"/>
      <w:r>
        <w:rPr>
          <w:rFonts w:hint="eastAsia" w:ascii="宋体" w:hAnsi="宋体" w:eastAsia="宋体" w:cs="宋体"/>
          <w:b w:val="0"/>
          <w:bCs w:val="0"/>
          <w:color w:val="auto"/>
          <w:spacing w:val="6"/>
          <w:kern w:val="0"/>
          <w:sz w:val="21"/>
          <w:szCs w:val="21"/>
          <w:highlight w:val="none"/>
        </w:rPr>
        <w:t>附件</w:t>
      </w:r>
      <w:r>
        <w:rPr>
          <w:rFonts w:hint="eastAsia" w:ascii="宋体" w:hAnsi="宋体" w:eastAsia="宋体" w:cs="宋体"/>
          <w:b w:val="0"/>
          <w:bCs w:val="0"/>
          <w:color w:val="auto"/>
          <w:spacing w:val="6"/>
          <w:kern w:val="0"/>
          <w:sz w:val="21"/>
          <w:szCs w:val="21"/>
          <w:highlight w:val="none"/>
          <w:lang w:val="en-US" w:eastAsia="zh-CN"/>
        </w:rPr>
        <w:t>6</w:t>
      </w:r>
      <w:r>
        <w:rPr>
          <w:rFonts w:hint="eastAsia" w:ascii="宋体" w:hAnsi="宋体" w:eastAsia="宋体" w:cs="宋体"/>
          <w:b w:val="0"/>
          <w:bCs w:val="0"/>
          <w:color w:val="auto"/>
          <w:spacing w:val="6"/>
          <w:kern w:val="0"/>
          <w:sz w:val="21"/>
          <w:szCs w:val="21"/>
          <w:highlight w:val="none"/>
        </w:rPr>
        <w:t xml:space="preserve">-1 </w:t>
      </w:r>
      <w:r>
        <w:rPr>
          <w:rFonts w:hint="eastAsia" w:ascii="宋体" w:hAnsi="宋体" w:eastAsia="宋体" w:cs="宋体"/>
          <w:b w:val="0"/>
          <w:color w:val="auto"/>
          <w:spacing w:val="-2"/>
          <w:kern w:val="0"/>
          <w:sz w:val="21"/>
          <w:szCs w:val="21"/>
          <w:highlight w:val="none"/>
        </w:rPr>
        <w:t>分</w:t>
      </w:r>
      <w:r>
        <w:rPr>
          <w:rFonts w:hint="eastAsia" w:ascii="宋体" w:hAnsi="宋体" w:eastAsia="宋体" w:cs="宋体"/>
          <w:b w:val="0"/>
          <w:color w:val="auto"/>
          <w:kern w:val="0"/>
          <w:sz w:val="21"/>
          <w:szCs w:val="21"/>
          <w:highlight w:val="none"/>
        </w:rPr>
        <w:t>项</w:t>
      </w:r>
      <w:r>
        <w:rPr>
          <w:rFonts w:hint="eastAsia" w:ascii="宋体" w:hAnsi="宋体" w:eastAsia="宋体" w:cs="宋体"/>
          <w:b w:val="0"/>
          <w:color w:val="auto"/>
          <w:spacing w:val="-2"/>
          <w:kern w:val="0"/>
          <w:sz w:val="21"/>
          <w:szCs w:val="21"/>
          <w:highlight w:val="none"/>
        </w:rPr>
        <w:t>报</w:t>
      </w:r>
      <w:r>
        <w:rPr>
          <w:rFonts w:hint="eastAsia" w:ascii="宋体" w:hAnsi="宋体" w:eastAsia="宋体" w:cs="宋体"/>
          <w:b w:val="0"/>
          <w:color w:val="auto"/>
          <w:kern w:val="0"/>
          <w:sz w:val="21"/>
          <w:szCs w:val="21"/>
          <w:highlight w:val="none"/>
        </w:rPr>
        <w:t>价说明</w:t>
      </w:r>
      <w:bookmarkEnd w:id="215"/>
      <w:bookmarkEnd w:id="216"/>
      <w:bookmarkEnd w:id="217"/>
      <w:r>
        <w:rPr>
          <w:rFonts w:hint="eastAsia" w:ascii="宋体" w:hAnsi="宋体" w:eastAsia="宋体" w:cs="宋体"/>
          <w:b w:val="0"/>
          <w:color w:val="auto"/>
          <w:kern w:val="0"/>
          <w:sz w:val="21"/>
          <w:szCs w:val="21"/>
          <w:highlight w:val="none"/>
        </w:rPr>
        <w:t xml:space="preserve">  </w:t>
      </w:r>
    </w:p>
    <w:p w14:paraId="6DBDC397">
      <w:pPr>
        <w:autoSpaceDE w:val="0"/>
        <w:autoSpaceDN w:val="0"/>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价说明</w:t>
      </w:r>
    </w:p>
    <w:p w14:paraId="442C7FBD">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备注：投标人应按招标文件第二章相关要求，对本节</w:t>
      </w:r>
      <w:r>
        <w:rPr>
          <w:rFonts w:hint="eastAsia" w:ascii="宋体" w:hAnsi="宋体" w:eastAsia="宋体" w:cs="宋体"/>
          <w:bCs/>
          <w:color w:val="auto"/>
          <w:szCs w:val="21"/>
          <w:highlight w:val="none"/>
        </w:rPr>
        <w:t>“</w:t>
      </w:r>
      <w:r>
        <w:rPr>
          <w:rFonts w:hint="eastAsia" w:ascii="宋体" w:hAnsi="宋体" w:eastAsia="宋体" w:cs="宋体"/>
          <w:color w:val="auto"/>
          <w:kern w:val="0"/>
          <w:szCs w:val="21"/>
          <w:highlight w:val="none"/>
        </w:rPr>
        <w:t>分项报价明细表</w:t>
      </w:r>
      <w:r>
        <w:rPr>
          <w:rFonts w:hint="eastAsia" w:ascii="宋体" w:hAnsi="宋体" w:eastAsia="宋体" w:cs="宋体"/>
          <w:bCs/>
          <w:color w:val="auto"/>
          <w:szCs w:val="21"/>
          <w:highlight w:val="none"/>
        </w:rPr>
        <w:t>”进行</w:t>
      </w:r>
      <w:r>
        <w:rPr>
          <w:rFonts w:hint="eastAsia" w:ascii="宋体" w:hAnsi="宋体" w:eastAsia="宋体" w:cs="宋体"/>
          <w:color w:val="auto"/>
          <w:kern w:val="0"/>
          <w:szCs w:val="21"/>
          <w:highlight w:val="none"/>
        </w:rPr>
        <w:t>编制，并说明。</w:t>
      </w:r>
    </w:p>
    <w:p w14:paraId="59D111FD">
      <w:pPr>
        <w:rPr>
          <w:rFonts w:hint="eastAsia" w:ascii="宋体" w:hAnsi="宋体" w:eastAsia="宋体" w:cs="宋体"/>
          <w:color w:val="auto"/>
          <w:highlight w:val="none"/>
        </w:rPr>
      </w:pPr>
    </w:p>
    <w:p w14:paraId="55EC626E">
      <w:pPr>
        <w:pStyle w:val="5"/>
        <w:spacing w:after="0" w:line="377" w:lineRule="auto"/>
        <w:jc w:val="left"/>
        <w:rPr>
          <w:rFonts w:hint="eastAsia" w:ascii="宋体" w:hAnsi="宋体" w:eastAsia="宋体" w:cs="宋体"/>
          <w:b w:val="0"/>
          <w:color w:val="auto"/>
          <w:kern w:val="0"/>
          <w:position w:val="-3"/>
          <w:sz w:val="21"/>
          <w:szCs w:val="21"/>
          <w:highlight w:val="none"/>
        </w:rPr>
      </w:pPr>
      <w:bookmarkStart w:id="218" w:name="_Toc29913964"/>
      <w:bookmarkStart w:id="219" w:name="_Toc9188"/>
      <w:bookmarkStart w:id="220" w:name="_Toc8675"/>
      <w:r>
        <w:rPr>
          <w:rFonts w:hint="eastAsia" w:ascii="宋体" w:hAnsi="宋体" w:eastAsia="宋体" w:cs="宋体"/>
          <w:b w:val="0"/>
          <w:bCs w:val="0"/>
          <w:color w:val="auto"/>
          <w:spacing w:val="6"/>
          <w:kern w:val="0"/>
          <w:sz w:val="21"/>
          <w:szCs w:val="21"/>
          <w:highlight w:val="none"/>
        </w:rPr>
        <w:t>附件</w:t>
      </w:r>
      <w:r>
        <w:rPr>
          <w:rFonts w:hint="eastAsia" w:ascii="宋体" w:hAnsi="宋体" w:eastAsia="宋体" w:cs="宋体"/>
          <w:b w:val="0"/>
          <w:bCs w:val="0"/>
          <w:color w:val="auto"/>
          <w:spacing w:val="6"/>
          <w:kern w:val="0"/>
          <w:sz w:val="21"/>
          <w:szCs w:val="21"/>
          <w:highlight w:val="none"/>
          <w:lang w:val="en-US" w:eastAsia="zh-CN"/>
        </w:rPr>
        <w:t>6</w:t>
      </w:r>
      <w:r>
        <w:rPr>
          <w:rFonts w:hint="eastAsia" w:ascii="宋体" w:hAnsi="宋体" w:eastAsia="宋体" w:cs="宋体"/>
          <w:b w:val="0"/>
          <w:bCs w:val="0"/>
          <w:color w:val="auto"/>
          <w:spacing w:val="6"/>
          <w:kern w:val="0"/>
          <w:sz w:val="21"/>
          <w:szCs w:val="21"/>
          <w:highlight w:val="none"/>
        </w:rPr>
        <w:t xml:space="preserve">-2 </w:t>
      </w:r>
      <w:r>
        <w:rPr>
          <w:rFonts w:hint="eastAsia" w:ascii="宋体" w:hAnsi="宋体" w:eastAsia="宋体" w:cs="宋体"/>
          <w:b w:val="0"/>
          <w:color w:val="auto"/>
          <w:spacing w:val="-2"/>
          <w:kern w:val="0"/>
          <w:position w:val="-3"/>
          <w:sz w:val="21"/>
          <w:szCs w:val="21"/>
          <w:highlight w:val="none"/>
        </w:rPr>
        <w:t>分</w:t>
      </w:r>
      <w:r>
        <w:rPr>
          <w:rFonts w:hint="eastAsia" w:ascii="宋体" w:hAnsi="宋体" w:eastAsia="宋体" w:cs="宋体"/>
          <w:b w:val="0"/>
          <w:color w:val="auto"/>
          <w:kern w:val="0"/>
          <w:position w:val="-3"/>
          <w:sz w:val="21"/>
          <w:szCs w:val="21"/>
          <w:highlight w:val="none"/>
        </w:rPr>
        <w:t>项</w:t>
      </w:r>
      <w:r>
        <w:rPr>
          <w:rFonts w:hint="eastAsia" w:ascii="宋体" w:hAnsi="宋体" w:eastAsia="宋体" w:cs="宋体"/>
          <w:b w:val="0"/>
          <w:color w:val="auto"/>
          <w:spacing w:val="-2"/>
          <w:kern w:val="0"/>
          <w:position w:val="-3"/>
          <w:sz w:val="21"/>
          <w:szCs w:val="21"/>
          <w:highlight w:val="none"/>
        </w:rPr>
        <w:t>报</w:t>
      </w:r>
      <w:r>
        <w:rPr>
          <w:rFonts w:hint="eastAsia" w:ascii="宋体" w:hAnsi="宋体" w:eastAsia="宋体" w:cs="宋体"/>
          <w:b w:val="0"/>
          <w:color w:val="auto"/>
          <w:kern w:val="0"/>
          <w:position w:val="-3"/>
          <w:sz w:val="21"/>
          <w:szCs w:val="21"/>
          <w:highlight w:val="none"/>
        </w:rPr>
        <w:t>价明细表</w:t>
      </w:r>
      <w:bookmarkEnd w:id="218"/>
    </w:p>
    <w:p w14:paraId="2BCD4147">
      <w:pPr>
        <w:pStyle w:val="5"/>
        <w:spacing w:after="0" w:line="377" w:lineRule="auto"/>
        <w:jc w:val="center"/>
        <w:rPr>
          <w:rFonts w:hint="eastAsia" w:ascii="宋体" w:hAnsi="宋体" w:eastAsia="宋体" w:cs="宋体"/>
          <w:b w:val="0"/>
          <w:color w:val="auto"/>
          <w:kern w:val="0"/>
          <w:position w:val="-3"/>
          <w:highlight w:val="none"/>
        </w:rPr>
      </w:pPr>
      <w:r>
        <w:rPr>
          <w:rFonts w:hint="eastAsia" w:ascii="宋体" w:hAnsi="宋体" w:eastAsia="宋体" w:cs="宋体"/>
          <w:color w:val="auto"/>
          <w:spacing w:val="-2"/>
          <w:kern w:val="0"/>
          <w:position w:val="-3"/>
          <w:highlight w:val="none"/>
        </w:rPr>
        <w:t>分</w:t>
      </w:r>
      <w:r>
        <w:rPr>
          <w:rFonts w:hint="eastAsia" w:ascii="宋体" w:hAnsi="宋体" w:eastAsia="宋体" w:cs="宋体"/>
          <w:color w:val="auto"/>
          <w:kern w:val="0"/>
          <w:position w:val="-3"/>
          <w:highlight w:val="none"/>
        </w:rPr>
        <w:t>项</w:t>
      </w:r>
      <w:r>
        <w:rPr>
          <w:rFonts w:hint="eastAsia" w:ascii="宋体" w:hAnsi="宋体" w:eastAsia="宋体" w:cs="宋体"/>
          <w:color w:val="auto"/>
          <w:spacing w:val="-2"/>
          <w:kern w:val="0"/>
          <w:position w:val="-3"/>
          <w:highlight w:val="none"/>
        </w:rPr>
        <w:t>报</w:t>
      </w:r>
      <w:r>
        <w:rPr>
          <w:rFonts w:hint="eastAsia" w:ascii="宋体" w:hAnsi="宋体" w:eastAsia="宋体" w:cs="宋体"/>
          <w:color w:val="auto"/>
          <w:kern w:val="0"/>
          <w:position w:val="-3"/>
          <w:highlight w:val="none"/>
        </w:rPr>
        <w:t>价明细表</w:t>
      </w:r>
      <w:bookmarkEnd w:id="219"/>
      <w:bookmarkEnd w:id="220"/>
    </w:p>
    <w:p w14:paraId="043DFAE9">
      <w:pPr>
        <w:adjustRightInd w:val="0"/>
        <w:snapToGrid w:val="0"/>
        <w:spacing w:line="360" w:lineRule="auto"/>
        <w:jc w:val="center"/>
        <w:rPr>
          <w:rFonts w:hint="eastAsia" w:ascii="宋体" w:hAnsi="宋体" w:eastAsia="宋体" w:cs="宋体"/>
          <w:color w:val="auto"/>
          <w:highlight w:val="none"/>
        </w:rPr>
      </w:pPr>
    </w:p>
    <w:p w14:paraId="70DBA1B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60D69E11">
      <w:pPr>
        <w:adjustRightInd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p>
    <w:p w14:paraId="672C526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w:t>
      </w:r>
    </w:p>
    <w:tbl>
      <w:tblPr>
        <w:tblStyle w:val="44"/>
        <w:tblW w:w="9453" w:type="dxa"/>
        <w:tblInd w:w="0" w:type="dxa"/>
        <w:tblLayout w:type="fixed"/>
        <w:tblCellMar>
          <w:top w:w="0" w:type="dxa"/>
          <w:left w:w="0" w:type="dxa"/>
          <w:bottom w:w="0" w:type="dxa"/>
          <w:right w:w="0" w:type="dxa"/>
        </w:tblCellMar>
      </w:tblPr>
      <w:tblGrid>
        <w:gridCol w:w="333"/>
        <w:gridCol w:w="1383"/>
        <w:gridCol w:w="1665"/>
        <w:gridCol w:w="2364"/>
        <w:gridCol w:w="2215"/>
        <w:gridCol w:w="1493"/>
      </w:tblGrid>
      <w:tr w14:paraId="2D485156">
        <w:tblPrEx>
          <w:tblCellMar>
            <w:top w:w="0" w:type="dxa"/>
            <w:left w:w="0" w:type="dxa"/>
            <w:bottom w:w="0" w:type="dxa"/>
            <w:right w:w="0" w:type="dxa"/>
          </w:tblCellMar>
        </w:tblPrEx>
        <w:trPr>
          <w:trHeight w:val="748" w:hRule="exact"/>
        </w:trPr>
        <w:tc>
          <w:tcPr>
            <w:tcW w:w="1716" w:type="dxa"/>
            <w:gridSpan w:val="2"/>
            <w:tcBorders>
              <w:top w:val="double" w:color="auto" w:sz="4" w:space="0"/>
              <w:left w:val="double" w:color="auto" w:sz="4" w:space="0"/>
              <w:right w:val="single" w:color="auto" w:sz="6" w:space="0"/>
            </w:tcBorders>
            <w:vAlign w:val="center"/>
          </w:tcPr>
          <w:p w14:paraId="1933376A">
            <w:pPr>
              <w:pStyle w:val="23"/>
              <w:adjustRightInd w:val="0"/>
              <w:snapToGrid w:val="0"/>
              <w:spacing w:line="360" w:lineRule="auto"/>
              <w:jc w:val="center"/>
              <w:outlineLvl w:val="0"/>
              <w:rPr>
                <w:rFonts w:hint="eastAsia"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sz w:val="21"/>
                <w:szCs w:val="21"/>
                <w:highlight w:val="none"/>
                <w:vertAlign w:val="baseline"/>
                <w:lang w:eastAsia="zh-CN"/>
              </w:rPr>
              <w:t>项目</w:t>
            </w:r>
          </w:p>
        </w:tc>
        <w:tc>
          <w:tcPr>
            <w:tcW w:w="1665" w:type="dxa"/>
            <w:tcBorders>
              <w:top w:val="double" w:color="auto" w:sz="4" w:space="0"/>
              <w:left w:val="single" w:color="auto" w:sz="6" w:space="0"/>
              <w:bottom w:val="single" w:color="auto" w:sz="6" w:space="0"/>
              <w:right w:val="single" w:color="auto" w:sz="4" w:space="0"/>
            </w:tcBorders>
            <w:vAlign w:val="center"/>
          </w:tcPr>
          <w:p w14:paraId="4B6B0AAC">
            <w:pPr>
              <w:pStyle w:val="23"/>
              <w:adjustRightInd w:val="0"/>
              <w:snapToGrid w:val="0"/>
              <w:spacing w:line="360" w:lineRule="auto"/>
              <w:jc w:val="center"/>
              <w:outlineLvl w:val="0"/>
              <w:rPr>
                <w:rFonts w:hint="default"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kern w:val="2"/>
                <w:sz w:val="21"/>
                <w:szCs w:val="21"/>
                <w:highlight w:val="none"/>
                <w:vertAlign w:val="baseline"/>
                <w:lang w:val="en-US" w:eastAsia="zh-CN" w:bidi="ar-SA"/>
              </w:rPr>
              <w:t>服务内容</w:t>
            </w:r>
          </w:p>
        </w:tc>
        <w:tc>
          <w:tcPr>
            <w:tcW w:w="2364" w:type="dxa"/>
            <w:tcBorders>
              <w:top w:val="double" w:color="auto" w:sz="4" w:space="0"/>
              <w:left w:val="single" w:color="auto" w:sz="4" w:space="0"/>
              <w:bottom w:val="single" w:color="auto" w:sz="6" w:space="0"/>
              <w:right w:val="single" w:color="auto" w:sz="6" w:space="0"/>
            </w:tcBorders>
            <w:vAlign w:val="center"/>
          </w:tcPr>
          <w:p w14:paraId="23E6D4B6">
            <w:pPr>
              <w:pStyle w:val="23"/>
              <w:adjustRightInd w:val="0"/>
              <w:snapToGrid w:val="0"/>
              <w:spacing w:line="360" w:lineRule="auto"/>
              <w:jc w:val="center"/>
              <w:outlineLvl w:val="0"/>
              <w:rPr>
                <w:rFonts w:hint="default"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sz w:val="21"/>
                <w:szCs w:val="21"/>
                <w:highlight w:val="none"/>
                <w:vertAlign w:val="baseline"/>
                <w:lang w:val="en-US" w:eastAsia="zh-CN"/>
              </w:rPr>
              <w:t>服务周期</w:t>
            </w:r>
          </w:p>
        </w:tc>
        <w:tc>
          <w:tcPr>
            <w:tcW w:w="2215" w:type="dxa"/>
            <w:tcBorders>
              <w:top w:val="double" w:color="auto" w:sz="4" w:space="0"/>
              <w:left w:val="single" w:color="auto" w:sz="6" w:space="0"/>
              <w:right w:val="single" w:color="auto" w:sz="6" w:space="0"/>
            </w:tcBorders>
            <w:vAlign w:val="center"/>
          </w:tcPr>
          <w:p w14:paraId="4958AA0B">
            <w:pPr>
              <w:autoSpaceDE w:val="0"/>
              <w:autoSpaceDN w:val="0"/>
              <w:adjustRightInd w:val="0"/>
              <w:snapToGrid w:val="0"/>
              <w:spacing w:line="360" w:lineRule="auto"/>
              <w:ind w:right="-20"/>
              <w:jc w:val="center"/>
              <w:rPr>
                <w:rFonts w:hint="eastAsia" w:ascii="宋体" w:hAnsi="宋体" w:eastAsia="宋体" w:cs="宋体"/>
                <w:color w:val="auto"/>
                <w:kern w:val="0"/>
                <w:position w:val="-1"/>
                <w:sz w:val="21"/>
                <w:szCs w:val="21"/>
                <w:highlight w:val="none"/>
              </w:rPr>
            </w:pPr>
            <w:r>
              <w:rPr>
                <w:rFonts w:hint="eastAsia" w:hAnsi="宋体" w:cs="宋体"/>
                <w:b w:val="0"/>
                <w:bCs/>
                <w:color w:val="auto"/>
                <w:sz w:val="21"/>
                <w:szCs w:val="21"/>
                <w:highlight w:val="none"/>
                <w:vertAlign w:val="baseline"/>
                <w:lang w:eastAsia="zh-CN"/>
              </w:rPr>
              <w:t>金额（元）</w:t>
            </w:r>
          </w:p>
        </w:tc>
        <w:tc>
          <w:tcPr>
            <w:tcW w:w="1493" w:type="dxa"/>
            <w:tcBorders>
              <w:top w:val="double" w:color="auto" w:sz="4" w:space="0"/>
              <w:left w:val="single" w:color="auto" w:sz="6" w:space="0"/>
              <w:bottom w:val="single" w:color="auto" w:sz="6" w:space="0"/>
              <w:right w:val="double" w:color="auto" w:sz="4" w:space="0"/>
            </w:tcBorders>
            <w:vAlign w:val="center"/>
          </w:tcPr>
          <w:p w14:paraId="4793A171">
            <w:pPr>
              <w:autoSpaceDE w:val="0"/>
              <w:autoSpaceDN w:val="0"/>
              <w:adjustRightInd w:val="0"/>
              <w:snapToGrid w:val="0"/>
              <w:spacing w:line="360" w:lineRule="auto"/>
              <w:ind w:right="-20"/>
              <w:jc w:val="center"/>
              <w:rPr>
                <w:rFonts w:hint="eastAsia" w:ascii="宋体" w:hAnsi="宋体" w:eastAsia="宋体" w:cs="宋体"/>
                <w:color w:val="auto"/>
                <w:kern w:val="0"/>
                <w:position w:val="-1"/>
                <w:sz w:val="21"/>
                <w:szCs w:val="21"/>
                <w:highlight w:val="none"/>
              </w:rPr>
            </w:pPr>
            <w:r>
              <w:rPr>
                <w:rFonts w:hint="eastAsia" w:ascii="宋体" w:hAnsi="宋体" w:eastAsia="宋体" w:cs="宋体"/>
                <w:color w:val="auto"/>
                <w:kern w:val="0"/>
                <w:position w:val="-1"/>
                <w:sz w:val="21"/>
                <w:szCs w:val="21"/>
                <w:highlight w:val="none"/>
              </w:rPr>
              <w:t>备注</w:t>
            </w:r>
          </w:p>
        </w:tc>
      </w:tr>
      <w:tr w14:paraId="332A3F5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E7F9380">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vAlign w:val="top"/>
          </w:tcPr>
          <w:p w14:paraId="1AFCBD08">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1665" w:type="dxa"/>
            <w:tcBorders>
              <w:top w:val="single" w:color="auto" w:sz="6" w:space="0"/>
              <w:left w:val="single" w:color="auto" w:sz="6" w:space="0"/>
              <w:bottom w:val="single" w:color="auto" w:sz="6" w:space="0"/>
              <w:right w:val="single" w:color="auto" w:sz="4" w:space="0"/>
            </w:tcBorders>
            <w:vAlign w:val="top"/>
          </w:tcPr>
          <w:p w14:paraId="7183E999">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2364" w:type="dxa"/>
            <w:tcBorders>
              <w:top w:val="single" w:color="auto" w:sz="6" w:space="0"/>
              <w:left w:val="single" w:color="auto" w:sz="4" w:space="0"/>
              <w:bottom w:val="single" w:color="auto" w:sz="6" w:space="0"/>
              <w:right w:val="single" w:color="auto" w:sz="6" w:space="0"/>
            </w:tcBorders>
            <w:vAlign w:val="top"/>
          </w:tcPr>
          <w:p w14:paraId="38E522F1">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2215" w:type="dxa"/>
            <w:tcBorders>
              <w:top w:val="single" w:color="auto" w:sz="6" w:space="0"/>
              <w:left w:val="single" w:color="auto" w:sz="6" w:space="0"/>
              <w:bottom w:val="single" w:color="auto" w:sz="6" w:space="0"/>
              <w:right w:val="single" w:color="auto" w:sz="6" w:space="0"/>
            </w:tcBorders>
            <w:vAlign w:val="top"/>
          </w:tcPr>
          <w:p w14:paraId="65F121B1">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27CD1840">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72D4BA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AF94B96">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vAlign w:val="center"/>
          </w:tcPr>
          <w:p w14:paraId="4CF4D232">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306612C5">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3FEDA8EA">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7EDCE7F4">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3D5433DD">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3E83103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4917770">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vAlign w:val="center"/>
          </w:tcPr>
          <w:p w14:paraId="7C904467">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6B3932B8">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0A699E5A">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70E5C6B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0F411DA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130C3CD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B506E4E">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383" w:type="dxa"/>
            <w:tcBorders>
              <w:top w:val="single" w:color="auto" w:sz="6" w:space="0"/>
              <w:left w:val="single" w:color="auto" w:sz="6" w:space="0"/>
              <w:bottom w:val="single" w:color="auto" w:sz="6" w:space="0"/>
              <w:right w:val="single" w:color="auto" w:sz="6" w:space="0"/>
            </w:tcBorders>
          </w:tcPr>
          <w:p w14:paraId="08D08FCF">
            <w:pPr>
              <w:autoSpaceDE w:val="0"/>
              <w:autoSpaceDN w:val="0"/>
              <w:adjustRightInd w:val="0"/>
              <w:snapToGrid w:val="0"/>
              <w:spacing w:line="360" w:lineRule="auto"/>
              <w:ind w:left="527" w:right="507"/>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7D03C441">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27CAFDB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263600AF">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586CAE2F">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0DBBCF8E">
        <w:tblPrEx>
          <w:tblCellMar>
            <w:top w:w="0" w:type="dxa"/>
            <w:left w:w="0" w:type="dxa"/>
            <w:bottom w:w="0" w:type="dxa"/>
            <w:right w:w="0" w:type="dxa"/>
          </w:tblCellMar>
        </w:tblPrEx>
        <w:trPr>
          <w:trHeight w:val="415" w:hRule="exact"/>
        </w:trPr>
        <w:tc>
          <w:tcPr>
            <w:tcW w:w="7960" w:type="dxa"/>
            <w:gridSpan w:val="5"/>
            <w:tcBorders>
              <w:top w:val="single" w:color="auto" w:sz="6" w:space="0"/>
              <w:left w:val="double" w:color="auto" w:sz="4" w:space="0"/>
              <w:bottom w:val="double" w:color="auto" w:sz="4" w:space="0"/>
              <w:right w:val="single" w:color="auto" w:sz="6" w:space="0"/>
            </w:tcBorders>
            <w:vAlign w:val="center"/>
          </w:tcPr>
          <w:p w14:paraId="34718B4E">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1"/>
                <w:szCs w:val="21"/>
                <w:highlight w:val="none"/>
              </w:rPr>
              <w:t>投标报价（元）：</w:t>
            </w:r>
          </w:p>
        </w:tc>
        <w:tc>
          <w:tcPr>
            <w:tcW w:w="1493" w:type="dxa"/>
            <w:tcBorders>
              <w:top w:val="single" w:color="auto" w:sz="6" w:space="0"/>
              <w:left w:val="single" w:color="auto" w:sz="6" w:space="0"/>
              <w:bottom w:val="double" w:color="auto" w:sz="4" w:space="0"/>
              <w:right w:val="double" w:color="auto" w:sz="4" w:space="0"/>
            </w:tcBorders>
          </w:tcPr>
          <w:p w14:paraId="29D8C8C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bl>
    <w:p w14:paraId="1A1866A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备注：（1）</w:t>
      </w:r>
      <w:r>
        <w:rPr>
          <w:rFonts w:hint="eastAsia" w:ascii="宋体" w:hAnsi="宋体" w:eastAsia="宋体" w:cs="宋体"/>
          <w:b/>
          <w:color w:val="auto"/>
          <w:szCs w:val="21"/>
          <w:highlight w:val="none"/>
        </w:rPr>
        <w:t>本表应对应</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开标一览表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，按包填写</w:t>
      </w:r>
      <w:r>
        <w:rPr>
          <w:rFonts w:hint="eastAsia" w:ascii="宋体" w:hAnsi="宋体" w:eastAsia="宋体" w:cs="宋体"/>
          <w:color w:val="auto"/>
          <w:szCs w:val="21"/>
          <w:highlight w:val="none"/>
        </w:rPr>
        <w:t>。投标人如果不提供分项报价明细表，其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6435FBC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（2）不得填写“免费”或“赠与”，也不得进行“零”报价，否则</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3524B4D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（3）如果开标一览表内容与本表内容不一致的，以开标一览表内容为准。</w:t>
      </w:r>
    </w:p>
    <w:p w14:paraId="47D273C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bCs/>
          <w:color w:val="auto"/>
          <w:szCs w:val="21"/>
          <w:highlight w:val="none"/>
        </w:rPr>
        <w:t>投标人在投标截止时间前修改“开标一览表”中的投标报价的，应按第二章第13.7款规定修改本表相应内容。否则，</w:t>
      </w:r>
      <w:r>
        <w:rPr>
          <w:rFonts w:hint="eastAsia" w:ascii="宋体" w:hAnsi="宋体" w:eastAsia="宋体" w:cs="宋体"/>
          <w:color w:val="auto"/>
          <w:szCs w:val="21"/>
          <w:highlight w:val="none"/>
        </w:rPr>
        <w:t>本表相应内容按投标报价修改的相同比例进行调整。</w:t>
      </w:r>
    </w:p>
    <w:p w14:paraId="7C65C55E">
      <w:pPr>
        <w:adjustRightInd w:val="0"/>
        <w:snapToGrid w:val="0"/>
        <w:spacing w:line="360" w:lineRule="auto"/>
        <w:ind w:firstLine="422" w:firstLineChars="200"/>
        <w:rPr>
          <w:rFonts w:hint="eastAsia" w:ascii="宋体" w:hAnsi="宋体" w:eastAsia="宋体" w:cs="宋体"/>
          <w:b/>
          <w:color w:val="auto"/>
          <w:szCs w:val="21"/>
          <w:highlight w:val="none"/>
        </w:rPr>
      </w:pPr>
    </w:p>
    <w:p w14:paraId="4E81A27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D2074E4">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79A893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6B00C3A">
      <w:pPr>
        <w:adjustRightInd w:val="0"/>
        <w:snapToGrid w:val="0"/>
        <w:spacing w:line="360" w:lineRule="auto"/>
        <w:rPr>
          <w:rFonts w:hint="eastAsia" w:ascii="宋体" w:hAnsi="宋体" w:eastAsia="宋体" w:cs="宋体"/>
          <w:color w:val="auto"/>
          <w:szCs w:val="21"/>
          <w:highlight w:val="none"/>
        </w:rPr>
        <w:sectPr>
          <w:pgSz w:w="11906" w:h="16838"/>
          <w:pgMar w:top="1474" w:right="1474" w:bottom="1474" w:left="1588" w:header="851" w:footer="992" w:gutter="0"/>
          <w:pgNumType w:fmt="decimal"/>
          <w:cols w:space="720" w:num="1"/>
          <w:docGrid w:type="lines" w:linePitch="312" w:charSpace="0"/>
        </w:sectPr>
      </w:pPr>
    </w:p>
    <w:p w14:paraId="4E7F26BB">
      <w:pPr>
        <w:adjustRightInd w:val="0"/>
        <w:snapToGrid w:val="0"/>
        <w:spacing w:line="360" w:lineRule="auto"/>
        <w:rPr>
          <w:rFonts w:hint="eastAsia" w:ascii="宋体" w:hAnsi="宋体" w:eastAsia="宋体" w:cs="宋体"/>
          <w:color w:val="auto"/>
          <w:szCs w:val="21"/>
          <w:highlight w:val="none"/>
        </w:rPr>
      </w:pPr>
    </w:p>
    <w:p w14:paraId="0D61E86A">
      <w:pPr>
        <w:pStyle w:val="4"/>
        <w:adjustRightInd w:val="0"/>
        <w:snapToGrid w:val="0"/>
        <w:spacing w:before="0" w:after="0" w:line="360" w:lineRule="auto"/>
        <w:jc w:val="center"/>
        <w:rPr>
          <w:rFonts w:hint="eastAsia" w:ascii="宋体" w:hAnsi="宋体" w:eastAsia="宋体" w:cs="宋体"/>
          <w:color w:val="auto"/>
          <w:sz w:val="44"/>
          <w:szCs w:val="44"/>
          <w:highlight w:val="none"/>
        </w:rPr>
      </w:pPr>
      <w:bookmarkStart w:id="221" w:name="_Toc28564"/>
      <w:bookmarkStart w:id="222" w:name="_Toc16287"/>
      <w:bookmarkStart w:id="223" w:name="_Toc29913967"/>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rPr>
        <w:t>、采购需求响应</w:t>
      </w:r>
      <w:bookmarkEnd w:id="221"/>
      <w:bookmarkEnd w:id="222"/>
    </w:p>
    <w:p w14:paraId="37E1E91F">
      <w:pPr>
        <w:adjustRightInd w:val="0"/>
        <w:snapToGrid w:val="0"/>
        <w:spacing w:line="360" w:lineRule="auto"/>
        <w:rPr>
          <w:rFonts w:hint="eastAsia" w:ascii="宋体" w:hAnsi="宋体" w:eastAsia="宋体" w:cs="宋体"/>
          <w:b/>
          <w:color w:val="auto"/>
          <w:szCs w:val="21"/>
          <w:highlight w:val="none"/>
        </w:rPr>
      </w:pPr>
    </w:p>
    <w:p w14:paraId="220DC136">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szCs w:val="21"/>
          <w:highlight w:val="none"/>
        </w:rPr>
        <w:t>编制说明</w:t>
      </w:r>
      <w:r>
        <w:rPr>
          <w:rFonts w:hint="eastAsia" w:ascii="宋体" w:hAnsi="宋体" w:eastAsia="宋体" w:cs="宋体"/>
          <w:bCs/>
          <w:color w:val="auto"/>
          <w:szCs w:val="21"/>
          <w:highlight w:val="none"/>
        </w:rPr>
        <w:t>：</w:t>
      </w:r>
      <w:r>
        <w:rPr>
          <w:rFonts w:hint="eastAsia" w:ascii="宋体" w:hAnsi="宋体" w:eastAsia="宋体" w:cs="宋体"/>
          <w:b/>
          <w:color w:val="auto"/>
          <w:highlight w:val="none"/>
        </w:rPr>
        <w:t>投标人应按招标文件第五章采购需求自行编写采购需求响应（其内容可包括，且不限于详细的技术指标和服务的组织及保证措施等，格式自拟）。</w:t>
      </w:r>
    </w:p>
    <w:p w14:paraId="465C98BE">
      <w:pPr>
        <w:pStyle w:val="25"/>
        <w:adjustRightInd w:val="0"/>
        <w:snapToGrid w:val="0"/>
        <w:spacing w:line="360" w:lineRule="auto"/>
        <w:ind w:left="-88" w:leftChars="-42"/>
        <w:rPr>
          <w:rFonts w:hint="eastAsia" w:ascii="宋体" w:hAnsi="宋体" w:eastAsia="宋体" w:cs="宋体"/>
          <w:bCs/>
          <w:color w:val="auto"/>
          <w:sz w:val="21"/>
          <w:szCs w:val="21"/>
          <w:highlight w:val="none"/>
        </w:rPr>
      </w:pPr>
    </w:p>
    <w:p w14:paraId="675C4ABC">
      <w:pPr>
        <w:rPr>
          <w:rFonts w:hint="eastAsia" w:ascii="宋体" w:hAnsi="宋体" w:eastAsia="宋体" w:cs="宋体"/>
          <w:color w:val="auto"/>
          <w:highlight w:val="none"/>
        </w:rPr>
      </w:pPr>
    </w:p>
    <w:p w14:paraId="24DABDE1">
      <w:pPr>
        <w:rPr>
          <w:rFonts w:hint="eastAsia" w:ascii="宋体" w:hAnsi="宋体" w:eastAsia="宋体" w:cs="宋体"/>
          <w:color w:val="auto"/>
          <w:highlight w:val="none"/>
        </w:rPr>
      </w:pPr>
    </w:p>
    <w:p w14:paraId="7B73434F">
      <w:pPr>
        <w:pStyle w:val="25"/>
        <w:tabs>
          <w:tab w:val="left" w:pos="6208"/>
        </w:tabs>
        <w:adjustRightInd w:val="0"/>
        <w:snapToGrid w:val="0"/>
        <w:spacing w:line="360" w:lineRule="auto"/>
        <w:ind w:left="-88" w:leftChars="-42"/>
        <w:rPr>
          <w:rFonts w:hint="eastAsia" w:ascii="宋体" w:hAnsi="宋体" w:eastAsia="宋体" w:cs="宋体"/>
          <w:bCs/>
          <w:color w:val="auto"/>
          <w:sz w:val="21"/>
          <w:szCs w:val="21"/>
          <w:highlight w:val="none"/>
        </w:rPr>
      </w:pPr>
    </w:p>
    <w:p w14:paraId="4048851D">
      <w:pPr>
        <w:adjustRightInd w:val="0"/>
        <w:snapToGrid w:val="0"/>
        <w:spacing w:line="360" w:lineRule="auto"/>
        <w:rPr>
          <w:rFonts w:hint="eastAsia" w:ascii="宋体" w:hAnsi="宋体" w:eastAsia="宋体" w:cs="宋体"/>
          <w:color w:val="auto"/>
          <w:szCs w:val="21"/>
          <w:highlight w:val="none"/>
        </w:rPr>
      </w:pPr>
    </w:p>
    <w:p w14:paraId="4B8AA19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7C709486">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37B7F8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80B2E7D">
      <w:pPr>
        <w:rPr>
          <w:rFonts w:hint="eastAsia" w:ascii="宋体" w:hAnsi="宋体" w:eastAsia="宋体" w:cs="宋体"/>
          <w:color w:val="auto"/>
          <w:highlight w:val="none"/>
        </w:rPr>
      </w:pPr>
    </w:p>
    <w:p w14:paraId="66985A70">
      <w:pPr>
        <w:rPr>
          <w:rFonts w:hint="eastAsia" w:ascii="宋体" w:hAnsi="宋体" w:eastAsia="宋体" w:cs="宋体"/>
          <w:color w:val="auto"/>
          <w:highlight w:val="none"/>
        </w:rPr>
      </w:pPr>
    </w:p>
    <w:p w14:paraId="5F9AF73E">
      <w:pPr>
        <w:keepNext/>
        <w:keepLines/>
        <w:adjustRightInd w:val="0"/>
        <w:snapToGrid w:val="0"/>
        <w:spacing w:before="156" w:beforeLines="50" w:line="360" w:lineRule="auto"/>
        <w:outlineLvl w:val="3"/>
        <w:rPr>
          <w:rFonts w:ascii="黑体" w:hAnsi="黑体" w:eastAsia="黑体"/>
          <w:bCs/>
          <w:color w:val="auto"/>
          <w:szCs w:val="21"/>
          <w:highlight w:val="none"/>
        </w:rPr>
      </w:pPr>
      <w:r>
        <w:rPr>
          <w:rFonts w:hint="eastAsia" w:ascii="黑体" w:hAnsi="黑体" w:eastAsia="黑体" w:cs="宋体"/>
          <w:bCs/>
          <w:color w:val="auto"/>
          <w:spacing w:val="6"/>
          <w:kern w:val="0"/>
          <w:szCs w:val="21"/>
          <w:highlight w:val="none"/>
        </w:rPr>
        <w:t>附件7-1 响应</w:t>
      </w:r>
      <w:r>
        <w:rPr>
          <w:rFonts w:hint="eastAsia" w:ascii="黑体" w:hAnsi="黑体" w:eastAsia="黑体"/>
          <w:bCs/>
          <w:color w:val="auto"/>
          <w:szCs w:val="21"/>
          <w:highlight w:val="none"/>
        </w:rPr>
        <w:t>-览表</w:t>
      </w:r>
    </w:p>
    <w:p w14:paraId="62B33328">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响应-览表</w:t>
      </w:r>
    </w:p>
    <w:p w14:paraId="767672AE">
      <w:pPr>
        <w:adjustRightInd w:val="0"/>
        <w:snapToGrid w:val="0"/>
        <w:spacing w:before="156" w:beforeLines="50" w:line="360" w:lineRule="auto"/>
        <w:jc w:val="center"/>
        <w:rPr>
          <w:rFonts w:ascii="黑体" w:hAnsi="黑体" w:eastAsia="黑体"/>
          <w:b/>
          <w:bCs/>
          <w:color w:val="auto"/>
          <w:sz w:val="28"/>
          <w:szCs w:val="28"/>
          <w:highlight w:val="none"/>
        </w:rPr>
      </w:pP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80A8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noWrap w:val="0"/>
            <w:vAlign w:val="center"/>
          </w:tcPr>
          <w:p w14:paraId="6D4C98C1">
            <w:pPr>
              <w:jc w:val="center"/>
              <w:rPr>
                <w:rFonts w:ascii="Times New Roman" w:hAnsi="Times New Roman"/>
                <w:color w:val="auto"/>
                <w:szCs w:val="21"/>
                <w:highlight w:val="none"/>
              </w:rPr>
            </w:pPr>
            <w:r>
              <w:rPr>
                <w:rFonts w:hint="eastAsia" w:ascii="Times New Roman" w:hAnsi="Times New Roman"/>
                <w:color w:val="auto"/>
                <w:szCs w:val="21"/>
                <w:highlight w:val="none"/>
              </w:rPr>
              <w:t xml:space="preserve">包号 </w:t>
            </w:r>
          </w:p>
        </w:tc>
        <w:tc>
          <w:tcPr>
            <w:tcW w:w="957" w:type="dxa"/>
            <w:vMerge w:val="restart"/>
            <w:tcBorders>
              <w:right w:val="single" w:color="auto" w:sz="4" w:space="0"/>
            </w:tcBorders>
            <w:noWrap w:val="0"/>
            <w:vAlign w:val="center"/>
          </w:tcPr>
          <w:p w14:paraId="74F6869A">
            <w:pPr>
              <w:jc w:val="center"/>
              <w:rPr>
                <w:rFonts w:ascii="Times New Roman" w:hAnsi="Times New Roman"/>
                <w:color w:val="auto"/>
                <w:szCs w:val="21"/>
                <w:highlight w:val="none"/>
              </w:rPr>
            </w:pPr>
            <w:r>
              <w:rPr>
                <w:rFonts w:hint="eastAsia" w:ascii="Times New Roman" w:hAnsi="Times New Roman"/>
                <w:color w:val="auto"/>
                <w:szCs w:val="21"/>
                <w:highlight w:val="none"/>
              </w:rPr>
              <w:t>包名称</w:t>
            </w:r>
          </w:p>
        </w:tc>
        <w:tc>
          <w:tcPr>
            <w:tcW w:w="2124" w:type="dxa"/>
            <w:vMerge w:val="restart"/>
            <w:tcBorders>
              <w:left w:val="single" w:color="auto" w:sz="4" w:space="0"/>
            </w:tcBorders>
            <w:noWrap w:val="0"/>
            <w:vAlign w:val="center"/>
          </w:tcPr>
          <w:p w14:paraId="51EADBCE">
            <w:pPr>
              <w:jc w:val="center"/>
              <w:rPr>
                <w:rFonts w:ascii="Times New Roman" w:hAnsi="Times New Roman"/>
                <w:color w:val="auto"/>
                <w:szCs w:val="21"/>
                <w:highlight w:val="none"/>
              </w:rPr>
            </w:pPr>
            <w:r>
              <w:rPr>
                <w:rFonts w:hint="eastAsia" w:ascii="Times New Roman" w:hAnsi="Times New Roman"/>
                <w:color w:val="auto"/>
                <w:szCs w:val="21"/>
                <w:highlight w:val="none"/>
              </w:rPr>
              <w:t>分项项目名称</w:t>
            </w:r>
          </w:p>
          <w:p w14:paraId="18C72652">
            <w:pPr>
              <w:jc w:val="center"/>
              <w:rPr>
                <w:rFonts w:ascii="Times New Roman" w:hAnsi="Times New Roman"/>
                <w:color w:val="auto"/>
                <w:szCs w:val="21"/>
                <w:highlight w:val="none"/>
              </w:rPr>
            </w:pPr>
            <w:r>
              <w:rPr>
                <w:rFonts w:hint="eastAsia" w:ascii="Times New Roman" w:hAnsi="Times New Roman"/>
                <w:color w:val="auto"/>
                <w:szCs w:val="21"/>
                <w:highlight w:val="none"/>
              </w:rPr>
              <w:t>（条目号/品目名称）</w:t>
            </w:r>
          </w:p>
        </w:tc>
        <w:tc>
          <w:tcPr>
            <w:tcW w:w="2127" w:type="dxa"/>
            <w:vMerge w:val="restart"/>
            <w:noWrap w:val="0"/>
            <w:vAlign w:val="center"/>
          </w:tcPr>
          <w:p w14:paraId="0A0A6D8E">
            <w:pPr>
              <w:jc w:val="center"/>
              <w:rPr>
                <w:rFonts w:ascii="Times New Roman" w:hAnsi="Times New Roman"/>
                <w:color w:val="auto"/>
                <w:szCs w:val="21"/>
                <w:highlight w:val="none"/>
              </w:rPr>
            </w:pPr>
            <w:r>
              <w:rPr>
                <w:rFonts w:hint="eastAsia" w:ascii="Times New Roman" w:hAnsi="Times New Roman"/>
                <w:color w:val="auto"/>
                <w:szCs w:val="21"/>
                <w:highlight w:val="none"/>
              </w:rPr>
              <w:t>主要技术条款要求</w:t>
            </w:r>
          </w:p>
        </w:tc>
        <w:tc>
          <w:tcPr>
            <w:tcW w:w="992" w:type="dxa"/>
            <w:vMerge w:val="restart"/>
            <w:noWrap w:val="0"/>
            <w:vAlign w:val="center"/>
          </w:tcPr>
          <w:p w14:paraId="670243A7">
            <w:pPr>
              <w:jc w:val="center"/>
              <w:rPr>
                <w:rFonts w:ascii="Times New Roman" w:hAnsi="Times New Roman"/>
                <w:color w:val="auto"/>
                <w:szCs w:val="21"/>
                <w:highlight w:val="none"/>
              </w:rPr>
            </w:pPr>
            <w:r>
              <w:rPr>
                <w:rFonts w:hint="eastAsia" w:ascii="Times New Roman" w:hAnsi="Times New Roman"/>
                <w:color w:val="auto"/>
                <w:szCs w:val="21"/>
                <w:highlight w:val="none"/>
              </w:rPr>
              <w:t>数量</w:t>
            </w:r>
          </w:p>
        </w:tc>
        <w:tc>
          <w:tcPr>
            <w:tcW w:w="1460" w:type="dxa"/>
            <w:gridSpan w:val="2"/>
            <w:noWrap w:val="0"/>
            <w:vAlign w:val="center"/>
          </w:tcPr>
          <w:p w14:paraId="60528AAA">
            <w:pPr>
              <w:jc w:val="center"/>
              <w:rPr>
                <w:rFonts w:ascii="Times New Roman" w:hAnsi="Times New Roman"/>
                <w:color w:val="auto"/>
                <w:szCs w:val="21"/>
                <w:highlight w:val="none"/>
              </w:rPr>
            </w:pPr>
            <w:r>
              <w:rPr>
                <w:rFonts w:hint="eastAsia" w:ascii="Times New Roman" w:hAnsi="Times New Roman"/>
                <w:color w:val="auto"/>
                <w:szCs w:val="21"/>
                <w:highlight w:val="none"/>
              </w:rPr>
              <w:t>服务</w:t>
            </w:r>
          </w:p>
        </w:tc>
        <w:tc>
          <w:tcPr>
            <w:tcW w:w="971" w:type="dxa"/>
            <w:vMerge w:val="restart"/>
            <w:noWrap w:val="0"/>
            <w:vAlign w:val="center"/>
          </w:tcPr>
          <w:p w14:paraId="7B649DD3">
            <w:pPr>
              <w:jc w:val="center"/>
              <w:rPr>
                <w:rFonts w:ascii="Times New Roman" w:hAnsi="Times New Roman"/>
                <w:color w:val="auto"/>
                <w:szCs w:val="21"/>
                <w:highlight w:val="none"/>
              </w:rPr>
            </w:pPr>
            <w:r>
              <w:rPr>
                <w:rFonts w:hint="eastAsia" w:ascii="Times New Roman" w:hAnsi="Times New Roman"/>
                <w:color w:val="auto"/>
                <w:szCs w:val="21"/>
                <w:highlight w:val="none"/>
              </w:rPr>
              <w:t>备注</w:t>
            </w:r>
          </w:p>
        </w:tc>
      </w:tr>
      <w:tr w14:paraId="04A5A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noWrap w:val="0"/>
            <w:vAlign w:val="center"/>
          </w:tcPr>
          <w:p w14:paraId="5B839619">
            <w:pPr>
              <w:jc w:val="center"/>
              <w:rPr>
                <w:rFonts w:ascii="Times New Roman" w:hAnsi="Times New Roman"/>
                <w:color w:val="auto"/>
                <w:szCs w:val="21"/>
                <w:highlight w:val="none"/>
              </w:rPr>
            </w:pPr>
          </w:p>
        </w:tc>
        <w:tc>
          <w:tcPr>
            <w:tcW w:w="957" w:type="dxa"/>
            <w:vMerge w:val="continue"/>
            <w:tcBorders>
              <w:right w:val="single" w:color="auto" w:sz="4" w:space="0"/>
            </w:tcBorders>
            <w:noWrap w:val="0"/>
            <w:vAlign w:val="center"/>
          </w:tcPr>
          <w:p w14:paraId="27F306BD">
            <w:pPr>
              <w:jc w:val="center"/>
              <w:rPr>
                <w:rFonts w:ascii="Times New Roman" w:hAnsi="Times New Roman"/>
                <w:color w:val="auto"/>
                <w:szCs w:val="21"/>
                <w:highlight w:val="none"/>
              </w:rPr>
            </w:pPr>
          </w:p>
        </w:tc>
        <w:tc>
          <w:tcPr>
            <w:tcW w:w="2124" w:type="dxa"/>
            <w:vMerge w:val="continue"/>
            <w:tcBorders>
              <w:left w:val="single" w:color="auto" w:sz="4" w:space="0"/>
            </w:tcBorders>
            <w:noWrap w:val="0"/>
            <w:vAlign w:val="center"/>
          </w:tcPr>
          <w:p w14:paraId="470CBEE3">
            <w:pPr>
              <w:jc w:val="center"/>
              <w:rPr>
                <w:rFonts w:ascii="Times New Roman" w:hAnsi="Times New Roman"/>
                <w:color w:val="auto"/>
                <w:szCs w:val="21"/>
                <w:highlight w:val="none"/>
              </w:rPr>
            </w:pPr>
          </w:p>
        </w:tc>
        <w:tc>
          <w:tcPr>
            <w:tcW w:w="2127" w:type="dxa"/>
            <w:vMerge w:val="continue"/>
            <w:noWrap w:val="0"/>
            <w:vAlign w:val="center"/>
          </w:tcPr>
          <w:p w14:paraId="0A6BFC71">
            <w:pPr>
              <w:jc w:val="center"/>
              <w:rPr>
                <w:rFonts w:ascii="Times New Roman" w:hAnsi="Times New Roman"/>
                <w:color w:val="auto"/>
                <w:szCs w:val="21"/>
                <w:highlight w:val="none"/>
              </w:rPr>
            </w:pPr>
          </w:p>
        </w:tc>
        <w:tc>
          <w:tcPr>
            <w:tcW w:w="992" w:type="dxa"/>
            <w:vMerge w:val="continue"/>
            <w:noWrap w:val="0"/>
            <w:vAlign w:val="center"/>
          </w:tcPr>
          <w:p w14:paraId="38E48126">
            <w:pPr>
              <w:jc w:val="center"/>
              <w:rPr>
                <w:rFonts w:ascii="Times New Roman" w:hAnsi="Times New Roman"/>
                <w:color w:val="auto"/>
                <w:szCs w:val="21"/>
                <w:highlight w:val="none"/>
              </w:rPr>
            </w:pPr>
          </w:p>
        </w:tc>
        <w:tc>
          <w:tcPr>
            <w:tcW w:w="709" w:type="dxa"/>
            <w:noWrap w:val="0"/>
            <w:vAlign w:val="center"/>
          </w:tcPr>
          <w:p w14:paraId="6DB2A6C9">
            <w:pPr>
              <w:jc w:val="center"/>
              <w:rPr>
                <w:rFonts w:ascii="Times New Roman" w:hAnsi="Times New Roman"/>
                <w:color w:val="auto"/>
                <w:szCs w:val="21"/>
                <w:highlight w:val="none"/>
              </w:rPr>
            </w:pPr>
            <w:r>
              <w:rPr>
                <w:rFonts w:hint="eastAsia" w:ascii="Times New Roman" w:hAnsi="Times New Roman"/>
                <w:color w:val="auto"/>
                <w:szCs w:val="21"/>
                <w:highlight w:val="none"/>
              </w:rPr>
              <w:t>时间</w:t>
            </w:r>
          </w:p>
        </w:tc>
        <w:tc>
          <w:tcPr>
            <w:tcW w:w="751" w:type="dxa"/>
            <w:noWrap w:val="0"/>
            <w:vAlign w:val="center"/>
          </w:tcPr>
          <w:p w14:paraId="150C9B18">
            <w:pPr>
              <w:jc w:val="center"/>
              <w:rPr>
                <w:rFonts w:ascii="Times New Roman" w:hAnsi="Times New Roman"/>
                <w:color w:val="auto"/>
                <w:szCs w:val="21"/>
                <w:highlight w:val="none"/>
              </w:rPr>
            </w:pPr>
            <w:r>
              <w:rPr>
                <w:rFonts w:hint="eastAsia" w:ascii="Times New Roman" w:hAnsi="Times New Roman"/>
                <w:color w:val="auto"/>
                <w:szCs w:val="21"/>
                <w:highlight w:val="none"/>
              </w:rPr>
              <w:t>地点</w:t>
            </w:r>
          </w:p>
        </w:tc>
        <w:tc>
          <w:tcPr>
            <w:tcW w:w="971" w:type="dxa"/>
            <w:vMerge w:val="continue"/>
            <w:noWrap w:val="0"/>
            <w:vAlign w:val="top"/>
          </w:tcPr>
          <w:p w14:paraId="5104B4FA">
            <w:pPr>
              <w:rPr>
                <w:rFonts w:ascii="Times New Roman" w:hAnsi="Times New Roman"/>
                <w:color w:val="auto"/>
                <w:szCs w:val="21"/>
                <w:highlight w:val="none"/>
              </w:rPr>
            </w:pPr>
          </w:p>
        </w:tc>
      </w:tr>
      <w:tr w14:paraId="28B69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0A2C561C">
            <w:pPr>
              <w:rPr>
                <w:rFonts w:ascii="Times New Roman" w:hAnsi="Times New Roman"/>
                <w:color w:val="auto"/>
                <w:szCs w:val="21"/>
                <w:highlight w:val="none"/>
              </w:rPr>
            </w:pPr>
          </w:p>
        </w:tc>
        <w:tc>
          <w:tcPr>
            <w:tcW w:w="957" w:type="dxa"/>
            <w:tcBorders>
              <w:right w:val="single" w:color="auto" w:sz="4" w:space="0"/>
            </w:tcBorders>
            <w:noWrap w:val="0"/>
            <w:vAlign w:val="top"/>
          </w:tcPr>
          <w:p w14:paraId="4C0D1237">
            <w:pPr>
              <w:rPr>
                <w:rFonts w:ascii="Times New Roman" w:hAnsi="Times New Roman"/>
                <w:color w:val="auto"/>
                <w:szCs w:val="21"/>
                <w:highlight w:val="none"/>
              </w:rPr>
            </w:pPr>
          </w:p>
        </w:tc>
        <w:tc>
          <w:tcPr>
            <w:tcW w:w="2124" w:type="dxa"/>
            <w:tcBorders>
              <w:left w:val="single" w:color="auto" w:sz="4" w:space="0"/>
            </w:tcBorders>
            <w:noWrap w:val="0"/>
            <w:vAlign w:val="top"/>
          </w:tcPr>
          <w:p w14:paraId="273FD720">
            <w:pPr>
              <w:rPr>
                <w:rFonts w:ascii="Times New Roman" w:hAnsi="Times New Roman"/>
                <w:color w:val="auto"/>
                <w:szCs w:val="21"/>
                <w:highlight w:val="none"/>
              </w:rPr>
            </w:pPr>
          </w:p>
        </w:tc>
        <w:tc>
          <w:tcPr>
            <w:tcW w:w="2127" w:type="dxa"/>
            <w:noWrap w:val="0"/>
            <w:vAlign w:val="top"/>
          </w:tcPr>
          <w:p w14:paraId="64F6B636">
            <w:pPr>
              <w:rPr>
                <w:rFonts w:ascii="Times New Roman" w:hAnsi="Times New Roman"/>
                <w:color w:val="auto"/>
                <w:szCs w:val="21"/>
                <w:highlight w:val="none"/>
              </w:rPr>
            </w:pPr>
          </w:p>
        </w:tc>
        <w:tc>
          <w:tcPr>
            <w:tcW w:w="992" w:type="dxa"/>
            <w:noWrap w:val="0"/>
            <w:vAlign w:val="top"/>
          </w:tcPr>
          <w:p w14:paraId="46ED3A20">
            <w:pPr>
              <w:rPr>
                <w:rFonts w:ascii="Times New Roman" w:hAnsi="Times New Roman"/>
                <w:color w:val="auto"/>
                <w:szCs w:val="21"/>
                <w:highlight w:val="none"/>
              </w:rPr>
            </w:pPr>
          </w:p>
        </w:tc>
        <w:tc>
          <w:tcPr>
            <w:tcW w:w="709" w:type="dxa"/>
            <w:tcBorders>
              <w:bottom w:val="single" w:color="auto" w:sz="4" w:space="0"/>
            </w:tcBorders>
            <w:noWrap w:val="0"/>
            <w:vAlign w:val="top"/>
          </w:tcPr>
          <w:p w14:paraId="10311517">
            <w:pPr>
              <w:rPr>
                <w:rFonts w:ascii="Times New Roman" w:hAnsi="Times New Roman"/>
                <w:color w:val="auto"/>
                <w:szCs w:val="21"/>
                <w:highlight w:val="none"/>
              </w:rPr>
            </w:pPr>
          </w:p>
        </w:tc>
        <w:tc>
          <w:tcPr>
            <w:tcW w:w="751" w:type="dxa"/>
            <w:tcBorders>
              <w:bottom w:val="single" w:color="auto" w:sz="4" w:space="0"/>
            </w:tcBorders>
            <w:noWrap w:val="0"/>
            <w:vAlign w:val="top"/>
          </w:tcPr>
          <w:p w14:paraId="1BD07D87">
            <w:pPr>
              <w:rPr>
                <w:rFonts w:ascii="Times New Roman" w:hAnsi="Times New Roman"/>
                <w:color w:val="auto"/>
                <w:szCs w:val="21"/>
                <w:highlight w:val="none"/>
              </w:rPr>
            </w:pPr>
          </w:p>
        </w:tc>
        <w:tc>
          <w:tcPr>
            <w:tcW w:w="971" w:type="dxa"/>
            <w:noWrap w:val="0"/>
            <w:vAlign w:val="top"/>
          </w:tcPr>
          <w:p w14:paraId="43614765">
            <w:pPr>
              <w:rPr>
                <w:rFonts w:ascii="Times New Roman" w:hAnsi="Times New Roman"/>
                <w:color w:val="auto"/>
                <w:szCs w:val="21"/>
                <w:highlight w:val="none"/>
              </w:rPr>
            </w:pPr>
          </w:p>
        </w:tc>
      </w:tr>
      <w:tr w14:paraId="67D5C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7AFD846E">
            <w:pPr>
              <w:rPr>
                <w:rFonts w:ascii="Times New Roman" w:hAnsi="Times New Roman"/>
                <w:color w:val="auto"/>
                <w:szCs w:val="21"/>
                <w:highlight w:val="none"/>
              </w:rPr>
            </w:pPr>
          </w:p>
        </w:tc>
        <w:tc>
          <w:tcPr>
            <w:tcW w:w="957" w:type="dxa"/>
            <w:tcBorders>
              <w:right w:val="single" w:color="auto" w:sz="4" w:space="0"/>
            </w:tcBorders>
            <w:noWrap w:val="0"/>
            <w:vAlign w:val="top"/>
          </w:tcPr>
          <w:p w14:paraId="77766FCB">
            <w:pPr>
              <w:rPr>
                <w:rFonts w:ascii="Times New Roman" w:hAnsi="Times New Roman"/>
                <w:color w:val="auto"/>
                <w:szCs w:val="21"/>
                <w:highlight w:val="none"/>
              </w:rPr>
            </w:pPr>
          </w:p>
        </w:tc>
        <w:tc>
          <w:tcPr>
            <w:tcW w:w="2124" w:type="dxa"/>
            <w:tcBorders>
              <w:left w:val="single" w:color="auto" w:sz="4" w:space="0"/>
            </w:tcBorders>
            <w:noWrap w:val="0"/>
            <w:vAlign w:val="top"/>
          </w:tcPr>
          <w:p w14:paraId="438FCB37">
            <w:pPr>
              <w:rPr>
                <w:rFonts w:ascii="Times New Roman" w:hAnsi="Times New Roman"/>
                <w:color w:val="auto"/>
                <w:szCs w:val="21"/>
                <w:highlight w:val="none"/>
              </w:rPr>
            </w:pPr>
          </w:p>
        </w:tc>
        <w:tc>
          <w:tcPr>
            <w:tcW w:w="2127" w:type="dxa"/>
            <w:noWrap w:val="0"/>
            <w:vAlign w:val="top"/>
          </w:tcPr>
          <w:p w14:paraId="19B31CEE">
            <w:pPr>
              <w:rPr>
                <w:rFonts w:ascii="Times New Roman" w:hAnsi="Times New Roman"/>
                <w:color w:val="auto"/>
                <w:szCs w:val="21"/>
                <w:highlight w:val="none"/>
              </w:rPr>
            </w:pPr>
          </w:p>
        </w:tc>
        <w:tc>
          <w:tcPr>
            <w:tcW w:w="992" w:type="dxa"/>
            <w:noWrap w:val="0"/>
            <w:vAlign w:val="top"/>
          </w:tcPr>
          <w:p w14:paraId="0E4D3B4B">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2684F888">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204B47F0">
            <w:pPr>
              <w:rPr>
                <w:rFonts w:ascii="Times New Roman" w:hAnsi="Times New Roman"/>
                <w:color w:val="auto"/>
                <w:szCs w:val="21"/>
                <w:highlight w:val="none"/>
              </w:rPr>
            </w:pPr>
          </w:p>
        </w:tc>
        <w:tc>
          <w:tcPr>
            <w:tcW w:w="971" w:type="dxa"/>
            <w:noWrap w:val="0"/>
            <w:vAlign w:val="top"/>
          </w:tcPr>
          <w:p w14:paraId="4F49791D">
            <w:pPr>
              <w:rPr>
                <w:rFonts w:ascii="Times New Roman" w:hAnsi="Times New Roman"/>
                <w:color w:val="auto"/>
                <w:szCs w:val="21"/>
                <w:highlight w:val="none"/>
              </w:rPr>
            </w:pPr>
          </w:p>
        </w:tc>
      </w:tr>
      <w:tr w14:paraId="3CB3F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35CEDA3D">
            <w:pPr>
              <w:rPr>
                <w:rFonts w:ascii="Times New Roman" w:hAnsi="Times New Roman"/>
                <w:color w:val="auto"/>
                <w:szCs w:val="21"/>
                <w:highlight w:val="none"/>
              </w:rPr>
            </w:pPr>
          </w:p>
        </w:tc>
        <w:tc>
          <w:tcPr>
            <w:tcW w:w="957" w:type="dxa"/>
            <w:tcBorders>
              <w:right w:val="single" w:color="auto" w:sz="4" w:space="0"/>
            </w:tcBorders>
            <w:noWrap w:val="0"/>
            <w:vAlign w:val="top"/>
          </w:tcPr>
          <w:p w14:paraId="1105E6E2">
            <w:pPr>
              <w:rPr>
                <w:rFonts w:ascii="Times New Roman" w:hAnsi="Times New Roman"/>
                <w:color w:val="auto"/>
                <w:szCs w:val="21"/>
                <w:highlight w:val="none"/>
              </w:rPr>
            </w:pPr>
          </w:p>
        </w:tc>
        <w:tc>
          <w:tcPr>
            <w:tcW w:w="2124" w:type="dxa"/>
            <w:tcBorders>
              <w:left w:val="single" w:color="auto" w:sz="4" w:space="0"/>
            </w:tcBorders>
            <w:noWrap w:val="0"/>
            <w:vAlign w:val="top"/>
          </w:tcPr>
          <w:p w14:paraId="02C79927">
            <w:pPr>
              <w:rPr>
                <w:rFonts w:ascii="Times New Roman" w:hAnsi="Times New Roman"/>
                <w:color w:val="auto"/>
                <w:szCs w:val="21"/>
                <w:highlight w:val="none"/>
              </w:rPr>
            </w:pPr>
          </w:p>
        </w:tc>
        <w:tc>
          <w:tcPr>
            <w:tcW w:w="2127" w:type="dxa"/>
            <w:noWrap w:val="0"/>
            <w:vAlign w:val="top"/>
          </w:tcPr>
          <w:p w14:paraId="3DF2C871">
            <w:pPr>
              <w:rPr>
                <w:rFonts w:ascii="Times New Roman" w:hAnsi="Times New Roman"/>
                <w:color w:val="auto"/>
                <w:szCs w:val="21"/>
                <w:highlight w:val="none"/>
              </w:rPr>
            </w:pPr>
          </w:p>
        </w:tc>
        <w:tc>
          <w:tcPr>
            <w:tcW w:w="992" w:type="dxa"/>
            <w:noWrap w:val="0"/>
            <w:vAlign w:val="top"/>
          </w:tcPr>
          <w:p w14:paraId="641E1709">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34155721">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6FA7C839">
            <w:pPr>
              <w:rPr>
                <w:rFonts w:ascii="Times New Roman" w:hAnsi="Times New Roman"/>
                <w:color w:val="auto"/>
                <w:szCs w:val="21"/>
                <w:highlight w:val="none"/>
              </w:rPr>
            </w:pPr>
          </w:p>
        </w:tc>
        <w:tc>
          <w:tcPr>
            <w:tcW w:w="971" w:type="dxa"/>
            <w:noWrap w:val="0"/>
            <w:vAlign w:val="top"/>
          </w:tcPr>
          <w:p w14:paraId="11345BCF">
            <w:pPr>
              <w:rPr>
                <w:rFonts w:ascii="Times New Roman" w:hAnsi="Times New Roman"/>
                <w:color w:val="auto"/>
                <w:szCs w:val="21"/>
                <w:highlight w:val="none"/>
              </w:rPr>
            </w:pPr>
          </w:p>
        </w:tc>
      </w:tr>
      <w:tr w14:paraId="60280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282E8CC6">
            <w:pPr>
              <w:rPr>
                <w:rFonts w:ascii="Times New Roman" w:hAnsi="Times New Roman"/>
                <w:color w:val="auto"/>
                <w:szCs w:val="21"/>
                <w:highlight w:val="none"/>
              </w:rPr>
            </w:pPr>
          </w:p>
        </w:tc>
        <w:tc>
          <w:tcPr>
            <w:tcW w:w="957" w:type="dxa"/>
            <w:tcBorders>
              <w:right w:val="single" w:color="auto" w:sz="4" w:space="0"/>
            </w:tcBorders>
            <w:noWrap w:val="0"/>
            <w:vAlign w:val="top"/>
          </w:tcPr>
          <w:p w14:paraId="60C004C8">
            <w:pPr>
              <w:rPr>
                <w:rFonts w:ascii="Times New Roman" w:hAnsi="Times New Roman"/>
                <w:color w:val="auto"/>
                <w:szCs w:val="21"/>
                <w:highlight w:val="none"/>
              </w:rPr>
            </w:pPr>
          </w:p>
        </w:tc>
        <w:tc>
          <w:tcPr>
            <w:tcW w:w="2124" w:type="dxa"/>
            <w:tcBorders>
              <w:left w:val="single" w:color="auto" w:sz="4" w:space="0"/>
            </w:tcBorders>
            <w:noWrap w:val="0"/>
            <w:vAlign w:val="top"/>
          </w:tcPr>
          <w:p w14:paraId="3F420B08">
            <w:pPr>
              <w:rPr>
                <w:rFonts w:ascii="Times New Roman" w:hAnsi="Times New Roman"/>
                <w:color w:val="auto"/>
                <w:szCs w:val="21"/>
                <w:highlight w:val="none"/>
              </w:rPr>
            </w:pPr>
          </w:p>
        </w:tc>
        <w:tc>
          <w:tcPr>
            <w:tcW w:w="2127" w:type="dxa"/>
            <w:noWrap w:val="0"/>
            <w:vAlign w:val="top"/>
          </w:tcPr>
          <w:p w14:paraId="277841DC">
            <w:pPr>
              <w:rPr>
                <w:rFonts w:ascii="Times New Roman" w:hAnsi="Times New Roman"/>
                <w:color w:val="auto"/>
                <w:szCs w:val="21"/>
                <w:highlight w:val="none"/>
              </w:rPr>
            </w:pPr>
          </w:p>
        </w:tc>
        <w:tc>
          <w:tcPr>
            <w:tcW w:w="992" w:type="dxa"/>
            <w:noWrap w:val="0"/>
            <w:vAlign w:val="top"/>
          </w:tcPr>
          <w:p w14:paraId="45AB1A88">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7AB35619">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73BBA762">
            <w:pPr>
              <w:rPr>
                <w:rFonts w:ascii="Times New Roman" w:hAnsi="Times New Roman"/>
                <w:color w:val="auto"/>
                <w:szCs w:val="21"/>
                <w:highlight w:val="none"/>
              </w:rPr>
            </w:pPr>
          </w:p>
        </w:tc>
        <w:tc>
          <w:tcPr>
            <w:tcW w:w="971" w:type="dxa"/>
            <w:noWrap w:val="0"/>
            <w:vAlign w:val="top"/>
          </w:tcPr>
          <w:p w14:paraId="04A6CF80">
            <w:pPr>
              <w:rPr>
                <w:rFonts w:ascii="Times New Roman" w:hAnsi="Times New Roman"/>
                <w:color w:val="auto"/>
                <w:szCs w:val="21"/>
                <w:highlight w:val="none"/>
              </w:rPr>
            </w:pPr>
          </w:p>
        </w:tc>
      </w:tr>
      <w:tr w14:paraId="736613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75B6EE88">
            <w:pPr>
              <w:rPr>
                <w:rFonts w:ascii="Times New Roman" w:hAnsi="Times New Roman"/>
                <w:color w:val="auto"/>
                <w:szCs w:val="21"/>
                <w:highlight w:val="none"/>
              </w:rPr>
            </w:pPr>
          </w:p>
        </w:tc>
        <w:tc>
          <w:tcPr>
            <w:tcW w:w="957" w:type="dxa"/>
            <w:tcBorders>
              <w:right w:val="single" w:color="auto" w:sz="4" w:space="0"/>
            </w:tcBorders>
            <w:noWrap w:val="0"/>
            <w:vAlign w:val="top"/>
          </w:tcPr>
          <w:p w14:paraId="5429AEC5">
            <w:pPr>
              <w:rPr>
                <w:rFonts w:ascii="Times New Roman" w:hAnsi="Times New Roman"/>
                <w:color w:val="auto"/>
                <w:szCs w:val="21"/>
                <w:highlight w:val="none"/>
              </w:rPr>
            </w:pPr>
          </w:p>
        </w:tc>
        <w:tc>
          <w:tcPr>
            <w:tcW w:w="2124" w:type="dxa"/>
            <w:tcBorders>
              <w:left w:val="single" w:color="auto" w:sz="4" w:space="0"/>
            </w:tcBorders>
            <w:noWrap w:val="0"/>
            <w:vAlign w:val="top"/>
          </w:tcPr>
          <w:p w14:paraId="1FD1D71A">
            <w:pPr>
              <w:rPr>
                <w:rFonts w:ascii="Times New Roman" w:hAnsi="Times New Roman"/>
                <w:color w:val="auto"/>
                <w:szCs w:val="21"/>
                <w:highlight w:val="none"/>
              </w:rPr>
            </w:pPr>
          </w:p>
        </w:tc>
        <w:tc>
          <w:tcPr>
            <w:tcW w:w="2127" w:type="dxa"/>
            <w:noWrap w:val="0"/>
            <w:vAlign w:val="top"/>
          </w:tcPr>
          <w:p w14:paraId="76CE548D">
            <w:pPr>
              <w:rPr>
                <w:rFonts w:ascii="Times New Roman" w:hAnsi="Times New Roman"/>
                <w:color w:val="auto"/>
                <w:szCs w:val="21"/>
                <w:highlight w:val="none"/>
              </w:rPr>
            </w:pPr>
          </w:p>
        </w:tc>
        <w:tc>
          <w:tcPr>
            <w:tcW w:w="992" w:type="dxa"/>
            <w:noWrap w:val="0"/>
            <w:vAlign w:val="top"/>
          </w:tcPr>
          <w:p w14:paraId="57FD7FA0">
            <w:pPr>
              <w:rPr>
                <w:rFonts w:ascii="Times New Roman" w:hAnsi="Times New Roman"/>
                <w:color w:val="auto"/>
                <w:szCs w:val="21"/>
                <w:highlight w:val="none"/>
              </w:rPr>
            </w:pPr>
          </w:p>
        </w:tc>
        <w:tc>
          <w:tcPr>
            <w:tcW w:w="709" w:type="dxa"/>
            <w:tcBorders>
              <w:top w:val="single" w:color="auto" w:sz="4" w:space="0"/>
            </w:tcBorders>
            <w:noWrap w:val="0"/>
            <w:vAlign w:val="top"/>
          </w:tcPr>
          <w:p w14:paraId="7F50D838">
            <w:pPr>
              <w:rPr>
                <w:rFonts w:ascii="Times New Roman" w:hAnsi="Times New Roman"/>
                <w:color w:val="auto"/>
                <w:szCs w:val="21"/>
                <w:highlight w:val="none"/>
              </w:rPr>
            </w:pPr>
          </w:p>
        </w:tc>
        <w:tc>
          <w:tcPr>
            <w:tcW w:w="751" w:type="dxa"/>
            <w:tcBorders>
              <w:top w:val="single" w:color="auto" w:sz="4" w:space="0"/>
            </w:tcBorders>
            <w:noWrap w:val="0"/>
            <w:vAlign w:val="top"/>
          </w:tcPr>
          <w:p w14:paraId="30C8FCB0">
            <w:pPr>
              <w:rPr>
                <w:rFonts w:ascii="Times New Roman" w:hAnsi="Times New Roman"/>
                <w:color w:val="auto"/>
                <w:szCs w:val="21"/>
                <w:highlight w:val="none"/>
              </w:rPr>
            </w:pPr>
          </w:p>
        </w:tc>
        <w:tc>
          <w:tcPr>
            <w:tcW w:w="971" w:type="dxa"/>
            <w:noWrap w:val="0"/>
            <w:vAlign w:val="top"/>
          </w:tcPr>
          <w:p w14:paraId="44EDA192">
            <w:pPr>
              <w:rPr>
                <w:rFonts w:ascii="Times New Roman" w:hAnsi="Times New Roman"/>
                <w:color w:val="auto"/>
                <w:szCs w:val="21"/>
                <w:highlight w:val="none"/>
              </w:rPr>
            </w:pPr>
          </w:p>
        </w:tc>
      </w:tr>
    </w:tbl>
    <w:p w14:paraId="6922B882">
      <w:pPr>
        <w:adjustRightInd w:val="0"/>
        <w:snapToGrid w:val="0"/>
        <w:spacing w:line="360" w:lineRule="auto"/>
        <w:rPr>
          <w:rFonts w:hint="eastAsia" w:ascii="宋体" w:hAnsi="宋体" w:eastAsia="宋体" w:cs="宋体"/>
          <w:color w:val="auto"/>
          <w:szCs w:val="21"/>
          <w:highlight w:val="none"/>
        </w:rPr>
      </w:pPr>
    </w:p>
    <w:p w14:paraId="586D0C90">
      <w:pPr>
        <w:rPr>
          <w:rFonts w:hint="eastAsia" w:ascii="宋体" w:hAnsi="宋体" w:eastAsia="宋体" w:cs="宋体"/>
          <w:color w:val="auto"/>
          <w:highlight w:val="none"/>
        </w:rPr>
      </w:pPr>
    </w:p>
    <w:p w14:paraId="440731CE">
      <w:pPr>
        <w:rPr>
          <w:rFonts w:hint="eastAsia" w:ascii="宋体" w:hAnsi="宋体" w:eastAsia="宋体" w:cs="宋体"/>
          <w:color w:val="auto"/>
          <w:highlight w:val="none"/>
        </w:rPr>
      </w:pPr>
    </w:p>
    <w:p w14:paraId="379CEC4E">
      <w:pPr>
        <w:adjustRightInd w:val="0"/>
        <w:snapToGrid w:val="0"/>
        <w:spacing w:before="156" w:beforeLines="50" w:line="360" w:lineRule="auto"/>
        <w:jc w:val="center"/>
        <w:rPr>
          <w:rFonts w:hint="eastAsia" w:ascii="宋体" w:hAnsi="宋体" w:eastAsia="宋体" w:cs="宋体"/>
          <w:b/>
          <w:bCs/>
          <w:color w:val="auto"/>
          <w:sz w:val="28"/>
          <w:szCs w:val="28"/>
          <w:highlight w:val="none"/>
        </w:rPr>
      </w:pPr>
    </w:p>
    <w:p w14:paraId="5876A726">
      <w:pPr>
        <w:jc w:val="center"/>
        <w:rPr>
          <w:rFonts w:hint="eastAsia" w:ascii="宋体" w:hAnsi="宋体" w:eastAsia="宋体" w:cs="宋体"/>
          <w:color w:val="auto"/>
          <w:szCs w:val="21"/>
          <w:highlight w:val="none"/>
        </w:rPr>
      </w:pPr>
    </w:p>
    <w:p w14:paraId="383416B0">
      <w:pPr>
        <w:adjustRightInd w:val="0"/>
        <w:snapToGrid w:val="0"/>
        <w:spacing w:line="360" w:lineRule="auto"/>
        <w:rPr>
          <w:rFonts w:hint="eastAsia" w:ascii="宋体" w:hAnsi="宋体" w:eastAsia="宋体" w:cs="宋体"/>
          <w:color w:val="auto"/>
          <w:highlight w:val="none"/>
        </w:rPr>
      </w:pPr>
    </w:p>
    <w:p w14:paraId="51A27B82">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224" w:name="_Toc25457"/>
      <w:bookmarkStart w:id="225" w:name="_Toc844"/>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rPr>
        <w:t>、合同条款偏离表</w:t>
      </w:r>
      <w:bookmarkEnd w:id="223"/>
      <w:bookmarkEnd w:id="224"/>
      <w:bookmarkEnd w:id="225"/>
    </w:p>
    <w:p w14:paraId="71B6C6C7">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cs="宋体"/>
          <w:color w:val="auto"/>
          <w:spacing w:val="28"/>
          <w:szCs w:val="21"/>
          <w:highlight w:val="none"/>
          <w:lang w:eastAsia="zh-CN"/>
        </w:rPr>
        <w:t>政府采购计划编号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395E8704">
      <w:pPr>
        <w:adjustRightInd w:val="0"/>
        <w:snapToGrid w:val="0"/>
        <w:spacing w:before="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F7C1B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28B2556">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4A776E50">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vAlign w:val="center"/>
          </w:tcPr>
          <w:p w14:paraId="04F99FE4">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招标文件要求</w:t>
            </w:r>
          </w:p>
        </w:tc>
        <w:tc>
          <w:tcPr>
            <w:tcW w:w="2082" w:type="dxa"/>
            <w:tcBorders>
              <w:right w:val="single" w:color="auto" w:sz="4" w:space="0"/>
            </w:tcBorders>
            <w:vAlign w:val="center"/>
          </w:tcPr>
          <w:p w14:paraId="163242AD">
            <w:pPr>
              <w:adjustRightInd w:val="0"/>
              <w:snapToGrid w:val="0"/>
              <w:spacing w:before="50"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投标文件的应答</w:t>
            </w:r>
          </w:p>
        </w:tc>
        <w:tc>
          <w:tcPr>
            <w:tcW w:w="1942" w:type="dxa"/>
            <w:tcBorders>
              <w:left w:val="single" w:color="auto" w:sz="4" w:space="0"/>
            </w:tcBorders>
            <w:vAlign w:val="center"/>
          </w:tcPr>
          <w:p w14:paraId="32FE4A79">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36307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FF28AC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9C6716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Pr>
          <w:p w14:paraId="0FDEFF76">
            <w:pPr>
              <w:adjustRightInd w:val="0"/>
              <w:snapToGrid w:val="0"/>
              <w:spacing w:before="50" w:line="360" w:lineRule="auto"/>
              <w:rPr>
                <w:rFonts w:hint="eastAsia" w:ascii="宋体" w:hAnsi="宋体" w:eastAsia="宋体" w:cs="宋体"/>
                <w:color w:val="auto"/>
                <w:highlight w:val="none"/>
              </w:rPr>
            </w:pPr>
          </w:p>
        </w:tc>
        <w:tc>
          <w:tcPr>
            <w:tcW w:w="2082" w:type="dxa"/>
            <w:tcBorders>
              <w:right w:val="single" w:color="auto" w:sz="4" w:space="0"/>
            </w:tcBorders>
          </w:tcPr>
          <w:p w14:paraId="14DB10C2">
            <w:pPr>
              <w:adjustRightInd w:val="0"/>
              <w:snapToGrid w:val="0"/>
              <w:spacing w:before="50" w:line="360" w:lineRule="auto"/>
              <w:rPr>
                <w:rFonts w:hint="eastAsia" w:ascii="宋体" w:hAnsi="宋体" w:eastAsia="宋体" w:cs="宋体"/>
                <w:color w:val="auto"/>
                <w:highlight w:val="none"/>
              </w:rPr>
            </w:pPr>
          </w:p>
        </w:tc>
        <w:tc>
          <w:tcPr>
            <w:tcW w:w="1942" w:type="dxa"/>
            <w:tcBorders>
              <w:left w:val="single" w:color="auto" w:sz="4" w:space="0"/>
            </w:tcBorders>
          </w:tcPr>
          <w:p w14:paraId="4E1CEFB2">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7A53D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1DF40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CEBF51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21D3235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34D63E1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2F19D8A9">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2B864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2E55CB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A187D6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43489F5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6247059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4E95E3F2">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77E7B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2910AA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747249F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0BD99F5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6FDEDAE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455726E6">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491868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3F3C4D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350BFA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52318BB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69B537C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2DA2E5F0">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04CE73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5BD407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40913AF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7DE21B3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26BF8F4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541A9D6C">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5972A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C33298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0C6620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65AA27D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4024" w:type="dxa"/>
            <w:gridSpan w:val="2"/>
            <w:vAlign w:val="center"/>
          </w:tcPr>
          <w:p w14:paraId="08858EF8">
            <w:pPr>
              <w:adjustRightInd w:val="0"/>
              <w:snapToGrid w:val="0"/>
              <w:spacing w:before="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投标人保证：除本合同条款偏离表列出的偏离外，我单位对招标文件的其他商务、合同条款完全响应，无偏离。</w:t>
            </w:r>
          </w:p>
        </w:tc>
      </w:tr>
    </w:tbl>
    <w:p w14:paraId="37F8BFEA">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：（1）投标人应根据招标文件第六章“政府采购合同”填写本表；</w:t>
      </w:r>
    </w:p>
    <w:p w14:paraId="7EAF38E6">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投标人如果对招标文件第六章“政府采购合同”的响应有偏离，应将偏离条款逐条如实应答，并作出说明；</w:t>
      </w:r>
    </w:p>
    <w:p w14:paraId="102845EF">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（3）如不提供此表，则视为投标人不满足招标文件第六章的所有条款要求，其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4355DB48">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108DB06">
      <w:pPr>
        <w:adjustRightInd w:val="0"/>
        <w:snapToGrid w:val="0"/>
        <w:spacing w:before="50" w:line="360" w:lineRule="auto"/>
        <w:rPr>
          <w:rFonts w:hint="eastAsia" w:ascii="宋体" w:hAnsi="宋体" w:eastAsia="宋体" w:cs="宋体"/>
          <w:color w:val="auto"/>
          <w:szCs w:val="21"/>
          <w:highlight w:val="none"/>
        </w:rPr>
      </w:pPr>
    </w:p>
    <w:p w14:paraId="668C584F">
      <w:pPr>
        <w:adjustRightInd w:val="0"/>
        <w:snapToGrid w:val="0"/>
        <w:spacing w:before="50" w:line="360" w:lineRule="auto"/>
        <w:rPr>
          <w:rFonts w:hint="eastAsia" w:ascii="宋体" w:hAnsi="宋体" w:eastAsia="宋体" w:cs="宋体"/>
          <w:color w:val="auto"/>
          <w:szCs w:val="21"/>
          <w:highlight w:val="none"/>
        </w:rPr>
      </w:pPr>
    </w:p>
    <w:p w14:paraId="2296865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0F3B2398">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9C33CD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0861919">
      <w:pPr>
        <w:adjustRightInd w:val="0"/>
        <w:snapToGrid w:val="0"/>
        <w:spacing w:before="50"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br w:type="page"/>
      </w:r>
    </w:p>
    <w:p w14:paraId="60802AE0">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lang w:eastAsia="zh-CN"/>
        </w:rPr>
      </w:pPr>
      <w:bookmarkStart w:id="226" w:name="_Toc18903"/>
      <w:bookmarkStart w:id="227" w:name="_Toc24790"/>
      <w:bookmarkStart w:id="228" w:name="_Toc29913968"/>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w:t>
      </w:r>
      <w:bookmarkEnd w:id="226"/>
      <w:bookmarkEnd w:id="227"/>
      <w:bookmarkEnd w:id="228"/>
      <w:r>
        <w:rPr>
          <w:rFonts w:hint="eastAsia" w:ascii="宋体" w:hAnsi="宋体" w:eastAsia="宋体" w:cs="宋体"/>
          <w:color w:val="auto"/>
          <w:sz w:val="28"/>
          <w:szCs w:val="28"/>
          <w:highlight w:val="none"/>
          <w:lang w:eastAsia="zh-CN"/>
        </w:rPr>
        <w:t>采购需求偏离表</w:t>
      </w:r>
    </w:p>
    <w:p w14:paraId="401CF6B3">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cs="宋体"/>
          <w:color w:val="auto"/>
          <w:spacing w:val="28"/>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4A7F9F3A">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__    _______</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246876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1492DA7C">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6F3ACC48">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tcBorders>
              <w:right w:val="single" w:color="auto" w:sz="4" w:space="0"/>
            </w:tcBorders>
          </w:tcPr>
          <w:p w14:paraId="52CB65E3">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招标文件要求</w:t>
            </w:r>
          </w:p>
        </w:tc>
        <w:tc>
          <w:tcPr>
            <w:tcW w:w="2126" w:type="dxa"/>
            <w:tcBorders>
              <w:left w:val="single" w:color="auto" w:sz="4" w:space="0"/>
            </w:tcBorders>
          </w:tcPr>
          <w:p w14:paraId="304E6CB4">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投标文件应答</w:t>
            </w:r>
          </w:p>
        </w:tc>
        <w:tc>
          <w:tcPr>
            <w:tcW w:w="1756" w:type="dxa"/>
            <w:vAlign w:val="center"/>
          </w:tcPr>
          <w:p w14:paraId="6B48DB85">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BB51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2458F8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1560798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4525753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5883DE9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1DEB8218">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03328F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2AE39C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4732C2D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4493BBF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57AF693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5E35DB84">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1F3DB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C6A82D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49A64E2C">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079AD9B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10EA563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38305A6F">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5241C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78B893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623A077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6A0A93A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6A2C566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4B364733">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13C5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9BE70B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1273AC8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2C649AC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48F0019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1A9FC998">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469B3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A122CA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6CBA315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373571F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3882" w:type="dxa"/>
            <w:gridSpan w:val="2"/>
            <w:tcBorders>
              <w:left w:val="single" w:color="auto" w:sz="4" w:space="0"/>
            </w:tcBorders>
            <w:vAlign w:val="center"/>
          </w:tcPr>
          <w:p w14:paraId="440888FD">
            <w:pPr>
              <w:adjustRightInd w:val="0"/>
              <w:snapToGrid w:val="0"/>
              <w:spacing w:before="50"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投标人保证：除本采购需求偏离表列出的偏离外，我单位对招标文件的其他采购需求条款完全响应，无偏离。</w:t>
            </w:r>
          </w:p>
        </w:tc>
      </w:tr>
    </w:tbl>
    <w:p w14:paraId="163AD4C3">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：（1）投标人应根据招标文件第五章“采购需求”填写本表；</w:t>
      </w:r>
    </w:p>
    <w:p w14:paraId="4472AC83">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投标人如果对招标文件第五章“采购需求”的响应有偏离，应将偏离条款逐条如实应答，并作出说明；</w:t>
      </w:r>
    </w:p>
    <w:p w14:paraId="2EA8272B">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（3）如不提供此表，则视为投标人不满足招标文件第五章的所有条款要求，其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35F8F7C0">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AE3E695">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（5）本偏离表与本章第</w:t>
      </w:r>
      <w:r>
        <w:rPr>
          <w:rFonts w:hint="eastAsia" w:ascii="宋体" w:hAnsi="宋体" w:eastAsia="宋体" w:cs="宋体"/>
          <w:color w:val="auto"/>
          <w:szCs w:val="21"/>
          <w:highlight w:val="none"/>
          <w:lang w:eastAsia="zh-CN"/>
        </w:rPr>
        <w:t>六</w:t>
      </w:r>
      <w:r>
        <w:rPr>
          <w:rFonts w:hint="eastAsia" w:ascii="宋体" w:hAnsi="宋体" w:eastAsia="宋体" w:cs="宋体"/>
          <w:color w:val="auto"/>
          <w:szCs w:val="21"/>
          <w:highlight w:val="none"/>
        </w:rPr>
        <w:t>节“采购需求响应”不一致时，以“采购需求响应”为准。</w:t>
      </w:r>
    </w:p>
    <w:p w14:paraId="2377F6D2">
      <w:pPr>
        <w:adjustRightInd w:val="0"/>
        <w:snapToGrid w:val="0"/>
        <w:spacing w:before="50" w:line="360" w:lineRule="auto"/>
        <w:rPr>
          <w:rFonts w:hint="eastAsia" w:ascii="宋体" w:hAnsi="宋体" w:eastAsia="宋体" w:cs="宋体"/>
          <w:color w:val="auto"/>
          <w:szCs w:val="21"/>
          <w:highlight w:val="none"/>
        </w:rPr>
      </w:pPr>
    </w:p>
    <w:p w14:paraId="7C9CFFE4">
      <w:pPr>
        <w:adjustRightInd w:val="0"/>
        <w:snapToGrid w:val="0"/>
        <w:spacing w:before="50" w:line="360" w:lineRule="auto"/>
        <w:rPr>
          <w:rFonts w:hint="eastAsia" w:ascii="宋体" w:hAnsi="宋体" w:eastAsia="宋体" w:cs="宋体"/>
          <w:color w:val="auto"/>
          <w:szCs w:val="21"/>
          <w:highlight w:val="none"/>
        </w:rPr>
      </w:pPr>
    </w:p>
    <w:p w14:paraId="4E0AE6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8DFB66A">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B39BE5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33F46FF">
      <w:pPr>
        <w:pStyle w:val="4"/>
        <w:adjustRightInd w:val="0"/>
        <w:snapToGrid w:val="0"/>
        <w:spacing w:before="0" w:after="0" w:line="360" w:lineRule="auto"/>
        <w:jc w:val="center"/>
        <w:rPr>
          <w:rFonts w:hint="eastAsia" w:ascii="宋体" w:hAnsi="宋体" w:eastAsia="宋体" w:cs="宋体"/>
          <w:color w:val="auto"/>
          <w:szCs w:val="21"/>
          <w:highlight w:val="none"/>
        </w:rPr>
        <w:sectPr>
          <w:footerReference r:id="rId10" w:type="default"/>
          <w:pgSz w:w="11906" w:h="16838"/>
          <w:pgMar w:top="1474" w:right="1474" w:bottom="1474" w:left="1474" w:header="851" w:footer="992" w:gutter="0"/>
          <w:pgNumType w:fmt="decimal"/>
          <w:cols w:space="720" w:num="1"/>
          <w:docGrid w:type="lines" w:linePitch="312" w:charSpace="0"/>
        </w:sectPr>
      </w:pPr>
      <w:r>
        <w:rPr>
          <w:rFonts w:hint="eastAsia" w:ascii="宋体" w:hAnsi="宋体" w:eastAsia="宋体" w:cs="宋体"/>
          <w:color w:val="auto"/>
          <w:szCs w:val="21"/>
          <w:highlight w:val="none"/>
        </w:rPr>
        <w:br w:type="page"/>
      </w:r>
    </w:p>
    <w:p w14:paraId="4B804475">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29" w:name="_Toc32763"/>
      <w:bookmarkStart w:id="230" w:name="_Toc29913969"/>
      <w:bookmarkStart w:id="231" w:name="_Toc32500"/>
      <w:r>
        <w:rPr>
          <w:rFonts w:hint="eastAsia" w:ascii="宋体" w:hAnsi="宋体" w:cs="宋体"/>
          <w:color w:val="auto"/>
          <w:szCs w:val="21"/>
          <w:highlight w:val="none"/>
          <w:lang w:val="en-US" w:eastAsia="zh-CN"/>
        </w:rPr>
        <w:t>十</w:t>
      </w:r>
      <w:r>
        <w:rPr>
          <w:rFonts w:hint="eastAsia" w:ascii="宋体" w:hAnsi="宋体" w:eastAsia="宋体" w:cs="宋体"/>
          <w:color w:val="auto"/>
          <w:sz w:val="28"/>
          <w:szCs w:val="28"/>
          <w:highlight w:val="none"/>
        </w:rPr>
        <w:t>、享受政府采购政策优惠的证明资料</w:t>
      </w:r>
      <w:bookmarkEnd w:id="229"/>
      <w:bookmarkEnd w:id="230"/>
      <w:bookmarkEnd w:id="231"/>
    </w:p>
    <w:p w14:paraId="7CC71055">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sectPr>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bCs/>
          <w:color w:val="auto"/>
          <w:spacing w:val="6"/>
          <w:kern w:val="0"/>
          <w:szCs w:val="21"/>
          <w:highlight w:val="none"/>
        </w:rPr>
        <w:t>投标人符合第二章第3</w:t>
      </w:r>
      <w:r>
        <w:rPr>
          <w:rFonts w:hint="eastAsia" w:ascii="宋体" w:hAnsi="宋体" w:eastAsia="宋体" w:cs="宋体"/>
          <w:bCs/>
          <w:color w:val="auto"/>
          <w:spacing w:val="6"/>
          <w:kern w:val="0"/>
          <w:szCs w:val="21"/>
          <w:highlight w:val="none"/>
          <w:lang w:val="en-US" w:eastAsia="zh-CN"/>
        </w:rPr>
        <w:t>0</w:t>
      </w:r>
      <w:r>
        <w:rPr>
          <w:rFonts w:hint="eastAsia" w:ascii="宋体" w:hAnsi="宋体" w:eastAsia="宋体" w:cs="宋体"/>
          <w:bCs/>
          <w:color w:val="auto"/>
          <w:spacing w:val="6"/>
          <w:kern w:val="0"/>
          <w:szCs w:val="21"/>
          <w:highlight w:val="none"/>
        </w:rPr>
        <w:t>.6款要求的，应提供下列证明资料，并填写相关数据。否则，评审时不予以考虑。</w:t>
      </w:r>
    </w:p>
    <w:p w14:paraId="49FBA7BB">
      <w:pPr>
        <w:keepNext/>
        <w:keepLines/>
        <w:spacing w:before="280" w:after="290" w:line="376" w:lineRule="auto"/>
        <w:outlineLvl w:val="3"/>
        <w:rPr>
          <w:rFonts w:ascii="黑体" w:hAnsi="华文中宋" w:eastAsia="黑体" w:cs="宋体"/>
          <w:color w:val="auto"/>
          <w:spacing w:val="6"/>
          <w:kern w:val="0"/>
          <w:szCs w:val="21"/>
          <w:highlight w:val="none"/>
        </w:rPr>
      </w:pPr>
      <w:bookmarkStart w:id="232" w:name="_Toc29443"/>
      <w:bookmarkStart w:id="233" w:name="_Toc22100"/>
      <w:bookmarkStart w:id="234" w:name="_Toc29913970"/>
      <w:bookmarkStart w:id="235" w:name="_Toc14152"/>
      <w:r>
        <w:rPr>
          <w:rFonts w:hint="eastAsia" w:ascii="黑体" w:hAnsi="华文中宋" w:eastAsia="黑体" w:cs="宋体"/>
          <w:color w:val="auto"/>
          <w:spacing w:val="6"/>
          <w:kern w:val="0"/>
          <w:szCs w:val="21"/>
          <w:highlight w:val="none"/>
        </w:rPr>
        <w:t>附件10-1</w:t>
      </w:r>
      <w:bookmarkEnd w:id="232"/>
      <w:bookmarkEnd w:id="233"/>
      <w:bookmarkEnd w:id="234"/>
      <w:bookmarkEnd w:id="235"/>
      <w:r>
        <w:rPr>
          <w:rFonts w:hint="eastAsia" w:ascii="黑体" w:hAnsi="华文中宋" w:eastAsia="黑体" w:cs="宋体"/>
          <w:color w:val="auto"/>
          <w:spacing w:val="6"/>
          <w:kern w:val="0"/>
          <w:szCs w:val="21"/>
          <w:highlight w:val="none"/>
        </w:rPr>
        <w:t>中小企业声明函</w:t>
      </w:r>
    </w:p>
    <w:p w14:paraId="0B942135">
      <w:pPr>
        <w:widowControl/>
        <w:spacing w:before="100" w:beforeAutospacing="1" w:after="100" w:afterAutospacing="1" w:line="435" w:lineRule="atLeast"/>
        <w:jc w:val="center"/>
        <w:rPr>
          <w:color w:val="auto"/>
          <w:szCs w:val="24"/>
          <w:highlight w:val="none"/>
        </w:rPr>
      </w:pPr>
      <w:r>
        <w:rPr>
          <w:rFonts w:hint="eastAsia" w:ascii="宋体" w:hAnsi="宋体" w:cs="宋体"/>
          <w:b/>
          <w:color w:val="auto"/>
          <w:kern w:val="0"/>
          <w:sz w:val="28"/>
          <w:szCs w:val="28"/>
          <w:highlight w:val="none"/>
          <w:lang w:bidi="ar"/>
        </w:rPr>
        <w:t>中小企业声明函（工程、服务）</w:t>
      </w:r>
    </w:p>
    <w:p w14:paraId="6B32097D">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 w:val="21"/>
          <w:szCs w:val="21"/>
          <w:highlight w:val="none"/>
          <w:u w:val="single"/>
          <w:lang w:bidi="ar"/>
        </w:rPr>
        <w:t>    （单位名称）</w:t>
      </w:r>
      <w:r>
        <w:rPr>
          <w:rFonts w:hint="eastAsia" w:ascii="宋体" w:hAnsi="宋体" w:cs="宋体"/>
          <w:color w:val="auto"/>
          <w:kern w:val="0"/>
          <w:sz w:val="21"/>
          <w:szCs w:val="21"/>
          <w:highlight w:val="none"/>
          <w:lang w:bidi="ar"/>
        </w:rPr>
        <w:t>的</w:t>
      </w:r>
      <w:r>
        <w:rPr>
          <w:rFonts w:hint="eastAsia" w:ascii="宋体" w:hAnsi="宋体" w:cs="宋体"/>
          <w:color w:val="auto"/>
          <w:kern w:val="0"/>
          <w:sz w:val="21"/>
          <w:szCs w:val="21"/>
          <w:highlight w:val="none"/>
          <w:u w:val="single"/>
          <w:lang w:bidi="ar"/>
        </w:rPr>
        <w:t>（项目名称）</w:t>
      </w:r>
      <w:r>
        <w:rPr>
          <w:rFonts w:hint="eastAsia" w:ascii="宋体" w:hAnsi="宋体" w:cs="宋体"/>
          <w:color w:val="auto"/>
          <w:kern w:val="0"/>
          <w:sz w:val="21"/>
          <w:szCs w:val="21"/>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27C375C3">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u w:val="single"/>
          <w:lang w:bidi="ar"/>
        </w:rPr>
        <w:t>1.   （标的名称）</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（采购文件中明确的所属行业）</w:t>
      </w:r>
      <w:r>
        <w:rPr>
          <w:rFonts w:hint="eastAsia" w:ascii="宋体" w:hAnsi="宋体" w:cs="宋体"/>
          <w:color w:val="auto"/>
          <w:kern w:val="0"/>
          <w:sz w:val="21"/>
          <w:szCs w:val="21"/>
          <w:highlight w:val="none"/>
          <w:lang w:bidi="ar"/>
        </w:rPr>
        <w:t>；承建（承接）企业为</w:t>
      </w:r>
      <w:r>
        <w:rPr>
          <w:rFonts w:hint="eastAsia" w:ascii="宋体" w:hAnsi="宋体" w:cs="宋体"/>
          <w:color w:val="auto"/>
          <w:kern w:val="0"/>
          <w:sz w:val="21"/>
          <w:szCs w:val="21"/>
          <w:highlight w:val="none"/>
          <w:u w:val="single"/>
          <w:lang w:bidi="ar"/>
        </w:rPr>
        <w:t>    （企业名称）</w:t>
      </w:r>
      <w:r>
        <w:rPr>
          <w:rFonts w:hint="eastAsia" w:ascii="宋体" w:hAnsi="宋体" w:cs="宋体"/>
          <w:color w:val="auto"/>
          <w:kern w:val="0"/>
          <w:sz w:val="21"/>
          <w:szCs w:val="21"/>
          <w:highlight w:val="none"/>
          <w:lang w:bidi="ar"/>
        </w:rPr>
        <w:t>，从业人员</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人，营业收入为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万元，资产总额为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万元，属于</w:t>
      </w:r>
      <w:r>
        <w:rPr>
          <w:rFonts w:hint="eastAsia" w:ascii="宋体" w:hAnsi="宋体" w:cs="宋体"/>
          <w:color w:val="auto"/>
          <w:kern w:val="0"/>
          <w:sz w:val="21"/>
          <w:szCs w:val="21"/>
          <w:highlight w:val="none"/>
          <w:u w:val="single"/>
          <w:lang w:bidi="ar"/>
        </w:rPr>
        <w:t>     （中型企业、小型企业、微型企业）</w:t>
      </w:r>
      <w:r>
        <w:rPr>
          <w:rFonts w:hint="eastAsia" w:ascii="宋体" w:hAnsi="宋体" w:cs="宋体"/>
          <w:color w:val="auto"/>
          <w:kern w:val="0"/>
          <w:sz w:val="21"/>
          <w:szCs w:val="21"/>
          <w:highlight w:val="none"/>
          <w:lang w:bidi="ar"/>
        </w:rPr>
        <w:t>；</w:t>
      </w:r>
    </w:p>
    <w:p w14:paraId="2E745811">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lang w:bidi="ar"/>
        </w:rPr>
        <w:t>2.</w:t>
      </w:r>
      <w:r>
        <w:rPr>
          <w:rFonts w:hint="eastAsia" w:ascii="宋体" w:hAnsi="宋体" w:cs="宋体"/>
          <w:color w:val="auto"/>
          <w:kern w:val="0"/>
          <w:sz w:val="21"/>
          <w:szCs w:val="21"/>
          <w:highlight w:val="none"/>
          <w:u w:val="single"/>
          <w:lang w:bidi="ar"/>
        </w:rPr>
        <w:t>     （标的名称）</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（采购文件中明确的所属行业）</w:t>
      </w:r>
      <w:r>
        <w:rPr>
          <w:rFonts w:hint="eastAsia" w:ascii="宋体" w:hAnsi="宋体" w:cs="宋体"/>
          <w:color w:val="auto"/>
          <w:kern w:val="0"/>
          <w:sz w:val="21"/>
          <w:szCs w:val="21"/>
          <w:highlight w:val="none"/>
          <w:lang w:bidi="ar"/>
        </w:rPr>
        <w:t>行业；制造商为</w:t>
      </w:r>
      <w:r>
        <w:rPr>
          <w:rFonts w:hint="eastAsia" w:ascii="宋体" w:hAnsi="宋体" w:cs="宋体"/>
          <w:color w:val="auto"/>
          <w:kern w:val="0"/>
          <w:sz w:val="21"/>
          <w:szCs w:val="21"/>
          <w:highlight w:val="none"/>
          <w:u w:val="single"/>
          <w:lang w:bidi="ar"/>
        </w:rPr>
        <w:t>       （企业名称）</w:t>
      </w:r>
      <w:r>
        <w:rPr>
          <w:rFonts w:hint="eastAsia" w:ascii="宋体" w:hAnsi="宋体" w:cs="宋体"/>
          <w:color w:val="auto"/>
          <w:kern w:val="0"/>
          <w:sz w:val="21"/>
          <w:szCs w:val="21"/>
          <w:highlight w:val="none"/>
          <w:lang w:bidi="ar"/>
        </w:rPr>
        <w:t>，从业人员</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人，营业收入为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万元，资产总额为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w:t>
      </w:r>
      <w:r>
        <w:rPr>
          <w:rFonts w:hint="eastAsia" w:ascii="宋体" w:hAnsi="宋体" w:cs="宋体"/>
          <w:color w:val="auto"/>
          <w:kern w:val="0"/>
          <w:sz w:val="21"/>
          <w:szCs w:val="21"/>
          <w:highlight w:val="none"/>
          <w:vertAlign w:val="superscript"/>
          <w:lang w:bidi="ar"/>
        </w:rPr>
        <w:t>1</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（中型企业、小型企业、微型企业）</w:t>
      </w:r>
      <w:r>
        <w:rPr>
          <w:rFonts w:hint="eastAsia" w:ascii="宋体" w:hAnsi="宋体" w:cs="宋体"/>
          <w:color w:val="auto"/>
          <w:kern w:val="0"/>
          <w:sz w:val="21"/>
          <w:szCs w:val="21"/>
          <w:highlight w:val="none"/>
          <w:lang w:bidi="ar"/>
        </w:rPr>
        <w:t>；</w:t>
      </w:r>
    </w:p>
    <w:p w14:paraId="5DD3B678">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lang w:bidi="ar"/>
        </w:rPr>
        <w:t>……</w:t>
      </w:r>
    </w:p>
    <w:p w14:paraId="2F641625">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以上企业，不属于大企业的分支机构，不存在控股股东为大企业的情形，也不存在与大企业的负责人为同一人的情形。</w:t>
      </w:r>
    </w:p>
    <w:p w14:paraId="1C838B81">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本企业对上述声明内容的真实性负责。如有虚假，将依法承担相应责任。</w:t>
      </w:r>
    </w:p>
    <w:p w14:paraId="6C13F65A">
      <w:pPr>
        <w:widowControl/>
        <w:spacing w:before="100" w:beforeAutospacing="1" w:after="100" w:afterAutospacing="1" w:line="540" w:lineRule="exact"/>
        <w:ind w:firstLine="5280"/>
        <w:jc w:val="left"/>
        <w:rPr>
          <w:color w:val="auto"/>
          <w:sz w:val="21"/>
          <w:szCs w:val="21"/>
          <w:highlight w:val="none"/>
        </w:rPr>
      </w:pPr>
      <w:r>
        <w:rPr>
          <w:rFonts w:hint="eastAsia" w:ascii="宋体" w:hAnsi="宋体" w:cs="宋体"/>
          <w:color w:val="auto"/>
          <w:kern w:val="0"/>
          <w:sz w:val="21"/>
          <w:szCs w:val="21"/>
          <w:highlight w:val="none"/>
          <w:lang w:bidi="ar"/>
        </w:rPr>
        <w:t>企业名称（盖章）：</w:t>
      </w:r>
    </w:p>
    <w:p w14:paraId="2AA0D45F">
      <w:pPr>
        <w:widowControl/>
        <w:spacing w:before="100" w:beforeAutospacing="1" w:after="100" w:afterAutospacing="1" w:line="540" w:lineRule="exact"/>
        <w:ind w:firstLine="5280"/>
        <w:jc w:val="left"/>
        <w:rPr>
          <w:color w:val="auto"/>
          <w:sz w:val="21"/>
          <w:szCs w:val="21"/>
          <w:highlight w:val="none"/>
        </w:rPr>
      </w:pPr>
      <w:r>
        <w:rPr>
          <w:rFonts w:hint="eastAsia" w:ascii="宋体" w:hAnsi="宋体" w:cs="宋体"/>
          <w:color w:val="auto"/>
          <w:kern w:val="0"/>
          <w:sz w:val="21"/>
          <w:szCs w:val="21"/>
          <w:highlight w:val="none"/>
          <w:lang w:bidi="ar"/>
        </w:rPr>
        <w:t>日 期：</w:t>
      </w:r>
    </w:p>
    <w:p w14:paraId="6502870E">
      <w:pPr>
        <w:widowControl/>
        <w:spacing w:before="100" w:beforeAutospacing="1" w:after="100" w:afterAutospacing="1" w:line="435" w:lineRule="atLeast"/>
        <w:jc w:val="left"/>
        <w:rPr>
          <w:color w:val="auto"/>
          <w:szCs w:val="24"/>
          <w:highlight w:val="none"/>
        </w:rPr>
      </w:pPr>
      <w:r>
        <w:rPr>
          <w:rFonts w:hint="eastAsia" w:ascii="宋体" w:hAnsi="宋体" w:cs="宋体"/>
          <w:color w:val="auto"/>
          <w:kern w:val="0"/>
          <w:sz w:val="18"/>
          <w:szCs w:val="18"/>
          <w:highlight w:val="none"/>
          <w:vertAlign w:val="superscript"/>
          <w:lang w:bidi="ar"/>
        </w:rPr>
        <w:t>1</w:t>
      </w:r>
      <w:r>
        <w:rPr>
          <w:rFonts w:hint="eastAsia" w:ascii="宋体" w:hAnsi="宋体" w:cs="宋体"/>
          <w:color w:val="auto"/>
          <w:kern w:val="0"/>
          <w:sz w:val="18"/>
          <w:szCs w:val="18"/>
          <w:highlight w:val="none"/>
          <w:lang w:bidi="ar"/>
        </w:rPr>
        <w:t>从业人员、营业收入、资产总额填报上一年度数据，无上一年度数据的新成立企业可不填报。</w:t>
      </w:r>
    </w:p>
    <w:p w14:paraId="5FC80E82">
      <w:pPr>
        <w:widowControl/>
        <w:adjustRightInd w:val="0"/>
        <w:snapToGrid w:val="0"/>
        <w:spacing w:line="360" w:lineRule="auto"/>
        <w:ind w:firstLine="446" w:firstLineChars="200"/>
        <w:jc w:val="center"/>
        <w:rPr>
          <w:rFonts w:hint="eastAsia" w:ascii="宋体" w:hAnsi="宋体" w:eastAsia="宋体" w:cs="宋体"/>
          <w:b/>
          <w:color w:val="auto"/>
          <w:spacing w:val="6"/>
          <w:kern w:val="0"/>
          <w:szCs w:val="21"/>
          <w:highlight w:val="none"/>
          <w:u w:val="single"/>
        </w:rPr>
      </w:pPr>
    </w:p>
    <w:p w14:paraId="5388F93F">
      <w:pPr>
        <w:pStyle w:val="5"/>
        <w:rPr>
          <w:rFonts w:hint="eastAsia" w:ascii="宋体" w:hAnsi="宋体" w:eastAsia="宋体" w:cs="宋体"/>
          <w:b w:val="0"/>
          <w:color w:val="auto"/>
          <w:spacing w:val="6"/>
          <w:sz w:val="21"/>
          <w:szCs w:val="21"/>
          <w:highlight w:val="none"/>
        </w:rPr>
      </w:pPr>
      <w:bookmarkStart w:id="236" w:name="_Toc14005"/>
      <w:bookmarkStart w:id="237" w:name="_Toc1057"/>
      <w:bookmarkStart w:id="238" w:name="_Toc29913972"/>
      <w:r>
        <w:rPr>
          <w:rFonts w:hint="eastAsia" w:ascii="宋体" w:hAnsi="宋体" w:eastAsia="宋体" w:cs="宋体"/>
          <w:b w:val="0"/>
          <w:bCs w:val="0"/>
          <w:color w:val="auto"/>
          <w:spacing w:val="6"/>
          <w:kern w:val="0"/>
          <w:sz w:val="21"/>
          <w:szCs w:val="21"/>
          <w:highlight w:val="none"/>
          <w:lang w:eastAsia="zh-CN"/>
        </w:rPr>
        <w:t>附件</w:t>
      </w:r>
      <w:r>
        <w:rPr>
          <w:rFonts w:hint="eastAsia" w:ascii="宋体" w:hAnsi="宋体" w:eastAsia="宋体" w:cs="宋体"/>
          <w:b w:val="0"/>
          <w:bCs w:val="0"/>
          <w:color w:val="auto"/>
          <w:spacing w:val="6"/>
          <w:kern w:val="0"/>
          <w:sz w:val="21"/>
          <w:szCs w:val="21"/>
          <w:highlight w:val="none"/>
          <w:lang w:val="en-US" w:eastAsia="zh-CN"/>
        </w:rPr>
        <w:t>10</w:t>
      </w:r>
      <w:r>
        <w:rPr>
          <w:rFonts w:hint="eastAsia" w:ascii="宋体" w:hAnsi="宋体" w:eastAsia="宋体" w:cs="宋体"/>
          <w:b w:val="0"/>
          <w:bCs w:val="0"/>
          <w:color w:val="auto"/>
          <w:spacing w:val="6"/>
          <w:kern w:val="0"/>
          <w:sz w:val="21"/>
          <w:szCs w:val="21"/>
          <w:highlight w:val="none"/>
        </w:rPr>
        <w:t xml:space="preserve">-2 </w:t>
      </w:r>
      <w:r>
        <w:rPr>
          <w:rFonts w:hint="eastAsia" w:ascii="宋体" w:hAnsi="宋体" w:eastAsia="宋体" w:cs="宋体"/>
          <w:b w:val="0"/>
          <w:color w:val="auto"/>
          <w:spacing w:val="6"/>
          <w:sz w:val="21"/>
          <w:szCs w:val="21"/>
          <w:highlight w:val="none"/>
        </w:rPr>
        <w:t>残疾人福利性单位声明函</w:t>
      </w:r>
      <w:bookmarkEnd w:id="236"/>
      <w:bookmarkEnd w:id="237"/>
      <w:bookmarkEnd w:id="238"/>
    </w:p>
    <w:p w14:paraId="129514BE">
      <w:pPr>
        <w:adjustRightInd w:val="0"/>
        <w:snapToGrid w:val="0"/>
        <w:spacing w:line="360" w:lineRule="auto"/>
        <w:jc w:val="center"/>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t>残疾人福利性单位声明函</w:t>
      </w:r>
    </w:p>
    <w:p w14:paraId="5CDCF865">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2CA863C1">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599B41E">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904429">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57D35332">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36DA97B">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2E79D76F">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单位名称（盖单位电子章）：</w:t>
      </w:r>
    </w:p>
    <w:p w14:paraId="16C84406">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日  期：</w:t>
      </w:r>
    </w:p>
    <w:p w14:paraId="5E6BAE7E">
      <w:pPr>
        <w:widowControl/>
        <w:adjustRightInd w:val="0"/>
        <w:snapToGrid w:val="0"/>
        <w:spacing w:line="360" w:lineRule="auto"/>
        <w:jc w:val="left"/>
        <w:rPr>
          <w:rFonts w:hint="eastAsia" w:ascii="宋体" w:hAnsi="宋体" w:eastAsia="宋体" w:cs="宋体"/>
          <w:color w:val="auto"/>
          <w:kern w:val="0"/>
          <w:szCs w:val="21"/>
          <w:highlight w:val="none"/>
        </w:rPr>
      </w:pPr>
    </w:p>
    <w:p w14:paraId="11FD1794">
      <w:pPr>
        <w:widowControl/>
        <w:jc w:val="left"/>
        <w:rPr>
          <w:rFonts w:hint="eastAsia" w:ascii="宋体" w:hAnsi="宋体" w:eastAsia="宋体" w:cs="宋体"/>
          <w:color w:val="auto"/>
          <w:spacing w:val="6"/>
          <w:kern w:val="0"/>
          <w:szCs w:val="21"/>
          <w:highlight w:val="none"/>
        </w:rPr>
      </w:pPr>
      <w:r>
        <w:rPr>
          <w:rFonts w:hint="eastAsia" w:ascii="宋体" w:hAnsi="宋体" w:eastAsia="宋体" w:cs="宋体"/>
          <w:b/>
          <w:bCs/>
          <w:color w:val="auto"/>
          <w:spacing w:val="6"/>
          <w:kern w:val="0"/>
          <w:szCs w:val="21"/>
          <w:highlight w:val="none"/>
        </w:rPr>
        <w:br w:type="page"/>
      </w:r>
    </w:p>
    <w:p w14:paraId="32B56B3C">
      <w:pPr>
        <w:pStyle w:val="5"/>
        <w:rPr>
          <w:rFonts w:hint="eastAsia" w:ascii="宋体" w:hAnsi="宋体" w:eastAsia="宋体" w:cs="宋体"/>
          <w:b w:val="0"/>
          <w:color w:val="auto"/>
          <w:sz w:val="21"/>
          <w:szCs w:val="21"/>
          <w:highlight w:val="none"/>
        </w:rPr>
      </w:pPr>
      <w:bookmarkStart w:id="239" w:name="_Toc27688"/>
      <w:bookmarkStart w:id="240" w:name="_Toc29913973"/>
      <w:bookmarkStart w:id="241" w:name="_Toc18312"/>
      <w:r>
        <w:rPr>
          <w:rFonts w:hint="eastAsia" w:ascii="宋体" w:hAnsi="宋体" w:eastAsia="宋体" w:cs="宋体"/>
          <w:b w:val="0"/>
          <w:color w:val="auto"/>
          <w:kern w:val="0"/>
          <w:sz w:val="21"/>
          <w:szCs w:val="21"/>
          <w:highlight w:val="none"/>
          <w:lang w:eastAsia="zh-CN"/>
        </w:rPr>
        <w:t>附件</w:t>
      </w:r>
      <w:r>
        <w:rPr>
          <w:rFonts w:hint="eastAsia" w:ascii="宋体" w:hAnsi="宋体" w:eastAsia="宋体" w:cs="宋体"/>
          <w:b w:val="0"/>
          <w:color w:val="auto"/>
          <w:kern w:val="0"/>
          <w:sz w:val="21"/>
          <w:szCs w:val="21"/>
          <w:highlight w:val="none"/>
          <w:lang w:val="en-US" w:eastAsia="zh-CN"/>
        </w:rPr>
        <w:t>10</w:t>
      </w:r>
      <w:r>
        <w:rPr>
          <w:rFonts w:hint="eastAsia" w:ascii="宋体" w:hAnsi="宋体" w:eastAsia="宋体" w:cs="宋体"/>
          <w:b w:val="0"/>
          <w:color w:val="auto"/>
          <w:kern w:val="0"/>
          <w:sz w:val="21"/>
          <w:szCs w:val="21"/>
          <w:highlight w:val="none"/>
        </w:rPr>
        <w:t xml:space="preserve">-3 </w:t>
      </w:r>
      <w:r>
        <w:rPr>
          <w:rFonts w:hint="eastAsia" w:ascii="宋体" w:hAnsi="宋体" w:eastAsia="宋体" w:cs="宋体"/>
          <w:b w:val="0"/>
          <w:color w:val="auto"/>
          <w:sz w:val="21"/>
          <w:szCs w:val="21"/>
          <w:highlight w:val="none"/>
        </w:rPr>
        <w:t>监狱企业证明资料</w:t>
      </w:r>
      <w:bookmarkEnd w:id="239"/>
      <w:bookmarkEnd w:id="240"/>
      <w:bookmarkEnd w:id="241"/>
    </w:p>
    <w:p w14:paraId="7645A3E9">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5B224FF4">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(不属于监狱企业的无需提供)</w:t>
      </w:r>
    </w:p>
    <w:p w14:paraId="0D81C631">
      <w:pPr>
        <w:adjustRightInd w:val="0"/>
        <w:snapToGrid w:val="0"/>
        <w:spacing w:line="360" w:lineRule="auto"/>
        <w:rPr>
          <w:rFonts w:hint="eastAsia" w:ascii="宋体" w:hAnsi="宋体" w:eastAsia="宋体" w:cs="宋体"/>
          <w:color w:val="auto"/>
          <w:szCs w:val="21"/>
          <w:highlight w:val="none"/>
        </w:rPr>
      </w:pPr>
    </w:p>
    <w:p w14:paraId="3641B27A">
      <w:pPr>
        <w:adjustRightInd w:val="0"/>
        <w:snapToGrid w:val="0"/>
        <w:spacing w:line="360" w:lineRule="auto"/>
        <w:ind w:firstLine="444"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p>
    <w:p w14:paraId="1B2CF57F">
      <w:pPr>
        <w:adjustRightInd w:val="0"/>
        <w:snapToGrid w:val="0"/>
        <w:spacing w:line="360" w:lineRule="auto"/>
        <w:rPr>
          <w:rFonts w:hint="eastAsia" w:ascii="宋体" w:hAnsi="宋体" w:eastAsia="宋体" w:cs="宋体"/>
          <w:bCs/>
          <w:color w:val="auto"/>
          <w:spacing w:val="6"/>
          <w:kern w:val="0"/>
          <w:szCs w:val="21"/>
          <w:highlight w:val="none"/>
        </w:rPr>
      </w:pPr>
    </w:p>
    <w:p w14:paraId="34C1E348">
      <w:pPr>
        <w:pStyle w:val="58"/>
        <w:rPr>
          <w:rFonts w:hint="eastAsia" w:ascii="宋体" w:hAnsi="宋体" w:eastAsia="宋体" w:cs="宋体"/>
          <w:bCs/>
          <w:color w:val="auto"/>
          <w:spacing w:val="6"/>
          <w:kern w:val="0"/>
          <w:szCs w:val="21"/>
          <w:highlight w:val="none"/>
        </w:rPr>
      </w:pPr>
    </w:p>
    <w:p w14:paraId="05510895">
      <w:pPr>
        <w:pStyle w:val="58"/>
        <w:rPr>
          <w:rFonts w:hint="eastAsia" w:ascii="宋体" w:hAnsi="宋体" w:eastAsia="宋体" w:cs="宋体"/>
          <w:bCs/>
          <w:color w:val="auto"/>
          <w:spacing w:val="6"/>
          <w:kern w:val="0"/>
          <w:szCs w:val="21"/>
          <w:highlight w:val="none"/>
        </w:rPr>
      </w:pPr>
    </w:p>
    <w:p w14:paraId="3ECEDF62">
      <w:pPr>
        <w:pStyle w:val="5"/>
        <w:rPr>
          <w:rFonts w:hint="eastAsia" w:ascii="宋体" w:hAnsi="宋体" w:eastAsia="宋体" w:cs="宋体"/>
          <w:b w:val="0"/>
          <w:color w:val="auto"/>
          <w:sz w:val="21"/>
          <w:szCs w:val="21"/>
          <w:highlight w:val="none"/>
        </w:rPr>
      </w:pPr>
      <w:bookmarkStart w:id="242" w:name="_Toc29913974"/>
      <w:bookmarkStart w:id="243" w:name="_Toc10072"/>
      <w:bookmarkStart w:id="244" w:name="_Toc23102"/>
      <w:r>
        <w:rPr>
          <w:rFonts w:hint="eastAsia" w:ascii="宋体" w:hAnsi="宋体" w:eastAsia="宋体" w:cs="宋体"/>
          <w:b w:val="0"/>
          <w:bCs w:val="0"/>
          <w:color w:val="auto"/>
          <w:spacing w:val="6"/>
          <w:kern w:val="0"/>
          <w:sz w:val="21"/>
          <w:szCs w:val="21"/>
          <w:highlight w:val="none"/>
          <w:lang w:eastAsia="zh-CN"/>
        </w:rPr>
        <w:t>附件</w:t>
      </w:r>
      <w:r>
        <w:rPr>
          <w:rFonts w:hint="eastAsia" w:ascii="宋体" w:hAnsi="宋体" w:eastAsia="宋体" w:cs="宋体"/>
          <w:b w:val="0"/>
          <w:bCs w:val="0"/>
          <w:color w:val="auto"/>
          <w:spacing w:val="6"/>
          <w:kern w:val="0"/>
          <w:sz w:val="21"/>
          <w:szCs w:val="21"/>
          <w:highlight w:val="none"/>
          <w:lang w:val="en-US" w:eastAsia="zh-CN"/>
        </w:rPr>
        <w:t>10</w:t>
      </w:r>
      <w:r>
        <w:rPr>
          <w:rFonts w:hint="eastAsia" w:ascii="宋体" w:hAnsi="宋体" w:eastAsia="宋体" w:cs="宋体"/>
          <w:b w:val="0"/>
          <w:bCs w:val="0"/>
          <w:color w:val="auto"/>
          <w:spacing w:val="6"/>
          <w:kern w:val="0"/>
          <w:sz w:val="21"/>
          <w:szCs w:val="21"/>
          <w:highlight w:val="none"/>
        </w:rPr>
        <w:t xml:space="preserve">-4 </w:t>
      </w:r>
      <w:r>
        <w:rPr>
          <w:rFonts w:hint="eastAsia" w:ascii="宋体" w:hAnsi="宋体" w:eastAsia="宋体" w:cs="宋体"/>
          <w:b w:val="0"/>
          <w:color w:val="auto"/>
          <w:sz w:val="21"/>
          <w:szCs w:val="21"/>
          <w:highlight w:val="none"/>
        </w:rPr>
        <w:t>强制采购或者优先采购产品</w:t>
      </w:r>
      <w:r>
        <w:rPr>
          <w:rFonts w:hint="eastAsia" w:ascii="宋体" w:hAnsi="宋体" w:eastAsia="宋体" w:cs="宋体"/>
          <w:b w:val="0"/>
          <w:bCs w:val="0"/>
          <w:color w:val="auto"/>
          <w:sz w:val="21"/>
          <w:szCs w:val="21"/>
          <w:highlight w:val="none"/>
        </w:rPr>
        <w:t>的</w:t>
      </w:r>
      <w:r>
        <w:rPr>
          <w:rFonts w:hint="eastAsia" w:ascii="宋体" w:hAnsi="宋体" w:eastAsia="宋体" w:cs="宋体"/>
          <w:b w:val="0"/>
          <w:color w:val="auto"/>
          <w:sz w:val="21"/>
          <w:szCs w:val="21"/>
          <w:highlight w:val="none"/>
        </w:rPr>
        <w:t>证明材料</w:t>
      </w:r>
      <w:bookmarkEnd w:id="242"/>
      <w:bookmarkEnd w:id="243"/>
      <w:bookmarkEnd w:id="244"/>
    </w:p>
    <w:p w14:paraId="5DC362BD">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强制采购或者优先采购产品</w:t>
      </w:r>
      <w:r>
        <w:rPr>
          <w:rFonts w:hint="eastAsia" w:ascii="宋体" w:hAnsi="宋体" w:eastAsia="宋体" w:cs="宋体"/>
          <w:b/>
          <w:bCs/>
          <w:color w:val="auto"/>
          <w:sz w:val="28"/>
          <w:szCs w:val="28"/>
          <w:highlight w:val="none"/>
        </w:rPr>
        <w:t>的</w:t>
      </w:r>
      <w:r>
        <w:rPr>
          <w:rFonts w:hint="eastAsia" w:ascii="宋体" w:hAnsi="宋体" w:eastAsia="宋体" w:cs="宋体"/>
          <w:b/>
          <w:color w:val="auto"/>
          <w:sz w:val="28"/>
          <w:szCs w:val="28"/>
          <w:highlight w:val="none"/>
        </w:rPr>
        <w:t>证明材料</w:t>
      </w:r>
    </w:p>
    <w:p w14:paraId="4B774640">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(不属于强制采购或者优先采购产品的无需提供)</w:t>
      </w:r>
    </w:p>
    <w:p w14:paraId="2888C37F">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32FA51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说明：投标人提供的产品</w:t>
      </w:r>
      <w:r>
        <w:rPr>
          <w:rFonts w:hint="eastAsia" w:ascii="宋体" w:hAnsi="宋体" w:eastAsia="宋体" w:cs="宋体"/>
          <w:bCs/>
          <w:color w:val="auto"/>
          <w:szCs w:val="21"/>
          <w:highlight w:val="none"/>
        </w:rPr>
        <w:t>属于强制采购或者优先采购的</w:t>
      </w:r>
      <w:r>
        <w:rPr>
          <w:rFonts w:hint="eastAsia" w:ascii="宋体" w:hAnsi="宋体" w:eastAsia="宋体" w:cs="宋体"/>
          <w:color w:val="auto"/>
          <w:szCs w:val="21"/>
          <w:highlight w:val="none"/>
        </w:rPr>
        <w:t>，应按第二章第3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.6款规定提供证明材料和本章本节附页2“优先采购产品清单”，并加盖投标人单位电子章。</w:t>
      </w:r>
    </w:p>
    <w:p w14:paraId="4AA71ABF">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7F60A10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br w:type="page"/>
      </w:r>
    </w:p>
    <w:p w14:paraId="6FA56388">
      <w:pPr>
        <w:adjustRightInd w:val="0"/>
        <w:snapToGrid w:val="0"/>
        <w:spacing w:line="360" w:lineRule="auto"/>
        <w:jc w:val="both"/>
        <w:rPr>
          <w:rFonts w:hint="eastAsia" w:ascii="宋体" w:hAnsi="宋体" w:eastAsia="宋体" w:cs="宋体"/>
          <w:b/>
          <w:color w:val="auto"/>
          <w:spacing w:val="6"/>
          <w:szCs w:val="21"/>
          <w:highlight w:val="none"/>
        </w:rPr>
      </w:pPr>
      <w:bookmarkStart w:id="245" w:name="_Toc32584"/>
      <w:bookmarkStart w:id="246" w:name="_Toc29913975"/>
      <w:bookmarkStart w:id="247" w:name="_Toc22237"/>
      <w:r>
        <w:rPr>
          <w:rFonts w:hint="eastAsia" w:ascii="宋体" w:hAnsi="宋体" w:eastAsia="宋体" w:cs="宋体"/>
          <w:b w:val="0"/>
          <w:bCs w:val="0"/>
          <w:color w:val="auto"/>
          <w:spacing w:val="6"/>
          <w:kern w:val="0"/>
          <w:sz w:val="21"/>
          <w:szCs w:val="21"/>
          <w:highlight w:val="none"/>
        </w:rPr>
        <w:t xml:space="preserve">附页 2 </w:t>
      </w:r>
      <w:r>
        <w:rPr>
          <w:rFonts w:hint="eastAsia" w:ascii="宋体" w:hAnsi="宋体" w:eastAsia="宋体" w:cs="宋体"/>
          <w:b w:val="0"/>
          <w:color w:val="auto"/>
          <w:sz w:val="21"/>
          <w:szCs w:val="21"/>
          <w:highlight w:val="none"/>
        </w:rPr>
        <w:t>优先采购产品清单</w:t>
      </w:r>
      <w:bookmarkEnd w:id="245"/>
      <w:bookmarkEnd w:id="246"/>
      <w:bookmarkEnd w:id="247"/>
      <w:r>
        <w:rPr>
          <w:rFonts w:hint="eastAsia" w:ascii="宋体" w:hAnsi="宋体" w:eastAsia="宋体" w:cs="宋体"/>
          <w:b/>
          <w:color w:val="auto"/>
          <w:spacing w:val="6"/>
          <w:szCs w:val="21"/>
          <w:highlight w:val="none"/>
        </w:rPr>
        <w:t>(不属于强制采购或者优先采购产品的无需提供)</w:t>
      </w:r>
    </w:p>
    <w:p w14:paraId="1693EFF6">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z w:val="28"/>
          <w:szCs w:val="28"/>
          <w:highlight w:val="none"/>
        </w:rPr>
        <w:t>优先采购产品清单</w:t>
      </w:r>
    </w:p>
    <w:p w14:paraId="3FA4A9C0">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577EBE4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r>
        <w:rPr>
          <w:rFonts w:hint="eastAsia" w:ascii="宋体" w:hAnsi="宋体" w:eastAsia="宋体" w:cs="宋体"/>
          <w:color w:val="auto"/>
          <w:szCs w:val="21"/>
          <w:highlight w:val="none"/>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7D834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7F7ECDE9">
            <w:pPr>
              <w:widowControl/>
              <w:adjustRightInd w:val="0"/>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以下为投标人提供的政府采购优先采购产品，投标人对本表的真实性负责。如有虚假，将依法承担相应责任。</w:t>
            </w:r>
          </w:p>
        </w:tc>
      </w:tr>
      <w:tr w14:paraId="5894C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09C7DC2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739" w:type="dxa"/>
            <w:vAlign w:val="center"/>
          </w:tcPr>
          <w:p w14:paraId="1414BE0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134" w:type="dxa"/>
            <w:tcBorders>
              <w:right w:val="single" w:color="auto" w:sz="4" w:space="0"/>
            </w:tcBorders>
            <w:vAlign w:val="center"/>
          </w:tcPr>
          <w:p w14:paraId="5F1BDE61">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418" w:type="dxa"/>
            <w:tcBorders>
              <w:left w:val="single" w:color="auto" w:sz="4" w:space="0"/>
            </w:tcBorders>
            <w:vAlign w:val="center"/>
          </w:tcPr>
          <w:p w14:paraId="15EBFF2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984" w:type="dxa"/>
            <w:vAlign w:val="center"/>
          </w:tcPr>
          <w:p w14:paraId="30A38B3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43" w:type="dxa"/>
            <w:vAlign w:val="center"/>
          </w:tcPr>
          <w:p w14:paraId="5F2AC6B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r>
      <w:tr w14:paraId="671C3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983178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739" w:type="dxa"/>
            <w:vAlign w:val="center"/>
          </w:tcPr>
          <w:p w14:paraId="1FA1316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1134" w:type="dxa"/>
            <w:tcBorders>
              <w:right w:val="single" w:color="auto" w:sz="4" w:space="0"/>
            </w:tcBorders>
            <w:vAlign w:val="center"/>
          </w:tcPr>
          <w:p w14:paraId="144167A6">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规格型号</w:t>
            </w:r>
          </w:p>
        </w:tc>
        <w:tc>
          <w:tcPr>
            <w:tcW w:w="1418" w:type="dxa"/>
            <w:tcBorders>
              <w:left w:val="single" w:color="auto" w:sz="4" w:space="0"/>
            </w:tcBorders>
            <w:vAlign w:val="center"/>
          </w:tcPr>
          <w:p w14:paraId="334E911A">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价格（元）</w:t>
            </w:r>
          </w:p>
        </w:tc>
        <w:tc>
          <w:tcPr>
            <w:tcW w:w="1984" w:type="dxa"/>
            <w:vAlign w:val="center"/>
          </w:tcPr>
          <w:p w14:paraId="279276AC">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1843" w:type="dxa"/>
            <w:vAlign w:val="center"/>
          </w:tcPr>
          <w:p w14:paraId="7AD8CD7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政策功能编码</w:t>
            </w:r>
          </w:p>
        </w:tc>
      </w:tr>
      <w:tr w14:paraId="5A106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EBA6EBE">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节能产品</w:t>
            </w:r>
          </w:p>
        </w:tc>
      </w:tr>
      <w:tr w14:paraId="07C7CB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CCEE923">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76950F90">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5E267B68">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22FE12FA">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50B6D628">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39A61C1E">
            <w:pPr>
              <w:adjustRightInd w:val="0"/>
              <w:snapToGrid w:val="0"/>
              <w:spacing w:line="360" w:lineRule="auto"/>
              <w:jc w:val="center"/>
              <w:rPr>
                <w:rFonts w:hint="eastAsia" w:ascii="宋体" w:hAnsi="宋体" w:eastAsia="宋体" w:cs="宋体"/>
                <w:b/>
                <w:color w:val="auto"/>
                <w:szCs w:val="21"/>
                <w:highlight w:val="none"/>
              </w:rPr>
            </w:pPr>
          </w:p>
        </w:tc>
      </w:tr>
      <w:tr w14:paraId="3CA00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F9804D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314B4892">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52175E6F">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5B535D01">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3B476F7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19A5CE8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r w14:paraId="4D5D08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4FAADB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环境标志产品</w:t>
            </w:r>
          </w:p>
        </w:tc>
      </w:tr>
      <w:tr w14:paraId="56A26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6E7551D">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5DB99306">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508C42F5">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567EC406">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182DE93E">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6BD1BFA0">
            <w:pPr>
              <w:adjustRightInd w:val="0"/>
              <w:snapToGrid w:val="0"/>
              <w:spacing w:line="360" w:lineRule="auto"/>
              <w:jc w:val="center"/>
              <w:rPr>
                <w:rFonts w:hint="eastAsia" w:ascii="宋体" w:hAnsi="宋体" w:eastAsia="宋体" w:cs="宋体"/>
                <w:b/>
                <w:color w:val="auto"/>
                <w:szCs w:val="21"/>
                <w:highlight w:val="none"/>
              </w:rPr>
            </w:pPr>
          </w:p>
        </w:tc>
      </w:tr>
      <w:tr w14:paraId="616804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7590C4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08BB692C">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707DD4BB">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495C4580">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0083F59C">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7AFA9FBE">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bl>
    <w:p w14:paraId="1495212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本表用于计算政府采购优先采购产品（节能产品或环境标志产品）的政府采购政策加分或者价格扣除。</w:t>
      </w:r>
    </w:p>
    <w:p w14:paraId="3772D162">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2、栏目4“价格”为综合单价，包含货物所有隐含的内容，如运输费、保险费、管理费和利润等。</w:t>
      </w:r>
    </w:p>
    <w:p w14:paraId="322E4189">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3、栏目6“政策功能编码”是指货物的中国环境标志认证证书编号、中国节能标志认证证书号（货物同时属于节能产品、环境标志产品</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，只须填写一种）。</w:t>
      </w:r>
    </w:p>
    <w:p w14:paraId="4A6796E6">
      <w:pPr>
        <w:adjustRightInd w:val="0"/>
        <w:snapToGrid w:val="0"/>
        <w:spacing w:line="360" w:lineRule="auto"/>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4、投标人在投标截止时间前修改“开标一览表”中的投标报价的，应按第二章第13.7款规定修改本表相应内容。否则，评审时涉及本表所有优惠不予以考虑。</w:t>
      </w:r>
    </w:p>
    <w:p w14:paraId="719E2225">
      <w:pPr>
        <w:adjustRightInd w:val="0"/>
        <w:snapToGrid w:val="0"/>
        <w:spacing w:line="360" w:lineRule="auto"/>
        <w:rPr>
          <w:rFonts w:hint="eastAsia" w:ascii="宋体" w:hAnsi="宋体" w:eastAsia="宋体" w:cs="宋体"/>
          <w:color w:val="auto"/>
          <w:szCs w:val="21"/>
          <w:highlight w:val="none"/>
        </w:rPr>
      </w:pPr>
    </w:p>
    <w:p w14:paraId="106F024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DD2E20F">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694A763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67CD865">
      <w:pPr>
        <w:rPr>
          <w:rFonts w:hint="eastAsia" w:ascii="宋体" w:hAnsi="宋体" w:eastAsia="宋体" w:cs="宋体"/>
          <w:b/>
          <w:bCs/>
          <w:color w:val="auto"/>
          <w:sz w:val="32"/>
          <w:szCs w:val="21"/>
          <w:highlight w:val="none"/>
        </w:rPr>
      </w:pPr>
      <w:r>
        <w:rPr>
          <w:rFonts w:hint="eastAsia" w:ascii="宋体" w:hAnsi="宋体" w:eastAsia="宋体" w:cs="宋体"/>
          <w:color w:val="auto"/>
          <w:szCs w:val="21"/>
          <w:highlight w:val="none"/>
        </w:rPr>
        <w:br w:type="page"/>
      </w:r>
    </w:p>
    <w:p w14:paraId="37632586">
      <w:pPr>
        <w:pStyle w:val="4"/>
        <w:adjustRightInd w:val="0"/>
        <w:snapToGrid w:val="0"/>
        <w:spacing w:before="0" w:after="0" w:line="360" w:lineRule="auto"/>
        <w:jc w:val="center"/>
        <w:rPr>
          <w:rFonts w:hint="eastAsia" w:ascii="宋体" w:hAnsi="宋体" w:eastAsia="宋体" w:cs="宋体"/>
          <w:color w:val="auto"/>
          <w:sz w:val="28"/>
          <w:szCs w:val="28"/>
          <w:highlight w:val="none"/>
          <w:lang w:eastAsia="zh-CN"/>
        </w:rPr>
      </w:pPr>
      <w:bookmarkStart w:id="248" w:name="_Toc2561"/>
      <w:bookmarkStart w:id="249" w:name="_Toc23769"/>
      <w:bookmarkStart w:id="250" w:name="_Toc29913977"/>
      <w:r>
        <w:rPr>
          <w:rFonts w:hint="eastAsia" w:ascii="宋体" w:hAnsi="宋体" w:cs="宋体"/>
          <w:color w:val="auto"/>
          <w:sz w:val="28"/>
          <w:szCs w:val="28"/>
          <w:highlight w:val="none"/>
          <w:lang w:val="en-US" w:eastAsia="zh-CN"/>
        </w:rPr>
        <w:t>十一</w:t>
      </w:r>
      <w:r>
        <w:rPr>
          <w:rFonts w:hint="eastAsia" w:ascii="宋体" w:hAnsi="宋体" w:eastAsia="宋体" w:cs="宋体"/>
          <w:color w:val="auto"/>
          <w:sz w:val="28"/>
          <w:szCs w:val="28"/>
          <w:highlight w:val="none"/>
        </w:rPr>
        <w:t>、</w:t>
      </w:r>
      <w:bookmarkEnd w:id="248"/>
      <w:bookmarkEnd w:id="249"/>
      <w:r>
        <w:rPr>
          <w:rFonts w:hint="eastAsia" w:ascii="宋体" w:hAnsi="宋体" w:eastAsia="宋体" w:cs="宋体"/>
          <w:color w:val="auto"/>
          <w:sz w:val="28"/>
          <w:szCs w:val="28"/>
          <w:highlight w:val="none"/>
          <w:lang w:eastAsia="zh-CN"/>
        </w:rPr>
        <w:t>投标服务（含配套货物）符合招标文件规定的证明文件</w:t>
      </w:r>
    </w:p>
    <w:p w14:paraId="3CB96C02">
      <w:pPr>
        <w:adjustRightInd w:val="0"/>
        <w:snapToGrid w:val="0"/>
        <w:spacing w:line="360" w:lineRule="auto"/>
        <w:rPr>
          <w:rFonts w:hint="eastAsia" w:ascii="宋体" w:hAnsi="宋体" w:eastAsia="宋体" w:cs="宋体"/>
          <w:color w:val="auto"/>
          <w:szCs w:val="21"/>
          <w:highlight w:val="none"/>
        </w:rPr>
      </w:pPr>
    </w:p>
    <w:p w14:paraId="1BC5A206">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备注：提供第五章规定的证明材料复印件。</w:t>
      </w:r>
    </w:p>
    <w:p w14:paraId="0F09E9E7">
      <w:pPr>
        <w:widowControl/>
        <w:jc w:val="left"/>
        <w:rPr>
          <w:rFonts w:hint="eastAsia" w:ascii="宋体" w:hAnsi="宋体" w:eastAsia="宋体" w:cs="宋体"/>
          <w:color w:val="auto"/>
          <w:sz w:val="28"/>
          <w:szCs w:val="28"/>
          <w:highlight w:val="none"/>
        </w:rPr>
      </w:pPr>
    </w:p>
    <w:p w14:paraId="71019BAC">
      <w:pPr>
        <w:pStyle w:val="58"/>
        <w:rPr>
          <w:rFonts w:hint="eastAsia" w:ascii="宋体" w:hAnsi="宋体" w:eastAsia="宋体" w:cs="宋体"/>
          <w:color w:val="auto"/>
          <w:sz w:val="28"/>
          <w:szCs w:val="28"/>
          <w:highlight w:val="none"/>
        </w:rPr>
      </w:pPr>
    </w:p>
    <w:p w14:paraId="3F94BA8B">
      <w:pPr>
        <w:pStyle w:val="58"/>
        <w:rPr>
          <w:rFonts w:hint="eastAsia" w:ascii="宋体" w:hAnsi="宋体" w:eastAsia="宋体" w:cs="宋体"/>
          <w:color w:val="auto"/>
          <w:sz w:val="28"/>
          <w:szCs w:val="28"/>
          <w:highlight w:val="none"/>
        </w:rPr>
      </w:pPr>
    </w:p>
    <w:p w14:paraId="32CE8043">
      <w:pPr>
        <w:pStyle w:val="58"/>
        <w:rPr>
          <w:rFonts w:hint="eastAsia" w:ascii="宋体" w:hAnsi="宋体" w:eastAsia="宋体" w:cs="宋体"/>
          <w:color w:val="auto"/>
          <w:sz w:val="28"/>
          <w:szCs w:val="28"/>
          <w:highlight w:val="none"/>
        </w:rPr>
      </w:pPr>
    </w:p>
    <w:p w14:paraId="3504917B">
      <w:pPr>
        <w:pStyle w:val="58"/>
        <w:rPr>
          <w:rFonts w:hint="eastAsia" w:ascii="宋体" w:hAnsi="宋体" w:eastAsia="宋体" w:cs="宋体"/>
          <w:color w:val="auto"/>
          <w:sz w:val="28"/>
          <w:szCs w:val="28"/>
          <w:highlight w:val="none"/>
        </w:rPr>
      </w:pPr>
    </w:p>
    <w:p w14:paraId="26F63700">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51" w:name="_Toc29068"/>
      <w:bookmarkStart w:id="252" w:name="_Toc15533"/>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、投标人认为需提供的其他资料</w:t>
      </w:r>
      <w:bookmarkEnd w:id="250"/>
      <w:bookmarkEnd w:id="251"/>
      <w:bookmarkEnd w:id="252"/>
    </w:p>
    <w:p w14:paraId="4BC86020">
      <w:pPr>
        <w:adjustRightInd w:val="0"/>
        <w:snapToGrid w:val="0"/>
        <w:spacing w:before="156" w:beforeLines="50" w:line="360" w:lineRule="auto"/>
        <w:rPr>
          <w:rFonts w:hint="eastAsia" w:ascii="宋体" w:hAnsi="宋体" w:eastAsia="宋体" w:cs="宋体"/>
          <w:color w:val="auto"/>
          <w:highlight w:val="none"/>
        </w:rPr>
      </w:pPr>
    </w:p>
    <w:p w14:paraId="43A22D58">
      <w:pPr>
        <w:adjustRightInd w:val="0"/>
        <w:snapToGrid w:val="0"/>
        <w:spacing w:before="156"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备注：投标人认为需提供的其他资料包括：</w:t>
      </w:r>
    </w:p>
    <w:p w14:paraId="02A605B8">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（1）招标文件第五章采购需求要求的其他资料；</w:t>
      </w:r>
    </w:p>
    <w:p w14:paraId="38EB4D0E">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（2）招标文件第四章评标方法及标准要求的其他相关资料。</w:t>
      </w:r>
    </w:p>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CE8E164-48D4-49E9-B0A0-37D1EB177D05}"/>
  </w:font>
  <w:font w:name="Arial">
    <w:panose1 w:val="020B0604020202020204"/>
    <w:charset w:val="01"/>
    <w:family w:val="swiss"/>
    <w:pitch w:val="default"/>
    <w:sig w:usb0="E0002EFF" w:usb1="C000785B" w:usb2="00000009" w:usb3="00000000" w:csb0="400001FF" w:csb1="FFFF0000"/>
    <w:embedRegular r:id="rId2" w:fontKey="{531E2108-2F9B-4E7B-BFA6-02350928E8EF}"/>
  </w:font>
  <w:font w:name="黑体">
    <w:panose1 w:val="02010609060101010101"/>
    <w:charset w:val="86"/>
    <w:family w:val="auto"/>
    <w:pitch w:val="default"/>
    <w:sig w:usb0="800002BF" w:usb1="38CF7CFA" w:usb2="00000016" w:usb3="00000000" w:csb0="00040001" w:csb1="00000000"/>
    <w:embedRegular r:id="rId3" w:fontKey="{2898774C-BF2D-457A-8A00-8B3C738668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66EB98E-E1AF-4C72-825D-1A2F2E74E857}"/>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82B11170-F635-422F-81B3-F5F3FD6E28BD}"/>
  </w:font>
  <w:font w:name="楷体_GB2312">
    <w:altName w:val="楷体"/>
    <w:panose1 w:val="02010609030101010101"/>
    <w:charset w:val="86"/>
    <w:family w:val="roman"/>
    <w:pitch w:val="default"/>
    <w:sig w:usb0="00000000" w:usb1="00000000" w:usb2="00000000" w:usb3="00000000" w:csb0="00040000" w:csb1="00000000"/>
    <w:embedRegular r:id="rId6" w:fontKey="{5BE28D9A-2486-4956-AD01-DF46882BC75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0"/>
    <w:family w:val="auto"/>
    <w:pitch w:val="default"/>
    <w:sig w:usb0="00000000" w:usb1="00000000" w:usb2="00000000" w:usb3="00000000" w:csb0="80000000" w:csb1="00000000"/>
    <w:embedRegular r:id="rId7" w:fontKey="{35C4B423-E91C-4FA2-8EB3-97156632441B}"/>
  </w:font>
  <w:font w:name="微软雅黑">
    <w:panose1 w:val="020B0503020204020204"/>
    <w:charset w:val="86"/>
    <w:family w:val="auto"/>
    <w:pitch w:val="default"/>
    <w:sig w:usb0="80000287" w:usb1="2ACF3C50" w:usb2="00000016" w:usb3="00000000" w:csb0="0004001F" w:csb1="00000000"/>
    <w:embedRegular r:id="rId8" w:fontKey="{00C923C2-031A-4809-88BE-835CBC92728C}"/>
  </w:font>
  <w:font w:name="华文中宋">
    <w:altName w:val="汉仪中宋简"/>
    <w:panose1 w:val="02010600040101010101"/>
    <w:charset w:val="86"/>
    <w:family w:val="auto"/>
    <w:pitch w:val="default"/>
    <w:sig w:usb0="00000000" w:usb1="00000000" w:usb2="00000000" w:usb3="00000000" w:csb0="0004009F" w:csb1="DFD70000"/>
    <w:embedRegular r:id="rId9" w:fontKey="{30A3E778-9B13-4CCF-91C3-54C77E2FE6B9}"/>
  </w:font>
  <w:font w:name="汉仪中宋简">
    <w:panose1 w:val="02010600000101010101"/>
    <w:charset w:val="86"/>
    <w:family w:val="auto"/>
    <w:pitch w:val="default"/>
    <w:sig w:usb0="800002BF" w:usb1="184F6CF8" w:usb2="00000012" w:usb3="00000000" w:csb0="00020001" w:csb1="00000000"/>
  </w:font>
  <w:font w:name="Kingsoft UE">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2DD80">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BDCDB">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BBDCDB">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D615F">
    <w:pPr>
      <w:pStyle w:val="27"/>
      <w:ind w:left="300" w:right="359" w:rightChars="171" w:hanging="180" w:hangingChars="100"/>
      <w:jc w:val="right"/>
      <w:rPr>
        <w:rFonts w:eastAsia="楷体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FDF43">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5FDF43">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BAD7">
    <w:pPr>
      <w:pStyle w:val="27"/>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D8EB9">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13D8EB9">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49646">
    <w:pPr>
      <w:pStyle w:val="27"/>
      <w:ind w:left="300" w:right="359" w:rightChars="171" w:hanging="180" w:hangingChars="100"/>
      <w:jc w:val="right"/>
      <w:rPr>
        <w:rFonts w:eastAsia="楷体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12CDE">
                          <w:pPr>
                            <w:pStyle w:val="2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7012CDE">
                    <w:pPr>
                      <w:pStyle w:val="2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9F7DC">
    <w:pPr>
      <w:pStyle w:val="28"/>
      <w:pBdr>
        <w:bottom w:val="none" w:color="auto" w:sz="0" w:space="0"/>
      </w:pBdr>
    </w:pPr>
    <w:r>
      <w:rPr>
        <w:rFonts w:hint="eastAsia" w:eastAsia="宋体"/>
        <w:lang w:eastAsia="zh-CN"/>
      </w:rPr>
      <w:drawing>
        <wp:anchor distT="0" distB="0" distL="114300" distR="114300" simplePos="0" relativeHeight="251663360" behindDoc="0" locked="0" layoutInCell="1" allowOverlap="1">
          <wp:simplePos x="0" y="0"/>
          <wp:positionH relativeFrom="column">
            <wp:posOffset>-440690</wp:posOffset>
          </wp:positionH>
          <wp:positionV relativeFrom="paragraph">
            <wp:posOffset>92075</wp:posOffset>
          </wp:positionV>
          <wp:extent cx="3221355" cy="844550"/>
          <wp:effectExtent l="0" t="0" r="17145" b="12700"/>
          <wp:wrapSquare wrapText="bothSides"/>
          <wp:docPr id="8" name="图片 8" descr="微信图片_20260310210147_29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60310210147_29_43"/>
                  <pic:cNvPicPr>
                    <a:picLocks noChangeAspect="1"/>
                  </pic:cNvPicPr>
                </pic:nvPicPr>
                <pic:blipFill>
                  <a:blip r:embed="rId1"/>
                  <a:stretch>
                    <a:fillRect/>
                  </a:stretch>
                </pic:blipFill>
                <pic:spPr>
                  <a:xfrm>
                    <a:off x="0" y="0"/>
                    <a:ext cx="3221355" cy="8445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6E687">
    <w:pPr>
      <w:pStyle w:val="28"/>
      <w:pBdr>
        <w:bottom w:val="none" w:color="auto" w:sz="0" w:space="1"/>
      </w:pBdr>
    </w:pPr>
    <w:r>
      <w:rPr>
        <w:rFonts w:hint="eastAsia" w:eastAsia="宋体"/>
        <w:lang w:eastAsia="zh-CN"/>
      </w:rPr>
      <w:drawing>
        <wp:anchor distT="0" distB="0" distL="114300" distR="114300" simplePos="0" relativeHeight="251664384" behindDoc="0" locked="0" layoutInCell="1" allowOverlap="1">
          <wp:simplePos x="0" y="0"/>
          <wp:positionH relativeFrom="column">
            <wp:posOffset>-1008380</wp:posOffset>
          </wp:positionH>
          <wp:positionV relativeFrom="paragraph">
            <wp:posOffset>-540385</wp:posOffset>
          </wp:positionV>
          <wp:extent cx="6807835" cy="586105"/>
          <wp:effectExtent l="0" t="0" r="0" b="0"/>
          <wp:wrapSquare wrapText="bothSides"/>
          <wp:docPr id="10" name="图片 10" descr="微信图片_20260310224930_60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60310224930_60_90"/>
                  <pic:cNvPicPr>
                    <a:picLocks noChangeAspect="1"/>
                  </pic:cNvPicPr>
                </pic:nvPicPr>
                <pic:blipFill>
                  <a:blip r:embed="rId1"/>
                  <a:srcRect b="63939"/>
                  <a:stretch>
                    <a:fillRect/>
                  </a:stretch>
                </pic:blipFill>
                <pic:spPr>
                  <a:xfrm>
                    <a:off x="0" y="0"/>
                    <a:ext cx="6807835" cy="58610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5742E">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1667C">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385B4"/>
    <w:multiLevelType w:val="singleLevel"/>
    <w:tmpl w:val="9B9385B4"/>
    <w:lvl w:ilvl="0" w:tentative="0">
      <w:start w:val="2"/>
      <w:numFmt w:val="decimal"/>
      <w:suff w:val="nothing"/>
      <w:lvlText w:val="%1、"/>
      <w:lvlJc w:val="left"/>
    </w:lvl>
  </w:abstractNum>
  <w:abstractNum w:abstractNumId="1">
    <w:nsid w:val="A4342F25"/>
    <w:multiLevelType w:val="singleLevel"/>
    <w:tmpl w:val="A4342F25"/>
    <w:lvl w:ilvl="0" w:tentative="0">
      <w:start w:val="1"/>
      <w:numFmt w:val="chineseCounting"/>
      <w:suff w:val="nothing"/>
      <w:lvlText w:val="%1、"/>
      <w:lvlJc w:val="left"/>
      <w:rPr>
        <w:rFonts w:hint="eastAsia"/>
      </w:rPr>
    </w:lvl>
  </w:abstractNum>
  <w:abstractNum w:abstractNumId="2">
    <w:nsid w:val="EE1DA5C4"/>
    <w:multiLevelType w:val="singleLevel"/>
    <w:tmpl w:val="EE1DA5C4"/>
    <w:lvl w:ilvl="0" w:tentative="0">
      <w:start w:val="2"/>
      <w:numFmt w:val="decimal"/>
      <w:suff w:val="nothing"/>
      <w:lvlText w:val="%1、"/>
      <w:lvlJc w:val="left"/>
    </w:lvl>
  </w:abstractNum>
  <w:abstractNum w:abstractNumId="3">
    <w:nsid w:val="FFFC98CE"/>
    <w:multiLevelType w:val="singleLevel"/>
    <w:tmpl w:val="FFFC98CE"/>
    <w:lvl w:ilvl="0" w:tentative="0">
      <w:start w:val="16"/>
      <w:numFmt w:val="decimal"/>
      <w:suff w:val="space"/>
      <w:lvlText w:val="%1."/>
      <w:lvlJc w:val="left"/>
    </w:lvl>
  </w:abstractNum>
  <w:abstractNum w:abstractNumId="4">
    <w:nsid w:val="16AC279F"/>
    <w:multiLevelType w:val="singleLevel"/>
    <w:tmpl w:val="16AC279F"/>
    <w:lvl w:ilvl="0" w:tentative="0">
      <w:start w:val="2"/>
      <w:numFmt w:val="chineseCounting"/>
      <w:suff w:val="space"/>
      <w:lvlText w:val="第%1节"/>
      <w:lvlJc w:val="left"/>
      <w:rPr>
        <w:rFonts w:hint="eastAsia"/>
      </w:rPr>
    </w:lvl>
  </w:abstractNum>
  <w:abstractNum w:abstractNumId="5">
    <w:nsid w:val="34266D6A"/>
    <w:multiLevelType w:val="singleLevel"/>
    <w:tmpl w:val="34266D6A"/>
    <w:lvl w:ilvl="0" w:tentative="0">
      <w:start w:val="27"/>
      <w:numFmt w:val="decimal"/>
      <w:suff w:val="space"/>
      <w:lvlText w:val="%1."/>
      <w:lvlJc w:val="left"/>
    </w:lvl>
  </w:abstractNum>
  <w:abstractNum w:abstractNumId="6">
    <w:nsid w:val="49C49B56"/>
    <w:multiLevelType w:val="singleLevel"/>
    <w:tmpl w:val="49C49B56"/>
    <w:lvl w:ilvl="0" w:tentative="0">
      <w:start w:val="4"/>
      <w:numFmt w:val="chineseCounting"/>
      <w:suff w:val="nothing"/>
      <w:lvlText w:val="%1、"/>
      <w:lvlJc w:val="left"/>
      <w:rPr>
        <w:rFonts w:hint="eastAsia"/>
      </w:rPr>
    </w:lvl>
  </w:abstractNum>
  <w:abstractNum w:abstractNumId="7">
    <w:nsid w:val="69EA8400"/>
    <w:multiLevelType w:val="singleLevel"/>
    <w:tmpl w:val="69EA8400"/>
    <w:lvl w:ilvl="0" w:tentative="0">
      <w:start w:val="4"/>
      <w:numFmt w:val="decimal"/>
      <w:suff w:val="nothing"/>
      <w:lvlText w:val="（%1）"/>
      <w:lvlJc w:val="left"/>
    </w:lvl>
  </w:abstractNum>
  <w:num w:numId="1">
    <w:abstractNumId w:val="1"/>
  </w:num>
  <w:num w:numId="2">
    <w:abstractNumId w:val="2"/>
  </w:num>
  <w:num w:numId="3">
    <w:abstractNumId w:val="7"/>
  </w:num>
  <w:num w:numId="4">
    <w:abstractNumId w:val="3"/>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MzUxYWUyMjBhYmM2YjAwMzQ5YjRjZTg5NzZiNmMifQ=="/>
    <w:docVar w:name="KSO_WPS_MARK_KEY" w:val="95dc3de5-51e7-4b7a-b81b-a11ad67d0ce0"/>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1A7B"/>
    <w:rsid w:val="00013365"/>
    <w:rsid w:val="00013466"/>
    <w:rsid w:val="00013574"/>
    <w:rsid w:val="000135B0"/>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1AB"/>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2C01"/>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E7B7A"/>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17E7C"/>
    <w:rsid w:val="00120369"/>
    <w:rsid w:val="00121A30"/>
    <w:rsid w:val="001228FD"/>
    <w:rsid w:val="001232B6"/>
    <w:rsid w:val="00124345"/>
    <w:rsid w:val="00125769"/>
    <w:rsid w:val="00125F48"/>
    <w:rsid w:val="00126231"/>
    <w:rsid w:val="001264B5"/>
    <w:rsid w:val="001264DC"/>
    <w:rsid w:val="00126691"/>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B78EC"/>
    <w:rsid w:val="001C2072"/>
    <w:rsid w:val="001C274B"/>
    <w:rsid w:val="001C3481"/>
    <w:rsid w:val="001C4E4C"/>
    <w:rsid w:val="001C5444"/>
    <w:rsid w:val="001C737E"/>
    <w:rsid w:val="001C7B25"/>
    <w:rsid w:val="001D0F5F"/>
    <w:rsid w:val="001D1A86"/>
    <w:rsid w:val="001D26DC"/>
    <w:rsid w:val="001D300D"/>
    <w:rsid w:val="001D302B"/>
    <w:rsid w:val="001D34F7"/>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1F4F"/>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4EE3"/>
    <w:rsid w:val="00225547"/>
    <w:rsid w:val="00226CCD"/>
    <w:rsid w:val="002303FF"/>
    <w:rsid w:val="00230B4C"/>
    <w:rsid w:val="00231C9E"/>
    <w:rsid w:val="0023235C"/>
    <w:rsid w:val="00232836"/>
    <w:rsid w:val="00232D80"/>
    <w:rsid w:val="0023339C"/>
    <w:rsid w:val="00234309"/>
    <w:rsid w:val="00235123"/>
    <w:rsid w:val="00235317"/>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67F9F"/>
    <w:rsid w:val="00270AE8"/>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01F"/>
    <w:rsid w:val="00287BB6"/>
    <w:rsid w:val="00287E12"/>
    <w:rsid w:val="00290DAB"/>
    <w:rsid w:val="00291042"/>
    <w:rsid w:val="00291C24"/>
    <w:rsid w:val="002922D9"/>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1C5"/>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66B9"/>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22A1"/>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2993"/>
    <w:rsid w:val="003D3B9A"/>
    <w:rsid w:val="003D42BA"/>
    <w:rsid w:val="003D4669"/>
    <w:rsid w:val="003D5E2A"/>
    <w:rsid w:val="003D6B57"/>
    <w:rsid w:val="003D6F48"/>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07C1"/>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6409"/>
    <w:rsid w:val="00477865"/>
    <w:rsid w:val="00477AB3"/>
    <w:rsid w:val="00480F9B"/>
    <w:rsid w:val="00482A44"/>
    <w:rsid w:val="004838AA"/>
    <w:rsid w:val="00484599"/>
    <w:rsid w:val="004851C5"/>
    <w:rsid w:val="00485335"/>
    <w:rsid w:val="00485F0D"/>
    <w:rsid w:val="00486155"/>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8E8"/>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C5B"/>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146F"/>
    <w:rsid w:val="00583F70"/>
    <w:rsid w:val="00584D05"/>
    <w:rsid w:val="0058523D"/>
    <w:rsid w:val="00586934"/>
    <w:rsid w:val="00587C00"/>
    <w:rsid w:val="00587E4F"/>
    <w:rsid w:val="0059033F"/>
    <w:rsid w:val="00591754"/>
    <w:rsid w:val="00591BBD"/>
    <w:rsid w:val="0059449D"/>
    <w:rsid w:val="00597E4B"/>
    <w:rsid w:val="005A1260"/>
    <w:rsid w:val="005A2328"/>
    <w:rsid w:val="005A2FA1"/>
    <w:rsid w:val="005A3014"/>
    <w:rsid w:val="005A35B6"/>
    <w:rsid w:val="005A4232"/>
    <w:rsid w:val="005A50A0"/>
    <w:rsid w:val="005A57A2"/>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3705"/>
    <w:rsid w:val="006043A4"/>
    <w:rsid w:val="00605007"/>
    <w:rsid w:val="0060594A"/>
    <w:rsid w:val="006105B3"/>
    <w:rsid w:val="006119B8"/>
    <w:rsid w:val="00613E21"/>
    <w:rsid w:val="00614CD3"/>
    <w:rsid w:val="0061627F"/>
    <w:rsid w:val="00616BF1"/>
    <w:rsid w:val="0062043A"/>
    <w:rsid w:val="00620808"/>
    <w:rsid w:val="006209D6"/>
    <w:rsid w:val="006217E3"/>
    <w:rsid w:val="00621A67"/>
    <w:rsid w:val="00621EDB"/>
    <w:rsid w:val="00622F37"/>
    <w:rsid w:val="006232A3"/>
    <w:rsid w:val="006240A6"/>
    <w:rsid w:val="006242DF"/>
    <w:rsid w:val="0062497C"/>
    <w:rsid w:val="00624EB7"/>
    <w:rsid w:val="0062600E"/>
    <w:rsid w:val="00626EC9"/>
    <w:rsid w:val="006365C2"/>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0709"/>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5C66"/>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D7238"/>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BD6"/>
    <w:rsid w:val="006F6D52"/>
    <w:rsid w:val="007001BB"/>
    <w:rsid w:val="0070184C"/>
    <w:rsid w:val="007028E7"/>
    <w:rsid w:val="007039B7"/>
    <w:rsid w:val="00703CAD"/>
    <w:rsid w:val="0070401B"/>
    <w:rsid w:val="00704082"/>
    <w:rsid w:val="00705371"/>
    <w:rsid w:val="007077DC"/>
    <w:rsid w:val="00707DAE"/>
    <w:rsid w:val="00710C2B"/>
    <w:rsid w:val="00712FDD"/>
    <w:rsid w:val="00713384"/>
    <w:rsid w:val="00713D73"/>
    <w:rsid w:val="007141E1"/>
    <w:rsid w:val="00714F31"/>
    <w:rsid w:val="0071593B"/>
    <w:rsid w:val="007219F6"/>
    <w:rsid w:val="00722046"/>
    <w:rsid w:val="00722CFC"/>
    <w:rsid w:val="0072440A"/>
    <w:rsid w:val="00724504"/>
    <w:rsid w:val="007247EB"/>
    <w:rsid w:val="007257D4"/>
    <w:rsid w:val="00725A64"/>
    <w:rsid w:val="00725BA5"/>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2D4"/>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299"/>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4342"/>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37704"/>
    <w:rsid w:val="008400EE"/>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3AFA"/>
    <w:rsid w:val="00865FC0"/>
    <w:rsid w:val="00865FEB"/>
    <w:rsid w:val="0086659F"/>
    <w:rsid w:val="00866B3B"/>
    <w:rsid w:val="008706F9"/>
    <w:rsid w:val="00871BBB"/>
    <w:rsid w:val="00873CDE"/>
    <w:rsid w:val="00874C18"/>
    <w:rsid w:val="00875458"/>
    <w:rsid w:val="00875A3A"/>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162"/>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3D4"/>
    <w:rsid w:val="009258D3"/>
    <w:rsid w:val="00926E98"/>
    <w:rsid w:val="0093049E"/>
    <w:rsid w:val="00932D24"/>
    <w:rsid w:val="0093449D"/>
    <w:rsid w:val="0093744F"/>
    <w:rsid w:val="009413A9"/>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57733"/>
    <w:rsid w:val="0096037C"/>
    <w:rsid w:val="009605C3"/>
    <w:rsid w:val="00960AEF"/>
    <w:rsid w:val="00964404"/>
    <w:rsid w:val="009663CE"/>
    <w:rsid w:val="00966666"/>
    <w:rsid w:val="00966A87"/>
    <w:rsid w:val="00967B29"/>
    <w:rsid w:val="00967EB5"/>
    <w:rsid w:val="0097053B"/>
    <w:rsid w:val="00970885"/>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243"/>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487"/>
    <w:rsid w:val="009C39BD"/>
    <w:rsid w:val="009C4F0D"/>
    <w:rsid w:val="009C7F22"/>
    <w:rsid w:val="009D09B9"/>
    <w:rsid w:val="009D7095"/>
    <w:rsid w:val="009E04AF"/>
    <w:rsid w:val="009E4A6F"/>
    <w:rsid w:val="009E5BB5"/>
    <w:rsid w:val="009E6986"/>
    <w:rsid w:val="009E69CC"/>
    <w:rsid w:val="009F08F7"/>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3F77"/>
    <w:rsid w:val="00A340D8"/>
    <w:rsid w:val="00A35822"/>
    <w:rsid w:val="00A364E0"/>
    <w:rsid w:val="00A3740A"/>
    <w:rsid w:val="00A40786"/>
    <w:rsid w:val="00A410EA"/>
    <w:rsid w:val="00A4267E"/>
    <w:rsid w:val="00A42F8F"/>
    <w:rsid w:val="00A43F6D"/>
    <w:rsid w:val="00A44128"/>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3F66"/>
    <w:rsid w:val="00A7408E"/>
    <w:rsid w:val="00A74F07"/>
    <w:rsid w:val="00A76084"/>
    <w:rsid w:val="00A806A9"/>
    <w:rsid w:val="00A807C8"/>
    <w:rsid w:val="00A80A87"/>
    <w:rsid w:val="00A812A3"/>
    <w:rsid w:val="00A81C21"/>
    <w:rsid w:val="00A83F45"/>
    <w:rsid w:val="00A8400E"/>
    <w:rsid w:val="00A86119"/>
    <w:rsid w:val="00A867DB"/>
    <w:rsid w:val="00A869D6"/>
    <w:rsid w:val="00A86ECE"/>
    <w:rsid w:val="00A90B18"/>
    <w:rsid w:val="00A90F3C"/>
    <w:rsid w:val="00A92883"/>
    <w:rsid w:val="00A92E92"/>
    <w:rsid w:val="00A93090"/>
    <w:rsid w:val="00A933B4"/>
    <w:rsid w:val="00A95AC6"/>
    <w:rsid w:val="00A95E01"/>
    <w:rsid w:val="00A96972"/>
    <w:rsid w:val="00A9710F"/>
    <w:rsid w:val="00A979CB"/>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25D7"/>
    <w:rsid w:val="00AF3BA9"/>
    <w:rsid w:val="00AF4CCA"/>
    <w:rsid w:val="00AF7B5E"/>
    <w:rsid w:val="00B00935"/>
    <w:rsid w:val="00B00CF6"/>
    <w:rsid w:val="00B012BD"/>
    <w:rsid w:val="00B014E7"/>
    <w:rsid w:val="00B02A7E"/>
    <w:rsid w:val="00B02D50"/>
    <w:rsid w:val="00B036E5"/>
    <w:rsid w:val="00B06424"/>
    <w:rsid w:val="00B07C43"/>
    <w:rsid w:val="00B108D2"/>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7F5"/>
    <w:rsid w:val="00B318AA"/>
    <w:rsid w:val="00B31CB9"/>
    <w:rsid w:val="00B33C46"/>
    <w:rsid w:val="00B37CD6"/>
    <w:rsid w:val="00B416F4"/>
    <w:rsid w:val="00B41991"/>
    <w:rsid w:val="00B420B0"/>
    <w:rsid w:val="00B42258"/>
    <w:rsid w:val="00B42450"/>
    <w:rsid w:val="00B4378F"/>
    <w:rsid w:val="00B44107"/>
    <w:rsid w:val="00B45413"/>
    <w:rsid w:val="00B45891"/>
    <w:rsid w:val="00B46449"/>
    <w:rsid w:val="00B47A89"/>
    <w:rsid w:val="00B47F99"/>
    <w:rsid w:val="00B50B02"/>
    <w:rsid w:val="00B51CB4"/>
    <w:rsid w:val="00B52945"/>
    <w:rsid w:val="00B52B57"/>
    <w:rsid w:val="00B53341"/>
    <w:rsid w:val="00B533D2"/>
    <w:rsid w:val="00B53710"/>
    <w:rsid w:val="00B539D0"/>
    <w:rsid w:val="00B53D89"/>
    <w:rsid w:val="00B56CDE"/>
    <w:rsid w:val="00B5734F"/>
    <w:rsid w:val="00B575F0"/>
    <w:rsid w:val="00B578B5"/>
    <w:rsid w:val="00B6048A"/>
    <w:rsid w:val="00B61262"/>
    <w:rsid w:val="00B612F1"/>
    <w:rsid w:val="00B618A0"/>
    <w:rsid w:val="00B629EE"/>
    <w:rsid w:val="00B62F29"/>
    <w:rsid w:val="00B6426D"/>
    <w:rsid w:val="00B650CF"/>
    <w:rsid w:val="00B661D4"/>
    <w:rsid w:val="00B667F6"/>
    <w:rsid w:val="00B7097C"/>
    <w:rsid w:val="00B70D74"/>
    <w:rsid w:val="00B71032"/>
    <w:rsid w:val="00B716F8"/>
    <w:rsid w:val="00B71E34"/>
    <w:rsid w:val="00B7326F"/>
    <w:rsid w:val="00B762A9"/>
    <w:rsid w:val="00B76AA9"/>
    <w:rsid w:val="00B77BB6"/>
    <w:rsid w:val="00B80917"/>
    <w:rsid w:val="00B81B3B"/>
    <w:rsid w:val="00B8333A"/>
    <w:rsid w:val="00B83403"/>
    <w:rsid w:val="00B8357F"/>
    <w:rsid w:val="00B8443F"/>
    <w:rsid w:val="00B87EE4"/>
    <w:rsid w:val="00B91352"/>
    <w:rsid w:val="00B917E2"/>
    <w:rsid w:val="00B924B7"/>
    <w:rsid w:val="00B924B9"/>
    <w:rsid w:val="00B92BEC"/>
    <w:rsid w:val="00B93D7E"/>
    <w:rsid w:val="00B948B3"/>
    <w:rsid w:val="00B95659"/>
    <w:rsid w:val="00B95BF4"/>
    <w:rsid w:val="00B962C7"/>
    <w:rsid w:val="00B96EA9"/>
    <w:rsid w:val="00B9759F"/>
    <w:rsid w:val="00BA1CF8"/>
    <w:rsid w:val="00BA27AD"/>
    <w:rsid w:val="00BA2A64"/>
    <w:rsid w:val="00BA2FAA"/>
    <w:rsid w:val="00BA3DEF"/>
    <w:rsid w:val="00BA499C"/>
    <w:rsid w:val="00BA5A6A"/>
    <w:rsid w:val="00BB014D"/>
    <w:rsid w:val="00BB1478"/>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EF7"/>
    <w:rsid w:val="00C17281"/>
    <w:rsid w:val="00C208F9"/>
    <w:rsid w:val="00C20B7F"/>
    <w:rsid w:val="00C23CC1"/>
    <w:rsid w:val="00C23D8A"/>
    <w:rsid w:val="00C23E80"/>
    <w:rsid w:val="00C2463D"/>
    <w:rsid w:val="00C251FE"/>
    <w:rsid w:val="00C26970"/>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5169"/>
    <w:rsid w:val="00C659FC"/>
    <w:rsid w:val="00C6650A"/>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058B"/>
    <w:rsid w:val="00C93B6F"/>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4D5"/>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E6BED"/>
    <w:rsid w:val="00CF0D0B"/>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39F9"/>
    <w:rsid w:val="00D45E85"/>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2B3F"/>
    <w:rsid w:val="00D74F3C"/>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0C12"/>
    <w:rsid w:val="00DB1D0E"/>
    <w:rsid w:val="00DB2595"/>
    <w:rsid w:val="00DB2F2C"/>
    <w:rsid w:val="00DB65C0"/>
    <w:rsid w:val="00DB74B1"/>
    <w:rsid w:val="00DC144A"/>
    <w:rsid w:val="00DC181C"/>
    <w:rsid w:val="00DC2440"/>
    <w:rsid w:val="00DC2A42"/>
    <w:rsid w:val="00DC30F3"/>
    <w:rsid w:val="00DC40C3"/>
    <w:rsid w:val="00DC4278"/>
    <w:rsid w:val="00DC4A83"/>
    <w:rsid w:val="00DC513B"/>
    <w:rsid w:val="00DC5C92"/>
    <w:rsid w:val="00DC6C22"/>
    <w:rsid w:val="00DD1F39"/>
    <w:rsid w:val="00DD2D6E"/>
    <w:rsid w:val="00DD33A0"/>
    <w:rsid w:val="00DD3AC2"/>
    <w:rsid w:val="00DD3C69"/>
    <w:rsid w:val="00DD5C09"/>
    <w:rsid w:val="00DD7653"/>
    <w:rsid w:val="00DD790D"/>
    <w:rsid w:val="00DE0A40"/>
    <w:rsid w:val="00DE1653"/>
    <w:rsid w:val="00DE2D8D"/>
    <w:rsid w:val="00DE499B"/>
    <w:rsid w:val="00DE6364"/>
    <w:rsid w:val="00DE6929"/>
    <w:rsid w:val="00DE7D7D"/>
    <w:rsid w:val="00DF0D25"/>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306"/>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515A"/>
    <w:rsid w:val="00E776F0"/>
    <w:rsid w:val="00E80640"/>
    <w:rsid w:val="00E8157E"/>
    <w:rsid w:val="00E815FC"/>
    <w:rsid w:val="00E816FE"/>
    <w:rsid w:val="00E81736"/>
    <w:rsid w:val="00E81ED7"/>
    <w:rsid w:val="00E82586"/>
    <w:rsid w:val="00E826C4"/>
    <w:rsid w:val="00E82F1F"/>
    <w:rsid w:val="00E836D7"/>
    <w:rsid w:val="00E83A20"/>
    <w:rsid w:val="00E84C24"/>
    <w:rsid w:val="00E84D69"/>
    <w:rsid w:val="00E84FB3"/>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39F0"/>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729"/>
    <w:rsid w:val="00ED0F4E"/>
    <w:rsid w:val="00ED2563"/>
    <w:rsid w:val="00ED2A4C"/>
    <w:rsid w:val="00ED6DFC"/>
    <w:rsid w:val="00ED6E2D"/>
    <w:rsid w:val="00ED762B"/>
    <w:rsid w:val="00EE067C"/>
    <w:rsid w:val="00EE1275"/>
    <w:rsid w:val="00EE1D7D"/>
    <w:rsid w:val="00EE2031"/>
    <w:rsid w:val="00EE2D3E"/>
    <w:rsid w:val="00EE35DE"/>
    <w:rsid w:val="00EE4924"/>
    <w:rsid w:val="00EE7A5E"/>
    <w:rsid w:val="00EF039F"/>
    <w:rsid w:val="00EF11CE"/>
    <w:rsid w:val="00EF13D7"/>
    <w:rsid w:val="00EF13FE"/>
    <w:rsid w:val="00EF2143"/>
    <w:rsid w:val="00EF3159"/>
    <w:rsid w:val="00EF384D"/>
    <w:rsid w:val="00EF4569"/>
    <w:rsid w:val="00EF4B37"/>
    <w:rsid w:val="00EF4F51"/>
    <w:rsid w:val="00EF630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805"/>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29FD"/>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0F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09048C"/>
    <w:rsid w:val="011A60E3"/>
    <w:rsid w:val="019A4CB2"/>
    <w:rsid w:val="01A02082"/>
    <w:rsid w:val="01F36FCC"/>
    <w:rsid w:val="01FA47FF"/>
    <w:rsid w:val="02133E97"/>
    <w:rsid w:val="0269220F"/>
    <w:rsid w:val="029A5460"/>
    <w:rsid w:val="029F00AC"/>
    <w:rsid w:val="02C8787C"/>
    <w:rsid w:val="02D122BE"/>
    <w:rsid w:val="02D46649"/>
    <w:rsid w:val="02F44BE5"/>
    <w:rsid w:val="0316408E"/>
    <w:rsid w:val="03262FED"/>
    <w:rsid w:val="032B2921"/>
    <w:rsid w:val="03AA4003"/>
    <w:rsid w:val="03FA71CA"/>
    <w:rsid w:val="0444365B"/>
    <w:rsid w:val="04652ED4"/>
    <w:rsid w:val="04A337A1"/>
    <w:rsid w:val="04A476A3"/>
    <w:rsid w:val="04FD2458"/>
    <w:rsid w:val="05355B4E"/>
    <w:rsid w:val="05A96504"/>
    <w:rsid w:val="05CB200E"/>
    <w:rsid w:val="06041A16"/>
    <w:rsid w:val="0611707E"/>
    <w:rsid w:val="064C318B"/>
    <w:rsid w:val="064C4D14"/>
    <w:rsid w:val="064F366C"/>
    <w:rsid w:val="067E42E7"/>
    <w:rsid w:val="06BB6F66"/>
    <w:rsid w:val="06BD404D"/>
    <w:rsid w:val="06BF1B73"/>
    <w:rsid w:val="06C33BD9"/>
    <w:rsid w:val="06DF0D4B"/>
    <w:rsid w:val="06F270BC"/>
    <w:rsid w:val="06F76735"/>
    <w:rsid w:val="076B1CFB"/>
    <w:rsid w:val="07A6693B"/>
    <w:rsid w:val="07BF0A2B"/>
    <w:rsid w:val="07C5758F"/>
    <w:rsid w:val="07C7C0A9"/>
    <w:rsid w:val="07E126B5"/>
    <w:rsid w:val="07ED360E"/>
    <w:rsid w:val="07F06147"/>
    <w:rsid w:val="07FC5D50"/>
    <w:rsid w:val="084A0DF9"/>
    <w:rsid w:val="084F055C"/>
    <w:rsid w:val="085C5C30"/>
    <w:rsid w:val="088C3198"/>
    <w:rsid w:val="089A6F1D"/>
    <w:rsid w:val="08E409A9"/>
    <w:rsid w:val="08EC780A"/>
    <w:rsid w:val="08FA1242"/>
    <w:rsid w:val="092403B3"/>
    <w:rsid w:val="09554725"/>
    <w:rsid w:val="097D0541"/>
    <w:rsid w:val="097F2E74"/>
    <w:rsid w:val="09C515A8"/>
    <w:rsid w:val="09C6146A"/>
    <w:rsid w:val="09FF1272"/>
    <w:rsid w:val="0A2D5C54"/>
    <w:rsid w:val="0A396ECC"/>
    <w:rsid w:val="0A934F20"/>
    <w:rsid w:val="0A9C5F85"/>
    <w:rsid w:val="0AF352D7"/>
    <w:rsid w:val="0B7A075E"/>
    <w:rsid w:val="0B87348D"/>
    <w:rsid w:val="0BA23DCF"/>
    <w:rsid w:val="0BBE0C82"/>
    <w:rsid w:val="0BF027CF"/>
    <w:rsid w:val="0C0662C7"/>
    <w:rsid w:val="0C5C7E64"/>
    <w:rsid w:val="0C6100D1"/>
    <w:rsid w:val="0C635644"/>
    <w:rsid w:val="0CB544E8"/>
    <w:rsid w:val="0CE560AB"/>
    <w:rsid w:val="0D1036CD"/>
    <w:rsid w:val="0D4A0310"/>
    <w:rsid w:val="0D4E6EF8"/>
    <w:rsid w:val="0D7B40A5"/>
    <w:rsid w:val="0DA11FD2"/>
    <w:rsid w:val="0DD4721B"/>
    <w:rsid w:val="0E331A39"/>
    <w:rsid w:val="0E3E1F17"/>
    <w:rsid w:val="0E764BA6"/>
    <w:rsid w:val="0E7B2823"/>
    <w:rsid w:val="0EA50050"/>
    <w:rsid w:val="0EA855E3"/>
    <w:rsid w:val="0ED85EC8"/>
    <w:rsid w:val="0ED91C40"/>
    <w:rsid w:val="0EDB4048"/>
    <w:rsid w:val="0F1711A8"/>
    <w:rsid w:val="0F1A4CE0"/>
    <w:rsid w:val="0F3324C6"/>
    <w:rsid w:val="0F390621"/>
    <w:rsid w:val="0F54340F"/>
    <w:rsid w:val="0F825E34"/>
    <w:rsid w:val="0FC621C4"/>
    <w:rsid w:val="0FF54E43"/>
    <w:rsid w:val="10AA5642"/>
    <w:rsid w:val="10C43E75"/>
    <w:rsid w:val="10D70444"/>
    <w:rsid w:val="111F39FD"/>
    <w:rsid w:val="112B73BF"/>
    <w:rsid w:val="112D51D2"/>
    <w:rsid w:val="118A5A9B"/>
    <w:rsid w:val="11916893"/>
    <w:rsid w:val="11A0109C"/>
    <w:rsid w:val="11A20F22"/>
    <w:rsid w:val="11AF49CC"/>
    <w:rsid w:val="11BE5D26"/>
    <w:rsid w:val="12071BEC"/>
    <w:rsid w:val="12112CD7"/>
    <w:rsid w:val="12211AC0"/>
    <w:rsid w:val="12751C80"/>
    <w:rsid w:val="12AD31C8"/>
    <w:rsid w:val="12D34171"/>
    <w:rsid w:val="12E27304"/>
    <w:rsid w:val="13274F64"/>
    <w:rsid w:val="13AB6423"/>
    <w:rsid w:val="13B14F39"/>
    <w:rsid w:val="146707AD"/>
    <w:rsid w:val="147635A2"/>
    <w:rsid w:val="148F59E2"/>
    <w:rsid w:val="14D030F0"/>
    <w:rsid w:val="14DB226E"/>
    <w:rsid w:val="14FB1A84"/>
    <w:rsid w:val="153C5E15"/>
    <w:rsid w:val="15DB6C2D"/>
    <w:rsid w:val="16173C12"/>
    <w:rsid w:val="1659407E"/>
    <w:rsid w:val="166921C0"/>
    <w:rsid w:val="16B04812"/>
    <w:rsid w:val="16C641EB"/>
    <w:rsid w:val="16C805D0"/>
    <w:rsid w:val="17006BCB"/>
    <w:rsid w:val="17094942"/>
    <w:rsid w:val="170E769A"/>
    <w:rsid w:val="175F5A95"/>
    <w:rsid w:val="17714EEE"/>
    <w:rsid w:val="17AE7C49"/>
    <w:rsid w:val="17BB743F"/>
    <w:rsid w:val="17FB2C27"/>
    <w:rsid w:val="182A6BA6"/>
    <w:rsid w:val="1846243E"/>
    <w:rsid w:val="18896025"/>
    <w:rsid w:val="18AC23B2"/>
    <w:rsid w:val="18FA6A3B"/>
    <w:rsid w:val="191F64A1"/>
    <w:rsid w:val="19431BBA"/>
    <w:rsid w:val="19526877"/>
    <w:rsid w:val="1989530E"/>
    <w:rsid w:val="19D723F6"/>
    <w:rsid w:val="19EC6E71"/>
    <w:rsid w:val="1A085187"/>
    <w:rsid w:val="1A0E09F0"/>
    <w:rsid w:val="1A32674B"/>
    <w:rsid w:val="1A50725A"/>
    <w:rsid w:val="1A750A6F"/>
    <w:rsid w:val="1AD20E13"/>
    <w:rsid w:val="1AFC6A9A"/>
    <w:rsid w:val="1B0E2C71"/>
    <w:rsid w:val="1B1027AD"/>
    <w:rsid w:val="1B3C158C"/>
    <w:rsid w:val="1B3C7A94"/>
    <w:rsid w:val="1B5763C6"/>
    <w:rsid w:val="1B5C578B"/>
    <w:rsid w:val="1B617245"/>
    <w:rsid w:val="1B9B6BEA"/>
    <w:rsid w:val="1BAA1B27"/>
    <w:rsid w:val="1BCF2CF3"/>
    <w:rsid w:val="1BE92FAB"/>
    <w:rsid w:val="1BEC0607"/>
    <w:rsid w:val="1C737230"/>
    <w:rsid w:val="1C9B5934"/>
    <w:rsid w:val="1CC074A0"/>
    <w:rsid w:val="1D2A012C"/>
    <w:rsid w:val="1D2A3BF5"/>
    <w:rsid w:val="1D2F2A6A"/>
    <w:rsid w:val="1D31356D"/>
    <w:rsid w:val="1D466ABF"/>
    <w:rsid w:val="1D7B600C"/>
    <w:rsid w:val="1DA6419D"/>
    <w:rsid w:val="1DD3548B"/>
    <w:rsid w:val="1DD928D3"/>
    <w:rsid w:val="1DED21D8"/>
    <w:rsid w:val="1DEF5EF6"/>
    <w:rsid w:val="1E2F53D8"/>
    <w:rsid w:val="1E3E2967"/>
    <w:rsid w:val="1E8B1165"/>
    <w:rsid w:val="1EB8403C"/>
    <w:rsid w:val="1EB910EB"/>
    <w:rsid w:val="1EFB6D55"/>
    <w:rsid w:val="1F0E3DA5"/>
    <w:rsid w:val="1F444EB4"/>
    <w:rsid w:val="1F6C48CB"/>
    <w:rsid w:val="1F8030CC"/>
    <w:rsid w:val="1F8347F9"/>
    <w:rsid w:val="1FCA3218"/>
    <w:rsid w:val="1FFD352F"/>
    <w:rsid w:val="201B37F4"/>
    <w:rsid w:val="20545157"/>
    <w:rsid w:val="20CE49AC"/>
    <w:rsid w:val="20EE455A"/>
    <w:rsid w:val="20F868EE"/>
    <w:rsid w:val="20FF44F4"/>
    <w:rsid w:val="210940D4"/>
    <w:rsid w:val="212B4545"/>
    <w:rsid w:val="217B10F6"/>
    <w:rsid w:val="217C26E3"/>
    <w:rsid w:val="21E36C06"/>
    <w:rsid w:val="220C6E8F"/>
    <w:rsid w:val="223244A5"/>
    <w:rsid w:val="224522F9"/>
    <w:rsid w:val="22BF15CD"/>
    <w:rsid w:val="22CD38BE"/>
    <w:rsid w:val="22F75C0D"/>
    <w:rsid w:val="23C5378C"/>
    <w:rsid w:val="23C72D33"/>
    <w:rsid w:val="23D527C8"/>
    <w:rsid w:val="23E371FA"/>
    <w:rsid w:val="24290E67"/>
    <w:rsid w:val="244F0DF3"/>
    <w:rsid w:val="24601386"/>
    <w:rsid w:val="246B14B0"/>
    <w:rsid w:val="248C65BB"/>
    <w:rsid w:val="24A65CC9"/>
    <w:rsid w:val="250344EA"/>
    <w:rsid w:val="25114177"/>
    <w:rsid w:val="25164869"/>
    <w:rsid w:val="25223085"/>
    <w:rsid w:val="2584425C"/>
    <w:rsid w:val="25AD3E95"/>
    <w:rsid w:val="260D2473"/>
    <w:rsid w:val="2613738E"/>
    <w:rsid w:val="2621364C"/>
    <w:rsid w:val="26803368"/>
    <w:rsid w:val="268364F5"/>
    <w:rsid w:val="26940EE3"/>
    <w:rsid w:val="269E55B1"/>
    <w:rsid w:val="26D935D7"/>
    <w:rsid w:val="26FD15BD"/>
    <w:rsid w:val="273A4566"/>
    <w:rsid w:val="27605028"/>
    <w:rsid w:val="27847714"/>
    <w:rsid w:val="278B6531"/>
    <w:rsid w:val="27A9561C"/>
    <w:rsid w:val="27BC1FD7"/>
    <w:rsid w:val="27F63A89"/>
    <w:rsid w:val="28184F84"/>
    <w:rsid w:val="282A4A69"/>
    <w:rsid w:val="286914E7"/>
    <w:rsid w:val="28BC3216"/>
    <w:rsid w:val="28CA34AC"/>
    <w:rsid w:val="28DA4193"/>
    <w:rsid w:val="28F14111"/>
    <w:rsid w:val="290F7096"/>
    <w:rsid w:val="2916341D"/>
    <w:rsid w:val="29A35065"/>
    <w:rsid w:val="29B00012"/>
    <w:rsid w:val="29D137E8"/>
    <w:rsid w:val="29EB25A5"/>
    <w:rsid w:val="2A52069B"/>
    <w:rsid w:val="2A7066C5"/>
    <w:rsid w:val="2AB225E4"/>
    <w:rsid w:val="2AF6570F"/>
    <w:rsid w:val="2B0025D7"/>
    <w:rsid w:val="2B400742"/>
    <w:rsid w:val="2BD64EDB"/>
    <w:rsid w:val="2BD9277E"/>
    <w:rsid w:val="2BE10DB4"/>
    <w:rsid w:val="2BF1793D"/>
    <w:rsid w:val="2BFB7DF5"/>
    <w:rsid w:val="2C1A76C8"/>
    <w:rsid w:val="2C764749"/>
    <w:rsid w:val="2C8A5A53"/>
    <w:rsid w:val="2CAA1B33"/>
    <w:rsid w:val="2CEE4697"/>
    <w:rsid w:val="2CFF996B"/>
    <w:rsid w:val="2D0669E7"/>
    <w:rsid w:val="2D1A4245"/>
    <w:rsid w:val="2D3B4CBC"/>
    <w:rsid w:val="2D541211"/>
    <w:rsid w:val="2D5E21DC"/>
    <w:rsid w:val="2D88252C"/>
    <w:rsid w:val="2D8E56A9"/>
    <w:rsid w:val="2DD815E9"/>
    <w:rsid w:val="2E1B14D5"/>
    <w:rsid w:val="2E1D349F"/>
    <w:rsid w:val="2E4269D3"/>
    <w:rsid w:val="2E4B103E"/>
    <w:rsid w:val="2E717705"/>
    <w:rsid w:val="2E8C3807"/>
    <w:rsid w:val="2ED03388"/>
    <w:rsid w:val="2EFA148A"/>
    <w:rsid w:val="2F6F3887"/>
    <w:rsid w:val="2F8A4A30"/>
    <w:rsid w:val="2FBF0026"/>
    <w:rsid w:val="2FCA7124"/>
    <w:rsid w:val="2FCB7CD8"/>
    <w:rsid w:val="2FD652C1"/>
    <w:rsid w:val="30474804"/>
    <w:rsid w:val="30505D04"/>
    <w:rsid w:val="309C75DC"/>
    <w:rsid w:val="309E0581"/>
    <w:rsid w:val="30A643E6"/>
    <w:rsid w:val="30AA08EF"/>
    <w:rsid w:val="30C35C19"/>
    <w:rsid w:val="30DB0403"/>
    <w:rsid w:val="310821E5"/>
    <w:rsid w:val="311341A5"/>
    <w:rsid w:val="3149717D"/>
    <w:rsid w:val="318B0720"/>
    <w:rsid w:val="31AF21F2"/>
    <w:rsid w:val="32284EDE"/>
    <w:rsid w:val="32290665"/>
    <w:rsid w:val="32572E2E"/>
    <w:rsid w:val="32797781"/>
    <w:rsid w:val="32C5141D"/>
    <w:rsid w:val="32EC3440"/>
    <w:rsid w:val="330709B5"/>
    <w:rsid w:val="33513ACD"/>
    <w:rsid w:val="336D0D54"/>
    <w:rsid w:val="33792F26"/>
    <w:rsid w:val="337C6100"/>
    <w:rsid w:val="33896230"/>
    <w:rsid w:val="338F2D48"/>
    <w:rsid w:val="33F1640E"/>
    <w:rsid w:val="3412121F"/>
    <w:rsid w:val="34202E26"/>
    <w:rsid w:val="34310D94"/>
    <w:rsid w:val="34583E67"/>
    <w:rsid w:val="34645984"/>
    <w:rsid w:val="3483314F"/>
    <w:rsid w:val="34CA6060"/>
    <w:rsid w:val="34D01CA3"/>
    <w:rsid w:val="34E8144B"/>
    <w:rsid w:val="351444F6"/>
    <w:rsid w:val="355B57E5"/>
    <w:rsid w:val="356F5F72"/>
    <w:rsid w:val="358409E6"/>
    <w:rsid w:val="35C6312A"/>
    <w:rsid w:val="35C91DF7"/>
    <w:rsid w:val="35EF5204"/>
    <w:rsid w:val="366033A8"/>
    <w:rsid w:val="368F0091"/>
    <w:rsid w:val="36EF2742"/>
    <w:rsid w:val="3700570C"/>
    <w:rsid w:val="370340E9"/>
    <w:rsid w:val="374F623C"/>
    <w:rsid w:val="375F3F94"/>
    <w:rsid w:val="37DE7938"/>
    <w:rsid w:val="37E22162"/>
    <w:rsid w:val="37E8067A"/>
    <w:rsid w:val="37F7B233"/>
    <w:rsid w:val="38433B03"/>
    <w:rsid w:val="386136E4"/>
    <w:rsid w:val="38763ED8"/>
    <w:rsid w:val="387E0A26"/>
    <w:rsid w:val="3884123C"/>
    <w:rsid w:val="38A0633D"/>
    <w:rsid w:val="38BA79CC"/>
    <w:rsid w:val="38BD001A"/>
    <w:rsid w:val="38C26B8B"/>
    <w:rsid w:val="39726D2C"/>
    <w:rsid w:val="39DE2328"/>
    <w:rsid w:val="39F0441D"/>
    <w:rsid w:val="3A0374A0"/>
    <w:rsid w:val="3A2F57D1"/>
    <w:rsid w:val="3A742699"/>
    <w:rsid w:val="3A80210E"/>
    <w:rsid w:val="3A830E0F"/>
    <w:rsid w:val="3A991136"/>
    <w:rsid w:val="3AAE222A"/>
    <w:rsid w:val="3AC23F4B"/>
    <w:rsid w:val="3B8D0AAE"/>
    <w:rsid w:val="3BAF1F0F"/>
    <w:rsid w:val="3BB76F9F"/>
    <w:rsid w:val="3BF71721"/>
    <w:rsid w:val="3C5E3E3A"/>
    <w:rsid w:val="3C6B5232"/>
    <w:rsid w:val="3CFD6976"/>
    <w:rsid w:val="3D174D89"/>
    <w:rsid w:val="3D1F191A"/>
    <w:rsid w:val="3D2C64C0"/>
    <w:rsid w:val="3D5002B7"/>
    <w:rsid w:val="3D622C7D"/>
    <w:rsid w:val="3D6E7EA5"/>
    <w:rsid w:val="3D854E75"/>
    <w:rsid w:val="3DB03FCF"/>
    <w:rsid w:val="3DD96462"/>
    <w:rsid w:val="3DF5ED1C"/>
    <w:rsid w:val="3DF915F2"/>
    <w:rsid w:val="3E5C0B3F"/>
    <w:rsid w:val="3E6645E3"/>
    <w:rsid w:val="3E815041"/>
    <w:rsid w:val="3E9F31C3"/>
    <w:rsid w:val="3EBB73F9"/>
    <w:rsid w:val="3ECB2D10"/>
    <w:rsid w:val="3ED06CA7"/>
    <w:rsid w:val="3ED0771B"/>
    <w:rsid w:val="3EE91828"/>
    <w:rsid w:val="3EFFC682"/>
    <w:rsid w:val="3F2B8FC9"/>
    <w:rsid w:val="3F4B392D"/>
    <w:rsid w:val="3F566811"/>
    <w:rsid w:val="3F676329"/>
    <w:rsid w:val="3FF3FC00"/>
    <w:rsid w:val="400973E0"/>
    <w:rsid w:val="40E960FF"/>
    <w:rsid w:val="40F83BE6"/>
    <w:rsid w:val="419C2606"/>
    <w:rsid w:val="41A57B46"/>
    <w:rsid w:val="420B2DA8"/>
    <w:rsid w:val="424A5620"/>
    <w:rsid w:val="427317CE"/>
    <w:rsid w:val="42DC72F3"/>
    <w:rsid w:val="42F51E9D"/>
    <w:rsid w:val="42F95FEB"/>
    <w:rsid w:val="42FE7FA4"/>
    <w:rsid w:val="432E56D1"/>
    <w:rsid w:val="433A5A02"/>
    <w:rsid w:val="43454ABD"/>
    <w:rsid w:val="43A51B15"/>
    <w:rsid w:val="43A85972"/>
    <w:rsid w:val="43C261D8"/>
    <w:rsid w:val="43D30430"/>
    <w:rsid w:val="43E87C60"/>
    <w:rsid w:val="440B6995"/>
    <w:rsid w:val="44305883"/>
    <w:rsid w:val="443676BD"/>
    <w:rsid w:val="44437E74"/>
    <w:rsid w:val="44534DBA"/>
    <w:rsid w:val="44635B55"/>
    <w:rsid w:val="44820C0F"/>
    <w:rsid w:val="44F529B8"/>
    <w:rsid w:val="451E40D1"/>
    <w:rsid w:val="45217115"/>
    <w:rsid w:val="457136DD"/>
    <w:rsid w:val="45D670DB"/>
    <w:rsid w:val="45F00D87"/>
    <w:rsid w:val="462128E4"/>
    <w:rsid w:val="462C1A65"/>
    <w:rsid w:val="46313695"/>
    <w:rsid w:val="4643003A"/>
    <w:rsid w:val="464672D0"/>
    <w:rsid w:val="46476EB4"/>
    <w:rsid w:val="46512DBE"/>
    <w:rsid w:val="465F043C"/>
    <w:rsid w:val="466B0DF4"/>
    <w:rsid w:val="46866EA2"/>
    <w:rsid w:val="46AF0723"/>
    <w:rsid w:val="46D53CAD"/>
    <w:rsid w:val="46FF3658"/>
    <w:rsid w:val="47091340"/>
    <w:rsid w:val="47191DFA"/>
    <w:rsid w:val="472471F5"/>
    <w:rsid w:val="474402DF"/>
    <w:rsid w:val="479C4FDD"/>
    <w:rsid w:val="47C83248"/>
    <w:rsid w:val="47E3C92F"/>
    <w:rsid w:val="480A038D"/>
    <w:rsid w:val="48350B09"/>
    <w:rsid w:val="488B752C"/>
    <w:rsid w:val="491E2D0B"/>
    <w:rsid w:val="498A6E4C"/>
    <w:rsid w:val="49F2356E"/>
    <w:rsid w:val="4A1110EB"/>
    <w:rsid w:val="4A325039"/>
    <w:rsid w:val="4A4112FC"/>
    <w:rsid w:val="4A4556DF"/>
    <w:rsid w:val="4A8E17AE"/>
    <w:rsid w:val="4AD35E1A"/>
    <w:rsid w:val="4AE4141D"/>
    <w:rsid w:val="4AF13892"/>
    <w:rsid w:val="4AF30A38"/>
    <w:rsid w:val="4AF70C82"/>
    <w:rsid w:val="4AFE0922"/>
    <w:rsid w:val="4B2B323F"/>
    <w:rsid w:val="4B3D2633"/>
    <w:rsid w:val="4B3F5609"/>
    <w:rsid w:val="4B590134"/>
    <w:rsid w:val="4B705373"/>
    <w:rsid w:val="4B781B3A"/>
    <w:rsid w:val="4B9F4DC6"/>
    <w:rsid w:val="4BC55963"/>
    <w:rsid w:val="4BD70F05"/>
    <w:rsid w:val="4BE66665"/>
    <w:rsid w:val="4BE763FE"/>
    <w:rsid w:val="4C463C47"/>
    <w:rsid w:val="4CA315FF"/>
    <w:rsid w:val="4CC4755B"/>
    <w:rsid w:val="4CC51824"/>
    <w:rsid w:val="4CD92CE3"/>
    <w:rsid w:val="4CE30C2F"/>
    <w:rsid w:val="4CEE5768"/>
    <w:rsid w:val="4CFE5E63"/>
    <w:rsid w:val="4D2E777B"/>
    <w:rsid w:val="4D565C2E"/>
    <w:rsid w:val="4D5C1F9C"/>
    <w:rsid w:val="4D7E415B"/>
    <w:rsid w:val="4D8958AC"/>
    <w:rsid w:val="4DB655BC"/>
    <w:rsid w:val="4DBA260C"/>
    <w:rsid w:val="4E1315AB"/>
    <w:rsid w:val="4E1A69AF"/>
    <w:rsid w:val="4E3C6BD2"/>
    <w:rsid w:val="4E6963F4"/>
    <w:rsid w:val="4EA67471"/>
    <w:rsid w:val="4EF43951"/>
    <w:rsid w:val="4EFC71F8"/>
    <w:rsid w:val="4FC60F3A"/>
    <w:rsid w:val="4FDC2367"/>
    <w:rsid w:val="4FE21534"/>
    <w:rsid w:val="503B275E"/>
    <w:rsid w:val="50A05B3E"/>
    <w:rsid w:val="50FB0FC7"/>
    <w:rsid w:val="5133145B"/>
    <w:rsid w:val="518965D2"/>
    <w:rsid w:val="518A6447"/>
    <w:rsid w:val="51A11B6E"/>
    <w:rsid w:val="51A8187D"/>
    <w:rsid w:val="51B86F76"/>
    <w:rsid w:val="51C3520F"/>
    <w:rsid w:val="51CC3BAF"/>
    <w:rsid w:val="523A566C"/>
    <w:rsid w:val="5281374D"/>
    <w:rsid w:val="52816A24"/>
    <w:rsid w:val="52C5363A"/>
    <w:rsid w:val="53157358"/>
    <w:rsid w:val="531E79A2"/>
    <w:rsid w:val="53640895"/>
    <w:rsid w:val="5369290D"/>
    <w:rsid w:val="536F3B1E"/>
    <w:rsid w:val="53734AFF"/>
    <w:rsid w:val="53DF59D4"/>
    <w:rsid w:val="54293073"/>
    <w:rsid w:val="544720D9"/>
    <w:rsid w:val="544755E9"/>
    <w:rsid w:val="54554E92"/>
    <w:rsid w:val="54602C2D"/>
    <w:rsid w:val="54626400"/>
    <w:rsid w:val="549119BD"/>
    <w:rsid w:val="54E62005"/>
    <w:rsid w:val="551027E8"/>
    <w:rsid w:val="55120D38"/>
    <w:rsid w:val="552E22DE"/>
    <w:rsid w:val="553678C5"/>
    <w:rsid w:val="5556750C"/>
    <w:rsid w:val="55BF108B"/>
    <w:rsid w:val="55D2623F"/>
    <w:rsid w:val="55E04670"/>
    <w:rsid w:val="55FE5F58"/>
    <w:rsid w:val="56332FB1"/>
    <w:rsid w:val="56602607"/>
    <w:rsid w:val="56A05A47"/>
    <w:rsid w:val="56AC47C9"/>
    <w:rsid w:val="56B4410E"/>
    <w:rsid w:val="56B91708"/>
    <w:rsid w:val="56BC4D54"/>
    <w:rsid w:val="56E944F1"/>
    <w:rsid w:val="570851BD"/>
    <w:rsid w:val="575A52BA"/>
    <w:rsid w:val="57604F6B"/>
    <w:rsid w:val="576D10A9"/>
    <w:rsid w:val="57A5692F"/>
    <w:rsid w:val="57E00F16"/>
    <w:rsid w:val="58216262"/>
    <w:rsid w:val="58290EED"/>
    <w:rsid w:val="583F08F6"/>
    <w:rsid w:val="58847AF3"/>
    <w:rsid w:val="588F74BA"/>
    <w:rsid w:val="58AF7F75"/>
    <w:rsid w:val="58D7079C"/>
    <w:rsid w:val="58EC0971"/>
    <w:rsid w:val="59710078"/>
    <w:rsid w:val="5975314E"/>
    <w:rsid w:val="597B5EB9"/>
    <w:rsid w:val="59E20F76"/>
    <w:rsid w:val="5A1B6384"/>
    <w:rsid w:val="5A5E9667"/>
    <w:rsid w:val="5A9976A4"/>
    <w:rsid w:val="5AD44F78"/>
    <w:rsid w:val="5B123195"/>
    <w:rsid w:val="5B1E422F"/>
    <w:rsid w:val="5B273CB3"/>
    <w:rsid w:val="5B3E4F5C"/>
    <w:rsid w:val="5B766B2C"/>
    <w:rsid w:val="5BEB11CF"/>
    <w:rsid w:val="5C1949F7"/>
    <w:rsid w:val="5C6F5B60"/>
    <w:rsid w:val="5C790656"/>
    <w:rsid w:val="5CAC0271"/>
    <w:rsid w:val="5CB00DF0"/>
    <w:rsid w:val="5CD51FB1"/>
    <w:rsid w:val="5CD86660"/>
    <w:rsid w:val="5D131779"/>
    <w:rsid w:val="5D6F463D"/>
    <w:rsid w:val="5D7B5DEB"/>
    <w:rsid w:val="5DB70A45"/>
    <w:rsid w:val="5DCB3ACF"/>
    <w:rsid w:val="5DCE4506"/>
    <w:rsid w:val="5E0652EB"/>
    <w:rsid w:val="5E35666F"/>
    <w:rsid w:val="5E552FD5"/>
    <w:rsid w:val="5E5C3004"/>
    <w:rsid w:val="5ECA1FD8"/>
    <w:rsid w:val="5ED209B4"/>
    <w:rsid w:val="5EDA5A11"/>
    <w:rsid w:val="5EDE3A83"/>
    <w:rsid w:val="5EE4309A"/>
    <w:rsid w:val="5F1141BF"/>
    <w:rsid w:val="5F1B51A6"/>
    <w:rsid w:val="5FFF8DCE"/>
    <w:rsid w:val="600775FC"/>
    <w:rsid w:val="60B46A9C"/>
    <w:rsid w:val="60FB77B8"/>
    <w:rsid w:val="6123706E"/>
    <w:rsid w:val="613D1E9E"/>
    <w:rsid w:val="614B2BFE"/>
    <w:rsid w:val="614D4740"/>
    <w:rsid w:val="61780977"/>
    <w:rsid w:val="61930DA7"/>
    <w:rsid w:val="61B37BCA"/>
    <w:rsid w:val="61D42C79"/>
    <w:rsid w:val="61F950AE"/>
    <w:rsid w:val="6209240B"/>
    <w:rsid w:val="62097BE6"/>
    <w:rsid w:val="620D2C42"/>
    <w:rsid w:val="6235591B"/>
    <w:rsid w:val="62886432"/>
    <w:rsid w:val="62A2257D"/>
    <w:rsid w:val="63001B0F"/>
    <w:rsid w:val="6341070D"/>
    <w:rsid w:val="63EC266D"/>
    <w:rsid w:val="63F0010D"/>
    <w:rsid w:val="641036D2"/>
    <w:rsid w:val="641F50FB"/>
    <w:rsid w:val="646D7DF6"/>
    <w:rsid w:val="648038B0"/>
    <w:rsid w:val="649021A4"/>
    <w:rsid w:val="649E6BD8"/>
    <w:rsid w:val="64DA11AB"/>
    <w:rsid w:val="650F1BEE"/>
    <w:rsid w:val="65177F59"/>
    <w:rsid w:val="65567AD8"/>
    <w:rsid w:val="655DEF7B"/>
    <w:rsid w:val="6562503C"/>
    <w:rsid w:val="656E02D3"/>
    <w:rsid w:val="65A13A93"/>
    <w:rsid w:val="65C6799D"/>
    <w:rsid w:val="65F95BFB"/>
    <w:rsid w:val="6623046B"/>
    <w:rsid w:val="66320136"/>
    <w:rsid w:val="664F023F"/>
    <w:rsid w:val="665A551B"/>
    <w:rsid w:val="669C24AC"/>
    <w:rsid w:val="669F77E3"/>
    <w:rsid w:val="66AB4160"/>
    <w:rsid w:val="66C63977"/>
    <w:rsid w:val="66CA1CB1"/>
    <w:rsid w:val="66FFF493"/>
    <w:rsid w:val="67281F92"/>
    <w:rsid w:val="68051D5E"/>
    <w:rsid w:val="68A76AB7"/>
    <w:rsid w:val="68EF720B"/>
    <w:rsid w:val="690D78C2"/>
    <w:rsid w:val="692F47F3"/>
    <w:rsid w:val="69313380"/>
    <w:rsid w:val="694A7F23"/>
    <w:rsid w:val="69635503"/>
    <w:rsid w:val="699E695C"/>
    <w:rsid w:val="699F1545"/>
    <w:rsid w:val="69E40F29"/>
    <w:rsid w:val="6A1A38EF"/>
    <w:rsid w:val="6A4E7F61"/>
    <w:rsid w:val="6A627569"/>
    <w:rsid w:val="6A647C82"/>
    <w:rsid w:val="6A7154B9"/>
    <w:rsid w:val="6AB27C07"/>
    <w:rsid w:val="6ABA1153"/>
    <w:rsid w:val="6ABF6F65"/>
    <w:rsid w:val="6AC87FE6"/>
    <w:rsid w:val="6B04316B"/>
    <w:rsid w:val="6B4A0F65"/>
    <w:rsid w:val="6B58657E"/>
    <w:rsid w:val="6B791415"/>
    <w:rsid w:val="6BB46A94"/>
    <w:rsid w:val="6BBA3B00"/>
    <w:rsid w:val="6BF9CDAC"/>
    <w:rsid w:val="6BFC0360"/>
    <w:rsid w:val="6C040369"/>
    <w:rsid w:val="6C5E2EE5"/>
    <w:rsid w:val="6CA44F9E"/>
    <w:rsid w:val="6CAD0B65"/>
    <w:rsid w:val="6CCC0FA1"/>
    <w:rsid w:val="6D1A6367"/>
    <w:rsid w:val="6D4A1693"/>
    <w:rsid w:val="6D51581F"/>
    <w:rsid w:val="6D55102F"/>
    <w:rsid w:val="6D6628E6"/>
    <w:rsid w:val="6D7B606D"/>
    <w:rsid w:val="6D9A2A48"/>
    <w:rsid w:val="6DC9002B"/>
    <w:rsid w:val="6DCE447E"/>
    <w:rsid w:val="6DCF6AFE"/>
    <w:rsid w:val="6DD71A54"/>
    <w:rsid w:val="6DF57CAC"/>
    <w:rsid w:val="6E225C58"/>
    <w:rsid w:val="6E3269D7"/>
    <w:rsid w:val="6E5E2D1F"/>
    <w:rsid w:val="6E944536"/>
    <w:rsid w:val="6EB61E3D"/>
    <w:rsid w:val="6EB760D5"/>
    <w:rsid w:val="6EBA0E66"/>
    <w:rsid w:val="6EDC6697"/>
    <w:rsid w:val="6EFF7AFF"/>
    <w:rsid w:val="6F264A9E"/>
    <w:rsid w:val="6F273616"/>
    <w:rsid w:val="6F44468A"/>
    <w:rsid w:val="6F590296"/>
    <w:rsid w:val="6F5FC89A"/>
    <w:rsid w:val="6FAF733F"/>
    <w:rsid w:val="6FC509BB"/>
    <w:rsid w:val="6FCA008A"/>
    <w:rsid w:val="6FDE4678"/>
    <w:rsid w:val="70076BE8"/>
    <w:rsid w:val="70107F06"/>
    <w:rsid w:val="706C51D4"/>
    <w:rsid w:val="707E792B"/>
    <w:rsid w:val="708345D2"/>
    <w:rsid w:val="710226C8"/>
    <w:rsid w:val="71306870"/>
    <w:rsid w:val="713F7EA0"/>
    <w:rsid w:val="714F0C4E"/>
    <w:rsid w:val="71B15BA7"/>
    <w:rsid w:val="72312642"/>
    <w:rsid w:val="7299178E"/>
    <w:rsid w:val="72AB4F79"/>
    <w:rsid w:val="72B72559"/>
    <w:rsid w:val="72DF0423"/>
    <w:rsid w:val="72E65600"/>
    <w:rsid w:val="73597617"/>
    <w:rsid w:val="73730DA8"/>
    <w:rsid w:val="73760A49"/>
    <w:rsid w:val="739D67C6"/>
    <w:rsid w:val="73A908A3"/>
    <w:rsid w:val="73B60772"/>
    <w:rsid w:val="73E04711"/>
    <w:rsid w:val="7450542B"/>
    <w:rsid w:val="745555ED"/>
    <w:rsid w:val="748449C5"/>
    <w:rsid w:val="748E75A3"/>
    <w:rsid w:val="74C7585F"/>
    <w:rsid w:val="74E03F88"/>
    <w:rsid w:val="75287D22"/>
    <w:rsid w:val="759B7FBA"/>
    <w:rsid w:val="75A02A57"/>
    <w:rsid w:val="75CB7E3D"/>
    <w:rsid w:val="75DF3D2D"/>
    <w:rsid w:val="76197A00"/>
    <w:rsid w:val="763B1ECB"/>
    <w:rsid w:val="76712F0C"/>
    <w:rsid w:val="768A331D"/>
    <w:rsid w:val="76AE6010"/>
    <w:rsid w:val="76BD1D08"/>
    <w:rsid w:val="76E3368E"/>
    <w:rsid w:val="773662B0"/>
    <w:rsid w:val="774E8361"/>
    <w:rsid w:val="775546DD"/>
    <w:rsid w:val="776B2153"/>
    <w:rsid w:val="77996CC0"/>
    <w:rsid w:val="779E602D"/>
    <w:rsid w:val="77AB47FF"/>
    <w:rsid w:val="77BF458C"/>
    <w:rsid w:val="77CC6DB9"/>
    <w:rsid w:val="77FDF4D8"/>
    <w:rsid w:val="785250C1"/>
    <w:rsid w:val="788259A6"/>
    <w:rsid w:val="789B3CC7"/>
    <w:rsid w:val="78CB2770"/>
    <w:rsid w:val="79080D5A"/>
    <w:rsid w:val="792C76C0"/>
    <w:rsid w:val="799A251B"/>
    <w:rsid w:val="799F572C"/>
    <w:rsid w:val="7A0F6CC1"/>
    <w:rsid w:val="7A3C7DD6"/>
    <w:rsid w:val="7A4F1F4A"/>
    <w:rsid w:val="7A62553D"/>
    <w:rsid w:val="7A6B4B71"/>
    <w:rsid w:val="7AB034C4"/>
    <w:rsid w:val="7AFE32DE"/>
    <w:rsid w:val="7B372587"/>
    <w:rsid w:val="7B6B04D4"/>
    <w:rsid w:val="7B9C4BFD"/>
    <w:rsid w:val="7BDA78A7"/>
    <w:rsid w:val="7BF061B4"/>
    <w:rsid w:val="7BF567D9"/>
    <w:rsid w:val="7C0B180E"/>
    <w:rsid w:val="7C317624"/>
    <w:rsid w:val="7C4C1671"/>
    <w:rsid w:val="7C4E77CA"/>
    <w:rsid w:val="7C5424EB"/>
    <w:rsid w:val="7C6D6A69"/>
    <w:rsid w:val="7C710451"/>
    <w:rsid w:val="7C831B79"/>
    <w:rsid w:val="7CA63A69"/>
    <w:rsid w:val="7CCE4721"/>
    <w:rsid w:val="7CF914B9"/>
    <w:rsid w:val="7CFB5D27"/>
    <w:rsid w:val="7D2A690E"/>
    <w:rsid w:val="7D717D97"/>
    <w:rsid w:val="7D974FAD"/>
    <w:rsid w:val="7D9D6A3C"/>
    <w:rsid w:val="7DA13BE6"/>
    <w:rsid w:val="7DA93D80"/>
    <w:rsid w:val="7DBE2E7E"/>
    <w:rsid w:val="7DD6735D"/>
    <w:rsid w:val="7E8B72AB"/>
    <w:rsid w:val="7E9F291D"/>
    <w:rsid w:val="7EB1275E"/>
    <w:rsid w:val="7EC46054"/>
    <w:rsid w:val="7F1C3DA0"/>
    <w:rsid w:val="7F27210B"/>
    <w:rsid w:val="7F6B7807"/>
    <w:rsid w:val="7F6E1582"/>
    <w:rsid w:val="7F80403E"/>
    <w:rsid w:val="7FD83530"/>
    <w:rsid w:val="7FDF7A67"/>
    <w:rsid w:val="7FEB427E"/>
    <w:rsid w:val="7FF8654D"/>
    <w:rsid w:val="7FFE723E"/>
    <w:rsid w:val="7FFF0711"/>
    <w:rsid w:val="7FFF5B2E"/>
    <w:rsid w:val="89F82342"/>
    <w:rsid w:val="96AF2240"/>
    <w:rsid w:val="9FFB30E4"/>
    <w:rsid w:val="A6F584CD"/>
    <w:rsid w:val="AEFDEAD8"/>
    <w:rsid w:val="B97FB4D7"/>
    <w:rsid w:val="B9FC8339"/>
    <w:rsid w:val="BBF0FAA8"/>
    <w:rsid w:val="BC560498"/>
    <w:rsid w:val="BE9DF86C"/>
    <w:rsid w:val="BEDF9F48"/>
    <w:rsid w:val="BFFF7128"/>
    <w:rsid w:val="CFE54498"/>
    <w:rsid w:val="D3F553FC"/>
    <w:rsid w:val="D7BF48D2"/>
    <w:rsid w:val="D7FB74B3"/>
    <w:rsid w:val="DC7ECED4"/>
    <w:rsid w:val="DE57FC0E"/>
    <w:rsid w:val="E1F7534D"/>
    <w:rsid w:val="E58FBAA3"/>
    <w:rsid w:val="E67FD8C5"/>
    <w:rsid w:val="ECF7274D"/>
    <w:rsid w:val="EEB4E2FB"/>
    <w:rsid w:val="EF7BC9C0"/>
    <w:rsid w:val="EF9772C4"/>
    <w:rsid w:val="EFDB2BF9"/>
    <w:rsid w:val="F4BFD753"/>
    <w:rsid w:val="F55F7B96"/>
    <w:rsid w:val="F77E20D2"/>
    <w:rsid w:val="F7BA0106"/>
    <w:rsid w:val="F7DD11C0"/>
    <w:rsid w:val="FA6E1ABF"/>
    <w:rsid w:val="FCDA4059"/>
    <w:rsid w:val="FDBFBF64"/>
    <w:rsid w:val="FDEF1C54"/>
    <w:rsid w:val="FDFE247C"/>
    <w:rsid w:val="FDFEE026"/>
    <w:rsid w:val="FDFF15F9"/>
    <w:rsid w:val="FF990565"/>
    <w:rsid w:val="FFBF786B"/>
    <w:rsid w:val="FFDFE6B1"/>
    <w:rsid w:val="FFEB2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jc w:val="center"/>
      <w:outlineLvl w:val="0"/>
    </w:pPr>
    <w:rPr>
      <w:b/>
      <w:bCs/>
      <w:sz w:val="24"/>
      <w:szCs w:val="20"/>
    </w:rPr>
  </w:style>
  <w:style w:type="paragraph" w:styleId="3">
    <w:name w:val="heading 2"/>
    <w:basedOn w:val="1"/>
    <w:next w:val="1"/>
    <w:link w:val="53"/>
    <w:qFormat/>
    <w:uiPriority w:val="0"/>
    <w:pPr>
      <w:keepNext/>
      <w:keepLines/>
      <w:spacing w:line="360" w:lineRule="auto"/>
      <w:outlineLvl w:val="1"/>
    </w:pPr>
    <w:rPr>
      <w:rFonts w:ascii="Arial" w:hAnsi="Arial"/>
      <w:b/>
      <w:bCs/>
      <w:sz w:val="24"/>
      <w:szCs w:val="32"/>
    </w:rPr>
  </w:style>
  <w:style w:type="paragraph" w:styleId="4">
    <w:name w:val="heading 3"/>
    <w:basedOn w:val="1"/>
    <w:next w:val="1"/>
    <w:link w:val="55"/>
    <w:qFormat/>
    <w:uiPriority w:val="0"/>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6"/>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2"/>
    <w:semiHidden/>
    <w:qFormat/>
    <w:uiPriority w:val="0"/>
    <w:pPr>
      <w:shd w:val="clear" w:color="auto" w:fill="000080"/>
    </w:pPr>
  </w:style>
  <w:style w:type="paragraph" w:styleId="15">
    <w:name w:val="annotation text"/>
    <w:basedOn w:val="1"/>
    <w:link w:val="76"/>
    <w:semiHidden/>
    <w:qFormat/>
    <w:uiPriority w:val="0"/>
    <w:pPr>
      <w:jc w:val="left"/>
    </w:pPr>
  </w:style>
  <w:style w:type="paragraph" w:styleId="16">
    <w:name w:val="Salutation"/>
    <w:basedOn w:val="1"/>
    <w:next w:val="1"/>
    <w:link w:val="81"/>
    <w:qFormat/>
    <w:uiPriority w:val="0"/>
    <w:rPr>
      <w:rFonts w:ascii="仿宋_GB2312" w:eastAsia="仿宋_GB2312"/>
      <w:sz w:val="24"/>
    </w:rPr>
  </w:style>
  <w:style w:type="paragraph" w:styleId="17">
    <w:name w:val="Body Text"/>
    <w:basedOn w:val="1"/>
    <w:link w:val="70"/>
    <w:qFormat/>
    <w:uiPriority w:val="0"/>
    <w:pPr>
      <w:spacing w:after="120"/>
    </w:pPr>
  </w:style>
  <w:style w:type="paragraph" w:styleId="18">
    <w:name w:val="Body Text Indent"/>
    <w:basedOn w:val="1"/>
    <w:next w:val="19"/>
    <w:link w:val="73"/>
    <w:qFormat/>
    <w:uiPriority w:val="0"/>
    <w:pPr>
      <w:spacing w:after="120"/>
      <w:ind w:left="420" w:leftChars="200"/>
    </w:pPr>
  </w:style>
  <w:style w:type="paragraph" w:styleId="19">
    <w:name w:val="Body Text Indent 2"/>
    <w:basedOn w:val="1"/>
    <w:link w:val="83"/>
    <w:qFormat/>
    <w:uiPriority w:val="0"/>
    <w:pPr>
      <w:spacing w:after="120" w:line="480" w:lineRule="auto"/>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75"/>
    <w:qFormat/>
    <w:uiPriority w:val="0"/>
    <w:rPr>
      <w:rFonts w:ascii="宋体" w:hAnsi="Courier New" w:cs="Courier New"/>
      <w:szCs w:val="21"/>
    </w:rPr>
  </w:style>
  <w:style w:type="paragraph" w:styleId="2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86"/>
    <w:qFormat/>
    <w:uiPriority w:val="0"/>
    <w:rPr>
      <w:sz w:val="24"/>
      <w:szCs w:val="20"/>
    </w:rPr>
  </w:style>
  <w:style w:type="paragraph" w:styleId="26">
    <w:name w:val="Balloon Text"/>
    <w:basedOn w:val="1"/>
    <w:link w:val="100"/>
    <w:qFormat/>
    <w:uiPriority w:val="0"/>
    <w:rPr>
      <w:sz w:val="18"/>
      <w:szCs w:val="18"/>
    </w:rPr>
  </w:style>
  <w:style w:type="paragraph" w:styleId="27">
    <w:name w:val="footer"/>
    <w:basedOn w:val="1"/>
    <w:link w:val="71"/>
    <w:qFormat/>
    <w:uiPriority w:val="99"/>
    <w:pPr>
      <w:tabs>
        <w:tab w:val="center" w:pos="4153"/>
        <w:tab w:val="right" w:pos="8306"/>
      </w:tabs>
      <w:snapToGrid w:val="0"/>
      <w:jc w:val="left"/>
    </w:pPr>
    <w:rPr>
      <w:sz w:val="18"/>
      <w:szCs w:val="18"/>
    </w:rPr>
  </w:style>
  <w:style w:type="paragraph" w:styleId="28">
    <w:name w:val="header"/>
    <w:basedOn w:val="1"/>
    <w:link w:val="72"/>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85"/>
    <w:qFormat/>
    <w:uiPriority w:val="0"/>
    <w:pPr>
      <w:spacing w:after="120"/>
      <w:ind w:left="420" w:leftChars="200"/>
    </w:pPr>
    <w:rPr>
      <w:sz w:val="16"/>
      <w:szCs w:val="16"/>
    </w:rPr>
  </w:style>
  <w:style w:type="paragraph" w:styleId="33">
    <w:name w:val="table of figures"/>
    <w:basedOn w:val="1"/>
    <w:next w:val="1"/>
    <w:semiHidden/>
    <w:qFormat/>
    <w:uiPriority w:val="0"/>
    <w:pPr>
      <w:adjustRightInd w:val="0"/>
      <w:snapToGrid w:val="0"/>
      <w:ind w:left="840" w:leftChars="200" w:hanging="420" w:hangingChars="200"/>
    </w:pPr>
    <w:rPr>
      <w:rFonts w:ascii="宋体" w:hAnsi="Times New Roman"/>
      <w:szCs w:val="20"/>
    </w:rPr>
  </w:style>
  <w:style w:type="paragraph" w:styleId="34">
    <w:name w:val="toc 2"/>
    <w:basedOn w:val="1"/>
    <w:next w:val="1"/>
    <w:unhideWhenUsed/>
    <w:qFormat/>
    <w:uiPriority w:val="39"/>
    <w:pPr>
      <w:spacing w:line="360" w:lineRule="auto"/>
      <w:ind w:left="200" w:leftChars="200"/>
    </w:pPr>
    <w:rPr>
      <w:rFonts w:eastAsiaTheme="majorEastAsia"/>
      <w:b/>
    </w:rPr>
  </w:style>
  <w:style w:type="paragraph" w:styleId="35">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6">
    <w:name w:val="Body Text 2"/>
    <w:basedOn w:val="1"/>
    <w:link w:val="82"/>
    <w:qFormat/>
    <w:uiPriority w:val="0"/>
    <w:pPr>
      <w:spacing w:after="120" w:line="480" w:lineRule="auto"/>
    </w:pPr>
  </w:style>
  <w:style w:type="paragraph" w:styleId="37">
    <w:name w:val="HTML Preformatted"/>
    <w:basedOn w:val="1"/>
    <w:link w:val="8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link w:val="117"/>
    <w:qFormat/>
    <w:uiPriority w:val="0"/>
    <w:pPr>
      <w:jc w:val="center"/>
      <w:outlineLvl w:val="0"/>
    </w:pPr>
    <w:rPr>
      <w:rFonts w:asciiTheme="minorHAnsi" w:hAnsiTheme="minorHAnsi" w:eastAsiaTheme="minorEastAsia" w:cstheme="minorBidi"/>
      <w:b/>
      <w:sz w:val="32"/>
      <w:szCs w:val="22"/>
    </w:rPr>
  </w:style>
  <w:style w:type="paragraph" w:styleId="41">
    <w:name w:val="annotation subject"/>
    <w:basedOn w:val="15"/>
    <w:next w:val="15"/>
    <w:link w:val="99"/>
    <w:qFormat/>
    <w:uiPriority w:val="0"/>
    <w:rPr>
      <w:b/>
      <w:bCs/>
    </w:rPr>
  </w:style>
  <w:style w:type="paragraph" w:styleId="42">
    <w:name w:val="Body Text First Indent"/>
    <w:basedOn w:val="17"/>
    <w:qFormat/>
    <w:uiPriority w:val="0"/>
    <w:pPr>
      <w:spacing w:after="120" w:line="360" w:lineRule="exact"/>
      <w:ind w:left="400" w:leftChars="400" w:firstLine="420" w:firstLineChars="100"/>
    </w:pPr>
    <w:rPr>
      <w:rFonts w:eastAsia="楷体_GB2312"/>
      <w:sz w:val="24"/>
    </w:rPr>
  </w:style>
  <w:style w:type="paragraph" w:styleId="43">
    <w:name w:val="Body Text First Indent 2"/>
    <w:basedOn w:val="18"/>
    <w:next w:val="42"/>
    <w:qFormat/>
    <w:uiPriority w:val="0"/>
    <w:pPr>
      <w:spacing w:after="120" w:afterLines="0"/>
      <w:ind w:left="420" w:leftChars="200" w:firstLine="482" w:firstLineChars="200"/>
    </w:pPr>
    <w:rPr>
      <w:rFonts w:ascii="Calibri" w:hAnsi="Calibri"/>
      <w:b/>
      <w:sz w:val="24"/>
      <w:szCs w:val="24"/>
    </w:rPr>
  </w:style>
  <w:style w:type="table" w:styleId="45">
    <w:name w:val="Table Grid"/>
    <w:basedOn w:val="4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basedOn w:val="46"/>
    <w:qFormat/>
    <w:uiPriority w:val="20"/>
  </w:style>
  <w:style w:type="character" w:styleId="51">
    <w:name w:val="Hyperlink"/>
    <w:qFormat/>
    <w:uiPriority w:val="99"/>
    <w:rPr>
      <w:color w:val="136EC2"/>
      <w:u w:val="single"/>
    </w:rPr>
  </w:style>
  <w:style w:type="character" w:styleId="52">
    <w:name w:val="annotation reference"/>
    <w:qFormat/>
    <w:uiPriority w:val="0"/>
    <w:rPr>
      <w:sz w:val="21"/>
      <w:szCs w:val="21"/>
    </w:rPr>
  </w:style>
  <w:style w:type="character" w:customStyle="1" w:styleId="53">
    <w:name w:val="标题 2 Char"/>
    <w:basedOn w:val="46"/>
    <w:link w:val="3"/>
    <w:qFormat/>
    <w:uiPriority w:val="0"/>
    <w:rPr>
      <w:rFonts w:ascii="Arial" w:hAnsi="Arial" w:eastAsia="宋体" w:cs="Times New Roman"/>
      <w:b/>
      <w:bCs/>
      <w:sz w:val="24"/>
      <w:szCs w:val="32"/>
    </w:rPr>
  </w:style>
  <w:style w:type="paragraph" w:customStyle="1" w:styleId="54">
    <w:name w:val="font5"/>
    <w:basedOn w:val="1"/>
    <w:qFormat/>
    <w:uiPriority w:val="0"/>
    <w:pPr>
      <w:widowControl/>
      <w:spacing w:before="100" w:beforeAutospacing="1" w:after="100" w:afterAutospacing="1"/>
      <w:jc w:val="left"/>
    </w:pPr>
    <w:rPr>
      <w:rFonts w:ascii="宋体"/>
      <w:kern w:val="0"/>
      <w:sz w:val="18"/>
      <w:szCs w:val="18"/>
    </w:rPr>
  </w:style>
  <w:style w:type="character" w:customStyle="1" w:styleId="55">
    <w:name w:val="标题 3 Char"/>
    <w:basedOn w:val="46"/>
    <w:link w:val="4"/>
    <w:qFormat/>
    <w:uiPriority w:val="0"/>
    <w:rPr>
      <w:rFonts w:ascii="Times New Roman" w:hAnsi="Times New Roman" w:eastAsia="宋体" w:cs="Times New Roman"/>
      <w:b/>
      <w:bCs/>
      <w:sz w:val="32"/>
      <w:szCs w:val="32"/>
    </w:rPr>
  </w:style>
  <w:style w:type="character" w:customStyle="1" w:styleId="56">
    <w:name w:val="标题 1 Char"/>
    <w:basedOn w:val="46"/>
    <w:link w:val="2"/>
    <w:qFormat/>
    <w:uiPriority w:val="0"/>
    <w:rPr>
      <w:rFonts w:ascii="Times New Roman" w:hAnsi="Times New Roman" w:eastAsia="宋体" w:cs="Times New Roman"/>
      <w:b/>
      <w:bCs/>
      <w:sz w:val="24"/>
      <w:szCs w:val="20"/>
    </w:rPr>
  </w:style>
  <w:style w:type="character" w:customStyle="1" w:styleId="57">
    <w:name w:val="标题 4 Char"/>
    <w:basedOn w:val="46"/>
    <w:link w:val="5"/>
    <w:qFormat/>
    <w:uiPriority w:val="0"/>
    <w:rPr>
      <w:rFonts w:ascii="Arial" w:hAnsi="Arial" w:eastAsia="黑体" w:cs="Times New Roman"/>
      <w:b/>
      <w:bCs/>
      <w:sz w:val="28"/>
      <w:szCs w:val="28"/>
    </w:rPr>
  </w:style>
  <w:style w:type="paragraph" w:customStyle="1" w:styleId="58">
    <w:name w:val="列出段落1"/>
    <w:basedOn w:val="59"/>
    <w:next w:val="60"/>
    <w:qFormat/>
    <w:uiPriority w:val="0"/>
    <w:pPr>
      <w:ind w:firstLine="420" w:firstLineChars="200"/>
    </w:pPr>
    <w:rPr>
      <w:szCs w:val="21"/>
    </w:rPr>
  </w:style>
  <w:style w:type="paragraph" w:customStyle="1" w:styleId="59">
    <w:name w:val="正文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Style26"/>
    <w:basedOn w:val="1"/>
    <w:next w:val="18"/>
    <w:unhideWhenUsed/>
    <w:qFormat/>
    <w:uiPriority w:val="0"/>
  </w:style>
  <w:style w:type="paragraph" w:customStyle="1" w:styleId="61">
    <w:name w:val="Body Text Indent1"/>
    <w:basedOn w:val="1"/>
    <w:next w:val="62"/>
    <w:qFormat/>
    <w:uiPriority w:val="0"/>
    <w:pPr>
      <w:spacing w:after="120" w:afterLines="0"/>
      <w:ind w:left="420" w:leftChars="200"/>
    </w:pPr>
    <w:rPr>
      <w:rFonts w:ascii="宋体" w:hAnsi="宋体"/>
    </w:rPr>
  </w:style>
  <w:style w:type="paragraph" w:customStyle="1" w:styleId="62">
    <w:name w:val="Body Text Indent 31"/>
    <w:basedOn w:val="1"/>
    <w:next w:val="63"/>
    <w:qFormat/>
    <w:uiPriority w:val="0"/>
    <w:pPr>
      <w:spacing w:after="120" w:afterLines="0"/>
      <w:ind w:left="420" w:leftChars="200"/>
    </w:pPr>
    <w:rPr>
      <w:kern w:val="0"/>
      <w:sz w:val="16"/>
      <w:szCs w:val="16"/>
    </w:rPr>
  </w:style>
  <w:style w:type="paragraph" w:customStyle="1" w:styleId="63">
    <w:name w:val="Style23"/>
    <w:basedOn w:val="1"/>
    <w:next w:val="1"/>
    <w:unhideWhenUsed/>
    <w:qFormat/>
    <w:uiPriority w:val="0"/>
  </w:style>
  <w:style w:type="character" w:customStyle="1" w:styleId="64">
    <w:name w:val="标题 5 Char"/>
    <w:basedOn w:val="46"/>
    <w:link w:val="6"/>
    <w:qFormat/>
    <w:uiPriority w:val="0"/>
    <w:rPr>
      <w:rFonts w:ascii="Times New Roman" w:hAnsi="Times New Roman" w:eastAsia="宋体" w:cs="Times New Roman"/>
      <w:b/>
      <w:bCs/>
      <w:kern w:val="0"/>
      <w:sz w:val="28"/>
      <w:szCs w:val="28"/>
    </w:rPr>
  </w:style>
  <w:style w:type="character" w:customStyle="1" w:styleId="65">
    <w:name w:val="标题 6 Char"/>
    <w:basedOn w:val="46"/>
    <w:link w:val="7"/>
    <w:qFormat/>
    <w:uiPriority w:val="0"/>
    <w:rPr>
      <w:rFonts w:ascii="Arial" w:hAnsi="Arial" w:eastAsia="黑体" w:cs="Times New Roman"/>
      <w:b/>
      <w:bCs/>
      <w:kern w:val="0"/>
      <w:sz w:val="24"/>
      <w:szCs w:val="24"/>
    </w:rPr>
  </w:style>
  <w:style w:type="character" w:customStyle="1" w:styleId="66">
    <w:name w:val="标题 7 Char"/>
    <w:basedOn w:val="46"/>
    <w:link w:val="8"/>
    <w:qFormat/>
    <w:uiPriority w:val="0"/>
    <w:rPr>
      <w:rFonts w:ascii="Times New Roman" w:hAnsi="Times New Roman" w:eastAsia="宋体" w:cs="Times New Roman"/>
      <w:b/>
      <w:bCs/>
      <w:kern w:val="0"/>
      <w:sz w:val="24"/>
      <w:szCs w:val="24"/>
    </w:rPr>
  </w:style>
  <w:style w:type="character" w:customStyle="1" w:styleId="67">
    <w:name w:val="标题 8 Char"/>
    <w:basedOn w:val="46"/>
    <w:link w:val="9"/>
    <w:qFormat/>
    <w:uiPriority w:val="0"/>
    <w:rPr>
      <w:rFonts w:ascii="Arial" w:hAnsi="Arial" w:eastAsia="黑体" w:cs="Times New Roman"/>
      <w:kern w:val="0"/>
      <w:sz w:val="24"/>
      <w:szCs w:val="24"/>
    </w:rPr>
  </w:style>
  <w:style w:type="character" w:customStyle="1" w:styleId="68">
    <w:name w:val="标题 9 Char"/>
    <w:basedOn w:val="46"/>
    <w:link w:val="10"/>
    <w:qFormat/>
    <w:uiPriority w:val="0"/>
    <w:rPr>
      <w:rFonts w:ascii="Arial" w:hAnsi="Arial" w:eastAsia="黑体" w:cs="Times New Roman"/>
      <w:kern w:val="0"/>
      <w:szCs w:val="21"/>
    </w:rPr>
  </w:style>
  <w:style w:type="paragraph" w:customStyle="1" w:styleId="69">
    <w:name w:val="表格内容"/>
    <w:basedOn w:val="17"/>
    <w:qFormat/>
    <w:uiPriority w:val="0"/>
    <w:pPr>
      <w:suppressLineNumbers/>
      <w:suppressAutoHyphens/>
      <w:jc w:val="left"/>
    </w:pPr>
    <w:rPr>
      <w:rFonts w:cs="Tahoma"/>
      <w:kern w:val="0"/>
      <w:sz w:val="24"/>
    </w:rPr>
  </w:style>
  <w:style w:type="character" w:customStyle="1" w:styleId="70">
    <w:name w:val="正文文本 Char"/>
    <w:basedOn w:val="46"/>
    <w:link w:val="17"/>
    <w:qFormat/>
    <w:uiPriority w:val="0"/>
    <w:rPr>
      <w:rFonts w:ascii="Times New Roman" w:hAnsi="Times New Roman" w:eastAsia="宋体" w:cs="Times New Roman"/>
      <w:szCs w:val="24"/>
    </w:rPr>
  </w:style>
  <w:style w:type="character" w:customStyle="1" w:styleId="71">
    <w:name w:val="页脚 Char"/>
    <w:basedOn w:val="46"/>
    <w:link w:val="27"/>
    <w:qFormat/>
    <w:uiPriority w:val="99"/>
    <w:rPr>
      <w:rFonts w:ascii="Times New Roman" w:hAnsi="Times New Roman" w:eastAsia="宋体" w:cs="Times New Roman"/>
      <w:sz w:val="18"/>
      <w:szCs w:val="18"/>
    </w:rPr>
  </w:style>
  <w:style w:type="character" w:customStyle="1" w:styleId="72">
    <w:name w:val="页眉 Char"/>
    <w:basedOn w:val="46"/>
    <w:link w:val="28"/>
    <w:qFormat/>
    <w:uiPriority w:val="99"/>
    <w:rPr>
      <w:rFonts w:ascii="Times New Roman" w:hAnsi="Times New Roman" w:eastAsia="宋体" w:cs="Times New Roman"/>
      <w:sz w:val="18"/>
      <w:szCs w:val="18"/>
    </w:rPr>
  </w:style>
  <w:style w:type="character" w:customStyle="1" w:styleId="73">
    <w:name w:val="正文文本缩进 Char"/>
    <w:basedOn w:val="46"/>
    <w:link w:val="18"/>
    <w:qFormat/>
    <w:uiPriority w:val="0"/>
    <w:rPr>
      <w:rFonts w:ascii="Times New Roman" w:hAnsi="Times New Roman" w:eastAsia="宋体" w:cs="Times New Roman"/>
      <w:szCs w:val="24"/>
    </w:rPr>
  </w:style>
  <w:style w:type="paragraph" w:customStyle="1" w:styleId="74">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5">
    <w:name w:val="纯文本 Char"/>
    <w:basedOn w:val="46"/>
    <w:link w:val="23"/>
    <w:qFormat/>
    <w:uiPriority w:val="0"/>
    <w:rPr>
      <w:rFonts w:ascii="宋体" w:hAnsi="Courier New" w:eastAsia="宋体" w:cs="Courier New"/>
      <w:szCs w:val="21"/>
    </w:rPr>
  </w:style>
  <w:style w:type="character" w:customStyle="1" w:styleId="76">
    <w:name w:val="批注文字 Char"/>
    <w:basedOn w:val="46"/>
    <w:link w:val="15"/>
    <w:semiHidden/>
    <w:qFormat/>
    <w:uiPriority w:val="0"/>
    <w:rPr>
      <w:rFonts w:ascii="Times New Roman" w:hAnsi="Times New Roman" w:eastAsia="宋体" w:cs="Times New Roman"/>
      <w:szCs w:val="24"/>
    </w:rPr>
  </w:style>
  <w:style w:type="paragraph" w:customStyle="1" w:styleId="7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8">
    <w:name w:val="Char Char Char"/>
    <w:basedOn w:val="1"/>
    <w:qFormat/>
    <w:uiPriority w:val="0"/>
    <w:rPr>
      <w:rFonts w:ascii="宋体" w:hAnsi="宋体"/>
      <w:b/>
      <w:sz w:val="28"/>
      <w:szCs w:val="28"/>
    </w:rPr>
  </w:style>
  <w:style w:type="paragraph" w:customStyle="1" w:styleId="7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0">
    <w:name w:val="HTML 预设格式 Char"/>
    <w:basedOn w:val="46"/>
    <w:link w:val="37"/>
    <w:qFormat/>
    <w:uiPriority w:val="0"/>
    <w:rPr>
      <w:rFonts w:ascii="Arial" w:hAnsi="Arial" w:eastAsia="宋体" w:cs="Arial"/>
      <w:kern w:val="0"/>
      <w:sz w:val="24"/>
      <w:szCs w:val="24"/>
    </w:rPr>
  </w:style>
  <w:style w:type="character" w:customStyle="1" w:styleId="81">
    <w:name w:val="称呼 Char"/>
    <w:basedOn w:val="46"/>
    <w:link w:val="16"/>
    <w:qFormat/>
    <w:uiPriority w:val="0"/>
    <w:rPr>
      <w:rFonts w:ascii="仿宋_GB2312" w:hAnsi="Times New Roman" w:eastAsia="仿宋_GB2312" w:cs="Times New Roman"/>
      <w:sz w:val="24"/>
      <w:szCs w:val="24"/>
    </w:rPr>
  </w:style>
  <w:style w:type="character" w:customStyle="1" w:styleId="82">
    <w:name w:val="正文文本 2 Char"/>
    <w:basedOn w:val="46"/>
    <w:link w:val="36"/>
    <w:qFormat/>
    <w:uiPriority w:val="0"/>
    <w:rPr>
      <w:rFonts w:ascii="Times New Roman" w:hAnsi="Times New Roman" w:eastAsia="宋体" w:cs="Times New Roman"/>
      <w:szCs w:val="24"/>
    </w:rPr>
  </w:style>
  <w:style w:type="character" w:customStyle="1" w:styleId="83">
    <w:name w:val="正文文本缩进 2 Char"/>
    <w:basedOn w:val="46"/>
    <w:link w:val="19"/>
    <w:qFormat/>
    <w:uiPriority w:val="0"/>
    <w:rPr>
      <w:rFonts w:ascii="Times New Roman" w:hAnsi="Times New Roman" w:eastAsia="宋体" w:cs="Times New Roman"/>
      <w:szCs w:val="24"/>
    </w:rPr>
  </w:style>
  <w:style w:type="paragraph" w:customStyle="1" w:styleId="84">
    <w:name w:val="Char"/>
    <w:basedOn w:val="1"/>
    <w:qFormat/>
    <w:uiPriority w:val="0"/>
    <w:pPr>
      <w:tabs>
        <w:tab w:val="left" w:pos="360"/>
      </w:tabs>
      <w:ind w:left="360" w:hanging="360" w:hangingChars="200"/>
    </w:pPr>
    <w:rPr>
      <w:sz w:val="24"/>
    </w:rPr>
  </w:style>
  <w:style w:type="character" w:customStyle="1" w:styleId="85">
    <w:name w:val="正文文本缩进 3 Char"/>
    <w:basedOn w:val="46"/>
    <w:link w:val="32"/>
    <w:qFormat/>
    <w:uiPriority w:val="0"/>
    <w:rPr>
      <w:rFonts w:ascii="Times New Roman" w:hAnsi="Times New Roman" w:eastAsia="宋体" w:cs="Times New Roman"/>
      <w:sz w:val="16"/>
      <w:szCs w:val="16"/>
    </w:rPr>
  </w:style>
  <w:style w:type="character" w:customStyle="1" w:styleId="86">
    <w:name w:val="日期 Char"/>
    <w:basedOn w:val="46"/>
    <w:link w:val="25"/>
    <w:qFormat/>
    <w:uiPriority w:val="0"/>
    <w:rPr>
      <w:rFonts w:ascii="Times New Roman" w:hAnsi="Times New Roman" w:eastAsia="宋体" w:cs="Times New Roman"/>
      <w:sz w:val="24"/>
      <w:szCs w:val="20"/>
    </w:rPr>
  </w:style>
  <w:style w:type="paragraph" w:customStyle="1" w:styleId="87">
    <w:name w:val="样式1"/>
    <w:basedOn w:val="1"/>
    <w:link w:val="119"/>
    <w:qFormat/>
    <w:uiPriority w:val="0"/>
    <w:pPr>
      <w:tabs>
        <w:tab w:val="left" w:pos="360"/>
      </w:tabs>
      <w:adjustRightInd w:val="0"/>
      <w:ind w:left="360" w:hanging="360"/>
      <w:textAlignment w:val="baseline"/>
    </w:pPr>
    <w:rPr>
      <w:rFonts w:ascii="宋体" w:hAnsi="宋体"/>
      <w:kern w:val="0"/>
      <w:szCs w:val="21"/>
    </w:rPr>
  </w:style>
  <w:style w:type="character" w:customStyle="1" w:styleId="88">
    <w:name w:val="p0 Char"/>
    <w:link w:val="89"/>
    <w:qFormat/>
    <w:uiPriority w:val="0"/>
    <w:rPr>
      <w:rFonts w:eastAsia="宋体"/>
      <w:szCs w:val="21"/>
    </w:rPr>
  </w:style>
  <w:style w:type="paragraph" w:customStyle="1" w:styleId="89">
    <w:name w:val="p0"/>
    <w:basedOn w:val="1"/>
    <w:link w:val="88"/>
    <w:qFormat/>
    <w:uiPriority w:val="0"/>
    <w:pPr>
      <w:widowControl/>
    </w:pPr>
    <w:rPr>
      <w:rFonts w:asciiTheme="minorHAnsi" w:hAnsiTheme="minorHAnsi" w:cstheme="minorBidi"/>
      <w:szCs w:val="21"/>
    </w:rPr>
  </w:style>
  <w:style w:type="paragraph" w:customStyle="1" w:styleId="9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Char Char1 Char Char Char Char Char1 Char Char Char Char"/>
    <w:basedOn w:val="14"/>
    <w:qFormat/>
    <w:uiPriority w:val="0"/>
    <w:rPr>
      <w:rFonts w:ascii="Tahoma" w:hAnsi="Tahoma"/>
    </w:rPr>
  </w:style>
  <w:style w:type="character" w:customStyle="1" w:styleId="92">
    <w:name w:val="文档结构图 Char"/>
    <w:basedOn w:val="46"/>
    <w:link w:val="14"/>
    <w:semiHidden/>
    <w:qFormat/>
    <w:uiPriority w:val="0"/>
    <w:rPr>
      <w:rFonts w:ascii="Times New Roman" w:hAnsi="Times New Roman" w:eastAsia="宋体" w:cs="Times New Roman"/>
      <w:szCs w:val="24"/>
      <w:shd w:val="clear" w:color="auto" w:fill="000080"/>
    </w:rPr>
  </w:style>
  <w:style w:type="paragraph" w:customStyle="1" w:styleId="9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5">
    <w:name w:val="目录 81"/>
    <w:basedOn w:val="1"/>
    <w:next w:val="1"/>
    <w:qFormat/>
    <w:uiPriority w:val="99"/>
    <w:pPr>
      <w:ind w:left="2940"/>
    </w:pPr>
    <w:rPr>
      <w:rFonts w:ascii="Calibri" w:hAnsi="宋体" w:cs="宋体"/>
      <w:kern w:val="0"/>
      <w:szCs w:val="20"/>
    </w:rPr>
  </w:style>
  <w:style w:type="paragraph" w:customStyle="1" w:styleId="96">
    <w:name w:val="1"/>
    <w:basedOn w:val="1"/>
    <w:qFormat/>
    <w:uiPriority w:val="0"/>
    <w:pPr>
      <w:spacing w:afterLines="50" w:line="360" w:lineRule="auto"/>
    </w:pPr>
    <w:rPr>
      <w:rFonts w:ascii="宋体" w:hAnsi="宋体"/>
      <w:b/>
      <w:sz w:val="30"/>
      <w:szCs w:val="21"/>
    </w:rPr>
  </w:style>
  <w:style w:type="paragraph" w:customStyle="1" w:styleId="9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8">
    <w:name w:val="标题 1 +"/>
    <w:basedOn w:val="2"/>
    <w:next w:val="1"/>
    <w:qFormat/>
    <w:uiPriority w:val="0"/>
    <w:pPr>
      <w:keepLines/>
      <w:spacing w:line="600" w:lineRule="auto"/>
    </w:pPr>
    <w:rPr>
      <w:rFonts w:eastAsia="黑体"/>
      <w:kern w:val="0"/>
      <w:sz w:val="32"/>
      <w:szCs w:val="32"/>
    </w:rPr>
  </w:style>
  <w:style w:type="character" w:customStyle="1" w:styleId="99">
    <w:name w:val="批注主题 Char"/>
    <w:basedOn w:val="76"/>
    <w:link w:val="41"/>
    <w:qFormat/>
    <w:uiPriority w:val="0"/>
    <w:rPr>
      <w:rFonts w:ascii="Times New Roman" w:hAnsi="Times New Roman" w:eastAsia="宋体" w:cs="Times New Roman"/>
      <w:b/>
      <w:bCs/>
      <w:szCs w:val="24"/>
    </w:rPr>
  </w:style>
  <w:style w:type="character" w:customStyle="1" w:styleId="100">
    <w:name w:val="批注框文本 Char"/>
    <w:basedOn w:val="46"/>
    <w:link w:val="26"/>
    <w:qFormat/>
    <w:uiPriority w:val="0"/>
    <w:rPr>
      <w:rFonts w:ascii="Times New Roman" w:hAnsi="Times New Roman" w:eastAsia="宋体" w:cs="Times New Roman"/>
      <w:sz w:val="18"/>
      <w:szCs w:val="18"/>
    </w:rPr>
  </w:style>
  <w:style w:type="paragraph" w:customStyle="1" w:styleId="101">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3">
    <w:name w:val="Char1 Char Char Char 字元 Char Char 字元 Char 字元 Char1 Char Char Char"/>
    <w:basedOn w:val="1"/>
    <w:qFormat/>
    <w:uiPriority w:val="0"/>
    <w:rPr>
      <w:szCs w:val="20"/>
    </w:rPr>
  </w:style>
  <w:style w:type="paragraph" w:customStyle="1" w:styleId="104">
    <w:name w:val="p16"/>
    <w:basedOn w:val="1"/>
    <w:qFormat/>
    <w:uiPriority w:val="0"/>
    <w:pPr>
      <w:widowControl/>
      <w:jc w:val="left"/>
    </w:pPr>
    <w:rPr>
      <w:kern w:val="0"/>
      <w:szCs w:val="21"/>
    </w:rPr>
  </w:style>
  <w:style w:type="paragraph" w:customStyle="1" w:styleId="105">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9">
    <w:name w:val="Char Char Char1 Char"/>
    <w:basedOn w:val="1"/>
    <w:qFormat/>
    <w:uiPriority w:val="0"/>
    <w:pPr>
      <w:tabs>
        <w:tab w:val="left" w:pos="360"/>
      </w:tabs>
      <w:snapToGrid w:val="0"/>
      <w:spacing w:line="360" w:lineRule="auto"/>
    </w:pPr>
    <w:rPr>
      <w:rFonts w:eastAsia="仿宋_GB2312" w:cs="宋体"/>
      <w:sz w:val="24"/>
    </w:rPr>
  </w:style>
  <w:style w:type="paragraph" w:styleId="110">
    <w:name w:val="List Paragraph"/>
    <w:basedOn w:val="1"/>
    <w:link w:val="116"/>
    <w:qFormat/>
    <w:uiPriority w:val="0"/>
    <w:pPr>
      <w:ind w:firstLine="420" w:firstLineChars="200"/>
    </w:pPr>
  </w:style>
  <w:style w:type="character" w:customStyle="1" w:styleId="111">
    <w:name w:val="fontstyle01"/>
    <w:basedOn w:val="46"/>
    <w:qFormat/>
    <w:uiPriority w:val="0"/>
    <w:rPr>
      <w:rFonts w:hint="eastAsia" w:ascii="宋体" w:hAnsi="宋体" w:eastAsia="宋体"/>
      <w:color w:val="000000"/>
      <w:sz w:val="24"/>
      <w:szCs w:val="24"/>
    </w:rPr>
  </w:style>
  <w:style w:type="character" w:customStyle="1" w:styleId="112">
    <w:name w:val="fontstyle11"/>
    <w:basedOn w:val="46"/>
    <w:qFormat/>
    <w:uiPriority w:val="0"/>
    <w:rPr>
      <w:rFonts w:hint="default" w:ascii="TimesNewRomanPSMT" w:hAnsi="TimesNewRomanPSMT"/>
      <w:color w:val="000000"/>
      <w:sz w:val="24"/>
      <w:szCs w:val="24"/>
    </w:rPr>
  </w:style>
  <w:style w:type="paragraph" w:customStyle="1" w:styleId="113">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4">
    <w:name w:val="fontstyle21"/>
    <w:basedOn w:val="46"/>
    <w:qFormat/>
    <w:uiPriority w:val="0"/>
    <w:rPr>
      <w:rFonts w:hint="eastAsia" w:ascii="宋体" w:hAnsi="宋体" w:eastAsia="宋体"/>
      <w:color w:val="993300"/>
      <w:sz w:val="24"/>
      <w:szCs w:val="24"/>
    </w:rPr>
  </w:style>
  <w:style w:type="character" w:customStyle="1" w:styleId="115">
    <w:name w:val="fontstyle31"/>
    <w:basedOn w:val="46"/>
    <w:qFormat/>
    <w:uiPriority w:val="0"/>
    <w:rPr>
      <w:rFonts w:hint="default" w:ascii="Arial" w:hAnsi="Arial" w:cs="Arial"/>
      <w:color w:val="993300"/>
      <w:sz w:val="24"/>
      <w:szCs w:val="24"/>
    </w:rPr>
  </w:style>
  <w:style w:type="character" w:customStyle="1" w:styleId="116">
    <w:name w:val="列出段落 Char"/>
    <w:link w:val="110"/>
    <w:qFormat/>
    <w:uiPriority w:val="0"/>
    <w:rPr>
      <w:rFonts w:ascii="Times New Roman" w:hAnsi="Times New Roman" w:eastAsia="宋体" w:cs="Times New Roman"/>
      <w:szCs w:val="24"/>
    </w:rPr>
  </w:style>
  <w:style w:type="character" w:customStyle="1" w:styleId="117">
    <w:name w:val="标题 Char"/>
    <w:link w:val="40"/>
    <w:qFormat/>
    <w:uiPriority w:val="0"/>
    <w:rPr>
      <w:b/>
      <w:sz w:val="32"/>
    </w:rPr>
  </w:style>
  <w:style w:type="character" w:customStyle="1" w:styleId="118">
    <w:name w:val="标题 Char1"/>
    <w:basedOn w:val="46"/>
    <w:qFormat/>
    <w:uiPriority w:val="10"/>
    <w:rPr>
      <w:rFonts w:eastAsia="宋体" w:asciiTheme="majorHAnsi" w:hAnsiTheme="majorHAnsi" w:cstheme="majorBidi"/>
      <w:b/>
      <w:bCs/>
      <w:sz w:val="32"/>
      <w:szCs w:val="32"/>
    </w:rPr>
  </w:style>
  <w:style w:type="character" w:customStyle="1" w:styleId="119">
    <w:name w:val="样式1 Char Char"/>
    <w:link w:val="87"/>
    <w:qFormat/>
    <w:uiPriority w:val="0"/>
    <w:rPr>
      <w:rFonts w:ascii="宋体" w:hAnsi="宋体" w:eastAsia="宋体" w:cs="Times New Roman"/>
      <w:kern w:val="0"/>
      <w:szCs w:val="21"/>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1">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Normal_10"/>
    <w:qFormat/>
    <w:uiPriority w:val="0"/>
    <w:rPr>
      <w:rFonts w:ascii="Times New Roman" w:hAnsi="Times New Roman" w:eastAsia="Times New Roman" w:cs="Times New Roman"/>
      <w:sz w:val="24"/>
      <w:szCs w:val="24"/>
      <w:lang w:val="en-US" w:eastAsia="zh-CN" w:bidi="ar-SA"/>
    </w:rPr>
  </w:style>
  <w:style w:type="character" w:customStyle="1" w:styleId="123">
    <w:name w:val="hover32"/>
    <w:basedOn w:val="46"/>
    <w:qFormat/>
    <w:uiPriority w:val="0"/>
  </w:style>
  <w:style w:type="paragraph" w:customStyle="1" w:styleId="124">
    <w:name w:val="正文11"/>
    <w:next w:val="125"/>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标题 41"/>
    <w:basedOn w:val="124"/>
    <w:next w:val="124"/>
    <w:qFormat/>
    <w:uiPriority w:val="99"/>
    <w:pPr>
      <w:keepNext/>
      <w:keepLines/>
      <w:spacing w:before="280" w:after="290" w:line="374" w:lineRule="auto"/>
      <w:outlineLvl w:val="3"/>
    </w:pPr>
    <w:rPr>
      <w:rFonts w:ascii="Arial" w:hAnsi="Arial" w:eastAsia="黑体"/>
      <w:b/>
      <w:bCs/>
      <w:sz w:val="28"/>
      <w:szCs w:val="28"/>
    </w:rPr>
  </w:style>
  <w:style w:type="paragraph" w:customStyle="1" w:styleId="126">
    <w:name w:val="null3"/>
    <w:qFormat/>
    <w:uiPriority w:val="0"/>
    <w:rPr>
      <w:rFonts w:hint="eastAsia" w:ascii="Calibri" w:hAnsi="Calibri" w:eastAsia="宋体" w:cs="Times New Roman"/>
      <w:lang w:val="en-US" w:eastAsia="zh-Hans"/>
    </w:rPr>
  </w:style>
  <w:style w:type="table" w:customStyle="1" w:styleId="127">
    <w:name w:val="Table Normal"/>
    <w:semiHidden/>
    <w:unhideWhenUsed/>
    <w:qFormat/>
    <w:uiPriority w:val="0"/>
    <w:tblPr>
      <w:tblCellMar>
        <w:top w:w="0" w:type="dxa"/>
        <w:left w:w="0" w:type="dxa"/>
        <w:bottom w:w="0" w:type="dxa"/>
        <w:right w:w="0" w:type="dxa"/>
      </w:tblCellMar>
    </w:tblPr>
  </w:style>
  <w:style w:type="paragraph" w:customStyle="1" w:styleId="128">
    <w:name w:val="Normal_1_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94</Pages>
  <Words>24518</Words>
  <Characters>26036</Characters>
  <Lines>398</Lines>
  <Paragraphs>112</Paragraphs>
  <TotalTime>19</TotalTime>
  <ScaleCrop>false</ScaleCrop>
  <LinksUpToDate>false</LinksUpToDate>
  <CharactersWithSpaces>26397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2020-01-19T10:43:00Z</dcterms:created>
  <dc:creator>admin</dc:creator>
  <cp:lastModifiedBy>Administrator</cp:lastModifiedBy>
  <cp:lastPrinted>2020-10-25T11:15:00Z</cp:lastPrinted>
  <dcterms:modified xsi:type="dcterms:W3CDTF">2026-07-30T07:58:19Z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B51C8FD4344D431BAE163CE1AB6E78B3_13</vt:lpwstr>
  </property>
  <property fmtid="{D5CDD505-2E9C-101B-9397-08002B2CF9AE}" pid="4" name="KSOTemplateDocerSaveRecord">
    <vt:lpwstr>eyJoZGlkIjoiNmZhNDI2NmE2ZDMzMGZiM2Y2MzJiOWMxMzk4NzM5NGMiLCJ1c2VySWQiOiIzNDIwMTYzODUifQ==</vt:lpwstr>
  </property>
</Properties>
</file>