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pPr w:leftFromText="180" w:rightFromText="180" w:vertAnchor="page" w:horzAnchor="page" w:tblpX="1397" w:tblpY="1998"/>
        <w:tblOverlap w:val="never"/>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2633"/>
        <w:gridCol w:w="255"/>
        <w:gridCol w:w="5317"/>
        <w:gridCol w:w="637"/>
      </w:tblGrid>
      <w:tr w14:paraId="2EF9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52843CCC">
            <w:pPr>
              <w:jc w:val="center"/>
              <w:rPr>
                <w:rFonts w:hint="eastAsia" w:ascii="方正小标宋_GBK" w:hAnsi="方正小标宋_GBK" w:eastAsia="方正小标宋_GBK" w:cs="方正小标宋_GBK"/>
                <w:color w:val="000000" w:themeColor="text1"/>
                <w:sz w:val="72"/>
                <w:szCs w:val="72"/>
                <w:highlight w:val="none"/>
                <w14:textFill>
                  <w14:solidFill>
                    <w14:schemeClr w14:val="tx1"/>
                  </w14:solidFill>
                </w14:textFill>
              </w:rPr>
            </w:pPr>
          </w:p>
        </w:tc>
      </w:tr>
      <w:tr w14:paraId="2F13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16ACE9FC">
            <w:pPr>
              <w:jc w:val="center"/>
              <w:rPr>
                <w:rFonts w:hint="eastAsia" w:eastAsia="方正小标宋_GBK"/>
                <w:b/>
                <w:color w:val="000000" w:themeColor="text1"/>
                <w:sz w:val="20"/>
                <w:szCs w:val="21"/>
                <w:highlight w:val="none"/>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56"/>
                <w:szCs w:val="56"/>
                <w:highlight w:val="none"/>
                <w14:textFill>
                  <w14:solidFill>
                    <w14:schemeClr w14:val="tx1"/>
                  </w14:solidFill>
                </w14:textFill>
              </w:rPr>
              <w:t>政府采购</w:t>
            </w:r>
            <w:r>
              <w:rPr>
                <w:rFonts w:hint="eastAsia" w:ascii="方正小标宋_GBK" w:hAnsi="方正小标宋_GBK" w:eastAsia="方正小标宋_GBK" w:cs="方正小标宋_GBK"/>
                <w:color w:val="000000" w:themeColor="text1"/>
                <w:sz w:val="56"/>
                <w:szCs w:val="56"/>
                <w:highlight w:val="none"/>
                <w:lang w:eastAsia="zh-CN"/>
                <w14:textFill>
                  <w14:solidFill>
                    <w14:schemeClr w14:val="tx1"/>
                  </w14:solidFill>
                </w14:textFill>
              </w:rPr>
              <w:t>项目</w:t>
            </w:r>
          </w:p>
        </w:tc>
      </w:tr>
      <w:tr w14:paraId="391A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9495" w:type="dxa"/>
            <w:gridSpan w:val="5"/>
            <w:tcBorders>
              <w:top w:val="nil"/>
              <w:left w:val="nil"/>
              <w:bottom w:val="nil"/>
              <w:right w:val="nil"/>
            </w:tcBorders>
          </w:tcPr>
          <w:p w14:paraId="1431C6F4">
            <w:pPr>
              <w:jc w:val="center"/>
              <w:rPr>
                <w:rFonts w:hint="eastAsia" w:eastAsia="等线"/>
                <w:color w:val="000000" w:themeColor="text1"/>
                <w:sz w:val="40"/>
                <w:szCs w:val="21"/>
                <w:highlight w:val="none"/>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56"/>
                <w:szCs w:val="56"/>
                <w:highlight w:val="none"/>
                <w:lang w:eastAsia="zh-CN"/>
                <w14:textFill>
                  <w14:solidFill>
                    <w14:schemeClr w14:val="tx1"/>
                  </w14:solidFill>
                </w14:textFill>
              </w:rPr>
              <w:t>采</w:t>
            </w:r>
            <w:r>
              <w:rPr>
                <w:rFonts w:hint="eastAsia" w:ascii="方正小标宋_GBK" w:hAnsi="方正小标宋_GBK" w:eastAsia="方正小标宋_GBK" w:cs="方正小标宋_GBK"/>
                <w:color w:val="000000" w:themeColor="text1"/>
                <w:sz w:val="56"/>
                <w:szCs w:val="56"/>
                <w:highlight w:val="none"/>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56"/>
                <w:szCs w:val="56"/>
                <w:highlight w:val="none"/>
                <w:lang w:eastAsia="zh-CN"/>
                <w14:textFill>
                  <w14:solidFill>
                    <w14:schemeClr w14:val="tx1"/>
                  </w14:solidFill>
                </w14:textFill>
              </w:rPr>
              <w:t>购</w:t>
            </w:r>
            <w:r>
              <w:rPr>
                <w:rFonts w:hint="eastAsia" w:ascii="方正小标宋_GBK" w:hAnsi="方正小标宋_GBK" w:eastAsia="方正小标宋_GBK" w:cs="方正小标宋_GBK"/>
                <w:color w:val="000000" w:themeColor="text1"/>
                <w:sz w:val="56"/>
                <w:szCs w:val="56"/>
                <w:highlight w:val="none"/>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56"/>
                <w:szCs w:val="56"/>
                <w:highlight w:val="none"/>
                <w:lang w:eastAsia="zh-CN"/>
                <w14:textFill>
                  <w14:solidFill>
                    <w14:schemeClr w14:val="tx1"/>
                  </w14:solidFill>
                </w14:textFill>
              </w:rPr>
              <w:t>需</w:t>
            </w:r>
            <w:r>
              <w:rPr>
                <w:rFonts w:hint="eastAsia" w:ascii="方正小标宋_GBK" w:hAnsi="方正小标宋_GBK" w:eastAsia="方正小标宋_GBK" w:cs="方正小标宋_GBK"/>
                <w:color w:val="000000" w:themeColor="text1"/>
                <w:sz w:val="56"/>
                <w:szCs w:val="56"/>
                <w:highlight w:val="none"/>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56"/>
                <w:szCs w:val="56"/>
                <w:highlight w:val="none"/>
                <w:lang w:eastAsia="zh-CN"/>
                <w14:textFill>
                  <w14:solidFill>
                    <w14:schemeClr w14:val="tx1"/>
                  </w14:solidFill>
                </w14:textFill>
              </w:rPr>
              <w:t>求</w:t>
            </w:r>
          </w:p>
        </w:tc>
      </w:tr>
      <w:tr w14:paraId="2326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9495" w:type="dxa"/>
            <w:gridSpan w:val="5"/>
            <w:tcBorders>
              <w:top w:val="nil"/>
              <w:left w:val="nil"/>
              <w:bottom w:val="nil"/>
              <w:right w:val="nil"/>
            </w:tcBorders>
          </w:tcPr>
          <w:p w14:paraId="6F925A56">
            <w:pPr>
              <w:pStyle w:val="29"/>
              <w:jc w:val="both"/>
              <w:rPr>
                <w:rFonts w:hint="eastAsia"/>
                <w:color w:val="000000" w:themeColor="text1"/>
                <w:highlight w:val="none"/>
                <w14:textFill>
                  <w14:solidFill>
                    <w14:schemeClr w14:val="tx1"/>
                  </w14:solidFill>
                </w14:textFill>
              </w:rPr>
            </w:pPr>
          </w:p>
        </w:tc>
      </w:tr>
      <w:tr w14:paraId="3115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restart"/>
            <w:tcBorders>
              <w:top w:val="nil"/>
              <w:left w:val="nil"/>
              <w:bottom w:val="nil"/>
              <w:right w:val="nil"/>
            </w:tcBorders>
            <w:vAlign w:val="center"/>
          </w:tcPr>
          <w:p w14:paraId="1CABCDB4">
            <w:pPr>
              <w:adjustRightInd w:val="0"/>
              <w:snapToGrid w:val="0"/>
              <w:rPr>
                <w:rFonts w:hint="eastAsia" w:eastAsia="楷体_GB2312"/>
                <w:color w:val="000000" w:themeColor="text1"/>
                <w:sz w:val="52"/>
                <w:highlight w:val="none"/>
                <w14:textFill>
                  <w14:solidFill>
                    <w14:schemeClr w14:val="tx1"/>
                  </w14:solidFill>
                </w14:textFill>
              </w:rPr>
            </w:pPr>
          </w:p>
        </w:tc>
        <w:tc>
          <w:tcPr>
            <w:tcW w:w="2633" w:type="dxa"/>
            <w:tcBorders>
              <w:top w:val="nil"/>
              <w:left w:val="nil"/>
              <w:bottom w:val="nil"/>
              <w:right w:val="nil"/>
            </w:tcBorders>
            <w:vAlign w:val="center"/>
          </w:tcPr>
          <w:p w14:paraId="45E39554">
            <w:pPr>
              <w:jc w:val="distribute"/>
              <w:rPr>
                <w:rFonts w:ascii="黑体" w:hAnsi="黑体" w:eastAsia="黑体" w:cs="黑体"/>
                <w:color w:val="000000" w:themeColor="text1"/>
                <w:sz w:val="32"/>
                <w:szCs w:val="36"/>
                <w:highlight w:val="none"/>
                <w14:textFill>
                  <w14:solidFill>
                    <w14:schemeClr w14:val="tx1"/>
                  </w14:solidFill>
                </w14:textFill>
              </w:rPr>
            </w:pPr>
            <w:r>
              <w:rPr>
                <w:rFonts w:hint="eastAsia" w:ascii="黑体" w:hAnsi="黑体" w:eastAsia="黑体" w:cs="黑体"/>
                <w:color w:val="000000" w:themeColor="text1"/>
                <w:sz w:val="32"/>
                <w:szCs w:val="36"/>
                <w:highlight w:val="none"/>
                <w14:textFill>
                  <w14:solidFill>
                    <w14:schemeClr w14:val="tx1"/>
                  </w14:solidFill>
                </w14:textFill>
              </w:rPr>
              <w:t>采购项目名称：</w:t>
            </w:r>
          </w:p>
        </w:tc>
        <w:tc>
          <w:tcPr>
            <w:tcW w:w="255" w:type="dxa"/>
            <w:tcBorders>
              <w:top w:val="nil"/>
              <w:left w:val="nil"/>
              <w:bottom w:val="nil"/>
              <w:right w:val="nil"/>
            </w:tcBorders>
            <w:vAlign w:val="center"/>
          </w:tcPr>
          <w:p w14:paraId="54D3F678">
            <w:pPr>
              <w:jc w:val="distribute"/>
              <w:rPr>
                <w:rFonts w:hint="eastAsia" w:ascii="黑体" w:hAnsi="黑体" w:eastAsia="黑体" w:cs="黑体"/>
                <w:color w:val="000000" w:themeColor="text1"/>
                <w:sz w:val="32"/>
                <w:szCs w:val="36"/>
                <w:highlight w:val="none"/>
                <w14:textFill>
                  <w14:solidFill>
                    <w14:schemeClr w14:val="tx1"/>
                  </w14:solidFill>
                </w14:textFill>
              </w:rPr>
            </w:pPr>
          </w:p>
        </w:tc>
        <w:tc>
          <w:tcPr>
            <w:tcW w:w="5317" w:type="dxa"/>
            <w:tcBorders>
              <w:top w:val="nil"/>
              <w:left w:val="nil"/>
              <w:bottom w:val="nil"/>
              <w:right w:val="nil"/>
            </w:tcBorders>
            <w:vAlign w:val="center"/>
          </w:tcPr>
          <w:p w14:paraId="56D956FF">
            <w:pPr>
              <w:jc w:val="left"/>
              <w:rPr>
                <w:rFonts w:hint="eastAsia" w:ascii="黑体" w:hAnsi="黑体" w:eastAsia="黑体" w:cs="黑体"/>
                <w:color w:val="000000" w:themeColor="text1"/>
                <w:sz w:val="32"/>
                <w:szCs w:val="36"/>
                <w:highlight w:val="none"/>
                <w:lang w:eastAsia="zh-CN"/>
                <w14:textFill>
                  <w14:solidFill>
                    <w14:schemeClr w14:val="tx1"/>
                  </w14:solidFill>
                </w14:textFill>
              </w:rPr>
            </w:pPr>
            <w:r>
              <w:rPr>
                <w:rFonts w:hint="eastAsia" w:ascii="黑体" w:hAnsi="黑体" w:eastAsia="黑体" w:cs="黑体"/>
                <w:color w:val="000000" w:themeColor="text1"/>
                <w:sz w:val="32"/>
                <w:szCs w:val="36"/>
                <w:highlight w:val="none"/>
                <w:lang w:eastAsia="zh-CN"/>
                <w14:textFill>
                  <w14:solidFill>
                    <w14:schemeClr w14:val="tx1"/>
                  </w14:solidFill>
                </w14:textFill>
              </w:rPr>
              <w:t>张家界市市政环卫基础设施提标改造项目</w:t>
            </w:r>
          </w:p>
        </w:tc>
        <w:tc>
          <w:tcPr>
            <w:tcW w:w="637" w:type="dxa"/>
            <w:vMerge w:val="restart"/>
            <w:tcBorders>
              <w:top w:val="nil"/>
              <w:left w:val="nil"/>
              <w:bottom w:val="nil"/>
              <w:right w:val="nil"/>
            </w:tcBorders>
            <w:vAlign w:val="center"/>
          </w:tcPr>
          <w:p w14:paraId="7D537467">
            <w:pPr>
              <w:adjustRightInd w:val="0"/>
              <w:snapToGrid w:val="0"/>
              <w:rPr>
                <w:rFonts w:hint="eastAsia" w:eastAsia="楷体_GB2312"/>
                <w:color w:val="000000" w:themeColor="text1"/>
                <w:sz w:val="52"/>
                <w:highlight w:val="none"/>
                <w14:textFill>
                  <w14:solidFill>
                    <w14:schemeClr w14:val="tx1"/>
                  </w14:solidFill>
                </w14:textFill>
              </w:rPr>
            </w:pPr>
          </w:p>
        </w:tc>
      </w:tr>
      <w:tr w14:paraId="3920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0AED71D7">
            <w:pPr>
              <w:widowControl/>
              <w:jc w:val="left"/>
              <w:rPr>
                <w:rFonts w:hint="eastAsia" w:eastAsia="楷体_GB2312"/>
                <w:color w:val="000000" w:themeColor="text1"/>
                <w:sz w:val="52"/>
                <w:highlight w:val="none"/>
                <w14:textFill>
                  <w14:solidFill>
                    <w14:schemeClr w14:val="tx1"/>
                  </w14:solidFill>
                </w14:textFill>
              </w:rPr>
            </w:pPr>
          </w:p>
        </w:tc>
        <w:tc>
          <w:tcPr>
            <w:tcW w:w="2633" w:type="dxa"/>
            <w:tcBorders>
              <w:top w:val="nil"/>
              <w:left w:val="nil"/>
              <w:bottom w:val="nil"/>
              <w:right w:val="nil"/>
            </w:tcBorders>
            <w:vAlign w:val="center"/>
          </w:tcPr>
          <w:p w14:paraId="55068BCC">
            <w:pPr>
              <w:jc w:val="distribute"/>
              <w:rPr>
                <w:rFonts w:ascii="黑体" w:hAnsi="黑体" w:eastAsia="黑体" w:cs="黑体"/>
                <w:color w:val="000000" w:themeColor="text1"/>
                <w:sz w:val="32"/>
                <w:szCs w:val="36"/>
                <w:highlight w:val="none"/>
                <w14:textFill>
                  <w14:solidFill>
                    <w14:schemeClr w14:val="tx1"/>
                  </w14:solidFill>
                </w14:textFill>
              </w:rPr>
            </w:pPr>
            <w:r>
              <w:rPr>
                <w:rFonts w:hint="eastAsia" w:ascii="黑体" w:hAnsi="黑体" w:eastAsia="黑体" w:cs="黑体"/>
                <w:color w:val="000000" w:themeColor="text1"/>
                <w:sz w:val="32"/>
                <w:szCs w:val="36"/>
                <w:highlight w:val="none"/>
                <w14:textFill>
                  <w14:solidFill>
                    <w14:schemeClr w14:val="tx1"/>
                  </w14:solidFill>
                </w14:textFill>
              </w:rPr>
              <w:t>采   购   人：</w:t>
            </w:r>
          </w:p>
        </w:tc>
        <w:tc>
          <w:tcPr>
            <w:tcW w:w="255" w:type="dxa"/>
            <w:tcBorders>
              <w:top w:val="nil"/>
              <w:left w:val="nil"/>
              <w:bottom w:val="nil"/>
              <w:right w:val="nil"/>
            </w:tcBorders>
            <w:vAlign w:val="center"/>
          </w:tcPr>
          <w:p w14:paraId="7AACF224">
            <w:pPr>
              <w:pStyle w:val="30"/>
              <w:ind w:firstLine="196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5317" w:type="dxa"/>
            <w:tcBorders>
              <w:top w:val="nil"/>
              <w:left w:val="nil"/>
              <w:bottom w:val="nil"/>
              <w:right w:val="nil"/>
            </w:tcBorders>
            <w:vAlign w:val="center"/>
          </w:tcPr>
          <w:p w14:paraId="424B4214">
            <w:pPr>
              <w:jc w:val="left"/>
              <w:rPr>
                <w:rFonts w:hint="eastAsia" w:ascii="黑体" w:hAnsi="黑体" w:eastAsia="黑体" w:cs="黑体"/>
                <w:color w:val="000000" w:themeColor="text1"/>
                <w:sz w:val="28"/>
                <w:szCs w:val="32"/>
                <w:highlight w:val="none"/>
                <w:lang w:eastAsia="zh-CN"/>
                <w14:textFill>
                  <w14:solidFill>
                    <w14:schemeClr w14:val="tx1"/>
                  </w14:solidFill>
                </w14:textFill>
              </w:rPr>
            </w:pPr>
            <w:r>
              <w:rPr>
                <w:rFonts w:hint="eastAsia" w:ascii="黑体" w:hAnsi="黑体" w:eastAsia="黑体" w:cs="黑体"/>
                <w:color w:val="000000" w:themeColor="text1"/>
                <w:sz w:val="32"/>
                <w:szCs w:val="36"/>
                <w:highlight w:val="none"/>
                <w:lang w:eastAsia="zh-CN"/>
                <w14:textFill>
                  <w14:solidFill>
                    <w14:schemeClr w14:val="tx1"/>
                  </w14:solidFill>
                </w14:textFill>
              </w:rPr>
              <w:t>张家界市城市管理局</w:t>
            </w:r>
          </w:p>
        </w:tc>
        <w:tc>
          <w:tcPr>
            <w:tcW w:w="637" w:type="dxa"/>
            <w:vMerge w:val="continue"/>
            <w:tcBorders>
              <w:top w:val="nil"/>
              <w:left w:val="nil"/>
              <w:bottom w:val="nil"/>
              <w:right w:val="nil"/>
            </w:tcBorders>
            <w:vAlign w:val="center"/>
          </w:tcPr>
          <w:p w14:paraId="2912E167">
            <w:pPr>
              <w:widowControl/>
              <w:jc w:val="distribute"/>
              <w:rPr>
                <w:rFonts w:hint="eastAsia" w:eastAsia="楷体_GB2312"/>
                <w:color w:val="000000" w:themeColor="text1"/>
                <w:sz w:val="52"/>
                <w:highlight w:val="none"/>
                <w14:textFill>
                  <w14:solidFill>
                    <w14:schemeClr w14:val="tx1"/>
                  </w14:solidFill>
                </w14:textFill>
              </w:rPr>
            </w:pPr>
          </w:p>
        </w:tc>
      </w:tr>
      <w:tr w14:paraId="4BEB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5612147A">
            <w:pPr>
              <w:widowControl/>
              <w:jc w:val="left"/>
              <w:rPr>
                <w:rFonts w:hint="eastAsia" w:eastAsia="楷体_GB2312"/>
                <w:color w:val="000000" w:themeColor="text1"/>
                <w:sz w:val="52"/>
                <w:highlight w:val="none"/>
                <w14:textFill>
                  <w14:solidFill>
                    <w14:schemeClr w14:val="tx1"/>
                  </w14:solidFill>
                </w14:textFill>
              </w:rPr>
            </w:pPr>
          </w:p>
        </w:tc>
        <w:tc>
          <w:tcPr>
            <w:tcW w:w="2633" w:type="dxa"/>
            <w:tcBorders>
              <w:top w:val="nil"/>
              <w:left w:val="nil"/>
              <w:bottom w:val="nil"/>
              <w:right w:val="nil"/>
            </w:tcBorders>
            <w:vAlign w:val="center"/>
          </w:tcPr>
          <w:p w14:paraId="2FA6C8B7">
            <w:pPr>
              <w:jc w:val="distribute"/>
              <w:rPr>
                <w:rFonts w:ascii="黑体" w:hAnsi="黑体" w:eastAsia="黑体" w:cs="黑体"/>
                <w:color w:val="000000" w:themeColor="text1"/>
                <w:sz w:val="32"/>
                <w:szCs w:val="36"/>
                <w:highlight w:val="none"/>
                <w14:textFill>
                  <w14:solidFill>
                    <w14:schemeClr w14:val="tx1"/>
                  </w14:solidFill>
                </w14:textFill>
              </w:rPr>
            </w:pPr>
            <w:r>
              <w:rPr>
                <w:rFonts w:hint="eastAsia" w:ascii="黑体" w:hAnsi="黑体" w:eastAsia="黑体" w:cs="黑体"/>
                <w:color w:val="000000" w:themeColor="text1"/>
                <w:sz w:val="32"/>
                <w:szCs w:val="36"/>
                <w:highlight w:val="none"/>
                <w:lang w:eastAsia="zh-CN"/>
                <w14:textFill>
                  <w14:solidFill>
                    <w14:schemeClr w14:val="tx1"/>
                  </w14:solidFill>
                </w14:textFill>
              </w:rPr>
              <w:t>编制单位</w:t>
            </w:r>
            <w:r>
              <w:rPr>
                <w:rFonts w:hint="eastAsia" w:ascii="黑体" w:hAnsi="黑体" w:eastAsia="黑体" w:cs="黑体"/>
                <w:color w:val="000000" w:themeColor="text1"/>
                <w:sz w:val="32"/>
                <w:szCs w:val="36"/>
                <w:highlight w:val="none"/>
                <w14:textFill>
                  <w14:solidFill>
                    <w14:schemeClr w14:val="tx1"/>
                  </w14:solidFill>
                </w14:textFill>
              </w:rPr>
              <w:t>：</w:t>
            </w:r>
          </w:p>
        </w:tc>
        <w:tc>
          <w:tcPr>
            <w:tcW w:w="255" w:type="dxa"/>
            <w:tcBorders>
              <w:top w:val="nil"/>
              <w:left w:val="nil"/>
              <w:bottom w:val="nil"/>
              <w:right w:val="nil"/>
            </w:tcBorders>
            <w:vAlign w:val="center"/>
          </w:tcPr>
          <w:p w14:paraId="19612546">
            <w:pPr>
              <w:pStyle w:val="30"/>
              <w:ind w:firstLine="196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5317" w:type="dxa"/>
            <w:tcBorders>
              <w:top w:val="nil"/>
              <w:left w:val="nil"/>
              <w:bottom w:val="nil"/>
              <w:right w:val="nil"/>
            </w:tcBorders>
            <w:vAlign w:val="center"/>
          </w:tcPr>
          <w:p w14:paraId="56D8E0EF">
            <w:pPr>
              <w:jc w:val="left"/>
              <w:rPr>
                <w:rFonts w:hint="eastAsia" w:ascii="黑体" w:hAnsi="黑体" w:eastAsia="黑体" w:cs="黑体"/>
                <w:color w:val="000000" w:themeColor="text1"/>
                <w:sz w:val="28"/>
                <w:szCs w:val="32"/>
                <w:highlight w:val="none"/>
                <w:lang w:eastAsia="zh-CN"/>
                <w14:textFill>
                  <w14:solidFill>
                    <w14:schemeClr w14:val="tx1"/>
                  </w14:solidFill>
                </w14:textFill>
              </w:rPr>
            </w:pPr>
            <w:r>
              <w:rPr>
                <w:rFonts w:hint="eastAsia" w:ascii="黑体" w:hAnsi="黑体" w:eastAsia="黑体" w:cs="黑体"/>
                <w:color w:val="000000" w:themeColor="text1"/>
                <w:sz w:val="32"/>
                <w:szCs w:val="36"/>
                <w:highlight w:val="none"/>
                <w:lang w:eastAsia="zh-CN"/>
                <w14:textFill>
                  <w14:solidFill>
                    <w14:schemeClr w14:val="tx1"/>
                  </w14:solidFill>
                </w14:textFill>
              </w:rPr>
              <w:t>张家界市城市管理局</w:t>
            </w:r>
          </w:p>
        </w:tc>
        <w:tc>
          <w:tcPr>
            <w:tcW w:w="637" w:type="dxa"/>
            <w:vMerge w:val="continue"/>
            <w:tcBorders>
              <w:top w:val="nil"/>
              <w:left w:val="nil"/>
              <w:bottom w:val="nil"/>
              <w:right w:val="nil"/>
            </w:tcBorders>
            <w:vAlign w:val="center"/>
          </w:tcPr>
          <w:p w14:paraId="0160BA17">
            <w:pPr>
              <w:widowControl/>
              <w:jc w:val="distribute"/>
              <w:rPr>
                <w:rFonts w:hint="eastAsia" w:eastAsia="楷体_GB2312"/>
                <w:color w:val="000000" w:themeColor="text1"/>
                <w:sz w:val="52"/>
                <w:highlight w:val="none"/>
                <w14:textFill>
                  <w14:solidFill>
                    <w14:schemeClr w14:val="tx1"/>
                  </w14:solidFill>
                </w14:textFill>
              </w:rPr>
            </w:pPr>
          </w:p>
        </w:tc>
      </w:tr>
      <w:tr w14:paraId="221F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71B91427">
            <w:pPr>
              <w:widowControl/>
              <w:jc w:val="left"/>
              <w:rPr>
                <w:rFonts w:hint="eastAsia" w:eastAsia="楷体_GB2312"/>
                <w:color w:val="000000" w:themeColor="text1"/>
                <w:sz w:val="52"/>
                <w:highlight w:val="none"/>
                <w14:textFill>
                  <w14:solidFill>
                    <w14:schemeClr w14:val="tx1"/>
                  </w14:solidFill>
                </w14:textFill>
              </w:rPr>
            </w:pPr>
          </w:p>
        </w:tc>
        <w:tc>
          <w:tcPr>
            <w:tcW w:w="2633" w:type="dxa"/>
            <w:tcBorders>
              <w:top w:val="nil"/>
              <w:left w:val="nil"/>
              <w:bottom w:val="nil"/>
              <w:right w:val="nil"/>
            </w:tcBorders>
            <w:vAlign w:val="center"/>
          </w:tcPr>
          <w:p w14:paraId="52DFF6F5">
            <w:pPr>
              <w:jc w:val="distribute"/>
              <w:rPr>
                <w:rFonts w:ascii="黑体" w:hAnsi="黑体" w:eastAsia="黑体" w:cs="黑体"/>
                <w:color w:val="000000" w:themeColor="text1"/>
                <w:sz w:val="32"/>
                <w:szCs w:val="36"/>
                <w:highlight w:val="none"/>
                <w14:textFill>
                  <w14:solidFill>
                    <w14:schemeClr w14:val="tx1"/>
                  </w14:solidFill>
                </w14:textFill>
              </w:rPr>
            </w:pPr>
            <w:r>
              <w:rPr>
                <w:rFonts w:hint="eastAsia" w:ascii="黑体" w:hAnsi="黑体" w:eastAsia="黑体" w:cs="黑体"/>
                <w:color w:val="000000" w:themeColor="text1"/>
                <w:sz w:val="32"/>
                <w:szCs w:val="36"/>
                <w:highlight w:val="none"/>
                <w:lang w:eastAsia="zh-CN"/>
                <w14:textFill>
                  <w14:solidFill>
                    <w14:schemeClr w14:val="tx1"/>
                  </w14:solidFill>
                </w14:textFill>
              </w:rPr>
              <w:t>编制时间</w:t>
            </w:r>
            <w:r>
              <w:rPr>
                <w:rFonts w:hint="eastAsia" w:ascii="黑体" w:hAnsi="黑体" w:eastAsia="黑体" w:cs="黑体"/>
                <w:color w:val="000000" w:themeColor="text1"/>
                <w:sz w:val="32"/>
                <w:szCs w:val="36"/>
                <w:highlight w:val="none"/>
                <w14:textFill>
                  <w14:solidFill>
                    <w14:schemeClr w14:val="tx1"/>
                  </w14:solidFill>
                </w14:textFill>
              </w:rPr>
              <w:t>：</w:t>
            </w:r>
          </w:p>
        </w:tc>
        <w:tc>
          <w:tcPr>
            <w:tcW w:w="255" w:type="dxa"/>
            <w:tcBorders>
              <w:top w:val="nil"/>
              <w:left w:val="nil"/>
              <w:bottom w:val="nil"/>
              <w:right w:val="nil"/>
            </w:tcBorders>
            <w:vAlign w:val="center"/>
          </w:tcPr>
          <w:p w14:paraId="553B7F11">
            <w:pPr>
              <w:pStyle w:val="30"/>
              <w:ind w:firstLine="196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5317" w:type="dxa"/>
            <w:tcBorders>
              <w:top w:val="nil"/>
              <w:left w:val="nil"/>
              <w:bottom w:val="nil"/>
              <w:right w:val="nil"/>
            </w:tcBorders>
            <w:vAlign w:val="center"/>
          </w:tcPr>
          <w:p w14:paraId="49DD68D9">
            <w:pPr>
              <w:jc w:val="left"/>
              <w:rPr>
                <w:rFonts w:hint="default" w:ascii="黑体" w:hAnsi="黑体" w:eastAsia="黑体" w:cs="黑体"/>
                <w:color w:val="000000" w:themeColor="text1"/>
                <w:sz w:val="28"/>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6"/>
                <w:highlight w:val="none"/>
                <w:lang w:val="en-US" w:eastAsia="zh-CN"/>
                <w14:textFill>
                  <w14:solidFill>
                    <w14:schemeClr w14:val="tx1"/>
                  </w14:solidFill>
                </w14:textFill>
              </w:rPr>
              <w:t>2026年9月18日</w:t>
            </w:r>
          </w:p>
        </w:tc>
        <w:tc>
          <w:tcPr>
            <w:tcW w:w="637" w:type="dxa"/>
            <w:vMerge w:val="continue"/>
            <w:tcBorders>
              <w:top w:val="nil"/>
              <w:left w:val="nil"/>
              <w:bottom w:val="nil"/>
              <w:right w:val="nil"/>
            </w:tcBorders>
            <w:vAlign w:val="center"/>
          </w:tcPr>
          <w:p w14:paraId="5B1738E3">
            <w:pPr>
              <w:widowControl/>
              <w:jc w:val="distribute"/>
              <w:rPr>
                <w:rFonts w:hint="eastAsia" w:eastAsia="楷体_GB2312"/>
                <w:color w:val="000000" w:themeColor="text1"/>
                <w:sz w:val="52"/>
                <w:highlight w:val="none"/>
                <w14:textFill>
                  <w14:solidFill>
                    <w14:schemeClr w14:val="tx1"/>
                  </w14:solidFill>
                </w14:textFill>
              </w:rPr>
            </w:pPr>
          </w:p>
        </w:tc>
      </w:tr>
      <w:tr w14:paraId="40F6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9495" w:type="dxa"/>
            <w:gridSpan w:val="5"/>
            <w:tcBorders>
              <w:top w:val="nil"/>
              <w:left w:val="nil"/>
              <w:bottom w:val="nil"/>
              <w:right w:val="nil"/>
            </w:tcBorders>
          </w:tcPr>
          <w:p w14:paraId="3C1465C5">
            <w:pPr>
              <w:pStyle w:val="31"/>
              <w:jc w:val="both"/>
              <w:rPr>
                <w:rFonts w:hint="eastAsia"/>
                <w:color w:val="000000" w:themeColor="text1"/>
                <w:highlight w:val="none"/>
                <w14:textFill>
                  <w14:solidFill>
                    <w14:schemeClr w14:val="tx1"/>
                  </w14:solidFill>
                </w14:textFill>
              </w:rPr>
            </w:pPr>
          </w:p>
          <w:p w14:paraId="7C442ED9">
            <w:pPr>
              <w:pStyle w:val="31"/>
              <w:jc w:val="both"/>
              <w:rPr>
                <w:rFonts w:hint="eastAsia"/>
                <w:color w:val="000000" w:themeColor="text1"/>
                <w:highlight w:val="none"/>
                <w14:textFill>
                  <w14:solidFill>
                    <w14:schemeClr w14:val="tx1"/>
                  </w14:solidFill>
                </w14:textFill>
              </w:rPr>
            </w:pPr>
          </w:p>
          <w:p w14:paraId="331F258D">
            <w:pPr>
              <w:pStyle w:val="31"/>
              <w:rPr>
                <w:rFonts w:hint="eastAsia"/>
                <w:color w:val="000000" w:themeColor="text1"/>
                <w:highlight w:val="none"/>
                <w14:textFill>
                  <w14:solidFill>
                    <w14:schemeClr w14:val="tx1"/>
                  </w14:solidFill>
                </w14:textFill>
              </w:rPr>
            </w:pPr>
          </w:p>
          <w:p w14:paraId="49B177D2">
            <w:pPr>
              <w:pStyle w:val="31"/>
              <w:rPr>
                <w:rFonts w:hint="eastAsia"/>
                <w:color w:val="000000" w:themeColor="text1"/>
                <w:highlight w:val="none"/>
                <w14:textFill>
                  <w14:solidFill>
                    <w14:schemeClr w14:val="tx1"/>
                  </w14:solidFill>
                </w14:textFill>
              </w:rPr>
            </w:pPr>
          </w:p>
        </w:tc>
      </w:tr>
    </w:tbl>
    <w:p w14:paraId="2DC050F9">
      <w:pPr>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8D81815">
      <w:pPr>
        <w:pStyle w:val="25"/>
        <w:bidi w:val="0"/>
        <w:ind w:left="0" w:leftChars="0" w:firstLine="720" w:firstLineChars="200"/>
        <w:jc w:val="center"/>
        <w:rPr>
          <w:rFonts w:hint="eastAsia" w:ascii="微软雅黑" w:hAnsi="微软雅黑" w:eastAsia="微软雅黑" w:cs="微软雅黑"/>
          <w:b w:val="0"/>
          <w:bCs w:val="0"/>
          <w:color w:val="000000" w:themeColor="text1"/>
          <w:sz w:val="36"/>
          <w:szCs w:val="36"/>
          <w:highlight w:val="none"/>
          <w14:textFill>
            <w14:solidFill>
              <w14:schemeClr w14:val="tx1"/>
            </w14:solidFill>
          </w14:textFill>
        </w:rPr>
      </w:pPr>
      <w:r>
        <w:rPr>
          <w:rFonts w:hint="eastAsia" w:ascii="微软雅黑" w:hAnsi="微软雅黑" w:eastAsia="微软雅黑" w:cs="微软雅黑"/>
          <w:b w:val="0"/>
          <w:bCs w:val="0"/>
          <w:color w:val="000000" w:themeColor="text1"/>
          <w:sz w:val="36"/>
          <w:szCs w:val="36"/>
          <w:highlight w:val="none"/>
          <w14:textFill>
            <w14:solidFill>
              <w14:schemeClr w14:val="tx1"/>
            </w14:solidFill>
          </w14:textFill>
        </w:rPr>
        <w:t>编 制 说</w:t>
      </w:r>
      <w:r>
        <w:rPr>
          <w:rFonts w:hint="eastAsia" w:ascii="微软雅黑" w:hAnsi="微软雅黑" w:eastAsia="微软雅黑" w:cs="微软雅黑"/>
          <w:b w:val="0"/>
          <w:bCs w:val="0"/>
          <w:color w:val="000000" w:themeColor="text1"/>
          <w:sz w:val="36"/>
          <w:szCs w:val="36"/>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000000" w:themeColor="text1"/>
          <w:sz w:val="36"/>
          <w:szCs w:val="36"/>
          <w:highlight w:val="none"/>
          <w14:textFill>
            <w14:solidFill>
              <w14:schemeClr w14:val="tx1"/>
            </w14:solidFill>
          </w14:textFill>
        </w:rPr>
        <w:t>明</w:t>
      </w:r>
    </w:p>
    <w:p w14:paraId="2ACC0D58">
      <w:pPr>
        <w:pStyle w:val="22"/>
        <w:bidi w:val="0"/>
        <w:spacing w:line="480" w:lineRule="auto"/>
        <w:rPr>
          <w:rFonts w:hint="eastAsia"/>
          <w:color w:val="000000" w:themeColor="text1"/>
          <w:highlight w:val="none"/>
          <w14:textFill>
            <w14:solidFill>
              <w14:schemeClr w14:val="tx1"/>
            </w14:solidFill>
          </w14:textFill>
        </w:rPr>
      </w:pPr>
    </w:p>
    <w:p w14:paraId="3E5B04B7">
      <w:pPr>
        <w:pStyle w:val="22"/>
        <w:bidi w:val="0"/>
        <w:spacing w:line="48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一、采购单位可以自行组织编制采购需求，也可以委托采购代理机构或者其他第三方机构编制。</w:t>
      </w:r>
    </w:p>
    <w:p w14:paraId="6794A17A">
      <w:pPr>
        <w:pStyle w:val="22"/>
        <w:bidi w:val="0"/>
        <w:spacing w:line="48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二、编制的采购需求应当符合《财政部关于印发政府采购需求管理办法的通知》（财库 </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2021</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22 号）要求及政府采购的相关规定。</w:t>
      </w:r>
    </w:p>
    <w:p w14:paraId="2B3FCAEF">
      <w:pPr>
        <w:pStyle w:val="22"/>
        <w:bidi w:val="0"/>
        <w:spacing w:line="48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三、斜体字部分属于提醒内容，编制时应删除。</w:t>
      </w:r>
    </w:p>
    <w:p w14:paraId="21EC613B">
      <w:pPr>
        <w:pStyle w:val="22"/>
        <w:bidi w:val="0"/>
        <w:spacing w:line="48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四、对不适用的内容应删除，并调整相应序号。</w:t>
      </w:r>
    </w:p>
    <w:p w14:paraId="7F58B541">
      <w:pPr>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sdt>
      <w:sdtPr>
        <w:rPr>
          <w:rFonts w:ascii="宋体" w:hAnsi="宋体" w:eastAsia="宋体" w:cs="宋体"/>
          <w:color w:val="000000" w:themeColor="text1"/>
          <w:kern w:val="2"/>
          <w:sz w:val="36"/>
          <w:szCs w:val="36"/>
          <w:highlight w:val="none"/>
          <w:lang w:val="en-US" w:eastAsia="zh-CN" w:bidi="ar-SA"/>
          <w14:textFill>
            <w14:solidFill>
              <w14:schemeClr w14:val="tx1"/>
            </w14:solidFill>
          </w14:textFill>
        </w:rPr>
        <w:id w:val="147454494"/>
        <w15:color w:val="DBDBDB"/>
        <w:docPartObj>
          <w:docPartGallery w:val="Table of Contents"/>
          <w:docPartUnique/>
        </w:docPartObj>
      </w:sdtPr>
      <w:sdtEndPr>
        <w:rPr>
          <w:rFonts w:ascii="宋体" w:hAnsi="宋体" w:eastAsia="宋体" w:cs="宋体"/>
          <w:b/>
          <w:color w:val="000000" w:themeColor="text1"/>
          <w:kern w:val="2"/>
          <w:sz w:val="36"/>
          <w:szCs w:val="36"/>
          <w:highlight w:val="none"/>
          <w:lang w:val="en-US" w:eastAsia="zh-CN" w:bidi="ar-SA"/>
          <w14:textFill>
            <w14:solidFill>
              <w14:schemeClr w14:val="tx1"/>
            </w14:solidFill>
          </w14:textFill>
        </w:rPr>
      </w:sdtEndPr>
      <w:sdtContent>
        <w:p w14:paraId="31A9AF53">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color w:val="000000" w:themeColor="text1"/>
              <w:sz w:val="36"/>
              <w:szCs w:val="36"/>
              <w:highlight w:val="none"/>
              <w14:textFill>
                <w14:solidFill>
                  <w14:schemeClr w14:val="tx1"/>
                </w14:solidFill>
              </w14:textFill>
            </w:rPr>
          </w:pPr>
          <w:r>
            <w:rPr>
              <w:rFonts w:hint="eastAsia" w:ascii="微软雅黑" w:hAnsi="微软雅黑" w:eastAsia="微软雅黑" w:cs="微软雅黑"/>
              <w:b/>
              <w:bCs/>
              <w:color w:val="000000" w:themeColor="text1"/>
              <w:sz w:val="36"/>
              <w:szCs w:val="36"/>
              <w:highlight w:val="none"/>
              <w14:textFill>
                <w14:solidFill>
                  <w14:schemeClr w14:val="tx1"/>
                </w14:solidFill>
              </w14:textFill>
            </w:rPr>
            <w:t>目</w:t>
          </w:r>
          <w:r>
            <w:rPr>
              <w:rFonts w:hint="eastAsia" w:ascii="微软雅黑" w:hAnsi="微软雅黑" w:eastAsia="微软雅黑" w:cs="微软雅黑"/>
              <w:b/>
              <w:bCs/>
              <w:color w:val="000000" w:themeColor="text1"/>
              <w:sz w:val="36"/>
              <w:szCs w:val="36"/>
              <w:highlight w:val="none"/>
              <w:lang w:val="en-US" w:eastAsia="zh-CN"/>
              <w14:textFill>
                <w14:solidFill>
                  <w14:schemeClr w14:val="tx1"/>
                </w14:solidFill>
              </w14:textFill>
            </w:rPr>
            <w:t xml:space="preserve">  </w:t>
          </w:r>
          <w:r>
            <w:rPr>
              <w:rFonts w:hint="eastAsia" w:ascii="微软雅黑" w:hAnsi="微软雅黑" w:eastAsia="微软雅黑" w:cs="微软雅黑"/>
              <w:b/>
              <w:bCs/>
              <w:color w:val="000000" w:themeColor="text1"/>
              <w:sz w:val="36"/>
              <w:szCs w:val="36"/>
              <w:highlight w:val="none"/>
              <w14:textFill>
                <w14:solidFill>
                  <w14:schemeClr w14:val="tx1"/>
                </w14:solidFill>
              </w14:textFill>
            </w:rPr>
            <w:t>录</w:t>
          </w:r>
        </w:p>
        <w:p w14:paraId="2F42EB15">
          <w:pPr>
            <w:pStyle w:val="32"/>
            <w:tabs>
              <w:tab w:val="right" w:leader="dot" w:pos="9746"/>
            </w:tabs>
            <w:spacing w:line="600" w:lineRule="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"1-2" \h \u </w:instrText>
          </w:r>
          <w:r>
            <w:rPr>
              <w:color w:val="000000" w:themeColor="text1"/>
              <w:highlight w:val="none"/>
              <w14:textFill>
                <w14:solidFill>
                  <w14:schemeClr w14:val="tx1"/>
                </w14:solidFill>
              </w14:textFill>
            </w:rPr>
            <w:fldChar w:fldCharType="separate"/>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b/>
              <w:color w:val="000000" w:themeColor="text1"/>
              <w:sz w:val="24"/>
              <w:szCs w:val="24"/>
              <w:highlight w:val="none"/>
              <w14:textFill>
                <w14:solidFill>
                  <w14:schemeClr w14:val="tx1"/>
                </w14:solidFill>
              </w14:textFill>
            </w:rPr>
            <w:instrText xml:space="preserve"> HYPERLINK \l _Toc31975 </w:instrTex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
              <w:color w:val="000000" w:themeColor="text1"/>
              <w:sz w:val="24"/>
              <w:szCs w:val="24"/>
              <w:highlight w:val="none"/>
              <w14:textFill>
                <w14:solidFill>
                  <w14:schemeClr w14:val="tx1"/>
                </w14:solidFill>
              </w14:textFill>
            </w:rPr>
            <w:t>一、需求调查情况</w:t>
          </w:r>
          <w:r>
            <w:rPr>
              <w:rFonts w:hint="eastAsia" w:ascii="微软雅黑" w:hAnsi="微软雅黑" w:eastAsia="微软雅黑" w:cs="微软雅黑"/>
              <w:b/>
              <w:color w:val="000000" w:themeColor="text1"/>
              <w:sz w:val="24"/>
              <w:szCs w:val="24"/>
              <w:highlight w:val="none"/>
              <w14:textFill>
                <w14:solidFill>
                  <w14:schemeClr w14:val="tx1"/>
                </w14:solidFill>
              </w14:textFill>
            </w:rPr>
            <w:tab/>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b/>
              <w:color w:val="000000" w:themeColor="text1"/>
              <w:sz w:val="24"/>
              <w:szCs w:val="24"/>
              <w:highlight w:val="none"/>
              <w14:textFill>
                <w14:solidFill>
                  <w14:schemeClr w14:val="tx1"/>
                </w14:solidFill>
              </w14:textFill>
            </w:rPr>
            <w:instrText xml:space="preserve"> PAGEREF _Toc31975 \h </w:instrTex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
              <w:color w:val="000000" w:themeColor="text1"/>
              <w:sz w:val="24"/>
              <w:szCs w:val="24"/>
              <w:highlight w:val="none"/>
              <w14:textFill>
                <w14:solidFill>
                  <w14:schemeClr w14:val="tx1"/>
                </w14:solidFill>
              </w14:textFill>
            </w:rPr>
            <w:t>4</w: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end"/>
          </w:r>
        </w:p>
        <w:p w14:paraId="04E3423F">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_Toc7384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Cs/>
              <w:color w:val="000000" w:themeColor="text1"/>
              <w:sz w:val="24"/>
              <w:szCs w:val="24"/>
              <w:highlight w:val="none"/>
              <w14:textFill>
                <w14:solidFill>
                  <w14:schemeClr w14:val="tx1"/>
                </w14:solidFill>
              </w14:textFill>
            </w:rPr>
            <w:t>（一）是否开展需求调查</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_Toc7384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4</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70222654">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_Toc7063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Cs/>
              <w:color w:val="000000" w:themeColor="text1"/>
              <w:sz w:val="24"/>
              <w:szCs w:val="24"/>
              <w:highlight w:val="none"/>
              <w14:textFill>
                <w14:solidFill>
                  <w14:schemeClr w14:val="tx1"/>
                </w14:solidFill>
              </w14:textFill>
            </w:rPr>
            <w:t>（二）需求调查方式</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_Toc7063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4</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3902C09E">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_Toc14035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Cs/>
              <w:color w:val="000000" w:themeColor="text1"/>
              <w:sz w:val="24"/>
              <w:szCs w:val="24"/>
              <w:highlight w:val="none"/>
              <w14:textFill>
                <w14:solidFill>
                  <w14:schemeClr w14:val="tx1"/>
                </w14:solidFill>
              </w14:textFill>
            </w:rPr>
            <w:t>（三）需求调查对象</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_Toc14035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4</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3F18F541">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_Toc17707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Cs/>
              <w:color w:val="000000" w:themeColor="text1"/>
              <w:sz w:val="24"/>
              <w:szCs w:val="24"/>
              <w:highlight w:val="none"/>
              <w:lang w:eastAsia="zh-CN"/>
              <w14:textFill>
                <w14:solidFill>
                  <w14:schemeClr w14:val="tx1"/>
                </w14:solidFill>
              </w14:textFill>
            </w:rPr>
            <w:t>（四）</w:t>
          </w:r>
          <w:r>
            <w:rPr>
              <w:rFonts w:hint="eastAsia" w:ascii="微软雅黑" w:hAnsi="微软雅黑" w:eastAsia="微软雅黑" w:cs="微软雅黑"/>
              <w:bCs/>
              <w:color w:val="000000" w:themeColor="text1"/>
              <w:sz w:val="24"/>
              <w:szCs w:val="24"/>
              <w:highlight w:val="none"/>
              <w14:textFill>
                <w14:solidFill>
                  <w14:schemeClr w14:val="tx1"/>
                </w14:solidFill>
              </w14:textFill>
            </w:rPr>
            <w:t>需求调查结果</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_Toc17707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4</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4206D4C9">
          <w:pPr>
            <w:pStyle w:val="32"/>
            <w:tabs>
              <w:tab w:val="right" w:leader="dot" w:pos="9746"/>
            </w:tabs>
            <w:spacing w:line="600" w:lineRule="auto"/>
            <w:rPr>
              <w:rFonts w:hint="eastAsia" w:ascii="微软雅黑" w:hAnsi="微软雅黑" w:eastAsia="微软雅黑" w:cs="微软雅黑"/>
              <w:b/>
              <w:color w:val="000000" w:themeColor="text1"/>
              <w:sz w:val="24"/>
              <w:szCs w:val="24"/>
              <w:highlight w:val="none"/>
              <w14:textFill>
                <w14:solidFill>
                  <w14:schemeClr w14:val="tx1"/>
                </w14:solidFill>
              </w14:textFill>
            </w:rPr>
          </w:pP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b/>
              <w:color w:val="000000" w:themeColor="text1"/>
              <w:sz w:val="24"/>
              <w:szCs w:val="24"/>
              <w:highlight w:val="none"/>
              <w14:textFill>
                <w14:solidFill>
                  <w14:schemeClr w14:val="tx1"/>
                </w14:solidFill>
              </w14:textFill>
            </w:rPr>
            <w:instrText xml:space="preserve"> HYPERLINK \l _Toc18096 </w:instrTex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
              <w:bCs/>
              <w:color w:val="000000" w:themeColor="text1"/>
              <w:sz w:val="24"/>
              <w:szCs w:val="24"/>
              <w:highlight w:val="none"/>
              <w14:textFill>
                <w14:solidFill>
                  <w14:schemeClr w14:val="tx1"/>
                </w14:solidFill>
              </w14:textFill>
            </w:rPr>
            <w:t>二、需求清单</w:t>
          </w:r>
          <w:r>
            <w:rPr>
              <w:rFonts w:hint="eastAsia" w:ascii="微软雅黑" w:hAnsi="微软雅黑" w:eastAsia="微软雅黑" w:cs="微软雅黑"/>
              <w:b/>
              <w:color w:val="000000" w:themeColor="text1"/>
              <w:sz w:val="24"/>
              <w:szCs w:val="24"/>
              <w:highlight w:val="none"/>
              <w14:textFill>
                <w14:solidFill>
                  <w14:schemeClr w14:val="tx1"/>
                </w14:solidFill>
              </w14:textFill>
            </w:rPr>
            <w:tab/>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b/>
              <w:color w:val="000000" w:themeColor="text1"/>
              <w:sz w:val="24"/>
              <w:szCs w:val="24"/>
              <w:highlight w:val="none"/>
              <w14:textFill>
                <w14:solidFill>
                  <w14:schemeClr w14:val="tx1"/>
                </w14:solidFill>
              </w14:textFill>
            </w:rPr>
            <w:instrText xml:space="preserve"> PAGEREF _Toc18096 \h </w:instrTex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b/>
              <w:color w:val="000000" w:themeColor="text1"/>
              <w:sz w:val="24"/>
              <w:szCs w:val="24"/>
              <w:highlight w:val="none"/>
              <w14:textFill>
                <w14:solidFill>
                  <w14:schemeClr w14:val="tx1"/>
                </w14:solidFill>
              </w14:textFill>
            </w:rPr>
            <w:t>4</w:t>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b/>
              <w:color w:val="000000" w:themeColor="text1"/>
              <w:sz w:val="24"/>
              <w:szCs w:val="24"/>
              <w:highlight w:val="none"/>
              <w14:textFill>
                <w14:solidFill>
                  <w14:schemeClr w14:val="tx1"/>
                </w14:solidFill>
              </w14:textFill>
            </w:rPr>
            <w:fldChar w:fldCharType="end"/>
          </w:r>
        </w:p>
        <w:p w14:paraId="2FE3E9AB">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_Toc5734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（一） 项目概况</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_Toc5734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5</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132AF595">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_Toc23714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（二） 采购项目预（概）算</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_Toc23714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5</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01304166">
          <w:pPr>
            <w:pStyle w:val="33"/>
            <w:tabs>
              <w:tab w:val="right" w:leader="dot" w:pos="9746"/>
            </w:tabs>
            <w:spacing w:line="600" w:lineRule="auto"/>
            <w:rPr>
              <w:rFonts w:hint="eastAsia" w:ascii="微软雅黑" w:hAnsi="微软雅黑" w:eastAsia="微软雅黑" w:cs="微软雅黑"/>
              <w:color w:val="000000" w:themeColor="text1"/>
              <w:sz w:val="24"/>
              <w:szCs w:val="24"/>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_Toc4938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（三） 采购标的汇总表</w:t>
          </w:r>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_Toc4938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5</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2622CCA1">
          <w:pPr>
            <w:pStyle w:val="33"/>
            <w:tabs>
              <w:tab w:val="right" w:leader="dot" w:pos="9746"/>
            </w:tabs>
            <w:spacing w:line="600" w:lineRule="auto"/>
            <w:rPr>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HYPERLINK \l _Toc5867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lang w:eastAsia="zh-CN"/>
              <w14:textFill>
                <w14:solidFill>
                  <w14:schemeClr w14:val="tx1"/>
                </w14:solidFill>
              </w14:textFill>
            </w:rPr>
            <w:t>（四） 技术商务要求</w:t>
          </w:r>
          <w:bookmarkStart w:id="10" w:name="_GoBack"/>
          <w:bookmarkEnd w:id="10"/>
          <w:r>
            <w:rPr>
              <w:rFonts w:hint="eastAsia" w:ascii="微软雅黑" w:hAnsi="微软雅黑" w:eastAsia="微软雅黑" w:cs="微软雅黑"/>
              <w:color w:val="000000" w:themeColor="text1"/>
              <w:sz w:val="24"/>
              <w:szCs w:val="24"/>
              <w:highlight w:val="none"/>
              <w14:textFill>
                <w14:solidFill>
                  <w14:schemeClr w14:val="tx1"/>
                </w14:solidFill>
              </w14:textFill>
            </w:rPr>
            <w:tab/>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begin"/>
          </w:r>
          <w:r>
            <w:rPr>
              <w:rFonts w:hint="eastAsia" w:ascii="微软雅黑" w:hAnsi="微软雅黑" w:eastAsia="微软雅黑" w:cs="微软雅黑"/>
              <w:color w:val="000000" w:themeColor="text1"/>
              <w:sz w:val="24"/>
              <w:szCs w:val="24"/>
              <w:highlight w:val="none"/>
              <w14:textFill>
                <w14:solidFill>
                  <w14:schemeClr w14:val="tx1"/>
                </w14:solidFill>
              </w14:textFill>
            </w:rPr>
            <w:instrText xml:space="preserve"> PAGEREF _Toc5867 \h </w:instrTex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separate"/>
          </w:r>
          <w:r>
            <w:rPr>
              <w:rFonts w:hint="eastAsia" w:ascii="微软雅黑" w:hAnsi="微软雅黑" w:eastAsia="微软雅黑" w:cs="微软雅黑"/>
              <w:color w:val="000000" w:themeColor="text1"/>
              <w:sz w:val="24"/>
              <w:szCs w:val="24"/>
              <w:highlight w:val="none"/>
              <w14:textFill>
                <w14:solidFill>
                  <w14:schemeClr w14:val="tx1"/>
                </w14:solidFill>
              </w14:textFill>
            </w:rPr>
            <w:t>6</w:t>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r>
            <w:rPr>
              <w:rFonts w:hint="eastAsia" w:ascii="微软雅黑" w:hAnsi="微软雅黑" w:eastAsia="微软雅黑" w:cs="微软雅黑"/>
              <w:color w:val="000000" w:themeColor="text1"/>
              <w:sz w:val="24"/>
              <w:szCs w:val="24"/>
              <w:highlight w:val="none"/>
              <w14:textFill>
                <w14:solidFill>
                  <w14:schemeClr w14:val="tx1"/>
                </w14:solidFill>
              </w14:textFill>
            </w:rPr>
            <w:fldChar w:fldCharType="end"/>
          </w:r>
        </w:p>
        <w:p w14:paraId="06AEC109">
          <w:pPr>
            <w:rPr>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fldChar w:fldCharType="end"/>
          </w:r>
        </w:p>
      </w:sdtContent>
    </w:sdt>
    <w:p w14:paraId="5C09609C">
      <w:pPr>
        <w:rPr>
          <w:rFonts w:hint="eastAsia"/>
          <w:color w:val="000000" w:themeColor="text1"/>
          <w:highlight w:val="none"/>
          <w14:textFill>
            <w14:solidFill>
              <w14:schemeClr w14:val="tx1"/>
            </w14:solidFill>
          </w14:textFill>
        </w:rPr>
      </w:pPr>
      <w:bookmarkStart w:id="0" w:name="_Toc31975"/>
      <w:r>
        <w:rPr>
          <w:rFonts w:hint="eastAsia"/>
          <w:color w:val="000000" w:themeColor="text1"/>
          <w:highlight w:val="none"/>
          <w14:textFill>
            <w14:solidFill>
              <w14:schemeClr w14:val="tx1"/>
            </w14:solidFill>
          </w14:textFill>
        </w:rPr>
        <w:br w:type="page"/>
      </w:r>
    </w:p>
    <w:p w14:paraId="2338F0E2">
      <w:pPr>
        <w:pStyle w:val="6"/>
        <w:bidi w:val="0"/>
        <w:ind w:firstLine="562" w:firstLineChars="200"/>
        <w:outlineLv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一、需求调查情况</w:t>
      </w:r>
      <w:bookmarkEnd w:id="0"/>
    </w:p>
    <w:p w14:paraId="01A5CEE3">
      <w:pPr>
        <w:pStyle w:val="22"/>
        <w:pageBreakBefore w:val="0"/>
        <w:kinsoku/>
        <w:wordWrap/>
        <w:overflowPunct/>
        <w:topLinePunct w:val="0"/>
        <w:autoSpaceDE/>
        <w:autoSpaceDN/>
        <w:bidi w:val="0"/>
        <w:adjustRightInd/>
        <w:snapToGrid/>
        <w:spacing w:line="440" w:lineRule="exact"/>
        <w:ind w:firstLine="482" w:firstLineChars="200"/>
        <w:textAlignment w:val="auto"/>
        <w:outlineLvl w:val="1"/>
        <w:rPr>
          <w:rFonts w:hint="eastAsia"/>
          <w:b/>
          <w:bCs/>
          <w:color w:val="000000" w:themeColor="text1"/>
          <w:highlight w:val="none"/>
          <w14:textFill>
            <w14:solidFill>
              <w14:schemeClr w14:val="tx1"/>
            </w14:solidFill>
          </w14:textFill>
        </w:rPr>
      </w:pPr>
      <w:bookmarkStart w:id="1" w:name="_Toc7384"/>
      <w:r>
        <w:rPr>
          <w:rFonts w:hint="eastAsia"/>
          <w:b/>
          <w:bCs/>
          <w:color w:val="000000" w:themeColor="text1"/>
          <w:highlight w:val="none"/>
          <w14:textFill>
            <w14:solidFill>
              <w14:schemeClr w14:val="tx1"/>
            </w14:solidFill>
          </w14:textFill>
        </w:rPr>
        <w:t>（一）是否开展需求调查</w:t>
      </w:r>
      <w:bookmarkEnd w:id="1"/>
    </w:p>
    <w:p w14:paraId="4E006A83">
      <w:pPr>
        <w:pStyle w:val="22"/>
        <w:pageBreakBefore w:val="0"/>
        <w:kinsoku/>
        <w:wordWrap/>
        <w:overflowPunct/>
        <w:topLinePunct w:val="0"/>
        <w:autoSpaceDE/>
        <w:autoSpaceDN/>
        <w:bidi w:val="0"/>
        <w:adjustRightInd/>
        <w:snapToGrid/>
        <w:spacing w:line="440" w:lineRule="exact"/>
        <w:ind w:firstLine="960" w:firstLineChars="400"/>
        <w:textAlignment w:val="auto"/>
        <w:rPr>
          <w:rFonts w:hint="eastAsia"/>
          <w:i w:val="0"/>
          <w:iCs w:val="0"/>
          <w:color w:val="000000" w:themeColor="text1"/>
          <w:highlight w:val="none"/>
          <w:u w:val="single"/>
          <w14:textFill>
            <w14:solidFill>
              <w14:schemeClr w14:val="tx1"/>
            </w14:solidFill>
          </w14:textFill>
        </w:rPr>
      </w:pPr>
      <w:r>
        <w:rPr>
          <w:rFonts w:hint="eastAsia"/>
          <w:i w:val="0"/>
          <w:iCs w:val="0"/>
          <w:color w:val="000000" w:themeColor="text1"/>
          <w:highlight w:val="none"/>
          <w:u w:val="single"/>
          <w:lang w:eastAsia="zh-CN"/>
          <w14:textFill>
            <w14:solidFill>
              <w14:schemeClr w14:val="tx1"/>
            </w14:solidFill>
          </w14:textFill>
        </w:rPr>
        <w:t>已</w:t>
      </w:r>
      <w:r>
        <w:rPr>
          <w:rFonts w:hint="eastAsia"/>
          <w:i w:val="0"/>
          <w:iCs w:val="0"/>
          <w:color w:val="000000" w:themeColor="text1"/>
          <w:highlight w:val="none"/>
          <w:u w:val="single"/>
          <w14:textFill>
            <w14:solidFill>
              <w14:schemeClr w14:val="tx1"/>
            </w14:solidFill>
          </w14:textFill>
        </w:rPr>
        <w:t>按照</w:t>
      </w:r>
      <w:r>
        <w:rPr>
          <w:rFonts w:hint="eastAsia"/>
          <w:i w:val="0"/>
          <w:iCs w:val="0"/>
          <w:color w:val="000000" w:themeColor="text1"/>
          <w:highlight w:val="none"/>
          <w:u w:val="single"/>
          <w:lang w:eastAsia="zh-CN"/>
          <w14:textFill>
            <w14:solidFill>
              <w14:schemeClr w14:val="tx1"/>
            </w14:solidFill>
          </w14:textFill>
        </w:rPr>
        <w:t>《</w:t>
      </w:r>
      <w:r>
        <w:rPr>
          <w:rFonts w:hint="eastAsia"/>
          <w:i w:val="0"/>
          <w:iCs w:val="0"/>
          <w:color w:val="000000" w:themeColor="text1"/>
          <w:highlight w:val="none"/>
          <w:u w:val="single"/>
          <w14:textFill>
            <w14:solidFill>
              <w14:schemeClr w14:val="tx1"/>
            </w14:solidFill>
          </w14:textFill>
        </w:rPr>
        <w:t>政府采购需求管理办法》的规定开展需求调查。</w:t>
      </w:r>
    </w:p>
    <w:p w14:paraId="4F58403E">
      <w:pPr>
        <w:pStyle w:val="22"/>
        <w:pageBreakBefore w:val="0"/>
        <w:kinsoku/>
        <w:wordWrap/>
        <w:overflowPunct/>
        <w:topLinePunct w:val="0"/>
        <w:autoSpaceDE/>
        <w:autoSpaceDN/>
        <w:bidi w:val="0"/>
        <w:adjustRightInd/>
        <w:snapToGrid/>
        <w:spacing w:line="440" w:lineRule="exact"/>
        <w:ind w:firstLine="482" w:firstLineChars="200"/>
        <w:textAlignment w:val="auto"/>
        <w:outlineLvl w:val="1"/>
        <w:rPr>
          <w:rFonts w:hint="eastAsia"/>
          <w:b/>
          <w:bCs/>
          <w:color w:val="000000" w:themeColor="text1"/>
          <w:highlight w:val="none"/>
          <w14:textFill>
            <w14:solidFill>
              <w14:schemeClr w14:val="tx1"/>
            </w14:solidFill>
          </w14:textFill>
        </w:rPr>
      </w:pPr>
      <w:bookmarkStart w:id="2" w:name="_Toc7063"/>
      <w:r>
        <w:rPr>
          <w:rFonts w:hint="eastAsia"/>
          <w:b/>
          <w:bCs/>
          <w:color w:val="000000" w:themeColor="text1"/>
          <w:highlight w:val="none"/>
          <w14:textFill>
            <w14:solidFill>
              <w14:schemeClr w14:val="tx1"/>
            </w14:solidFill>
          </w14:textFill>
        </w:rPr>
        <w:t>（二）需求调查方式</w:t>
      </w:r>
      <w:bookmarkEnd w:id="2"/>
    </w:p>
    <w:p w14:paraId="6D52EB7E">
      <w:pPr>
        <w:pStyle w:val="22"/>
        <w:pageBreakBefore w:val="0"/>
        <w:kinsoku/>
        <w:wordWrap/>
        <w:overflowPunct/>
        <w:topLinePunct w:val="0"/>
        <w:autoSpaceDE/>
        <w:autoSpaceDN/>
        <w:bidi w:val="0"/>
        <w:adjustRightInd/>
        <w:snapToGrid/>
        <w:spacing w:line="440" w:lineRule="exact"/>
        <w:ind w:firstLine="960" w:firstLineChars="400"/>
        <w:textAlignment w:val="auto"/>
        <w:rPr>
          <w:rFonts w:hint="eastAsia"/>
          <w:i w:val="0"/>
          <w:iCs w:val="0"/>
          <w:color w:val="000000" w:themeColor="text1"/>
          <w:highlight w:val="none"/>
          <w:u w:val="single"/>
          <w14:textFill>
            <w14:solidFill>
              <w14:schemeClr w14:val="tx1"/>
            </w14:solidFill>
          </w14:textFill>
        </w:rPr>
      </w:pPr>
      <w:r>
        <w:rPr>
          <w:rFonts w:hint="eastAsia"/>
          <w:i w:val="0"/>
          <w:iCs w:val="0"/>
          <w:color w:val="000000" w:themeColor="text1"/>
          <w:highlight w:val="none"/>
          <w:u w:val="single"/>
          <w:lang w:eastAsia="zh-CN"/>
          <w14:textFill>
            <w14:solidFill>
              <w14:schemeClr w14:val="tx1"/>
            </w14:solidFill>
          </w14:textFill>
        </w:rPr>
        <w:t>现</w:t>
      </w:r>
      <w:r>
        <w:rPr>
          <w:rFonts w:hint="eastAsia"/>
          <w:i w:val="0"/>
          <w:iCs w:val="0"/>
          <w:color w:val="000000" w:themeColor="text1"/>
          <w:highlight w:val="none"/>
          <w:u w:val="single"/>
          <w:lang w:val="en-US" w:eastAsia="zh-CN"/>
          <w14:textFill>
            <w14:solidFill>
              <w14:schemeClr w14:val="tx1"/>
            </w14:solidFill>
          </w14:textFill>
        </w:rPr>
        <w:t>场</w:t>
      </w:r>
      <w:r>
        <w:rPr>
          <w:rFonts w:hint="eastAsia"/>
          <w:i w:val="0"/>
          <w:iCs w:val="0"/>
          <w:color w:val="000000" w:themeColor="text1"/>
          <w:highlight w:val="none"/>
          <w:u w:val="single"/>
          <w:lang w:eastAsia="zh-CN"/>
          <w14:textFill>
            <w14:solidFill>
              <w14:schemeClr w14:val="tx1"/>
            </w14:solidFill>
          </w14:textFill>
        </w:rPr>
        <w:t>调研</w:t>
      </w:r>
      <w:r>
        <w:rPr>
          <w:rFonts w:hint="eastAsia"/>
          <w:i w:val="0"/>
          <w:iCs w:val="0"/>
          <w:color w:val="000000" w:themeColor="text1"/>
          <w:highlight w:val="none"/>
          <w:u w:val="single"/>
          <w14:textFill>
            <w14:solidFill>
              <w14:schemeClr w14:val="tx1"/>
            </w14:solidFill>
          </w14:textFill>
        </w:rPr>
        <w:t>。</w:t>
      </w:r>
    </w:p>
    <w:p w14:paraId="6AEE8DB2">
      <w:pPr>
        <w:pStyle w:val="22"/>
        <w:pageBreakBefore w:val="0"/>
        <w:numPr>
          <w:ilvl w:val="0"/>
          <w:numId w:val="2"/>
        </w:numPr>
        <w:kinsoku/>
        <w:wordWrap/>
        <w:overflowPunct/>
        <w:topLinePunct w:val="0"/>
        <w:autoSpaceDE/>
        <w:autoSpaceDN/>
        <w:bidi w:val="0"/>
        <w:adjustRightInd/>
        <w:snapToGrid/>
        <w:spacing w:line="440" w:lineRule="exact"/>
        <w:ind w:firstLine="482" w:firstLineChars="200"/>
        <w:textAlignment w:val="auto"/>
        <w:outlineLvl w:val="1"/>
        <w:rPr>
          <w:rFonts w:hint="eastAsia"/>
          <w:b/>
          <w:bCs/>
          <w:color w:val="000000" w:themeColor="text1"/>
          <w:highlight w:val="none"/>
          <w14:textFill>
            <w14:solidFill>
              <w14:schemeClr w14:val="tx1"/>
            </w14:solidFill>
          </w14:textFill>
        </w:rPr>
      </w:pPr>
      <w:bookmarkStart w:id="3" w:name="_Toc14035"/>
      <w:r>
        <w:rPr>
          <w:rFonts w:hint="eastAsia"/>
          <w:b/>
          <w:bCs/>
          <w:color w:val="000000" w:themeColor="text1"/>
          <w:highlight w:val="none"/>
          <w14:textFill>
            <w14:solidFill>
              <w14:schemeClr w14:val="tx1"/>
            </w14:solidFill>
          </w14:textFill>
        </w:rPr>
        <w:t>需求调查对象</w:t>
      </w:r>
      <w:bookmarkEnd w:id="3"/>
    </w:p>
    <w:p w14:paraId="3BF35D01">
      <w:pPr>
        <w:pStyle w:val="22"/>
        <w:pageBreakBefore w:val="0"/>
        <w:kinsoku/>
        <w:wordWrap/>
        <w:overflowPunct/>
        <w:topLinePunct w:val="0"/>
        <w:autoSpaceDE/>
        <w:autoSpaceDN/>
        <w:bidi w:val="0"/>
        <w:adjustRightInd/>
        <w:snapToGrid/>
        <w:spacing w:line="440" w:lineRule="exact"/>
        <w:ind w:firstLine="960" w:firstLineChars="400"/>
        <w:textAlignment w:val="auto"/>
        <w:rPr>
          <w:rFonts w:hint="eastAsia"/>
          <w:i w:val="0"/>
          <w:iCs w:val="0"/>
          <w:color w:val="000000" w:themeColor="text1"/>
          <w:highlight w:val="none"/>
          <w:u w:val="single"/>
          <w:lang w:eastAsia="zh-CN"/>
          <w14:textFill>
            <w14:solidFill>
              <w14:schemeClr w14:val="tx1"/>
            </w14:solidFill>
          </w14:textFill>
        </w:rPr>
      </w:pPr>
      <w:r>
        <w:rPr>
          <w:rFonts w:hint="eastAsia"/>
          <w:i w:val="0"/>
          <w:iCs w:val="0"/>
          <w:color w:val="000000" w:themeColor="text1"/>
          <w:highlight w:val="none"/>
          <w:u w:val="single"/>
          <w:lang w:eastAsia="zh-CN"/>
          <w14:textFill>
            <w14:solidFill>
              <w14:schemeClr w14:val="tx1"/>
            </w14:solidFill>
          </w14:textFill>
        </w:rPr>
        <w:t>产品厂家</w:t>
      </w:r>
      <w:r>
        <w:rPr>
          <w:rFonts w:hint="eastAsia"/>
          <w:i w:val="0"/>
          <w:iCs w:val="0"/>
          <w:color w:val="000000" w:themeColor="text1"/>
          <w:highlight w:val="none"/>
          <w:u w:val="single"/>
          <w14:textFill>
            <w14:solidFill>
              <w14:schemeClr w14:val="tx1"/>
            </w14:solidFill>
          </w14:textFill>
        </w:rPr>
        <w:t>。</w:t>
      </w:r>
    </w:p>
    <w:p w14:paraId="1A09B506">
      <w:pPr>
        <w:pStyle w:val="22"/>
        <w:pageBreakBefore w:val="0"/>
        <w:kinsoku/>
        <w:wordWrap/>
        <w:overflowPunct/>
        <w:topLinePunct w:val="0"/>
        <w:autoSpaceDE/>
        <w:autoSpaceDN/>
        <w:bidi w:val="0"/>
        <w:adjustRightInd/>
        <w:snapToGrid/>
        <w:spacing w:line="440" w:lineRule="exact"/>
        <w:textAlignment w:val="auto"/>
        <w:outlineLvl w:val="1"/>
        <w:rPr>
          <w:rFonts w:hint="eastAsia"/>
          <w:color w:val="000000" w:themeColor="text1"/>
          <w:highlight w:val="none"/>
          <w14:textFill>
            <w14:solidFill>
              <w14:schemeClr w14:val="tx1"/>
            </w14:solidFill>
          </w14:textFill>
        </w:rPr>
      </w:pPr>
      <w:bookmarkStart w:id="4" w:name="_Toc17707"/>
      <w:r>
        <w:rPr>
          <w:rFonts w:hint="eastAsia"/>
          <w:b/>
          <w:bCs/>
          <w:color w:val="000000" w:themeColor="text1"/>
          <w:highlight w:val="none"/>
          <w:lang w:eastAsia="zh-CN"/>
          <w14:textFill>
            <w14:solidFill>
              <w14:schemeClr w14:val="tx1"/>
            </w14:solidFill>
          </w14:textFill>
        </w:rPr>
        <w:t>（四）</w:t>
      </w:r>
      <w:r>
        <w:rPr>
          <w:rFonts w:hint="eastAsia"/>
          <w:b/>
          <w:bCs/>
          <w:color w:val="000000" w:themeColor="text1"/>
          <w:highlight w:val="none"/>
          <w14:textFill>
            <w14:solidFill>
              <w14:schemeClr w14:val="tx1"/>
            </w14:solidFill>
          </w14:textFill>
        </w:rPr>
        <w:t>需求调查结果</w:t>
      </w:r>
      <w:bookmarkEnd w:id="4"/>
      <w:r>
        <w:rPr>
          <w:rFonts w:hint="eastAsia"/>
          <w:color w:val="000000" w:themeColor="text1"/>
          <w:highlight w:val="none"/>
          <w14:textFill>
            <w14:solidFill>
              <w14:schemeClr w14:val="tx1"/>
            </w14:solidFill>
          </w14:textFill>
        </w:rPr>
        <w:t xml:space="preserve"> </w:t>
      </w:r>
    </w:p>
    <w:p w14:paraId="6A67B070">
      <w:pPr>
        <w:pStyle w:val="22"/>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相关产业发展情况</w:t>
      </w:r>
    </w:p>
    <w:p w14:paraId="18349C7C">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default" w:eastAsia="宋体"/>
          <w:color w:val="000000" w:themeColor="text1"/>
          <w:highlight w:val="none"/>
          <w:u w:val="single"/>
          <w:lang w:val="en-US" w:eastAsia="zh-CN"/>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国内产业成熟，底盘+上装改装产业链完整。燃油环卫装备技术稳定，市场保有量大；新能源环卫车为政策鼓励方向，电动化渗透率逐年提升，电池、电控技术持续迭代，适合城市固定路线环卫作业。</w:t>
      </w:r>
    </w:p>
    <w:p w14:paraId="1C6B0466">
      <w:pPr>
        <w:pStyle w:val="22"/>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市场供给情况</w:t>
      </w:r>
    </w:p>
    <w:p w14:paraId="760110F7">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本次采购的车辆国内均有多家具备生产资质的厂家，不存在单一来源、垄断情形，可满足公开招标采购。湖南及周边有较多改装厂，售后网点覆盖县域。</w:t>
      </w:r>
    </w:p>
    <w:p w14:paraId="070661EC">
      <w:pPr>
        <w:pStyle w:val="22"/>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同类采购项目历史成交信息</w:t>
      </w:r>
    </w:p>
    <w:p w14:paraId="040B2028">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 xml:space="preserve"> /                                                                             </w:t>
      </w:r>
    </w:p>
    <w:p w14:paraId="2C9DE28A">
      <w:pPr>
        <w:pStyle w:val="22"/>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可能涉及的运行维护、升级更新、备品备件、耗材等后续采购情况</w:t>
      </w:r>
    </w:p>
    <w:p w14:paraId="52909AF7">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color w:val="000000" w:themeColor="text1"/>
          <w:highlight w:val="none"/>
          <w:u w:val="single"/>
          <w:lang w:val="en-US" w:eastAsia="zh-CN"/>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燃油车辆：常规保养为机油、机滤、空滤、液压油、密封件；底盘按主机厂保养周期，上装液压系统定期检修。</w:t>
      </w:r>
    </w:p>
    <w:p w14:paraId="47AAF049">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新能源清洁车：除机械保养外，电池、电机、电控为三电系统，需专项检测；电池寿命到期后存在更换成本。</w:t>
      </w:r>
    </w:p>
    <w:p w14:paraId="1F47CA0B">
      <w:pPr>
        <w:pStyle w:val="22"/>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其他相关情况</w:t>
      </w:r>
    </w:p>
    <w:p w14:paraId="5CC2A45A">
      <w:pPr>
        <w:pStyle w:val="22"/>
        <w:pageBreakBefore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 xml:space="preserve"> /                                                                      </w:t>
      </w:r>
    </w:p>
    <w:p w14:paraId="5EA72F59">
      <w:pPr>
        <w:pStyle w:val="6"/>
        <w:pageBreakBefore w:val="0"/>
        <w:numPr>
          <w:ilvl w:val="0"/>
          <w:numId w:val="4"/>
        </w:numPr>
        <w:kinsoku/>
        <w:wordWrap/>
        <w:overflowPunct/>
        <w:topLinePunct w:val="0"/>
        <w:autoSpaceDE/>
        <w:autoSpaceDN/>
        <w:bidi w:val="0"/>
        <w:adjustRightInd/>
        <w:snapToGrid/>
        <w:spacing w:line="440" w:lineRule="exact"/>
        <w:ind w:firstLine="562" w:firstLineChars="200"/>
        <w:textAlignment w:val="auto"/>
        <w:outlineLvl w:val="0"/>
        <w:rPr>
          <w:rFonts w:hint="eastAsia"/>
          <w:b/>
          <w:bCs/>
          <w:color w:val="000000" w:themeColor="text1"/>
          <w:highlight w:val="none"/>
          <w14:textFill>
            <w14:solidFill>
              <w14:schemeClr w14:val="tx1"/>
            </w14:solidFill>
          </w14:textFill>
        </w:rPr>
      </w:pPr>
      <w:bookmarkStart w:id="5" w:name="_Toc18096"/>
      <w:r>
        <w:rPr>
          <w:rFonts w:hint="eastAsia"/>
          <w:b/>
          <w:bCs/>
          <w:color w:val="000000" w:themeColor="text1"/>
          <w:highlight w:val="none"/>
          <w14:textFill>
            <w14:solidFill>
              <w14:schemeClr w14:val="tx1"/>
            </w14:solidFill>
          </w14:textFill>
        </w:rPr>
        <w:t>需求清单</w:t>
      </w:r>
      <w:bookmarkEnd w:id="5"/>
    </w:p>
    <w:p w14:paraId="01ED291F">
      <w:pPr>
        <w:widowControl w:val="0"/>
        <w:numPr>
          <w:ilvl w:val="0"/>
          <w:numId w:val="0"/>
        </w:numPr>
        <w:shd w:val="clear"/>
        <w:bidi w:val="0"/>
        <w:adjustRightInd w:val="0"/>
        <w:snapToGrid w:val="0"/>
        <w:spacing w:before="100" w:beforeLines="100" w:line="440" w:lineRule="exact"/>
        <w:ind w:firstLine="480" w:firstLineChars="200"/>
        <w:jc w:val="both"/>
        <w:rPr>
          <w:rFonts w:hint="default" w:ascii="Times New Roman" w:hAnsi="Times New Roman" w:eastAsia="宋体" w:cs="Times New Roman"/>
          <w:color w:val="000000" w:themeColor="text1"/>
          <w:spacing w:val="-6"/>
          <w:kern w:val="2"/>
          <w:sz w:val="24"/>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2"/>
          <w:highlight w:val="none"/>
          <w:lang w:val="en-US" w:eastAsia="zh-CN" w:bidi="ar-SA"/>
          <w14:textFill>
            <w14:solidFill>
              <w14:schemeClr w14:val="tx1"/>
            </w14:solidFill>
          </w14:textFill>
        </w:rPr>
        <w:t>下列采购需求中用“★”符号标明的条款为实质性要求和条件，投标人必须完全响应，未按要求响应，视为实质性偏离，其</w:t>
      </w:r>
      <w:r>
        <w:rPr>
          <w:rFonts w:hint="eastAsia" w:ascii="Times New Roman" w:hAnsi="Times New Roman" w:eastAsia="宋体" w:cs="Times New Roman"/>
          <w:b/>
          <w:bCs/>
          <w:color w:val="000000" w:themeColor="text1"/>
          <w:kern w:val="2"/>
          <w:sz w:val="24"/>
          <w:szCs w:val="22"/>
          <w:highlight w:val="none"/>
          <w:lang w:val="en-US" w:eastAsia="zh-CN" w:bidi="ar-SA"/>
          <w14:textFill>
            <w14:solidFill>
              <w14:schemeClr w14:val="tx1"/>
            </w14:solidFill>
          </w14:textFill>
        </w:rPr>
        <w:t>投标无效</w:t>
      </w:r>
      <w:r>
        <w:rPr>
          <w:rFonts w:hint="eastAsia" w:ascii="Times New Roman" w:hAnsi="Times New Roman" w:eastAsia="宋体" w:cs="Times New Roman"/>
          <w:color w:val="000000" w:themeColor="text1"/>
          <w:kern w:val="2"/>
          <w:sz w:val="24"/>
          <w:szCs w:val="22"/>
          <w:highlight w:val="none"/>
          <w:lang w:val="en-US" w:eastAsia="zh-CN" w:bidi="ar-SA"/>
          <w14:textFill>
            <w14:solidFill>
              <w14:schemeClr w14:val="tx1"/>
            </w14:solidFill>
          </w14:textFill>
        </w:rPr>
        <w:t>。未标注“★” 的条款为非实质性要求和条件，</w:t>
      </w:r>
      <w:r>
        <w:rPr>
          <w:rFonts w:hint="eastAsia" w:ascii="Times New Roman" w:hAnsi="Times New Roman" w:eastAsia="宋体" w:cs="Times New Roman"/>
          <w:color w:val="000000" w:themeColor="text1"/>
          <w:spacing w:val="-6"/>
          <w:kern w:val="2"/>
          <w:sz w:val="24"/>
          <w:szCs w:val="22"/>
          <w:highlight w:val="none"/>
          <w:lang w:val="en-US" w:eastAsia="zh-CN" w:bidi="ar-SA"/>
          <w14:textFill>
            <w14:solidFill>
              <w14:schemeClr w14:val="tx1"/>
            </w14:solidFill>
          </w14:textFill>
        </w:rPr>
        <w:t>视为非实质性偏离。标注“▲”号条款为重要技术参数，若有“▲”条款未响应或不满足，将导致其评审扣分，但不作为无效投标条款。</w:t>
      </w:r>
      <w:r>
        <w:rPr>
          <w:rFonts w:hint="eastAsia" w:ascii="Times New Roman" w:hAnsi="Times New Roman" w:eastAsia="宋体" w:cs="Times New Roman"/>
          <w:b/>
          <w:bCs/>
          <w:color w:val="000000" w:themeColor="text1"/>
          <w:spacing w:val="-6"/>
          <w:kern w:val="2"/>
          <w:sz w:val="24"/>
          <w:szCs w:val="22"/>
          <w:highlight w:val="none"/>
          <w:lang w:val="en-US" w:eastAsia="zh-CN" w:bidi="ar-SA"/>
          <w14:textFill>
            <w14:solidFill>
              <w14:schemeClr w14:val="tx1"/>
            </w14:solidFill>
          </w14:textFill>
        </w:rPr>
        <w:t>标注“★”号共有41项，标注“▲”号共有20项。</w:t>
      </w:r>
    </w:p>
    <w:p w14:paraId="2C463CE1">
      <w:pPr>
        <w:pStyle w:val="7"/>
        <w:pageBreakBefore w:val="0"/>
        <w:numPr>
          <w:ilvl w:val="0"/>
          <w:numId w:val="5"/>
        </w:numPr>
        <w:kinsoku/>
        <w:wordWrap/>
        <w:overflowPunct/>
        <w:topLinePunct w:val="0"/>
        <w:autoSpaceDE/>
        <w:autoSpaceDN/>
        <w:bidi w:val="0"/>
        <w:adjustRightInd/>
        <w:snapToGrid/>
        <w:spacing w:line="440" w:lineRule="exact"/>
        <w:ind w:firstLine="480" w:firstLineChars="200"/>
        <w:textAlignment w:val="auto"/>
        <w:outlineLvl w:val="1"/>
        <w:rPr>
          <w:rFonts w:hint="eastAsia"/>
          <w:color w:val="000000" w:themeColor="text1"/>
          <w:highlight w:val="none"/>
          <w:lang w:eastAsia="zh-CN"/>
          <w14:textFill>
            <w14:solidFill>
              <w14:schemeClr w14:val="tx1"/>
            </w14:solidFill>
          </w14:textFill>
        </w:rPr>
      </w:pPr>
      <w:bookmarkStart w:id="6" w:name="_Toc5734"/>
      <w:r>
        <w:rPr>
          <w:rFonts w:hint="eastAsia"/>
          <w:color w:val="000000" w:themeColor="text1"/>
          <w:highlight w:val="none"/>
          <w:lang w:eastAsia="zh-CN"/>
          <w14:textFill>
            <w14:solidFill>
              <w14:schemeClr w14:val="tx1"/>
            </w14:solidFill>
          </w14:textFill>
        </w:rPr>
        <w:t>项目概况</w:t>
      </w:r>
      <w:bookmarkEnd w:id="6"/>
    </w:p>
    <w:p w14:paraId="1C582AEA">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当前我市市政环卫设施设备普遍存在老化失修、功能适配性不足等问题，生活垃圾收集、转运环节易出现渗滤液滴漏、垃圾遗洒现象，存在环境污染隐患，为从源头筑牢环境风险防线，特实施本项目。项目主要内容包括：燃油勾臂车、燃油压缩式垃圾车、燃油大流量排水抢险车、新能源清洗车等17个品类设备购买和张家界市永定区 16 处垃圾站原垃圾设备拆除、新做地面硬化、排水沟及水电等工程改造。资金来源：超长期特别国债，目前到位资金2812万元。</w:t>
      </w:r>
    </w:p>
    <w:p w14:paraId="1F99018B">
      <w:pPr>
        <w:pStyle w:val="7"/>
        <w:pageBreakBefore w:val="0"/>
        <w:numPr>
          <w:ilvl w:val="0"/>
          <w:numId w:val="5"/>
        </w:numPr>
        <w:kinsoku/>
        <w:wordWrap/>
        <w:overflowPunct/>
        <w:topLinePunct w:val="0"/>
        <w:autoSpaceDE/>
        <w:autoSpaceDN/>
        <w:bidi w:val="0"/>
        <w:adjustRightInd/>
        <w:snapToGrid/>
        <w:spacing w:line="440" w:lineRule="exact"/>
        <w:ind w:firstLine="480" w:firstLineChars="200"/>
        <w:textAlignment w:val="auto"/>
        <w:outlineLvl w:val="1"/>
        <w:rPr>
          <w:rFonts w:hint="eastAsia"/>
          <w:color w:val="000000" w:themeColor="text1"/>
          <w:highlight w:val="none"/>
          <w:lang w:eastAsia="zh-CN"/>
          <w14:textFill>
            <w14:solidFill>
              <w14:schemeClr w14:val="tx1"/>
            </w14:solidFill>
          </w14:textFill>
        </w:rPr>
      </w:pPr>
      <w:bookmarkStart w:id="7" w:name="_Toc23714"/>
      <w:r>
        <w:rPr>
          <w:rFonts w:hint="eastAsia"/>
          <w:color w:val="000000" w:themeColor="text1"/>
          <w:highlight w:val="none"/>
          <w:lang w:eastAsia="zh-CN"/>
          <w14:textFill>
            <w14:solidFill>
              <w14:schemeClr w14:val="tx1"/>
            </w14:solidFill>
          </w14:textFill>
        </w:rPr>
        <w:t>采购项目预（概）算</w:t>
      </w:r>
      <w:bookmarkEnd w:id="7"/>
    </w:p>
    <w:p w14:paraId="189EAA20">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themeColor="text1"/>
          <w:highlight w:val="none"/>
          <w:u w:val="singl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总</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预 算∶</w:t>
      </w:r>
      <w:r>
        <w:rPr>
          <w:rFonts w:hint="eastAsia"/>
          <w:color w:val="000000" w:themeColor="text1"/>
          <w:highlight w:val="none"/>
          <w:u w:val="single"/>
          <w:lang w:val="en-US" w:eastAsia="zh-CN"/>
          <w14:textFill>
            <w14:solidFill>
              <w14:schemeClr w14:val="tx1"/>
            </w14:solidFill>
          </w14:textFill>
        </w:rPr>
        <w:t>2812万元</w:t>
      </w:r>
    </w:p>
    <w:p w14:paraId="17372E4C">
      <w:pPr>
        <w:pStyle w:val="22"/>
        <w:pageBreakBefore w:val="0"/>
        <w:kinsoku/>
        <w:wordWrap/>
        <w:overflowPunct/>
        <w:topLinePunct w:val="0"/>
        <w:autoSpaceDE/>
        <w:autoSpaceDN/>
        <w:bidi w:val="0"/>
        <w:adjustRightInd/>
        <w:snapToGrid/>
        <w:spacing w:line="440" w:lineRule="exact"/>
        <w:ind w:firstLine="480" w:firstLineChars="200"/>
        <w:textAlignment w:val="auto"/>
        <w:rPr>
          <w:rFonts w:hint="default"/>
          <w:color w:val="000000" w:themeColor="text1"/>
          <w:highlight w:val="none"/>
          <w:u w:val="singl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包1预算∶</w:t>
      </w:r>
      <w:r>
        <w:rPr>
          <w:rFonts w:hint="eastAsia" w:eastAsia="宋体" w:cs="宋体"/>
          <w:color w:val="000000" w:themeColor="text1"/>
          <w:highlight w:val="none"/>
          <w:u w:val="single"/>
          <w:lang w:val="en-US" w:eastAsia="zh-CN"/>
          <w14:textFill>
            <w14:solidFill>
              <w14:schemeClr w14:val="tx1"/>
            </w14:solidFill>
          </w14:textFill>
        </w:rPr>
        <w:t>2812万元</w:t>
      </w:r>
    </w:p>
    <w:p w14:paraId="40C106A7">
      <w:pPr>
        <w:pStyle w:val="7"/>
        <w:numPr>
          <w:ilvl w:val="0"/>
          <w:numId w:val="5"/>
        </w:numPr>
        <w:bidi w:val="0"/>
        <w:ind w:firstLine="480" w:firstLineChars="200"/>
        <w:outlineLvl w:val="1"/>
        <w:rPr>
          <w:rFonts w:hint="eastAsia"/>
          <w:color w:val="000000" w:themeColor="text1"/>
          <w:highlight w:val="none"/>
          <w:lang w:eastAsia="zh-CN"/>
          <w14:textFill>
            <w14:solidFill>
              <w14:schemeClr w14:val="tx1"/>
            </w14:solidFill>
          </w14:textFill>
        </w:rPr>
      </w:pPr>
      <w:bookmarkStart w:id="8" w:name="_Toc4938"/>
      <w:r>
        <w:rPr>
          <w:rFonts w:hint="eastAsia"/>
          <w:color w:val="000000" w:themeColor="text1"/>
          <w:highlight w:val="none"/>
          <w:lang w:eastAsia="zh-CN"/>
          <w14:textFill>
            <w14:solidFill>
              <w14:schemeClr w14:val="tx1"/>
            </w14:solidFill>
          </w14:textFill>
        </w:rPr>
        <w:t>采购标的汇总表</w:t>
      </w:r>
      <w:bookmarkEnd w:id="8"/>
    </w:p>
    <w:tbl>
      <w:tblPr>
        <w:tblStyle w:val="14"/>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780"/>
        <w:gridCol w:w="2654"/>
        <w:gridCol w:w="2536"/>
        <w:gridCol w:w="720"/>
        <w:gridCol w:w="826"/>
        <w:gridCol w:w="1424"/>
      </w:tblGrid>
      <w:tr w14:paraId="3BF7E2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24E731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包号</w:t>
            </w:r>
          </w:p>
        </w:tc>
        <w:tc>
          <w:tcPr>
            <w:tcW w:w="780" w:type="dxa"/>
            <w:tcBorders>
              <w:tl2br w:val="nil"/>
              <w:tr2bl w:val="nil"/>
            </w:tcBorders>
            <w:vAlign w:val="center"/>
          </w:tcPr>
          <w:p w14:paraId="743D0B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序号</w:t>
            </w:r>
          </w:p>
        </w:tc>
        <w:tc>
          <w:tcPr>
            <w:tcW w:w="2654" w:type="dxa"/>
            <w:tcBorders>
              <w:tl2br w:val="nil"/>
              <w:tr2bl w:val="nil"/>
            </w:tcBorders>
            <w:vAlign w:val="center"/>
          </w:tcPr>
          <w:p w14:paraId="4BE50B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标的名称</w:t>
            </w:r>
          </w:p>
        </w:tc>
        <w:tc>
          <w:tcPr>
            <w:tcW w:w="2536" w:type="dxa"/>
            <w:tcBorders>
              <w:tl2br w:val="nil"/>
              <w:tr2bl w:val="nil"/>
            </w:tcBorders>
            <w:vAlign w:val="center"/>
          </w:tcPr>
          <w:p w14:paraId="02E2E4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品目分类编码</w:t>
            </w:r>
          </w:p>
        </w:tc>
        <w:tc>
          <w:tcPr>
            <w:tcW w:w="720" w:type="dxa"/>
            <w:tcBorders>
              <w:tl2br w:val="nil"/>
              <w:tr2bl w:val="nil"/>
            </w:tcBorders>
            <w:vAlign w:val="center"/>
          </w:tcPr>
          <w:p w14:paraId="5DB85F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计量单位</w:t>
            </w:r>
          </w:p>
        </w:tc>
        <w:tc>
          <w:tcPr>
            <w:tcW w:w="826" w:type="dxa"/>
            <w:tcBorders>
              <w:tl2br w:val="nil"/>
              <w:tr2bl w:val="nil"/>
            </w:tcBorders>
            <w:vAlign w:val="center"/>
          </w:tcPr>
          <w:p w14:paraId="42C66A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数量</w:t>
            </w:r>
          </w:p>
        </w:tc>
        <w:tc>
          <w:tcPr>
            <w:tcW w:w="1424" w:type="dxa"/>
            <w:tcBorders>
              <w:tl2br w:val="nil"/>
              <w:tr2bl w:val="nil"/>
            </w:tcBorders>
            <w:vAlign w:val="center"/>
          </w:tcPr>
          <w:p w14:paraId="2FEA7B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是否进口</w:t>
            </w:r>
          </w:p>
        </w:tc>
      </w:tr>
      <w:tr w14:paraId="00CAE6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022" w:type="dxa"/>
            <w:tcBorders>
              <w:tl2br w:val="nil"/>
              <w:tr2bl w:val="nil"/>
            </w:tcBorders>
            <w:vAlign w:val="center"/>
          </w:tcPr>
          <w:p w14:paraId="6FF49D24">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780" w:type="dxa"/>
            <w:tcBorders>
              <w:tl2br w:val="nil"/>
              <w:tr2bl w:val="nil"/>
            </w:tcBorders>
            <w:vAlign w:val="center"/>
          </w:tcPr>
          <w:p w14:paraId="49569382">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1</w:t>
            </w:r>
          </w:p>
        </w:tc>
        <w:tc>
          <w:tcPr>
            <w:tcW w:w="2654" w:type="dxa"/>
            <w:tcBorders>
              <w:tl2br w:val="nil"/>
              <w:tr2bl w:val="nil"/>
            </w:tcBorders>
            <w:vAlign w:val="center"/>
          </w:tcPr>
          <w:p w14:paraId="373436E8">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张家界市市政环卫基础设施提标改造项目</w:t>
            </w:r>
          </w:p>
        </w:tc>
        <w:tc>
          <w:tcPr>
            <w:tcW w:w="2536" w:type="dxa"/>
            <w:tcBorders>
              <w:tl2br w:val="nil"/>
              <w:tr2bl w:val="nil"/>
            </w:tcBorders>
            <w:vAlign w:val="center"/>
          </w:tcPr>
          <w:p w14:paraId="1C7B5CD1">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eastAsia="宋体" w:cs="宋体"/>
                <w:color w:val="000000" w:themeColor="text1"/>
                <w:highlight w:val="none"/>
                <w:u w:val="none"/>
                <w:lang w:val="en-US" w:eastAsia="zh-CN"/>
                <w14:textFill>
                  <w14:solidFill>
                    <w14:schemeClr w14:val="tx1"/>
                  </w14:solidFill>
                </w14:textFill>
              </w:rPr>
              <w:t>A020306</w:t>
            </w:r>
            <w:r>
              <w:rPr>
                <w:rFonts w:hint="eastAsia" w:cs="宋体"/>
                <w:color w:val="000000" w:themeColor="text1"/>
                <w:highlight w:val="none"/>
                <w:u w:val="none"/>
                <w:lang w:val="en-US" w:eastAsia="zh-CN"/>
                <w14:textFill>
                  <w14:solidFill>
                    <w14:schemeClr w14:val="tx1"/>
                  </w14:solidFill>
                </w14:textFill>
              </w:rPr>
              <w:t>29</w:t>
            </w:r>
            <w:r>
              <w:rPr>
                <w:rFonts w:hint="eastAsia" w:eastAsia="宋体" w:cs="宋体"/>
                <w:color w:val="000000" w:themeColor="text1"/>
                <w:highlight w:val="none"/>
                <w:u w:val="none"/>
                <w:lang w:val="en-US" w:eastAsia="zh-CN"/>
                <w14:textFill>
                  <w14:solidFill>
                    <w14:schemeClr w14:val="tx1"/>
                  </w14:solidFill>
                </w14:textFill>
              </w:rPr>
              <w:t>-</w:t>
            </w:r>
            <w:r>
              <w:rPr>
                <w:rFonts w:hint="eastAsia" w:cs="宋体"/>
                <w:color w:val="000000" w:themeColor="text1"/>
                <w:highlight w:val="none"/>
                <w:u w:val="none"/>
                <w:lang w:val="en-US" w:eastAsia="zh-CN"/>
                <w14:textFill>
                  <w14:solidFill>
                    <w14:schemeClr w14:val="tx1"/>
                  </w14:solidFill>
                </w14:textFill>
              </w:rPr>
              <w:t>街道清洗清扫车</w:t>
            </w:r>
          </w:p>
        </w:tc>
        <w:tc>
          <w:tcPr>
            <w:tcW w:w="720" w:type="dxa"/>
            <w:tcBorders>
              <w:tl2br w:val="nil"/>
              <w:tr2bl w:val="nil"/>
            </w:tcBorders>
            <w:vAlign w:val="center"/>
          </w:tcPr>
          <w:p w14:paraId="761F82B0">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项</w:t>
            </w:r>
          </w:p>
        </w:tc>
        <w:tc>
          <w:tcPr>
            <w:tcW w:w="826" w:type="dxa"/>
            <w:tcBorders>
              <w:tl2br w:val="nil"/>
              <w:tr2bl w:val="nil"/>
            </w:tcBorders>
            <w:vAlign w:val="center"/>
          </w:tcPr>
          <w:p w14:paraId="2077F482">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424" w:type="dxa"/>
            <w:tcBorders>
              <w:tl2br w:val="nil"/>
              <w:tr2bl w:val="nil"/>
            </w:tcBorders>
            <w:vAlign w:val="center"/>
          </w:tcPr>
          <w:p w14:paraId="65C67943">
            <w:pPr>
              <w:pStyle w:val="22"/>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否</w:t>
            </w:r>
          </w:p>
        </w:tc>
      </w:tr>
    </w:tbl>
    <w:p w14:paraId="71085D51">
      <w:pPr>
        <w:pStyle w:val="7"/>
        <w:numPr>
          <w:ilvl w:val="0"/>
          <w:numId w:val="5"/>
        </w:numPr>
        <w:bidi w:val="0"/>
        <w:ind w:firstLine="480" w:firstLineChars="200"/>
        <w:outlineLvl w:val="1"/>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项目需遵循的有关标准和规范（包括但不限于）</w:t>
      </w:r>
    </w:p>
    <w:p w14:paraId="729C1CF9">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一、机动车通用基础标准</w:t>
      </w:r>
    </w:p>
    <w:p w14:paraId="69D92511">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《机动车运行安全技术条件》（GB 7258）</w:t>
      </w:r>
    </w:p>
    <w:p w14:paraId="7D0B3680">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《道路车辆外廓尺寸、轴荷及质量限值》（GB 1589）</w:t>
      </w:r>
    </w:p>
    <w:p w14:paraId="42F69B3D">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《机动车产品强制性认证实施规则》（CNCA-C11-01：2014）</w:t>
      </w:r>
    </w:p>
    <w:p w14:paraId="193B1CB5">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机动车公告管理、机动车登记相关法规；燃油车辆满足国六排放标准相关标准；新能源汽车符合GB/T新能源车辆系列国家标准。</w:t>
      </w:r>
    </w:p>
    <w:p w14:paraId="6DFFE0A3">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二、环卫类车辆标准（钩臂车、压缩垃圾车、清洗车、抑尘车、新能源清扫车）</w:t>
      </w:r>
    </w:p>
    <w:p w14:paraId="4E5F9DF4">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《垃圾车》（QC/T 52）</w:t>
      </w:r>
    </w:p>
    <w:p w14:paraId="1ED5E88E">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《车厢可卸式垃圾车》（QC/T 913）</w:t>
      </w:r>
    </w:p>
    <w:p w14:paraId="5F8871D2">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《压缩式垃圾车》（QC/T 1058）</w:t>
      </w:r>
    </w:p>
    <w:p w14:paraId="200CDC16">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《清洗车》（QC/T 1054）</w:t>
      </w:r>
    </w:p>
    <w:p w14:paraId="311DA6E3">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《抑尘车》（QC/T 1055）</w:t>
      </w:r>
    </w:p>
    <w:p w14:paraId="5B954CA2">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《扫路车》（QC/T 1056）</w:t>
      </w:r>
    </w:p>
    <w:p w14:paraId="0952CDAA">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《纯电动环卫车》相关系列行业标准</w:t>
      </w:r>
    </w:p>
    <w:p w14:paraId="53DD4ABF">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三、专项特种车辆标准</w:t>
      </w:r>
    </w:p>
    <w:p w14:paraId="72114FD1">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《高空作业机械》（GB/T 19155）、《高空作业车》（QC/T 714）</w:t>
      </w:r>
    </w:p>
    <w:p w14:paraId="2F4A08CD">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《排水抢险车》（CJ/T 517）</w:t>
      </w:r>
    </w:p>
    <w:p w14:paraId="336488FB">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《沥青路面热再生修补车》/沥青路面养护车相关行业标准货车通用标准：《载货汽车》QC/T 453</w:t>
      </w:r>
    </w:p>
    <w:p w14:paraId="13B0DF11">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四、配套土建工程标准（地面硬化、拆除、排水沟、水电工程）</w:t>
      </w:r>
    </w:p>
    <w:p w14:paraId="4FC745B4">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《建筑工程施工质量验收统一标准》GB 50300</w:t>
      </w:r>
    </w:p>
    <w:p w14:paraId="2DF8D525">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《混凝土结构工程施工质量验收规范》GB 50204</w:t>
      </w:r>
    </w:p>
    <w:p w14:paraId="036DAFE3">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《建筑地面工程施工质量验收规范》GB 50209</w:t>
      </w:r>
    </w:p>
    <w:p w14:paraId="61ECEAE4">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《给水排水管道工程施工及验收规范》GB 50268</w:t>
      </w:r>
    </w:p>
    <w:p w14:paraId="43664C66">
      <w:pPr>
        <w:pStyle w:val="22"/>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《施工现场临时用电安全技术规范》JGJ46</w:t>
      </w:r>
    </w:p>
    <w:p w14:paraId="33B7DE7C">
      <w:pPr>
        <w:pStyle w:val="7"/>
        <w:numPr>
          <w:ilvl w:val="0"/>
          <w:numId w:val="5"/>
        </w:numPr>
        <w:bidi w:val="0"/>
        <w:ind w:firstLine="480" w:firstLineChars="200"/>
        <w:outlineLvl w:val="1"/>
        <w:rPr>
          <w:rFonts w:hint="eastAsia"/>
          <w:color w:val="000000" w:themeColor="text1"/>
          <w:highlight w:val="none"/>
          <w:lang w:eastAsia="zh-CN"/>
          <w14:textFill>
            <w14:solidFill>
              <w14:schemeClr w14:val="tx1"/>
            </w14:solidFill>
          </w14:textFill>
        </w:rPr>
      </w:pPr>
      <w:bookmarkStart w:id="9" w:name="_Toc5867"/>
      <w:r>
        <w:rPr>
          <w:rFonts w:hint="eastAsia"/>
          <w:color w:val="000000" w:themeColor="text1"/>
          <w:highlight w:val="none"/>
          <w:lang w:eastAsia="zh-CN"/>
          <w14:textFill>
            <w14:solidFill>
              <w14:schemeClr w14:val="tx1"/>
            </w14:solidFill>
          </w14:textFill>
        </w:rPr>
        <w:t>技术商务要求</w:t>
      </w:r>
      <w:bookmarkEnd w:id="9"/>
    </w:p>
    <w:p w14:paraId="0F125EB2">
      <w:pPr>
        <w:pStyle w:val="8"/>
        <w:numPr>
          <w:ilvl w:val="0"/>
          <w:numId w:val="6"/>
        </w:numPr>
        <w:bidi w:val="0"/>
        <w:ind w:firstLine="482" w:firstLineChars="20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包1</w:t>
      </w:r>
    </w:p>
    <w:p w14:paraId="6B69DEF4">
      <w:pPr>
        <w:pStyle w:val="22"/>
        <w:keepNext w:val="0"/>
        <w:keepLines w:val="0"/>
        <w:pageBreakBefore w:val="0"/>
        <w:widowControl/>
        <w:numPr>
          <w:ilvl w:val="0"/>
          <w:numId w:val="7"/>
        </w:numPr>
        <w:kinsoku/>
        <w:wordWrap/>
        <w:overflowPunct/>
        <w:topLinePunct w:val="0"/>
        <w:autoSpaceDE/>
        <w:autoSpaceDN/>
        <w:bidi w:val="0"/>
        <w:adjustRightInd/>
        <w:snapToGrid/>
        <w:spacing w:line="440" w:lineRule="exact"/>
        <w:ind w:firstLine="480" w:firstLineChars="200"/>
        <w:textAlignment w:val="auto"/>
        <w:rPr>
          <w:rFonts w:hint="eastAsia"/>
          <w:i w:val="0"/>
          <w:iCs w:val="0"/>
          <w:color w:val="000000" w:themeColor="text1"/>
          <w:highlight w:val="none"/>
          <w:u w:val="none"/>
          <w:lang w:eastAsia="zh-CN"/>
          <w14:textFill>
            <w14:solidFill>
              <w14:schemeClr w14:val="tx1"/>
            </w14:solidFill>
          </w14:textFill>
        </w:rPr>
      </w:pPr>
      <w:r>
        <w:rPr>
          <w:rFonts w:hint="eastAsia"/>
          <w:i w:val="0"/>
          <w:iCs w:val="0"/>
          <w:color w:val="000000" w:themeColor="text1"/>
          <w:highlight w:val="none"/>
          <w:u w:val="none"/>
          <w:lang w:eastAsia="zh-CN"/>
          <w14:textFill>
            <w14:solidFill>
              <w14:schemeClr w14:val="tx1"/>
            </w14:solidFill>
          </w14:textFill>
        </w:rPr>
        <w:t>技术要求</w:t>
      </w:r>
    </w:p>
    <w:p w14:paraId="0CF7E24B">
      <w:pPr>
        <w:pStyle w:val="22"/>
        <w:keepNext w:val="0"/>
        <w:keepLines w:val="0"/>
        <w:pageBreakBefore w:val="0"/>
        <w:widowControl/>
        <w:numPr>
          <w:numId w:val="0"/>
        </w:numPr>
        <w:kinsoku/>
        <w:wordWrap/>
        <w:overflowPunct/>
        <w:topLinePunct w:val="0"/>
        <w:autoSpaceDE/>
        <w:autoSpaceDN/>
        <w:bidi w:val="0"/>
        <w:adjustRightInd/>
        <w:snapToGrid/>
        <w:spacing w:line="440" w:lineRule="exact"/>
        <w:jc w:val="center"/>
        <w:textAlignment w:val="auto"/>
        <w:rPr>
          <w:rFonts w:hint="eastAsia"/>
          <w:i w:val="0"/>
          <w:iCs w:val="0"/>
          <w:color w:val="000000" w:themeColor="text1"/>
          <w:highlight w:val="none"/>
          <w:u w:val="none"/>
          <w:lang w:eastAsia="zh-CN"/>
          <w14:textFill>
            <w14:solidFill>
              <w14:schemeClr w14:val="tx1"/>
            </w14:solidFill>
          </w14:textFill>
        </w:rPr>
      </w:pPr>
      <w: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t>张家界市市政环卫基础设施提标改造项目设备参数清单</w:t>
      </w:r>
    </w:p>
    <w:tbl>
      <w:tblPr>
        <w:tblStyle w:val="13"/>
        <w:tblW w:w="106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080"/>
        <w:gridCol w:w="7185"/>
        <w:gridCol w:w="540"/>
        <w:gridCol w:w="690"/>
        <w:gridCol w:w="600"/>
      </w:tblGrid>
      <w:tr w14:paraId="69A9E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22C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A15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设备名称</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15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技术规格参数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81D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单位</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13F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B58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备注</w:t>
            </w:r>
          </w:p>
        </w:tc>
      </w:tr>
      <w:tr w14:paraId="00BAE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18B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3C4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燃油勾臂车（18t)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A75">
            <w:pPr>
              <w:keepNext w:val="0"/>
              <w:keepLines w:val="0"/>
              <w:widowControl/>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Style w:val="34"/>
                <w:color w:val="000000" w:themeColor="text1"/>
                <w:highlight w:val="none"/>
                <w:lang w:val="en-US" w:eastAsia="zh-CN" w:bidi="ar"/>
                <w14:textFill>
                  <w14:solidFill>
                    <w14:schemeClr w14:val="tx1"/>
                  </w14:solidFill>
                </w14:textFill>
              </w:rPr>
              <w:t>1、整车技术参数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1.1、燃料种类：柴油</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1.2、发动机功率(kw)：≥160kw</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★1.3、整车外形尺寸（长×宽×高）(mm)：≤7300×2500×2980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1.4、总质量(kg)：≥18000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★1.5、额定载质量(kg)：≥10000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★1.6、整备质量(kg)：≥7500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1.7、轴距(mm)：≥4500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★1.8、前悬/后悬(mm)：≤1270/1600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★1.9、接近角/离去角（°）：≤18/18</w:t>
            </w:r>
            <w:r>
              <w:rPr>
                <w:rStyle w:val="34"/>
                <w:color w:val="000000" w:themeColor="text1"/>
                <w:highlight w:val="none"/>
                <w:lang w:val="en-US" w:eastAsia="zh-CN" w:bidi="ar"/>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2、上装性能参数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2.1、钩臂钩起能力（T）：≥14</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2.2、钩心高度（mm）：1570（±5mm内）</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2.3、箱体导轨外宽（mm）：1060（±5mm内）</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2.4、钩箱时间（s）：≤60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2.5、卸箱时间（s）：≤60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3.车辆性能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3.1拉臂钩材质：拉臂钩底架需采用高强度钢材直接轧制而成，一次成型，底架能和卡车底盘大梁充分成为一体。</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3.2液压系统元件：需采用高品质液压配件，以保证操作安全性和方便性、稳定性，与现有垃圾站设备相匹配，如不匹配的由供应商整改到位。</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3.3箱体锁紧装置：需机械式箱体锁、操作简单，稳定性好。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D73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3FE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A8CA">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3467C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1"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9E6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AF0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新能源勾臂车（18T）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ADBF">
            <w:pPr>
              <w:keepNext w:val="0"/>
              <w:keepLines w:val="0"/>
              <w:widowControl/>
              <w:numPr>
                <w:ilvl w:val="0"/>
                <w:numId w:val="8"/>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color w:val="000000" w:themeColor="text1"/>
                <w:highlight w:val="none"/>
                <w:lang w:val="en-US" w:eastAsia="zh-CN" w:bidi="ar"/>
                <w14:textFill>
                  <w14:solidFill>
                    <w14:schemeClr w14:val="tx1"/>
                  </w14:solidFill>
                </w14:textFill>
              </w:rPr>
              <w:t>整车技术参数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整车外形尺寸（长×宽×高）（mm）</w:t>
            </w:r>
            <w:r>
              <w:rPr>
                <w:rStyle w:val="34"/>
                <w:color w:val="000000" w:themeColor="text1"/>
                <w:highlight w:val="none"/>
                <w:lang w:val="en-US" w:eastAsia="zh-CN" w:bidi="ar"/>
                <w14:textFill>
                  <w14:solidFill>
                    <w14:schemeClr w14:val="tx1"/>
                  </w14:solidFill>
                </w14:textFill>
              </w:rPr>
              <w:t>：≥7350×2520×2960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1.2总质量（kg）：≥18000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w:t>
            </w:r>
            <w:r>
              <w:rPr>
                <w:rStyle w:val="34"/>
                <w:rFonts w:hint="eastAsia"/>
                <w:color w:val="000000" w:themeColor="text1"/>
                <w:highlight w:val="none"/>
                <w:lang w:val="en-US" w:eastAsia="zh-CN" w:bidi="ar"/>
                <w14:textFill>
                  <w14:solidFill>
                    <w14:schemeClr w14:val="tx1"/>
                  </w14:solidFill>
                </w14:textFill>
              </w:rPr>
              <w:t>3</w:t>
            </w:r>
            <w:r>
              <w:rPr>
                <w:rStyle w:val="34"/>
                <w:color w:val="000000" w:themeColor="text1"/>
                <w:highlight w:val="none"/>
                <w:lang w:val="en-US" w:eastAsia="zh-CN" w:bidi="ar"/>
                <w14:textFill>
                  <w14:solidFill>
                    <w14:schemeClr w14:val="tx1"/>
                  </w14:solidFill>
                </w14:textFill>
              </w:rPr>
              <w:t>额定载质量（kg）：≥8500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w:t>
            </w:r>
            <w:r>
              <w:rPr>
                <w:rStyle w:val="34"/>
                <w:rFonts w:hint="eastAsia"/>
                <w:color w:val="000000" w:themeColor="text1"/>
                <w:highlight w:val="none"/>
                <w:lang w:val="en-US" w:eastAsia="zh-CN" w:bidi="ar"/>
                <w14:textFill>
                  <w14:solidFill>
                    <w14:schemeClr w14:val="tx1"/>
                  </w14:solidFill>
                </w14:textFill>
              </w:rPr>
              <w:t>4接近/离去角</w:t>
            </w:r>
            <w:r>
              <w:rPr>
                <w:rStyle w:val="34"/>
                <w:color w:val="000000" w:themeColor="text1"/>
                <w:highlight w:val="none"/>
                <w:lang w:val="en-US" w:eastAsia="zh-CN" w:bidi="ar"/>
                <w14:textFill>
                  <w14:solidFill>
                    <w14:schemeClr w14:val="tx1"/>
                  </w14:solidFill>
                </w14:textFill>
              </w:rPr>
              <w:t>（</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）：≥16/16</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w:t>
            </w:r>
            <w:r>
              <w:rPr>
                <w:rStyle w:val="34"/>
                <w:rFonts w:hint="eastAsia"/>
                <w:color w:val="000000" w:themeColor="text1"/>
                <w:highlight w:val="none"/>
                <w:lang w:val="en-US" w:eastAsia="zh-CN" w:bidi="ar"/>
                <w14:textFill>
                  <w14:solidFill>
                    <w14:schemeClr w14:val="tx1"/>
                  </w14:solidFill>
                </w14:textFill>
              </w:rPr>
              <w:t>5前悬/后悬</w:t>
            </w:r>
            <w:r>
              <w:rPr>
                <w:rStyle w:val="34"/>
                <w:color w:val="000000" w:themeColor="text1"/>
                <w:highlight w:val="none"/>
                <w:lang w:val="en-US" w:eastAsia="zh-CN" w:bidi="ar"/>
                <w14:textFill>
                  <w14:solidFill>
                    <w14:schemeClr w14:val="tx1"/>
                  </w14:solidFill>
                </w14:textFill>
              </w:rPr>
              <w:t>（mm）：≥1450/1300</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1.6</w:t>
            </w:r>
            <w:r>
              <w:rPr>
                <w:rStyle w:val="34"/>
                <w:color w:val="000000" w:themeColor="text1"/>
                <w:highlight w:val="none"/>
                <w:lang w:val="en-US" w:eastAsia="zh-CN" w:bidi="ar"/>
                <w14:textFill>
                  <w14:solidFill>
                    <w14:schemeClr w14:val="tx1"/>
                  </w14:solidFill>
                </w14:textFill>
              </w:rPr>
              <w:t>电池电量（KWh）：≥230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w:t>
            </w:r>
            <w:r>
              <w:rPr>
                <w:rStyle w:val="34"/>
                <w:rFonts w:hint="eastAsia"/>
                <w:color w:val="000000" w:themeColor="text1"/>
                <w:highlight w:val="none"/>
                <w:lang w:val="en-US" w:eastAsia="zh-CN" w:bidi="ar"/>
                <w14:textFill>
                  <w14:solidFill>
                    <w14:schemeClr w14:val="tx1"/>
                  </w14:solidFill>
                </w14:textFill>
              </w:rPr>
              <w:t>1.7驱动电机峰值功率(</w:t>
            </w:r>
            <w:r>
              <w:rPr>
                <w:rStyle w:val="34"/>
                <w:color w:val="000000" w:themeColor="text1"/>
                <w:highlight w:val="none"/>
                <w:lang w:val="en-US" w:eastAsia="zh-CN" w:bidi="ar"/>
                <w14:textFill>
                  <w14:solidFill>
                    <w14:schemeClr w14:val="tx1"/>
                  </w14:solidFill>
                </w14:textFill>
              </w:rPr>
              <w:t>kW</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：≥185</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1.8拉臂上装起重能力（</w:t>
            </w:r>
            <w:r>
              <w:rPr>
                <w:rStyle w:val="34"/>
                <w:color w:val="000000" w:themeColor="text1"/>
                <w:highlight w:val="none"/>
                <w:lang w:val="en-US" w:eastAsia="zh-CN" w:bidi="ar"/>
                <w14:textFill>
                  <w14:solidFill>
                    <w14:schemeClr w14:val="tx1"/>
                  </w14:solidFill>
                </w14:textFill>
              </w:rPr>
              <w:t>T</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：≥14</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1.9</w:t>
            </w:r>
            <w:r>
              <w:rPr>
                <w:rStyle w:val="34"/>
                <w:color w:val="000000" w:themeColor="text1"/>
                <w:highlight w:val="none"/>
                <w:lang w:val="en-US" w:eastAsia="zh-CN" w:bidi="ar"/>
                <w14:textFill>
                  <w14:solidFill>
                    <w14:schemeClr w14:val="tx1"/>
                  </w14:solidFill>
                </w14:textFill>
              </w:rPr>
              <w:t>钩心高度（mm）：1570（±10mm）</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1.10最大卸料角度（°）</w:t>
            </w:r>
            <w:r>
              <w:rPr>
                <w:rStyle w:val="34"/>
                <w:color w:val="000000" w:themeColor="text1"/>
                <w:highlight w:val="none"/>
                <w:lang w:val="en-US" w:eastAsia="zh-CN" w:bidi="ar"/>
                <w14:textFill>
                  <w14:solidFill>
                    <w14:schemeClr w14:val="tx1"/>
                  </w14:solidFill>
                </w14:textFill>
              </w:rPr>
              <w:t>：≥45</w:t>
            </w:r>
          </w:p>
          <w:p w14:paraId="39BC6FE3">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（以上2.2条数据以制造商提供的技术规格书内容为准）</w:t>
            </w:r>
          </w:p>
          <w:p w14:paraId="71E38A01">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w:t>
            </w:r>
            <w:r>
              <w:rPr>
                <w:rStyle w:val="34"/>
                <w:color w:val="000000" w:themeColor="text1"/>
                <w:highlight w:val="none"/>
                <w:lang w:val="en-US" w:eastAsia="zh-CN" w:bidi="ar"/>
                <w14:textFill>
                  <w14:solidFill>
                    <w14:schemeClr w14:val="tx1"/>
                  </w14:solidFill>
                </w14:textFill>
              </w:rPr>
              <w:t>、车辆性能</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2.1整车车架需采用阴极电泳防腐工艺，其中电泳涂层耐盐雾性大于720小时，在正常使用工况下，车架6-8年不发生穿孔、锈烂等结构性腐蚀，更加耐用可靠；</w:t>
            </w:r>
          </w:p>
          <w:p w14:paraId="6948ACD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2.2底盘采用永磁同步电机，具有制动能量回馈功能；</w:t>
            </w:r>
          </w:p>
          <w:p w14:paraId="65C0A50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2.3车辆需配有坡道辅助系统，当车辆传感器识别到车辆在坡道停驻时，驾驶人员松开制动踏板瞬间，在车辆启动的时候电控通过延迟刹车制动力和精准计算电机动力让车辆平稳且迅速的起步，避免车辆发生“溜坡”现象；</w:t>
            </w:r>
          </w:p>
          <w:p w14:paraId="2A37DDC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2.4车辆需配有牵引力控制系统，避免车辆在光滑路面制动时车轮打滑甚至失控，维持车辆行驶稳定性；</w:t>
            </w:r>
          </w:p>
          <w:p w14:paraId="398C684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2.5为提升整车舒适性，底盘驾驶室内配备电动冷暖空调，气囊司机椅。</w:t>
            </w:r>
          </w:p>
          <w:p w14:paraId="67EF0249">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2.6为了避免车辆在钩箱过程中出现的翘头现象，要求车辆尾部配备支撑装置，有效保证钩箱过程中的车辆和人员的安全。</w:t>
            </w:r>
          </w:p>
          <w:p w14:paraId="7CA8A301">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2.7要求投标产品拉臂安全，油缸配备平衡阀和液压锁，保证作业的可靠和安全。</w:t>
            </w:r>
          </w:p>
          <w:p w14:paraId="42206A71">
            <w:pPr>
              <w:keepNext w:val="0"/>
              <w:keepLines w:val="0"/>
              <w:widowControl/>
              <w:numPr>
                <w:ilvl w:val="0"/>
                <w:numId w:val="0"/>
              </w:numPr>
              <w:suppressLineNumbers w:val="0"/>
              <w:jc w:val="left"/>
              <w:textAlignment w:val="center"/>
              <w:rPr>
                <w:rFonts w:hint="default" w:ascii="宋体" w:hAnsi="宋体" w:eastAsia="宋体"/>
                <w:color w:val="000000" w:themeColor="text1"/>
                <w:sz w:val="24"/>
                <w:highlight w:val="none"/>
                <w:lang w:val="en-US" w:eastAsia="zh-CN"/>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2.8拉臂钩体应采用高强度铸钢材质整体制造，抓钩配有机械重力安全锁装置，确保装卸箱的安全。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759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F0A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97B4">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4F66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B97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97D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燃油压缩式垃圾车（18t)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8D62">
            <w:pPr>
              <w:keepNext w:val="0"/>
              <w:keepLines w:val="0"/>
              <w:widowControl/>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Style w:val="34"/>
                <w:color w:val="000000" w:themeColor="text1"/>
                <w:highlight w:val="none"/>
                <w:lang w:val="en-US" w:eastAsia="zh-CN" w:bidi="ar"/>
                <w14:textFill>
                  <w14:solidFill>
                    <w14:schemeClr w14:val="tx1"/>
                  </w14:solidFill>
                </w14:textFill>
              </w:rPr>
              <w:t>1、整车技术参数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1.1、燃料种类：柴油</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1.2、发动机功率(kw)：≥160Kw</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★1.3、整车外形尺寸（长×宽×高）(mm)：≤9030×2490×3190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1.4、总质量(kg)：≥18000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1.5、额定载质量(kg)：≥6770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★1.6、整备质量(kg)：≥9500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1.7、轴距(mm)：≥4500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 xml:space="preserve">★1.8、前悬/后悬(mm)：≤1270/2800 </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1.9、接近角/离去角（°）：≥18/11</w:t>
            </w:r>
            <w:r>
              <w:rPr>
                <w:rStyle w:val="34"/>
                <w:color w:val="000000" w:themeColor="text1"/>
                <w:highlight w:val="none"/>
                <w:lang w:val="en-US" w:eastAsia="zh-CN" w:bidi="ar"/>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5"/>
                <w:color w:val="000000" w:themeColor="text1"/>
                <w:highlight w:val="none"/>
                <w:lang w:val="en-US" w:eastAsia="zh-CN" w:bidi="ar"/>
                <w14:textFill>
                  <w14:solidFill>
                    <w14:schemeClr w14:val="tx1"/>
                  </w14:solidFill>
                </w14:textFill>
              </w:rPr>
              <w:br w:type="textWrapping"/>
            </w:r>
            <w:r>
              <w:rPr>
                <w:rStyle w:val="36"/>
                <w:color w:val="000000" w:themeColor="text1"/>
                <w:highlight w:val="none"/>
                <w:lang w:val="en-US" w:eastAsia="zh-CN" w:bidi="ar"/>
                <w14:textFill>
                  <w14:solidFill>
                    <w14:schemeClr w14:val="tx1"/>
                  </w14:solidFill>
                </w14:textFill>
              </w:rPr>
              <w:t>2、上装性能参数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2.1、垃圾箱容积（m³）：≥12</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2.2、填装器容积（m³）：≥1</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2.3、污水箱容积（L）：≥400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2.4、车辆后部配备翻桶装置</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3.车辆性能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3.1垃圾箱需采用高强度优质钢板，罐体内部进行防锈防腐处理。</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3.2车辆用于生活垃圾收集、运输作业的专用车辆，其专用装置的作业均以汽车发动机为动力，通过液压机构手动或电控来实现，垃圾密闭运输、不产生二次污染。</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3.3垃圾箱内部需装有折面型推铲，推铲既起到卸出垃圾的功能，又起到封闭垃圾箱前端的作用，填装器无保护罩，方便维修。</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3.4填装器设在车辆后部，填装器与垃圾箱之间采用液压自动锁紧装置，结合部采用整体密封技术，确保垃圾车箱体密封性能。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0EA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B42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B32A">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19E8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C3C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B57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燃油压缩式垃圾车（8t)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33D1">
            <w:pPr>
              <w:keepNext w:val="0"/>
              <w:keepLines w:val="0"/>
              <w:widowControl/>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Style w:val="34"/>
                <w:color w:val="000000" w:themeColor="text1"/>
                <w:highlight w:val="none"/>
                <w:lang w:val="en-US" w:eastAsia="zh-CN" w:bidi="ar"/>
                <w14:textFill>
                  <w14:solidFill>
                    <w14:schemeClr w14:val="tx1"/>
                  </w14:solidFill>
                </w14:textFill>
              </w:rPr>
              <w:t>1、整车技术参数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1.1、燃料种类：柴油</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1.2、发动机功率(kw)：≥100kw</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 xml:space="preserve">★1.3、整车外形尺寸（长×宽×高）(mm)：≤6940×2150×2550 </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★1.4、总质量(kg)：≥9000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★1.5、额定载质量(kg)：≥3400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1.6、整备质量(kg)：≥5200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1.7、轴距(mm)：≤3360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1.8、前悬/后悬(mm)：≤1200/2120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★1.9、接近角/离去角（°）：≤20/13</w:t>
            </w:r>
            <w:r>
              <w:rPr>
                <w:rStyle w:val="34"/>
                <w:color w:val="000000" w:themeColor="text1"/>
                <w:highlight w:val="none"/>
                <w:lang w:val="en-US" w:eastAsia="zh-CN" w:bidi="ar"/>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2、上装性能参数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2.1、垃圾箱容积（m³）：≥6</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2.2、填装器容积（m³）：≥0.5</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2.3、车辆后部配备翻桶装置</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3.车辆性能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3.1垃圾箱需采用高强度优质钢板，罐体内部进行防锈防腐处理。</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3.2车辆用于生活垃圾收集、运输作业的专用车辆，其专用装置的作业均以汽车发动机为动力，通过液压机构手动或电控来实现，垃圾密闭运输、不产生二次污染。</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3.3垃圾箱内部需装有折面型推铲，推铲既起到卸出垃圾的功能，又起到封闭垃圾箱前端的作用，填装器无保护罩，方便维修。</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3.4填装器设在车辆后部，填装器与垃圾箱之间采用液压自动锁紧装置，结合部采用整体密封技术，确保垃圾车箱体密封性能。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A39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420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1E8B">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779DF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F77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0F4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燃油大流量排水抢险（18t)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C16F">
            <w:pPr>
              <w:keepNext w:val="0"/>
              <w:keepLines w:val="0"/>
              <w:widowControl/>
              <w:numPr>
                <w:ilvl w:val="0"/>
                <w:numId w:val="9"/>
              </w:numPr>
              <w:suppressLineNumbers w:val="0"/>
              <w:jc w:val="left"/>
              <w:textAlignment w:val="center"/>
              <w:rPr>
                <w:rStyle w:val="34"/>
                <w:color w:val="000000" w:themeColor="text1"/>
                <w:highlight w:val="none"/>
                <w:lang w:val="en-US" w:eastAsia="zh-CN" w:bidi="ar"/>
                <w14:textFill>
                  <w14:solidFill>
                    <w14:schemeClr w14:val="tx1"/>
                  </w14:solidFill>
                </w14:textFill>
              </w:rPr>
            </w:pPr>
            <w:r>
              <w:rPr>
                <w:rStyle w:val="34"/>
                <w:color w:val="000000" w:themeColor="text1"/>
                <w:highlight w:val="none"/>
                <w:lang w:val="en-US" w:eastAsia="zh-CN" w:bidi="ar"/>
                <w14:textFill>
                  <w14:solidFill>
                    <w14:schemeClr w14:val="tx1"/>
                  </w14:solidFill>
                </w14:textFill>
              </w:rPr>
              <w:t>基本参数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1.1★整车长度（mm）：≤9670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1.2整车宽度（mm）：≤2550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1.3整车高度（mm）：≤3860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1.4总质量（kg）：≥13400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1.5整备质量（kg）：≤17900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1.6接近角（度）：≥16.0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1.7离去角（度）：≥8.0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1.8前悬（mm）：≥1260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1.9★后悬（mm）：≥3240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1.10最高车速（km/h）：≥89</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1.11轴距（mm）：≤5000</w:t>
            </w:r>
          </w:p>
          <w:p w14:paraId="1EF1494C">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1.12升降照明灯光通量（LM）：</w:t>
            </w:r>
            <w:r>
              <w:rPr>
                <w:rStyle w:val="35"/>
                <w:rFonts w:hint="eastAsia"/>
                <w:color w:val="000000" w:themeColor="text1"/>
                <w:highlight w:val="none"/>
                <w:lang w:val="en-US" w:eastAsia="zh-CN" w:bidi="ar"/>
                <w14:textFill>
                  <w14:solidFill>
                    <w14:schemeClr w14:val="tx1"/>
                  </w14:solidFill>
                </w14:textFill>
              </w:rPr>
              <w:t>≥21000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1.13升降照明灯功率（W）：</w:t>
            </w:r>
            <w:r>
              <w:rPr>
                <w:rStyle w:val="35"/>
                <w:rFonts w:hint="eastAsia"/>
                <w:color w:val="000000" w:themeColor="text1"/>
                <w:highlight w:val="none"/>
                <w:lang w:val="en-US" w:eastAsia="zh-CN" w:bidi="ar"/>
                <w14:textFill>
                  <w14:solidFill>
                    <w14:schemeClr w14:val="tx1"/>
                  </w14:solidFill>
                </w14:textFill>
              </w:rPr>
              <w:t>≥2×150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1.14升降照明灯升降高度（m）：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1</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1.15单泵标配水带长度（m）：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40（2根20m）</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1.16单泵标配电缆长度（m）：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20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1.17发电机组额定输出功率（kW）：</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280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1.18整车排水量（m³/h）：</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5200（4个1000方泵+2个600方泵）</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1.19整车水带长度（m）：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240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1.20最大起重量（t）：</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7</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1.21最小吸水深度（mm）：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300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1.22水带口径（mm）：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DN300/DN200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1.23水泵排水量（m³/h）：</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1000/600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1.24水泵重量（kg）：</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58/25</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1.25水泵额定扬程（m）：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10/8</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1.26水泵驱动型式：电驱</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1.27臂架回转角度（°）：</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360</w:t>
            </w:r>
            <w:r>
              <w:rPr>
                <w:rStyle w:val="35"/>
                <w:color w:val="000000" w:themeColor="text1"/>
                <w:highlight w:val="none"/>
                <w:lang w:val="en-US" w:eastAsia="zh-CN" w:bidi="ar"/>
                <w14:textFill>
                  <w14:solidFill>
                    <w14:schemeClr w14:val="tx1"/>
                  </w14:solidFill>
                </w14:textFill>
              </w:rPr>
              <w:br w:type="textWrapping"/>
            </w:r>
            <w:r>
              <w:rPr>
                <w:rStyle w:val="35"/>
                <w:color w:val="000000" w:themeColor="text1"/>
                <w:highlight w:val="none"/>
                <w:lang w:val="en-US" w:eastAsia="zh-CN" w:bidi="ar"/>
                <w14:textFill>
                  <w14:solidFill>
                    <w14:schemeClr w14:val="tx1"/>
                  </w14:solidFill>
                </w14:textFill>
              </w:rPr>
              <w:t>1.28随车伸缩臂架最大展开长度（m）：</w:t>
            </w:r>
            <w:r>
              <w:rPr>
                <w:rStyle w:val="35"/>
                <w:rFonts w:hint="eastAsia"/>
                <w:color w:val="000000" w:themeColor="text1"/>
                <w:highlight w:val="none"/>
                <w:lang w:val="en-US" w:eastAsia="zh-CN" w:bidi="ar"/>
                <w14:textFill>
                  <w14:solidFill>
                    <w14:schemeClr w14:val="tx1"/>
                  </w14:solidFill>
                </w14:textFill>
              </w:rPr>
              <w:t>≥</w:t>
            </w:r>
            <w:r>
              <w:rPr>
                <w:rStyle w:val="35"/>
                <w:color w:val="000000" w:themeColor="text1"/>
                <w:highlight w:val="none"/>
                <w:lang w:val="en-US" w:eastAsia="zh-CN" w:bidi="ar"/>
                <w14:textFill>
                  <w14:solidFill>
                    <w14:schemeClr w14:val="tx1"/>
                  </w14:solidFill>
                </w14:textFill>
              </w:rPr>
              <w:t>14</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2、性能说明</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2.1需适用于城市道路、下沉式立交桥、江河湖泊、水库等应急排水抢险及消防远程供排水</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需具有随车起重机，在抢险现场作为应急辅助起重吊装用，可以吊取水泵、水带，清理倒掉的树枝、石块等障碍物，臂架一次性需可吊取多个大潜水泵放入水中，具有可跨越障碍物将水泵及水带吊入排涝位置，减轻人工的劳动强度，安全、便捷。</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2.3车厢需设有休息控制室，折叠书桌，冷暖空调，供抢险人员值守。</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2.4车厢体前部需装配有爬梯，可供人员通往车厢顶部，便于设备检修。</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2.5需具有水泵升降机构，液压驱动，可无线和有线遥控操作，最低取泵高度不高于600mm，收取水泵方便快捷。</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2.6车辆需内置发电系统、照明灯操作面板。车厢内部需进行防火隔音降噪处理，安装交流电源接口，电瓶转换控制开关。</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2.7车顶需安装有升降照明灯，系统工作电压：24V，可水平360°旋转、垂直180°旋转，功率不低于2×150W、光通量不小于20000LM，具有无线摇控和有线两种控制方式，不使用时可收回；</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2.8车厢两侧需安装有不少于四个LED照明灯，车厢尾部安装有不少于两个LED照明灯，排水作业及行驶时能清楚照亮车辆周边情况。</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2.9车厢两侧需安装有四个黄色闪爆灯，排水作业时起安全警示作用。</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2.10每台水泵需配有单独的控制系统，采用变频器，需具有无极调速、可视化操作界面，可实时监测运行参数，具有但不限于漏电、电流过载、缺相、过压、欠压、过频、欠频、电机过热等保护；</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2.11潜水泵需可无极调速，根据实际作业工况，排水量大小可调。</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2.12需具有大功率发电机组，除了为水泵提供动力源外，还可以提供应急供电、照明等。</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2.13需采用铝合金材质水带接口，不锈钢卡箍快速连接，操作轻便、耐用不生锈，配备专用扳手快速拧紧。</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2.14主控制系统的面板需包含但不限于发电机组启动/停止、用电断路器、市电发电指示、机组急停、故障蜂鸣器、照明灯及空调控制开关等功能。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2.15车辆后部需装有摄像头，驾驶室内装有倒车影像，保证倒车安全。</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2.16需配有无线遥控，用于控制水泵升降装置、随车起重机臂架动作，方便用户远距离控制(提供实物照片证明)。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BB3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14D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42F9">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A8E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C69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C56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新能源洗扫车（18t)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E0AC">
            <w:pPr>
              <w:keepNext w:val="0"/>
              <w:keepLines w:val="0"/>
              <w:widowControl/>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Style w:val="34"/>
                <w:color w:val="000000" w:themeColor="text1"/>
                <w:highlight w:val="none"/>
                <w:lang w:val="en-US" w:eastAsia="zh-CN" w:bidi="ar"/>
                <w14:textFill>
                  <w14:solidFill>
                    <w14:schemeClr w14:val="tx1"/>
                  </w14:solidFill>
                </w14:textFill>
              </w:rPr>
              <w:t>1、整车技术参数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1.1、燃料种类：纯电动</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1.2、电机峰值功率(kw)：≥160kw</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★1.3、整车外形尺寸（长×宽×高）(mm)：≤8270×2510×3270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1.4、总质量(kg)：≥18000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★1.5、额定载质量(Kg)：≥6500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1.6、整备质量(Kg)：≥10160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1.7、轴距(mm)：≥4200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1.8、前悬/后悬(mm)：≤2100/2500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1.9、接近角/离去角（°）：≥14/10</w:t>
            </w:r>
            <w:r>
              <w:rPr>
                <w:rStyle w:val="34"/>
                <w:color w:val="000000" w:themeColor="text1"/>
                <w:highlight w:val="none"/>
                <w:lang w:val="en-US" w:eastAsia="zh-CN" w:bidi="ar"/>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2、上装性能参数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2.1、电池电量（KWh）：≥160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2.2、等速法续航里程（km）：≥280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2.3、电池类型：磷酸铁锂或三元锂</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2.4、洗扫宽度（m）：≥3</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2.5、垃圾箱容积（m³）：≥5</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2.6、清水箱容积（m³）：≥8</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3.车辆性能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3.1垃圾箱需采用不锈钢材质，内有高压清洗装置，卸料时可帮助缷出垃圾，并能清洗垃圾箱内壁。</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3.2车辆需采用“中置两立扫＋中置超宽吸嘴+内置高压水喷杆＋左、右高压侧喷杆”。</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3.3车辆需具有路面清扫、路面洗扫、路缘和路缘石立面洗刷、垃圾箱自洁、手持喷枪等多种功能。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87D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D12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FAC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B5A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6"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9BA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75A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新能源清洗车（高压洒水车18t）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B65C">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1、基本参数</w:t>
            </w:r>
          </w:p>
          <w:p w14:paraId="02A89CEC">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0"/>
                <w:szCs w:val="20"/>
                <w:highlight w:val="none"/>
                <w:vertAlign w:val="baseline"/>
                <w14:textFill>
                  <w14:solidFill>
                    <w14:schemeClr w14:val="tx1"/>
                  </w14:solidFill>
                </w14:textFill>
              </w:rPr>
              <w:t>底盘</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二类汽车底盘</w:t>
            </w:r>
          </w:p>
          <w:p w14:paraId="2004C175">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0"/>
                <w:szCs w:val="20"/>
                <w:highlight w:val="none"/>
                <w:vertAlign w:val="baseline"/>
                <w14:textFill>
                  <w14:solidFill>
                    <w14:schemeClr w14:val="tx1"/>
                  </w14:solidFill>
                </w14:textFill>
              </w:rPr>
              <w:t>燃</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0"/>
                <w:szCs w:val="20"/>
                <w:highlight w:val="none"/>
                <w:vertAlign w:val="baseline"/>
                <w14:textFill>
                  <w14:solidFill>
                    <w14:schemeClr w14:val="tx1"/>
                  </w14:solidFill>
                </w14:textFill>
              </w:rPr>
              <w:t>类型</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纯电动</w:t>
            </w:r>
          </w:p>
          <w:p w14:paraId="67A496E1">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★1.3外形尺寸（长×宽×高）（mm）：8850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×2550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×2850(±50)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▲1.4总质量（kg）：≥18000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▲1.5额定载质量（kg）：≥9400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▲1.6整备质量（kg）：≤8400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1.7轴距（mm）：≥4500</w:t>
            </w:r>
          </w:p>
          <w:p w14:paraId="21439D7E">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▲1.8前悬/后悬（mm）：≥1240/2055</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★1.9接近角/离去角（°）：≥12/13</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2E1139BE">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▲1.10驱动电机峰值功率（kw）：≥180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▲1.11电池电量（KWh）：≥200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1.12续航里程（km）：≥300</w:t>
            </w:r>
          </w:p>
          <w:p w14:paraId="7453008C">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▲1.13罐体总</w:t>
            </w:r>
            <w:r>
              <w:rPr>
                <w:rFonts w:hint="eastAsia" w:ascii="宋体" w:hAnsi="宋体" w:eastAsia="宋体" w:cs="宋体"/>
                <w:color w:val="000000" w:themeColor="text1"/>
                <w:sz w:val="20"/>
                <w:szCs w:val="20"/>
                <w:highlight w:val="none"/>
                <w:vertAlign w:val="baseline"/>
                <w14:textFill>
                  <w14:solidFill>
                    <w14:schemeClr w14:val="tx1"/>
                  </w14:solidFill>
                </w14:textFill>
              </w:rPr>
              <w:t>容积</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≥9.0</w:t>
            </w:r>
          </w:p>
          <w:p w14:paraId="66A72CC8">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1.14罐体有效</w:t>
            </w:r>
            <w:r>
              <w:rPr>
                <w:rFonts w:hint="eastAsia" w:ascii="宋体" w:hAnsi="宋体" w:eastAsia="宋体" w:cs="宋体"/>
                <w:color w:val="000000" w:themeColor="text1"/>
                <w:sz w:val="20"/>
                <w:szCs w:val="20"/>
                <w:highlight w:val="none"/>
                <w:vertAlign w:val="baseline"/>
                <w14:textFill>
                  <w14:solidFill>
                    <w14:schemeClr w14:val="tx1"/>
                  </w14:solidFill>
                </w14:textFill>
              </w:rPr>
              <w:t>容积</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≥9.0</w:t>
            </w:r>
          </w:p>
          <w:p w14:paraId="3A3B8795">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1.15</w:t>
            </w:r>
            <w:r>
              <w:rPr>
                <w:rFonts w:hint="eastAsia" w:ascii="宋体" w:hAnsi="宋体" w:eastAsia="宋体" w:cs="宋体"/>
                <w:color w:val="000000" w:themeColor="text1"/>
                <w:sz w:val="20"/>
                <w:szCs w:val="20"/>
                <w:highlight w:val="none"/>
                <w14:textFill>
                  <w14:solidFill>
                    <w14:schemeClr w14:val="tx1"/>
                  </w14:solidFill>
                </w14:textFill>
              </w:rPr>
              <w:t>前冲洗宽度</w:t>
            </w:r>
            <w:r>
              <w:rPr>
                <w:rFonts w:hint="eastAsia" w:ascii="宋体" w:hAnsi="宋体" w:eastAsia="宋体" w:cs="宋体"/>
                <w:color w:val="000000" w:themeColor="text1"/>
                <w:kern w:val="0"/>
                <w:sz w:val="20"/>
                <w:szCs w:val="20"/>
                <w:highlight w:val="none"/>
                <w:lang w:bidi="ar"/>
                <w14:textFill>
                  <w14:solidFill>
                    <w14:schemeClr w14:val="tx1"/>
                  </w14:solidFill>
                </w14:textFill>
              </w:rPr>
              <w:t>（m）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≥24</w:t>
            </w:r>
          </w:p>
          <w:p w14:paraId="4E872C97">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1.16洒</w:t>
            </w:r>
            <w:r>
              <w:rPr>
                <w:rFonts w:hint="eastAsia" w:ascii="宋体" w:hAnsi="宋体" w:eastAsia="宋体" w:cs="宋体"/>
                <w:color w:val="000000" w:themeColor="text1"/>
                <w:sz w:val="20"/>
                <w:szCs w:val="20"/>
                <w:highlight w:val="none"/>
                <w14:textFill>
                  <w14:solidFill>
                    <w14:schemeClr w14:val="tx1"/>
                  </w14:solidFill>
                </w14:textFill>
              </w:rPr>
              <w:t>水炮射程</w:t>
            </w:r>
            <w:r>
              <w:rPr>
                <w:rFonts w:hint="eastAsia" w:ascii="宋体" w:hAnsi="宋体" w:eastAsia="宋体" w:cs="宋体"/>
                <w:color w:val="000000" w:themeColor="text1"/>
                <w:kern w:val="0"/>
                <w:sz w:val="20"/>
                <w:szCs w:val="20"/>
                <w:highlight w:val="none"/>
                <w:lang w:bidi="ar"/>
                <w14:textFill>
                  <w14:solidFill>
                    <w14:schemeClr w14:val="tx1"/>
                  </w14:solidFill>
                </w14:textFill>
              </w:rPr>
              <w:t>（m）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≥38</w:t>
            </w:r>
          </w:p>
          <w:p w14:paraId="655541B5">
            <w:pPr>
              <w:pStyle w:val="1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pPr>
            <w:r>
              <w:rPr>
                <w:rFonts w:hint="eastAsia" w:ascii="宋体" w:hAnsi="宋体" w:cs="宋体"/>
                <w:color w:val="000000" w:themeColor="text1"/>
                <w:sz w:val="20"/>
                <w:szCs w:val="20"/>
                <w:highlight w:val="none"/>
                <w:vertAlign w:val="baseline"/>
                <w:lang w:val="en-US" w:eastAsia="zh-CN"/>
                <w14:textFill>
                  <w14:solidFill>
                    <w14:schemeClr w14:val="tx1"/>
                  </w14:solidFill>
                </w14:textFill>
              </w:rPr>
              <w:t>1.17</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高压水泵额定压力（Mpa）：≥10</w:t>
            </w:r>
          </w:p>
          <w:p w14:paraId="19046F4E">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（以上1.10、1.11、1.13数据以制造商提供的技术规格书内容为准）</w:t>
            </w:r>
          </w:p>
          <w:p w14:paraId="59795AB1">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2、性能说明：</w:t>
            </w:r>
          </w:p>
          <w:p w14:paraId="249B1ED2">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2.1</w:t>
            </w:r>
            <w:r>
              <w:rPr>
                <w:rFonts w:hint="eastAsia" w:ascii="宋体" w:hAnsi="宋体" w:eastAsia="宋体" w:cs="宋体"/>
                <w:color w:val="000000" w:themeColor="text1"/>
                <w:kern w:val="0"/>
                <w:sz w:val="20"/>
                <w:szCs w:val="20"/>
                <w:highlight w:val="none"/>
                <w:lang w:bidi="ar"/>
                <w14:textFill>
                  <w14:solidFill>
                    <w14:schemeClr w14:val="tx1"/>
                  </w14:solidFill>
                </w14:textFill>
              </w:rPr>
              <w:t>车辆</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0"/>
                <w:szCs w:val="20"/>
                <w:highlight w:val="none"/>
                <w:lang w:bidi="ar"/>
                <w14:textFill>
                  <w14:solidFill>
                    <w14:schemeClr w14:val="tx1"/>
                  </w14:solidFill>
                </w14:textFill>
              </w:rPr>
              <w:t>适</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用于</w:t>
            </w:r>
            <w:r>
              <w:rPr>
                <w:rFonts w:hint="eastAsia" w:ascii="宋体" w:hAnsi="宋体" w:eastAsia="宋体" w:cs="宋体"/>
                <w:color w:val="000000" w:themeColor="text1"/>
                <w:kern w:val="0"/>
                <w:sz w:val="20"/>
                <w:szCs w:val="20"/>
                <w:highlight w:val="none"/>
                <w:lang w:bidi="ar"/>
                <w14:textFill>
                  <w14:solidFill>
                    <w14:schemeClr w14:val="tx1"/>
                  </w14:solidFill>
                </w14:textFill>
              </w:rPr>
              <w:t>城市</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道路</w:t>
            </w:r>
            <w:r>
              <w:rPr>
                <w:rFonts w:hint="eastAsia" w:ascii="宋体" w:hAnsi="宋体" w:eastAsia="宋体" w:cs="宋体"/>
                <w:color w:val="000000" w:themeColor="text1"/>
                <w:kern w:val="0"/>
                <w:sz w:val="20"/>
                <w:szCs w:val="20"/>
                <w:highlight w:val="none"/>
                <w:lang w:bidi="ar"/>
                <w14:textFill>
                  <w14:solidFill>
                    <w14:schemeClr w14:val="tx1"/>
                  </w14:solidFill>
                </w14:textFill>
              </w:rPr>
              <w:t>、广场</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机场、码头、桥梁等路面清洁</w:t>
            </w:r>
            <w:r>
              <w:rPr>
                <w:rFonts w:hint="eastAsia" w:ascii="宋体" w:hAnsi="宋体" w:eastAsia="宋体" w:cs="宋体"/>
                <w:color w:val="000000" w:themeColor="text1"/>
                <w:kern w:val="0"/>
                <w:sz w:val="20"/>
                <w:szCs w:val="20"/>
                <w:highlight w:val="none"/>
                <w:lang w:bidi="ar"/>
                <w14:textFill>
                  <w14:solidFill>
                    <w14:schemeClr w14:val="tx1"/>
                  </w14:solidFill>
                </w14:textFill>
              </w:rPr>
              <w:t>作业，也可用于</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路面洒水降尘、保湿、园林绿化浇灌以及应急</w:t>
            </w:r>
            <w:r>
              <w:rPr>
                <w:rFonts w:hint="eastAsia" w:ascii="宋体" w:hAnsi="宋体" w:eastAsia="宋体" w:cs="宋体"/>
                <w:color w:val="000000" w:themeColor="text1"/>
                <w:kern w:val="0"/>
                <w:sz w:val="20"/>
                <w:szCs w:val="20"/>
                <w:highlight w:val="none"/>
                <w:lang w:bidi="ar"/>
                <w14:textFill>
                  <w14:solidFill>
                    <w14:schemeClr w14:val="tx1"/>
                  </w14:solidFill>
                </w14:textFill>
              </w:rPr>
              <w:t>消防和非饮用水的运输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等</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p>
          <w:p w14:paraId="4A246F80">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2.2</w:t>
            </w:r>
            <w:r>
              <w:rPr>
                <w:rFonts w:hint="default" w:ascii="宋体" w:hAnsi="宋体" w:eastAsia="宋体" w:cs="宋体"/>
                <w:color w:val="000000" w:themeColor="text1"/>
                <w:kern w:val="0"/>
                <w:sz w:val="20"/>
                <w:szCs w:val="20"/>
                <w:highlight w:val="none"/>
                <w:lang w:bidi="ar"/>
                <w14:textFill>
                  <w14:solidFill>
                    <w14:schemeClr w14:val="tx1"/>
                  </w14:solidFill>
                </w14:textFill>
              </w:rPr>
              <w:t>罐体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选用优质碳钢</w:t>
            </w:r>
            <w:r>
              <w:rPr>
                <w:rFonts w:hint="eastAsia" w:ascii="宋体" w:hAnsi="宋体" w:eastAsia="宋体" w:cs="宋体"/>
                <w:color w:val="000000" w:themeColor="text1"/>
                <w:kern w:val="0"/>
                <w:sz w:val="20"/>
                <w:szCs w:val="20"/>
                <w:highlight w:val="none"/>
                <w:lang w:bidi="ar"/>
                <w14:textFill>
                  <w14:solidFill>
                    <w14:schemeClr w14:val="tx1"/>
                  </w14:solidFill>
                </w14:textFill>
              </w:rPr>
              <w:t>，采用自动化罐体焊接生产线，经卷板抱罐焊接而成</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default" w:ascii="宋体" w:hAnsi="宋体" w:eastAsia="宋体" w:cs="宋体"/>
                <w:color w:val="000000" w:themeColor="text1"/>
                <w:kern w:val="0"/>
                <w:sz w:val="20"/>
                <w:szCs w:val="20"/>
                <w:highlight w:val="none"/>
                <w:lang w:bidi="ar"/>
                <w14:textFill>
                  <w14:solidFill>
                    <w14:schemeClr w14:val="tx1"/>
                  </w14:solidFill>
                </w14:textFill>
              </w:rPr>
              <w:t>罐体焊接质量可靠，使用寿命长。</w:t>
            </w:r>
          </w:p>
          <w:p w14:paraId="712F81C9">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2.3</w:t>
            </w:r>
            <w:r>
              <w:rPr>
                <w:rFonts w:hint="eastAsia" w:ascii="宋体" w:hAnsi="宋体" w:eastAsia="宋体" w:cs="宋体"/>
                <w:color w:val="000000" w:themeColor="text1"/>
                <w:kern w:val="0"/>
                <w:sz w:val="20"/>
                <w:szCs w:val="20"/>
                <w:highlight w:val="none"/>
                <w:lang w:bidi="ar"/>
                <w14:textFill>
                  <w14:solidFill>
                    <w14:schemeClr w14:val="tx1"/>
                  </w14:solidFill>
                </w14:textFill>
              </w:rPr>
              <w:t>罐体内部</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0"/>
                <w:szCs w:val="20"/>
                <w:highlight w:val="none"/>
                <w:lang w:bidi="ar"/>
                <w14:textFill>
                  <w14:solidFill>
                    <w14:schemeClr w14:val="tx1"/>
                  </w14:solidFill>
                </w14:textFill>
              </w:rPr>
              <w:t>设置防波板，减小液体波动对罐体冲击；罐体</w:t>
            </w:r>
            <w:r>
              <w:rPr>
                <w:rFonts w:hint="default" w:ascii="宋体" w:hAnsi="宋体" w:eastAsia="宋体" w:cs="宋体"/>
                <w:color w:val="000000" w:themeColor="text1"/>
                <w:kern w:val="0"/>
                <w:sz w:val="20"/>
                <w:szCs w:val="20"/>
                <w:highlight w:val="none"/>
                <w:lang w:bidi="ar"/>
                <w14:textFill>
                  <w14:solidFill>
                    <w14:schemeClr w14:val="tx1"/>
                  </w14:solidFill>
                </w14:textFill>
              </w:rPr>
              <w:t>上</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开有透气孔，使罐内气压与外界平衡；罐内设有溢流管，既能保证水加满时自动溢流，给操作人员提示，又能使罐内与大气相通，避免罐内因出水而形成负压。</w:t>
            </w:r>
          </w:p>
          <w:p w14:paraId="6799E43B">
            <w:pPr>
              <w:keepNext w:val="0"/>
              <w:keepLines w:val="0"/>
              <w:widowControl/>
              <w:suppressLineNumbers w:val="0"/>
              <w:jc w:val="left"/>
              <w:textAlignment w:val="center"/>
              <w:rPr>
                <w:rFonts w:hint="default"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2.4</w:t>
            </w:r>
            <w:r>
              <w:rPr>
                <w:rFonts w:hint="default" w:ascii="宋体" w:hAnsi="宋体" w:eastAsia="宋体" w:cs="宋体"/>
                <w:color w:val="000000" w:themeColor="text1"/>
                <w:kern w:val="0"/>
                <w:sz w:val="20"/>
                <w:szCs w:val="20"/>
                <w:highlight w:val="none"/>
                <w:lang w:bidi="ar"/>
                <w14:textFill>
                  <w14:solidFill>
                    <w14:schemeClr w14:val="tx1"/>
                  </w14:solidFill>
                </w14:textFill>
              </w:rPr>
              <w:t>罐体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设置低水位报警系统，具有自动报警功能提醒操作人员，防止水泵因为缺水而损坏，同时具有缺水保护功能，在水位低时，打开溢流阀，将水回流回罐体，既不关闭水泵，也防止水泵空转。</w:t>
            </w:r>
          </w:p>
          <w:p w14:paraId="2CB77890">
            <w:pPr>
              <w:pStyle w:val="2"/>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2.5</w:t>
            </w:r>
            <w:r>
              <w:rPr>
                <w:rStyle w:val="34"/>
                <w:color w:val="000000" w:themeColor="text1"/>
                <w:highlight w:val="none"/>
                <w:lang w:val="en-US" w:eastAsia="zh-CN" w:bidi="ar"/>
                <w14:textFill>
                  <w14:solidFill>
                    <w14:schemeClr w14:val="tx1"/>
                  </w14:solidFill>
                </w14:textFill>
              </w:rPr>
              <w:t>需配有高压手持喷枪，用于清洗较脏的油污地面。</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2AE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67B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ACB5">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8B6D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0CD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C6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新能源清洗车（低压洒水车18t)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C4E6">
            <w:pPr>
              <w:keepNext w:val="0"/>
              <w:keepLines w:val="0"/>
              <w:widowControl/>
              <w:numPr>
                <w:ilvl w:val="0"/>
                <w:numId w:val="10"/>
              </w:numPr>
              <w:suppressLineNumbers w:val="0"/>
              <w:jc w:val="left"/>
              <w:textAlignment w:val="center"/>
              <w:rPr>
                <w:rStyle w:val="34"/>
                <w:color w:val="000000" w:themeColor="text1"/>
                <w:highlight w:val="none"/>
                <w:lang w:val="en-US" w:eastAsia="zh-CN" w:bidi="ar"/>
                <w14:textFill>
                  <w14:solidFill>
                    <w14:schemeClr w14:val="tx1"/>
                  </w14:solidFill>
                </w14:textFill>
              </w:rPr>
            </w:pPr>
            <w:r>
              <w:rPr>
                <w:rStyle w:val="34"/>
                <w:color w:val="000000" w:themeColor="text1"/>
                <w:highlight w:val="none"/>
                <w:lang w:val="en-US" w:eastAsia="zh-CN" w:bidi="ar"/>
                <w14:textFill>
                  <w14:solidFill>
                    <w14:schemeClr w14:val="tx1"/>
                  </w14:solidFill>
                </w14:textFill>
              </w:rPr>
              <w:t>基本参数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1.1整车长度（mm）：≤10550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1.2★整车宽度（mm）：≤2500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1.3整车高度（mm）：≤3240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1.4总质量（kg）：≥18000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1.5整备质量（kg）：≤14900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1.6★额定载质量（kg）：≤</w:t>
            </w:r>
            <w:r>
              <w:rPr>
                <w:rStyle w:val="34"/>
                <w:rFonts w:hint="eastAsia"/>
                <w:color w:val="000000" w:themeColor="text1"/>
                <w:highlight w:val="none"/>
                <w:lang w:val="en-US" w:eastAsia="zh-CN" w:bidi="ar"/>
                <w14:textFill>
                  <w14:solidFill>
                    <w14:schemeClr w14:val="tx1"/>
                  </w14:solidFill>
                </w14:textFill>
              </w:rPr>
              <w:t>10920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1.7接近角（度）：≥11.0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1.8离去角（度）：≥11.0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1.9★前悬（mm）：≥1360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1.10后悬（mm）：</w:t>
            </w:r>
            <w:r>
              <w:rPr>
                <w:rStyle w:val="34"/>
                <w:rFonts w:hint="eastAsia"/>
                <w:color w:val="000000" w:themeColor="text1"/>
                <w:highlight w:val="none"/>
                <w:lang w:val="en-US" w:eastAsia="zh-CN" w:bidi="ar"/>
                <w14:textFill>
                  <w14:solidFill>
                    <w14:schemeClr w14:val="tx1"/>
                  </w14:solidFill>
                </w14:textFill>
              </w:rPr>
              <w:t>≥1820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1.11最高车速（km/h）：≥70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1.12轴距（mm）：≤4500</w:t>
            </w:r>
          </w:p>
          <w:p w14:paraId="081A7EE9">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1.13后洒水宽度（m）：</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14</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4</w:t>
            </w:r>
            <w:r>
              <w:rPr>
                <w:rStyle w:val="34"/>
                <w:color w:val="000000" w:themeColor="text1"/>
                <w:highlight w:val="none"/>
                <w:lang w:val="en-US" w:eastAsia="zh-CN" w:bidi="ar"/>
                <w14:textFill>
                  <w14:solidFill>
                    <w14:schemeClr w14:val="tx1"/>
                  </w14:solidFill>
                </w14:textFill>
              </w:rPr>
              <w:t>对冲冲洗宽度（m）：</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24</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5</w:t>
            </w:r>
            <w:r>
              <w:rPr>
                <w:rStyle w:val="34"/>
                <w:color w:val="000000" w:themeColor="text1"/>
                <w:highlight w:val="none"/>
                <w:lang w:val="en-US" w:eastAsia="zh-CN" w:bidi="ar"/>
                <w14:textFill>
                  <w14:solidFill>
                    <w14:schemeClr w14:val="tx1"/>
                  </w14:solidFill>
                </w14:textFill>
              </w:rPr>
              <w:t>水炮射程（m）：</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6</w:t>
            </w:r>
            <w:r>
              <w:rPr>
                <w:rStyle w:val="34"/>
                <w:color w:val="000000" w:themeColor="text1"/>
                <w:highlight w:val="none"/>
                <w:lang w:val="en-US" w:eastAsia="zh-CN" w:bidi="ar"/>
                <w14:textFill>
                  <w14:solidFill>
                    <w14:schemeClr w14:val="tx1"/>
                  </w14:solidFill>
                </w14:textFill>
              </w:rPr>
              <w:t>水罐总容积（m³）：</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13</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7</w:t>
            </w:r>
            <w:r>
              <w:rPr>
                <w:rStyle w:val="34"/>
                <w:color w:val="000000" w:themeColor="text1"/>
                <w:highlight w:val="none"/>
                <w:lang w:val="en-US" w:eastAsia="zh-CN" w:bidi="ar"/>
                <w14:textFill>
                  <w14:solidFill>
                    <w14:schemeClr w14:val="tx1"/>
                  </w14:solidFill>
                </w14:textFill>
              </w:rPr>
              <w:t>水罐总容量（m³）：</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w:t>
            </w:r>
            <w:r>
              <w:rPr>
                <w:rStyle w:val="34"/>
                <w:rFonts w:hint="eastAsia"/>
                <w:color w:val="000000" w:themeColor="text1"/>
                <w:highlight w:val="none"/>
                <w:lang w:val="en-US" w:eastAsia="zh-CN" w:bidi="ar"/>
                <w14:textFill>
                  <w14:solidFill>
                    <w14:schemeClr w14:val="tx1"/>
                  </w14:solidFill>
                </w14:textFill>
              </w:rPr>
              <w:t>8</w:t>
            </w:r>
            <w:r>
              <w:rPr>
                <w:rStyle w:val="34"/>
                <w:color w:val="000000" w:themeColor="text1"/>
                <w:highlight w:val="none"/>
                <w:lang w:val="en-US" w:eastAsia="zh-CN" w:bidi="ar"/>
                <w14:textFill>
                  <w14:solidFill>
                    <w14:schemeClr w14:val="tx1"/>
                  </w14:solidFill>
                </w14:textFill>
              </w:rPr>
              <w:t>水罐有效容积（m³）：</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w:t>
            </w:r>
            <w:r>
              <w:rPr>
                <w:rStyle w:val="34"/>
                <w:rFonts w:hint="eastAsia"/>
                <w:color w:val="000000" w:themeColor="text1"/>
                <w:highlight w:val="none"/>
                <w:lang w:val="en-US" w:eastAsia="zh-CN" w:bidi="ar"/>
                <w14:textFill>
                  <w14:solidFill>
                    <w14:schemeClr w14:val="tx1"/>
                  </w14:solidFill>
                </w14:textFill>
              </w:rPr>
              <w:t>19</w:t>
            </w:r>
            <w:r>
              <w:rPr>
                <w:rStyle w:val="34"/>
                <w:color w:val="000000" w:themeColor="text1"/>
                <w:highlight w:val="none"/>
                <w:lang w:val="en-US" w:eastAsia="zh-CN" w:bidi="ar"/>
                <w14:textFill>
                  <w14:solidFill>
                    <w14:schemeClr w14:val="tx1"/>
                  </w14:solidFill>
                </w14:textFill>
              </w:rPr>
              <w:t>鸭嘴冲洗宽度（m）：</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w:t>
            </w:r>
            <w:r>
              <w:rPr>
                <w:rStyle w:val="34"/>
                <w:rFonts w:hint="eastAsia"/>
                <w:color w:val="000000" w:themeColor="text1"/>
                <w:highlight w:val="none"/>
                <w:lang w:val="en-US" w:eastAsia="zh-CN" w:bidi="ar"/>
                <w14:textFill>
                  <w14:solidFill>
                    <w14:schemeClr w14:val="tx1"/>
                  </w14:solidFill>
                </w14:textFill>
              </w:rPr>
              <w:t>0</w:t>
            </w:r>
            <w:r>
              <w:rPr>
                <w:rStyle w:val="34"/>
                <w:color w:val="000000" w:themeColor="text1"/>
                <w:highlight w:val="none"/>
                <w:lang w:val="en-US" w:eastAsia="zh-CN" w:bidi="ar"/>
                <w14:textFill>
                  <w14:solidFill>
                    <w14:schemeClr w14:val="tx1"/>
                  </w14:solidFill>
                </w14:textFill>
              </w:rPr>
              <w:t>电池电量（ kW·h）：</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166</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1.22电池种类：磷酸铁锂蓄电池</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2、性能说明</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2.1水罐内部需采用喷砂预处理工艺，并喷涂防锈防腐漆。</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2.2需配有电池系统通过严格的振动、冲击、挤压、湿热循环、海水浸泡、外部火烧、过温保护等试验。</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2.3需配备缺水报警装置，水罐水位低于设计位置时，系统发出缺水报警提示，并自动停止水泵运转，防止水泵无水干烧。</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2.4需具有鸭嘴冲洗装置，由气动切断阀控制，适用于冲洗路面及路沿，可在一定范围内任意调节鸭嘴型喷头的冲洗方位。</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2.5需具有对冲冲洗装置，用于地面的冲洗作业，既可以对路面进行洒水作业，也可以通过对冲喷头将路中间的垃圾冲刷到路边，利用清扫车辆将垃圾清理，对冲圆锥喷嘴的角度可任意调节。</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2.6需具有后洒水装置，采用气动切断阀控制后洒水嘴的开启与关闭。</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2.7后工作台需配有远射程水炮(需提供实物照片证明)，水炮可0 ～ 360°旋转、炮体可上下俯仰操作，可调节水流的喷射形状（柱状或锥状）。</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2.8水路系统各个低位需设置有放水球阀。</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2.9需配有前喷水架，采用分段式设计。左右喷杆可以收回、展开，具有挡水罩。采用底盘自带气源通过伸缩气缸控制各个动作，无污染。左右喷杆具有防撞避障功能，减少作业过程中碰撞损坏的风险，保证作业过程的顺畅。</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2.10需配有高压手持喷枪，用于清洗较脏的油污地面。</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2.11需配备低温环境下防冻吹气装置。高压水路系统各个低位设置有放水球阀，并在车辆的右后部位安装有吹气排水的快速接头。客户只需要打开相应的管路控制阀，接通气源，连接快速接头即可实现相应管路的吹气排水功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859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394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E0D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F0ED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1F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120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新能源抑尘车（18t）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9571">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w:t>
            </w:r>
            <w:r>
              <w:rPr>
                <w:rStyle w:val="34"/>
                <w:color w:val="000000" w:themeColor="text1"/>
                <w:highlight w:val="none"/>
                <w:lang w:val="en-US" w:eastAsia="zh-CN" w:bidi="ar"/>
                <w14:textFill>
                  <w14:solidFill>
                    <w14:schemeClr w14:val="tx1"/>
                  </w14:solidFill>
                </w14:textFill>
              </w:rPr>
              <w:t>、整车技术参数</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1.底盘电机峰值功率（kw）≥160</w:t>
            </w:r>
          </w:p>
          <w:p w14:paraId="72A3096C">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2.底盘动力电池容量（kWh）≥230</w:t>
            </w:r>
          </w:p>
          <w:p w14:paraId="69C84CB6">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3.整车外形尺寸（长×宽×高）（mm） ≥10000×2500×3800</w:t>
            </w:r>
          </w:p>
          <w:p w14:paraId="5CF3AA60">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4.总质量（kg）≥18000</w:t>
            </w:r>
          </w:p>
          <w:p w14:paraId="1BA0C22C">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5.整备质量（kg）≤11000</w:t>
            </w:r>
          </w:p>
          <w:p w14:paraId="75E88586">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6.★额定载质量（kg）≥7000</w:t>
            </w:r>
          </w:p>
          <w:p w14:paraId="0C65D55B">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7.★接近角/离去角（°）≥10/10</w:t>
            </w:r>
          </w:p>
          <w:p w14:paraId="10887A50">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8.★前悬/后悬(mm)≤1480/2760</w:t>
            </w:r>
          </w:p>
          <w:p w14:paraId="7A14C2A5">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9.轴距（mm）≥4500</w:t>
            </w:r>
          </w:p>
          <w:p w14:paraId="321E3EA8">
            <w:pPr>
              <w:pStyle w:val="2"/>
              <w:rPr>
                <w:rFonts w:hint="eastAsia"/>
                <w:color w:val="000000" w:themeColor="text1"/>
                <w:highlight w:val="none"/>
                <w:lang w:val="en-US" w:eastAsia="zh-CN"/>
                <w14:textFill>
                  <w14:solidFill>
                    <w14:schemeClr w14:val="tx1"/>
                  </w14:solidFill>
                </w14:textFill>
              </w:rPr>
            </w:pPr>
            <w:r>
              <w:rPr>
                <w:rStyle w:val="34"/>
                <w:color w:val="000000" w:themeColor="text1"/>
                <w:highlight w:val="none"/>
                <w:lang w:val="en-US" w:eastAsia="zh-CN" w:bidi="ar"/>
                <w14:textFill>
                  <w14:solidFill>
                    <w14:schemeClr w14:val="tx1"/>
                  </w14:solidFill>
                </w14:textFill>
              </w:rPr>
              <w:t>（以上数据以“国家工信部道路机动车辆生产企业及产品信息查询系统的公告参数页”的内容为准，并提供截图）</w:t>
            </w:r>
          </w:p>
          <w:p w14:paraId="1631E486">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10.公告罐体总容量（m³）≥8.7</w:t>
            </w:r>
          </w:p>
          <w:p w14:paraId="21CDCB3A">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11.低压冲洗宽度(m)≥24</w:t>
            </w:r>
          </w:p>
          <w:p w14:paraId="619F931E">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12.后洒水宽度(m)≥14</w:t>
            </w:r>
          </w:p>
          <w:p w14:paraId="0A6D7FE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13.后洒水泡射程(m)≥38</w:t>
            </w:r>
          </w:p>
          <w:p w14:paraId="3306287B">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14.雾炮最大水平射程(m)≥80</w:t>
            </w:r>
          </w:p>
          <w:p w14:paraId="3D3B530A">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w:t>
            </w:r>
            <w:r>
              <w:rPr>
                <w:rStyle w:val="34"/>
                <w:color w:val="000000" w:themeColor="text1"/>
                <w:highlight w:val="none"/>
                <w:lang w:val="en-US" w:eastAsia="zh-CN" w:bidi="ar"/>
                <w14:textFill>
                  <w14:solidFill>
                    <w14:schemeClr w14:val="tx1"/>
                  </w14:solidFill>
                </w14:textFill>
              </w:rPr>
              <w:t>、车辆性能</w:t>
            </w:r>
            <w:r>
              <w:rPr>
                <w:rStyle w:val="34"/>
                <w:color w:val="000000" w:themeColor="text1"/>
                <w:highlight w:val="none"/>
                <w:lang w:val="en-US" w:eastAsia="zh-CN" w:bidi="ar"/>
                <w14:textFill>
                  <w14:solidFill>
                    <w14:schemeClr w14:val="tx1"/>
                  </w14:solidFill>
                </w14:textFill>
              </w:rPr>
              <w:br w:type="textWrapping"/>
            </w:r>
            <w:r>
              <w:rPr>
                <w:rStyle w:val="34"/>
                <w:rFonts w:hint="eastAsia"/>
                <w:color w:val="000000" w:themeColor="text1"/>
                <w:highlight w:val="none"/>
                <w:lang w:val="en-US" w:eastAsia="zh-CN" w:bidi="ar"/>
                <w14:textFill>
                  <w14:solidFill>
                    <w14:schemeClr w14:val="tx1"/>
                  </w14:solidFill>
                </w14:textFill>
              </w:rPr>
              <w:t>2.1车辆必须具备有国家工业和信息化部发布的汽车公告，车辆公告名称为多功能抑尘车；</w:t>
            </w:r>
          </w:p>
          <w:p w14:paraId="60422796">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2.2电机控制器采用集成化设计，大幅降低高压系统重量、体积，并实现了整车高压系统线束连接精简，线束布置美观，提高高压系统线束连接安全性。</w:t>
            </w:r>
          </w:p>
          <w:p w14:paraId="5B6A4276">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2.3车辆需配备低压冲洗装置，具备冲洗路面、绿化浇灌、喷雾降尘等功能。</w:t>
            </w:r>
          </w:p>
          <w:p w14:paraId="5B4D1E2E">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2.4采用CAN总线控制技术，常用作业模式实现一键操作，并且需拥有故障智能诊断功能。</w:t>
            </w:r>
          </w:p>
          <w:p w14:paraId="3A46583F">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2.5喷雾风机具备无线遥控功能和自动复位功能，自动化程度高、操作便捷。</w:t>
            </w:r>
          </w:p>
          <w:p w14:paraId="110D8DDA">
            <w:pPr>
              <w:keepNext w:val="0"/>
              <w:keepLines w:val="0"/>
              <w:widowControl/>
              <w:numPr>
                <w:ilvl w:val="0"/>
                <w:numId w:val="0"/>
              </w:numPr>
              <w:suppressLineNumbers w:val="0"/>
              <w:jc w:val="left"/>
              <w:textAlignment w:val="center"/>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2.6罐体板材采用国际标准电泳工艺或重防腐工艺，能够在罐体表面形成致密的防腐膜，经久耐用。</w:t>
            </w:r>
          </w:p>
          <w:p w14:paraId="71C783D7">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1EC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E54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9CA8">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301C1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19"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2EA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AC5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新能源清洗车（低压洒水车8t)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1953">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1、基本参数</w:t>
            </w:r>
          </w:p>
          <w:p w14:paraId="1D8844DC">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0"/>
                <w:szCs w:val="20"/>
                <w:highlight w:val="none"/>
                <w:vertAlign w:val="baseline"/>
                <w14:textFill>
                  <w14:solidFill>
                    <w14:schemeClr w14:val="tx1"/>
                  </w14:solidFill>
                </w14:textFill>
              </w:rPr>
              <w:t>底盘</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二类汽车底盘</w:t>
            </w:r>
          </w:p>
          <w:p w14:paraId="44296123">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0"/>
                <w:szCs w:val="20"/>
                <w:highlight w:val="none"/>
                <w:vertAlign w:val="baseline"/>
                <w14:textFill>
                  <w14:solidFill>
                    <w14:schemeClr w14:val="tx1"/>
                  </w14:solidFill>
                </w14:textFill>
              </w:rPr>
              <w:t>燃</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0"/>
                <w:szCs w:val="20"/>
                <w:highlight w:val="none"/>
                <w:vertAlign w:val="baseline"/>
                <w14:textFill>
                  <w14:solidFill>
                    <w14:schemeClr w14:val="tx1"/>
                  </w14:solidFill>
                </w14:textFill>
              </w:rPr>
              <w:t>类型</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纯电动</w:t>
            </w:r>
          </w:p>
          <w:p w14:paraId="50CDCF1B">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★1.3外形尺寸（长×宽×高）（mm）：≥6600×2200×2350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▲1.4总质量（kg）：≤8500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▲1.5额定载质量（kg）：≥3000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▲1.6整备质量（kg）：≥4000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1.7轴距（mm）：≥3300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▲1.8前悬/后悬（mm）：≥1110/1600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★1.9接近角/离去角（°）：≥12/10</w:t>
            </w:r>
          </w:p>
          <w:p w14:paraId="4BED796B">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7E435146">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▲1.10驱动电机峰值功率（kw）：≥120</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▲1.11电池电量（KWh）：≥89</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1.12续航里程（km）：≥200</w:t>
            </w:r>
          </w:p>
          <w:p w14:paraId="32EDF7F7">
            <w:pPr>
              <w:numPr>
                <w:ilvl w:val="0"/>
                <w:numId w:val="0"/>
              </w:num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▲1.13罐体总</w:t>
            </w:r>
            <w:r>
              <w:rPr>
                <w:rFonts w:hint="eastAsia" w:ascii="宋体" w:hAnsi="宋体" w:eastAsia="宋体" w:cs="宋体"/>
                <w:color w:val="000000" w:themeColor="text1"/>
                <w:sz w:val="20"/>
                <w:szCs w:val="20"/>
                <w:highlight w:val="none"/>
                <w:vertAlign w:val="baseline"/>
                <w14:textFill>
                  <w14:solidFill>
                    <w14:schemeClr w14:val="tx1"/>
                  </w14:solidFill>
                </w14:textFill>
              </w:rPr>
              <w:t>容积</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≥3.2</w:t>
            </w:r>
          </w:p>
          <w:p w14:paraId="62897C4D">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1.14罐体有效</w:t>
            </w:r>
            <w:r>
              <w:rPr>
                <w:rFonts w:hint="eastAsia" w:ascii="宋体" w:hAnsi="宋体" w:eastAsia="宋体" w:cs="宋体"/>
                <w:color w:val="000000" w:themeColor="text1"/>
                <w:sz w:val="20"/>
                <w:szCs w:val="20"/>
                <w:highlight w:val="none"/>
                <w:vertAlign w:val="baseline"/>
                <w14:textFill>
                  <w14:solidFill>
                    <w14:schemeClr w14:val="tx1"/>
                  </w14:solidFill>
                </w14:textFill>
              </w:rPr>
              <w:t>容积</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≥3</w:t>
            </w:r>
          </w:p>
          <w:p w14:paraId="02906309">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1.15</w:t>
            </w:r>
            <w:r>
              <w:rPr>
                <w:rFonts w:hint="eastAsia" w:ascii="宋体" w:hAnsi="宋体" w:eastAsia="宋体" w:cs="宋体"/>
                <w:color w:val="000000" w:themeColor="text1"/>
                <w:sz w:val="20"/>
                <w:szCs w:val="20"/>
                <w:highlight w:val="none"/>
                <w14:textFill>
                  <w14:solidFill>
                    <w14:schemeClr w14:val="tx1"/>
                  </w14:solidFill>
                </w14:textFill>
              </w:rPr>
              <w:t>前冲洗宽度</w:t>
            </w:r>
            <w:r>
              <w:rPr>
                <w:rFonts w:hint="eastAsia" w:ascii="宋体" w:hAnsi="宋体" w:eastAsia="宋体" w:cs="宋体"/>
                <w:color w:val="000000" w:themeColor="text1"/>
                <w:kern w:val="0"/>
                <w:sz w:val="20"/>
                <w:szCs w:val="20"/>
                <w:highlight w:val="none"/>
                <w:lang w:bidi="ar"/>
                <w14:textFill>
                  <w14:solidFill>
                    <w14:schemeClr w14:val="tx1"/>
                  </w14:solidFill>
                </w14:textFill>
              </w:rPr>
              <w:t>（m）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≥14</w:t>
            </w:r>
          </w:p>
          <w:p w14:paraId="0462D5C2">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1.16洒</w:t>
            </w:r>
            <w:r>
              <w:rPr>
                <w:rFonts w:hint="eastAsia" w:ascii="宋体" w:hAnsi="宋体" w:eastAsia="宋体" w:cs="宋体"/>
                <w:color w:val="000000" w:themeColor="text1"/>
                <w:sz w:val="20"/>
                <w:szCs w:val="20"/>
                <w:highlight w:val="none"/>
                <w14:textFill>
                  <w14:solidFill>
                    <w14:schemeClr w14:val="tx1"/>
                  </w14:solidFill>
                </w14:textFill>
              </w:rPr>
              <w:t>水炮射程</w:t>
            </w:r>
            <w:r>
              <w:rPr>
                <w:rFonts w:hint="eastAsia" w:ascii="宋体" w:hAnsi="宋体" w:eastAsia="宋体" w:cs="宋体"/>
                <w:color w:val="000000" w:themeColor="text1"/>
                <w:kern w:val="0"/>
                <w:sz w:val="20"/>
                <w:szCs w:val="20"/>
                <w:highlight w:val="none"/>
                <w:lang w:bidi="ar"/>
                <w14:textFill>
                  <w14:solidFill>
                    <w14:schemeClr w14:val="tx1"/>
                  </w14:solidFill>
                </w14:textFill>
              </w:rPr>
              <w:t>（m）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≥28</w:t>
            </w:r>
          </w:p>
          <w:p w14:paraId="26CA37B9">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（以上1.10、1.11、1.13数据以制造商提供的技术规格书内容为准）</w:t>
            </w:r>
          </w:p>
          <w:p w14:paraId="0A0DE39B">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2、性能说明：</w:t>
            </w:r>
          </w:p>
          <w:p w14:paraId="719F1FA6">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2.1</w:t>
            </w:r>
            <w:r>
              <w:rPr>
                <w:rFonts w:hint="eastAsia" w:ascii="宋体" w:hAnsi="宋体" w:eastAsia="宋体" w:cs="宋体"/>
                <w:color w:val="000000" w:themeColor="text1"/>
                <w:kern w:val="0"/>
                <w:sz w:val="20"/>
                <w:szCs w:val="20"/>
                <w:highlight w:val="none"/>
                <w:lang w:bidi="ar"/>
                <w14:textFill>
                  <w14:solidFill>
                    <w14:schemeClr w14:val="tx1"/>
                  </w14:solidFill>
                </w14:textFill>
              </w:rPr>
              <w:t>车辆</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0"/>
                <w:szCs w:val="20"/>
                <w:highlight w:val="none"/>
                <w:lang w:bidi="ar"/>
                <w14:textFill>
                  <w14:solidFill>
                    <w14:schemeClr w14:val="tx1"/>
                  </w14:solidFill>
                </w14:textFill>
              </w:rPr>
              <w:t>适</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用于</w:t>
            </w:r>
            <w:r>
              <w:rPr>
                <w:rFonts w:hint="eastAsia" w:ascii="宋体" w:hAnsi="宋体" w:eastAsia="宋体" w:cs="宋体"/>
                <w:color w:val="000000" w:themeColor="text1"/>
                <w:kern w:val="0"/>
                <w:sz w:val="20"/>
                <w:szCs w:val="20"/>
                <w:highlight w:val="none"/>
                <w:lang w:bidi="ar"/>
                <w14:textFill>
                  <w14:solidFill>
                    <w14:schemeClr w14:val="tx1"/>
                  </w14:solidFill>
                </w14:textFill>
              </w:rPr>
              <w:t>城市</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道路</w:t>
            </w:r>
            <w:r>
              <w:rPr>
                <w:rFonts w:hint="eastAsia" w:ascii="宋体" w:hAnsi="宋体" w:eastAsia="宋体" w:cs="宋体"/>
                <w:color w:val="000000" w:themeColor="text1"/>
                <w:kern w:val="0"/>
                <w:sz w:val="20"/>
                <w:szCs w:val="20"/>
                <w:highlight w:val="none"/>
                <w:lang w:bidi="ar"/>
                <w14:textFill>
                  <w14:solidFill>
                    <w14:schemeClr w14:val="tx1"/>
                  </w14:solidFill>
                </w14:textFill>
              </w:rPr>
              <w:t>、广场</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机场、码头、桥梁等路面清洁</w:t>
            </w:r>
            <w:r>
              <w:rPr>
                <w:rFonts w:hint="eastAsia" w:ascii="宋体" w:hAnsi="宋体" w:eastAsia="宋体" w:cs="宋体"/>
                <w:color w:val="000000" w:themeColor="text1"/>
                <w:kern w:val="0"/>
                <w:sz w:val="20"/>
                <w:szCs w:val="20"/>
                <w:highlight w:val="none"/>
                <w:lang w:bidi="ar"/>
                <w14:textFill>
                  <w14:solidFill>
                    <w14:schemeClr w14:val="tx1"/>
                  </w14:solidFill>
                </w14:textFill>
              </w:rPr>
              <w:t>作业，也可用于</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路面洒水降尘、保湿、园林绿化浇灌以及应急</w:t>
            </w:r>
            <w:r>
              <w:rPr>
                <w:rFonts w:hint="eastAsia" w:ascii="宋体" w:hAnsi="宋体" w:eastAsia="宋体" w:cs="宋体"/>
                <w:color w:val="000000" w:themeColor="text1"/>
                <w:kern w:val="0"/>
                <w:sz w:val="20"/>
                <w:szCs w:val="20"/>
                <w:highlight w:val="none"/>
                <w:lang w:bidi="ar"/>
                <w14:textFill>
                  <w14:solidFill>
                    <w14:schemeClr w14:val="tx1"/>
                  </w14:solidFill>
                </w14:textFill>
              </w:rPr>
              <w:t>消防和非饮用水的运输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等</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p>
          <w:p w14:paraId="1EFBAAE0">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2.2</w:t>
            </w:r>
            <w:r>
              <w:rPr>
                <w:rFonts w:hint="default" w:ascii="宋体" w:hAnsi="宋体" w:eastAsia="宋体" w:cs="宋体"/>
                <w:color w:val="000000" w:themeColor="text1"/>
                <w:kern w:val="0"/>
                <w:sz w:val="20"/>
                <w:szCs w:val="20"/>
                <w:highlight w:val="none"/>
                <w:lang w:bidi="ar"/>
                <w14:textFill>
                  <w14:solidFill>
                    <w14:schemeClr w14:val="tx1"/>
                  </w14:solidFill>
                </w14:textFill>
              </w:rPr>
              <w:t>罐体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选用优质碳钢</w:t>
            </w:r>
            <w:r>
              <w:rPr>
                <w:rFonts w:hint="eastAsia" w:ascii="宋体" w:hAnsi="宋体" w:eastAsia="宋体" w:cs="宋体"/>
                <w:color w:val="000000" w:themeColor="text1"/>
                <w:kern w:val="0"/>
                <w:sz w:val="20"/>
                <w:szCs w:val="20"/>
                <w:highlight w:val="none"/>
                <w:lang w:bidi="ar"/>
                <w14:textFill>
                  <w14:solidFill>
                    <w14:schemeClr w14:val="tx1"/>
                  </w14:solidFill>
                </w14:textFill>
              </w:rPr>
              <w:t>，采用自动化罐体焊接生产线，经卷板抱罐焊接而成</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default" w:ascii="宋体" w:hAnsi="宋体" w:eastAsia="宋体" w:cs="宋体"/>
                <w:color w:val="000000" w:themeColor="text1"/>
                <w:kern w:val="0"/>
                <w:sz w:val="20"/>
                <w:szCs w:val="20"/>
                <w:highlight w:val="none"/>
                <w:lang w:bidi="ar"/>
                <w14:textFill>
                  <w14:solidFill>
                    <w14:schemeClr w14:val="tx1"/>
                  </w14:solidFill>
                </w14:textFill>
              </w:rPr>
              <w:t>罐体焊接质量可靠，使用寿命长。</w:t>
            </w:r>
          </w:p>
          <w:p w14:paraId="12698ABA">
            <w:pPr>
              <w:widowControl/>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2.3</w:t>
            </w:r>
            <w:r>
              <w:rPr>
                <w:rFonts w:hint="eastAsia" w:ascii="宋体" w:hAnsi="宋体" w:eastAsia="宋体" w:cs="宋体"/>
                <w:color w:val="000000" w:themeColor="text1"/>
                <w:kern w:val="0"/>
                <w:sz w:val="20"/>
                <w:szCs w:val="20"/>
                <w:highlight w:val="none"/>
                <w:lang w:bidi="ar"/>
                <w14:textFill>
                  <w14:solidFill>
                    <w14:schemeClr w14:val="tx1"/>
                  </w14:solidFill>
                </w14:textFill>
              </w:rPr>
              <w:t>罐体内部</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0"/>
                <w:szCs w:val="20"/>
                <w:highlight w:val="none"/>
                <w:lang w:bidi="ar"/>
                <w14:textFill>
                  <w14:solidFill>
                    <w14:schemeClr w14:val="tx1"/>
                  </w14:solidFill>
                </w14:textFill>
              </w:rPr>
              <w:t>设置防波板，减小液体波动对罐体冲击；罐体</w:t>
            </w:r>
            <w:r>
              <w:rPr>
                <w:rFonts w:hint="default" w:ascii="宋体" w:hAnsi="宋体" w:eastAsia="宋体" w:cs="宋体"/>
                <w:color w:val="000000" w:themeColor="text1"/>
                <w:kern w:val="0"/>
                <w:sz w:val="20"/>
                <w:szCs w:val="20"/>
                <w:highlight w:val="none"/>
                <w:lang w:bidi="ar"/>
                <w14:textFill>
                  <w14:solidFill>
                    <w14:schemeClr w14:val="tx1"/>
                  </w14:solidFill>
                </w14:textFill>
              </w:rPr>
              <w:t>上</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开有透气孔，使罐内气压与外界平衡；罐内</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设有溢流管，既能保证水加满时自动溢流，给操作人员提示，又能使罐内与大气相通，避免罐内因出水而形成负压。</w:t>
            </w:r>
          </w:p>
          <w:p w14:paraId="7C1DF384">
            <w:pPr>
              <w:keepNext w:val="0"/>
              <w:keepLines w:val="0"/>
              <w:widowControl/>
              <w:suppressLineNumbers w:val="0"/>
              <w:jc w:val="left"/>
              <w:textAlignment w:val="center"/>
              <w:rPr>
                <w:rFonts w:hint="eastAsia" w:ascii="宋体" w:hAnsi="宋体" w:eastAsia="宋体" w:cs="宋体"/>
                <w:color w:val="000000" w:themeColor="text1"/>
                <w:kern w:val="0"/>
                <w:sz w:val="20"/>
                <w:szCs w:val="20"/>
                <w:highlight w:val="none"/>
                <w:lang w:eastAsia="zh-CN"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2.4</w:t>
            </w:r>
            <w:r>
              <w:rPr>
                <w:rFonts w:hint="default" w:ascii="宋体" w:hAnsi="宋体" w:eastAsia="宋体" w:cs="宋体"/>
                <w:color w:val="000000" w:themeColor="text1"/>
                <w:kern w:val="0"/>
                <w:sz w:val="20"/>
                <w:szCs w:val="20"/>
                <w:highlight w:val="none"/>
                <w:lang w:bidi="ar"/>
                <w14:textFill>
                  <w14:solidFill>
                    <w14:schemeClr w14:val="tx1"/>
                  </w14:solidFill>
                </w14:textFill>
              </w:rPr>
              <w:t>罐体</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0"/>
                <w:szCs w:val="20"/>
                <w:highlight w:val="none"/>
                <w:lang w:bidi="ar"/>
                <w14:textFill>
                  <w14:solidFill>
                    <w14:schemeClr w14:val="tx1"/>
                  </w14:solidFill>
                </w14:textFill>
              </w:rPr>
              <w:t>设置低水位报警系统，具有自动报警功能提醒操作人员，防止水泵因为缺水而损坏</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p>
          <w:p w14:paraId="4DB6ABAF">
            <w:pPr>
              <w:pStyle w:val="2"/>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2.5</w:t>
            </w:r>
            <w:r>
              <w:rPr>
                <w:rStyle w:val="34"/>
                <w:color w:val="000000" w:themeColor="text1"/>
                <w:highlight w:val="none"/>
                <w:lang w:val="en-US" w:eastAsia="zh-CN" w:bidi="ar"/>
                <w14:textFill>
                  <w14:solidFill>
                    <w14:schemeClr w14:val="tx1"/>
                  </w14:solidFill>
                </w14:textFill>
              </w:rPr>
              <w:t>需配有高压手持喷枪，用于清洗较脏的油污地面。</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39C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3B4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0DD">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1979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D9B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6AA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6立方储料式沥青路面养护车（18t）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7194">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1、基本参数</w:t>
            </w:r>
          </w:p>
          <w:p w14:paraId="35751517">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0"/>
                <w:szCs w:val="20"/>
                <w:highlight w:val="none"/>
                <w:vertAlign w:val="baseline"/>
                <w14:textFill>
                  <w14:solidFill>
                    <w14:schemeClr w14:val="tx1"/>
                  </w14:solidFill>
                </w14:textFill>
              </w:rPr>
              <w:t>底盘</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二类汽车底盘</w:t>
            </w:r>
          </w:p>
          <w:p w14:paraId="59B0AA1F">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0"/>
                <w:szCs w:val="20"/>
                <w:highlight w:val="none"/>
                <w:vertAlign w:val="baseline"/>
                <w14:textFill>
                  <w14:solidFill>
                    <w14:schemeClr w14:val="tx1"/>
                  </w14:solidFill>
                </w14:textFill>
              </w:rPr>
              <w:t>燃</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0"/>
                <w:szCs w:val="20"/>
                <w:highlight w:val="none"/>
                <w:vertAlign w:val="baseline"/>
                <w14:textFill>
                  <w14:solidFill>
                    <w14:schemeClr w14:val="tx1"/>
                  </w14:solidFill>
                </w14:textFill>
              </w:rPr>
              <w:t>类型</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柴油</w:t>
            </w:r>
          </w:p>
          <w:p w14:paraId="43D121BE">
            <w:pPr>
              <w:jc w:val="left"/>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★1.3</w:t>
            </w:r>
            <w:r>
              <w:rPr>
                <w:rFonts w:hint="eastAsia" w:ascii="宋体" w:hAnsi="宋体" w:eastAsia="宋体" w:cs="宋体"/>
                <w:color w:val="000000" w:themeColor="text1"/>
                <w:sz w:val="20"/>
                <w:szCs w:val="20"/>
                <w:highlight w:val="none"/>
                <w:vertAlign w:val="baseline"/>
                <w14:textFill>
                  <w14:solidFill>
                    <w14:schemeClr w14:val="tx1"/>
                  </w14:solidFill>
                </w14:textFill>
              </w:rPr>
              <w:t>外形尺寸</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长</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宽</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高</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kern w:val="0"/>
                <w:sz w:val="20"/>
                <w:szCs w:val="20"/>
                <w:highlight w:val="none"/>
                <w:lang w:bidi="ar"/>
                <w14:textFill>
                  <w14:solidFill>
                    <w14:schemeClr w14:val="tx1"/>
                  </w14:solidFill>
                </w14:textFill>
              </w:rPr>
              <w:t>mm</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8230×2</w:t>
            </w:r>
            <w:r>
              <w:rPr>
                <w:rFonts w:hint="eastAsia" w:ascii="宋体" w:hAnsi="宋体" w:eastAsia="宋体" w:cs="宋体"/>
                <w:color w:val="000000" w:themeColor="text1"/>
                <w:sz w:val="20"/>
                <w:szCs w:val="20"/>
                <w:highlight w:val="none"/>
                <w:lang w:val="en-US" w:eastAsia="zh-CN"/>
                <w14:textFill>
                  <w14:solidFill>
                    <w14:schemeClr w14:val="tx1"/>
                  </w14:solidFill>
                </w14:textFill>
              </w:rPr>
              <w:t>47</w:t>
            </w:r>
            <w:r>
              <w:rPr>
                <w:rFonts w:hint="eastAsia" w:ascii="宋体" w:hAnsi="宋体" w:eastAsia="宋体" w:cs="宋体"/>
                <w:color w:val="000000" w:themeColor="text1"/>
                <w:sz w:val="20"/>
                <w:szCs w:val="20"/>
                <w:highlight w:val="none"/>
                <w14:textFill>
                  <w14:solidFill>
                    <w14:schemeClr w14:val="tx1"/>
                  </w14:solidFill>
                </w14:textFill>
              </w:rPr>
              <w:t>0×3230</w:t>
            </w:r>
          </w:p>
          <w:p w14:paraId="2D38A5DE">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▲1.4</w:t>
            </w:r>
            <w:r>
              <w:rPr>
                <w:rFonts w:hint="eastAsia" w:ascii="宋体" w:hAnsi="宋体" w:eastAsia="宋体" w:cs="宋体"/>
                <w:color w:val="000000" w:themeColor="text1"/>
                <w:sz w:val="20"/>
                <w:szCs w:val="20"/>
                <w:highlight w:val="none"/>
                <w:vertAlign w:val="baseline"/>
                <w14:textFill>
                  <w14:solidFill>
                    <w14:schemeClr w14:val="tx1"/>
                  </w14:solidFill>
                </w14:textFill>
              </w:rPr>
              <w:t>总质量</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kg</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≥18000</w:t>
            </w:r>
          </w:p>
          <w:p w14:paraId="753D7432">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0"/>
                <w:szCs w:val="20"/>
                <w:highlight w:val="none"/>
                <w:vertAlign w:val="baseline"/>
                <w14:textFill>
                  <w14:solidFill>
                    <w14:schemeClr w14:val="tx1"/>
                  </w14:solidFill>
                </w14:textFill>
              </w:rPr>
              <w:t>额定载质量</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kg</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≥5500</w:t>
            </w:r>
          </w:p>
          <w:p w14:paraId="5323F74A">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1.6</w:t>
            </w:r>
            <w:r>
              <w:rPr>
                <w:rFonts w:hint="eastAsia" w:ascii="宋体" w:hAnsi="宋体" w:eastAsia="宋体" w:cs="宋体"/>
                <w:color w:val="000000" w:themeColor="text1"/>
                <w:sz w:val="20"/>
                <w:szCs w:val="20"/>
                <w:highlight w:val="none"/>
                <w:vertAlign w:val="baseline"/>
                <w14:textFill>
                  <w14:solidFill>
                    <w14:schemeClr w14:val="tx1"/>
                  </w14:solidFill>
                </w14:textFill>
              </w:rPr>
              <w:t>整备质量</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kg</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≥11000</w:t>
            </w:r>
          </w:p>
          <w:p w14:paraId="2C39512E">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0"/>
                <w:szCs w:val="20"/>
                <w:highlight w:val="none"/>
                <w:vertAlign w:val="baseline"/>
                <w14:textFill>
                  <w14:solidFill>
                    <w14:schemeClr w14:val="tx1"/>
                  </w14:solidFill>
                </w14:textFill>
              </w:rPr>
              <w:t>轴距</w:t>
            </w:r>
            <w:r>
              <w:rPr>
                <w:rFonts w:hint="eastAsia" w:ascii="宋体" w:hAnsi="宋体" w:eastAsia="宋体" w:cs="宋体"/>
                <w:color w:val="000000" w:themeColor="text1"/>
                <w:kern w:val="0"/>
                <w:sz w:val="20"/>
                <w:szCs w:val="20"/>
                <w:highlight w:val="none"/>
                <w:lang w:bidi="ar"/>
                <w14:textFill>
                  <w14:solidFill>
                    <w14:schemeClr w14:val="tx1"/>
                  </w14:solidFill>
                </w14:textFill>
              </w:rPr>
              <w:t>（mm）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≥4500</w:t>
            </w:r>
          </w:p>
          <w:p w14:paraId="1D080EF5">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▲1.8</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前悬/后悬（mm）：</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1</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260</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/1</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690</w:t>
            </w:r>
          </w:p>
          <w:p w14:paraId="2005E8B5">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1.9</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接近角/离去角（</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/1</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0</w:t>
            </w:r>
          </w:p>
          <w:p w14:paraId="415BE89C">
            <w:pPr>
              <w:numPr>
                <w:ilvl w:val="0"/>
                <w:numId w:val="0"/>
              </w:numPr>
              <w:jc w:val="left"/>
              <w:rPr>
                <w:rFonts w:hint="eastAsia" w:ascii="Calibri" w:hAnsi="Calibri" w:eastAsia="宋体" w:cs="Times New Roman"/>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721FAA09">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1.10保温料仓</w:t>
            </w:r>
            <w:r>
              <w:rPr>
                <w:rFonts w:hint="eastAsia" w:ascii="宋体" w:hAnsi="宋体" w:eastAsia="宋体" w:cs="宋体"/>
                <w:color w:val="000000" w:themeColor="text1"/>
                <w:sz w:val="20"/>
                <w:szCs w:val="20"/>
                <w:highlight w:val="none"/>
                <w:vertAlign w:val="baseline"/>
                <w14:textFill>
                  <w14:solidFill>
                    <w14:schemeClr w14:val="tx1"/>
                  </w14:solidFill>
                </w14:textFill>
              </w:rPr>
              <w:t>容积</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≥6</w:t>
            </w:r>
          </w:p>
          <w:p w14:paraId="05E49501">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1.11保温效果</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降温</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（℃/h）</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w:t>
            </w:r>
          </w:p>
          <w:p w14:paraId="669BDB58">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1.12沥青罐容积</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L</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w:t>
            </w:r>
            <w:r>
              <w:rPr>
                <w:rFonts w:hint="eastAsia" w:ascii="宋体" w:hAnsi="宋体" w:eastAsia="宋体" w:cs="宋体"/>
                <w:color w:val="000000" w:themeColor="text1"/>
                <w:kern w:val="2"/>
                <w:sz w:val="20"/>
                <w:szCs w:val="20"/>
                <w:highlight w:val="none"/>
                <w:vertAlign w:val="baseline"/>
                <w:lang w:val="en-US" w:eastAsia="zh-CN" w:bidi="ar-SA"/>
                <w14:textFill>
                  <w14:solidFill>
                    <w14:schemeClr w14:val="tx1"/>
                  </w14:solidFill>
                </w14:textFill>
              </w:rPr>
              <w:t>200</w:t>
            </w:r>
          </w:p>
          <w:p w14:paraId="4E523091">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1.13柴油清洗箱容积</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L</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w:t>
            </w:r>
            <w:r>
              <w:rPr>
                <w:rFonts w:hint="eastAsia" w:ascii="宋体" w:hAnsi="宋体" w:eastAsia="宋体" w:cs="宋体"/>
                <w:color w:val="000000" w:themeColor="text1"/>
                <w:kern w:val="2"/>
                <w:sz w:val="20"/>
                <w:szCs w:val="20"/>
                <w:highlight w:val="none"/>
                <w:vertAlign w:val="baseline"/>
                <w:lang w:val="en-US" w:eastAsia="zh-CN" w:bidi="ar-SA"/>
                <w14:textFill>
                  <w14:solidFill>
                    <w14:schemeClr w14:val="tx1"/>
                  </w14:solidFill>
                </w14:textFill>
              </w:rPr>
              <w:t>50</w:t>
            </w:r>
          </w:p>
          <w:p w14:paraId="7CE500B3">
            <w:pPr>
              <w:jc w:val="left"/>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1.14废料回收箱容积</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m³</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≥1.2（2×0.6）</w:t>
            </w:r>
          </w:p>
          <w:p w14:paraId="08538752">
            <w:pPr>
              <w:jc w:val="left"/>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1.15发动机功率（kw）:≥160</w:t>
            </w:r>
          </w:p>
          <w:p w14:paraId="30803779">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（以上1.15数据以制造商提供的技术规格书内容为准）</w:t>
            </w:r>
          </w:p>
          <w:p w14:paraId="18125A2B">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2、性能说明：</w:t>
            </w:r>
          </w:p>
          <w:p w14:paraId="16B2ED26">
            <w:pPr>
              <w:jc w:val="left"/>
              <w:rPr>
                <w:rFonts w:hint="eastAsia" w:ascii="宋体" w:hAnsi="宋体" w:eastAsia="宋体" w:cs="宋体"/>
                <w:color w:val="000000" w:themeColor="text1"/>
                <w:sz w:val="20"/>
                <w:szCs w:val="20"/>
                <w:highlight w:val="none"/>
                <w:vertAlign w:val="baseli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2.1需采用柴油燃烧器及电加热两种方式实现沥青混合料的加热及保温，需具备路面切割、破碎、乳化沥青喷洒、出料、压实、废料存储等多种功能，操作方便，可广泛应用于高速公路、国省干线、市政道路沥青路面坑槽病害快速修补及日常养护。</w:t>
            </w:r>
          </w:p>
          <w:p w14:paraId="65572197">
            <w:pPr>
              <w:numPr>
                <w:ilvl w:val="0"/>
                <w:numId w:val="0"/>
              </w:numPr>
              <w:spacing w:line="240" w:lineRule="auto"/>
              <w:ind w:leftChars="0"/>
              <w:rPr>
                <w:rFonts w:hint="eastAsia" w:ascii="Calibri" w:hAnsi="Calibri" w:eastAsia="宋体" w:cs="Times New Roman"/>
                <w:bCs/>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2.2 需采用V型大料仓设计，延长作业时间；料仓门液压需开启，操作方便快捷；需采用陶瓷纤维隔热层，保温效果好</w:t>
            </w:r>
          </w:p>
          <w:p w14:paraId="582694BC">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2.3需采用柴油燃烧器和电热棒加热，加热速度快，节能环保。</w:t>
            </w:r>
          </w:p>
          <w:p w14:paraId="2FD9164B">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2.4电加热乳化沥青喷洒系统，需采用自动伸缩喷洒管，并具备柴油及气压清洗功能。</w:t>
            </w:r>
          </w:p>
          <w:p w14:paraId="4C198196">
            <w:pPr>
              <w:keepNext w:val="0"/>
              <w:keepLines w:val="0"/>
              <w:widowControl/>
              <w:suppressLineNumbers w:val="0"/>
              <w:jc w:val="left"/>
              <w:textAlignment w:val="cente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2.5需变螺距螺旋出料，并配有破拱装置，有效增加出料速度，可使出料无死角。</w:t>
            </w:r>
          </w:p>
          <w:p w14:paraId="0E97A7F5">
            <w:pPr>
              <w:numPr>
                <w:ilvl w:val="0"/>
                <w:numId w:val="0"/>
              </w:numPr>
              <w:spacing w:line="240" w:lineRule="auto"/>
              <w:ind w:leftChars="0"/>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2.6车辆必须具备冷料加热功能，可将冷态散装沥青混合料块从0℃加热到145-160℃并保温。</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9D1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DA5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B0A2">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66D8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D84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C2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高空作业车</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（45米）</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10C5">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1、基本参数</w:t>
            </w:r>
          </w:p>
          <w:p w14:paraId="46E2A376">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0"/>
                <w:szCs w:val="20"/>
                <w:highlight w:val="none"/>
                <w:vertAlign w:val="baseline"/>
                <w14:textFill>
                  <w14:solidFill>
                    <w14:schemeClr w14:val="tx1"/>
                  </w14:solidFill>
                </w14:textFill>
              </w:rPr>
              <w:t>底盘</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二类汽车底盘</w:t>
            </w:r>
          </w:p>
          <w:p w14:paraId="1BEB0F2D">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0"/>
                <w:szCs w:val="20"/>
                <w:highlight w:val="none"/>
                <w:vertAlign w:val="baseline"/>
                <w14:textFill>
                  <w14:solidFill>
                    <w14:schemeClr w14:val="tx1"/>
                  </w14:solidFill>
                </w14:textFill>
              </w:rPr>
              <w:t>燃</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0"/>
                <w:szCs w:val="20"/>
                <w:highlight w:val="none"/>
                <w:vertAlign w:val="baseline"/>
                <w14:textFill>
                  <w14:solidFill>
                    <w14:schemeClr w14:val="tx1"/>
                  </w14:solidFill>
                </w14:textFill>
              </w:rPr>
              <w:t>类型</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柴油</w:t>
            </w:r>
          </w:p>
          <w:p w14:paraId="36FE54FB">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★1.3</w:t>
            </w:r>
            <w:r>
              <w:rPr>
                <w:rFonts w:hint="eastAsia" w:ascii="宋体" w:hAnsi="宋体" w:eastAsia="宋体" w:cs="宋体"/>
                <w:color w:val="000000" w:themeColor="text1"/>
                <w:sz w:val="20"/>
                <w:szCs w:val="20"/>
                <w:highlight w:val="none"/>
                <w:vertAlign w:val="baseline"/>
                <w14:textFill>
                  <w14:solidFill>
                    <w14:schemeClr w14:val="tx1"/>
                  </w14:solidFill>
                </w14:textFill>
              </w:rPr>
              <w:t>外形尺寸</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长</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宽</w:t>
            </w:r>
            <w:r>
              <w:rPr>
                <w:rFonts w:hint="eastAsia" w:ascii="宋体" w:hAnsi="宋体" w:eastAsia="宋体" w:cs="宋体"/>
                <w:color w:val="000000" w:themeColor="text1"/>
                <w:sz w:val="20"/>
                <w:szCs w:val="20"/>
                <w:highlight w:val="none"/>
                <w:vertAlign w:val="baseline"/>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高</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kern w:val="0"/>
                <w:sz w:val="20"/>
                <w:szCs w:val="20"/>
                <w:highlight w:val="none"/>
                <w:lang w:bidi="ar"/>
                <w14:textFill>
                  <w14:solidFill>
                    <w14:schemeClr w14:val="tx1"/>
                  </w14:solidFill>
                </w14:textFill>
              </w:rPr>
              <w:t>mm</w:t>
            </w:r>
            <w:r>
              <w:rPr>
                <w:rFonts w:hint="eastAsia" w:ascii="宋体" w:hAnsi="宋体" w:eastAsia="宋体" w:cs="宋体"/>
                <w:color w:val="000000" w:themeColor="text1"/>
                <w:kern w:val="0"/>
                <w:sz w:val="20"/>
                <w:szCs w:val="20"/>
                <w:highlight w:val="none"/>
                <w:lang w:eastAsia="zh-CN" w:bidi="ar"/>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≤9050</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2550</w:t>
            </w:r>
            <w:r>
              <w:rPr>
                <w:rFonts w:hint="eastAsia" w:ascii="宋体" w:hAnsi="宋体" w:eastAsia="宋体" w:cs="宋体"/>
                <w:color w:val="000000" w:themeColor="text1"/>
                <w:kern w:val="0"/>
                <w:sz w:val="20"/>
                <w:szCs w:val="20"/>
                <w:highlight w:val="none"/>
                <w:lang w:bidi="ar"/>
                <w14:textFill>
                  <w14:solidFill>
                    <w14:schemeClr w14:val="tx1"/>
                  </w14:solidFill>
                </w14:textFill>
              </w:rPr>
              <w:t>×</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3580</w:t>
            </w:r>
          </w:p>
          <w:p w14:paraId="6B6880CA">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0"/>
                <w:szCs w:val="20"/>
                <w:highlight w:val="none"/>
                <w:vertAlign w:val="baseline"/>
                <w14:textFill>
                  <w14:solidFill>
                    <w14:schemeClr w14:val="tx1"/>
                  </w14:solidFill>
                </w14:textFill>
              </w:rPr>
              <w:t>总质量</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kg</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≤14100</w:t>
            </w:r>
          </w:p>
          <w:p w14:paraId="00B7753A">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1.6</w:t>
            </w:r>
            <w:r>
              <w:rPr>
                <w:rFonts w:hint="eastAsia" w:ascii="宋体" w:hAnsi="宋体" w:eastAsia="宋体" w:cs="宋体"/>
                <w:color w:val="000000" w:themeColor="text1"/>
                <w:sz w:val="20"/>
                <w:szCs w:val="20"/>
                <w:highlight w:val="none"/>
                <w:vertAlign w:val="baseline"/>
                <w14:textFill>
                  <w14:solidFill>
                    <w14:schemeClr w14:val="tx1"/>
                  </w14:solidFill>
                </w14:textFill>
              </w:rPr>
              <w:t>整备质量</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kg</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≥13860</w:t>
            </w:r>
          </w:p>
          <w:p w14:paraId="21D91FDC">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0"/>
                <w:szCs w:val="20"/>
                <w:highlight w:val="none"/>
                <w:vertAlign w:val="baseline"/>
                <w14:textFill>
                  <w14:solidFill>
                    <w14:schemeClr w14:val="tx1"/>
                  </w14:solidFill>
                </w14:textFill>
              </w:rPr>
              <w:t>轴距</w:t>
            </w:r>
            <w:r>
              <w:rPr>
                <w:rFonts w:hint="eastAsia" w:ascii="宋体" w:hAnsi="宋体" w:eastAsia="宋体" w:cs="宋体"/>
                <w:color w:val="000000" w:themeColor="text1"/>
                <w:kern w:val="0"/>
                <w:sz w:val="20"/>
                <w:szCs w:val="20"/>
                <w:highlight w:val="none"/>
                <w:lang w:bidi="ar"/>
                <w14:textFill>
                  <w14:solidFill>
                    <w14:schemeClr w14:val="tx1"/>
                  </w14:solidFill>
                </w14:textFill>
              </w:rPr>
              <w:t>（mm）</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4500</w:t>
            </w:r>
          </w:p>
          <w:p w14:paraId="15B47860">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▲1.8</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前悬/后悬（mm）：</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≥1200</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2400</w:t>
            </w:r>
          </w:p>
          <w:p w14:paraId="2664BD22">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★1.9</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接近角/离去角（</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0"/>
                <w:szCs w:val="20"/>
                <w:highlight w:val="none"/>
                <w:vertAlign w:val="baseline"/>
                <w:lang w:eastAsia="zh-CN"/>
                <w14:textFill>
                  <w14:solidFill>
                    <w14:schemeClr w14:val="tx1"/>
                  </w14:solidFill>
                </w14:textFill>
              </w:rPr>
              <w:t>/</w:t>
            </w: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10</w:t>
            </w:r>
          </w:p>
          <w:p w14:paraId="33C539E9">
            <w:pPr>
              <w:numPr>
                <w:ilvl w:val="0"/>
                <w:numId w:val="0"/>
              </w:numPr>
              <w:jc w:val="left"/>
              <w:rPr>
                <w:rFonts w:hint="eastAsia" w:ascii="Calibri" w:hAnsi="Calibri" w:eastAsia="宋体" w:cs="Times New Roman"/>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13F47EB6">
            <w:pPr>
              <w:jc w:val="left"/>
              <w:rPr>
                <w:rFonts w:hint="eastAsia" w:ascii="Calibri" w:hAnsi="Calibri" w:eastAsia="宋体" w:cs="Times New Roman"/>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▲1.9</w:t>
            </w:r>
            <w:r>
              <w:rPr>
                <w:rFonts w:hint="eastAsia" w:ascii="宋体" w:hAnsi="宋体" w:eastAsia="宋体" w:cs="宋体"/>
                <w:color w:val="000000" w:themeColor="text1"/>
                <w:sz w:val="20"/>
                <w:szCs w:val="20"/>
                <w:highlight w:val="none"/>
                <w:lang w:val="en-US" w:eastAsia="zh-CN"/>
                <w14:textFill>
                  <w14:solidFill>
                    <w14:schemeClr w14:val="tx1"/>
                  </w14:solidFill>
                </w14:textFill>
              </w:rPr>
              <w:t>发动机功率（kw）:≥140</w:t>
            </w:r>
          </w:p>
          <w:p w14:paraId="420A6554">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1.10最大作业高度（m）：≥40</w:t>
            </w:r>
          </w:p>
          <w:p w14:paraId="40378531">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1.11最大作业幅度（m）：≥25</w:t>
            </w:r>
          </w:p>
          <w:p w14:paraId="6D95B9E3">
            <w:pPr>
              <w:jc w:val="left"/>
              <w:rPr>
                <w:rFonts w:hint="default"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（以上1.9数据以制造商提供的技术规格书内容为准）</w:t>
            </w:r>
          </w:p>
          <w:p w14:paraId="583D55F4">
            <w:pPr>
              <w:numPr>
                <w:ilvl w:val="0"/>
                <w:numId w:val="0"/>
              </w:num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2、性能说明：</w:t>
            </w:r>
          </w:p>
          <w:p w14:paraId="7A41EB75">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2.1整车需能实现极限位置减速，工作平台能实现自动调平，有平台超载限制功能。能根据不同载荷和支腿分级实现不同的幅度限制。</w:t>
            </w:r>
          </w:p>
          <w:p w14:paraId="20BD5A88">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2.2下车处、工作平台处以及遥控器处需设置紧急停止装置，用于紧急停止，保障作业安全。</w:t>
            </w:r>
          </w:p>
          <w:p w14:paraId="03BCD0AB">
            <w:pPr>
              <w:jc w:val="left"/>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2.3需配备应急电动泵，当底盘发动机或液压主泵发生故障时，可将工作人员安全送回到地面。</w:t>
            </w:r>
          </w:p>
          <w:p w14:paraId="5C5B0FA0">
            <w:pPr>
              <w:keepNext w:val="0"/>
              <w:keepLines w:val="0"/>
              <w:widowControl/>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2.4需具备分级支腿作业功能，可根据水平支腿状态自动控制幅度限制，用于狭窄道路的有限空间内高空作业。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99B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B2E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298B">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3C14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1DB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4726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燃油多用途货车（园林碎枝车）</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799">
            <w:pPr>
              <w:keepNext w:val="0"/>
              <w:keepLines w:val="0"/>
              <w:widowControl/>
              <w:numPr>
                <w:ilvl w:val="0"/>
                <w:numId w:val="11"/>
              </w:numPr>
              <w:suppressLineNumbers w:val="0"/>
              <w:jc w:val="left"/>
              <w:textAlignment w:val="center"/>
              <w:rPr>
                <w:rStyle w:val="34"/>
                <w:color w:val="000000" w:themeColor="text1"/>
                <w:highlight w:val="none"/>
                <w:lang w:val="en-US" w:eastAsia="zh-CN" w:bidi="ar"/>
                <w14:textFill>
                  <w14:solidFill>
                    <w14:schemeClr w14:val="tx1"/>
                  </w14:solidFill>
                </w14:textFill>
              </w:rPr>
            </w:pPr>
            <w:r>
              <w:rPr>
                <w:rStyle w:val="34"/>
                <w:color w:val="000000" w:themeColor="text1"/>
                <w:highlight w:val="none"/>
                <w:lang w:val="en-US" w:eastAsia="zh-CN" w:bidi="ar"/>
                <w14:textFill>
                  <w14:solidFill>
                    <w14:schemeClr w14:val="tx1"/>
                  </w14:solidFill>
                </w14:textFill>
              </w:rPr>
              <w:t>基本参数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1.1整车长度（mm）：≤5980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1.2整车宽度（mm）：≤2150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1.3★整车高度（mm）：≤2900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1.4总质量（kg）：≥4400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1.5整备质量（kg）：≤4100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1.6额定载质量（kg）：≥400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1.7★接近角（度）：≤16.0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1.8离去角（度）：≤16.0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1.9前悬（mm）：≤1150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1.10后悬（mm）：≤1870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1.11最高车速（km/h）：≥110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1.12轴距（mm）：≤3300</w:t>
            </w:r>
          </w:p>
          <w:p w14:paraId="595D6DEC">
            <w:pPr>
              <w:numPr>
                <w:ilvl w:val="0"/>
                <w:numId w:val="0"/>
              </w:numPr>
              <w:jc w:val="left"/>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1.13刀具最大旋转速度（r/min）：</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1950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1.14卸料方式：后推铲卸料</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1.15垃圾箱容积（m³）：</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8</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1.16最大处理能力（kg/h）：</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2200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1.17最大进料直径（mm）：</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220</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1.18最大进料速度（m/min）：</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32</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1.19粉碎装置举升角度（°）：</w:t>
            </w:r>
            <w:r>
              <w:rPr>
                <w:rStyle w:val="34"/>
                <w:rFonts w:hint="eastAsia"/>
                <w:color w:val="000000" w:themeColor="text1"/>
                <w:highlight w:val="none"/>
                <w:lang w:val="en-US" w:eastAsia="zh-CN" w:bidi="ar"/>
                <w14:textFill>
                  <w14:solidFill>
                    <w14:schemeClr w14:val="tx1"/>
                  </w14:solidFill>
                </w14:textFill>
              </w:rPr>
              <w:t>≥</w:t>
            </w:r>
            <w:r>
              <w:rPr>
                <w:rStyle w:val="34"/>
                <w:color w:val="000000" w:themeColor="text1"/>
                <w:highlight w:val="none"/>
                <w:lang w:val="en-US" w:eastAsia="zh-CN" w:bidi="ar"/>
                <w14:textFill>
                  <w14:solidFill>
                    <w14:schemeClr w14:val="tx1"/>
                  </w14:solidFill>
                </w14:textFill>
              </w:rPr>
              <w:t>63</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2、性能说明</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车辆需具有树枝树干等园林垃圾粉碎、收集、运输、卸料功能为一体，能满足日常园林垃圾就地及时粉碎减容、收集运输的需求，有效解决大量园林垃圾收运困难的问题，需提供车辆粉碎作业、收集存放、卸料的实物照片证明。</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2.2车辆后部需设有粉碎仓,安装有专用粉碎装置，粉碎仓外观需采用一体化成型设计，配置玻璃钢罩盖，方便操作维护。粉碎装置安装在托架上,四周密封，有效防止粉碎的木屑四处飞溅，保证作业安全性，降低作业噪声。</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2.3粉碎刀片需采用高韧性模具钢或更优材质，表面硬度高、内部韧性好、刀刃锋利，寿命长久，可实现树枝树干等园林垃圾的高效粉碎和收集。</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2.4车辆需设置有垃圾箱，用于木屑的收集、存放，降低园林垃圾转运成本。</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2.5需配有推铲结构，用于粉碎后的园林垃圾卸料作业。卸料时垃圾箱不用举升，大幅提高卸料作业安全性，卸料更干净，卸料速度快。</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2.6车辆后部进料口右侧需设有控制面板，用于车辆各作业功能操作及作业参数显示。操作设备进行粉碎作业时，可实现粉碎装置一键启动、停止作业功能。</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2.7为确保作业人员安全，在车辆粉碎装置进料口的左侧及右侧操作面板上需分别设置急停开关,用于紧急情况下停止作业，保障作业人员的人身安全。</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2.8粉碎仓前端面上需安装传感器传感器，用于检测垃圾箱内部粉碎后的物料储存情况及物料满箱报警。</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2.9车辆需配置压力传感器、转速传感器，实时监控刀辊的工作转速，马达及油缸的工作压力等作业参数，及时调整作业过程中作业控制策略和参数，提高产品的智能化水平。</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2.10需配备语音报警系统，在车辆驻车作业和行车运输时发出多种语音报警提示信息。</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2.11为方便在夜间或亮度不够的环境下作业，监视垃圾箱内部料位情况，垃圾箱内部需配有照明灯；为便于维护，粉碎仓内部配备工作灯。</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2.12车辆的电控系统在粉碎仓举升/下降、推铲推出/收回等工况下需设计各动作协同互联互锁可靠的安全控制程序，确保正常作业或误操作时保障设备及人身安全。</w:t>
            </w:r>
            <w:r>
              <w:rPr>
                <w:rStyle w:val="34"/>
                <w:color w:val="000000" w:themeColor="text1"/>
                <w:highlight w:val="none"/>
                <w:lang w:val="en-US" w:eastAsia="zh-CN" w:bidi="ar"/>
                <w14:textFill>
                  <w14:solidFill>
                    <w14:schemeClr w14:val="tx1"/>
                  </w14:solidFill>
                </w14:textFill>
              </w:rPr>
              <w:br w:type="textWrapping"/>
            </w:r>
            <w:r>
              <w:rPr>
                <w:rStyle w:val="34"/>
                <w:color w:val="000000" w:themeColor="text1"/>
                <w:highlight w:val="none"/>
                <w:lang w:val="en-US" w:eastAsia="zh-CN" w:bidi="ar"/>
                <w14:textFill>
                  <w14:solidFill>
                    <w14:schemeClr w14:val="tx1"/>
                  </w14:solidFill>
                </w14:textFill>
              </w:rPr>
              <w:t>2.13为确保操作人员和设备安全，在垃圾箱和粉碎装置安装托架之间需设有粉碎装置举升安全撑杆。车辆调试、检测及维修等作业时，保障人员与设备安全。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7AE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C7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96D3">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A7E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6C0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C1C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8m3智能一体整体移动式压缩式转运站</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FB96">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1.景观装配式一体化垃圾站外防护站房：</w:t>
            </w:r>
          </w:p>
          <w:p w14:paraId="3B1C806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（1）外防护站房结构形式：模块化装配式；</w:t>
            </w:r>
          </w:p>
          <w:p w14:paraId="77846833">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（2）外防护站房多功能集成：能将垃圾压缩功能、臭气处理功能、喷淋处理功能、控制功能、智慧环卫管理平台（远程控制系统、安全监控系统）等一体式集成；</w:t>
            </w:r>
          </w:p>
          <w:p w14:paraId="48D736AD">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（3）外防护站房外形尺寸：长≤10m，宽≤5m；高≤6.5m；</w:t>
            </w:r>
          </w:p>
          <w:p w14:paraId="55817ECF">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（4）外防护站房结构：立柱及框架采用高强度矩形钢管和方钢管焊接而成，立柱用型钢壁厚规格（国标）≥4mm，框架用型钢壁厚规格（国标）≥3mm；</w:t>
            </w:r>
          </w:p>
          <w:p w14:paraId="08FC710F">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（5）外防护站房外部防护结构：外部防护结构采用热镀锌板焊接加工而成，热镀锌板的板厚规格（国标）≥1.5mm；</w:t>
            </w:r>
          </w:p>
          <w:p w14:paraId="6ABCFC3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（6）外防护站房玻璃幕墙：玻璃幕墙采用黑色彩釉钢化玻璃或夹胶玻璃，玻璃总厚度规格（国标）≥10mm；</w:t>
            </w:r>
          </w:p>
          <w:p w14:paraId="385561B3">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（7）外防护站房卷帘门：采用深灰色铝型材卷帘门搭配安全遇阻停电机，卷帘门尺寸≥宽3600mm×高4900mm；</w:t>
            </w:r>
          </w:p>
          <w:p w14:paraId="7E2F9A89">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（8）外防护站房雨棚：外防护站房配置遮雨棚，雨棚顶部安装高强度耐力板，耐力板厚度规格（国标）≥8mm；</w:t>
            </w:r>
          </w:p>
          <w:p w14:paraId="63CE32F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（9）外防护站房顶部结构：顶部采用40方钢管焊接框架，附加双层防水隔热铝合金条纹装饰瓦，方钢管型材壁厚规格（国标）≥3mm；</w:t>
            </w:r>
          </w:p>
          <w:p w14:paraId="49D9D06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2.移动式垃圾压缩箱：</w:t>
            </w:r>
          </w:p>
          <w:p w14:paraId="3C7D3E6E">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（1）日处理能力（t）：≥10；</w:t>
            </w:r>
          </w:p>
          <w:p w14:paraId="776F645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Style w:val="34"/>
                <w:rFonts w:hint="eastAsia"/>
                <w:color w:val="000000" w:themeColor="text1"/>
                <w:highlight w:val="none"/>
                <w:lang w:val="en-US" w:eastAsia="zh-CN" w:bidi="ar"/>
                <w14:textFill>
                  <w14:solidFill>
                    <w14:schemeClr w14:val="tx1"/>
                  </w14:solidFill>
                </w14:textFill>
              </w:rPr>
              <w:t>（2）垃圾箱容量（m³）：≥8；</w:t>
            </w:r>
          </w:p>
          <w:p w14:paraId="6B8E7F8C">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（3）垃圾密实度（t/m³）：≥0.7；</w:t>
            </w:r>
          </w:p>
          <w:p w14:paraId="1734EA1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（4）设备作业噪音（dB）：≤70；</w:t>
            </w:r>
          </w:p>
          <w:p w14:paraId="3E3C5CB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（5）上料形式：翻斗式；</w:t>
            </w:r>
          </w:p>
          <w:p w14:paraId="5A4BD6C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（6）垃圾箱料斗容积（m³）：≥1.5；</w:t>
            </w:r>
          </w:p>
          <w:p w14:paraId="5D474D3D">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（7）垃圾箱受料仓容积（m³）：≥3；</w:t>
            </w:r>
          </w:p>
          <w:p w14:paraId="688942E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（8）压缩单次循环时间（s）：≤60；</w:t>
            </w:r>
          </w:p>
          <w:p w14:paraId="3783A87E">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Style w:val="34"/>
                <w:rFonts w:hint="eastAsia"/>
                <w:color w:val="000000" w:themeColor="text1"/>
                <w:highlight w:val="none"/>
                <w:lang w:val="en-US" w:eastAsia="zh-CN" w:bidi="ar"/>
                <w14:textFill>
                  <w14:solidFill>
                    <w14:schemeClr w14:val="tx1"/>
                  </w14:solidFill>
                </w14:textFill>
              </w:rPr>
              <w:t>（9）勾心高度（mm）：1570±5；</w:t>
            </w:r>
          </w:p>
          <w:p w14:paraId="7E5E6CE6">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（10）导轨宽度（mm）：1060～1065；</w:t>
            </w:r>
          </w:p>
          <w:p w14:paraId="54EBCA9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（11）压缩箱组成：垃圾压缩箱由上料装置、进料仓、压缩机构、压缩储料仓、卸料门、卸料门锁紧与开启机构、箱体轨道、液压系统及电气接口等部分组成；其中进料仓、压缩机构、压缩储料仓为联体结构。</w:t>
            </w:r>
          </w:p>
          <w:p w14:paraId="3E44416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（12）配套液压系统：</w:t>
            </w:r>
          </w:p>
          <w:p w14:paraId="4039DE24">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1）电机功率（kW）：≥5.5；</w:t>
            </w:r>
          </w:p>
          <w:p w14:paraId="45E6C717">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Style w:val="34"/>
                <w:rFonts w:hint="eastAsia"/>
                <w:color w:val="000000" w:themeColor="text1"/>
                <w:highlight w:val="none"/>
                <w:lang w:val="en-US" w:eastAsia="zh-CN" w:bidi="ar"/>
                <w14:textFill>
                  <w14:solidFill>
                    <w14:schemeClr w14:val="tx1"/>
                  </w14:solidFill>
                </w14:textFill>
              </w:rPr>
              <w:t>2）电机电压（V）：AC380V±10%、50HZ；</w:t>
            </w:r>
          </w:p>
          <w:p w14:paraId="4CD0840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3）理论工作压力（Mpa）：≥19；</w:t>
            </w:r>
          </w:p>
          <w:p w14:paraId="34ADAFDF">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3.喷淋降尘消杀系统：</w:t>
            </w:r>
          </w:p>
          <w:p w14:paraId="342C1AFE">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（1）总功率(kw):≥1.5；</w:t>
            </w:r>
          </w:p>
          <w:p w14:paraId="56C8BEC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（2）运行噪声(dB):≤70；</w:t>
            </w:r>
          </w:p>
          <w:p w14:paraId="7D7B9E7D">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（3）流量(L/min):≥8；</w:t>
            </w:r>
          </w:p>
          <w:p w14:paraId="50B06E54">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（4）喷淋主机:不锈钢喷淋箱+不锈钢喷淋钢管+自动加药系统+水位控制+缺水报警；</w:t>
            </w:r>
          </w:p>
          <w:p w14:paraId="7A6FCC03">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（5）与垃圾站配套使用。</w:t>
            </w:r>
          </w:p>
          <w:p w14:paraId="2D5C237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4.负压光氧除臭系统：</w:t>
            </w:r>
          </w:p>
          <w:p w14:paraId="15BA1EB7">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（1）总功率（kW）：≥3；</w:t>
            </w:r>
          </w:p>
          <w:p w14:paraId="087B128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（2）负压风量（m³/h）：≥3000；</w:t>
            </w:r>
          </w:p>
          <w:p w14:paraId="1AC619B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（3）气处理主机：钣金喷塑箱体，抗腐蚀、耐磨；</w:t>
            </w:r>
          </w:p>
          <w:p w14:paraId="69B0248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（4）与垃圾站配套使用。</w:t>
            </w:r>
          </w:p>
          <w:p w14:paraId="5CDEEAE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5.控制系统：</w:t>
            </w:r>
          </w:p>
          <w:p w14:paraId="1C866283">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（1）工作电压：（三相五线制）AC380V；</w:t>
            </w:r>
          </w:p>
          <w:p w14:paraId="0C45FC6E">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（2）控制电压：DC24V；</w:t>
            </w:r>
          </w:p>
          <w:p w14:paraId="3E1AA9D3">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（3）装机功率（kW）：≤30；</w:t>
            </w:r>
          </w:p>
          <w:p w14:paraId="6D6EB09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（4）智能控制系统：PLC自动控制；</w:t>
            </w:r>
          </w:p>
          <w:p w14:paraId="04FA1B3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（5）操作方式：按钮操作、触摸屏操作或遥控器操作；</w:t>
            </w:r>
          </w:p>
          <w:p w14:paraId="40F13F77">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（6）控制范围：液压系统、负压光氧除臭系统、喷淋降尘消杀系统、照明灯、广告灯、卷帘门、门禁、声光报警等其它配套装置；</w:t>
            </w:r>
          </w:p>
          <w:p w14:paraId="47F6D6C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（7）语音安全提示：设备动作时有安全语音提示；</w:t>
            </w:r>
          </w:p>
          <w:p w14:paraId="4BF48B74">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6.智慧环卫管理平台</w:t>
            </w:r>
          </w:p>
          <w:p w14:paraId="0F0212B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6.1、远程控制系统：</w:t>
            </w:r>
          </w:p>
          <w:p w14:paraId="716EC42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（1）工作电压：DC24V；</w:t>
            </w:r>
          </w:p>
          <w:p w14:paraId="0B1DF44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（2）软、硬件组成：智能网关、带485功能的设备；</w:t>
            </w:r>
          </w:p>
          <w:p w14:paraId="179F26D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（3）设备智能控制系统包含：实时数据查看、远程操作、报警信息自动发送至绑定手机；</w:t>
            </w:r>
          </w:p>
          <w:p w14:paraId="16B56492">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（4）远程控制：远程操作具有远程操作受控设备的功能；</w:t>
            </w:r>
          </w:p>
          <w:p w14:paraId="5777F4C6">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（5）数据统计：支持数据及统计图查阅，数据Excel表导出；</w:t>
            </w:r>
          </w:p>
          <w:p w14:paraId="5C4D62E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6.2、安全监控系统：</w:t>
            </w:r>
          </w:p>
          <w:p w14:paraId="216404D6">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（1）摄像机数量：≥1套；</w:t>
            </w:r>
          </w:p>
          <w:p w14:paraId="10D182F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（2）存储容量：≥256G；</w:t>
            </w:r>
          </w:p>
          <w:p w14:paraId="5DB1FF0B">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（3）监控像素：≥400万像素；</w:t>
            </w:r>
          </w:p>
          <w:p w14:paraId="737609ED">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7.冲洗设备</w:t>
            </w:r>
          </w:p>
          <w:p w14:paraId="32F8889E">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（1）功能性用途：用于垃圾站房内部地面冲洗，用于垃圾箱的定期冲洗及维护，用于垃圾箱储水箱的冲洗。</w:t>
            </w:r>
          </w:p>
          <w:p w14:paraId="50FE13CD">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8.基础工程及附属设施</w:t>
            </w:r>
          </w:p>
          <w:p w14:paraId="50F9CA95">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（1）基础预埋:基础预埋钢板及地脚螺栓；（包含站房龙骨基础预埋、站房内部给排水预埋）</w:t>
            </w:r>
          </w:p>
          <w:p w14:paraId="1CB37FF1">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（2）垃圾站地面：地面采用高强度抗压抗渗超耐磨环氧地坪漆；</w:t>
            </w:r>
          </w:p>
          <w:p w14:paraId="243E9B10">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（3）基础混凝土厚度：≥300mm；</w:t>
            </w:r>
          </w:p>
          <w:p w14:paraId="31D25E26">
            <w:pPr>
              <w:numPr>
                <w:ilvl w:val="0"/>
                <w:numId w:val="0"/>
              </w:numPr>
              <w:jc w:val="left"/>
              <w:rPr>
                <w:rStyle w:val="34"/>
                <w:rFonts w:hint="eastAsia"/>
                <w:color w:val="000000" w:themeColor="text1"/>
                <w:highlight w:val="none"/>
                <w:lang w:val="en-US" w:eastAsia="zh-CN" w:bidi="ar"/>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（4）警示标识:包含站房内部警示标识及周边警示标识及警示线；</w:t>
            </w:r>
          </w:p>
          <w:p w14:paraId="6929E2D4">
            <w:pPr>
              <w:numPr>
                <w:ilvl w:val="0"/>
                <w:numId w:val="0"/>
              </w:numPr>
              <w:jc w:val="left"/>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Style w:val="34"/>
                <w:rFonts w:hint="eastAsia"/>
                <w:color w:val="000000" w:themeColor="text1"/>
                <w:highlight w:val="none"/>
                <w:lang w:val="en-US" w:eastAsia="zh-CN" w:bidi="ar"/>
                <w14:textFill>
                  <w14:solidFill>
                    <w14:schemeClr w14:val="tx1"/>
                  </w14:solidFill>
                </w14:textFill>
              </w:rPr>
              <w:t>（5）站内设施:拖把池，自来水，照明灯，日常用电插座等。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8EE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台</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2DB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2AD3">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049E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8"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23F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89A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12m3整体移动式垃圾压缩设备</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416A">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1.垃圾箱容量(m2):≥12；</w:t>
            </w:r>
          </w:p>
          <w:p w14:paraId="58D7954F">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2.垃圾密实度(t/m2):≥0.7；</w:t>
            </w:r>
          </w:p>
          <w:p w14:paraId="19EA6E1A">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3.设备作业噪音(dB):≤70；</w:t>
            </w:r>
          </w:p>
          <w:p w14:paraId="14B2AC18">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4.上料形式:翻斗式；</w:t>
            </w:r>
          </w:p>
          <w:p w14:paraId="24862AEE">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5.垃圾箱料斗容积(m2):≥2；</w:t>
            </w:r>
          </w:p>
          <w:p w14:paraId="7B574E7D">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6.垃圾箱受料仓容积(m2):≥3；</w:t>
            </w:r>
          </w:p>
          <w:p w14:paraId="248AC1EC">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7.压缩单次循环时间(s):≤60；</w:t>
            </w:r>
          </w:p>
          <w:p w14:paraId="35312AE7">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8.垃圾箱电机功率（kw）：≥5.5；</w:t>
            </w:r>
          </w:p>
          <w:p w14:paraId="21564D02">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9.勾心高度(mm):1570±5；</w:t>
            </w:r>
          </w:p>
          <w:p w14:paraId="3C676E84">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10.导轨宽度(mm):1060~1070；</w:t>
            </w:r>
          </w:p>
          <w:p w14:paraId="6CA6F961">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11.压缩箱组成:垃圾压缩箱由上料装置、进料仓、压缩机构、压缩储料仓、卸料门、卸料门锁紧与开启机构、箱体轨道、液压系统及电气控制系统等部分组成;其中进料仓、压缩机构、压缩储料仓为联体结构；</w:t>
            </w:r>
          </w:p>
          <w:p w14:paraId="14B3C7B5">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12.配套液压电控系统:</w:t>
            </w:r>
          </w:p>
          <w:p w14:paraId="363F2026">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1)电机功率(kW):≥5.5;</w:t>
            </w:r>
          </w:p>
          <w:p w14:paraId="5E5D26EE">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color w:val="000000" w:themeColor="text1"/>
                <w:sz w:val="20"/>
                <w:szCs w:val="20"/>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2)电机电压(V):AC380V士10%、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4E3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台</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E10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EB97">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58AD4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B2D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386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垃圾分类收集屋</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4B8C">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1）规格</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尺寸：长4米，宽2米，高2.5米</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材料：铝合金框架，硅酸盐水泥地板，双面铝复合防火墙板</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门：双面铝复合防火门板，面积&gt;1.8平米</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玻璃幕墙：总面积&gt;10.12平米</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斜顶设计，上部安装百叶窗自然通风</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自带感应灯，提供夜间照明</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模块设计，可现场拼装或拆除，单次施工时间3-6小时</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2）功能</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注册用户可以扫描门锁二维码，或者通过刷卡方式打开门锁，进入垃圾分类收集屋；</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提供60个回收袋，注册用户可以扫描袋子上的二维码或刷卡方式，解锁领取回收袋；</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提供垃圾分类收集屋内部的实时监控和 30 日内监控记录；</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提供1块LED屏幕，滚动显示点位信息、回收价格、收运计划等</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3）供电</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发电功率600W，12V80A太阳能专用胶体蓄电池，专用电池保温箱，供电电压：12V-15V</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安装：垃圾分类收集屋组装过程中，在其顶部进行光伏模块的安装。</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供电保障：满足自助投放空间内所有设备正常运行的供电。</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维护：在线监控光伏模块状态，出现故障48小时内响应。</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4）网络</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网络流量：采用物联网定向流量等方式，可支持垃圾分类收集屋所有智能设备在线工作；</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保证服务期限10年内的所有网络流量充足；</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维护响应：如有故障，可在48小时内响应，恢复网络正常使用；</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安装与维护：网络设备应采用一体化封装，可快速安装或拆除，以便有故障快速更换。</w:t>
            </w:r>
          </w:p>
          <w:p w14:paraId="1A18538B">
            <w:pPr>
              <w:pStyle w:val="2"/>
              <w:rPr>
                <w:rFonts w:hint="eastAsia"/>
                <w:color w:val="000000" w:themeColor="text1"/>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FEA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56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ADC4">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r w14:paraId="30E3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BEF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5E9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垃圾分类收集亭</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5E64">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收纳容量：能够收纳4个国标240L户外分类垃圾桶。</w:t>
            </w:r>
          </w:p>
          <w:p w14:paraId="4B9F2399">
            <w:pPr>
              <w:keepNext w:val="0"/>
              <w:keepLines w:val="0"/>
              <w:widowControl/>
              <w:suppressLineNumbers w:val="0"/>
              <w:jc w:val="left"/>
              <w:textAlignment w:val="center"/>
              <w:rPr>
                <w:rFonts w:hint="eastAsia"/>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配件：4个国标240L分类垃圾桶。</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配套功能：配套标准化垃圾分类宣传版面；标配基础太阳能光控照明，夜间自动点亮、日间自动关闭。</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B04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D0D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E3CA">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r>
    </w:tbl>
    <w:p w14:paraId="19A80469">
      <w:pPr>
        <w:pStyle w:val="22"/>
        <w:keepNext w:val="0"/>
        <w:keepLines w:val="0"/>
        <w:pageBreakBefore w:val="0"/>
        <w:widowControl/>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pPr>
    </w:p>
    <w:p w14:paraId="2413A5FA">
      <w:pPr>
        <w:pStyle w:val="22"/>
        <w:keepNext w:val="0"/>
        <w:keepLines w:val="0"/>
        <w:pageBreakBefore w:val="0"/>
        <w:widowControl/>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cs="宋体"/>
          <w:b/>
          <w:bCs/>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t>张家界市市政环卫基础设施提标改造项目</w:t>
      </w:r>
      <w:r>
        <w:rPr>
          <w:rFonts w:hint="eastAsia" w:ascii="宋体" w:hAnsi="宋体" w:cs="宋体"/>
          <w:b/>
          <w:bCs/>
          <w:i w:val="0"/>
          <w:iCs w:val="0"/>
          <w:color w:val="000000" w:themeColor="text1"/>
          <w:kern w:val="0"/>
          <w:sz w:val="28"/>
          <w:szCs w:val="28"/>
          <w:highlight w:val="none"/>
          <w:u w:val="none"/>
          <w:lang w:val="en-US" w:eastAsia="zh-CN" w:bidi="ar"/>
          <w14:textFill>
            <w14:solidFill>
              <w14:schemeClr w14:val="tx1"/>
            </w14:solidFill>
          </w14:textFill>
        </w:rPr>
        <w:t>配套土建清单</w:t>
      </w:r>
    </w:p>
    <w:p w14:paraId="35D1BA6E">
      <w:pPr>
        <w:pStyle w:val="22"/>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张家界市永定区 16 处垃圾站原垃圾设备拆除、新做地面硬化、排水沟及水电等工程改造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采购范围以</w:t>
      </w:r>
      <w:r>
        <w:rPr>
          <w:rFonts w:hint="eastAsia" w:eastAsia="宋体"/>
          <w:color w:val="000000" w:themeColor="text1"/>
          <w:highlight w:val="none"/>
          <w:lang w:val="en-US" w:eastAsia="zh-CN"/>
          <w14:textFill>
            <w14:solidFill>
              <w14:schemeClr w14:val="tx1"/>
            </w14:solidFill>
          </w14:textFill>
        </w:rPr>
        <w:t>工程量清单</w:t>
      </w:r>
      <w:r>
        <w:rPr>
          <w:rFonts w:hint="eastAsia"/>
          <w:color w:val="000000" w:themeColor="text1"/>
          <w:highlight w:val="none"/>
          <w:lang w:val="en-US" w:eastAsia="zh-CN"/>
          <w14:textFill>
            <w14:solidFill>
              <w14:schemeClr w14:val="tx1"/>
            </w14:solidFill>
          </w14:textFill>
        </w:rPr>
        <w:t>为准，暂列金额、专业工程暂估价为不可竞争费用，投标人须按《关于执行&lt;建设工程工程量清单计价标准&gt;及配套工程量计算标准的通知》(湘建科函〔2025〕150号)、2025《湖南省建设工程消耗量标准》(湘建科函〔2025〕151号)等文件规定，进行清单报价。</w:t>
      </w:r>
      <w:r>
        <w:rPr>
          <w:rFonts w:hint="eastAsia" w:eastAsia="宋体"/>
          <w:b/>
          <w:bCs/>
          <w:color w:val="000000" w:themeColor="text1"/>
          <w:highlight w:val="none"/>
          <w:lang w:val="en-US" w:eastAsia="zh-CN"/>
          <w14:textFill>
            <w14:solidFill>
              <w14:schemeClr w14:val="tx1"/>
            </w14:solidFill>
          </w14:textFill>
        </w:rPr>
        <w:t>图纸</w:t>
      </w:r>
      <w:r>
        <w:rPr>
          <w:rFonts w:hint="eastAsia"/>
          <w:b/>
          <w:bCs/>
          <w:color w:val="000000" w:themeColor="text1"/>
          <w:highlight w:val="none"/>
          <w:lang w:val="en-US" w:eastAsia="zh-CN"/>
          <w14:textFill>
            <w14:solidFill>
              <w14:schemeClr w14:val="tx1"/>
            </w14:solidFill>
          </w14:textFill>
        </w:rPr>
        <w:t>、</w:t>
      </w:r>
      <w:r>
        <w:rPr>
          <w:rFonts w:hint="eastAsia" w:eastAsia="宋体"/>
          <w:b/>
          <w:bCs/>
          <w:color w:val="000000" w:themeColor="text1"/>
          <w:highlight w:val="none"/>
          <w:lang w:val="en-US" w:eastAsia="zh-CN"/>
          <w14:textFill>
            <w14:solidFill>
              <w14:schemeClr w14:val="tx1"/>
            </w14:solidFill>
          </w14:textFill>
        </w:rPr>
        <w:t>工程量清单详见附件。</w:t>
      </w:r>
    </w:p>
    <w:p w14:paraId="0886C0C7">
      <w:pPr>
        <w:pStyle w:val="22"/>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i w:val="0"/>
          <w:iCs w:val="0"/>
          <w:color w:val="000000" w:themeColor="text1"/>
          <w:highlight w:val="none"/>
          <w:u w:val="none"/>
          <w:lang w:eastAsia="zh-CN"/>
          <w14:textFill>
            <w14:solidFill>
              <w14:schemeClr w14:val="tx1"/>
            </w14:solidFill>
          </w14:textFill>
        </w:rPr>
      </w:pPr>
    </w:p>
    <w:p w14:paraId="44133E69">
      <w:pPr>
        <w:pStyle w:val="22"/>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i w:val="0"/>
          <w:iCs w:val="0"/>
          <w:color w:val="000000" w:themeColor="text1"/>
          <w:highlight w:val="none"/>
          <w:u w:val="none"/>
          <w:lang w:eastAsia="zh-CN"/>
          <w14:textFill>
            <w14:solidFill>
              <w14:schemeClr w14:val="tx1"/>
            </w14:solidFill>
          </w14:textFill>
        </w:rPr>
      </w:pPr>
    </w:p>
    <w:p w14:paraId="234AFB77">
      <w:pPr>
        <w:pStyle w:val="22"/>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i w:val="0"/>
          <w:iCs w:val="0"/>
          <w:color w:val="000000" w:themeColor="text1"/>
          <w:highlight w:val="none"/>
          <w:u w:val="none"/>
          <w:lang w:eastAsia="zh-CN"/>
          <w14:textFill>
            <w14:solidFill>
              <w14:schemeClr w14:val="tx1"/>
            </w14:solidFill>
          </w14:textFill>
        </w:rPr>
      </w:pPr>
      <w:r>
        <w:rPr>
          <w:rFonts w:hint="eastAsia"/>
          <w:i w:val="0"/>
          <w:iCs w:val="0"/>
          <w:color w:val="000000" w:themeColor="text1"/>
          <w:highlight w:val="none"/>
          <w:u w:val="none"/>
          <w:lang w:eastAsia="zh-CN"/>
          <w14:textFill>
            <w14:solidFill>
              <w14:schemeClr w14:val="tx1"/>
            </w14:solidFill>
          </w14:textFill>
        </w:rPr>
        <w:t>（2）商务要求</w:t>
      </w:r>
    </w:p>
    <w:tbl>
      <w:tblPr>
        <w:tblStyle w:val="13"/>
        <w:tblW w:w="1034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983"/>
        <w:gridCol w:w="7719"/>
      </w:tblGrid>
      <w:tr w14:paraId="49A0DF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46" w:type="dxa"/>
            <w:shd w:val="pct10" w:color="ADB9CA" w:fill="D6DCE5"/>
            <w:noWrap w:val="0"/>
            <w:vAlign w:val="center"/>
          </w:tcPr>
          <w:p w14:paraId="4517C85A">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序号</w:t>
            </w:r>
          </w:p>
        </w:tc>
        <w:tc>
          <w:tcPr>
            <w:tcW w:w="1983" w:type="dxa"/>
            <w:shd w:val="pct10" w:color="ADB9CA" w:fill="D6DCE5"/>
            <w:noWrap w:val="0"/>
            <w:vAlign w:val="center"/>
          </w:tcPr>
          <w:p w14:paraId="57F37D73">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商务条款</w:t>
            </w:r>
          </w:p>
        </w:tc>
        <w:tc>
          <w:tcPr>
            <w:tcW w:w="7719" w:type="dxa"/>
            <w:shd w:val="pct10" w:color="ADB9CA" w:fill="D6DCE5"/>
            <w:noWrap w:val="0"/>
            <w:vAlign w:val="center"/>
          </w:tcPr>
          <w:p w14:paraId="25B916C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内    容</w:t>
            </w:r>
          </w:p>
        </w:tc>
      </w:tr>
      <w:tr w14:paraId="634BC2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shd w:val="clear" w:color="C4BC96" w:fill="auto"/>
            <w:noWrap w:val="0"/>
            <w:vAlign w:val="center"/>
          </w:tcPr>
          <w:p w14:paraId="51D91BA0">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w:t>
            </w:r>
          </w:p>
        </w:tc>
        <w:tc>
          <w:tcPr>
            <w:tcW w:w="1983" w:type="dxa"/>
            <w:shd w:val="clear" w:color="C4BC96" w:fill="auto"/>
            <w:noWrap w:val="0"/>
            <w:vAlign w:val="center"/>
          </w:tcPr>
          <w:p w14:paraId="471B25B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供货安装调试期限</w:t>
            </w:r>
          </w:p>
        </w:tc>
        <w:tc>
          <w:tcPr>
            <w:tcW w:w="7719" w:type="dxa"/>
            <w:shd w:val="clear" w:color="C4BC96" w:fill="auto"/>
            <w:noWrap w:val="0"/>
            <w:vAlign w:val="center"/>
          </w:tcPr>
          <w:p w14:paraId="2C6F1BF6">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自合同签订之日起 60 天内，完成全部设备的到货、安装调试、最终验收，交付采购标的并投入使用。</w:t>
            </w:r>
          </w:p>
        </w:tc>
      </w:tr>
      <w:tr w14:paraId="6AD50A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shd w:val="clear" w:color="C4BC96" w:fill="auto"/>
            <w:noWrap w:val="0"/>
            <w:vAlign w:val="center"/>
          </w:tcPr>
          <w:p w14:paraId="238A5AAB">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2</w:t>
            </w:r>
          </w:p>
        </w:tc>
        <w:tc>
          <w:tcPr>
            <w:tcW w:w="1983" w:type="dxa"/>
            <w:shd w:val="clear" w:color="C4BC96" w:fill="auto"/>
            <w:noWrap w:val="0"/>
            <w:vAlign w:val="center"/>
          </w:tcPr>
          <w:p w14:paraId="2EC7283C">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交货安装</w:t>
            </w:r>
          </w:p>
          <w:p w14:paraId="62425CCF">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（服务）地点</w:t>
            </w:r>
          </w:p>
        </w:tc>
        <w:tc>
          <w:tcPr>
            <w:tcW w:w="7719" w:type="dxa"/>
            <w:shd w:val="clear" w:color="C4BC96" w:fill="auto"/>
            <w:noWrap w:val="0"/>
            <w:vAlign w:val="center"/>
          </w:tcPr>
          <w:p w14:paraId="044849D0">
            <w:pPr>
              <w:widowControl/>
              <w:numPr>
                <w:ilvl w:val="0"/>
                <w:numId w:val="0"/>
              </w:numPr>
              <w:shd w:val="clear"/>
              <w:tabs>
                <w:tab w:val="left" w:pos="33"/>
              </w:tabs>
              <w:spacing w:line="260" w:lineRule="exact"/>
              <w:ind w:right="-48" w:rightChars="-23" w:firstLine="420" w:firstLineChars="200"/>
              <w:jc w:val="left"/>
              <w:rPr>
                <w:rFonts w:hint="default"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业主指定地点</w:t>
            </w:r>
          </w:p>
        </w:tc>
      </w:tr>
      <w:tr w14:paraId="01F70B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vMerge w:val="restart"/>
            <w:noWrap w:val="0"/>
            <w:vAlign w:val="center"/>
          </w:tcPr>
          <w:p w14:paraId="180B997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3</w:t>
            </w:r>
          </w:p>
        </w:tc>
        <w:tc>
          <w:tcPr>
            <w:tcW w:w="1983" w:type="dxa"/>
            <w:vMerge w:val="restart"/>
            <w:noWrap w:val="0"/>
            <w:vAlign w:val="center"/>
          </w:tcPr>
          <w:p w14:paraId="6E364BC7">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报价要求</w:t>
            </w:r>
          </w:p>
        </w:tc>
        <w:tc>
          <w:tcPr>
            <w:tcW w:w="7719" w:type="dxa"/>
            <w:noWrap w:val="0"/>
            <w:vAlign w:val="center"/>
          </w:tcPr>
          <w:p w14:paraId="7EA676CA">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1、投标人的报价应包含为完成本投标文件提出的货物及工程部分等全部相关工作所有可能发生的费用</w:t>
            </w:r>
            <w:r>
              <w:rPr>
                <w:rFonts w:hint="eastAsia" w:ascii="微软雅黑" w:hAnsi="微软雅黑" w:eastAsia="微软雅黑" w:cs="微软雅黑"/>
                <w:b/>
                <w:bCs/>
                <w:color w:val="000000" w:themeColor="text1"/>
                <w:kern w:val="2"/>
                <w:sz w:val="21"/>
                <w:szCs w:val="21"/>
                <w:highlight w:val="none"/>
                <w:lang w:val="en-US" w:eastAsia="zh-CN" w:bidi="ar-SA"/>
                <w14:textFill>
                  <w14:solidFill>
                    <w14:schemeClr w14:val="tx1"/>
                  </w14:solidFill>
                </w14:textFill>
              </w:rPr>
              <w:t>（含车辆及设备货款、运费、保险</w:t>
            </w:r>
            <w:r>
              <w:rPr>
                <w:rFonts w:hint="eastAsia" w:ascii="微软雅黑" w:hAnsi="微软雅黑" w:eastAsia="微软雅黑" w:cs="微软雅黑"/>
                <w:b/>
                <w:bCs/>
                <w:color w:val="000000" w:themeColor="text1"/>
                <w:kern w:val="2"/>
                <w:sz w:val="21"/>
                <w:szCs w:val="21"/>
                <w:highlight w:val="none"/>
                <w:lang w:val="en-US" w:eastAsia="zh-CN" w:bidi="ar-SA"/>
                <w14:textFill>
                  <w14:solidFill>
                    <w14:schemeClr w14:val="tx1"/>
                  </w14:solidFill>
                </w14:textFill>
              </w:rPr>
              <w:t>（仅包含交强险）</w:t>
            </w:r>
            <w:r>
              <w:rPr>
                <w:rFonts w:hint="eastAsia" w:ascii="微软雅黑" w:hAnsi="微软雅黑" w:eastAsia="微软雅黑" w:cs="微软雅黑"/>
                <w:b/>
                <w:bCs/>
                <w:color w:val="000000" w:themeColor="text1"/>
                <w:kern w:val="2"/>
                <w:sz w:val="21"/>
                <w:szCs w:val="21"/>
                <w:highlight w:val="none"/>
                <w:lang w:val="en-US" w:eastAsia="zh-CN" w:bidi="ar-SA"/>
                <w14:textFill>
                  <w14:solidFill>
                    <w14:schemeClr w14:val="tx1"/>
                  </w14:solidFill>
                </w14:textFill>
              </w:rPr>
              <w:t>、车船购置税、上牌费、税金等费用）</w:t>
            </w: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，必须包括项目人员费用、运输保险、运输、物耗、管理费用、各项税费及合同实施过程中不可预见费用等一切实施本项目所需费用，即响应总报价。对在合同实施过程中可能发生的其他费用，采购人概不负责。</w:t>
            </w:r>
          </w:p>
        </w:tc>
      </w:tr>
      <w:tr w14:paraId="1BE3D2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646" w:type="dxa"/>
            <w:vMerge w:val="continue"/>
            <w:noWrap w:val="0"/>
            <w:vAlign w:val="center"/>
          </w:tcPr>
          <w:p w14:paraId="4BBEE7E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p>
        </w:tc>
        <w:tc>
          <w:tcPr>
            <w:tcW w:w="1983" w:type="dxa"/>
            <w:vMerge w:val="continue"/>
            <w:noWrap w:val="0"/>
            <w:vAlign w:val="center"/>
          </w:tcPr>
          <w:p w14:paraId="5217B1F3">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p>
        </w:tc>
        <w:tc>
          <w:tcPr>
            <w:tcW w:w="7719" w:type="dxa"/>
            <w:noWrap w:val="0"/>
            <w:vAlign w:val="center"/>
          </w:tcPr>
          <w:p w14:paraId="44072194">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2、对本文件未列明，而投标人认为必需的费用也需列入响应总报价。在合同实施时，采购人将不予支付中标人没有列入的项目费用，并认为此项目的费用已包含在响应总报价中。</w:t>
            </w:r>
          </w:p>
        </w:tc>
      </w:tr>
      <w:tr w14:paraId="715DB0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46" w:type="dxa"/>
            <w:noWrap w:val="0"/>
            <w:vAlign w:val="center"/>
          </w:tcPr>
          <w:p w14:paraId="2E245B41">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4</w:t>
            </w:r>
          </w:p>
        </w:tc>
        <w:tc>
          <w:tcPr>
            <w:tcW w:w="1983" w:type="dxa"/>
            <w:noWrap w:val="0"/>
            <w:vAlign w:val="center"/>
          </w:tcPr>
          <w:p w14:paraId="716FB6AA">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付款方式</w:t>
            </w:r>
          </w:p>
        </w:tc>
        <w:tc>
          <w:tcPr>
            <w:tcW w:w="7719" w:type="dxa"/>
            <w:noWrap w:val="0"/>
            <w:vAlign w:val="center"/>
          </w:tcPr>
          <w:p w14:paraId="1936912F">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1、合同签订生效且乙方提供等额合规增值税发票后15个工作日内，甲方向乙方支付合同总金额的30%预付款。</w:t>
            </w:r>
          </w:p>
          <w:p w14:paraId="6990F879">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2、该项目实行分批交付、分期支付。设备送达甲方指定地点，完成开箱清点，设备软硬件型号、规格、数量均符合合同约定并初验合格，乙方提供等额合规增值税发票后15个工作日内，甲方向乙方支付已交付的设备进度款（扣除对应比例的预付款）。</w:t>
            </w:r>
          </w:p>
          <w:p w14:paraId="4EF247C7">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3、项目完成最终验收后（</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到货验收</w:t>
            </w: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、安装调试验收、土建部分施工完成），乙方提交《项目最终验收报告》及等额合规增值税发票后15个工作日内，甲方向乙方累计支付至合同总金额97%。</w:t>
            </w:r>
          </w:p>
          <w:p w14:paraId="561D13FD">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val="0"/>
                <w:color w:val="000000" w:themeColor="text1"/>
                <w:kern w:val="2"/>
                <w:sz w:val="21"/>
                <w:szCs w:val="21"/>
                <w:highlight w:val="none"/>
                <w:lang w:val="en-US" w:eastAsia="zh-CN" w:bidi="ar-SA"/>
                <w14:textFill>
                  <w14:solidFill>
                    <w14:schemeClr w14:val="tx1"/>
                  </w14:solidFill>
                </w14:textFill>
              </w:rPr>
              <w:t>4、质保期届满，车辆设备无质量问题，经甲方核查确认后15个工作日内，甲方向乙方无息支付合同总金额3%的余款。</w:t>
            </w:r>
          </w:p>
        </w:tc>
      </w:tr>
      <w:tr w14:paraId="6F5C26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6" w:type="dxa"/>
            <w:noWrap w:val="0"/>
            <w:vAlign w:val="center"/>
          </w:tcPr>
          <w:p w14:paraId="7809DCDA">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5</w:t>
            </w:r>
          </w:p>
        </w:tc>
        <w:tc>
          <w:tcPr>
            <w:tcW w:w="1983" w:type="dxa"/>
            <w:noWrap w:val="0"/>
            <w:vAlign w:val="center"/>
          </w:tcPr>
          <w:p w14:paraId="2B73BD80">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验收要求</w:t>
            </w:r>
          </w:p>
        </w:tc>
        <w:tc>
          <w:tcPr>
            <w:tcW w:w="7719" w:type="dxa"/>
            <w:noWrap w:val="0"/>
            <w:vAlign w:val="center"/>
          </w:tcPr>
          <w:p w14:paraId="5AD54B3E">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验收依据：国家及行业现行标准规范、招标文件、中标人的投标文件、合同约定、车辆工信部公告、3C认证、环保排放相关文件。</w:t>
            </w:r>
          </w:p>
          <w:p w14:paraId="28AF5507">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验收流程：</w:t>
            </w:r>
          </w:p>
          <w:p w14:paraId="6C74E89C">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到货验收：核对设备数量、外观、功能，查验合格证、说明书、检测报告等资料；中标人须提交以下全套资料，原件或加盖公章复印件：每台车辆：机动车整车出厂合格证、车辆一致性证书、环保信息公开清单、工信部公告截图、3C认证资料；车辆底盘原厂质保手册、整车使用说明书、维修保养手册、随车工具、备品备件清单；</w:t>
            </w:r>
          </w:p>
          <w:p w14:paraId="2DD5DBE3">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2.安装调试验收：测试设备功能，开展空载 / 负载运行测试；</w:t>
            </w:r>
          </w:p>
          <w:p w14:paraId="4C95E90B">
            <w:pPr>
              <w:widowControl/>
              <w:numPr>
                <w:ilvl w:val="0"/>
                <w:numId w:val="0"/>
              </w:numPr>
              <w:shd w:val="clear"/>
              <w:tabs>
                <w:tab w:val="left" w:pos="33"/>
              </w:tabs>
              <w:spacing w:line="260" w:lineRule="exact"/>
              <w:ind w:left="0" w:leftChars="0"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3.最终验收：设备试运行1个月无故障且试运行期间货物或施工不存在未整改质量问题后，由业主组织专家小组出具验收报告。</w:t>
            </w:r>
          </w:p>
        </w:tc>
      </w:tr>
      <w:tr w14:paraId="1FBD6C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noWrap w:val="0"/>
            <w:vAlign w:val="center"/>
          </w:tcPr>
          <w:p w14:paraId="5E01AD1C">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6</w:t>
            </w:r>
          </w:p>
        </w:tc>
        <w:tc>
          <w:tcPr>
            <w:tcW w:w="1983" w:type="dxa"/>
            <w:noWrap w:val="0"/>
            <w:vAlign w:val="center"/>
          </w:tcPr>
          <w:p w14:paraId="6285E4E6">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合同条款</w:t>
            </w:r>
          </w:p>
        </w:tc>
        <w:tc>
          <w:tcPr>
            <w:tcW w:w="7719" w:type="dxa"/>
            <w:noWrap w:val="0"/>
            <w:vAlign w:val="center"/>
          </w:tcPr>
          <w:p w14:paraId="1AF3FD2C">
            <w:pPr>
              <w:widowControl/>
              <w:numPr>
                <w:ilvl w:val="0"/>
                <w:numId w:val="0"/>
              </w:numPr>
              <w:shd w:val="clear"/>
              <w:tabs>
                <w:tab w:val="left" w:pos="33"/>
              </w:tabs>
              <w:spacing w:line="260" w:lineRule="exact"/>
              <w:ind w:leftChars="100" w:right="-48" w:rightChars="-23"/>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中标人违约承担违约责任。所有中标内容均需按照招标文件指标要求进行检查核对后方可进行报验，不满足招标文件“★”指标和投标承诺的，采购人有权不对其进行验收；同时中标人对不满足要求的内容承担违约责任。</w:t>
            </w:r>
          </w:p>
        </w:tc>
      </w:tr>
      <w:tr w14:paraId="37F0B2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noWrap w:val="0"/>
            <w:vAlign w:val="center"/>
          </w:tcPr>
          <w:p w14:paraId="1D28C74D">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7</w:t>
            </w:r>
          </w:p>
        </w:tc>
        <w:tc>
          <w:tcPr>
            <w:tcW w:w="1983" w:type="dxa"/>
            <w:noWrap w:val="0"/>
            <w:vAlign w:val="center"/>
          </w:tcPr>
          <w:p w14:paraId="799F382F">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履约保证金</w:t>
            </w:r>
          </w:p>
        </w:tc>
        <w:tc>
          <w:tcPr>
            <w:tcW w:w="7719" w:type="dxa"/>
            <w:noWrap w:val="0"/>
            <w:vAlign w:val="center"/>
          </w:tcPr>
          <w:p w14:paraId="4240875C">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（1）金额：中标金额降价幅度不超过采购预算10% 的，履约保证金为中标金额的10%；中标金额降价幅度超过采购预算10%以上的，履约保证金为采购预算减去中标金额的差额。</w:t>
            </w:r>
          </w:p>
          <w:p w14:paraId="0260C946">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（2）支付方式：</w:t>
            </w:r>
          </w:p>
          <w:p w14:paraId="70049217">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sym w:font="Wingdings" w:char="00FE"/>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 xml:space="preserve">银行转账 </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sym w:font="Wingdings" w:char="00FE"/>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 xml:space="preserve">支票  </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sym w:font="Wingdings" w:char="00FE"/>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 xml:space="preserve">汇票  </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sym w:font="Wingdings" w:char="00FE"/>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 xml:space="preserve">本票  </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sym w:font="Wingdings" w:char="00FE"/>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 xml:space="preserve">银行保函 </w:t>
            </w:r>
          </w:p>
          <w:p w14:paraId="382FE6A7">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供应商提交的支票、汇票、本票、银行保函，在项目交付使用前不可撤销、不可转让、见索即付，履约担保责任至对应项目交付使用之日终止。银行保函应当是投标人注册地或者项目所在地市域内的银行出具的保函。银行保函由采购人负责核验，报市公共资源交易中心登记。</w:t>
            </w:r>
          </w:p>
          <w:p w14:paraId="4BE1799A">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（3）收取单位：张家界市城市管理局</w:t>
            </w:r>
          </w:p>
          <w:p w14:paraId="534FE5D5">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（4）缴纳时间：供应商自领取中标通知书后7个工作日内提交履约保证金，最长不超过14个工作日。</w:t>
            </w:r>
          </w:p>
          <w:p w14:paraId="6B7026B1">
            <w:pPr>
              <w:widowControl w:val="0"/>
              <w:shd w:val="clear"/>
              <w:spacing w:line="300" w:lineRule="exact"/>
              <w:ind w:firstLine="420" w:firstLineChars="200"/>
              <w:jc w:val="left"/>
              <w:textAlignment w:val="baseline"/>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ab/>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（6）退还时间：履约担保责任至对应项目交付使用之日终止。</w:t>
            </w:r>
          </w:p>
        </w:tc>
      </w:tr>
      <w:tr w14:paraId="2F7BC1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646" w:type="dxa"/>
            <w:noWrap w:val="0"/>
            <w:vAlign w:val="center"/>
          </w:tcPr>
          <w:p w14:paraId="27332413">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8</w:t>
            </w:r>
          </w:p>
        </w:tc>
        <w:tc>
          <w:tcPr>
            <w:tcW w:w="1983" w:type="dxa"/>
            <w:noWrap w:val="0"/>
            <w:vAlign w:val="center"/>
          </w:tcPr>
          <w:p w14:paraId="5645FF62">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质量要求</w:t>
            </w:r>
          </w:p>
        </w:tc>
        <w:tc>
          <w:tcPr>
            <w:tcW w:w="7719" w:type="dxa"/>
            <w:noWrap w:val="0"/>
            <w:vAlign w:val="center"/>
          </w:tcPr>
          <w:p w14:paraId="4DB94EB7">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本项目所有供货车辆及设备、附件、备品备件均为全新原厂正品，未使用过、无修复、无翻新、无库存积压车，符合国家现行相关标准、工信部机动车公告、3C强制性认证，满足上牌要求。所有车辆底盘、上装生产制造符合国家机动车生产管理相关规定，能够正常办理注册登记上牌手续。燃油车辆须满足现行国六排放标准；新能源车辆须满足对应新能源汽车相关公告要求。</w:t>
            </w:r>
          </w:p>
          <w:p w14:paraId="2A3F684C">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产品质量满足国家、行业现行有效的规范标准，同时满足本项目采购需求、投标文件承诺内容。车辆出厂必须附带完整出厂合格证、车辆一致性证书、环保信息清单、产品使用说明书、维修保养手册、随车工具清单等全套资料；压缩设备必须附带完整出产品合格证、使用维护说明书、电气原理图、液压原理图。</w:t>
            </w:r>
          </w:p>
          <w:p w14:paraId="429C1560">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3、中标人对整车（底盘+上装）质量负总责。</w:t>
            </w:r>
          </w:p>
          <w:p w14:paraId="696420DE">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4、质保期：整车质保不少于  1  年；底盘质保按照底盘主机厂原厂质保执行；新能源清洁车三电系统（电池、电机、电控）整体损耗应符合国家标准，质保不少于  8  年；压缩设备整机质保不少于  1  年，液压核心部件质保不少于  2  年。保期自项目整体竣工验收合格之日起计算。质保期内，因产品本身质量缺陷产生的维修、更换零部件、上门服务等所有费用全部由中标人承担。</w:t>
            </w:r>
          </w:p>
          <w:p w14:paraId="7A2F21E1">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5、质保期内，出现质量问题，中标人须在约定响应时间内派员到场维修、更换。同一设备同一故障多次维修仍无法正常使用的，采购人有权要求更换全新整车（整机）或核心部件。</w:t>
            </w:r>
          </w:p>
          <w:p w14:paraId="4ED19990">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6、所有设备、车辆、配套土建工程完工后，须按国家规范及本项目要求开展验收，质量不合格的，中标人须无条件整改、返工直至验收合格，由此产生的工期延误、全部费用由中标人自行承担。</w:t>
            </w:r>
          </w:p>
          <w:p w14:paraId="4DB238AF">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7、质量违约责任：供货车辆及设备存在以旧充新、翻新、证件造假、质量不达标等情形，采购人有权拒收、解除合同，中标人须承担合同总价20%违约金，并赔偿采购人全部损失。</w:t>
            </w:r>
          </w:p>
        </w:tc>
      </w:tr>
      <w:tr w14:paraId="05E641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noWrap w:val="0"/>
            <w:vAlign w:val="center"/>
          </w:tcPr>
          <w:p w14:paraId="0C9D7174">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9</w:t>
            </w:r>
          </w:p>
        </w:tc>
        <w:tc>
          <w:tcPr>
            <w:tcW w:w="1983" w:type="dxa"/>
            <w:noWrap w:val="0"/>
            <w:vAlign w:val="center"/>
          </w:tcPr>
          <w:p w14:paraId="16F27223">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廉政要求</w:t>
            </w:r>
          </w:p>
        </w:tc>
        <w:tc>
          <w:tcPr>
            <w:tcW w:w="7719" w:type="dxa"/>
            <w:noWrap w:val="0"/>
            <w:vAlign w:val="center"/>
          </w:tcPr>
          <w:p w14:paraId="7DD7163C">
            <w:pPr>
              <w:widowControl/>
              <w:numPr>
                <w:ilvl w:val="0"/>
                <w:numId w:val="0"/>
              </w:numPr>
              <w:shd w:val="clear"/>
              <w:tabs>
                <w:tab w:val="left" w:pos="33"/>
              </w:tabs>
              <w:spacing w:line="260" w:lineRule="exact"/>
              <w:ind w:right="-48" w:rightChars="-23" w:firstLine="420" w:firstLineChars="200"/>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投标人自觉遵守廉政要求，承诺在项目招标及实施阶段，遵守法律法规及采购人相关规定，自觉接受监督。如有违法、违规行为，应承担相应的法律责任，采购人有权不予签订合同或解除合同。</w:t>
            </w:r>
          </w:p>
        </w:tc>
      </w:tr>
      <w:tr w14:paraId="2D9DB0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646" w:type="dxa"/>
            <w:noWrap w:val="0"/>
            <w:vAlign w:val="center"/>
          </w:tcPr>
          <w:p w14:paraId="336DE3B9">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10</w:t>
            </w:r>
          </w:p>
        </w:tc>
        <w:tc>
          <w:tcPr>
            <w:tcW w:w="1983" w:type="dxa"/>
            <w:noWrap w:val="0"/>
            <w:vAlign w:val="center"/>
          </w:tcPr>
          <w:p w14:paraId="0465C12A">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免费保修期</w:t>
            </w: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内</w:t>
            </w: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售后服务要求</w:t>
            </w:r>
          </w:p>
        </w:tc>
        <w:tc>
          <w:tcPr>
            <w:tcW w:w="7719" w:type="dxa"/>
            <w:noWrap w:val="0"/>
            <w:vAlign w:val="center"/>
          </w:tcPr>
          <w:p w14:paraId="7637B9B7">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质保期自项目最终验收合格之日起计算，期限不少于1年。质保期内，中标人应对货物本身的质量问题提供免费维修、更换零部件及易损件服务，但人为损坏、不可抗力造成的损坏除外。质保期内货物出现质量问题，中标人须在接到采购人通知后24小时内响应，48小时内到场维修；无法维修的，应在7个自然日内更换同型号合格货物。若中标人未按前述期限响应、到场维修或完成更换，采购人有权自行或委托第三方进行维修、更换，由此产生的全部费用由乙方承担，采购人有权从质保金或履约保证金中直接扣除，不足部分由中标人补足。中标人提供至少1 名专业的售后服务人员，专门负责为本项目提供技术支持和服务；中标方必须提供完整的售后服务方案。中标方视自身能力在投标文件中可提供更优、更合理的售后服务承诺。</w:t>
            </w:r>
          </w:p>
        </w:tc>
      </w:tr>
      <w:tr w14:paraId="5D262A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46" w:type="dxa"/>
            <w:noWrap w:val="0"/>
            <w:vAlign w:val="center"/>
          </w:tcPr>
          <w:p w14:paraId="0FE94EC8">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11</w:t>
            </w:r>
          </w:p>
        </w:tc>
        <w:tc>
          <w:tcPr>
            <w:tcW w:w="1983" w:type="dxa"/>
            <w:noWrap w:val="0"/>
            <w:vAlign w:val="center"/>
          </w:tcPr>
          <w:p w14:paraId="28C589B1">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培训服务</w:t>
            </w:r>
          </w:p>
        </w:tc>
        <w:tc>
          <w:tcPr>
            <w:tcW w:w="7719" w:type="dxa"/>
            <w:noWrap w:val="0"/>
            <w:vAlign w:val="center"/>
          </w:tcPr>
          <w:p w14:paraId="235DB963">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中标人须在到货验收阶段委托供货厂家免费为采购人操作人员、管理人员开展全车型实操培训，内容包含车辆操作、安全作业、日常保养、简易故障排查，提供培训课件，培训所有费用包含在投标总价内。</w:t>
            </w:r>
          </w:p>
        </w:tc>
      </w:tr>
      <w:tr w14:paraId="2327AE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46" w:type="dxa"/>
            <w:noWrap w:val="0"/>
            <w:vAlign w:val="center"/>
          </w:tcPr>
          <w:p w14:paraId="77BE61A5">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12</w:t>
            </w:r>
          </w:p>
        </w:tc>
        <w:tc>
          <w:tcPr>
            <w:tcW w:w="1983" w:type="dxa"/>
            <w:noWrap w:val="0"/>
            <w:vAlign w:val="center"/>
          </w:tcPr>
          <w:p w14:paraId="3E5FDD2E">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质保期满后备件供应</w:t>
            </w:r>
          </w:p>
        </w:tc>
        <w:tc>
          <w:tcPr>
            <w:tcW w:w="7719" w:type="dxa"/>
            <w:noWrap w:val="0"/>
            <w:vAlign w:val="center"/>
          </w:tcPr>
          <w:p w14:paraId="78B5ADFA">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质保期满后，中标人承诺在车辆及设备使用年限内持续提供原厂备品备件，配件价格不高于同期市场公开原厂供货价格。</w:t>
            </w:r>
          </w:p>
        </w:tc>
      </w:tr>
      <w:tr w14:paraId="1C15CA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46" w:type="dxa"/>
            <w:noWrap w:val="0"/>
            <w:vAlign w:val="center"/>
          </w:tcPr>
          <w:p w14:paraId="0A3E1414">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13</w:t>
            </w:r>
          </w:p>
        </w:tc>
        <w:tc>
          <w:tcPr>
            <w:tcW w:w="1983" w:type="dxa"/>
            <w:noWrap w:val="0"/>
            <w:vAlign w:val="center"/>
          </w:tcPr>
          <w:p w14:paraId="184C01B0">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安全责任及保险</w:t>
            </w:r>
          </w:p>
        </w:tc>
        <w:tc>
          <w:tcPr>
            <w:tcW w:w="7719" w:type="dxa"/>
            <w:noWrap w:val="0"/>
            <w:vAlign w:val="center"/>
          </w:tcPr>
          <w:p w14:paraId="154F56EA">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中标人承担车辆运输、现场安装、配套土建施工全过程安全管理责任，自行购买货物运输保险、施工现场相关保险。项目实施期间发生人身伤害、财产损毁等安全事故，全部赔偿及法律责任由中标人承担。</w:t>
            </w:r>
          </w:p>
        </w:tc>
      </w:tr>
      <w:tr w14:paraId="47D672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646" w:type="dxa"/>
            <w:noWrap w:val="0"/>
            <w:vAlign w:val="center"/>
          </w:tcPr>
          <w:p w14:paraId="15721828">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14</w:t>
            </w:r>
          </w:p>
        </w:tc>
        <w:tc>
          <w:tcPr>
            <w:tcW w:w="1983" w:type="dxa"/>
            <w:noWrap w:val="0"/>
            <w:vAlign w:val="center"/>
          </w:tcPr>
          <w:p w14:paraId="0181006F">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知识产权</w:t>
            </w:r>
          </w:p>
        </w:tc>
        <w:tc>
          <w:tcPr>
            <w:tcW w:w="7719" w:type="dxa"/>
            <w:noWrap w:val="0"/>
            <w:vAlign w:val="center"/>
          </w:tcPr>
          <w:p w14:paraId="78D1CFFE">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1、投标人为采购人提供的软硬件产品均为正版产品，采购人购买产品后，有权对该产品与其他设备进行配套、整合或适当改进，而免受侵犯专利权的起诉。</w:t>
            </w:r>
          </w:p>
          <w:p w14:paraId="2DE1BAFB">
            <w:pPr>
              <w:widowControl/>
              <w:numPr>
                <w:ilvl w:val="0"/>
                <w:numId w:val="0"/>
              </w:numPr>
              <w:shd w:val="clear"/>
              <w:tabs>
                <w:tab w:val="left" w:pos="33"/>
              </w:tabs>
              <w:spacing w:line="260" w:lineRule="exact"/>
              <w:ind w:right="-48" w:rightChars="-23" w:firstLine="438" w:firstLineChars="209"/>
              <w:jc w:val="left"/>
              <w:rPr>
                <w:rFonts w:hint="default"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w:t>
            </w:r>
            <w:r>
              <w:rPr>
                <w:rFonts w:hint="default"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若因中标人提供产品侵犯第三方知识产权，引发索赔、诉讼，全部赔偿、法律责任由中标人承担。</w:t>
            </w:r>
          </w:p>
        </w:tc>
      </w:tr>
      <w:tr w14:paraId="1EBAE2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46" w:type="dxa"/>
            <w:noWrap w:val="0"/>
            <w:vAlign w:val="center"/>
          </w:tcPr>
          <w:p w14:paraId="2EB1EBBA">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15</w:t>
            </w:r>
          </w:p>
        </w:tc>
        <w:tc>
          <w:tcPr>
            <w:tcW w:w="1983" w:type="dxa"/>
            <w:noWrap w:val="0"/>
            <w:vAlign w:val="center"/>
          </w:tcPr>
          <w:p w14:paraId="1B37E27B">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其他要求</w:t>
            </w:r>
          </w:p>
        </w:tc>
        <w:tc>
          <w:tcPr>
            <w:tcW w:w="7719" w:type="dxa"/>
            <w:noWrap w:val="0"/>
            <w:vAlign w:val="center"/>
          </w:tcPr>
          <w:p w14:paraId="0E62F858">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本次车辆设备采购项目，供货主体（车辆制造/设备供应商）本身不需要建筑资质，但项目含配套土建施工（旧设备拆除、地面硬化、排水沟、水电等），中标人无建筑资质的，土建部分必须分包给具备相应资质施工单位。</w:t>
            </w:r>
          </w:p>
          <w:p w14:paraId="4B8C040A">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2、土建施工质量须符合现行土建工程施工质量验收规范，中标人对土建分包工程质量承担连带责任。</w:t>
            </w:r>
          </w:p>
        </w:tc>
      </w:tr>
      <w:tr w14:paraId="1DE3B5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46" w:type="dxa"/>
            <w:noWrap w:val="0"/>
            <w:vAlign w:val="center"/>
          </w:tcPr>
          <w:p w14:paraId="65A54383">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16</w:t>
            </w:r>
          </w:p>
        </w:tc>
        <w:tc>
          <w:tcPr>
            <w:tcW w:w="1983" w:type="dxa"/>
            <w:noWrap w:val="0"/>
            <w:vAlign w:val="center"/>
          </w:tcPr>
          <w:p w14:paraId="47B4EF23">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争议解决方式</w:t>
            </w:r>
          </w:p>
        </w:tc>
        <w:tc>
          <w:tcPr>
            <w:tcW w:w="7719" w:type="dxa"/>
            <w:noWrap w:val="0"/>
            <w:vAlign w:val="center"/>
          </w:tcPr>
          <w:p w14:paraId="5231539D">
            <w:pPr>
              <w:widowControl/>
              <w:numPr>
                <w:ilvl w:val="0"/>
                <w:numId w:val="0"/>
              </w:numPr>
              <w:shd w:val="clear"/>
              <w:tabs>
                <w:tab w:val="left" w:pos="33"/>
              </w:tabs>
              <w:spacing w:line="260" w:lineRule="exact"/>
              <w:ind w:right="-48" w:rightChars="-23" w:firstLine="438" w:firstLineChars="209"/>
              <w:jc w:val="left"/>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本合同履行过程发生争议，双方协商解决；协商不成，向合同签订所在地（即甲方所在地）人民法院起诉。</w:t>
            </w:r>
          </w:p>
        </w:tc>
      </w:tr>
    </w:tbl>
    <w:p w14:paraId="30BA5CA3">
      <w:pPr>
        <w:pStyle w:val="22"/>
        <w:bidi w:val="0"/>
        <w:rPr>
          <w:rFonts w:hint="eastAsia"/>
          <w:color w:val="000000" w:themeColor="text1"/>
          <w:highlight w:val="none"/>
          <w:lang w:val="en-US" w:eastAsia="zh-CN"/>
          <w14:textFill>
            <w14:solidFill>
              <w14:schemeClr w14:val="tx1"/>
            </w14:solidFill>
          </w14:textFill>
        </w:rPr>
      </w:pPr>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29697AB-76DD-48B9-9DDD-44AA524D6936}"/>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4D4F1186-100B-44F6-AAC2-B958B62655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024FA6B-CDBB-4616-BCDA-C8723AE6FB32}"/>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4" w:fontKey="{D3535C83-5E94-4A61-BEA9-AED82D287411}"/>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5" w:fontKey="{D62BC43A-C545-4462-82ED-92F08EBD2E12}"/>
  </w:font>
  <w:font w:name="Arial Narrow">
    <w:panose1 w:val="020B0606020202030204"/>
    <w:charset w:val="00"/>
    <w:family w:val="auto"/>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embedRegular r:id="rId6" w:fontKey="{B1FB0B2A-33DE-4E44-BB74-701C8F05B41D}"/>
  </w:font>
  <w:font w:name="方正小标宋_GBK">
    <w:panose1 w:val="02000000000000000000"/>
    <w:charset w:val="86"/>
    <w:family w:val="auto"/>
    <w:pitch w:val="default"/>
    <w:sig w:usb0="A00002BF" w:usb1="38CF7CFA" w:usb2="00082016" w:usb3="00000000" w:csb0="00040001" w:csb1="00000000"/>
    <w:embedRegular r:id="rId7" w:fontKey="{50D17700-66FA-4B87-BFAA-0B9B3461BF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FE04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D0E6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7D0E6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DB047A"/>
    <w:multiLevelType w:val="singleLevel"/>
    <w:tmpl w:val="A3DB047A"/>
    <w:lvl w:ilvl="0" w:tentative="0">
      <w:start w:val="1"/>
      <w:numFmt w:val="decimal"/>
      <w:suff w:val="nothing"/>
      <w:lvlText w:val="%1、"/>
      <w:lvlJc w:val="left"/>
    </w:lvl>
  </w:abstractNum>
  <w:abstractNum w:abstractNumId="1">
    <w:nsid w:val="B64D1F0F"/>
    <w:multiLevelType w:val="singleLevel"/>
    <w:tmpl w:val="B64D1F0F"/>
    <w:lvl w:ilvl="0" w:tentative="0">
      <w:start w:val="1"/>
      <w:numFmt w:val="decimal"/>
      <w:suff w:val="nothing"/>
      <w:lvlText w:val="（%1）"/>
      <w:lvlJc w:val="left"/>
    </w:lvl>
  </w:abstractNum>
  <w:abstractNum w:abstractNumId="2">
    <w:nsid w:val="CC017888"/>
    <w:multiLevelType w:val="singleLevel"/>
    <w:tmpl w:val="CC017888"/>
    <w:lvl w:ilvl="0" w:tentative="0">
      <w:start w:val="1"/>
      <w:numFmt w:val="decimal"/>
      <w:pStyle w:val="18"/>
      <w:suff w:val="nothing"/>
      <w:lvlText w:val="%1"/>
      <w:lvlJc w:val="center"/>
      <w:pPr>
        <w:ind w:left="0" w:firstLine="0"/>
      </w:pPr>
      <w:rPr>
        <w:rFonts w:hint="default"/>
      </w:rPr>
    </w:lvl>
  </w:abstractNum>
  <w:abstractNum w:abstractNumId="3">
    <w:nsid w:val="CE629AAA"/>
    <w:multiLevelType w:val="singleLevel"/>
    <w:tmpl w:val="CE629AAA"/>
    <w:lvl w:ilvl="0" w:tentative="0">
      <w:start w:val="1"/>
      <w:numFmt w:val="decimal"/>
      <w:suff w:val="nothing"/>
      <w:lvlText w:val="%1．"/>
      <w:lvlJc w:val="left"/>
      <w:pPr>
        <w:ind w:left="0" w:firstLine="400"/>
      </w:pPr>
      <w:rPr>
        <w:rFonts w:hint="default"/>
      </w:rPr>
    </w:lvl>
  </w:abstractNum>
  <w:abstractNum w:abstractNumId="4">
    <w:nsid w:val="E69B66D1"/>
    <w:multiLevelType w:val="singleLevel"/>
    <w:tmpl w:val="E69B66D1"/>
    <w:lvl w:ilvl="0" w:tentative="0">
      <w:start w:val="1"/>
      <w:numFmt w:val="decimal"/>
      <w:suff w:val="nothing"/>
      <w:lvlText w:val="%1、"/>
      <w:lvlJc w:val="left"/>
    </w:lvl>
  </w:abstractNum>
  <w:abstractNum w:abstractNumId="5">
    <w:nsid w:val="1A7F49A3"/>
    <w:multiLevelType w:val="singleLevel"/>
    <w:tmpl w:val="1A7F49A3"/>
    <w:lvl w:ilvl="0" w:tentative="0">
      <w:start w:val="3"/>
      <w:numFmt w:val="chineseCounting"/>
      <w:suff w:val="nothing"/>
      <w:lvlText w:val="（%1）"/>
      <w:lvlJc w:val="left"/>
      <w:rPr>
        <w:rFonts w:hint="eastAsia"/>
      </w:rPr>
    </w:lvl>
  </w:abstractNum>
  <w:abstractNum w:abstractNumId="6">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7">
    <w:nsid w:val="49BAB68B"/>
    <w:multiLevelType w:val="singleLevel"/>
    <w:tmpl w:val="49BAB68B"/>
    <w:lvl w:ilvl="0" w:tentative="0">
      <w:start w:val="1"/>
      <w:numFmt w:val="decimal"/>
      <w:suff w:val="nothing"/>
      <w:lvlText w:val="%1．"/>
      <w:lvlJc w:val="left"/>
      <w:pPr>
        <w:ind w:left="0" w:firstLine="400"/>
      </w:pPr>
      <w:rPr>
        <w:rFonts w:hint="default"/>
      </w:rPr>
    </w:lvl>
  </w:abstractNum>
  <w:abstractNum w:abstractNumId="8">
    <w:nsid w:val="4F43B6A7"/>
    <w:multiLevelType w:val="singleLevel"/>
    <w:tmpl w:val="4F43B6A7"/>
    <w:lvl w:ilvl="0" w:tentative="0">
      <w:start w:val="2"/>
      <w:numFmt w:val="chineseCounting"/>
      <w:suff w:val="nothing"/>
      <w:lvlText w:val="%1、"/>
      <w:lvlJc w:val="left"/>
      <w:rPr>
        <w:rFonts w:hint="eastAsia"/>
      </w:rPr>
    </w:lvl>
  </w:abstractNum>
  <w:abstractNum w:abstractNumId="9">
    <w:nsid w:val="5A6E810C"/>
    <w:multiLevelType w:val="singleLevel"/>
    <w:tmpl w:val="5A6E810C"/>
    <w:lvl w:ilvl="0" w:tentative="0">
      <w:start w:val="1"/>
      <w:numFmt w:val="decimal"/>
      <w:suff w:val="nothing"/>
      <w:lvlText w:val="%1、"/>
      <w:lvlJc w:val="left"/>
    </w:lvl>
  </w:abstractNum>
  <w:abstractNum w:abstractNumId="10">
    <w:nsid w:val="5B399AC9"/>
    <w:multiLevelType w:val="singleLevel"/>
    <w:tmpl w:val="5B399AC9"/>
    <w:lvl w:ilvl="0" w:tentative="0">
      <w:start w:val="1"/>
      <w:numFmt w:val="decimal"/>
      <w:suff w:val="nothing"/>
      <w:lvlText w:val="%1、"/>
      <w:lvlJc w:val="left"/>
    </w:lvl>
  </w:abstractNum>
  <w:num w:numId="1">
    <w:abstractNumId w:val="2"/>
  </w:num>
  <w:num w:numId="2">
    <w:abstractNumId w:val="5"/>
  </w:num>
  <w:num w:numId="3">
    <w:abstractNumId w:val="7"/>
  </w:num>
  <w:num w:numId="4">
    <w:abstractNumId w:val="8"/>
  </w:num>
  <w:num w:numId="5">
    <w:abstractNumId w:val="6"/>
  </w:num>
  <w:num w:numId="6">
    <w:abstractNumId w:val="3"/>
  </w:num>
  <w:num w:numId="7">
    <w:abstractNumId w:val="1"/>
  </w:num>
  <w:num w:numId="8">
    <w:abstractNumId w:val="0"/>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jNTVjZWM4N2FhYjJjOGNiMTEwMDA0NTNiMDhkMjkifQ=="/>
  </w:docVars>
  <w:rsids>
    <w:rsidRoot w:val="7F501FA0"/>
    <w:rsid w:val="00DC6BFF"/>
    <w:rsid w:val="01051131"/>
    <w:rsid w:val="013C6799"/>
    <w:rsid w:val="01515D1B"/>
    <w:rsid w:val="023A679D"/>
    <w:rsid w:val="0341020B"/>
    <w:rsid w:val="03E21583"/>
    <w:rsid w:val="048E0FDE"/>
    <w:rsid w:val="05641D88"/>
    <w:rsid w:val="063D397B"/>
    <w:rsid w:val="06BE5BCF"/>
    <w:rsid w:val="08900771"/>
    <w:rsid w:val="08DD6801"/>
    <w:rsid w:val="0C58610A"/>
    <w:rsid w:val="0C825B1D"/>
    <w:rsid w:val="0DBE4BC0"/>
    <w:rsid w:val="0DF30E7C"/>
    <w:rsid w:val="0F824217"/>
    <w:rsid w:val="101A5959"/>
    <w:rsid w:val="11B368EA"/>
    <w:rsid w:val="12166BDD"/>
    <w:rsid w:val="13281781"/>
    <w:rsid w:val="14203E74"/>
    <w:rsid w:val="149911FA"/>
    <w:rsid w:val="14AD5AF1"/>
    <w:rsid w:val="15E20949"/>
    <w:rsid w:val="16655F19"/>
    <w:rsid w:val="173A1679"/>
    <w:rsid w:val="177078DD"/>
    <w:rsid w:val="18E229D6"/>
    <w:rsid w:val="1ABF52E7"/>
    <w:rsid w:val="1AEA4579"/>
    <w:rsid w:val="1C155B9F"/>
    <w:rsid w:val="1CE1063D"/>
    <w:rsid w:val="1CF6796B"/>
    <w:rsid w:val="1D196AF2"/>
    <w:rsid w:val="1D6E403B"/>
    <w:rsid w:val="1EB76777"/>
    <w:rsid w:val="1ED71017"/>
    <w:rsid w:val="1F024326"/>
    <w:rsid w:val="1FA92F69"/>
    <w:rsid w:val="24A87C93"/>
    <w:rsid w:val="250D6D8C"/>
    <w:rsid w:val="28210FFA"/>
    <w:rsid w:val="284B34CF"/>
    <w:rsid w:val="286B7EA8"/>
    <w:rsid w:val="28B746DD"/>
    <w:rsid w:val="28CB3EC1"/>
    <w:rsid w:val="28E1715E"/>
    <w:rsid w:val="2A2B7203"/>
    <w:rsid w:val="2B4C1378"/>
    <w:rsid w:val="2B960362"/>
    <w:rsid w:val="2C177B14"/>
    <w:rsid w:val="2C554250"/>
    <w:rsid w:val="2E8342B4"/>
    <w:rsid w:val="300A3B11"/>
    <w:rsid w:val="31E756D4"/>
    <w:rsid w:val="325D1C10"/>
    <w:rsid w:val="335E433E"/>
    <w:rsid w:val="37CD1A92"/>
    <w:rsid w:val="3D551C3F"/>
    <w:rsid w:val="3F1E4982"/>
    <w:rsid w:val="3FFC7F1E"/>
    <w:rsid w:val="40535028"/>
    <w:rsid w:val="408511D9"/>
    <w:rsid w:val="40EF41AB"/>
    <w:rsid w:val="41744812"/>
    <w:rsid w:val="41984EBF"/>
    <w:rsid w:val="41A708E0"/>
    <w:rsid w:val="42134546"/>
    <w:rsid w:val="42254279"/>
    <w:rsid w:val="466E4440"/>
    <w:rsid w:val="46C6602A"/>
    <w:rsid w:val="470B734E"/>
    <w:rsid w:val="49AE08AC"/>
    <w:rsid w:val="4A056E6A"/>
    <w:rsid w:val="4A1C2EF5"/>
    <w:rsid w:val="4A4E54E6"/>
    <w:rsid w:val="4B0215FB"/>
    <w:rsid w:val="4D0F789A"/>
    <w:rsid w:val="4D1556FC"/>
    <w:rsid w:val="4D2E492A"/>
    <w:rsid w:val="4FBA7845"/>
    <w:rsid w:val="52B86F4E"/>
    <w:rsid w:val="54E81862"/>
    <w:rsid w:val="54ED3084"/>
    <w:rsid w:val="55F61BC2"/>
    <w:rsid w:val="56503B63"/>
    <w:rsid w:val="56B45E9F"/>
    <w:rsid w:val="59913CC9"/>
    <w:rsid w:val="5BD028CC"/>
    <w:rsid w:val="5CC001EE"/>
    <w:rsid w:val="5D9B6E90"/>
    <w:rsid w:val="5E5C29B0"/>
    <w:rsid w:val="5F2D4540"/>
    <w:rsid w:val="5F5F1147"/>
    <w:rsid w:val="5FF946E6"/>
    <w:rsid w:val="5FFC61D7"/>
    <w:rsid w:val="62291DB5"/>
    <w:rsid w:val="6393749D"/>
    <w:rsid w:val="652F20BC"/>
    <w:rsid w:val="66B915CF"/>
    <w:rsid w:val="670B5045"/>
    <w:rsid w:val="67512C7A"/>
    <w:rsid w:val="67A535E2"/>
    <w:rsid w:val="69C935B8"/>
    <w:rsid w:val="6A2B4273"/>
    <w:rsid w:val="6A3F3B67"/>
    <w:rsid w:val="6A557BDC"/>
    <w:rsid w:val="6B0B6DFB"/>
    <w:rsid w:val="6C111246"/>
    <w:rsid w:val="6DAF0D17"/>
    <w:rsid w:val="6DF750A5"/>
    <w:rsid w:val="6DF826BE"/>
    <w:rsid w:val="6F411E43"/>
    <w:rsid w:val="72005FE5"/>
    <w:rsid w:val="720B7CDC"/>
    <w:rsid w:val="726C685A"/>
    <w:rsid w:val="73685F85"/>
    <w:rsid w:val="74462BCA"/>
    <w:rsid w:val="74991B66"/>
    <w:rsid w:val="74BD640F"/>
    <w:rsid w:val="75BD6E5D"/>
    <w:rsid w:val="767F32E9"/>
    <w:rsid w:val="76901C2B"/>
    <w:rsid w:val="76CE4E99"/>
    <w:rsid w:val="776D2369"/>
    <w:rsid w:val="783A4000"/>
    <w:rsid w:val="784E1B0A"/>
    <w:rsid w:val="7EA06B86"/>
    <w:rsid w:val="7F501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23"/>
    <w:qFormat/>
    <w:uiPriority w:val="0"/>
    <w:pPr>
      <w:keepNext/>
      <w:keepLines/>
      <w:spacing w:before="340" w:beforeLines="0" w:beforeAutospacing="0" w:after="330" w:afterLines="0" w:afterAutospacing="0" w:line="576" w:lineRule="auto"/>
      <w:jc w:val="center"/>
      <w:outlineLvl w:val="0"/>
    </w:pPr>
    <w:rPr>
      <w:rFonts w:ascii="Times New Roman" w:hAnsi="Times New Roman" w:eastAsia="方正小标宋简体" w:cs="Times New Roman"/>
      <w:spacing w:val="28"/>
      <w:kern w:val="36"/>
      <w:sz w:val="36"/>
      <w:szCs w:val="20"/>
    </w:rPr>
  </w:style>
  <w:style w:type="paragraph" w:styleId="4">
    <w:name w:val="heading 2"/>
    <w:basedOn w:val="1"/>
    <w:next w:val="1"/>
    <w:link w:val="19"/>
    <w:semiHidden/>
    <w:unhideWhenUsed/>
    <w:qFormat/>
    <w:uiPriority w:val="0"/>
    <w:pPr>
      <w:keepNext/>
      <w:keepLines/>
      <w:spacing w:line="416" w:lineRule="auto"/>
      <w:jc w:val="both"/>
      <w:outlineLvl w:val="1"/>
    </w:pPr>
    <w:rPr>
      <w:rFonts w:ascii="Cambria" w:hAnsi="Cambria" w:eastAsia="黑体" w:cs="Times New Roman"/>
      <w:sz w:val="28"/>
      <w:szCs w:val="32"/>
    </w:rPr>
  </w:style>
  <w:style w:type="paragraph" w:styleId="5">
    <w:name w:val="heading 3"/>
    <w:basedOn w:val="1"/>
    <w:next w:val="1"/>
    <w:link w:val="20"/>
    <w:unhideWhenUsed/>
    <w:qFormat/>
    <w:uiPriority w:val="0"/>
    <w:pPr>
      <w:keepNext/>
      <w:keepLines/>
      <w:spacing w:before="260" w:after="260" w:line="360" w:lineRule="auto"/>
      <w:ind w:left="1080" w:hanging="720"/>
      <w:jc w:val="both"/>
      <w:outlineLvl w:val="2"/>
    </w:pPr>
    <w:rPr>
      <w:rFonts w:ascii="Times New Roman" w:hAnsi="Times New Roman" w:eastAsia="楷体" w:cs="Times New Roman"/>
      <w:b/>
      <w:sz w:val="32"/>
      <w:szCs w:val="20"/>
    </w:rPr>
  </w:style>
  <w:style w:type="paragraph" w:styleId="6">
    <w:name w:val="heading 4"/>
    <w:basedOn w:val="1"/>
    <w:next w:val="1"/>
    <w:link w:val="21"/>
    <w:unhideWhenUsed/>
    <w:qFormat/>
    <w:uiPriority w:val="0"/>
    <w:pPr>
      <w:keepNext/>
      <w:keepLines/>
      <w:spacing w:before="280" w:after="290" w:line="376" w:lineRule="auto"/>
      <w:outlineLvl w:val="3"/>
    </w:pPr>
    <w:rPr>
      <w:rFonts w:ascii="黑体" w:hAnsi="黑体" w:eastAsia="黑体" w:cstheme="majorBidi"/>
      <w:b/>
      <w:bCs/>
      <w:sz w:val="28"/>
      <w:szCs w:val="28"/>
    </w:rPr>
  </w:style>
  <w:style w:type="paragraph" w:styleId="7">
    <w:name w:val="heading 5"/>
    <w:next w:val="1"/>
    <w:link w:val="24"/>
    <w:unhideWhenUsed/>
    <w:qFormat/>
    <w:uiPriority w:val="0"/>
    <w:pPr>
      <w:keepNext/>
      <w:keepLines/>
      <w:widowControl w:val="0"/>
      <w:spacing w:before="200" w:after="220" w:line="240" w:lineRule="auto"/>
      <w:jc w:val="both"/>
      <w:outlineLvl w:val="4"/>
    </w:pPr>
    <w:rPr>
      <w:rFonts w:ascii="Times New Roman" w:hAnsi="Times New Roman" w:eastAsia="黑体" w:cs="Times New Roman"/>
      <w:kern w:val="2"/>
      <w:sz w:val="24"/>
      <w:szCs w:val="24"/>
      <w:lang w:val="en-US" w:eastAsia="zh-CN" w:bidi="ar-SA"/>
    </w:rPr>
  </w:style>
  <w:style w:type="paragraph" w:styleId="8">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5">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afterLines="0" w:afterAutospacing="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pPr>
      <w:jc w:val="left"/>
    </w:pPr>
    <w:rPr>
      <w:rFonts w:ascii="等线" w:hAnsi="等线" w:eastAsia="微软雅黑" w:cs="宋体"/>
      <w:b/>
      <w:sz w:val="24"/>
      <w:szCs w:val="22"/>
    </w:rPr>
  </w:style>
  <w:style w:type="paragraph" w:styleId="12">
    <w:name w:val="Normal (Web)"/>
    <w:qFormat/>
    <w:uiPriority w:val="0"/>
    <w:pPr>
      <w:widowControl w:val="0"/>
      <w:jc w:val="both"/>
    </w:pPr>
    <w:rPr>
      <w:rFonts w:ascii="Calibri" w:hAnsi="Calibri" w:eastAsia="宋体" w:cs="Times New Roman"/>
      <w:kern w:val="2"/>
      <w:sz w:val="24"/>
      <w:szCs w:val="24"/>
      <w:lang w:val="en-US" w:eastAsia="zh-CN" w:bidi="ar-SA"/>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表头"/>
    <w:basedOn w:val="1"/>
    <w:qFormat/>
    <w:uiPriority w:val="0"/>
    <w:pPr>
      <w:spacing w:line="360" w:lineRule="auto"/>
      <w:jc w:val="center"/>
    </w:pPr>
    <w:rPr>
      <w:rFonts w:hint="eastAsia" w:ascii="Times New Roman" w:hAnsi="Times New Roman" w:eastAsia="微软雅黑"/>
      <w:b/>
      <w:sz w:val="22"/>
      <w:szCs w:val="22"/>
    </w:rPr>
  </w:style>
  <w:style w:type="paragraph" w:customStyle="1" w:styleId="17">
    <w:name w:val="表格内标题行"/>
    <w:basedOn w:val="1"/>
    <w:qFormat/>
    <w:uiPriority w:val="0"/>
    <w:pPr>
      <w:widowControl/>
      <w:tabs>
        <w:tab w:val="left" w:pos="33"/>
      </w:tabs>
      <w:spacing w:line="480" w:lineRule="auto"/>
      <w:ind w:left="0" w:right="0" w:rightChars="0" w:firstLine="920" w:firstLineChars="100"/>
      <w:jc w:val="center"/>
    </w:pPr>
    <w:rPr>
      <w:rFonts w:ascii="宋体" w:hAnsi="宋体" w:eastAsia="黑体" w:cs="宋体"/>
      <w:b/>
      <w:szCs w:val="24"/>
    </w:rPr>
  </w:style>
  <w:style w:type="paragraph" w:customStyle="1" w:styleId="18">
    <w:name w:val="表格内容左对齐"/>
    <w:basedOn w:val="1"/>
    <w:qFormat/>
    <w:uiPriority w:val="0"/>
    <w:pPr>
      <w:widowControl/>
      <w:numPr>
        <w:ilvl w:val="0"/>
        <w:numId w:val="1"/>
      </w:numPr>
      <w:tabs>
        <w:tab w:val="left" w:pos="33"/>
      </w:tabs>
      <w:spacing w:line="260" w:lineRule="exact"/>
      <w:ind w:right="-48" w:rightChars="-23" w:firstLine="920" w:firstLineChars="100"/>
      <w:jc w:val="left"/>
    </w:pPr>
    <w:rPr>
      <w:rFonts w:ascii="宋体" w:hAnsi="宋体" w:eastAsia="微软雅黑" w:cs="宋体"/>
      <w:sz w:val="20"/>
      <w:szCs w:val="24"/>
    </w:rPr>
  </w:style>
  <w:style w:type="character" w:customStyle="1" w:styleId="19">
    <w:name w:val="标题 2 Char"/>
    <w:link w:val="4"/>
    <w:qFormat/>
    <w:uiPriority w:val="0"/>
    <w:rPr>
      <w:rFonts w:ascii="Cambria" w:hAnsi="Cambria" w:eastAsia="黑体" w:cs="Times New Roman"/>
      <w:sz w:val="28"/>
      <w:szCs w:val="32"/>
    </w:rPr>
  </w:style>
  <w:style w:type="character" w:customStyle="1" w:styleId="20">
    <w:name w:val="标题 3 Char"/>
    <w:link w:val="5"/>
    <w:qFormat/>
    <w:uiPriority w:val="0"/>
    <w:rPr>
      <w:rFonts w:ascii="Times New Roman" w:hAnsi="Times New Roman" w:eastAsia="楷体" w:cs="Times New Roman"/>
      <w:b/>
      <w:sz w:val="32"/>
      <w:szCs w:val="20"/>
    </w:rPr>
  </w:style>
  <w:style w:type="character" w:customStyle="1" w:styleId="21">
    <w:name w:val="标题 4 Char"/>
    <w:link w:val="6"/>
    <w:qFormat/>
    <w:uiPriority w:val="0"/>
    <w:rPr>
      <w:rFonts w:ascii="Cambria" w:hAnsi="Cambria" w:eastAsia="黑体" w:cs="Times New Roman"/>
      <w:sz w:val="28"/>
      <w:szCs w:val="28"/>
    </w:rPr>
  </w:style>
  <w:style w:type="paragraph" w:customStyle="1" w:styleId="22">
    <w:name w:val="正文(首行缩进)"/>
    <w:basedOn w:val="1"/>
    <w:qFormat/>
    <w:uiPriority w:val="0"/>
    <w:pPr>
      <w:widowControl/>
      <w:spacing w:line="340" w:lineRule="exact"/>
      <w:ind w:firstLine="1840" w:firstLineChars="200"/>
      <w:jc w:val="left"/>
    </w:pPr>
    <w:rPr>
      <w:rFonts w:ascii="Arial Narrow" w:hAnsi="Arial Narrow" w:eastAsia="宋体"/>
      <w:sz w:val="24"/>
      <w:szCs w:val="22"/>
    </w:rPr>
  </w:style>
  <w:style w:type="character" w:customStyle="1" w:styleId="23">
    <w:name w:val="标题 1 Char"/>
    <w:link w:val="3"/>
    <w:qFormat/>
    <w:uiPriority w:val="0"/>
    <w:rPr>
      <w:rFonts w:ascii="Times New Roman" w:hAnsi="Times New Roman" w:eastAsia="方正小标宋简体"/>
      <w:spacing w:val="28"/>
      <w:kern w:val="36"/>
      <w:sz w:val="36"/>
      <w:szCs w:val="20"/>
    </w:rPr>
  </w:style>
  <w:style w:type="character" w:customStyle="1" w:styleId="24">
    <w:name w:val="标题 5 Char"/>
    <w:link w:val="7"/>
    <w:qFormat/>
    <w:uiPriority w:val="0"/>
    <w:rPr>
      <w:rFonts w:ascii="Times New Roman" w:hAnsi="Times New Roman" w:eastAsia="黑体" w:cs="Times New Roman"/>
      <w:kern w:val="2"/>
      <w:sz w:val="24"/>
      <w:szCs w:val="24"/>
      <w:lang w:val="en-US" w:eastAsia="zh-CN" w:bidi="ar-SA"/>
    </w:rPr>
  </w:style>
  <w:style w:type="paragraph" w:customStyle="1" w:styleId="25">
    <w:name w:val="正文四号"/>
    <w:basedOn w:val="1"/>
    <w:link w:val="26"/>
    <w:qFormat/>
    <w:uiPriority w:val="0"/>
    <w:pPr>
      <w:ind w:firstLine="529" w:firstLineChars="189"/>
    </w:pPr>
    <w:rPr>
      <w:rFonts w:eastAsia="仿宋_GB2312" w:asciiTheme="minorAscii" w:hAnsiTheme="minorAscii"/>
      <w:sz w:val="28"/>
      <w:szCs w:val="28"/>
    </w:rPr>
  </w:style>
  <w:style w:type="character" w:customStyle="1" w:styleId="26">
    <w:name w:val="正文四号 字符"/>
    <w:basedOn w:val="27"/>
    <w:link w:val="25"/>
    <w:qFormat/>
    <w:uiPriority w:val="0"/>
    <w:rPr>
      <w:rFonts w:eastAsia="仿宋_GB2312" w:asciiTheme="minorAscii" w:hAnsiTheme="minorAscii"/>
      <w:sz w:val="28"/>
      <w:szCs w:val="28"/>
    </w:rPr>
  </w:style>
  <w:style w:type="character" w:customStyle="1" w:styleId="27">
    <w:name w:val="列出段落 字符"/>
    <w:basedOn w:val="15"/>
    <w:link w:val="28"/>
    <w:qFormat/>
    <w:uiPriority w:val="34"/>
  </w:style>
  <w:style w:type="paragraph" w:styleId="28">
    <w:name w:val="List Paragraph"/>
    <w:basedOn w:val="1"/>
    <w:link w:val="27"/>
    <w:qFormat/>
    <w:uiPriority w:val="34"/>
    <w:pPr>
      <w:ind w:firstLine="420" w:firstLineChars="200"/>
    </w:pPr>
  </w:style>
  <w:style w:type="paragraph" w:customStyle="1" w:styleId="29">
    <w:name w:val="论文标题"/>
    <w:basedOn w:val="1"/>
    <w:qFormat/>
    <w:uiPriority w:val="0"/>
    <w:pPr>
      <w:jc w:val="center"/>
    </w:pPr>
    <w:rPr>
      <w:rFonts w:eastAsia="楷体_GB2312"/>
      <w:b/>
      <w:kern w:val="36"/>
      <w:sz w:val="52"/>
      <w:szCs w:val="52"/>
    </w:rPr>
  </w:style>
  <w:style w:type="paragraph" w:customStyle="1" w:styleId="30">
    <w:name w:val="研究生姓名"/>
    <w:basedOn w:val="1"/>
    <w:qFormat/>
    <w:uiPriority w:val="0"/>
    <w:pPr>
      <w:ind w:firstLine="700" w:firstLineChars="700"/>
    </w:pPr>
    <w:rPr>
      <w:sz w:val="28"/>
      <w:szCs w:val="28"/>
    </w:rPr>
  </w:style>
  <w:style w:type="paragraph" w:customStyle="1" w:styleId="31">
    <w:name w:val="封面日期"/>
    <w:basedOn w:val="1"/>
    <w:qFormat/>
    <w:uiPriority w:val="0"/>
    <w:pPr>
      <w:jc w:val="center"/>
    </w:pPr>
    <w:rPr>
      <w:rFonts w:ascii="黑体" w:eastAsia="黑体"/>
      <w:sz w:val="32"/>
      <w:szCs w:val="32"/>
    </w:rPr>
  </w:style>
  <w:style w:type="paragraph" w:customStyle="1" w:styleId="32">
    <w:name w:val="WPSOffice手动目录 1"/>
    <w:qFormat/>
    <w:uiPriority w:val="0"/>
    <w:pPr>
      <w:ind w:leftChars="0"/>
    </w:pPr>
    <w:rPr>
      <w:rFonts w:asciiTheme="minorHAnsi" w:hAnsiTheme="minorHAnsi" w:eastAsiaTheme="minorEastAsia" w:cstheme="minorBidi"/>
      <w:sz w:val="20"/>
      <w:szCs w:val="20"/>
    </w:rPr>
  </w:style>
  <w:style w:type="paragraph" w:customStyle="1" w:styleId="33">
    <w:name w:val="WPSOffice手动目录 2"/>
    <w:qFormat/>
    <w:uiPriority w:val="0"/>
    <w:pPr>
      <w:ind w:leftChars="200"/>
    </w:pPr>
    <w:rPr>
      <w:rFonts w:asciiTheme="minorHAnsi" w:hAnsiTheme="minorHAnsi" w:eastAsiaTheme="minorEastAsia" w:cstheme="minorBidi"/>
      <w:sz w:val="20"/>
      <w:szCs w:val="20"/>
    </w:rPr>
  </w:style>
  <w:style w:type="character" w:customStyle="1" w:styleId="34">
    <w:name w:val="font21"/>
    <w:basedOn w:val="15"/>
    <w:qFormat/>
    <w:uiPriority w:val="0"/>
    <w:rPr>
      <w:rFonts w:hint="eastAsia" w:ascii="宋体" w:hAnsi="宋体" w:eastAsia="宋体" w:cs="宋体"/>
      <w:color w:val="000000"/>
      <w:sz w:val="20"/>
      <w:szCs w:val="20"/>
      <w:u w:val="none"/>
    </w:rPr>
  </w:style>
  <w:style w:type="character" w:customStyle="1" w:styleId="35">
    <w:name w:val="font51"/>
    <w:basedOn w:val="15"/>
    <w:qFormat/>
    <w:uiPriority w:val="0"/>
    <w:rPr>
      <w:rFonts w:hint="eastAsia" w:ascii="宋体" w:hAnsi="宋体" w:eastAsia="宋体" w:cs="宋体"/>
      <w:color w:val="FF0000"/>
      <w:sz w:val="20"/>
      <w:szCs w:val="20"/>
      <w:u w:val="none"/>
    </w:rPr>
  </w:style>
  <w:style w:type="character" w:customStyle="1" w:styleId="36">
    <w:name w:val="font3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81</Words>
  <Characters>85</Characters>
  <Lines>0</Lines>
  <Paragraphs>0</Paragraphs>
  <TotalTime>5</TotalTime>
  <ScaleCrop>false</ScaleCrop>
  <LinksUpToDate>false</LinksUpToDate>
  <CharactersWithSpaces>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2021-08-30T07:24:00Z</dcterms:created>
  <dc:creator>Sugar</dc:creator>
  <cp:lastModifiedBy>WPS_1776758743</cp:lastModifiedBy>
  <cp:lastPrinted>2026-10-12T06:36:16Z</cp:lastPrinted>
  <dcterms:modified xsi:type="dcterms:W3CDTF">2026-10-12T06:36:39Z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18783CDB48BC4091981A14B23A47479F_13</vt:lpwstr>
  </property>
  <property fmtid="{D5CDD505-2E9C-101B-9397-08002B2CF9AE}" pid="4" name="KSOSaveFontToCloudKey">
    <vt:lpwstr>217099218_cloud</vt:lpwstr>
  </property>
  <property fmtid="{D5CDD505-2E9C-101B-9397-08002B2CF9AE}" pid="5" name="KSOTemplateDocerSaveRecord">
    <vt:lpwstr>eyJoZGlkIjoiY2YzZTFhNzdkMTE5ZWZmODYwNzhkYmE2ODJjMmRkYmQiLCJ1c2VySWQiOiIxODI0NzU0MDUzIn0=</vt:lpwstr>
  </property>
</Properties>
</file>