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EA42E6">
      <w:pPr>
        <w:widowControl/>
        <w:numPr>
          <w:ilvl w:val="0"/>
          <w:numId w:val="1"/>
        </w:numPr>
        <w:spacing w:line="440" w:lineRule="exact"/>
        <w:jc w:val="center"/>
        <w:rPr>
          <w:rFonts w:hint="eastAsia" w:ascii="宋体" w:hAnsi="宋体" w:cs="宋体"/>
          <w:b/>
          <w:color w:val="auto"/>
          <w:sz w:val="32"/>
          <w:szCs w:val="32"/>
        </w:rPr>
      </w:pPr>
      <w:r>
        <w:rPr>
          <w:rFonts w:hint="eastAsia" w:ascii="宋体" w:hAnsi="宋体" w:cs="宋体"/>
          <w:b/>
          <w:color w:val="auto"/>
          <w:sz w:val="32"/>
          <w:szCs w:val="32"/>
        </w:rPr>
        <w:t>采购需求</w:t>
      </w:r>
    </w:p>
    <w:p w14:paraId="707202C3">
      <w:pPr>
        <w:pStyle w:val="3"/>
        <w:adjustRightInd w:val="0"/>
        <w:snapToGrid w:val="0"/>
        <w:spacing w:beforeLines="50"/>
        <w:jc w:val="center"/>
        <w:rPr>
          <w:rFonts w:ascii="黑体" w:hAnsi="黑体" w:eastAsia="黑体"/>
          <w:sz w:val="28"/>
          <w:szCs w:val="28"/>
        </w:rPr>
      </w:pPr>
      <w:bookmarkStart w:id="0" w:name="_Toc32680"/>
      <w:r>
        <w:rPr>
          <w:rFonts w:hint="eastAsia" w:ascii="黑体" w:hAnsi="黑体" w:eastAsia="黑体"/>
          <w:sz w:val="28"/>
          <w:szCs w:val="28"/>
        </w:rPr>
        <w:t>第一节 采购清单一览表</w:t>
      </w:r>
      <w:bookmarkEnd w:id="0"/>
    </w:p>
    <w:tbl>
      <w:tblPr>
        <w:tblStyle w:val="5"/>
        <w:tblW w:w="9633" w:type="dxa"/>
        <w:tblInd w:w="-197"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50"/>
        <w:gridCol w:w="3225"/>
        <w:gridCol w:w="1230"/>
        <w:gridCol w:w="738"/>
        <w:gridCol w:w="1948"/>
        <w:gridCol w:w="1057"/>
        <w:gridCol w:w="685"/>
      </w:tblGrid>
      <w:tr w14:paraId="2E346D0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364" w:hRule="atLeast"/>
        </w:trPr>
        <w:tc>
          <w:tcPr>
            <w:tcW w:w="750" w:type="dxa"/>
            <w:vMerge w:val="restart"/>
            <w:noWrap w:val="0"/>
            <w:vAlign w:val="center"/>
          </w:tcPr>
          <w:p w14:paraId="0A5A8FBA">
            <w:pPr>
              <w:adjustRightInd w:val="0"/>
              <w:snapToGrid w:val="0"/>
              <w:spacing w:line="360" w:lineRule="auto"/>
              <w:jc w:val="center"/>
              <w:rPr>
                <w:szCs w:val="21"/>
              </w:rPr>
            </w:pPr>
            <w:r>
              <w:rPr>
                <w:rFonts w:hint="eastAsia"/>
                <w:szCs w:val="21"/>
              </w:rPr>
              <w:t>序号</w:t>
            </w:r>
          </w:p>
        </w:tc>
        <w:tc>
          <w:tcPr>
            <w:tcW w:w="3225" w:type="dxa"/>
            <w:vMerge w:val="restart"/>
            <w:noWrap w:val="0"/>
            <w:vAlign w:val="center"/>
          </w:tcPr>
          <w:p w14:paraId="267349C3">
            <w:pPr>
              <w:adjustRightInd w:val="0"/>
              <w:snapToGrid w:val="0"/>
              <w:spacing w:line="360" w:lineRule="auto"/>
              <w:jc w:val="center"/>
              <w:rPr>
                <w:szCs w:val="21"/>
              </w:rPr>
            </w:pPr>
            <w:r>
              <w:rPr>
                <w:rFonts w:hint="eastAsia"/>
                <w:szCs w:val="21"/>
              </w:rPr>
              <w:t>包名称</w:t>
            </w:r>
          </w:p>
        </w:tc>
        <w:tc>
          <w:tcPr>
            <w:tcW w:w="1230" w:type="dxa"/>
            <w:vMerge w:val="restart"/>
            <w:tcBorders>
              <w:left w:val="single" w:color="auto" w:sz="4" w:space="0"/>
            </w:tcBorders>
            <w:noWrap w:val="0"/>
            <w:vAlign w:val="center"/>
          </w:tcPr>
          <w:p w14:paraId="2490DB39">
            <w:pPr>
              <w:adjustRightInd w:val="0"/>
              <w:snapToGrid w:val="0"/>
              <w:spacing w:line="360" w:lineRule="auto"/>
              <w:jc w:val="center"/>
              <w:rPr>
                <w:rFonts w:ascii="宋体" w:hAnsi="宋体" w:cs="宋体"/>
                <w:color w:val="000000"/>
                <w:kern w:val="0"/>
                <w:szCs w:val="21"/>
              </w:rPr>
            </w:pPr>
            <w:r>
              <w:rPr>
                <w:rFonts w:ascii="宋体" w:hAnsi="宋体" w:cs="宋体"/>
                <w:color w:val="000000"/>
                <w:kern w:val="0"/>
                <w:szCs w:val="21"/>
              </w:rPr>
              <w:t>是否接受</w:t>
            </w:r>
          </w:p>
          <w:p w14:paraId="2A95AB4A">
            <w:pPr>
              <w:adjustRightInd w:val="0"/>
              <w:snapToGrid w:val="0"/>
              <w:spacing w:line="360" w:lineRule="auto"/>
              <w:jc w:val="center"/>
              <w:rPr>
                <w:szCs w:val="21"/>
              </w:rPr>
            </w:pPr>
            <w:r>
              <w:rPr>
                <w:rFonts w:ascii="宋体" w:hAnsi="宋体" w:cs="宋体"/>
                <w:color w:val="000000"/>
                <w:kern w:val="0"/>
                <w:szCs w:val="21"/>
              </w:rPr>
              <w:t>进口设备</w:t>
            </w:r>
          </w:p>
        </w:tc>
        <w:tc>
          <w:tcPr>
            <w:tcW w:w="738" w:type="dxa"/>
            <w:vMerge w:val="restart"/>
            <w:noWrap w:val="0"/>
            <w:vAlign w:val="center"/>
          </w:tcPr>
          <w:p w14:paraId="054045DB">
            <w:pPr>
              <w:adjustRightInd w:val="0"/>
              <w:snapToGrid w:val="0"/>
              <w:spacing w:line="360" w:lineRule="auto"/>
              <w:jc w:val="center"/>
              <w:rPr>
                <w:szCs w:val="21"/>
              </w:rPr>
            </w:pPr>
            <w:r>
              <w:rPr>
                <w:rFonts w:hint="eastAsia"/>
                <w:szCs w:val="21"/>
              </w:rPr>
              <w:t>数量</w:t>
            </w:r>
          </w:p>
        </w:tc>
        <w:tc>
          <w:tcPr>
            <w:tcW w:w="3005" w:type="dxa"/>
            <w:gridSpan w:val="2"/>
            <w:noWrap w:val="0"/>
            <w:vAlign w:val="center"/>
          </w:tcPr>
          <w:p w14:paraId="120EC297">
            <w:pPr>
              <w:adjustRightInd w:val="0"/>
              <w:snapToGrid w:val="0"/>
              <w:spacing w:line="360" w:lineRule="auto"/>
              <w:jc w:val="center"/>
              <w:rPr>
                <w:szCs w:val="21"/>
              </w:rPr>
            </w:pPr>
            <w:r>
              <w:rPr>
                <w:rFonts w:hint="eastAsia"/>
                <w:szCs w:val="21"/>
                <w:lang w:eastAsia="zh-CN"/>
              </w:rPr>
              <w:t>工程</w:t>
            </w:r>
            <w:r>
              <w:rPr>
                <w:rFonts w:hint="eastAsia"/>
                <w:szCs w:val="21"/>
              </w:rPr>
              <w:t>要求</w:t>
            </w:r>
          </w:p>
        </w:tc>
        <w:tc>
          <w:tcPr>
            <w:tcW w:w="685" w:type="dxa"/>
            <w:vMerge w:val="restart"/>
            <w:noWrap w:val="0"/>
            <w:vAlign w:val="center"/>
          </w:tcPr>
          <w:p w14:paraId="6E5FE3DD">
            <w:pPr>
              <w:adjustRightInd w:val="0"/>
              <w:snapToGrid w:val="0"/>
              <w:spacing w:line="360" w:lineRule="auto"/>
              <w:jc w:val="center"/>
              <w:rPr>
                <w:szCs w:val="21"/>
              </w:rPr>
            </w:pPr>
            <w:r>
              <w:rPr>
                <w:rFonts w:hint="eastAsia"/>
                <w:szCs w:val="21"/>
              </w:rPr>
              <w:t>备注</w:t>
            </w:r>
          </w:p>
        </w:tc>
      </w:tr>
      <w:tr w14:paraId="58A1E83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27" w:hRule="atLeast"/>
        </w:trPr>
        <w:tc>
          <w:tcPr>
            <w:tcW w:w="750" w:type="dxa"/>
            <w:vMerge w:val="continue"/>
            <w:noWrap w:val="0"/>
            <w:vAlign w:val="center"/>
          </w:tcPr>
          <w:p w14:paraId="1083B3E0">
            <w:pPr>
              <w:adjustRightInd w:val="0"/>
              <w:snapToGrid w:val="0"/>
              <w:spacing w:beforeLines="50" w:line="360" w:lineRule="auto"/>
              <w:jc w:val="center"/>
              <w:rPr>
                <w:szCs w:val="21"/>
              </w:rPr>
            </w:pPr>
          </w:p>
        </w:tc>
        <w:tc>
          <w:tcPr>
            <w:tcW w:w="3225" w:type="dxa"/>
            <w:vMerge w:val="continue"/>
            <w:noWrap w:val="0"/>
            <w:vAlign w:val="center"/>
          </w:tcPr>
          <w:p w14:paraId="5CB8559C">
            <w:pPr>
              <w:adjustRightInd w:val="0"/>
              <w:snapToGrid w:val="0"/>
              <w:spacing w:beforeLines="50" w:line="360" w:lineRule="auto"/>
              <w:jc w:val="center"/>
              <w:rPr>
                <w:szCs w:val="21"/>
              </w:rPr>
            </w:pPr>
          </w:p>
        </w:tc>
        <w:tc>
          <w:tcPr>
            <w:tcW w:w="1230" w:type="dxa"/>
            <w:vMerge w:val="continue"/>
            <w:tcBorders>
              <w:left w:val="single" w:color="auto" w:sz="4" w:space="0"/>
            </w:tcBorders>
            <w:noWrap w:val="0"/>
            <w:vAlign w:val="center"/>
          </w:tcPr>
          <w:p w14:paraId="0B6E02EE">
            <w:pPr>
              <w:adjustRightInd w:val="0"/>
              <w:snapToGrid w:val="0"/>
              <w:spacing w:beforeLines="50" w:line="360" w:lineRule="auto"/>
              <w:jc w:val="center"/>
              <w:rPr>
                <w:szCs w:val="21"/>
              </w:rPr>
            </w:pPr>
          </w:p>
        </w:tc>
        <w:tc>
          <w:tcPr>
            <w:tcW w:w="738" w:type="dxa"/>
            <w:vMerge w:val="continue"/>
            <w:noWrap w:val="0"/>
            <w:vAlign w:val="center"/>
          </w:tcPr>
          <w:p w14:paraId="6BA6C822">
            <w:pPr>
              <w:adjustRightInd w:val="0"/>
              <w:snapToGrid w:val="0"/>
              <w:spacing w:beforeLines="50" w:line="360" w:lineRule="auto"/>
              <w:jc w:val="center"/>
              <w:rPr>
                <w:szCs w:val="21"/>
              </w:rPr>
            </w:pPr>
          </w:p>
        </w:tc>
        <w:tc>
          <w:tcPr>
            <w:tcW w:w="1948" w:type="dxa"/>
            <w:noWrap w:val="0"/>
            <w:vAlign w:val="center"/>
          </w:tcPr>
          <w:p w14:paraId="739A8941">
            <w:pPr>
              <w:adjustRightInd w:val="0"/>
              <w:snapToGrid w:val="0"/>
              <w:spacing w:beforeLines="50" w:line="360" w:lineRule="auto"/>
              <w:jc w:val="center"/>
              <w:rPr>
                <w:color w:val="auto"/>
                <w:szCs w:val="21"/>
              </w:rPr>
            </w:pPr>
            <w:r>
              <w:rPr>
                <w:rFonts w:hint="eastAsia"/>
                <w:color w:val="auto"/>
                <w:szCs w:val="21"/>
              </w:rPr>
              <w:t>时间</w:t>
            </w:r>
          </w:p>
        </w:tc>
        <w:tc>
          <w:tcPr>
            <w:tcW w:w="1057" w:type="dxa"/>
            <w:noWrap w:val="0"/>
            <w:vAlign w:val="center"/>
          </w:tcPr>
          <w:p w14:paraId="2829AD63">
            <w:pPr>
              <w:adjustRightInd w:val="0"/>
              <w:snapToGrid w:val="0"/>
              <w:spacing w:beforeLines="50" w:line="360" w:lineRule="auto"/>
              <w:jc w:val="center"/>
              <w:rPr>
                <w:szCs w:val="21"/>
              </w:rPr>
            </w:pPr>
            <w:r>
              <w:rPr>
                <w:rFonts w:hint="eastAsia"/>
                <w:szCs w:val="21"/>
              </w:rPr>
              <w:t>地点</w:t>
            </w:r>
          </w:p>
        </w:tc>
        <w:tc>
          <w:tcPr>
            <w:tcW w:w="685" w:type="dxa"/>
            <w:vMerge w:val="continue"/>
            <w:noWrap w:val="0"/>
            <w:vAlign w:val="center"/>
          </w:tcPr>
          <w:p w14:paraId="72653EC1">
            <w:pPr>
              <w:adjustRightInd w:val="0"/>
              <w:snapToGrid w:val="0"/>
              <w:spacing w:beforeLines="50" w:line="360" w:lineRule="auto"/>
              <w:jc w:val="center"/>
              <w:rPr>
                <w:szCs w:val="21"/>
              </w:rPr>
            </w:pPr>
          </w:p>
        </w:tc>
      </w:tr>
      <w:tr w14:paraId="3B9055A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55" w:hRule="atLeast"/>
        </w:trPr>
        <w:tc>
          <w:tcPr>
            <w:tcW w:w="750" w:type="dxa"/>
            <w:noWrap w:val="0"/>
            <w:vAlign w:val="center"/>
          </w:tcPr>
          <w:p w14:paraId="61BC9D60">
            <w:pPr>
              <w:adjustRightInd w:val="0"/>
              <w:snapToGrid w:val="0"/>
              <w:spacing w:beforeLines="50" w:line="360" w:lineRule="auto"/>
              <w:jc w:val="center"/>
              <w:rPr>
                <w:rFonts w:hint="eastAsia" w:eastAsia="宋体"/>
                <w:color w:val="000000"/>
                <w:szCs w:val="21"/>
                <w:lang w:val="en-US" w:eastAsia="zh-CN"/>
              </w:rPr>
            </w:pPr>
            <w:r>
              <w:rPr>
                <w:rFonts w:hint="eastAsia"/>
                <w:color w:val="000000"/>
                <w:szCs w:val="21"/>
                <w:lang w:val="en-US" w:eastAsia="zh-CN"/>
              </w:rPr>
              <w:t>1</w:t>
            </w:r>
          </w:p>
        </w:tc>
        <w:tc>
          <w:tcPr>
            <w:tcW w:w="3225" w:type="dxa"/>
            <w:noWrap w:val="0"/>
            <w:vAlign w:val="center"/>
          </w:tcPr>
          <w:p w14:paraId="1EC5D65D">
            <w:pPr>
              <w:adjustRightInd w:val="0"/>
              <w:snapToGrid w:val="0"/>
              <w:spacing w:beforeLines="50" w:line="360" w:lineRule="auto"/>
              <w:jc w:val="center"/>
              <w:rPr>
                <w:rFonts w:hint="eastAsia" w:eastAsia="宋体"/>
                <w:color w:val="000000"/>
                <w:szCs w:val="21"/>
                <w:lang w:eastAsia="zh-CN"/>
              </w:rPr>
            </w:pPr>
            <w:r>
              <w:rPr>
                <w:rFonts w:hint="eastAsia" w:eastAsia="宋体"/>
                <w:color w:val="000000"/>
                <w:szCs w:val="21"/>
                <w:lang w:eastAsia="zh-CN"/>
              </w:rPr>
              <w:t>岳阳市第十五中学理化生实验室建设项目（工程部分）</w:t>
            </w:r>
          </w:p>
        </w:tc>
        <w:tc>
          <w:tcPr>
            <w:tcW w:w="1230" w:type="dxa"/>
            <w:tcBorders>
              <w:left w:val="single" w:color="auto" w:sz="4" w:space="0"/>
            </w:tcBorders>
            <w:noWrap w:val="0"/>
            <w:vAlign w:val="center"/>
          </w:tcPr>
          <w:p w14:paraId="37F99702">
            <w:pPr>
              <w:adjustRightInd w:val="0"/>
              <w:snapToGrid w:val="0"/>
              <w:spacing w:beforeLines="50" w:line="360" w:lineRule="auto"/>
              <w:jc w:val="center"/>
              <w:rPr>
                <w:rFonts w:hint="eastAsia" w:eastAsia="宋体"/>
                <w:color w:val="000000"/>
                <w:szCs w:val="21"/>
                <w:lang w:eastAsia="zh-CN"/>
              </w:rPr>
            </w:pPr>
            <w:r>
              <w:rPr>
                <w:rFonts w:hint="eastAsia"/>
                <w:color w:val="000000"/>
                <w:szCs w:val="21"/>
                <w:lang w:eastAsia="zh-CN"/>
              </w:rPr>
              <w:t>否</w:t>
            </w:r>
          </w:p>
        </w:tc>
        <w:tc>
          <w:tcPr>
            <w:tcW w:w="738" w:type="dxa"/>
            <w:noWrap w:val="0"/>
            <w:vAlign w:val="center"/>
          </w:tcPr>
          <w:p w14:paraId="24557A86">
            <w:pPr>
              <w:adjustRightInd w:val="0"/>
              <w:snapToGrid w:val="0"/>
              <w:spacing w:beforeLines="50" w:line="360" w:lineRule="auto"/>
              <w:jc w:val="center"/>
              <w:rPr>
                <w:rFonts w:hint="eastAsia" w:eastAsia="宋体"/>
                <w:color w:val="000000"/>
                <w:szCs w:val="21"/>
                <w:lang w:val="en-US" w:eastAsia="zh-CN"/>
              </w:rPr>
            </w:pPr>
            <w:r>
              <w:rPr>
                <w:rFonts w:hint="eastAsia"/>
                <w:color w:val="000000"/>
                <w:szCs w:val="21"/>
                <w:lang w:val="en-US" w:eastAsia="zh-CN"/>
              </w:rPr>
              <w:t>1</w:t>
            </w:r>
          </w:p>
        </w:tc>
        <w:tc>
          <w:tcPr>
            <w:tcW w:w="1948" w:type="dxa"/>
            <w:noWrap w:val="0"/>
            <w:vAlign w:val="center"/>
          </w:tcPr>
          <w:p w14:paraId="714329C5">
            <w:pPr>
              <w:adjustRightInd w:val="0"/>
              <w:snapToGrid w:val="0"/>
              <w:spacing w:beforeLines="50" w:line="360" w:lineRule="auto"/>
              <w:jc w:val="center"/>
              <w:rPr>
                <w:rFonts w:hint="eastAsia"/>
                <w:color w:val="000000"/>
                <w:szCs w:val="21"/>
              </w:rPr>
            </w:pPr>
            <w:r>
              <w:rPr>
                <w:rFonts w:hint="eastAsia"/>
                <w:color w:val="000000"/>
                <w:szCs w:val="21"/>
                <w:lang w:eastAsia="zh-CN"/>
              </w:rPr>
              <w:t>合同签订后</w:t>
            </w:r>
            <w:r>
              <w:rPr>
                <w:rFonts w:hint="eastAsia"/>
                <w:color w:val="000000"/>
                <w:szCs w:val="21"/>
                <w:lang w:val="en-US" w:eastAsia="zh-CN"/>
              </w:rPr>
              <w:t>45</w:t>
            </w:r>
            <w:r>
              <w:rPr>
                <w:rFonts w:hint="eastAsia"/>
                <w:color w:val="000000"/>
                <w:szCs w:val="21"/>
                <w:lang w:eastAsia="zh-CN"/>
              </w:rPr>
              <w:t>日历天内完成</w:t>
            </w:r>
          </w:p>
        </w:tc>
        <w:tc>
          <w:tcPr>
            <w:tcW w:w="1057" w:type="dxa"/>
            <w:noWrap w:val="0"/>
            <w:vAlign w:val="center"/>
          </w:tcPr>
          <w:p w14:paraId="6BF64421">
            <w:pPr>
              <w:adjustRightInd w:val="0"/>
              <w:snapToGrid w:val="0"/>
              <w:spacing w:beforeLines="50" w:line="360" w:lineRule="auto"/>
              <w:jc w:val="center"/>
              <w:rPr>
                <w:rFonts w:hint="eastAsia"/>
                <w:color w:val="000000"/>
                <w:szCs w:val="21"/>
              </w:rPr>
            </w:pPr>
            <w:r>
              <w:rPr>
                <w:rFonts w:hint="eastAsia"/>
                <w:color w:val="000000"/>
                <w:szCs w:val="21"/>
                <w:lang w:eastAsia="zh-CN"/>
              </w:rPr>
              <w:t>项目现场</w:t>
            </w:r>
          </w:p>
        </w:tc>
        <w:tc>
          <w:tcPr>
            <w:tcW w:w="685" w:type="dxa"/>
            <w:noWrap w:val="0"/>
            <w:vAlign w:val="center"/>
          </w:tcPr>
          <w:p w14:paraId="02A1B542">
            <w:pPr>
              <w:adjustRightInd w:val="0"/>
              <w:snapToGrid w:val="0"/>
              <w:spacing w:beforeLines="50" w:line="360" w:lineRule="auto"/>
              <w:jc w:val="center"/>
              <w:rPr>
                <w:color w:val="000000"/>
                <w:szCs w:val="21"/>
              </w:rPr>
            </w:pPr>
          </w:p>
        </w:tc>
      </w:tr>
    </w:tbl>
    <w:p w14:paraId="52B953D0">
      <w:pPr>
        <w:adjustRightInd w:val="0"/>
        <w:snapToGrid w:val="0"/>
        <w:spacing w:beforeLines="50" w:line="360" w:lineRule="auto"/>
        <w:rPr>
          <w:rFonts w:ascii="宋体" w:hAnsi="宋体"/>
          <w:color w:val="000000"/>
          <w:szCs w:val="21"/>
        </w:rPr>
      </w:pPr>
      <w:r>
        <w:rPr>
          <w:rFonts w:hint="eastAsia" w:ascii="宋体" w:hAnsi="宋体"/>
          <w:color w:val="000000"/>
          <w:szCs w:val="21"/>
        </w:rPr>
        <w:t>注：1、“包”为最小合同单位。每“包”内容应细化到“品目”（如果分品目的）。</w:t>
      </w:r>
    </w:p>
    <w:p w14:paraId="009433F8">
      <w:pPr>
        <w:adjustRightInd w:val="0"/>
        <w:snapToGrid w:val="0"/>
        <w:spacing w:beforeLines="50" w:line="360" w:lineRule="auto"/>
        <w:ind w:firstLine="420" w:firstLineChars="200"/>
        <w:rPr>
          <w:rFonts w:ascii="宋体" w:hAnsi="宋体" w:cs="宋体"/>
          <w:color w:val="000000"/>
          <w:kern w:val="0"/>
          <w:szCs w:val="21"/>
        </w:rPr>
      </w:pPr>
      <w:r>
        <w:rPr>
          <w:rFonts w:hint="eastAsia" w:ascii="宋体" w:hAnsi="宋体"/>
          <w:color w:val="000000"/>
          <w:szCs w:val="21"/>
        </w:rPr>
        <w:t>2、货物的主要技术参数或规格：</w:t>
      </w:r>
      <w:r>
        <w:rPr>
          <w:rFonts w:ascii="宋体" w:hAnsi="宋体" w:cs="宋体"/>
          <w:color w:val="000000"/>
          <w:kern w:val="0"/>
          <w:szCs w:val="21"/>
        </w:rPr>
        <w:t>详见“技术要求”中的具体技术参数</w:t>
      </w:r>
      <w:r>
        <w:rPr>
          <w:rFonts w:hint="eastAsia" w:ascii="宋体" w:hAnsi="宋体" w:cs="宋体"/>
          <w:color w:val="000000"/>
          <w:kern w:val="0"/>
          <w:szCs w:val="21"/>
        </w:rPr>
        <w:t>。</w:t>
      </w:r>
    </w:p>
    <w:p w14:paraId="133ABDB5">
      <w:pPr>
        <w:adjustRightInd w:val="0"/>
        <w:snapToGrid w:val="0"/>
        <w:spacing w:beforeLines="50" w:line="360" w:lineRule="auto"/>
        <w:ind w:firstLine="420" w:firstLineChars="200"/>
        <w:rPr>
          <w:rFonts w:hint="eastAsia" w:ascii="宋体" w:hAnsi="宋体" w:cs="宋体"/>
          <w:color w:val="000000"/>
          <w:kern w:val="0"/>
          <w:szCs w:val="21"/>
        </w:rPr>
      </w:pPr>
      <w:r>
        <w:rPr>
          <w:rFonts w:hint="eastAsia" w:ascii="宋体" w:hAnsi="宋体" w:cs="宋体"/>
          <w:bCs/>
          <w:color w:val="000000"/>
          <w:kern w:val="0"/>
          <w:szCs w:val="21"/>
        </w:rPr>
        <w:t>3、供应商应</w:t>
      </w:r>
      <w:r>
        <w:rPr>
          <w:rFonts w:hint="eastAsia" w:ascii="宋体" w:hAnsi="宋体" w:cs="宋体"/>
          <w:color w:val="000000"/>
          <w:kern w:val="0"/>
          <w:szCs w:val="21"/>
        </w:rPr>
        <w:t>在响应文件</w:t>
      </w:r>
      <w:r>
        <w:rPr>
          <w:rFonts w:hint="eastAsia" w:ascii="华文中宋" w:hAnsi="华文中宋" w:eastAsia="华文中宋" w:cs="宋体"/>
          <w:color w:val="000000"/>
          <w:kern w:val="0"/>
          <w:szCs w:val="21"/>
        </w:rPr>
        <w:t>“</w:t>
      </w:r>
      <w:r>
        <w:rPr>
          <w:rFonts w:hint="eastAsia" w:ascii="宋体" w:hAnsi="宋体" w:cs="宋体"/>
          <w:color w:val="000000"/>
          <w:kern w:val="0"/>
          <w:szCs w:val="21"/>
        </w:rPr>
        <w:t>分项报价明细表</w:t>
      </w:r>
      <w:r>
        <w:rPr>
          <w:rFonts w:hint="eastAsia" w:ascii="华文中宋" w:hAnsi="华文中宋" w:eastAsia="华文中宋" w:cs="宋体"/>
          <w:color w:val="000000"/>
          <w:kern w:val="0"/>
          <w:szCs w:val="21"/>
        </w:rPr>
        <w:t>”</w:t>
      </w:r>
      <w:r>
        <w:rPr>
          <w:rFonts w:hint="eastAsia" w:ascii="宋体" w:hAnsi="宋体" w:cs="宋体"/>
          <w:color w:val="000000"/>
          <w:kern w:val="0"/>
          <w:szCs w:val="21"/>
        </w:rPr>
        <w:t>中按</w:t>
      </w:r>
      <w:r>
        <w:rPr>
          <w:rFonts w:hint="eastAsia" w:ascii="宋体" w:hAnsi="宋体"/>
          <w:color w:val="000000"/>
          <w:szCs w:val="21"/>
        </w:rPr>
        <w:t>分项项目名称（包括</w:t>
      </w:r>
      <w:r>
        <w:rPr>
          <w:rFonts w:hint="eastAsia" w:ascii="宋体" w:hAnsi="宋体" w:cs="宋体"/>
          <w:color w:val="000000"/>
          <w:kern w:val="0"/>
          <w:szCs w:val="21"/>
        </w:rPr>
        <w:t>条目号/品目名称）顺序逐项填写，且每个品目中的条目均需按</w:t>
      </w:r>
      <w:r>
        <w:rPr>
          <w:rFonts w:hint="eastAsia" w:ascii="宋体" w:hAnsi="宋体" w:cs="宋体"/>
          <w:color w:val="000000"/>
          <w:kern w:val="0"/>
          <w:szCs w:val="21"/>
          <w:lang w:eastAsia="zh-CN"/>
        </w:rPr>
        <w:t>磋商</w:t>
      </w:r>
      <w:r>
        <w:rPr>
          <w:rFonts w:hint="eastAsia" w:ascii="宋体" w:hAnsi="宋体" w:cs="宋体"/>
          <w:color w:val="000000"/>
          <w:kern w:val="0"/>
          <w:szCs w:val="21"/>
        </w:rPr>
        <w:t>文件规定报价。如有缺项、漏项，其</w:t>
      </w:r>
      <w:r>
        <w:rPr>
          <w:rFonts w:hint="eastAsia" w:ascii="宋体" w:hAnsi="宋体" w:cs="宋体"/>
          <w:b/>
          <w:color w:val="000000"/>
          <w:kern w:val="0"/>
          <w:szCs w:val="21"/>
        </w:rPr>
        <w:t>响应无效</w:t>
      </w:r>
      <w:r>
        <w:rPr>
          <w:rFonts w:hint="eastAsia" w:ascii="宋体" w:hAnsi="宋体" w:cs="宋体"/>
          <w:color w:val="000000"/>
          <w:kern w:val="0"/>
          <w:szCs w:val="21"/>
        </w:rPr>
        <w:t>。</w:t>
      </w:r>
    </w:p>
    <w:p w14:paraId="69C49FFB">
      <w:pPr>
        <w:pStyle w:val="3"/>
        <w:adjustRightInd w:val="0"/>
        <w:snapToGrid w:val="0"/>
        <w:spacing w:beforeLines="50"/>
        <w:jc w:val="center"/>
        <w:rPr>
          <w:rFonts w:ascii="宋体" w:hAnsi="宋体" w:cs="宋体"/>
          <w:color w:val="000000"/>
          <w:kern w:val="0"/>
          <w:szCs w:val="21"/>
        </w:rPr>
      </w:pPr>
      <w:bookmarkStart w:id="1" w:name="_Toc4199"/>
      <w:r>
        <w:rPr>
          <w:rFonts w:hint="eastAsia" w:ascii="黑体" w:hAnsi="黑体" w:eastAsia="黑体"/>
          <w:color w:val="000000"/>
          <w:sz w:val="28"/>
          <w:szCs w:val="28"/>
        </w:rPr>
        <w:t xml:space="preserve">第二节 </w:t>
      </w:r>
      <w:r>
        <w:rPr>
          <w:rFonts w:ascii="黑体" w:hAnsi="黑体" w:eastAsia="黑体"/>
          <w:color w:val="000000"/>
          <w:sz w:val="28"/>
          <w:szCs w:val="28"/>
        </w:rPr>
        <w:t>技术要求</w:t>
      </w:r>
      <w:bookmarkEnd w:id="1"/>
    </w:p>
    <w:p w14:paraId="6A0AC008">
      <w:pPr>
        <w:adjustRightInd w:val="0"/>
        <w:snapToGrid w:val="0"/>
        <w:spacing w:line="360" w:lineRule="exact"/>
        <w:ind w:right="23" w:rightChars="11" w:firstLine="420" w:firstLineChars="200"/>
        <w:rPr>
          <w:color w:val="000000"/>
          <w:sz w:val="21"/>
          <w:szCs w:val="21"/>
        </w:rPr>
      </w:pPr>
      <w:bookmarkStart w:id="2" w:name="_Toc300678508"/>
      <w:r>
        <w:rPr>
          <w:rFonts w:hint="eastAsia"/>
          <w:color w:val="000000"/>
          <w:sz w:val="21"/>
          <w:szCs w:val="21"/>
        </w:rPr>
        <w:t>备注：属于</w:t>
      </w:r>
      <w:r>
        <w:rPr>
          <w:rFonts w:hint="eastAsia"/>
          <w:color w:val="000000"/>
          <w:sz w:val="21"/>
          <w:szCs w:val="21"/>
          <w:lang w:val="en-US" w:eastAsia="zh-CN"/>
        </w:rPr>
        <w:t>磋商</w:t>
      </w:r>
      <w:r>
        <w:rPr>
          <w:rFonts w:hint="eastAsia"/>
          <w:color w:val="000000"/>
          <w:sz w:val="21"/>
          <w:szCs w:val="21"/>
        </w:rPr>
        <w:t>文件的重要技术要求条款（参数）（实质性要求）的，已用“★”符号规定或标明。未响应的将按无效响应处理。</w:t>
      </w:r>
      <w:bookmarkEnd w:id="2"/>
    </w:p>
    <w:p w14:paraId="1A07ECFB">
      <w:pPr>
        <w:numPr>
          <w:ilvl w:val="0"/>
          <w:numId w:val="0"/>
        </w:numPr>
        <w:adjustRightInd w:val="0"/>
        <w:snapToGrid w:val="0"/>
        <w:spacing w:line="360" w:lineRule="exact"/>
        <w:ind w:right="23" w:rightChars="11"/>
        <w:rPr>
          <w:rFonts w:ascii="宋体" w:hAnsi="宋体"/>
          <w:b/>
          <w:color w:val="000000"/>
          <w:sz w:val="21"/>
          <w:szCs w:val="21"/>
          <w:u w:val="single"/>
        </w:rPr>
      </w:pPr>
      <w:r>
        <w:rPr>
          <w:rFonts w:hint="eastAsia" w:ascii="宋体" w:hAnsi="宋体"/>
          <w:b/>
          <w:color w:val="000000"/>
          <w:sz w:val="21"/>
          <w:szCs w:val="21"/>
          <w:lang w:eastAsia="zh-CN"/>
        </w:rPr>
        <w:t>一、</w:t>
      </w:r>
      <w:r>
        <w:rPr>
          <w:rFonts w:hint="eastAsia" w:ascii="宋体" w:hAnsi="宋体"/>
          <w:b/>
          <w:color w:val="000000"/>
          <w:sz w:val="21"/>
          <w:szCs w:val="21"/>
        </w:rPr>
        <w:t>采购项目名称：</w:t>
      </w:r>
      <w:r>
        <w:rPr>
          <w:rFonts w:hint="eastAsia" w:ascii="宋体" w:hAnsi="宋体"/>
          <w:b w:val="0"/>
          <w:bCs/>
          <w:color w:val="000000"/>
          <w:sz w:val="21"/>
          <w:szCs w:val="21"/>
          <w:lang w:eastAsia="zh-CN"/>
        </w:rPr>
        <w:t>岳阳市第十五中学理化生实验室建设项目（工程部分）</w:t>
      </w:r>
      <w:r>
        <w:rPr>
          <w:rFonts w:hint="eastAsia" w:ascii="宋体" w:hAnsi="宋体"/>
          <w:bCs/>
          <w:color w:val="000000"/>
          <w:sz w:val="21"/>
          <w:szCs w:val="21"/>
          <w:lang w:eastAsia="zh-CN"/>
        </w:rPr>
        <w:t xml:space="preserve">  </w:t>
      </w:r>
      <w:r>
        <w:rPr>
          <w:rFonts w:hint="eastAsia" w:ascii="宋体" w:hAnsi="宋体"/>
          <w:bCs/>
          <w:color w:val="000000"/>
          <w:sz w:val="21"/>
          <w:szCs w:val="21"/>
        </w:rPr>
        <w:t xml:space="preserve"> </w:t>
      </w:r>
    </w:p>
    <w:p w14:paraId="636403FD">
      <w:pPr>
        <w:numPr>
          <w:ilvl w:val="0"/>
          <w:numId w:val="0"/>
        </w:numPr>
        <w:adjustRightInd w:val="0"/>
        <w:snapToGrid w:val="0"/>
        <w:spacing w:line="360" w:lineRule="exact"/>
        <w:ind w:right="23" w:rightChars="11"/>
        <w:rPr>
          <w:rFonts w:hint="eastAsia" w:ascii="宋体" w:hAnsi="宋体" w:eastAsia="宋体" w:cs="宋体"/>
          <w:color w:val="000000"/>
          <w:kern w:val="0"/>
          <w:szCs w:val="21"/>
          <w:lang w:eastAsia="zh-CN"/>
        </w:rPr>
      </w:pPr>
      <w:r>
        <w:rPr>
          <w:rFonts w:hint="eastAsia" w:ascii="宋体" w:hAnsi="宋体"/>
          <w:b/>
          <w:color w:val="000000"/>
          <w:sz w:val="21"/>
          <w:szCs w:val="21"/>
          <w:lang w:eastAsia="zh-CN"/>
        </w:rPr>
        <w:t>二、</w:t>
      </w:r>
      <w:r>
        <w:rPr>
          <w:rFonts w:hint="eastAsia" w:ascii="宋体" w:hAnsi="宋体"/>
          <w:b/>
          <w:color w:val="000000"/>
          <w:sz w:val="21"/>
          <w:szCs w:val="21"/>
        </w:rPr>
        <w:t>工程基本情况：</w:t>
      </w:r>
      <w:r>
        <w:rPr>
          <w:rFonts w:hint="eastAsia" w:ascii="宋体" w:hAnsi="宋体" w:eastAsia="宋体" w:cs="宋体"/>
          <w:color w:val="000000"/>
          <w:kern w:val="0"/>
          <w:szCs w:val="21"/>
        </w:rPr>
        <w:t>本项目为</w:t>
      </w:r>
      <w:r>
        <w:rPr>
          <w:rFonts w:hint="eastAsia" w:ascii="宋体" w:hAnsi="宋体" w:eastAsia="宋体" w:cs="宋体"/>
          <w:color w:val="000000"/>
          <w:kern w:val="0"/>
          <w:szCs w:val="21"/>
          <w:lang w:eastAsia="zh-CN"/>
        </w:rPr>
        <w:t>岳阳市第十五中学理化生实验室建设项目（工程部分）</w:t>
      </w:r>
      <w:r>
        <w:rPr>
          <w:rFonts w:hint="eastAsia" w:ascii="宋体" w:hAnsi="宋体" w:eastAsia="宋体" w:cs="宋体"/>
          <w:color w:val="000000"/>
          <w:kern w:val="0"/>
          <w:szCs w:val="21"/>
        </w:rPr>
        <w:t>，</w:t>
      </w:r>
      <w:r>
        <w:rPr>
          <w:rFonts w:hint="eastAsia" w:ascii="宋体" w:hAnsi="宋体" w:eastAsia="宋体" w:cs="宋体"/>
          <w:color w:val="000000"/>
          <w:kern w:val="0"/>
          <w:szCs w:val="21"/>
          <w:lang w:eastAsia="zh-CN"/>
        </w:rPr>
        <w:t>建设</w:t>
      </w:r>
      <w:r>
        <w:rPr>
          <w:rFonts w:hint="eastAsia" w:ascii="宋体" w:hAnsi="宋体" w:eastAsia="宋体" w:cs="宋体"/>
          <w:color w:val="000000"/>
          <w:kern w:val="0"/>
          <w:szCs w:val="21"/>
        </w:rPr>
        <w:t>地点</w:t>
      </w:r>
      <w:r>
        <w:rPr>
          <w:rFonts w:hint="eastAsia" w:ascii="宋体" w:hAnsi="宋体" w:eastAsia="宋体" w:cs="宋体"/>
          <w:color w:val="000000"/>
          <w:kern w:val="0"/>
          <w:szCs w:val="21"/>
          <w:lang w:eastAsia="zh-CN"/>
        </w:rPr>
        <w:t>为</w:t>
      </w:r>
      <w:r>
        <w:rPr>
          <w:rFonts w:hint="eastAsia" w:ascii="宋体" w:hAnsi="宋体"/>
          <w:b w:val="0"/>
          <w:bCs/>
          <w:color w:val="000000"/>
          <w:sz w:val="21"/>
          <w:szCs w:val="21"/>
          <w:lang w:eastAsia="zh-CN"/>
        </w:rPr>
        <w:t>岳阳市第十五中学</w:t>
      </w:r>
      <w:r>
        <w:rPr>
          <w:rFonts w:hint="eastAsia" w:ascii="宋体" w:hAnsi="宋体" w:eastAsia="宋体" w:cs="Times New Roman"/>
          <w:bCs/>
          <w:color w:val="000000"/>
          <w:sz w:val="21"/>
          <w:szCs w:val="21"/>
          <w:lang w:val="en-US" w:eastAsia="zh-CN"/>
        </w:rPr>
        <w:t>。项目拟对岳阳市第十五中学</w:t>
      </w:r>
      <w:r>
        <w:rPr>
          <w:rFonts w:hint="eastAsia" w:ascii="宋体" w:hAnsi="宋体" w:eastAsia="宋体" w:cs="宋体"/>
          <w:color w:val="000000"/>
          <w:kern w:val="0"/>
          <w:szCs w:val="21"/>
          <w:lang w:eastAsia="zh-CN"/>
        </w:rPr>
        <w:t>理化生实验室</w:t>
      </w:r>
      <w:r>
        <w:rPr>
          <w:rFonts w:hint="eastAsia" w:ascii="宋体" w:hAnsi="宋体" w:eastAsia="宋体" w:cs="宋体"/>
          <w:color w:val="000000"/>
          <w:kern w:val="0"/>
          <w:szCs w:val="21"/>
          <w:lang w:val="en-US" w:eastAsia="zh-CN"/>
        </w:rPr>
        <w:t>进行</w:t>
      </w:r>
      <w:r>
        <w:rPr>
          <w:rFonts w:hint="eastAsia" w:ascii="宋体" w:hAnsi="宋体" w:eastAsia="宋体" w:cs="宋体"/>
          <w:color w:val="000000"/>
          <w:kern w:val="0"/>
          <w:szCs w:val="21"/>
          <w:lang w:eastAsia="zh-CN"/>
        </w:rPr>
        <w:t>提质改造</w:t>
      </w:r>
      <w:r>
        <w:rPr>
          <w:rFonts w:hint="eastAsia" w:ascii="宋体" w:hAnsi="宋体" w:eastAsia="宋体" w:cs="Times New Roman"/>
          <w:bCs/>
          <w:color w:val="000000"/>
          <w:sz w:val="21"/>
          <w:szCs w:val="21"/>
          <w:lang w:val="en-US" w:eastAsia="zh-CN"/>
        </w:rPr>
        <w:t>，资金来源：中央专项资金和市本级财政统筹配套。</w:t>
      </w:r>
    </w:p>
    <w:p w14:paraId="178FE038">
      <w:pPr>
        <w:numPr>
          <w:ilvl w:val="0"/>
          <w:numId w:val="0"/>
        </w:numPr>
        <w:adjustRightInd w:val="0"/>
        <w:snapToGrid w:val="0"/>
        <w:spacing w:line="360" w:lineRule="exact"/>
        <w:ind w:right="23" w:rightChars="11"/>
        <w:rPr>
          <w:rFonts w:hint="eastAsia" w:ascii="宋体" w:hAnsi="宋体"/>
          <w:b w:val="0"/>
          <w:bCs/>
          <w:color w:val="000000"/>
          <w:sz w:val="21"/>
          <w:szCs w:val="21"/>
          <w:highlight w:val="none"/>
        </w:rPr>
      </w:pPr>
      <w:r>
        <w:rPr>
          <w:rFonts w:hint="eastAsia" w:ascii="宋体" w:hAnsi="宋体"/>
          <w:b/>
          <w:color w:val="000000"/>
          <w:sz w:val="21"/>
          <w:szCs w:val="21"/>
          <w:lang w:eastAsia="zh-CN"/>
        </w:rPr>
        <w:t>三、</w:t>
      </w:r>
      <w:r>
        <w:rPr>
          <w:rFonts w:hint="eastAsia" w:ascii="宋体" w:hAnsi="宋体"/>
          <w:b/>
          <w:color w:val="000000"/>
          <w:sz w:val="21"/>
          <w:szCs w:val="21"/>
          <w:highlight w:val="none"/>
        </w:rPr>
        <w:t>工程承包范围：</w:t>
      </w:r>
      <w:r>
        <w:rPr>
          <w:rFonts w:hint="eastAsia" w:ascii="宋体" w:hAnsi="宋体"/>
          <w:b w:val="0"/>
          <w:bCs/>
          <w:color w:val="000000"/>
          <w:sz w:val="21"/>
          <w:szCs w:val="21"/>
          <w:highlight w:val="none"/>
        </w:rPr>
        <w:t>本工程为</w:t>
      </w:r>
      <w:r>
        <w:rPr>
          <w:rFonts w:hint="eastAsia" w:ascii="宋体" w:hAnsi="宋体"/>
          <w:b w:val="0"/>
          <w:bCs/>
          <w:color w:val="000000"/>
          <w:sz w:val="21"/>
          <w:szCs w:val="21"/>
          <w:highlight w:val="none"/>
          <w:lang w:eastAsia="zh-CN"/>
        </w:rPr>
        <w:t>岳阳市第十五中学理化生实验室建设项目（工程部分）</w:t>
      </w:r>
      <w:r>
        <w:rPr>
          <w:rFonts w:hint="eastAsia" w:ascii="宋体" w:hAnsi="宋体"/>
          <w:b w:val="0"/>
          <w:bCs/>
          <w:color w:val="000000"/>
          <w:sz w:val="21"/>
          <w:szCs w:val="21"/>
          <w:highlight w:val="none"/>
        </w:rPr>
        <w:t>，主要施工内容包含一体化实验室升级改造工程，涵盖拆除、装饰装修、机电安装工程等。(工程施工内容具体见工程量清单)。</w:t>
      </w:r>
    </w:p>
    <w:p w14:paraId="379256A0">
      <w:pPr>
        <w:adjustRightInd w:val="0"/>
        <w:snapToGrid w:val="0"/>
        <w:spacing w:line="360" w:lineRule="exact"/>
        <w:ind w:right="23" w:rightChars="11"/>
        <w:rPr>
          <w:rFonts w:ascii="宋体" w:hAnsi="宋体"/>
          <w:color w:val="000000"/>
          <w:sz w:val="21"/>
          <w:szCs w:val="21"/>
        </w:rPr>
      </w:pPr>
      <w:r>
        <w:rPr>
          <w:rFonts w:hint="eastAsia" w:ascii="宋体" w:hAnsi="宋体"/>
          <w:b/>
          <w:bCs w:val="0"/>
          <w:color w:val="000000"/>
          <w:sz w:val="21"/>
          <w:szCs w:val="21"/>
        </w:rPr>
        <w:t>四、项目清单及说明（含工程量清单表等）</w:t>
      </w:r>
    </w:p>
    <w:p w14:paraId="113126B7">
      <w:pPr>
        <w:adjustRightInd w:val="0"/>
        <w:snapToGrid w:val="0"/>
        <w:spacing w:line="360" w:lineRule="exact"/>
        <w:ind w:right="23" w:rightChars="11"/>
        <w:rPr>
          <w:rFonts w:hint="eastAsia" w:ascii="宋体" w:hAnsi="宋体"/>
          <w:b/>
          <w:color w:val="000000"/>
          <w:szCs w:val="21"/>
        </w:rPr>
      </w:pPr>
      <w:r>
        <w:rPr>
          <w:rFonts w:hint="eastAsia" w:ascii="宋体" w:hAnsi="宋体"/>
          <w:b/>
          <w:color w:val="000000"/>
          <w:sz w:val="21"/>
          <w:szCs w:val="21"/>
        </w:rPr>
        <w:t>详见附件</w:t>
      </w:r>
      <w:r>
        <w:rPr>
          <w:rFonts w:hint="eastAsia" w:ascii="宋体" w:hAnsi="宋体"/>
          <w:b/>
          <w:color w:val="000000"/>
          <w:szCs w:val="21"/>
        </w:rPr>
        <w:t>（另册）</w:t>
      </w:r>
      <w:bookmarkStart w:id="3" w:name="_Toc225336549"/>
    </w:p>
    <w:p w14:paraId="528EC739">
      <w:pPr>
        <w:adjustRightInd w:val="0"/>
        <w:snapToGrid w:val="0"/>
        <w:spacing w:line="360" w:lineRule="exact"/>
        <w:ind w:right="23" w:rightChars="11"/>
        <w:rPr>
          <w:rFonts w:ascii="宋体" w:hAnsi="宋体"/>
          <w:b/>
          <w:color w:val="000000"/>
          <w:sz w:val="21"/>
          <w:szCs w:val="21"/>
        </w:rPr>
      </w:pPr>
      <w:r>
        <w:rPr>
          <w:rFonts w:hint="eastAsia" w:ascii="宋体" w:hAnsi="宋体" w:eastAsia="宋体" w:cs="Times New Roman"/>
          <w:b/>
          <w:color w:val="000000"/>
          <w:sz w:val="21"/>
          <w:szCs w:val="21"/>
        </w:rPr>
        <w:t>五、工期及</w:t>
      </w:r>
      <w:r>
        <w:rPr>
          <w:rFonts w:hint="eastAsia" w:ascii="宋体" w:hAnsi="宋体"/>
          <w:b/>
          <w:color w:val="000000"/>
          <w:sz w:val="21"/>
          <w:szCs w:val="21"/>
        </w:rPr>
        <w:t>质量要求</w:t>
      </w:r>
      <w:bookmarkEnd w:id="3"/>
    </w:p>
    <w:p w14:paraId="1F86480B">
      <w:pPr>
        <w:spacing w:line="360" w:lineRule="exact"/>
        <w:ind w:left="625" w:leftChars="1" w:right="23" w:rightChars="11" w:hanging="623" w:hangingChars="297"/>
        <w:rPr>
          <w:rFonts w:ascii="宋体" w:hAnsi="宋体"/>
          <w:bCs/>
          <w:color w:val="000000"/>
          <w:sz w:val="21"/>
          <w:szCs w:val="21"/>
          <w:highlight w:val="none"/>
        </w:rPr>
      </w:pPr>
      <w:r>
        <w:rPr>
          <w:rFonts w:hint="eastAsia" w:ascii="宋体" w:hAnsi="宋体"/>
          <w:bCs/>
          <w:color w:val="000000"/>
          <w:sz w:val="21"/>
          <w:szCs w:val="21"/>
          <w:highlight w:val="none"/>
        </w:rPr>
        <w:t>1.1工期要求</w:t>
      </w:r>
      <w:r>
        <w:rPr>
          <w:rFonts w:hint="eastAsia" w:ascii="宋体" w:hAnsi="宋体"/>
          <w:bCs/>
          <w:color w:val="000000"/>
          <w:sz w:val="21"/>
          <w:szCs w:val="21"/>
          <w:highlight w:val="none"/>
          <w:lang w:eastAsia="zh-CN"/>
        </w:rPr>
        <w:t>：合同签订后</w:t>
      </w:r>
      <w:r>
        <w:rPr>
          <w:rFonts w:hint="eastAsia" w:ascii="宋体" w:hAnsi="宋体"/>
          <w:bCs/>
          <w:color w:val="000000"/>
          <w:sz w:val="21"/>
          <w:szCs w:val="21"/>
          <w:highlight w:val="none"/>
          <w:lang w:val="en-US" w:eastAsia="zh-CN"/>
        </w:rPr>
        <w:t>45</w:t>
      </w:r>
      <w:r>
        <w:rPr>
          <w:rFonts w:hint="eastAsia" w:ascii="宋体" w:hAnsi="宋体"/>
          <w:bCs/>
          <w:color w:val="000000"/>
          <w:sz w:val="21"/>
          <w:szCs w:val="21"/>
          <w:highlight w:val="none"/>
          <w:lang w:eastAsia="zh-CN"/>
        </w:rPr>
        <w:t>日历天内完成</w:t>
      </w:r>
      <w:r>
        <w:rPr>
          <w:rFonts w:hint="eastAsia" w:ascii="宋体" w:hAnsi="宋体"/>
          <w:bCs/>
          <w:color w:val="000000"/>
          <w:sz w:val="21"/>
          <w:szCs w:val="21"/>
          <w:highlight w:val="none"/>
        </w:rPr>
        <w:t>。</w:t>
      </w:r>
    </w:p>
    <w:p w14:paraId="54B3FE10">
      <w:pPr>
        <w:spacing w:line="360" w:lineRule="exact"/>
        <w:ind w:left="625" w:leftChars="1" w:right="23" w:rightChars="11" w:hanging="623" w:hangingChars="297"/>
        <w:rPr>
          <w:rFonts w:ascii="宋体" w:hAnsi="宋体"/>
          <w:bCs/>
          <w:sz w:val="21"/>
          <w:szCs w:val="21"/>
          <w:shd w:val="clear" w:color="auto" w:fill="auto"/>
        </w:rPr>
      </w:pPr>
      <w:r>
        <w:rPr>
          <w:rFonts w:hint="eastAsia" w:ascii="宋体" w:hAnsi="宋体"/>
          <w:bCs/>
          <w:sz w:val="21"/>
          <w:szCs w:val="21"/>
        </w:rPr>
        <w:t xml:space="preserve">1.2 </w:t>
      </w:r>
      <w:r>
        <w:rPr>
          <w:rFonts w:hint="eastAsia" w:ascii="宋体" w:hAnsi="宋体"/>
          <w:bCs/>
          <w:sz w:val="21"/>
          <w:szCs w:val="21"/>
          <w:shd w:val="clear" w:color="auto" w:fill="auto"/>
        </w:rPr>
        <w:t>质量标准：符合《工程施工质量验收规范》要求验收合格标准。</w:t>
      </w:r>
    </w:p>
    <w:p w14:paraId="28D46144">
      <w:pPr>
        <w:numPr>
          <w:ilvl w:val="0"/>
          <w:numId w:val="0"/>
        </w:numPr>
        <w:adjustRightInd w:val="0"/>
        <w:snapToGrid w:val="0"/>
        <w:spacing w:beforeLines="50" w:line="360" w:lineRule="exact"/>
        <w:ind w:right="23" w:rightChars="11"/>
        <w:rPr>
          <w:rFonts w:ascii="宋体" w:hAnsi="宋体"/>
          <w:b/>
          <w:sz w:val="21"/>
          <w:szCs w:val="21"/>
        </w:rPr>
      </w:pPr>
      <w:bookmarkStart w:id="4" w:name="_Toc225336550"/>
      <w:r>
        <w:rPr>
          <w:rFonts w:hint="eastAsia" w:ascii="宋体" w:hAnsi="宋体"/>
          <w:b/>
          <w:sz w:val="21"/>
          <w:szCs w:val="21"/>
          <w:lang w:eastAsia="zh-CN"/>
        </w:rPr>
        <w:t>六、</w:t>
      </w:r>
      <w:r>
        <w:rPr>
          <w:rFonts w:hint="eastAsia" w:ascii="宋体" w:hAnsi="宋体"/>
          <w:b/>
          <w:sz w:val="21"/>
          <w:szCs w:val="21"/>
        </w:rPr>
        <w:t>项目实施要求</w:t>
      </w:r>
      <w:bookmarkEnd w:id="4"/>
    </w:p>
    <w:p w14:paraId="0357C2D4">
      <w:pPr>
        <w:spacing w:line="360" w:lineRule="exact"/>
        <w:ind w:left="628" w:leftChars="1" w:right="23" w:rightChars="11" w:hanging="626" w:hangingChars="297"/>
        <w:rPr>
          <w:rFonts w:ascii="宋体" w:hAnsi="宋体"/>
          <w:b/>
          <w:bCs/>
          <w:sz w:val="21"/>
          <w:szCs w:val="21"/>
        </w:rPr>
      </w:pPr>
      <w:r>
        <w:rPr>
          <w:rFonts w:hint="eastAsia" w:ascii="宋体" w:hAnsi="宋体"/>
          <w:b/>
          <w:bCs/>
          <w:sz w:val="21"/>
          <w:szCs w:val="21"/>
        </w:rPr>
        <w:t>1．建筑材料运输、保管及保险</w:t>
      </w:r>
    </w:p>
    <w:p w14:paraId="502024FA">
      <w:pPr>
        <w:spacing w:line="360" w:lineRule="exact"/>
        <w:ind w:left="625" w:leftChars="1" w:right="23" w:rightChars="11" w:hanging="623" w:hangingChars="297"/>
        <w:rPr>
          <w:rFonts w:ascii="宋体" w:hAnsi="宋体"/>
          <w:bCs/>
          <w:sz w:val="21"/>
          <w:szCs w:val="21"/>
        </w:rPr>
      </w:pPr>
      <w:r>
        <w:rPr>
          <w:rFonts w:hint="eastAsia" w:ascii="宋体" w:hAnsi="宋体"/>
          <w:bCs/>
          <w:sz w:val="21"/>
          <w:szCs w:val="21"/>
        </w:rPr>
        <w:t>1.1</w:t>
      </w:r>
      <w:r>
        <w:rPr>
          <w:rFonts w:hint="eastAsia" w:ascii="宋体" w:hAnsi="宋体"/>
          <w:bCs/>
          <w:sz w:val="21"/>
          <w:szCs w:val="21"/>
          <w:lang w:val="en-US" w:eastAsia="zh-CN"/>
        </w:rPr>
        <w:t>成交供应商</w:t>
      </w:r>
      <w:r>
        <w:rPr>
          <w:rFonts w:hint="eastAsia" w:ascii="宋体" w:hAnsi="宋体"/>
          <w:bCs/>
          <w:sz w:val="21"/>
          <w:szCs w:val="21"/>
        </w:rPr>
        <w:t>负责建筑材料到施工地点的全部运输，包括装卸及现场搬运等。</w:t>
      </w:r>
    </w:p>
    <w:p w14:paraId="5AE589D0">
      <w:pPr>
        <w:spacing w:line="360" w:lineRule="exact"/>
        <w:ind w:left="625" w:leftChars="1" w:right="23" w:rightChars="11" w:hanging="623" w:hangingChars="297"/>
        <w:rPr>
          <w:rFonts w:ascii="宋体" w:hAnsi="宋体"/>
          <w:bCs/>
          <w:sz w:val="21"/>
          <w:szCs w:val="21"/>
        </w:rPr>
      </w:pPr>
      <w:r>
        <w:rPr>
          <w:rFonts w:hint="eastAsia" w:ascii="宋体" w:hAnsi="宋体"/>
          <w:bCs/>
          <w:sz w:val="21"/>
          <w:szCs w:val="21"/>
        </w:rPr>
        <w:t>1.2</w:t>
      </w:r>
      <w:r>
        <w:rPr>
          <w:rFonts w:hint="eastAsia" w:ascii="宋体" w:hAnsi="宋体"/>
          <w:bCs/>
          <w:sz w:val="21"/>
          <w:szCs w:val="21"/>
          <w:lang w:val="en-US" w:eastAsia="zh-CN"/>
        </w:rPr>
        <w:t>成交供应商</w:t>
      </w:r>
      <w:r>
        <w:rPr>
          <w:rFonts w:hint="eastAsia" w:ascii="宋体" w:hAnsi="宋体"/>
          <w:bCs/>
          <w:sz w:val="21"/>
          <w:szCs w:val="21"/>
        </w:rPr>
        <w:t>负责建筑材料在施工地点的保管，直至项目验收合格。</w:t>
      </w:r>
    </w:p>
    <w:p w14:paraId="74AA53D0">
      <w:pPr>
        <w:spacing w:line="360" w:lineRule="exact"/>
        <w:ind w:left="625" w:leftChars="1" w:right="23" w:rightChars="11" w:hanging="623" w:hangingChars="297"/>
        <w:rPr>
          <w:rFonts w:ascii="宋体" w:hAnsi="宋体"/>
          <w:bCs/>
          <w:sz w:val="21"/>
          <w:szCs w:val="21"/>
        </w:rPr>
      </w:pPr>
      <w:r>
        <w:rPr>
          <w:rFonts w:hint="eastAsia" w:ascii="宋体" w:hAnsi="宋体"/>
          <w:bCs/>
          <w:sz w:val="21"/>
          <w:szCs w:val="21"/>
        </w:rPr>
        <w:t>1.3</w:t>
      </w:r>
      <w:r>
        <w:rPr>
          <w:rFonts w:hint="eastAsia" w:ascii="宋体" w:hAnsi="宋体"/>
          <w:bCs/>
          <w:sz w:val="21"/>
          <w:szCs w:val="21"/>
          <w:lang w:val="en-US" w:eastAsia="zh-CN"/>
        </w:rPr>
        <w:t>成交供应商</w:t>
      </w:r>
      <w:r>
        <w:rPr>
          <w:rFonts w:hint="eastAsia" w:ascii="宋体" w:hAnsi="宋体"/>
          <w:bCs/>
          <w:sz w:val="21"/>
          <w:szCs w:val="21"/>
        </w:rPr>
        <w:t>负责其派出的施工人员的人身意外保险。</w:t>
      </w:r>
    </w:p>
    <w:p w14:paraId="301DFD19">
      <w:pPr>
        <w:spacing w:line="360" w:lineRule="exact"/>
        <w:ind w:left="628" w:leftChars="1" w:right="23" w:rightChars="11" w:hanging="626" w:hangingChars="297"/>
        <w:rPr>
          <w:rFonts w:ascii="宋体" w:hAnsi="宋体"/>
          <w:b/>
          <w:bCs/>
          <w:sz w:val="21"/>
          <w:szCs w:val="21"/>
        </w:rPr>
      </w:pPr>
      <w:r>
        <w:rPr>
          <w:rFonts w:hint="eastAsia" w:ascii="宋体" w:hAnsi="宋体"/>
          <w:b/>
          <w:bCs/>
          <w:sz w:val="21"/>
          <w:szCs w:val="21"/>
        </w:rPr>
        <w:t>2.施工要求</w:t>
      </w:r>
    </w:p>
    <w:p w14:paraId="0C17FBFB">
      <w:pPr>
        <w:spacing w:line="360" w:lineRule="exact"/>
        <w:ind w:left="625" w:leftChars="1" w:right="23" w:rightChars="11" w:hanging="623" w:hangingChars="297"/>
        <w:rPr>
          <w:rFonts w:hint="eastAsia" w:ascii="宋体" w:hAnsi="宋体"/>
          <w:bCs/>
          <w:sz w:val="21"/>
          <w:szCs w:val="21"/>
        </w:rPr>
      </w:pPr>
      <w:r>
        <w:rPr>
          <w:rFonts w:hint="eastAsia" w:ascii="宋体" w:hAnsi="宋体"/>
          <w:bCs/>
          <w:sz w:val="21"/>
          <w:szCs w:val="21"/>
        </w:rPr>
        <w:t>2.1为保证本项目日常维护的效果，投标人须保证配备相应维护作业工人和相应机械设备。</w:t>
      </w:r>
    </w:p>
    <w:p w14:paraId="35905C40">
      <w:pPr>
        <w:pStyle w:val="2"/>
        <w:jc w:val="both"/>
        <w:rPr>
          <w:rFonts w:hint="eastAsia" w:ascii="宋体" w:hAnsi="宋体" w:eastAsia="宋体" w:cs="Times New Roman"/>
          <w:b w:val="0"/>
          <w:bCs/>
          <w:kern w:val="2"/>
          <w:sz w:val="21"/>
          <w:szCs w:val="21"/>
          <w:lang w:val="en-US" w:eastAsia="zh-CN" w:bidi="ar-SA"/>
        </w:rPr>
      </w:pPr>
      <w:r>
        <w:rPr>
          <w:rFonts w:hint="eastAsia" w:ascii="宋体" w:hAnsi="宋体"/>
          <w:b w:val="0"/>
          <w:bCs w:val="0"/>
          <w:sz w:val="21"/>
          <w:szCs w:val="21"/>
          <w:lang w:val="en-US" w:eastAsia="zh-CN"/>
        </w:rPr>
        <w:t>2.2</w:t>
      </w:r>
      <w:r>
        <w:rPr>
          <w:rFonts w:hint="eastAsia" w:ascii="宋体" w:hAnsi="宋体"/>
          <w:bCs/>
          <w:sz w:val="21"/>
          <w:szCs w:val="21"/>
          <w:lang w:val="en-US" w:eastAsia="zh-CN"/>
        </w:rPr>
        <w:t xml:space="preserve"> </w:t>
      </w:r>
      <w:r>
        <w:rPr>
          <w:rFonts w:hint="eastAsia" w:ascii="宋体" w:hAnsi="宋体" w:eastAsia="宋体" w:cs="Times New Roman"/>
          <w:b/>
          <w:bCs w:val="0"/>
          <w:kern w:val="2"/>
          <w:sz w:val="21"/>
          <w:szCs w:val="21"/>
          <w:lang w:val="en-US" w:eastAsia="zh-CN" w:bidi="ar-SA"/>
        </w:rPr>
        <w:t>中标单位实施过程中所有货物的规格、型号、材质、用色、安装点位及安装方式需得到甲方认可后，方可实施。</w:t>
      </w:r>
    </w:p>
    <w:p w14:paraId="3F639347">
      <w:pPr>
        <w:pStyle w:val="2"/>
        <w:jc w:val="both"/>
        <w:rPr>
          <w:rFonts w:hint="eastAsia" w:ascii="宋体" w:hAnsi="宋体"/>
          <w:bCs/>
          <w:sz w:val="21"/>
          <w:szCs w:val="21"/>
        </w:rPr>
      </w:pPr>
      <w:r>
        <w:rPr>
          <w:rFonts w:hint="eastAsia" w:ascii="宋体" w:hAnsi="宋体" w:eastAsia="宋体" w:cs="Times New Roman"/>
          <w:b w:val="0"/>
          <w:bCs/>
          <w:kern w:val="2"/>
          <w:sz w:val="21"/>
          <w:szCs w:val="21"/>
          <w:lang w:val="en-US" w:eastAsia="zh-CN" w:bidi="ar-SA"/>
        </w:rPr>
        <w:t>2.3</w:t>
      </w:r>
      <w:r>
        <w:rPr>
          <w:rFonts w:hint="eastAsia" w:ascii="宋体" w:hAnsi="宋体" w:eastAsia="宋体" w:cs="Times New Roman"/>
          <w:b/>
          <w:bCs w:val="0"/>
          <w:kern w:val="2"/>
          <w:sz w:val="21"/>
          <w:szCs w:val="21"/>
          <w:lang w:val="en-US" w:eastAsia="zh-CN" w:bidi="ar-SA"/>
        </w:rPr>
        <w:t>尽量选用更加环保的材料，现场主材均选用质量可靠的品牌材料，需得到甲方确认后方可施工。</w:t>
      </w:r>
    </w:p>
    <w:p w14:paraId="7C4900CB">
      <w:pPr>
        <w:keepNext w:val="0"/>
        <w:keepLines w:val="0"/>
        <w:pageBreakBefore w:val="0"/>
        <w:widowControl w:val="0"/>
        <w:kinsoku/>
        <w:wordWrap/>
        <w:overflowPunct/>
        <w:topLinePunct w:val="0"/>
        <w:autoSpaceDE/>
        <w:autoSpaceDN/>
        <w:bidi w:val="0"/>
        <w:adjustRightInd/>
        <w:snapToGrid/>
        <w:spacing w:line="360" w:lineRule="exact"/>
        <w:ind w:left="2" w:leftChars="1" w:right="23" w:rightChars="11" w:firstLine="0" w:firstLineChars="0"/>
        <w:textAlignment w:val="auto"/>
        <w:rPr>
          <w:rFonts w:hint="eastAsia" w:ascii="宋体" w:hAnsi="宋体"/>
          <w:bCs/>
          <w:sz w:val="21"/>
          <w:szCs w:val="21"/>
        </w:rPr>
      </w:pPr>
      <w:r>
        <w:rPr>
          <w:rFonts w:hint="eastAsia" w:ascii="宋体" w:hAnsi="宋体"/>
          <w:bCs/>
          <w:sz w:val="21"/>
          <w:szCs w:val="21"/>
          <w:lang w:val="en-US" w:eastAsia="zh-CN"/>
        </w:rPr>
        <w:t>2.4成交供应商</w:t>
      </w:r>
      <w:r>
        <w:rPr>
          <w:rFonts w:hint="eastAsia" w:ascii="宋体" w:hAnsi="宋体"/>
          <w:bCs/>
          <w:sz w:val="21"/>
          <w:szCs w:val="21"/>
        </w:rPr>
        <w:t>须加强施工的组织管理，所有施工人员须遵守文明安全施工的有关规章制度，持证上岗。成交方在建设施维护作业期间所产生的任何安全生产施工的事故，一切责任和后果由成交方自行承担，采购方不负任何责任。</w:t>
      </w:r>
    </w:p>
    <w:p w14:paraId="1350A25C">
      <w:pPr>
        <w:spacing w:line="360" w:lineRule="exact"/>
        <w:ind w:left="625" w:leftChars="1" w:right="23" w:rightChars="11" w:hanging="623" w:hangingChars="297"/>
        <w:rPr>
          <w:rFonts w:hint="eastAsia" w:ascii="宋体" w:hAnsi="宋体"/>
          <w:bCs/>
          <w:sz w:val="21"/>
          <w:szCs w:val="21"/>
          <w:lang w:val="en-US" w:eastAsia="zh-CN"/>
        </w:rPr>
      </w:pPr>
      <w:r>
        <w:rPr>
          <w:rFonts w:hint="eastAsia" w:ascii="宋体" w:hAnsi="宋体"/>
          <w:bCs/>
          <w:sz w:val="21"/>
          <w:szCs w:val="21"/>
          <w:lang w:val="en-US" w:eastAsia="zh-CN"/>
        </w:rPr>
        <w:t>2.5隐蔽工程必须经采购人、监理单位和设计单位共同验收合格后方可进行下一步工序的施工。</w:t>
      </w:r>
    </w:p>
    <w:p w14:paraId="278AB37E">
      <w:pPr>
        <w:spacing w:line="360" w:lineRule="exact"/>
        <w:ind w:left="625" w:leftChars="1" w:right="23" w:rightChars="11" w:hanging="623" w:hangingChars="297"/>
        <w:rPr>
          <w:rFonts w:hint="default" w:ascii="宋体" w:hAnsi="宋体"/>
          <w:bCs/>
          <w:sz w:val="21"/>
          <w:szCs w:val="21"/>
          <w:lang w:val="en-US" w:eastAsia="zh-CN"/>
        </w:rPr>
      </w:pPr>
      <w:r>
        <w:rPr>
          <w:rFonts w:hint="eastAsia" w:ascii="宋体" w:hAnsi="宋体"/>
          <w:bCs/>
          <w:sz w:val="21"/>
          <w:szCs w:val="21"/>
          <w:lang w:val="en-US" w:eastAsia="zh-CN"/>
        </w:rPr>
        <w:t>2.6本项目不允许转包和分包。</w:t>
      </w:r>
    </w:p>
    <w:p w14:paraId="7E654689">
      <w:pPr>
        <w:spacing w:line="360" w:lineRule="exact"/>
        <w:ind w:left="628" w:leftChars="1" w:right="23" w:rightChars="11" w:hanging="626" w:hangingChars="297"/>
        <w:rPr>
          <w:rFonts w:ascii="宋体" w:hAnsi="宋体"/>
          <w:b/>
          <w:bCs/>
          <w:sz w:val="21"/>
          <w:szCs w:val="21"/>
        </w:rPr>
      </w:pPr>
      <w:r>
        <w:rPr>
          <w:rFonts w:hint="eastAsia" w:ascii="宋体" w:hAnsi="宋体"/>
          <w:b/>
          <w:bCs/>
          <w:sz w:val="21"/>
          <w:szCs w:val="21"/>
        </w:rPr>
        <w:t>3.验收要求</w:t>
      </w:r>
    </w:p>
    <w:p w14:paraId="45B8925A">
      <w:pPr>
        <w:keepNext w:val="0"/>
        <w:keepLines w:val="0"/>
        <w:pageBreakBefore w:val="0"/>
        <w:widowControl w:val="0"/>
        <w:kinsoku/>
        <w:wordWrap/>
        <w:overflowPunct/>
        <w:topLinePunct w:val="0"/>
        <w:autoSpaceDE/>
        <w:autoSpaceDN/>
        <w:bidi w:val="0"/>
        <w:adjustRightInd/>
        <w:snapToGrid/>
        <w:spacing w:line="360" w:lineRule="exact"/>
        <w:ind w:left="2" w:leftChars="1" w:right="23" w:rightChars="11" w:firstLine="0" w:firstLineChars="0"/>
        <w:textAlignment w:val="auto"/>
        <w:rPr>
          <w:rFonts w:hint="eastAsia" w:ascii="宋体" w:hAnsi="宋体" w:eastAsia="宋体" w:cs="Times New Roman"/>
          <w:bCs/>
          <w:sz w:val="21"/>
          <w:szCs w:val="21"/>
          <w:lang w:val="en-US" w:eastAsia="zh-CN"/>
        </w:rPr>
      </w:pPr>
      <w:r>
        <w:rPr>
          <w:rFonts w:hint="eastAsia" w:ascii="宋体" w:hAnsi="宋体" w:eastAsia="宋体" w:cs="Times New Roman"/>
          <w:bCs/>
          <w:sz w:val="21"/>
          <w:szCs w:val="21"/>
          <w:lang w:val="en-US" w:eastAsia="zh-CN"/>
        </w:rPr>
        <w:t>3.1项目验收国家有强制性规定的，按国家规定执行，采购人将按照规定组织有关单位对本项目进行验收。</w:t>
      </w:r>
    </w:p>
    <w:p w14:paraId="306E3A5D">
      <w:pPr>
        <w:keepNext w:val="0"/>
        <w:keepLines w:val="0"/>
        <w:pageBreakBefore w:val="0"/>
        <w:widowControl w:val="0"/>
        <w:kinsoku/>
        <w:wordWrap/>
        <w:overflowPunct/>
        <w:topLinePunct w:val="0"/>
        <w:autoSpaceDE/>
        <w:autoSpaceDN/>
        <w:bidi w:val="0"/>
        <w:adjustRightInd/>
        <w:snapToGrid/>
        <w:spacing w:line="360" w:lineRule="exact"/>
        <w:ind w:left="2" w:leftChars="1" w:right="23" w:rightChars="11" w:firstLine="0" w:firstLineChars="0"/>
        <w:textAlignment w:val="auto"/>
        <w:rPr>
          <w:rFonts w:hint="eastAsia" w:ascii="宋体" w:hAnsi="宋体" w:eastAsia="宋体" w:cs="Times New Roman"/>
          <w:bCs/>
          <w:sz w:val="21"/>
          <w:szCs w:val="21"/>
          <w:lang w:val="en-US" w:eastAsia="zh-CN"/>
        </w:rPr>
      </w:pPr>
      <w:r>
        <w:rPr>
          <w:rFonts w:hint="eastAsia" w:ascii="宋体" w:hAnsi="宋体" w:eastAsia="宋体" w:cs="Times New Roman"/>
          <w:bCs/>
          <w:sz w:val="21"/>
          <w:szCs w:val="21"/>
          <w:lang w:val="en-US" w:eastAsia="zh-CN"/>
        </w:rPr>
        <w:t>3.2验收过程中产生纠纷的，由相关监督部门认定的检测机构检测,如为成交人原因造成的，由成交人承担检测费用。</w:t>
      </w:r>
    </w:p>
    <w:p w14:paraId="6AE44EE9">
      <w:pPr>
        <w:keepNext w:val="0"/>
        <w:keepLines w:val="0"/>
        <w:pageBreakBefore w:val="0"/>
        <w:widowControl w:val="0"/>
        <w:kinsoku/>
        <w:wordWrap/>
        <w:overflowPunct/>
        <w:topLinePunct w:val="0"/>
        <w:autoSpaceDE/>
        <w:autoSpaceDN/>
        <w:bidi w:val="0"/>
        <w:adjustRightInd/>
        <w:snapToGrid/>
        <w:spacing w:line="360" w:lineRule="exact"/>
        <w:ind w:left="2" w:leftChars="1" w:right="23" w:rightChars="11" w:firstLine="0" w:firstLineChars="0"/>
        <w:textAlignment w:val="auto"/>
        <w:rPr>
          <w:rFonts w:hint="eastAsia" w:ascii="宋体" w:hAnsi="宋体" w:eastAsia="宋体" w:cs="Times New Roman"/>
          <w:bCs/>
          <w:sz w:val="21"/>
          <w:szCs w:val="21"/>
          <w:lang w:val="en-US" w:eastAsia="zh-CN"/>
        </w:rPr>
      </w:pPr>
      <w:r>
        <w:rPr>
          <w:rFonts w:hint="eastAsia" w:ascii="宋体" w:hAnsi="宋体" w:eastAsia="宋体" w:cs="Times New Roman"/>
          <w:bCs/>
          <w:sz w:val="21"/>
          <w:szCs w:val="21"/>
          <w:lang w:val="en-US" w:eastAsia="zh-CN"/>
        </w:rPr>
        <w:t>3.3项目验收不合格，由成交人返工直至合格，有关返工、再行验收，以及给采购人造成的损失等费用由成交人承担。连续两次项目验收不合格的，采购人可终止合同，另行按规定选择其他供应商，由此带来的一切损失由成交人承担。</w:t>
      </w:r>
    </w:p>
    <w:p w14:paraId="41B019F1">
      <w:pPr>
        <w:keepNext w:val="0"/>
        <w:keepLines w:val="0"/>
        <w:pageBreakBefore w:val="0"/>
        <w:widowControl w:val="0"/>
        <w:kinsoku/>
        <w:wordWrap/>
        <w:overflowPunct/>
        <w:topLinePunct w:val="0"/>
        <w:autoSpaceDE/>
        <w:autoSpaceDN/>
        <w:bidi w:val="0"/>
        <w:adjustRightInd/>
        <w:snapToGrid/>
        <w:spacing w:line="360" w:lineRule="exact"/>
        <w:ind w:left="2" w:leftChars="1" w:right="23" w:rightChars="11" w:firstLine="0" w:firstLineChars="0"/>
        <w:textAlignment w:val="auto"/>
        <w:rPr>
          <w:rFonts w:hint="eastAsia" w:ascii="宋体" w:hAnsi="宋体" w:eastAsia="宋体" w:cs="Times New Roman"/>
          <w:bCs/>
          <w:sz w:val="21"/>
          <w:szCs w:val="21"/>
          <w:lang w:val="en-US" w:eastAsia="zh-CN"/>
        </w:rPr>
      </w:pPr>
      <w:r>
        <w:rPr>
          <w:rFonts w:hint="eastAsia" w:ascii="宋体" w:hAnsi="宋体" w:eastAsia="宋体" w:cs="Times New Roman"/>
          <w:bCs/>
          <w:sz w:val="21"/>
          <w:szCs w:val="21"/>
          <w:lang w:val="en-US" w:eastAsia="zh-CN"/>
        </w:rPr>
        <w:t>3.4成交人在日常维护工作中，应严格按采购人制定的维护作业计划进行作业，并接受采购人的日常管理、指挥和临时工作安排。</w:t>
      </w:r>
    </w:p>
    <w:p w14:paraId="31212525">
      <w:pPr>
        <w:spacing w:line="360" w:lineRule="exact"/>
        <w:ind w:left="628" w:leftChars="1" w:right="23" w:rightChars="11" w:hanging="626" w:hangingChars="297"/>
        <w:rPr>
          <w:rFonts w:hint="eastAsia" w:ascii="宋体" w:hAnsi="宋体" w:eastAsia="宋体" w:cs="Times New Roman"/>
          <w:b/>
          <w:bCs/>
          <w:sz w:val="21"/>
          <w:szCs w:val="21"/>
          <w:lang w:val="en-US" w:eastAsia="zh-CN"/>
        </w:rPr>
      </w:pPr>
      <w:r>
        <w:rPr>
          <w:rFonts w:hint="eastAsia" w:ascii="宋体" w:hAnsi="宋体" w:eastAsia="宋体" w:cs="Times New Roman"/>
          <w:b/>
          <w:bCs/>
          <w:sz w:val="21"/>
          <w:szCs w:val="21"/>
          <w:lang w:val="en-US" w:eastAsia="zh-CN"/>
        </w:rPr>
        <w:t>4.质量保证</w:t>
      </w:r>
    </w:p>
    <w:p w14:paraId="52988FAD">
      <w:pPr>
        <w:spacing w:line="360" w:lineRule="exact"/>
        <w:ind w:left="625" w:leftChars="1" w:right="23" w:rightChars="11" w:hanging="623" w:hangingChars="297"/>
        <w:rPr>
          <w:rFonts w:ascii="宋体" w:hAnsi="宋体"/>
          <w:bCs/>
          <w:sz w:val="21"/>
          <w:szCs w:val="21"/>
        </w:rPr>
      </w:pPr>
      <w:r>
        <w:rPr>
          <w:rFonts w:hint="eastAsia" w:ascii="宋体" w:hAnsi="宋体"/>
          <w:bCs/>
          <w:sz w:val="21"/>
          <w:szCs w:val="21"/>
        </w:rPr>
        <w:t>4.1本工程质量符合《工程施工质量验收规范》要求，达到合格工程标准。</w:t>
      </w:r>
    </w:p>
    <w:p w14:paraId="455EBAAB">
      <w:pPr>
        <w:spacing w:line="360" w:lineRule="exact"/>
        <w:ind w:left="625" w:leftChars="1" w:right="23" w:rightChars="11" w:hanging="623" w:hangingChars="297"/>
        <w:rPr>
          <w:rFonts w:hint="eastAsia" w:ascii="宋体" w:hAnsi="宋体"/>
          <w:bCs/>
          <w:sz w:val="21"/>
          <w:szCs w:val="21"/>
        </w:rPr>
      </w:pPr>
      <w:r>
        <w:rPr>
          <w:rFonts w:hint="eastAsia" w:ascii="宋体" w:hAnsi="宋体"/>
          <w:bCs/>
          <w:sz w:val="21"/>
          <w:szCs w:val="21"/>
        </w:rPr>
        <w:t>4.2 施工期间，应接受采购人及监理工程师的监督管理，遵守有关规定。</w:t>
      </w:r>
    </w:p>
    <w:p w14:paraId="479E9500">
      <w:pPr>
        <w:spacing w:line="360" w:lineRule="exact"/>
        <w:ind w:right="23" w:rightChars="11"/>
        <w:rPr>
          <w:rFonts w:hint="eastAsia" w:ascii="宋体" w:hAnsi="宋体"/>
          <w:bCs/>
          <w:sz w:val="21"/>
          <w:szCs w:val="21"/>
        </w:rPr>
      </w:pPr>
      <w:r>
        <w:rPr>
          <w:rFonts w:hint="eastAsia" w:ascii="宋体" w:hAnsi="宋体"/>
          <w:bCs/>
          <w:sz w:val="21"/>
          <w:szCs w:val="21"/>
        </w:rPr>
        <w:t xml:space="preserve">4.3 </w:t>
      </w:r>
      <w:bookmarkStart w:id="5" w:name="_Toc225336551"/>
      <w:r>
        <w:rPr>
          <w:rFonts w:hint="eastAsia" w:ascii="宋体" w:hAnsi="宋体"/>
          <w:bCs/>
          <w:sz w:val="21"/>
          <w:szCs w:val="21"/>
        </w:rPr>
        <w:t>工程质量及工程验收标准，按建设部现行的有关施工规范和工程质量检验评定标准作业标准执行。成交人如有违反操作规程及粗制滥造现象，采购人有权加以制止，直至下令停止施工，其经济损失全部由成交人负责，工期不得顺延。</w:t>
      </w:r>
    </w:p>
    <w:p w14:paraId="211C5FC4">
      <w:pPr>
        <w:spacing w:line="360" w:lineRule="exact"/>
        <w:ind w:right="23" w:rightChars="11"/>
        <w:rPr>
          <w:rFonts w:hint="eastAsia" w:ascii="宋体" w:hAnsi="宋体"/>
          <w:bCs/>
          <w:sz w:val="21"/>
          <w:szCs w:val="21"/>
        </w:rPr>
      </w:pPr>
      <w:r>
        <w:rPr>
          <w:rFonts w:hint="eastAsia" w:ascii="宋体" w:hAnsi="宋体"/>
          <w:bCs/>
          <w:sz w:val="21"/>
          <w:szCs w:val="21"/>
          <w:lang w:val="en-US" w:eastAsia="zh-CN"/>
        </w:rPr>
        <w:t>4.4</w:t>
      </w:r>
      <w:r>
        <w:rPr>
          <w:rFonts w:hint="eastAsia" w:ascii="宋体" w:hAnsi="宋体"/>
          <w:bCs/>
          <w:sz w:val="21"/>
          <w:szCs w:val="21"/>
        </w:rPr>
        <w:t>工程整体基本质量保证期按国家现行标准执行，最短不少于1年，从验收合格并签字确认之日起算起。供应商可根据自身情况，在不低于本要求的前提下承诺更优质的质保期。</w:t>
      </w:r>
    </w:p>
    <w:p w14:paraId="1956B626">
      <w:pPr>
        <w:adjustRightInd w:val="0"/>
        <w:snapToGrid w:val="0"/>
        <w:spacing w:beforeLines="50" w:line="360" w:lineRule="exact"/>
        <w:ind w:right="23" w:rightChars="11"/>
        <w:rPr>
          <w:rFonts w:ascii="宋体" w:hAnsi="宋体"/>
          <w:b/>
          <w:sz w:val="21"/>
          <w:szCs w:val="21"/>
        </w:rPr>
      </w:pPr>
      <w:r>
        <w:rPr>
          <w:rFonts w:hint="eastAsia" w:ascii="宋体" w:hAnsi="宋体"/>
          <w:b/>
          <w:sz w:val="21"/>
          <w:szCs w:val="21"/>
        </w:rPr>
        <w:t>七、项目特别说明</w:t>
      </w:r>
      <w:bookmarkEnd w:id="5"/>
    </w:p>
    <w:p w14:paraId="29B52A46">
      <w:pPr>
        <w:spacing w:line="360" w:lineRule="exact"/>
        <w:ind w:right="23" w:rightChars="11"/>
        <w:rPr>
          <w:rFonts w:ascii="宋体" w:hAnsi="宋体"/>
          <w:sz w:val="21"/>
          <w:szCs w:val="21"/>
        </w:rPr>
      </w:pPr>
      <w:r>
        <w:rPr>
          <w:rFonts w:hint="eastAsia" w:ascii="宋体" w:hAnsi="宋体"/>
          <w:sz w:val="21"/>
          <w:szCs w:val="21"/>
        </w:rPr>
        <w:t>1．</w:t>
      </w:r>
      <w:r>
        <w:rPr>
          <w:rFonts w:hint="eastAsia" w:ascii="宋体" w:hAnsi="宋体"/>
          <w:b/>
          <w:sz w:val="21"/>
          <w:szCs w:val="21"/>
        </w:rPr>
        <w:t>实施时间及地点</w:t>
      </w:r>
    </w:p>
    <w:p w14:paraId="6EE0EA84">
      <w:pPr>
        <w:spacing w:line="360" w:lineRule="exact"/>
        <w:ind w:right="23" w:rightChars="11"/>
        <w:rPr>
          <w:rFonts w:ascii="宋体" w:hAnsi="宋体"/>
          <w:sz w:val="21"/>
          <w:szCs w:val="21"/>
        </w:rPr>
      </w:pPr>
      <w:r>
        <w:rPr>
          <w:rFonts w:hint="eastAsia" w:ascii="宋体" w:hAnsi="宋体"/>
          <w:sz w:val="21"/>
          <w:szCs w:val="21"/>
        </w:rPr>
        <w:t>1.1 实施时间：在接到业主单位通知开工后。</w:t>
      </w:r>
    </w:p>
    <w:p w14:paraId="468A699A">
      <w:pPr>
        <w:adjustRightInd w:val="0"/>
        <w:snapToGrid w:val="0"/>
        <w:spacing w:beforeLines="50" w:line="360" w:lineRule="exact"/>
        <w:ind w:right="23" w:rightChars="11"/>
        <w:rPr>
          <w:rFonts w:ascii="宋体" w:hAnsi="宋体"/>
          <w:b/>
          <w:bCs/>
          <w:sz w:val="21"/>
          <w:szCs w:val="21"/>
          <w:u w:val="single"/>
        </w:rPr>
      </w:pPr>
      <w:r>
        <w:rPr>
          <w:rFonts w:hint="eastAsia" w:ascii="宋体" w:hAnsi="宋体"/>
          <w:sz w:val="21"/>
          <w:szCs w:val="21"/>
        </w:rPr>
        <w:t>1.2 实施地点：</w:t>
      </w:r>
      <w:r>
        <w:rPr>
          <w:rFonts w:hint="eastAsia" w:ascii="宋体" w:hAnsi="宋体"/>
          <w:sz w:val="21"/>
          <w:szCs w:val="21"/>
          <w:u w:val="single"/>
          <w:lang w:eastAsia="zh-CN"/>
        </w:rPr>
        <w:t>岳阳市第十五中学</w:t>
      </w:r>
      <w:r>
        <w:rPr>
          <w:rFonts w:hint="eastAsia" w:ascii="宋体" w:hAnsi="宋体"/>
          <w:b/>
          <w:bCs/>
          <w:sz w:val="21"/>
          <w:szCs w:val="21"/>
          <w:u w:val="single"/>
        </w:rPr>
        <w:t>。</w:t>
      </w:r>
    </w:p>
    <w:p w14:paraId="31E8DAB1">
      <w:pPr>
        <w:spacing w:line="360" w:lineRule="exact"/>
        <w:ind w:right="23" w:rightChars="11"/>
        <w:rPr>
          <w:rFonts w:ascii="宋体" w:hAnsi="宋体"/>
          <w:sz w:val="21"/>
          <w:szCs w:val="21"/>
        </w:rPr>
      </w:pPr>
      <w:r>
        <w:rPr>
          <w:rFonts w:hint="eastAsia" w:ascii="宋体" w:hAnsi="宋体"/>
          <w:sz w:val="21"/>
          <w:szCs w:val="21"/>
        </w:rPr>
        <w:t>2．</w:t>
      </w:r>
      <w:r>
        <w:rPr>
          <w:rFonts w:hint="eastAsia" w:ascii="宋体" w:hAnsi="宋体"/>
          <w:b/>
          <w:sz w:val="21"/>
          <w:szCs w:val="21"/>
        </w:rPr>
        <w:t>结算方法</w:t>
      </w:r>
    </w:p>
    <w:p w14:paraId="6D78431A">
      <w:pPr>
        <w:spacing w:line="360" w:lineRule="exact"/>
        <w:ind w:right="21" w:rightChars="10"/>
        <w:rPr>
          <w:rFonts w:ascii="宋体" w:hAnsi="宋体"/>
          <w:bCs/>
          <w:color w:val="000000"/>
          <w:sz w:val="21"/>
          <w:szCs w:val="21"/>
        </w:rPr>
      </w:pPr>
      <w:r>
        <w:rPr>
          <w:rFonts w:hint="eastAsia" w:ascii="宋体" w:hAnsi="宋体"/>
          <w:bCs/>
          <w:color w:val="000000"/>
          <w:sz w:val="21"/>
          <w:szCs w:val="21"/>
        </w:rPr>
        <w:t>2.1 支付方式：由</w:t>
      </w:r>
      <w:r>
        <w:rPr>
          <w:rFonts w:hint="eastAsia" w:ascii="宋体" w:hAnsi="宋体"/>
          <w:bCs/>
          <w:color w:val="000000"/>
          <w:sz w:val="21"/>
          <w:szCs w:val="21"/>
          <w:u w:val="single"/>
          <w:lang w:val="en-US" w:eastAsia="zh-CN"/>
        </w:rPr>
        <w:t xml:space="preserve"> 岳阳市第十五中学</w:t>
      </w:r>
      <w:r>
        <w:rPr>
          <w:rFonts w:hint="eastAsia" w:ascii="宋体" w:hAnsi="宋体"/>
          <w:bCs/>
          <w:color w:val="000000"/>
          <w:sz w:val="21"/>
          <w:szCs w:val="21"/>
          <w:u w:val="single"/>
          <w:shd w:val="clear" w:color="auto" w:fill="auto"/>
          <w:lang w:val="en-US" w:eastAsia="zh-CN"/>
        </w:rPr>
        <w:t xml:space="preserve"> </w:t>
      </w:r>
      <w:r>
        <w:rPr>
          <w:rFonts w:hint="eastAsia" w:ascii="宋体" w:hAnsi="宋体" w:cs="宋体"/>
          <w:color w:val="000000"/>
          <w:sz w:val="21"/>
          <w:szCs w:val="21"/>
        </w:rPr>
        <w:t>按有关规定支付。</w:t>
      </w:r>
    </w:p>
    <w:p w14:paraId="4911D906">
      <w:pPr>
        <w:pStyle w:val="4"/>
        <w:spacing w:line="360" w:lineRule="exact"/>
        <w:ind w:left="600" w:right="23" w:rightChars="11" w:hanging="525" w:hangingChars="250"/>
        <w:rPr>
          <w:rFonts w:hint="eastAsia" w:ascii="宋体" w:hAnsi="宋体"/>
          <w:bCs/>
          <w:color w:val="000000"/>
          <w:sz w:val="21"/>
          <w:szCs w:val="21"/>
          <w:u w:val="single"/>
        </w:rPr>
      </w:pPr>
      <w:r>
        <w:rPr>
          <w:rFonts w:hint="eastAsia" w:ascii="宋体" w:hAnsi="宋体"/>
          <w:bCs/>
          <w:color w:val="000000"/>
          <w:sz w:val="21"/>
          <w:szCs w:val="21"/>
        </w:rPr>
        <w:t xml:space="preserve">2.2 </w:t>
      </w:r>
      <w:r>
        <w:rPr>
          <w:rFonts w:hint="eastAsia" w:ascii="宋体" w:hAnsi="宋体" w:eastAsia="宋体" w:cs="宋体"/>
          <w:color w:val="000000"/>
          <w:kern w:val="2"/>
          <w:sz w:val="21"/>
          <w:szCs w:val="21"/>
          <w:lang w:val="en-US" w:eastAsia="zh-CN" w:bidi="ar-SA"/>
        </w:rPr>
        <w:t>付款方式：</w:t>
      </w:r>
      <w:r>
        <w:rPr>
          <w:rFonts w:hint="eastAsia" w:ascii="宋体" w:hAnsi="宋体" w:eastAsia="宋体" w:cs="宋体"/>
          <w:color w:val="000000"/>
          <w:kern w:val="2"/>
          <w:sz w:val="21"/>
          <w:szCs w:val="21"/>
          <w:u w:val="single"/>
          <w:lang w:val="en-US" w:eastAsia="zh-CN" w:bidi="ar-SA"/>
        </w:rPr>
        <w:t>项目验收通过后支付至合同金额的80%，项目结算审计完成后支付至审定金额的97%，剩余款项待工程保修期满后无息返还。付款申请单按岳阳市教育事务中心规定编制。</w:t>
      </w:r>
    </w:p>
    <w:p w14:paraId="18777897">
      <w:pPr>
        <w:pStyle w:val="4"/>
        <w:spacing w:line="360" w:lineRule="exact"/>
        <w:ind w:right="23" w:rightChars="11"/>
        <w:rPr>
          <w:rFonts w:ascii="宋体" w:hAnsi="宋体"/>
          <w:bCs/>
          <w:sz w:val="21"/>
          <w:szCs w:val="21"/>
        </w:rPr>
      </w:pPr>
      <w:r>
        <w:rPr>
          <w:rFonts w:hint="eastAsia" w:ascii="宋体" w:hAnsi="宋体"/>
          <w:bCs/>
          <w:sz w:val="21"/>
          <w:szCs w:val="21"/>
        </w:rPr>
        <w:t>2.3 本项目中标金额不能作为总价包干依据，最终结算价以审计单位审核的为准。投标人应根据项目要求和现场情况，详细列明项目所需的设备、材料以及所有人工、管理、财务等所有费用，如投标人遗漏</w:t>
      </w:r>
      <w:r>
        <w:rPr>
          <w:rFonts w:hint="eastAsia" w:ascii="宋体" w:hAnsi="宋体"/>
          <w:bCs/>
          <w:sz w:val="21"/>
          <w:szCs w:val="21"/>
          <w:lang w:eastAsia="zh-CN"/>
        </w:rPr>
        <w:t>磋商</w:t>
      </w:r>
      <w:r>
        <w:rPr>
          <w:rFonts w:hint="eastAsia" w:ascii="宋体" w:hAnsi="宋体"/>
          <w:bCs/>
          <w:sz w:val="21"/>
          <w:szCs w:val="21"/>
        </w:rPr>
        <w:t>文件所列工程量清单内容，均由成交人自负，采购人不再支付任何费用。</w:t>
      </w:r>
    </w:p>
    <w:p w14:paraId="290A6709">
      <w:pPr>
        <w:spacing w:line="360" w:lineRule="exact"/>
        <w:ind w:right="23" w:rightChars="11"/>
        <w:rPr>
          <w:rFonts w:ascii="宋体" w:hAnsi="宋体"/>
          <w:bCs/>
          <w:sz w:val="21"/>
          <w:szCs w:val="21"/>
        </w:rPr>
      </w:pPr>
      <w:r>
        <w:rPr>
          <w:rFonts w:hint="eastAsia" w:ascii="宋体" w:hAnsi="宋体"/>
          <w:bCs/>
          <w:sz w:val="21"/>
          <w:szCs w:val="21"/>
        </w:rPr>
        <w:t xml:space="preserve">2.4 </w:t>
      </w:r>
      <w:r>
        <w:rPr>
          <w:rFonts w:hint="eastAsia" w:ascii="宋体" w:hAnsi="宋体"/>
          <w:b/>
          <w:bCs/>
          <w:sz w:val="21"/>
          <w:szCs w:val="21"/>
        </w:rPr>
        <w:t>工程变更</w:t>
      </w:r>
    </w:p>
    <w:p w14:paraId="33ECD68A">
      <w:pPr>
        <w:spacing w:line="360" w:lineRule="exact"/>
        <w:ind w:right="23" w:rightChars="11"/>
        <w:rPr>
          <w:rFonts w:ascii="宋体" w:hAnsi="宋体"/>
          <w:bCs/>
          <w:sz w:val="21"/>
          <w:szCs w:val="21"/>
        </w:rPr>
      </w:pPr>
      <w:r>
        <w:rPr>
          <w:rFonts w:hint="eastAsia" w:ascii="宋体" w:hAnsi="宋体"/>
          <w:bCs/>
          <w:sz w:val="21"/>
          <w:szCs w:val="21"/>
        </w:rPr>
        <w:t>2.4.1 采用暂定价形式的由有关部门审定。</w:t>
      </w:r>
    </w:p>
    <w:p w14:paraId="3B8088C7">
      <w:pPr>
        <w:spacing w:line="360" w:lineRule="exact"/>
        <w:ind w:left="840" w:right="23" w:rightChars="11" w:hanging="735" w:hangingChars="350"/>
        <w:rPr>
          <w:rFonts w:ascii="宋体" w:hAnsi="宋体"/>
          <w:bCs/>
          <w:spacing w:val="-4"/>
          <w:sz w:val="21"/>
          <w:szCs w:val="21"/>
        </w:rPr>
      </w:pPr>
      <w:r>
        <w:rPr>
          <w:rFonts w:hint="eastAsia" w:ascii="宋体" w:hAnsi="宋体"/>
          <w:bCs/>
          <w:sz w:val="21"/>
          <w:szCs w:val="21"/>
        </w:rPr>
        <w:t xml:space="preserve">2.4.2 </w:t>
      </w:r>
      <w:r>
        <w:rPr>
          <w:rFonts w:hint="eastAsia" w:ascii="宋体" w:hAnsi="宋体"/>
          <w:bCs/>
          <w:spacing w:val="-4"/>
          <w:sz w:val="21"/>
          <w:szCs w:val="21"/>
        </w:rPr>
        <w:t>当发生工程变更、工</w:t>
      </w:r>
      <w:r>
        <w:rPr>
          <w:rFonts w:hint="eastAsia" w:ascii="宋体" w:hAnsi="宋体" w:eastAsia="宋体" w:cs="Times New Roman"/>
          <w:bCs/>
          <w:spacing w:val="-4"/>
          <w:sz w:val="21"/>
          <w:szCs w:val="21"/>
        </w:rPr>
        <w:t>程量增减时，</w:t>
      </w:r>
      <w:r>
        <w:rPr>
          <w:rFonts w:hint="eastAsia" w:ascii="宋体" w:hAnsi="宋体"/>
          <w:bCs/>
          <w:spacing w:val="-4"/>
          <w:sz w:val="21"/>
          <w:szCs w:val="21"/>
        </w:rPr>
        <w:t>由采购人、监理公司进行初审，报有关部门审定后报政府采购部门备案。</w:t>
      </w:r>
    </w:p>
    <w:p w14:paraId="791CF675">
      <w:pPr>
        <w:spacing w:line="360" w:lineRule="exact"/>
        <w:ind w:left="716" w:right="23" w:rightChars="11" w:hanging="626" w:hangingChars="297"/>
        <w:rPr>
          <w:rFonts w:ascii="宋体" w:hAnsi="宋体"/>
          <w:b/>
          <w:bCs/>
          <w:sz w:val="21"/>
          <w:szCs w:val="21"/>
        </w:rPr>
      </w:pPr>
      <w:r>
        <w:rPr>
          <w:rFonts w:hint="eastAsia" w:ascii="宋体" w:hAnsi="宋体"/>
          <w:b/>
          <w:bCs/>
          <w:sz w:val="21"/>
          <w:szCs w:val="21"/>
        </w:rPr>
        <w:t>3. 工程竣工结算</w:t>
      </w:r>
    </w:p>
    <w:p w14:paraId="52A4CB52">
      <w:pPr>
        <w:spacing w:line="360" w:lineRule="exact"/>
        <w:ind w:right="23" w:rightChars="11" w:firstLine="420" w:firstLineChars="200"/>
        <w:rPr>
          <w:rFonts w:ascii="宋体" w:hAnsi="宋体"/>
          <w:bCs/>
          <w:sz w:val="21"/>
          <w:szCs w:val="21"/>
        </w:rPr>
      </w:pPr>
      <w:r>
        <w:rPr>
          <w:rFonts w:hint="eastAsia" w:ascii="宋体" w:hAnsi="宋体"/>
          <w:bCs/>
          <w:sz w:val="21"/>
          <w:szCs w:val="21"/>
        </w:rPr>
        <w:t>工程竣工后双方应及时办理工程结算，承包人应积极配合，发包人在6个月审核认可，未办理完结算不支付工程尾款，并不计算利息。工程竣工验收后，承包方应在30天内提交完整齐备的工程竣工资料和验收资料装整成册交采购人四套存档（含电子文件光盘），并必须保证所有归档资料的真实性。</w:t>
      </w:r>
    </w:p>
    <w:p w14:paraId="3A933BDE">
      <w:pPr>
        <w:spacing w:line="360" w:lineRule="exact"/>
        <w:ind w:left="716" w:right="23" w:rightChars="11" w:hanging="626" w:hangingChars="297"/>
        <w:rPr>
          <w:rFonts w:hint="eastAsia" w:ascii="宋体" w:hAnsi="宋体" w:eastAsia="宋体"/>
          <w:b/>
          <w:bCs/>
          <w:sz w:val="21"/>
          <w:szCs w:val="21"/>
          <w:lang w:eastAsia="zh-CN"/>
        </w:rPr>
      </w:pPr>
      <w:r>
        <w:rPr>
          <w:rFonts w:hint="eastAsia" w:ascii="宋体" w:hAnsi="宋体"/>
          <w:b/>
          <w:bCs/>
          <w:sz w:val="21"/>
          <w:szCs w:val="21"/>
        </w:rPr>
        <w:t>4. 工程</w:t>
      </w:r>
      <w:r>
        <w:rPr>
          <w:rFonts w:hint="eastAsia" w:ascii="宋体" w:hAnsi="宋体"/>
          <w:b/>
          <w:bCs/>
          <w:sz w:val="21"/>
          <w:szCs w:val="21"/>
          <w:lang w:eastAsia="zh-CN"/>
        </w:rPr>
        <w:t>质保</w:t>
      </w:r>
    </w:p>
    <w:p w14:paraId="18102840">
      <w:pPr>
        <w:spacing w:line="360" w:lineRule="exact"/>
        <w:ind w:right="23" w:rightChars="11"/>
        <w:rPr>
          <w:rFonts w:ascii="宋体" w:hAnsi="宋体"/>
          <w:bCs/>
          <w:sz w:val="21"/>
          <w:szCs w:val="21"/>
        </w:rPr>
      </w:pPr>
      <w:r>
        <w:rPr>
          <w:rFonts w:hint="eastAsia" w:ascii="宋体" w:hAnsi="宋体"/>
          <w:bCs/>
          <w:sz w:val="21"/>
          <w:szCs w:val="21"/>
        </w:rPr>
        <w:t xml:space="preserve">   按</w:t>
      </w:r>
      <w:r>
        <w:rPr>
          <w:rFonts w:hint="eastAsia" w:ascii="宋体" w:hAnsi="宋体"/>
          <w:bCs/>
          <w:sz w:val="21"/>
          <w:szCs w:val="21"/>
          <w:lang w:eastAsia="zh-CN"/>
        </w:rPr>
        <w:t>建设部2000年80号令</w:t>
      </w:r>
      <w:r>
        <w:rPr>
          <w:rFonts w:hint="eastAsia" w:ascii="宋体" w:hAnsi="宋体"/>
          <w:bCs/>
          <w:sz w:val="21"/>
          <w:szCs w:val="21"/>
        </w:rPr>
        <w:t>要求进行保修</w:t>
      </w:r>
      <w:r>
        <w:rPr>
          <w:rFonts w:hint="eastAsia" w:ascii="宋体" w:hAnsi="宋体"/>
          <w:bCs/>
          <w:color w:val="000000"/>
          <w:sz w:val="21"/>
          <w:szCs w:val="21"/>
        </w:rPr>
        <w:t>，由承包人承担其责任与义务。</w:t>
      </w:r>
    </w:p>
    <w:p w14:paraId="4E96846F">
      <w:pPr>
        <w:spacing w:line="360" w:lineRule="exact"/>
        <w:ind w:left="716" w:right="23" w:rightChars="11" w:hanging="626" w:hangingChars="297"/>
        <w:rPr>
          <w:rFonts w:ascii="宋体" w:hAnsi="宋体"/>
          <w:b/>
          <w:bCs/>
          <w:sz w:val="21"/>
          <w:szCs w:val="21"/>
        </w:rPr>
      </w:pPr>
      <w:r>
        <w:rPr>
          <w:rFonts w:hint="eastAsia" w:ascii="宋体" w:hAnsi="宋体"/>
          <w:b/>
          <w:bCs/>
          <w:sz w:val="21"/>
          <w:szCs w:val="21"/>
        </w:rPr>
        <w:t>5. 争议的解决</w:t>
      </w:r>
    </w:p>
    <w:p w14:paraId="05B16F60">
      <w:pPr>
        <w:spacing w:line="360" w:lineRule="exact"/>
        <w:ind w:left="713" w:right="23" w:rightChars="11" w:hanging="623" w:hangingChars="297"/>
        <w:rPr>
          <w:rFonts w:hint="eastAsia" w:ascii="宋体" w:hAnsi="宋体"/>
          <w:bCs/>
          <w:sz w:val="21"/>
          <w:szCs w:val="21"/>
        </w:rPr>
      </w:pPr>
      <w:r>
        <w:rPr>
          <w:rFonts w:hint="eastAsia" w:ascii="宋体" w:hAnsi="宋体"/>
          <w:bCs/>
          <w:sz w:val="21"/>
          <w:szCs w:val="21"/>
        </w:rPr>
        <w:t xml:space="preserve">   本合同在履行过程中发生争议，双方应及时协商解决，协商不成时，双方同意由当地仲裁委员会</w:t>
      </w:r>
    </w:p>
    <w:p w14:paraId="66D3CE47">
      <w:pPr>
        <w:spacing w:line="360" w:lineRule="exact"/>
        <w:ind w:right="23" w:rightChars="11"/>
        <w:rPr>
          <w:rFonts w:ascii="宋体" w:hAnsi="宋体"/>
          <w:bCs/>
          <w:sz w:val="21"/>
          <w:szCs w:val="21"/>
        </w:rPr>
      </w:pPr>
      <w:r>
        <w:rPr>
          <w:rFonts w:hint="eastAsia" w:ascii="宋体" w:hAnsi="宋体"/>
          <w:bCs/>
          <w:sz w:val="21"/>
          <w:szCs w:val="21"/>
        </w:rPr>
        <w:t>仲裁。</w:t>
      </w:r>
    </w:p>
    <w:p w14:paraId="496C4A91">
      <w:pPr>
        <w:adjustRightInd w:val="0"/>
        <w:snapToGrid w:val="0"/>
        <w:spacing w:line="360" w:lineRule="auto"/>
        <w:ind w:right="23" w:rightChars="11"/>
        <w:rPr>
          <w:rFonts w:hint="eastAsia" w:ascii="宋体" w:hAnsi="宋体"/>
          <w:b/>
          <w:sz w:val="21"/>
          <w:szCs w:val="21"/>
        </w:rPr>
      </w:pPr>
      <w:r>
        <w:rPr>
          <w:rFonts w:hint="eastAsia" w:ascii="宋体" w:hAnsi="宋体"/>
          <w:b/>
          <w:sz w:val="21"/>
          <w:szCs w:val="21"/>
        </w:rPr>
        <w:t>八、其它需要说明的事项</w:t>
      </w:r>
    </w:p>
    <w:p w14:paraId="61DD08C7">
      <w:pPr>
        <w:adjustRightInd w:val="0"/>
        <w:snapToGrid w:val="0"/>
        <w:spacing w:line="360" w:lineRule="auto"/>
        <w:ind w:right="23" w:rightChars="11" w:firstLine="514" w:firstLineChars="245"/>
        <w:rPr>
          <w:rFonts w:hint="eastAsia" w:ascii="宋体" w:hAnsi="宋体"/>
          <w:color w:val="000000"/>
          <w:szCs w:val="21"/>
        </w:rPr>
      </w:pPr>
      <w:r>
        <w:rPr>
          <w:rFonts w:hint="eastAsia" w:ascii="宋体" w:hAnsi="宋体"/>
          <w:b w:val="0"/>
          <w:bCs w:val="0"/>
          <w:color w:val="000000"/>
          <w:szCs w:val="21"/>
        </w:rPr>
        <w:t>（1</w:t>
      </w:r>
      <w:r>
        <w:rPr>
          <w:rFonts w:hint="eastAsia" w:ascii="宋体" w:hAnsi="宋体"/>
          <w:color w:val="000000"/>
          <w:szCs w:val="21"/>
        </w:rPr>
        <w:t>）</w:t>
      </w:r>
      <w:r>
        <w:rPr>
          <w:rFonts w:hint="eastAsia" w:ascii="宋体" w:hAnsi="宋体"/>
          <w:bCs/>
          <w:sz w:val="21"/>
          <w:szCs w:val="21"/>
          <w:lang w:val="en-US" w:eastAsia="zh-CN"/>
        </w:rPr>
        <w:t>成交供应商</w:t>
      </w:r>
      <w:r>
        <w:rPr>
          <w:rFonts w:hint="eastAsia" w:ascii="宋体" w:hAnsi="宋体"/>
          <w:color w:val="000000"/>
          <w:szCs w:val="21"/>
          <w:lang w:val="en-US" w:eastAsia="zh-CN"/>
        </w:rPr>
        <w:t>必须严格按照设计施工图纸及有关施工和验收规范进行施工，保证工程质量通过</w:t>
      </w:r>
      <w:r>
        <w:rPr>
          <w:rFonts w:hint="eastAsia" w:ascii="宋体" w:hAnsi="宋体"/>
          <w:color w:val="000000"/>
          <w:szCs w:val="21"/>
          <w:highlight w:val="none"/>
          <w:lang w:val="en-US" w:eastAsia="zh-CN"/>
        </w:rPr>
        <w:t>有关部门验收达到标准要求</w:t>
      </w:r>
      <w:r>
        <w:rPr>
          <w:rFonts w:hint="eastAsia" w:ascii="宋体" w:hAnsi="宋体"/>
          <w:color w:val="000000"/>
          <w:szCs w:val="21"/>
        </w:rPr>
        <w:t>。</w:t>
      </w:r>
    </w:p>
    <w:p w14:paraId="6BBBFA79">
      <w:pPr>
        <w:adjustRightInd w:val="0"/>
        <w:snapToGrid w:val="0"/>
        <w:spacing w:line="360" w:lineRule="auto"/>
        <w:ind w:firstLine="420" w:firstLineChars="200"/>
        <w:rPr>
          <w:rFonts w:hint="eastAsia" w:ascii="宋体" w:hAnsi="宋体"/>
          <w:color w:val="000000"/>
          <w:szCs w:val="21"/>
        </w:rPr>
      </w:pPr>
      <w:r>
        <w:rPr>
          <w:rFonts w:hint="eastAsia" w:ascii="宋体" w:hAnsi="宋体"/>
          <w:color w:val="000000"/>
          <w:szCs w:val="21"/>
        </w:rPr>
        <w:t>（2）</w:t>
      </w:r>
      <w:r>
        <w:rPr>
          <w:rFonts w:hint="eastAsia" w:ascii="宋体" w:hAnsi="宋体"/>
          <w:color w:val="000000"/>
          <w:szCs w:val="21"/>
          <w:highlight w:val="none"/>
          <w:lang w:val="en-US" w:eastAsia="zh-CN"/>
        </w:rPr>
        <w:t>工程完工后，由有关质量验收部门对工程进行验收，</w:t>
      </w:r>
      <w:r>
        <w:rPr>
          <w:rFonts w:hint="eastAsia" w:ascii="宋体" w:hAnsi="宋体"/>
          <w:color w:val="000000"/>
          <w:szCs w:val="21"/>
        </w:rPr>
        <w:t>验收过程中产生纠纷的，由质量技术监督部门认定的检测机构进行检测,如为成交人原因造成的，由成交人承担检测费用。</w:t>
      </w:r>
    </w:p>
    <w:p w14:paraId="6C95D2CA">
      <w:pPr>
        <w:adjustRightInd w:val="0"/>
        <w:snapToGrid w:val="0"/>
        <w:spacing w:line="360" w:lineRule="auto"/>
        <w:ind w:firstLine="420" w:firstLineChars="200"/>
        <w:rPr>
          <w:rFonts w:hint="eastAsia" w:ascii="宋体" w:hAnsi="宋体"/>
          <w:color w:val="000000"/>
          <w:szCs w:val="21"/>
        </w:rPr>
      </w:pPr>
      <w:r>
        <w:rPr>
          <w:rFonts w:hint="eastAsia" w:ascii="宋体" w:hAnsi="宋体"/>
          <w:color w:val="000000"/>
          <w:szCs w:val="21"/>
        </w:rPr>
        <w:t>（3）项目验收（如质量、环保等）不合格，由成交人返工直至合格，验收合格后采购人才按合同进行工程款的支付，有关返工、再行验收，以及给采购人造成的损失等费用由成交人承担。</w:t>
      </w:r>
    </w:p>
    <w:p w14:paraId="38AA8407">
      <w:pPr>
        <w:adjustRightInd w:val="0"/>
        <w:snapToGrid w:val="0"/>
        <w:spacing w:line="360" w:lineRule="auto"/>
        <w:ind w:firstLine="420" w:firstLineChars="200"/>
        <w:rPr>
          <w:rFonts w:hint="eastAsia" w:ascii="宋体" w:hAnsi="宋体"/>
          <w:color w:val="000000"/>
          <w:szCs w:val="21"/>
        </w:rPr>
      </w:pPr>
      <w:r>
        <w:rPr>
          <w:rFonts w:hint="eastAsia" w:ascii="宋体" w:hAnsi="宋体"/>
          <w:color w:val="000000"/>
          <w:szCs w:val="21"/>
        </w:rPr>
        <w:t>（4）质保期内出现任何质量问题，由成交人负责全免费（免全部工时费、材料费、管理费、财务费等等）更换或维修。</w:t>
      </w:r>
    </w:p>
    <w:p w14:paraId="5B413D1C">
      <w:pPr>
        <w:autoSpaceDE w:val="0"/>
        <w:autoSpaceDN w:val="0"/>
        <w:adjustRightInd w:val="0"/>
        <w:snapToGrid w:val="0"/>
        <w:spacing w:before="120" w:beforeLines="50" w:after="120" w:afterLines="50" w:line="360" w:lineRule="auto"/>
        <w:ind w:firstLine="420" w:firstLineChars="200"/>
        <w:jc w:val="left"/>
        <w:outlineLvl w:val="0"/>
        <w:rPr>
          <w:rFonts w:hint="eastAsia" w:ascii="黑体" w:eastAsia="黑体"/>
          <w:color w:val="000000"/>
          <w:sz w:val="32"/>
          <w:szCs w:val="32"/>
        </w:rPr>
      </w:pPr>
      <w:bookmarkStart w:id="6" w:name="_Toc14573"/>
      <w:r>
        <w:rPr>
          <w:rFonts w:hint="eastAsia" w:ascii="宋体" w:hAnsi="宋体"/>
          <w:bCs/>
          <w:color w:val="000000"/>
        </w:rPr>
        <w:t>（5）供应商应根据项目要求和现场情况，详细列明项目所需的设备及材料购置，以及产品运输保险保管、安装、验收、质保期免费保修维护等所有人工、管理、财务等所有费用，如一旦成交，在项目实施中出现任何遗漏，均由成交人免费提供，采购人不再支付任何费用。</w:t>
      </w:r>
      <w:bookmarkEnd w:id="6"/>
    </w:p>
    <w:p w14:paraId="540B4FCE">
      <w:pPr>
        <w:widowControl/>
        <w:spacing w:line="360" w:lineRule="auto"/>
        <w:ind w:firstLine="210" w:firstLineChars="100"/>
        <w:jc w:val="left"/>
        <w:rPr>
          <w:rFonts w:hint="eastAsia" w:ascii="宋体" w:hAnsi="宋体"/>
          <w:bCs/>
          <w:color w:val="000000"/>
        </w:rPr>
      </w:pPr>
      <w:r>
        <w:rPr>
          <w:rFonts w:hint="eastAsia" w:ascii="宋体" w:hAnsi="宋体"/>
          <w:bCs/>
          <w:color w:val="000000"/>
        </w:rPr>
        <w:t>（6）</w:t>
      </w:r>
      <w:r>
        <w:rPr>
          <w:rFonts w:hint="eastAsia" w:ascii="宋体" w:hAnsi="宋体"/>
          <w:bCs/>
          <w:sz w:val="21"/>
          <w:szCs w:val="21"/>
          <w:lang w:val="en-US" w:eastAsia="zh-CN"/>
        </w:rPr>
        <w:t>成交供应商</w:t>
      </w:r>
      <w:r>
        <w:rPr>
          <w:rFonts w:hint="eastAsia" w:ascii="宋体" w:hAnsi="宋体"/>
          <w:bCs/>
          <w:color w:val="000000"/>
          <w:lang w:val="en-US" w:eastAsia="zh-CN"/>
        </w:rPr>
        <w:t>在施工中应确保整个项目的施工安全，保证工程进度，严把工程质量关，</w:t>
      </w:r>
      <w:r>
        <w:rPr>
          <w:rFonts w:hint="eastAsia" w:ascii="宋体" w:hAnsi="宋体"/>
          <w:bCs/>
          <w:color w:val="000000"/>
        </w:rPr>
        <w:t>所有进场施工人员需购买保险，如施工过程中，发生了安全事故，一切责任由成交人承担，采购人不负任何责任。</w:t>
      </w:r>
    </w:p>
    <w:p w14:paraId="25654840">
      <w:pPr>
        <w:widowControl/>
        <w:spacing w:line="360" w:lineRule="auto"/>
        <w:ind w:firstLine="210" w:firstLineChars="100"/>
        <w:jc w:val="left"/>
        <w:rPr>
          <w:rFonts w:hint="eastAsia" w:ascii="宋体" w:hAnsi="宋体" w:eastAsia="宋体" w:cs="Times New Roman"/>
          <w:b w:val="0"/>
          <w:bCs/>
          <w:color w:val="000000"/>
          <w:lang w:eastAsia="zh-CN"/>
        </w:rPr>
      </w:pPr>
      <w:r>
        <w:rPr>
          <w:rFonts w:hint="eastAsia" w:ascii="宋体" w:hAnsi="宋体"/>
          <w:b w:val="0"/>
          <w:bCs/>
          <w:color w:val="auto"/>
          <w:lang w:eastAsia="zh-CN"/>
        </w:rPr>
        <w:t>（</w:t>
      </w:r>
      <w:r>
        <w:rPr>
          <w:rFonts w:hint="eastAsia" w:ascii="宋体" w:hAnsi="宋体"/>
          <w:b w:val="0"/>
          <w:bCs/>
          <w:color w:val="auto"/>
          <w:lang w:val="en-US" w:eastAsia="zh-CN"/>
        </w:rPr>
        <w:t>7</w:t>
      </w:r>
      <w:r>
        <w:rPr>
          <w:rFonts w:hint="eastAsia" w:ascii="宋体" w:hAnsi="宋体"/>
          <w:b w:val="0"/>
          <w:bCs/>
          <w:color w:val="auto"/>
          <w:lang w:eastAsia="zh-CN"/>
        </w:rPr>
        <w:t>）根据国家相关法律法规：中华人民共和国人力资源和社会保障部（关于进一步完善工程建设领域农民工工资保证金制度的意见），承包人须建立农民工工资专用账户，并将专用账户建立情况向</w:t>
      </w:r>
      <w:r>
        <w:rPr>
          <w:rFonts w:hint="eastAsia" w:ascii="宋体" w:hAnsi="宋体" w:eastAsia="宋体" w:cs="Times New Roman"/>
          <w:b w:val="0"/>
          <w:bCs/>
          <w:color w:val="000000"/>
          <w:lang w:eastAsia="zh-CN"/>
        </w:rPr>
        <w:t>发包人报备；同时，承包人在本合同签订后一周内，须按中标价的2%将农民工工资保证金打到发包人指定的账户且承包人必须100%付清农民工工资。 农民工工资保证金在本工程竣工验收合格并</w:t>
      </w:r>
      <w:r>
        <w:rPr>
          <w:rFonts w:hint="eastAsia" w:ascii="宋体" w:hAnsi="宋体" w:eastAsia="宋体" w:cs="Times New Roman"/>
          <w:b w:val="0"/>
          <w:bCs/>
          <w:color w:val="000000"/>
          <w:lang w:val="en-US" w:eastAsia="zh-CN"/>
        </w:rPr>
        <w:t>且投入使用</w:t>
      </w:r>
      <w:r>
        <w:rPr>
          <w:rFonts w:hint="eastAsia" w:ascii="宋体" w:hAnsi="宋体" w:eastAsia="宋体" w:cs="Times New Roman"/>
          <w:b w:val="0"/>
          <w:bCs/>
          <w:color w:val="000000"/>
          <w:lang w:eastAsia="zh-CN"/>
        </w:rPr>
        <w:t>之日起顺延 15 日后退回(不计利息)。</w:t>
      </w:r>
    </w:p>
    <w:p w14:paraId="246D64DE">
      <w:pPr>
        <w:widowControl/>
        <w:spacing w:line="360" w:lineRule="auto"/>
        <w:ind w:firstLine="210" w:firstLineChars="100"/>
        <w:jc w:val="left"/>
        <w:rPr>
          <w:rFonts w:hint="eastAsia" w:ascii="Times New Roman" w:hAnsi="Times New Roman" w:eastAsia="宋体" w:cs="Times New Roman"/>
          <w:b w:val="0"/>
          <w:bCs/>
          <w:color w:val="auto"/>
          <w:kern w:val="2"/>
          <w:sz w:val="21"/>
          <w:szCs w:val="24"/>
          <w:lang w:val="en-US" w:eastAsia="zh-CN" w:bidi="ar-SA"/>
        </w:rPr>
      </w:pPr>
      <w:r>
        <w:rPr>
          <w:rFonts w:hint="eastAsia" w:ascii="宋体" w:hAnsi="宋体" w:eastAsia="宋体" w:cs="Times New Roman"/>
          <w:b w:val="0"/>
          <w:bCs/>
          <w:color w:val="000000"/>
          <w:lang w:val="en-US" w:eastAsia="zh-CN"/>
        </w:rPr>
        <w:t>（8）承包方应对其履行合</w:t>
      </w:r>
      <w:r>
        <w:rPr>
          <w:rFonts w:hint="eastAsia" w:ascii="Times New Roman" w:hAnsi="Times New Roman" w:eastAsia="宋体" w:cs="Times New Roman"/>
          <w:b w:val="0"/>
          <w:bCs/>
          <w:color w:val="auto"/>
          <w:kern w:val="2"/>
          <w:sz w:val="21"/>
          <w:szCs w:val="24"/>
          <w:lang w:val="en-US" w:eastAsia="zh-CN" w:bidi="ar-SA"/>
        </w:rPr>
        <w:t>同所雇佣的全部人员，包括分包人人员的工伤事故承担责任。承包方除应当按劳动合同法等相关法律规定为施工人员购买工伤保险外，还应当为施工人员购买保额不低于100万的人身意外险，保险费用由承包方自行承担。</w:t>
      </w:r>
    </w:p>
    <w:p w14:paraId="1F9CFFAE">
      <w:r>
        <w:rPr>
          <w:rFonts w:hint="eastAsia" w:ascii="宋体" w:hAnsi="宋体" w:eastAsia="宋体" w:cs="宋体"/>
          <w:b/>
          <w:bCs/>
          <w:color w:val="auto"/>
          <w:sz w:val="21"/>
          <w:szCs w:val="21"/>
          <w:highlight w:val="none"/>
          <w:lang w:val="en-US" w:eastAsia="zh-CN"/>
        </w:rPr>
        <w:t>九、其他未尽事宜由采购人和</w:t>
      </w:r>
      <w:r>
        <w:rPr>
          <w:rFonts w:hint="eastAsia" w:ascii="宋体" w:hAnsi="宋体" w:eastAsia="宋体" w:cs="宋体"/>
          <w:b/>
          <w:bCs/>
          <w:color w:val="auto"/>
          <w:kern w:val="2"/>
          <w:sz w:val="21"/>
          <w:szCs w:val="21"/>
          <w:highlight w:val="none"/>
          <w:lang w:bidi="ar"/>
        </w:rPr>
        <w:t>中标（成交）</w:t>
      </w:r>
      <w:r>
        <w:rPr>
          <w:rFonts w:hint="eastAsia" w:ascii="宋体" w:hAnsi="宋体" w:eastAsia="宋体" w:cs="宋体"/>
          <w:b/>
          <w:bCs/>
          <w:color w:val="auto"/>
          <w:kern w:val="2"/>
          <w:sz w:val="21"/>
          <w:szCs w:val="21"/>
          <w:highlight w:val="none"/>
          <w:lang w:val="en-US" w:eastAsia="zh-CN" w:bidi="ar"/>
        </w:rPr>
        <w:t>供应商</w:t>
      </w:r>
      <w:r>
        <w:rPr>
          <w:rFonts w:hint="eastAsia" w:ascii="宋体" w:hAnsi="宋体" w:eastAsia="宋体" w:cs="宋体"/>
          <w:b/>
          <w:bCs/>
          <w:color w:val="auto"/>
          <w:sz w:val="21"/>
          <w:szCs w:val="21"/>
          <w:highlight w:val="none"/>
          <w:lang w:val="en-US" w:eastAsia="zh-CN"/>
        </w:rPr>
        <w:t>双方在采购合同中详细约定。</w:t>
      </w:r>
      <w:bookmarkStart w:id="7" w:name="_GoBack"/>
      <w:bookmarkEnd w:id="7"/>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52"/>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华文中宋">
    <w:altName w:val="宋体"/>
    <w:panose1 w:val="02010600040101010101"/>
    <w:charset w:val="86"/>
    <w:family w:val="auto"/>
    <w:pitch w:val="default"/>
    <w:sig w:usb0="00000000" w:usb1="00000000" w:usb2="00000000" w:usb3="00000000" w:csb0="0004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486A29A"/>
    <w:multiLevelType w:val="singleLevel"/>
    <w:tmpl w:val="5486A29A"/>
    <w:lvl w:ilvl="0" w:tentative="0">
      <w:start w:val="4"/>
      <w:numFmt w:val="chineseCounting"/>
      <w:suff w:val="space"/>
      <w:lvlText w:val="第%1章"/>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ED937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jc w:val="center"/>
      <w:outlineLvl w:val="0"/>
    </w:pPr>
    <w:rPr>
      <w:b/>
      <w:bCs/>
      <w:sz w:val="24"/>
      <w:szCs w:val="20"/>
    </w:rPr>
  </w:style>
  <w:style w:type="paragraph" w:styleId="3">
    <w:name w:val="heading 2"/>
    <w:basedOn w:val="1"/>
    <w:next w:val="1"/>
    <w:qFormat/>
    <w:uiPriority w:val="0"/>
    <w:pPr>
      <w:keepNext/>
      <w:keepLines/>
      <w:spacing w:line="360" w:lineRule="auto"/>
      <w:outlineLvl w:val="1"/>
    </w:pPr>
    <w:rPr>
      <w:rFonts w:ascii="Arial" w:hAnsi="Arial"/>
      <w:b/>
      <w:bCs/>
      <w:sz w:val="24"/>
      <w:szCs w:val="32"/>
    </w:rPr>
  </w:style>
  <w:style w:type="character" w:default="1" w:styleId="6">
    <w:name w:val="Default Paragraph Font"/>
    <w:semiHidden/>
    <w:qFormat/>
    <w:uiPriority w:val="0"/>
  </w:style>
  <w:style w:type="table" w:default="1" w:styleId="5">
    <w:name w:val="Normal Table"/>
    <w:semiHidden/>
    <w:uiPriority w:val="0"/>
    <w:tblPr>
      <w:tblCellMar>
        <w:top w:w="0" w:type="dxa"/>
        <w:left w:w="108" w:type="dxa"/>
        <w:bottom w:w="0" w:type="dxa"/>
        <w:right w:w="108" w:type="dxa"/>
      </w:tblCellMar>
    </w:tblPr>
  </w:style>
  <w:style w:type="paragraph" w:styleId="4">
    <w:name w:val="annotation text"/>
    <w:basedOn w:val="1"/>
    <w:semiHidden/>
    <w:qFormat/>
    <w:uiPriority w:val="0"/>
    <w:pPr>
      <w:jc w:val="left"/>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2026-10-27T08:53:40Z</dcterms:created>
  <dc:creator>Administrator</dc:creator>
  <cp:lastModifiedBy>Administrator</cp:lastModifiedBy>
  <dcterms:modified xsi:type="dcterms:W3CDTF">2026-10-27T08:54:37Z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eyJoZGlkIjoiYjEzZjRlODg5ODBhOGNkNDE0N2E2YWI4MWZkY2JjZmEiLCJ1c2VySWQiOiIxMzQ0ODA2MDMyIn0=</vt:lpwstr>
  </property>
  <property fmtid="{D5CDD505-2E9C-101B-9397-08002B2CF9AE}" pid="4" name="ICV">
    <vt:lpwstr>8C7CE2DFB53F4EA8AE57C514CE1059FC_12</vt:lpwstr>
  </property>
</Properties>
</file>